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header43.xml" ContentType="application/vnd.openxmlformats-officedocument.wordprocessingml.header+xml"/>
  <Override PartName="/word/header61.xml" ContentType="application/vnd.openxmlformats-officedocument.wordprocessingml.header+xml"/>
  <Override PartName="/word/footer37.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header50.xml" ContentType="application/vnd.openxmlformats-officedocument.wordprocessingml.header+xml"/>
  <Override PartName="/word/footer26.xml" ContentType="application/vnd.openxmlformats-officedocument.wordprocessingml.footer+xml"/>
  <Override PartName="/word/footer44.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59.xml" ContentType="application/vnd.openxmlformats-officedocument.wordprocessingml.header+xml"/>
  <Override PartName="/word/header77.xml" ContentType="application/vnd.openxmlformats-officedocument.wordprocessingml.header+xml"/>
  <Default Extension="odttf" ContentType="application/vnd.openxmlformats-officedocument.obfuscatedFont"/>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footer29.xml" ContentType="application/vnd.openxmlformats-officedocument.wordprocessingml.footer+xml"/>
  <Override PartName="/word/header64.xml" ContentType="application/vnd.openxmlformats-officedocument.wordprocessingml.header+xml"/>
  <Override PartName="/word/header73.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Default Extension="emf" ContentType="image/x-emf"/>
  <Default Extension="jpeg" ContentType="image/jpeg"/>
  <Override PartName="/word/header33.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footer27.xml" ContentType="application/vnd.openxmlformats-officedocument.wordprocessingml.footer+xml"/>
  <Override PartName="/word/header53.xml" ContentType="application/vnd.openxmlformats-officedocument.wordprocessingml.header+xml"/>
  <Override PartName="/word/header62.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word/header40.xml" ContentType="application/vnd.openxmlformats-officedocument.wordprocessingml.header+xml"/>
  <Override PartName="/word/footer25.xml" ContentType="application/vnd.openxmlformats-officedocument.wordprocessingml.footer+xml"/>
  <Override PartName="/word/header51.xml" ContentType="application/vnd.openxmlformats-officedocument.wordprocessingml.header+xml"/>
  <Override PartName="/word/header60.xml" ContentType="application/vnd.openxmlformats-officedocument.wordprocessingml.header+xml"/>
  <Override PartName="/word/footer34.xml" ContentType="application/vnd.openxmlformats-officedocument.wordprocessingml.footer+xml"/>
  <Override PartName="/word/footer4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footer39.xml" ContentType="application/vnd.openxmlformats-officedocument.wordprocessingml.footer+xml"/>
  <Override PartName="/word/header74.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41.xml" ContentType="application/vnd.openxmlformats-officedocument.wordprocessingml.header+xml"/>
  <Override PartName="/word/footer35.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footer42.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4806"/>
        <w:tblW w:w="0" w:type="auto"/>
        <w:tblLook w:val="04A0"/>
      </w:tblPr>
      <w:tblGrid>
        <w:gridCol w:w="5353"/>
      </w:tblGrid>
      <w:tr w:rsidR="000016C3" w:rsidRPr="006574FD" w:rsidTr="000016C3">
        <w:tc>
          <w:tcPr>
            <w:tcW w:w="5353" w:type="dxa"/>
          </w:tcPr>
          <w:p w:rsidR="000016C3" w:rsidRPr="007428E2" w:rsidRDefault="006C154B" w:rsidP="006C154B">
            <w:pPr>
              <w:pStyle w:val="Title"/>
              <w:framePr w:hSpace="0" w:wrap="auto" w:vAnchor="margin" w:hAnchor="text" w:yAlign="inline"/>
              <w:rPr>
                <w:rFonts w:ascii="Arial" w:hAnsi="Arial" w:cs="Arial"/>
                <w:caps w:val="0"/>
              </w:rPr>
            </w:pPr>
            <w:r w:rsidRPr="007428E2">
              <w:rPr>
                <w:rFonts w:ascii="Arial" w:hAnsi="Arial" w:cs="Arial"/>
                <w:caps w:val="0"/>
              </w:rPr>
              <w:t>Draft Variation to the National Environment protection (Ambient Air Quality) Measure</w:t>
            </w:r>
          </w:p>
        </w:tc>
      </w:tr>
      <w:tr w:rsidR="000016C3" w:rsidRPr="006574FD" w:rsidTr="000016C3">
        <w:tc>
          <w:tcPr>
            <w:tcW w:w="5353" w:type="dxa"/>
          </w:tcPr>
          <w:p w:rsidR="000016C3" w:rsidRPr="007428E2" w:rsidRDefault="000016C3" w:rsidP="008E4E91">
            <w:pPr>
              <w:rPr>
                <w:rFonts w:ascii="Arial" w:hAnsi="Arial" w:cs="Arial"/>
              </w:rPr>
            </w:pPr>
          </w:p>
        </w:tc>
      </w:tr>
      <w:tr w:rsidR="000016C3" w:rsidRPr="006574FD" w:rsidTr="000016C3">
        <w:tc>
          <w:tcPr>
            <w:tcW w:w="5353" w:type="dxa"/>
          </w:tcPr>
          <w:p w:rsidR="000016C3" w:rsidRPr="007428E2" w:rsidRDefault="000016C3" w:rsidP="008E4E91">
            <w:pPr>
              <w:rPr>
                <w:rFonts w:ascii="Arial" w:hAnsi="Arial" w:cs="Arial"/>
              </w:rPr>
            </w:pPr>
          </w:p>
        </w:tc>
      </w:tr>
      <w:tr w:rsidR="000016C3" w:rsidRPr="006574FD" w:rsidTr="000016C3">
        <w:tc>
          <w:tcPr>
            <w:tcW w:w="5353" w:type="dxa"/>
          </w:tcPr>
          <w:p w:rsidR="000016C3" w:rsidRPr="007428E2" w:rsidRDefault="006C154B" w:rsidP="003A73B4">
            <w:pPr>
              <w:pStyle w:val="Title"/>
              <w:framePr w:hSpace="0" w:wrap="auto" w:vAnchor="margin" w:hAnchor="text" w:yAlign="inline"/>
              <w:rPr>
                <w:rFonts w:ascii="Arial" w:hAnsi="Arial" w:cs="Arial"/>
                <w:caps w:val="0"/>
                <w:sz w:val="28"/>
                <w:szCs w:val="28"/>
              </w:rPr>
            </w:pPr>
            <w:r w:rsidRPr="007428E2">
              <w:rPr>
                <w:rFonts w:ascii="Arial" w:hAnsi="Arial" w:cs="Arial"/>
                <w:caps w:val="0"/>
                <w:sz w:val="28"/>
                <w:szCs w:val="28"/>
              </w:rPr>
              <w:t>Impact Statement</w:t>
            </w:r>
          </w:p>
        </w:tc>
      </w:tr>
      <w:tr w:rsidR="000016C3" w:rsidRPr="006574FD" w:rsidTr="000016C3">
        <w:tc>
          <w:tcPr>
            <w:tcW w:w="5353" w:type="dxa"/>
          </w:tcPr>
          <w:p w:rsidR="000016C3" w:rsidRPr="007428E2" w:rsidRDefault="000016C3" w:rsidP="008E4E91">
            <w:pPr>
              <w:rPr>
                <w:rFonts w:ascii="Arial" w:hAnsi="Arial" w:cs="Arial"/>
              </w:rPr>
            </w:pPr>
          </w:p>
        </w:tc>
      </w:tr>
      <w:tr w:rsidR="000016C3" w:rsidRPr="006574FD" w:rsidTr="000016C3">
        <w:tc>
          <w:tcPr>
            <w:tcW w:w="5353" w:type="dxa"/>
          </w:tcPr>
          <w:p w:rsidR="001830F9" w:rsidRPr="007428E2" w:rsidRDefault="001830F9" w:rsidP="001830F9">
            <w:pPr>
              <w:pStyle w:val="CompanyNameFrontPage"/>
              <w:framePr w:hSpace="0" w:wrap="auto" w:vAnchor="margin" w:hAnchor="text" w:yAlign="inline"/>
              <w:rPr>
                <w:rFonts w:ascii="Arial" w:hAnsi="Arial"/>
              </w:rPr>
            </w:pPr>
            <w:r w:rsidRPr="007428E2">
              <w:rPr>
                <w:rFonts w:ascii="Arial" w:hAnsi="Arial"/>
              </w:rPr>
              <w:t>Prepared for:</w:t>
            </w:r>
          </w:p>
          <w:p w:rsidR="001830F9" w:rsidRPr="007428E2" w:rsidRDefault="001830F9" w:rsidP="001830F9">
            <w:pPr>
              <w:pStyle w:val="CompanyNameFrontPage"/>
              <w:framePr w:hSpace="0" w:wrap="auto" w:vAnchor="margin" w:hAnchor="text" w:yAlign="inline"/>
              <w:rPr>
                <w:rFonts w:ascii="Arial" w:hAnsi="Arial"/>
              </w:rPr>
            </w:pPr>
            <w:r w:rsidRPr="007428E2">
              <w:rPr>
                <w:rFonts w:ascii="Arial" w:hAnsi="Arial"/>
              </w:rPr>
              <w:t>N</w:t>
            </w:r>
            <w:r w:rsidR="00B3043E">
              <w:rPr>
                <w:rFonts w:ascii="Arial" w:hAnsi="Arial"/>
              </w:rPr>
              <w:t xml:space="preserve">ational Environment </w:t>
            </w:r>
            <w:r w:rsidRPr="007428E2">
              <w:rPr>
                <w:rFonts w:ascii="Arial" w:hAnsi="Arial"/>
              </w:rPr>
              <w:t>P</w:t>
            </w:r>
            <w:r w:rsidR="00B3043E">
              <w:rPr>
                <w:rFonts w:ascii="Arial" w:hAnsi="Arial"/>
              </w:rPr>
              <w:t xml:space="preserve">rotection </w:t>
            </w:r>
            <w:r w:rsidRPr="007428E2">
              <w:rPr>
                <w:rFonts w:ascii="Arial" w:hAnsi="Arial"/>
              </w:rPr>
              <w:t>C</w:t>
            </w:r>
            <w:r w:rsidR="00B3043E">
              <w:rPr>
                <w:rFonts w:ascii="Arial" w:hAnsi="Arial"/>
              </w:rPr>
              <w:t>ouncil</w:t>
            </w:r>
          </w:p>
          <w:p w:rsidR="001830F9" w:rsidRPr="007428E2" w:rsidRDefault="001830F9" w:rsidP="001830F9">
            <w:pPr>
              <w:spacing w:after="0"/>
              <w:rPr>
                <w:rFonts w:ascii="Arial" w:hAnsi="Arial" w:cs="Arial"/>
                <w:sz w:val="20"/>
                <w:szCs w:val="20"/>
              </w:rPr>
            </w:pPr>
          </w:p>
          <w:p w:rsidR="000016C3" w:rsidRPr="007428E2" w:rsidRDefault="000016C3" w:rsidP="001830F9">
            <w:pPr>
              <w:rPr>
                <w:rFonts w:ascii="Arial" w:hAnsi="Arial" w:cs="Arial"/>
              </w:rPr>
            </w:pPr>
          </w:p>
        </w:tc>
      </w:tr>
      <w:tr w:rsidR="000016C3" w:rsidRPr="006574FD" w:rsidTr="000016C3">
        <w:tc>
          <w:tcPr>
            <w:tcW w:w="5353" w:type="dxa"/>
          </w:tcPr>
          <w:p w:rsidR="000016C3" w:rsidRPr="007428E2" w:rsidRDefault="000016C3" w:rsidP="008E4E91">
            <w:pPr>
              <w:rPr>
                <w:rFonts w:ascii="Arial" w:hAnsi="Arial" w:cs="Arial"/>
              </w:rPr>
            </w:pPr>
          </w:p>
          <w:p w:rsidR="001830F9" w:rsidRPr="007428E2" w:rsidRDefault="001830F9" w:rsidP="008E4E91">
            <w:pPr>
              <w:rPr>
                <w:rFonts w:ascii="Arial" w:hAnsi="Arial" w:cs="Arial"/>
              </w:rPr>
            </w:pPr>
          </w:p>
          <w:p w:rsidR="001830F9" w:rsidRPr="007428E2" w:rsidRDefault="001830F9" w:rsidP="008E4E91">
            <w:pPr>
              <w:rPr>
                <w:rFonts w:ascii="Arial" w:hAnsi="Arial" w:cs="Arial"/>
              </w:rPr>
            </w:pPr>
          </w:p>
          <w:p w:rsidR="001830F9" w:rsidRPr="007428E2" w:rsidRDefault="001830F9" w:rsidP="008E4E91">
            <w:pPr>
              <w:rPr>
                <w:rFonts w:ascii="Arial" w:hAnsi="Arial" w:cs="Arial"/>
              </w:rPr>
            </w:pPr>
          </w:p>
        </w:tc>
      </w:tr>
      <w:tr w:rsidR="000016C3" w:rsidRPr="006574FD" w:rsidTr="000016C3">
        <w:tc>
          <w:tcPr>
            <w:tcW w:w="5353" w:type="dxa"/>
          </w:tcPr>
          <w:p w:rsidR="000016C3" w:rsidRPr="007428E2" w:rsidRDefault="003A73B4" w:rsidP="00003287">
            <w:pPr>
              <w:pStyle w:val="DateFrontPage"/>
              <w:rPr>
                <w:rFonts w:ascii="Arial" w:hAnsi="Arial" w:cs="Arial"/>
                <w:lang w:val="en-AU"/>
              </w:rPr>
            </w:pPr>
            <w:r w:rsidRPr="007428E2">
              <w:rPr>
                <w:rFonts w:ascii="Arial" w:hAnsi="Arial" w:cs="Arial"/>
                <w:lang w:val="en-AU"/>
              </w:rPr>
              <w:t>July 2014</w:t>
            </w:r>
          </w:p>
        </w:tc>
      </w:tr>
    </w:tbl>
    <w:p w:rsidR="008E4E91" w:rsidRPr="006574FD" w:rsidRDefault="00BF6019" w:rsidP="00CD2AEC">
      <w:pPr>
        <w:rPr>
          <w:rFonts w:ascii="Arial" w:hAnsi="Arial" w:cs="Arial"/>
          <w:i/>
        </w:rPr>
        <w:sectPr w:rsidR="008E4E91" w:rsidRPr="006574FD" w:rsidSect="006A5626">
          <w:headerReference w:type="even" r:id="rId8"/>
          <w:footerReference w:type="default" r:id="rId9"/>
          <w:headerReference w:type="first" r:id="rId10"/>
          <w:type w:val="oddPage"/>
          <w:pgSz w:w="11906" w:h="16838" w:code="9"/>
          <w:pgMar w:top="1440" w:right="1440" w:bottom="1440" w:left="1440" w:header="0" w:footer="595" w:gutter="0"/>
          <w:pgNumType w:fmt="lowerRoman" w:start="1"/>
          <w:cols w:space="708"/>
          <w:docGrid w:linePitch="360"/>
        </w:sectPr>
      </w:pPr>
      <w:r>
        <w:rPr>
          <w:rFonts w:ascii="Arial" w:hAnsi="Arial" w:cs="Arial"/>
          <w:i/>
          <w:noProof/>
        </w:rPr>
        <w:pict>
          <v:rect id="Rectangle 32" o:spid="_x0000_s1026" style="position:absolute;margin-left:-72.05pt;margin-top:736.4pt;width:595.45pt;height:33.0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" filled="f" fillcolor="#7f7f7f" stroked="f" strokecolor="#7f7f7f" strokeweight="2pt">
            <v:path arrowok="t"/>
            <v:textbox>
              <w:txbxContent>
                <w:p w:rsidR="0085182E" w:rsidRDefault="0085182E" w:rsidP="006574FD">
                  <w:pPr>
                    <w:shd w:val="clear" w:color="auto" w:fill="FFFFFF"/>
                  </w:pPr>
                </w:p>
                <w:p w:rsidR="0085182E" w:rsidRPr="000313EB" w:rsidRDefault="0085182E" w:rsidP="006574FD">
                  <w:pPr>
                    <w:shd w:val="clear" w:color="auto" w:fill="FFFFFF"/>
                    <w:rPr>
                      <w:color w:val="0076C0"/>
                    </w:rPr>
                  </w:pPr>
                </w:p>
              </w:txbxContent>
            </v:textbox>
            <w10:wrap anchorx="margin"/>
          </v:rect>
        </w:pict>
      </w:r>
    </w:p>
    <w:p w:rsidR="00D32C73" w:rsidRPr="007428E2" w:rsidRDefault="00D32C73" w:rsidP="00D32C73">
      <w:pPr>
        <w:pStyle w:val="HeadingTOC"/>
        <w:rPr>
          <w:rFonts w:ascii="Arial" w:hAnsi="Arial" w:cs="Arial"/>
        </w:rPr>
      </w:pPr>
      <w:r w:rsidRPr="007428E2">
        <w:rPr>
          <w:rFonts w:ascii="Arial" w:hAnsi="Arial" w:cs="Arial"/>
        </w:rPr>
        <w:lastRenderedPageBreak/>
        <w:t>Disclaimer</w:t>
      </w:r>
    </w:p>
    <w:p w:rsidR="00D32C73" w:rsidRPr="007428E2" w:rsidRDefault="00D32C73" w:rsidP="00D32C73">
      <w:pPr>
        <w:rPr>
          <w:rFonts w:ascii="Arial" w:hAnsi="Arial" w:cs="Arial"/>
          <w:sz w:val="16"/>
          <w:szCs w:val="16"/>
        </w:rPr>
      </w:pPr>
      <w:r w:rsidRPr="007428E2">
        <w:rPr>
          <w:rFonts w:ascii="Arial" w:hAnsi="Arial" w:cs="Arial"/>
          <w:sz w:val="16"/>
          <w:szCs w:val="16"/>
        </w:rPr>
        <w:t xml:space="preserve">© </w:t>
      </w:r>
      <w:r w:rsidR="00E93CB1" w:rsidRPr="007428E2">
        <w:rPr>
          <w:rFonts w:ascii="Arial" w:hAnsi="Arial" w:cs="Arial"/>
          <w:sz w:val="16"/>
          <w:szCs w:val="16"/>
        </w:rPr>
        <w:t>201</w:t>
      </w:r>
      <w:r w:rsidR="008046DF" w:rsidRPr="007428E2">
        <w:rPr>
          <w:rFonts w:ascii="Arial" w:hAnsi="Arial" w:cs="Arial"/>
          <w:sz w:val="16"/>
          <w:szCs w:val="16"/>
        </w:rPr>
        <w:t>4</w:t>
      </w:r>
      <w:r w:rsidR="00E93CB1" w:rsidRPr="007428E2">
        <w:rPr>
          <w:rFonts w:ascii="Arial" w:hAnsi="Arial" w:cs="Arial"/>
          <w:sz w:val="16"/>
          <w:szCs w:val="16"/>
        </w:rPr>
        <w:t xml:space="preserve"> </w:t>
      </w:r>
      <w:r w:rsidRPr="007428E2">
        <w:rPr>
          <w:rFonts w:ascii="Arial" w:hAnsi="Arial" w:cs="Arial"/>
          <w:sz w:val="16"/>
          <w:szCs w:val="16"/>
        </w:rPr>
        <w:t>Copyright vests in the Commonwealth of Australia and each Australian state and territory</w:t>
      </w:r>
    </w:p>
    <w:p w:rsidR="00D32C73" w:rsidRPr="007428E2" w:rsidRDefault="00D32C73" w:rsidP="00D32C73">
      <w:pPr>
        <w:rPr>
          <w:rFonts w:ascii="Arial" w:hAnsi="Arial" w:cs="Arial"/>
          <w:sz w:val="16"/>
          <w:szCs w:val="16"/>
        </w:rPr>
      </w:pPr>
      <w:r w:rsidRPr="007428E2">
        <w:rPr>
          <w:rFonts w:ascii="Arial" w:hAnsi="Arial" w:cs="Arial"/>
          <w:sz w:val="16"/>
          <w:szCs w:val="16"/>
        </w:rPr>
        <w:t xml:space="preserve">This work is copyright. Apart from any use as permitted under the </w:t>
      </w:r>
      <w:r w:rsidRPr="007428E2">
        <w:rPr>
          <w:rFonts w:ascii="Arial" w:hAnsi="Arial" w:cs="Arial"/>
          <w:iCs/>
          <w:sz w:val="16"/>
          <w:szCs w:val="16"/>
        </w:rPr>
        <w:t>Copyright Act 1968</w:t>
      </w:r>
      <w:r w:rsidRPr="007428E2">
        <w:rPr>
          <w:rFonts w:ascii="Arial" w:hAnsi="Arial" w:cs="Arial"/>
          <w:sz w:val="16"/>
          <w:szCs w:val="16"/>
        </w:rPr>
        <w:t xml:space="preserve">, no part may be reproduced by any process without prior written permission from the National Environment Protection Council (NEPC). Requests and enquiries concerning reproduction and rights should be addressed to Executive Officer, NEPC Service Corporation, </w:t>
      </w:r>
      <w:r w:rsidR="00723257">
        <w:rPr>
          <w:rFonts w:ascii="Arial" w:hAnsi="Arial" w:cs="Arial"/>
          <w:sz w:val="16"/>
          <w:szCs w:val="16"/>
        </w:rPr>
        <w:t xml:space="preserve">Department of the Environment, </w:t>
      </w:r>
      <w:r w:rsidRPr="007428E2">
        <w:rPr>
          <w:rFonts w:ascii="Arial" w:hAnsi="Arial" w:cs="Arial"/>
          <w:sz w:val="16"/>
          <w:szCs w:val="16"/>
        </w:rPr>
        <w:t>GPO Box 787 Canberra ACT 2601</w:t>
      </w:r>
      <w:r w:rsidR="004C7EEA" w:rsidRPr="007428E2">
        <w:rPr>
          <w:rFonts w:ascii="Arial" w:hAnsi="Arial" w:cs="Arial"/>
          <w:sz w:val="16"/>
          <w:szCs w:val="16"/>
        </w:rPr>
        <w:t>.</w:t>
      </w:r>
      <w:r w:rsidRPr="007428E2">
        <w:rPr>
          <w:rFonts w:ascii="Arial" w:hAnsi="Arial" w:cs="Arial"/>
          <w:sz w:val="16"/>
          <w:szCs w:val="16"/>
        </w:rPr>
        <w:t xml:space="preserve"> </w:t>
      </w:r>
    </w:p>
    <w:p w:rsidR="00D32C73" w:rsidRPr="007428E2" w:rsidRDefault="00D32C73" w:rsidP="00D32C73">
      <w:pPr>
        <w:rPr>
          <w:rFonts w:ascii="Arial" w:hAnsi="Arial" w:cs="Arial"/>
          <w:sz w:val="16"/>
          <w:szCs w:val="16"/>
        </w:rPr>
      </w:pPr>
      <w:r w:rsidRPr="007428E2">
        <w:rPr>
          <w:rFonts w:ascii="Arial" w:hAnsi="Arial" w:cs="Arial"/>
          <w:sz w:val="16"/>
          <w:szCs w:val="16"/>
        </w:rPr>
        <w:t>The views and opinions expressed in this publication are those of the authors and do not necessarily reflect those of the National Environment Protection Council.</w:t>
      </w:r>
    </w:p>
    <w:p w:rsidR="00D32C73" w:rsidRPr="007428E2" w:rsidRDefault="00D32C73" w:rsidP="00D32C73">
      <w:pPr>
        <w:spacing w:before="120"/>
        <w:rPr>
          <w:rFonts w:ascii="Arial" w:hAnsi="Arial" w:cs="Arial"/>
          <w:sz w:val="16"/>
          <w:szCs w:val="16"/>
        </w:rPr>
      </w:pPr>
      <w:r w:rsidRPr="007428E2">
        <w:rPr>
          <w:rFonts w:ascii="Arial" w:hAnsi="Arial" w:cs="Arial"/>
          <w:sz w:val="16"/>
          <w:szCs w:val="16"/>
        </w:rPr>
        <w:t>While reasonable efforts have been made to ensure that the contents of this publication are factually correct, the National Environment Protection Council does not accept responsibility for the accuracy or completeness of the contents, and shall not be liable for any loss or damage that may be occasioned directly or indirectly through the use of, or reliance on, the contents of this publication</w:t>
      </w:r>
    </w:p>
    <w:p w:rsidR="001830F9" w:rsidRPr="007428E2" w:rsidRDefault="001830F9" w:rsidP="008E4E91">
      <w:pPr>
        <w:rPr>
          <w:rFonts w:ascii="Arial" w:hAnsi="Arial" w:cs="Arial"/>
        </w:rPr>
      </w:pPr>
    </w:p>
    <w:p w:rsidR="001830F9" w:rsidRPr="006574FD" w:rsidRDefault="001830F9" w:rsidP="008E4E91">
      <w:pPr>
        <w:rPr>
          <w:rFonts w:ascii="Arial" w:hAnsi="Arial" w:cs="Arial"/>
          <w:i/>
        </w:rPr>
      </w:pPr>
    </w:p>
    <w:p w:rsidR="008E4E91" w:rsidRPr="006574FD" w:rsidRDefault="008E4E91" w:rsidP="008E4E91">
      <w:pPr>
        <w:rPr>
          <w:rFonts w:ascii="Arial" w:hAnsi="Arial" w:cs="Arial"/>
          <w:i/>
        </w:rPr>
        <w:sectPr w:rsidR="008E4E91" w:rsidRPr="006574FD" w:rsidSect="006A5626">
          <w:headerReference w:type="even" r:id="rId11"/>
          <w:headerReference w:type="default" r:id="rId12"/>
          <w:footerReference w:type="even" r:id="rId13"/>
          <w:footerReference w:type="default" r:id="rId14"/>
          <w:headerReference w:type="first" r:id="rId15"/>
          <w:pgSz w:w="11906" w:h="16838" w:code="9"/>
          <w:pgMar w:top="1440" w:right="1440" w:bottom="1440" w:left="1440" w:header="0" w:footer="249" w:gutter="0"/>
          <w:pgNumType w:fmt="lowerRoman"/>
          <w:cols w:space="708"/>
          <w:docGrid w:linePitch="360"/>
        </w:sectPr>
      </w:pPr>
    </w:p>
    <w:p w:rsidR="00D32C73" w:rsidRPr="007428E2" w:rsidRDefault="00D32C73" w:rsidP="00D32C73">
      <w:pPr>
        <w:pStyle w:val="HeadingTOC"/>
        <w:rPr>
          <w:rFonts w:ascii="Arial" w:hAnsi="Arial" w:cs="Arial"/>
          <w:highlight w:val="yellow"/>
        </w:rPr>
      </w:pPr>
      <w:r w:rsidRPr="007428E2">
        <w:rPr>
          <w:rFonts w:ascii="Arial" w:hAnsi="Arial" w:cs="Arial"/>
        </w:rPr>
        <w:lastRenderedPageBreak/>
        <w:t>Contents</w:t>
      </w:r>
    </w:p>
    <w:p w:rsidR="00EA0A58" w:rsidRDefault="00BF6019">
      <w:pPr>
        <w:pStyle w:val="TOC1"/>
        <w:rPr>
          <w:rFonts w:asciiTheme="minorHAnsi" w:eastAsiaTheme="minorEastAsia" w:hAnsiTheme="minorHAnsi" w:cstheme="minorBidi"/>
          <w:bCs w:val="0"/>
          <w:caps w:val="0"/>
          <w:sz w:val="22"/>
          <w:szCs w:val="22"/>
          <w:lang w:eastAsia="en-AU"/>
        </w:rPr>
      </w:pPr>
      <w:r w:rsidRPr="00BF6019">
        <w:rPr>
          <w:rFonts w:ascii="Arial" w:hAnsi="Arial" w:cs="Arial"/>
        </w:rPr>
        <w:fldChar w:fldCharType="begin"/>
      </w:r>
      <w:r w:rsidR="00D32C73" w:rsidRPr="007428E2">
        <w:rPr>
          <w:rFonts w:ascii="Arial" w:hAnsi="Arial" w:cs="Arial"/>
        </w:rPr>
        <w:instrText xml:space="preserve"> TOC \o "3-3" \h \z \t "Heading 1,1,</w:instrText>
      </w:r>
      <w:r w:rsidR="00DE2894" w:rsidRPr="007428E2">
        <w:rPr>
          <w:rFonts w:ascii="Arial" w:hAnsi="Arial" w:cs="Arial"/>
        </w:rPr>
        <w:instrText>ES HEADING 1,1,</w:instrText>
      </w:r>
      <w:r w:rsidR="00D32C73" w:rsidRPr="007428E2">
        <w:rPr>
          <w:rFonts w:ascii="Arial" w:hAnsi="Arial" w:cs="Arial"/>
        </w:rPr>
        <w:instrText xml:space="preserve">Heading 2,2,Heading 6,1,Heading 7,2,Heading 8,3,Heading 9,4" </w:instrText>
      </w:r>
      <w:r w:rsidRPr="00BF6019">
        <w:rPr>
          <w:rFonts w:ascii="Arial" w:hAnsi="Arial" w:cs="Arial"/>
        </w:rPr>
        <w:fldChar w:fldCharType="separate"/>
      </w:r>
      <w:hyperlink w:anchor="_Toc394011066" w:history="1">
        <w:r w:rsidR="00EA0A58" w:rsidRPr="009521C3">
          <w:rPr>
            <w:rStyle w:val="Hyperlink"/>
            <w:rFonts w:ascii="Arial" w:hAnsi="Arial" w:cs="Arial"/>
          </w:rPr>
          <w:t>Executive Summary</w:t>
        </w:r>
        <w:r w:rsidR="00EA0A58">
          <w:rPr>
            <w:webHidden/>
          </w:rPr>
          <w:tab/>
        </w:r>
        <w:r>
          <w:rPr>
            <w:webHidden/>
          </w:rPr>
          <w:fldChar w:fldCharType="begin"/>
        </w:r>
        <w:r w:rsidR="00EA0A58">
          <w:rPr>
            <w:webHidden/>
          </w:rPr>
          <w:instrText xml:space="preserve"> PAGEREF _Toc394011066 \h </w:instrText>
        </w:r>
        <w:r>
          <w:rPr>
            <w:webHidden/>
          </w:rPr>
        </w:r>
        <w:r>
          <w:rPr>
            <w:webHidden/>
          </w:rPr>
          <w:fldChar w:fldCharType="separate"/>
        </w:r>
        <w:r w:rsidR="0085182E">
          <w:rPr>
            <w:webHidden/>
          </w:rPr>
          <w:t>vii</w:t>
        </w:r>
        <w:r>
          <w:rPr>
            <w:webHidden/>
          </w:rPr>
          <w:fldChar w:fldCharType="end"/>
        </w:r>
      </w:hyperlink>
    </w:p>
    <w:p w:rsidR="00EA0A58" w:rsidRDefault="00BF6019">
      <w:pPr>
        <w:pStyle w:val="TOC1"/>
        <w:rPr>
          <w:rFonts w:asciiTheme="minorHAnsi" w:eastAsiaTheme="minorEastAsia" w:hAnsiTheme="minorHAnsi" w:cstheme="minorBidi"/>
          <w:bCs w:val="0"/>
          <w:caps w:val="0"/>
          <w:sz w:val="22"/>
          <w:szCs w:val="22"/>
          <w:lang w:eastAsia="en-AU"/>
        </w:rPr>
      </w:pPr>
      <w:hyperlink w:anchor="_Toc394011067" w:history="1">
        <w:r w:rsidR="00EA0A58" w:rsidRPr="009521C3">
          <w:rPr>
            <w:rStyle w:val="Hyperlink"/>
            <w:rFonts w:ascii="Arial" w:hAnsi="Arial"/>
          </w:rPr>
          <w:t>1</w:t>
        </w:r>
        <w:r w:rsidR="00EA0A58">
          <w:rPr>
            <w:rFonts w:asciiTheme="minorHAnsi" w:eastAsiaTheme="minorEastAsia" w:hAnsiTheme="minorHAnsi" w:cstheme="minorBidi"/>
            <w:bCs w:val="0"/>
            <w:caps w:val="0"/>
            <w:sz w:val="22"/>
            <w:szCs w:val="22"/>
            <w:lang w:eastAsia="en-AU"/>
          </w:rPr>
          <w:tab/>
        </w:r>
        <w:r w:rsidR="00EA0A58" w:rsidRPr="009521C3">
          <w:rPr>
            <w:rStyle w:val="Hyperlink"/>
            <w:rFonts w:ascii="Arial" w:hAnsi="Arial"/>
          </w:rPr>
          <w:t>Introduction</w:t>
        </w:r>
        <w:r w:rsidR="00EA0A58">
          <w:rPr>
            <w:webHidden/>
          </w:rPr>
          <w:tab/>
        </w:r>
        <w:r>
          <w:rPr>
            <w:webHidden/>
          </w:rPr>
          <w:fldChar w:fldCharType="begin"/>
        </w:r>
        <w:r w:rsidR="00EA0A58">
          <w:rPr>
            <w:webHidden/>
          </w:rPr>
          <w:instrText xml:space="preserve"> PAGEREF _Toc394011067 \h </w:instrText>
        </w:r>
        <w:r>
          <w:rPr>
            <w:webHidden/>
          </w:rPr>
        </w:r>
        <w:r>
          <w:rPr>
            <w:webHidden/>
          </w:rPr>
          <w:fldChar w:fldCharType="separate"/>
        </w:r>
        <w:r w:rsidR="0085182E">
          <w:rPr>
            <w:webHidden/>
          </w:rPr>
          <w:t>1</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068" w:history="1">
        <w:r w:rsidR="00EA0A58" w:rsidRPr="009521C3">
          <w:rPr>
            <w:rStyle w:val="Hyperlink"/>
            <w:rFonts w:ascii="Arial" w:hAnsi="Arial"/>
          </w:rPr>
          <w:t>1.1</w:t>
        </w:r>
        <w:r w:rsidR="00EA0A58">
          <w:rPr>
            <w:rFonts w:asciiTheme="minorHAnsi" w:eastAsiaTheme="minorEastAsia" w:hAnsiTheme="minorHAnsi" w:cstheme="minorBidi"/>
            <w:sz w:val="22"/>
            <w:szCs w:val="22"/>
          </w:rPr>
          <w:tab/>
        </w:r>
        <w:r w:rsidR="00EA0A58" w:rsidRPr="009521C3">
          <w:rPr>
            <w:rStyle w:val="Hyperlink"/>
            <w:rFonts w:ascii="Arial" w:hAnsi="Arial"/>
          </w:rPr>
          <w:t>Overview</w:t>
        </w:r>
        <w:r w:rsidR="00EA0A58">
          <w:rPr>
            <w:webHidden/>
          </w:rPr>
          <w:tab/>
        </w:r>
        <w:r>
          <w:rPr>
            <w:webHidden/>
          </w:rPr>
          <w:fldChar w:fldCharType="begin"/>
        </w:r>
        <w:r w:rsidR="00EA0A58">
          <w:rPr>
            <w:webHidden/>
          </w:rPr>
          <w:instrText xml:space="preserve"> PAGEREF _Toc394011068 \h </w:instrText>
        </w:r>
        <w:r>
          <w:rPr>
            <w:webHidden/>
          </w:rPr>
        </w:r>
        <w:r>
          <w:rPr>
            <w:webHidden/>
          </w:rPr>
          <w:fldChar w:fldCharType="separate"/>
        </w:r>
        <w:r w:rsidR="0085182E">
          <w:rPr>
            <w:webHidden/>
          </w:rPr>
          <w:t>1</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069" w:history="1">
        <w:r w:rsidR="00EA0A58" w:rsidRPr="009521C3">
          <w:rPr>
            <w:rStyle w:val="Hyperlink"/>
            <w:rFonts w:ascii="Arial" w:hAnsi="Arial"/>
          </w:rPr>
          <w:t>1.2</w:t>
        </w:r>
        <w:r w:rsidR="00EA0A58">
          <w:rPr>
            <w:rFonts w:asciiTheme="minorHAnsi" w:eastAsiaTheme="minorEastAsia" w:hAnsiTheme="minorHAnsi" w:cstheme="minorBidi"/>
            <w:sz w:val="22"/>
            <w:szCs w:val="22"/>
          </w:rPr>
          <w:tab/>
        </w:r>
        <w:r w:rsidR="00EA0A58" w:rsidRPr="009521C3">
          <w:rPr>
            <w:rStyle w:val="Hyperlink"/>
            <w:rFonts w:ascii="Arial" w:hAnsi="Arial"/>
          </w:rPr>
          <w:t>Compliance with NEPC requirements</w:t>
        </w:r>
        <w:r w:rsidR="00EA0A58">
          <w:rPr>
            <w:webHidden/>
          </w:rPr>
          <w:tab/>
        </w:r>
        <w:r>
          <w:rPr>
            <w:webHidden/>
          </w:rPr>
          <w:fldChar w:fldCharType="begin"/>
        </w:r>
        <w:r w:rsidR="00EA0A58">
          <w:rPr>
            <w:webHidden/>
          </w:rPr>
          <w:instrText xml:space="preserve"> PAGEREF _Toc394011069 \h </w:instrText>
        </w:r>
        <w:r>
          <w:rPr>
            <w:webHidden/>
          </w:rPr>
        </w:r>
        <w:r>
          <w:rPr>
            <w:webHidden/>
          </w:rPr>
          <w:fldChar w:fldCharType="separate"/>
        </w:r>
        <w:r w:rsidR="0085182E">
          <w:rPr>
            <w:webHidden/>
          </w:rPr>
          <w:t>1</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070" w:history="1">
        <w:r w:rsidR="00EA0A58" w:rsidRPr="009521C3">
          <w:rPr>
            <w:rStyle w:val="Hyperlink"/>
            <w:rFonts w:ascii="Arial" w:hAnsi="Arial"/>
          </w:rPr>
          <w:t>1.3</w:t>
        </w:r>
        <w:r w:rsidR="00EA0A58">
          <w:rPr>
            <w:rFonts w:asciiTheme="minorHAnsi" w:eastAsiaTheme="minorEastAsia" w:hAnsiTheme="minorHAnsi" w:cstheme="minorBidi"/>
            <w:sz w:val="22"/>
            <w:szCs w:val="22"/>
          </w:rPr>
          <w:tab/>
        </w:r>
        <w:r w:rsidR="00EA0A58" w:rsidRPr="009521C3">
          <w:rPr>
            <w:rStyle w:val="Hyperlink"/>
            <w:rFonts w:ascii="Arial" w:hAnsi="Arial"/>
          </w:rPr>
          <w:t>Scope and structure of the Impact Statement</w:t>
        </w:r>
        <w:r w:rsidR="00EA0A58">
          <w:rPr>
            <w:webHidden/>
          </w:rPr>
          <w:tab/>
        </w:r>
        <w:r>
          <w:rPr>
            <w:webHidden/>
          </w:rPr>
          <w:fldChar w:fldCharType="begin"/>
        </w:r>
        <w:r w:rsidR="00EA0A58">
          <w:rPr>
            <w:webHidden/>
          </w:rPr>
          <w:instrText xml:space="preserve"> PAGEREF _Toc394011070 \h </w:instrText>
        </w:r>
        <w:r>
          <w:rPr>
            <w:webHidden/>
          </w:rPr>
        </w:r>
        <w:r>
          <w:rPr>
            <w:webHidden/>
          </w:rPr>
          <w:fldChar w:fldCharType="separate"/>
        </w:r>
        <w:r w:rsidR="0085182E">
          <w:rPr>
            <w:webHidden/>
          </w:rPr>
          <w:t>2</w:t>
        </w:r>
        <w:r>
          <w:rPr>
            <w:webHidden/>
          </w:rPr>
          <w:fldChar w:fldCharType="end"/>
        </w:r>
      </w:hyperlink>
    </w:p>
    <w:p w:rsidR="00EA0A58" w:rsidRDefault="00BF6019">
      <w:pPr>
        <w:pStyle w:val="TOC1"/>
        <w:rPr>
          <w:rFonts w:asciiTheme="minorHAnsi" w:eastAsiaTheme="minorEastAsia" w:hAnsiTheme="minorHAnsi" w:cstheme="minorBidi"/>
          <w:bCs w:val="0"/>
          <w:caps w:val="0"/>
          <w:sz w:val="22"/>
          <w:szCs w:val="22"/>
          <w:lang w:eastAsia="en-AU"/>
        </w:rPr>
      </w:pPr>
      <w:hyperlink w:anchor="_Toc394011071" w:history="1">
        <w:r w:rsidR="00EA0A58" w:rsidRPr="009521C3">
          <w:rPr>
            <w:rStyle w:val="Hyperlink"/>
            <w:rFonts w:ascii="Arial" w:hAnsi="Arial"/>
          </w:rPr>
          <w:t>2</w:t>
        </w:r>
        <w:r w:rsidR="00EA0A58">
          <w:rPr>
            <w:rFonts w:asciiTheme="minorHAnsi" w:eastAsiaTheme="minorEastAsia" w:hAnsiTheme="minorHAnsi" w:cstheme="minorBidi"/>
            <w:bCs w:val="0"/>
            <w:caps w:val="0"/>
            <w:sz w:val="22"/>
            <w:szCs w:val="22"/>
            <w:lang w:eastAsia="en-AU"/>
          </w:rPr>
          <w:tab/>
        </w:r>
        <w:r w:rsidR="00EA0A58" w:rsidRPr="009521C3">
          <w:rPr>
            <w:rStyle w:val="Hyperlink"/>
            <w:rFonts w:ascii="Arial" w:hAnsi="Arial"/>
          </w:rPr>
          <w:t>characteristics and measurement of airborne particulate matter</w:t>
        </w:r>
        <w:r w:rsidR="00EA0A58">
          <w:rPr>
            <w:webHidden/>
          </w:rPr>
          <w:tab/>
        </w:r>
        <w:r>
          <w:rPr>
            <w:webHidden/>
          </w:rPr>
          <w:fldChar w:fldCharType="begin"/>
        </w:r>
        <w:r w:rsidR="00EA0A58">
          <w:rPr>
            <w:webHidden/>
          </w:rPr>
          <w:instrText xml:space="preserve"> PAGEREF _Toc394011071 \h </w:instrText>
        </w:r>
        <w:r>
          <w:rPr>
            <w:webHidden/>
          </w:rPr>
        </w:r>
        <w:r>
          <w:rPr>
            <w:webHidden/>
          </w:rPr>
          <w:fldChar w:fldCharType="separate"/>
        </w:r>
        <w:r w:rsidR="0085182E">
          <w:rPr>
            <w:webHidden/>
          </w:rPr>
          <w:t>4</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072" w:history="1">
        <w:r w:rsidR="00EA0A58" w:rsidRPr="009521C3">
          <w:rPr>
            <w:rStyle w:val="Hyperlink"/>
            <w:rFonts w:ascii="Arial" w:hAnsi="Arial"/>
          </w:rPr>
          <w:t>2.1</w:t>
        </w:r>
        <w:r w:rsidR="00EA0A58">
          <w:rPr>
            <w:rFonts w:asciiTheme="minorHAnsi" w:eastAsiaTheme="minorEastAsia" w:hAnsiTheme="minorHAnsi" w:cstheme="minorBidi"/>
            <w:sz w:val="22"/>
            <w:szCs w:val="22"/>
          </w:rPr>
          <w:tab/>
        </w:r>
        <w:r w:rsidR="00EA0A58" w:rsidRPr="009521C3">
          <w:rPr>
            <w:rStyle w:val="Hyperlink"/>
            <w:rFonts w:ascii="Arial" w:hAnsi="Arial"/>
          </w:rPr>
          <w:t>Characteristics</w:t>
        </w:r>
        <w:r w:rsidR="00EA0A58">
          <w:rPr>
            <w:webHidden/>
          </w:rPr>
          <w:tab/>
        </w:r>
        <w:r>
          <w:rPr>
            <w:webHidden/>
          </w:rPr>
          <w:fldChar w:fldCharType="begin"/>
        </w:r>
        <w:r w:rsidR="00EA0A58">
          <w:rPr>
            <w:webHidden/>
          </w:rPr>
          <w:instrText xml:space="preserve"> PAGEREF _Toc394011072 \h </w:instrText>
        </w:r>
        <w:r>
          <w:rPr>
            <w:webHidden/>
          </w:rPr>
        </w:r>
        <w:r>
          <w:rPr>
            <w:webHidden/>
          </w:rPr>
          <w:fldChar w:fldCharType="separate"/>
        </w:r>
        <w:r w:rsidR="0085182E">
          <w:rPr>
            <w:webHidden/>
          </w:rPr>
          <w:t>4</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073" w:history="1">
        <w:r w:rsidR="00EA0A58" w:rsidRPr="009521C3">
          <w:rPr>
            <w:rStyle w:val="Hyperlink"/>
            <w:rFonts w:ascii="Arial" w:hAnsi="Arial"/>
          </w:rPr>
          <w:t>2.1.1</w:t>
        </w:r>
        <w:r w:rsidR="00EA0A58">
          <w:rPr>
            <w:rFonts w:asciiTheme="minorHAnsi" w:eastAsiaTheme="minorEastAsia" w:hAnsiTheme="minorHAnsi" w:cstheme="minorBidi"/>
            <w:sz w:val="22"/>
            <w:szCs w:val="22"/>
          </w:rPr>
          <w:tab/>
        </w:r>
        <w:r w:rsidR="00EA0A58" w:rsidRPr="009521C3">
          <w:rPr>
            <w:rStyle w:val="Hyperlink"/>
            <w:rFonts w:ascii="Arial" w:hAnsi="Arial"/>
          </w:rPr>
          <w:t>Overview</w:t>
        </w:r>
        <w:r w:rsidR="00EA0A58">
          <w:rPr>
            <w:webHidden/>
          </w:rPr>
          <w:tab/>
        </w:r>
        <w:r>
          <w:rPr>
            <w:webHidden/>
          </w:rPr>
          <w:fldChar w:fldCharType="begin"/>
        </w:r>
        <w:r w:rsidR="00EA0A58">
          <w:rPr>
            <w:webHidden/>
          </w:rPr>
          <w:instrText xml:space="preserve"> PAGEREF _Toc394011073 \h </w:instrText>
        </w:r>
        <w:r>
          <w:rPr>
            <w:webHidden/>
          </w:rPr>
        </w:r>
        <w:r>
          <w:rPr>
            <w:webHidden/>
          </w:rPr>
          <w:fldChar w:fldCharType="separate"/>
        </w:r>
        <w:r w:rsidR="0085182E">
          <w:rPr>
            <w:webHidden/>
          </w:rPr>
          <w:t>4</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074" w:history="1">
        <w:r w:rsidR="00EA0A58" w:rsidRPr="009521C3">
          <w:rPr>
            <w:rStyle w:val="Hyperlink"/>
            <w:rFonts w:ascii="Arial" w:hAnsi="Arial"/>
          </w:rPr>
          <w:t>2.1.2</w:t>
        </w:r>
        <w:r w:rsidR="00EA0A58">
          <w:rPr>
            <w:rFonts w:asciiTheme="minorHAnsi" w:eastAsiaTheme="minorEastAsia" w:hAnsiTheme="minorHAnsi" w:cstheme="minorBidi"/>
            <w:sz w:val="22"/>
            <w:szCs w:val="22"/>
          </w:rPr>
          <w:tab/>
        </w:r>
        <w:r w:rsidR="00EA0A58" w:rsidRPr="009521C3">
          <w:rPr>
            <w:rStyle w:val="Hyperlink"/>
            <w:rFonts w:ascii="Arial" w:hAnsi="Arial"/>
          </w:rPr>
          <w:t>Formation mechanisms and constituents</w:t>
        </w:r>
        <w:r w:rsidR="00EA0A58">
          <w:rPr>
            <w:webHidden/>
          </w:rPr>
          <w:tab/>
        </w:r>
        <w:r>
          <w:rPr>
            <w:webHidden/>
          </w:rPr>
          <w:fldChar w:fldCharType="begin"/>
        </w:r>
        <w:r w:rsidR="00EA0A58">
          <w:rPr>
            <w:webHidden/>
          </w:rPr>
          <w:instrText xml:space="preserve"> PAGEREF _Toc394011074 \h </w:instrText>
        </w:r>
        <w:r>
          <w:rPr>
            <w:webHidden/>
          </w:rPr>
        </w:r>
        <w:r>
          <w:rPr>
            <w:webHidden/>
          </w:rPr>
          <w:fldChar w:fldCharType="separate"/>
        </w:r>
        <w:r w:rsidR="0085182E">
          <w:rPr>
            <w:webHidden/>
          </w:rPr>
          <w:t>4</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075" w:history="1">
        <w:r w:rsidR="00EA0A58" w:rsidRPr="009521C3">
          <w:rPr>
            <w:rStyle w:val="Hyperlink"/>
            <w:rFonts w:ascii="Arial" w:hAnsi="Arial"/>
          </w:rPr>
          <w:t>2.1.3</w:t>
        </w:r>
        <w:r w:rsidR="00EA0A58">
          <w:rPr>
            <w:rFonts w:asciiTheme="minorHAnsi" w:eastAsiaTheme="minorEastAsia" w:hAnsiTheme="minorHAnsi" w:cstheme="minorBidi"/>
            <w:sz w:val="22"/>
            <w:szCs w:val="22"/>
          </w:rPr>
          <w:tab/>
        </w:r>
        <w:r w:rsidR="00EA0A58" w:rsidRPr="009521C3">
          <w:rPr>
            <w:rStyle w:val="Hyperlink"/>
            <w:rFonts w:ascii="Arial" w:hAnsi="Arial"/>
          </w:rPr>
          <w:t>Particle size distribution</w:t>
        </w:r>
        <w:r w:rsidR="00EA0A58">
          <w:rPr>
            <w:webHidden/>
          </w:rPr>
          <w:tab/>
        </w:r>
        <w:r>
          <w:rPr>
            <w:webHidden/>
          </w:rPr>
          <w:fldChar w:fldCharType="begin"/>
        </w:r>
        <w:r w:rsidR="00EA0A58">
          <w:rPr>
            <w:webHidden/>
          </w:rPr>
          <w:instrText xml:space="preserve"> PAGEREF _Toc394011075 \h </w:instrText>
        </w:r>
        <w:r>
          <w:rPr>
            <w:webHidden/>
          </w:rPr>
        </w:r>
        <w:r>
          <w:rPr>
            <w:webHidden/>
          </w:rPr>
          <w:fldChar w:fldCharType="separate"/>
        </w:r>
        <w:r w:rsidR="0085182E">
          <w:rPr>
            <w:webHidden/>
          </w:rPr>
          <w:t>5</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076" w:history="1">
        <w:r w:rsidR="00EA0A58" w:rsidRPr="009521C3">
          <w:rPr>
            <w:rStyle w:val="Hyperlink"/>
            <w:rFonts w:ascii="Arial" w:eastAsia="Century Gothic" w:hAnsi="Arial"/>
          </w:rPr>
          <w:t>2.1.4</w:t>
        </w:r>
        <w:r w:rsidR="00EA0A58">
          <w:rPr>
            <w:rFonts w:asciiTheme="minorHAnsi" w:eastAsiaTheme="minorEastAsia" w:hAnsiTheme="minorHAnsi" w:cstheme="minorBidi"/>
            <w:sz w:val="22"/>
            <w:szCs w:val="22"/>
          </w:rPr>
          <w:tab/>
        </w:r>
        <w:r w:rsidR="00EA0A58" w:rsidRPr="009521C3">
          <w:rPr>
            <w:rStyle w:val="Hyperlink"/>
            <w:rFonts w:ascii="Arial" w:eastAsia="Century Gothic" w:hAnsi="Arial"/>
          </w:rPr>
          <w:t>Removal mechanisms</w:t>
        </w:r>
        <w:r w:rsidR="00EA0A58">
          <w:rPr>
            <w:webHidden/>
          </w:rPr>
          <w:tab/>
        </w:r>
        <w:r>
          <w:rPr>
            <w:webHidden/>
          </w:rPr>
          <w:fldChar w:fldCharType="begin"/>
        </w:r>
        <w:r w:rsidR="00EA0A58">
          <w:rPr>
            <w:webHidden/>
          </w:rPr>
          <w:instrText xml:space="preserve"> PAGEREF _Toc394011076 \h </w:instrText>
        </w:r>
        <w:r>
          <w:rPr>
            <w:webHidden/>
          </w:rPr>
        </w:r>
        <w:r>
          <w:rPr>
            <w:webHidden/>
          </w:rPr>
          <w:fldChar w:fldCharType="separate"/>
        </w:r>
        <w:r w:rsidR="0085182E">
          <w:rPr>
            <w:webHidden/>
          </w:rPr>
          <w:t>7</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077" w:history="1">
        <w:r w:rsidR="00EA0A58" w:rsidRPr="009521C3">
          <w:rPr>
            <w:rStyle w:val="Hyperlink"/>
            <w:rFonts w:ascii="Arial" w:hAnsi="Arial"/>
          </w:rPr>
          <w:t>2.2</w:t>
        </w:r>
        <w:r w:rsidR="00EA0A58">
          <w:rPr>
            <w:rFonts w:asciiTheme="minorHAnsi" w:eastAsiaTheme="minorEastAsia" w:hAnsiTheme="minorHAnsi" w:cstheme="minorBidi"/>
            <w:sz w:val="22"/>
            <w:szCs w:val="22"/>
          </w:rPr>
          <w:tab/>
        </w:r>
        <w:r w:rsidR="00EA0A58" w:rsidRPr="009521C3">
          <w:rPr>
            <w:rStyle w:val="Hyperlink"/>
            <w:rFonts w:ascii="Arial" w:hAnsi="Arial"/>
          </w:rPr>
          <w:t>Methods for measuring PM</w:t>
        </w:r>
        <w:r w:rsidR="00EA0A58">
          <w:rPr>
            <w:webHidden/>
          </w:rPr>
          <w:tab/>
        </w:r>
        <w:r>
          <w:rPr>
            <w:webHidden/>
          </w:rPr>
          <w:fldChar w:fldCharType="begin"/>
        </w:r>
        <w:r w:rsidR="00EA0A58">
          <w:rPr>
            <w:webHidden/>
          </w:rPr>
          <w:instrText xml:space="preserve"> PAGEREF _Toc394011077 \h </w:instrText>
        </w:r>
        <w:r>
          <w:rPr>
            <w:webHidden/>
          </w:rPr>
        </w:r>
        <w:r>
          <w:rPr>
            <w:webHidden/>
          </w:rPr>
          <w:fldChar w:fldCharType="separate"/>
        </w:r>
        <w:r w:rsidR="0085182E">
          <w:rPr>
            <w:webHidden/>
          </w:rPr>
          <w:t>7</w:t>
        </w:r>
        <w:r>
          <w:rPr>
            <w:webHidden/>
          </w:rPr>
          <w:fldChar w:fldCharType="end"/>
        </w:r>
      </w:hyperlink>
    </w:p>
    <w:p w:rsidR="00EA0A58" w:rsidRDefault="00BF6019">
      <w:pPr>
        <w:pStyle w:val="TOC1"/>
        <w:rPr>
          <w:rFonts w:asciiTheme="minorHAnsi" w:eastAsiaTheme="minorEastAsia" w:hAnsiTheme="minorHAnsi" w:cstheme="minorBidi"/>
          <w:bCs w:val="0"/>
          <w:caps w:val="0"/>
          <w:sz w:val="22"/>
          <w:szCs w:val="22"/>
          <w:lang w:eastAsia="en-AU"/>
        </w:rPr>
      </w:pPr>
      <w:hyperlink w:anchor="_Toc394011078" w:history="1">
        <w:r w:rsidR="00EA0A58" w:rsidRPr="009521C3">
          <w:rPr>
            <w:rStyle w:val="Hyperlink"/>
            <w:rFonts w:ascii="Arial" w:hAnsi="Arial"/>
          </w:rPr>
          <w:t>3</w:t>
        </w:r>
        <w:r w:rsidR="00EA0A58">
          <w:rPr>
            <w:rFonts w:asciiTheme="minorHAnsi" w:eastAsiaTheme="minorEastAsia" w:hAnsiTheme="minorHAnsi" w:cstheme="minorBidi"/>
            <w:bCs w:val="0"/>
            <w:caps w:val="0"/>
            <w:sz w:val="22"/>
            <w:szCs w:val="22"/>
            <w:lang w:eastAsia="en-AU"/>
          </w:rPr>
          <w:tab/>
        </w:r>
        <w:r w:rsidR="00EA0A58" w:rsidRPr="009521C3">
          <w:rPr>
            <w:rStyle w:val="Hyperlink"/>
            <w:rFonts w:ascii="Arial" w:hAnsi="Arial"/>
          </w:rPr>
          <w:t>Effects and monetary costs of airborne Particulate matter</w:t>
        </w:r>
        <w:r w:rsidR="00EA0A58">
          <w:rPr>
            <w:webHidden/>
          </w:rPr>
          <w:tab/>
        </w:r>
        <w:r>
          <w:rPr>
            <w:webHidden/>
          </w:rPr>
          <w:fldChar w:fldCharType="begin"/>
        </w:r>
        <w:r w:rsidR="00EA0A58">
          <w:rPr>
            <w:webHidden/>
          </w:rPr>
          <w:instrText xml:space="preserve"> PAGEREF _Toc394011078 \h </w:instrText>
        </w:r>
        <w:r>
          <w:rPr>
            <w:webHidden/>
          </w:rPr>
        </w:r>
        <w:r>
          <w:rPr>
            <w:webHidden/>
          </w:rPr>
          <w:fldChar w:fldCharType="separate"/>
        </w:r>
        <w:r w:rsidR="0085182E">
          <w:rPr>
            <w:webHidden/>
          </w:rPr>
          <w:t>9</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079" w:history="1">
        <w:r w:rsidR="00EA0A58" w:rsidRPr="009521C3">
          <w:rPr>
            <w:rStyle w:val="Hyperlink"/>
            <w:rFonts w:ascii="Arial" w:hAnsi="Arial"/>
          </w:rPr>
          <w:t>3.1</w:t>
        </w:r>
        <w:r w:rsidR="00EA0A58">
          <w:rPr>
            <w:rFonts w:asciiTheme="minorHAnsi" w:eastAsiaTheme="minorEastAsia" w:hAnsiTheme="minorHAnsi" w:cstheme="minorBidi"/>
            <w:sz w:val="22"/>
            <w:szCs w:val="22"/>
          </w:rPr>
          <w:tab/>
        </w:r>
        <w:r w:rsidR="00EA0A58" w:rsidRPr="009521C3">
          <w:rPr>
            <w:rStyle w:val="Hyperlink"/>
            <w:rFonts w:ascii="Arial" w:hAnsi="Arial"/>
          </w:rPr>
          <w:t>Effects of PM on human health</w:t>
        </w:r>
        <w:r w:rsidR="00EA0A58">
          <w:rPr>
            <w:webHidden/>
          </w:rPr>
          <w:tab/>
        </w:r>
        <w:r>
          <w:rPr>
            <w:webHidden/>
          </w:rPr>
          <w:fldChar w:fldCharType="begin"/>
        </w:r>
        <w:r w:rsidR="00EA0A58">
          <w:rPr>
            <w:webHidden/>
          </w:rPr>
          <w:instrText xml:space="preserve"> PAGEREF _Toc394011079 \h </w:instrText>
        </w:r>
        <w:r>
          <w:rPr>
            <w:webHidden/>
          </w:rPr>
        </w:r>
        <w:r>
          <w:rPr>
            <w:webHidden/>
          </w:rPr>
          <w:fldChar w:fldCharType="separate"/>
        </w:r>
        <w:r w:rsidR="0085182E">
          <w:rPr>
            <w:webHidden/>
          </w:rPr>
          <w:t>9</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080" w:history="1">
        <w:r w:rsidR="00EA0A58" w:rsidRPr="009521C3">
          <w:rPr>
            <w:rStyle w:val="Hyperlink"/>
            <w:rFonts w:ascii="Arial" w:hAnsi="Arial"/>
          </w:rPr>
          <w:t>3.1.1</w:t>
        </w:r>
        <w:r w:rsidR="00EA0A58">
          <w:rPr>
            <w:rFonts w:asciiTheme="minorHAnsi" w:eastAsiaTheme="minorEastAsia" w:hAnsiTheme="minorHAnsi" w:cstheme="minorBidi"/>
            <w:sz w:val="22"/>
            <w:szCs w:val="22"/>
          </w:rPr>
          <w:tab/>
        </w:r>
        <w:r w:rsidR="00EA0A58" w:rsidRPr="009521C3">
          <w:rPr>
            <w:rStyle w:val="Hyperlink"/>
            <w:rFonts w:ascii="Arial" w:hAnsi="Arial"/>
          </w:rPr>
          <w:t>Overview</w:t>
        </w:r>
        <w:r w:rsidR="00EA0A58">
          <w:rPr>
            <w:webHidden/>
          </w:rPr>
          <w:tab/>
        </w:r>
        <w:r>
          <w:rPr>
            <w:webHidden/>
          </w:rPr>
          <w:fldChar w:fldCharType="begin"/>
        </w:r>
        <w:r w:rsidR="00EA0A58">
          <w:rPr>
            <w:webHidden/>
          </w:rPr>
          <w:instrText xml:space="preserve"> PAGEREF _Toc394011080 \h </w:instrText>
        </w:r>
        <w:r>
          <w:rPr>
            <w:webHidden/>
          </w:rPr>
        </w:r>
        <w:r>
          <w:rPr>
            <w:webHidden/>
          </w:rPr>
          <w:fldChar w:fldCharType="separate"/>
        </w:r>
        <w:r w:rsidR="0085182E">
          <w:rPr>
            <w:webHidden/>
          </w:rPr>
          <w:t>9</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081" w:history="1">
        <w:r w:rsidR="00EA0A58" w:rsidRPr="009521C3">
          <w:rPr>
            <w:rStyle w:val="Hyperlink"/>
            <w:rFonts w:ascii="Arial" w:hAnsi="Arial"/>
          </w:rPr>
          <w:t>3.1.2</w:t>
        </w:r>
        <w:r w:rsidR="00EA0A58">
          <w:rPr>
            <w:rFonts w:asciiTheme="minorHAnsi" w:eastAsiaTheme="minorEastAsia" w:hAnsiTheme="minorHAnsi" w:cstheme="minorBidi"/>
            <w:sz w:val="22"/>
            <w:szCs w:val="22"/>
          </w:rPr>
          <w:tab/>
        </w:r>
        <w:r w:rsidR="00EA0A58" w:rsidRPr="009521C3">
          <w:rPr>
            <w:rStyle w:val="Hyperlink"/>
            <w:rFonts w:ascii="Arial" w:hAnsi="Arial"/>
          </w:rPr>
          <w:t>Evidence for PM</w:t>
        </w:r>
        <w:r w:rsidR="00EA0A58" w:rsidRPr="009521C3">
          <w:rPr>
            <w:rStyle w:val="Hyperlink"/>
            <w:rFonts w:ascii="Arial" w:hAnsi="Arial"/>
            <w:vertAlign w:val="subscript"/>
          </w:rPr>
          <w:t>2.5</w:t>
        </w:r>
        <w:r w:rsidR="00EA0A58">
          <w:rPr>
            <w:webHidden/>
          </w:rPr>
          <w:tab/>
        </w:r>
        <w:r>
          <w:rPr>
            <w:webHidden/>
          </w:rPr>
          <w:fldChar w:fldCharType="begin"/>
        </w:r>
        <w:r w:rsidR="00EA0A58">
          <w:rPr>
            <w:webHidden/>
          </w:rPr>
          <w:instrText xml:space="preserve"> PAGEREF _Toc394011081 \h </w:instrText>
        </w:r>
        <w:r>
          <w:rPr>
            <w:webHidden/>
          </w:rPr>
        </w:r>
        <w:r>
          <w:rPr>
            <w:webHidden/>
          </w:rPr>
          <w:fldChar w:fldCharType="separate"/>
        </w:r>
        <w:r w:rsidR="0085182E">
          <w:rPr>
            <w:webHidden/>
          </w:rPr>
          <w:t>10</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082" w:history="1">
        <w:r w:rsidR="00EA0A58" w:rsidRPr="009521C3">
          <w:rPr>
            <w:rStyle w:val="Hyperlink"/>
            <w:rFonts w:ascii="Arial" w:hAnsi="Arial"/>
          </w:rPr>
          <w:t>3.1.3</w:t>
        </w:r>
        <w:r w:rsidR="00EA0A58">
          <w:rPr>
            <w:rFonts w:asciiTheme="minorHAnsi" w:eastAsiaTheme="minorEastAsia" w:hAnsiTheme="minorHAnsi" w:cstheme="minorBidi"/>
            <w:sz w:val="22"/>
            <w:szCs w:val="22"/>
          </w:rPr>
          <w:tab/>
        </w:r>
        <w:r w:rsidR="00EA0A58" w:rsidRPr="009521C3">
          <w:rPr>
            <w:rStyle w:val="Hyperlink"/>
            <w:rFonts w:ascii="Arial" w:hAnsi="Arial"/>
          </w:rPr>
          <w:t>Evidence for PM</w:t>
        </w:r>
        <w:r w:rsidR="00EA0A58" w:rsidRPr="009521C3">
          <w:rPr>
            <w:rStyle w:val="Hyperlink"/>
            <w:rFonts w:ascii="Arial" w:hAnsi="Arial"/>
            <w:vertAlign w:val="subscript"/>
          </w:rPr>
          <w:t>10</w:t>
        </w:r>
        <w:r w:rsidR="00EA0A58">
          <w:rPr>
            <w:webHidden/>
          </w:rPr>
          <w:tab/>
        </w:r>
        <w:r>
          <w:rPr>
            <w:webHidden/>
          </w:rPr>
          <w:fldChar w:fldCharType="begin"/>
        </w:r>
        <w:r w:rsidR="00EA0A58">
          <w:rPr>
            <w:webHidden/>
          </w:rPr>
          <w:instrText xml:space="preserve"> PAGEREF _Toc394011082 \h </w:instrText>
        </w:r>
        <w:r>
          <w:rPr>
            <w:webHidden/>
          </w:rPr>
        </w:r>
        <w:r>
          <w:rPr>
            <w:webHidden/>
          </w:rPr>
          <w:fldChar w:fldCharType="separate"/>
        </w:r>
        <w:r w:rsidR="0085182E">
          <w:rPr>
            <w:webHidden/>
          </w:rPr>
          <w:t>11</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083" w:history="1">
        <w:r w:rsidR="00EA0A58" w:rsidRPr="009521C3">
          <w:rPr>
            <w:rStyle w:val="Hyperlink"/>
            <w:rFonts w:ascii="Arial" w:hAnsi="Arial"/>
          </w:rPr>
          <w:t>3.1.4</w:t>
        </w:r>
        <w:r w:rsidR="00EA0A58">
          <w:rPr>
            <w:rFonts w:asciiTheme="minorHAnsi" w:eastAsiaTheme="minorEastAsia" w:hAnsiTheme="minorHAnsi" w:cstheme="minorBidi"/>
            <w:sz w:val="22"/>
            <w:szCs w:val="22"/>
          </w:rPr>
          <w:tab/>
        </w:r>
        <w:r w:rsidR="00EA0A58" w:rsidRPr="009521C3">
          <w:rPr>
            <w:rStyle w:val="Hyperlink"/>
            <w:rFonts w:ascii="Arial" w:hAnsi="Arial"/>
          </w:rPr>
          <w:t>Evidence for other PM metrics</w:t>
        </w:r>
        <w:r w:rsidR="00EA0A58">
          <w:rPr>
            <w:webHidden/>
          </w:rPr>
          <w:tab/>
        </w:r>
        <w:r>
          <w:rPr>
            <w:webHidden/>
          </w:rPr>
          <w:fldChar w:fldCharType="begin"/>
        </w:r>
        <w:r w:rsidR="00EA0A58">
          <w:rPr>
            <w:webHidden/>
          </w:rPr>
          <w:instrText xml:space="preserve"> PAGEREF _Toc394011083 \h </w:instrText>
        </w:r>
        <w:r>
          <w:rPr>
            <w:webHidden/>
          </w:rPr>
        </w:r>
        <w:r>
          <w:rPr>
            <w:webHidden/>
          </w:rPr>
          <w:fldChar w:fldCharType="separate"/>
        </w:r>
        <w:r w:rsidR="0085182E">
          <w:rPr>
            <w:webHidden/>
          </w:rPr>
          <w:t>11</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084" w:history="1">
        <w:r w:rsidR="00EA0A58" w:rsidRPr="009521C3">
          <w:rPr>
            <w:rStyle w:val="Hyperlink"/>
            <w:rFonts w:ascii="Arial" w:hAnsi="Arial"/>
          </w:rPr>
          <w:t>3.1.5</w:t>
        </w:r>
        <w:r w:rsidR="00EA0A58">
          <w:rPr>
            <w:rFonts w:asciiTheme="minorHAnsi" w:eastAsiaTheme="minorEastAsia" w:hAnsiTheme="minorHAnsi" w:cstheme="minorBidi"/>
            <w:sz w:val="22"/>
            <w:szCs w:val="22"/>
          </w:rPr>
          <w:tab/>
        </w:r>
        <w:r w:rsidR="00EA0A58" w:rsidRPr="009521C3">
          <w:rPr>
            <w:rStyle w:val="Hyperlink"/>
            <w:rFonts w:ascii="Arial" w:hAnsi="Arial"/>
          </w:rPr>
          <w:t>Linearity and thresholds</w:t>
        </w:r>
        <w:r w:rsidR="00EA0A58">
          <w:rPr>
            <w:webHidden/>
          </w:rPr>
          <w:tab/>
        </w:r>
        <w:r>
          <w:rPr>
            <w:webHidden/>
          </w:rPr>
          <w:fldChar w:fldCharType="begin"/>
        </w:r>
        <w:r w:rsidR="00EA0A58">
          <w:rPr>
            <w:webHidden/>
          </w:rPr>
          <w:instrText xml:space="preserve"> PAGEREF _Toc394011084 \h </w:instrText>
        </w:r>
        <w:r>
          <w:rPr>
            <w:webHidden/>
          </w:rPr>
        </w:r>
        <w:r>
          <w:rPr>
            <w:webHidden/>
          </w:rPr>
          <w:fldChar w:fldCharType="separate"/>
        </w:r>
        <w:r w:rsidR="0085182E">
          <w:rPr>
            <w:webHidden/>
          </w:rPr>
          <w:t>11</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085" w:history="1">
        <w:r w:rsidR="00EA0A58" w:rsidRPr="009521C3">
          <w:rPr>
            <w:rStyle w:val="Hyperlink"/>
            <w:rFonts w:ascii="Arial" w:hAnsi="Arial"/>
          </w:rPr>
          <w:t>3.1.6</w:t>
        </w:r>
        <w:r w:rsidR="00EA0A58">
          <w:rPr>
            <w:rFonts w:asciiTheme="minorHAnsi" w:eastAsiaTheme="minorEastAsia" w:hAnsiTheme="minorHAnsi" w:cstheme="minorBidi"/>
            <w:sz w:val="22"/>
            <w:szCs w:val="22"/>
          </w:rPr>
          <w:tab/>
        </w:r>
        <w:r w:rsidR="00EA0A58" w:rsidRPr="009521C3">
          <w:rPr>
            <w:rStyle w:val="Hyperlink"/>
            <w:rFonts w:ascii="Arial" w:hAnsi="Arial"/>
          </w:rPr>
          <w:t>Relevance to Australia</w:t>
        </w:r>
        <w:r w:rsidR="00EA0A58">
          <w:rPr>
            <w:webHidden/>
          </w:rPr>
          <w:tab/>
        </w:r>
        <w:r>
          <w:rPr>
            <w:webHidden/>
          </w:rPr>
          <w:fldChar w:fldCharType="begin"/>
        </w:r>
        <w:r w:rsidR="00EA0A58">
          <w:rPr>
            <w:webHidden/>
          </w:rPr>
          <w:instrText xml:space="preserve"> PAGEREF _Toc394011085 \h </w:instrText>
        </w:r>
        <w:r>
          <w:rPr>
            <w:webHidden/>
          </w:rPr>
        </w:r>
        <w:r>
          <w:rPr>
            <w:webHidden/>
          </w:rPr>
          <w:fldChar w:fldCharType="separate"/>
        </w:r>
        <w:r w:rsidR="0085182E">
          <w:rPr>
            <w:webHidden/>
          </w:rPr>
          <w:t>11</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086" w:history="1">
        <w:r w:rsidR="00EA0A58" w:rsidRPr="009521C3">
          <w:rPr>
            <w:rStyle w:val="Hyperlink"/>
            <w:rFonts w:ascii="Arial" w:hAnsi="Arial"/>
          </w:rPr>
          <w:t>3.2</w:t>
        </w:r>
        <w:r w:rsidR="00EA0A58">
          <w:rPr>
            <w:rFonts w:asciiTheme="minorHAnsi" w:eastAsiaTheme="minorEastAsia" w:hAnsiTheme="minorHAnsi" w:cstheme="minorBidi"/>
            <w:sz w:val="22"/>
            <w:szCs w:val="22"/>
          </w:rPr>
          <w:tab/>
        </w:r>
        <w:r w:rsidR="00EA0A58" w:rsidRPr="009521C3">
          <w:rPr>
            <w:rStyle w:val="Hyperlink"/>
            <w:rFonts w:ascii="Arial" w:hAnsi="Arial"/>
          </w:rPr>
          <w:t>Other effects</w:t>
        </w:r>
        <w:r w:rsidR="00EA0A58">
          <w:rPr>
            <w:webHidden/>
          </w:rPr>
          <w:tab/>
        </w:r>
        <w:r>
          <w:rPr>
            <w:webHidden/>
          </w:rPr>
          <w:fldChar w:fldCharType="begin"/>
        </w:r>
        <w:r w:rsidR="00EA0A58">
          <w:rPr>
            <w:webHidden/>
          </w:rPr>
          <w:instrText xml:space="preserve"> PAGEREF _Toc394011086 \h </w:instrText>
        </w:r>
        <w:r>
          <w:rPr>
            <w:webHidden/>
          </w:rPr>
        </w:r>
        <w:r>
          <w:rPr>
            <w:webHidden/>
          </w:rPr>
          <w:fldChar w:fldCharType="separate"/>
        </w:r>
        <w:r w:rsidR="0085182E">
          <w:rPr>
            <w:webHidden/>
          </w:rPr>
          <w:t>12</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087" w:history="1">
        <w:r w:rsidR="00EA0A58" w:rsidRPr="009521C3">
          <w:rPr>
            <w:rStyle w:val="Hyperlink"/>
            <w:rFonts w:ascii="Arial" w:hAnsi="Arial"/>
          </w:rPr>
          <w:t>3.2.1</w:t>
        </w:r>
        <w:r w:rsidR="00EA0A58">
          <w:rPr>
            <w:rFonts w:asciiTheme="minorHAnsi" w:eastAsiaTheme="minorEastAsia" w:hAnsiTheme="minorHAnsi" w:cstheme="minorBidi"/>
            <w:sz w:val="22"/>
            <w:szCs w:val="22"/>
          </w:rPr>
          <w:tab/>
        </w:r>
        <w:r w:rsidR="00EA0A58" w:rsidRPr="009521C3">
          <w:rPr>
            <w:rStyle w:val="Hyperlink"/>
            <w:rFonts w:ascii="Arial" w:hAnsi="Arial"/>
          </w:rPr>
          <w:t>Ecosystems</w:t>
        </w:r>
        <w:r w:rsidR="00EA0A58">
          <w:rPr>
            <w:webHidden/>
          </w:rPr>
          <w:tab/>
        </w:r>
        <w:r>
          <w:rPr>
            <w:webHidden/>
          </w:rPr>
          <w:fldChar w:fldCharType="begin"/>
        </w:r>
        <w:r w:rsidR="00EA0A58">
          <w:rPr>
            <w:webHidden/>
          </w:rPr>
          <w:instrText xml:space="preserve"> PAGEREF _Toc394011087 \h </w:instrText>
        </w:r>
        <w:r>
          <w:rPr>
            <w:webHidden/>
          </w:rPr>
        </w:r>
        <w:r>
          <w:rPr>
            <w:webHidden/>
          </w:rPr>
          <w:fldChar w:fldCharType="separate"/>
        </w:r>
        <w:r w:rsidR="0085182E">
          <w:rPr>
            <w:webHidden/>
          </w:rPr>
          <w:t>12</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088" w:history="1">
        <w:r w:rsidR="00EA0A58" w:rsidRPr="009521C3">
          <w:rPr>
            <w:rStyle w:val="Hyperlink"/>
            <w:rFonts w:ascii="Arial" w:hAnsi="Arial"/>
          </w:rPr>
          <w:t>3.2.2</w:t>
        </w:r>
        <w:r w:rsidR="00EA0A58">
          <w:rPr>
            <w:rFonts w:asciiTheme="minorHAnsi" w:eastAsiaTheme="minorEastAsia" w:hAnsiTheme="minorHAnsi" w:cstheme="minorBidi"/>
            <w:sz w:val="22"/>
            <w:szCs w:val="22"/>
          </w:rPr>
          <w:tab/>
        </w:r>
        <w:r w:rsidR="00EA0A58" w:rsidRPr="009521C3">
          <w:rPr>
            <w:rStyle w:val="Hyperlink"/>
            <w:rFonts w:ascii="Arial" w:hAnsi="Arial"/>
          </w:rPr>
          <w:t>PM–climate interactions</w:t>
        </w:r>
        <w:r w:rsidR="00EA0A58">
          <w:rPr>
            <w:webHidden/>
          </w:rPr>
          <w:tab/>
        </w:r>
        <w:r>
          <w:rPr>
            <w:webHidden/>
          </w:rPr>
          <w:fldChar w:fldCharType="begin"/>
        </w:r>
        <w:r w:rsidR="00EA0A58">
          <w:rPr>
            <w:webHidden/>
          </w:rPr>
          <w:instrText xml:space="preserve"> PAGEREF _Toc394011088 \h </w:instrText>
        </w:r>
        <w:r>
          <w:rPr>
            <w:webHidden/>
          </w:rPr>
        </w:r>
        <w:r>
          <w:rPr>
            <w:webHidden/>
          </w:rPr>
          <w:fldChar w:fldCharType="separate"/>
        </w:r>
        <w:r w:rsidR="0085182E">
          <w:rPr>
            <w:webHidden/>
          </w:rPr>
          <w:t>12</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089" w:history="1">
        <w:r w:rsidR="00EA0A58" w:rsidRPr="009521C3">
          <w:rPr>
            <w:rStyle w:val="Hyperlink"/>
            <w:rFonts w:ascii="Arial" w:hAnsi="Arial"/>
          </w:rPr>
          <w:t>3.2.3</w:t>
        </w:r>
        <w:r w:rsidR="00EA0A58">
          <w:rPr>
            <w:rFonts w:asciiTheme="minorHAnsi" w:eastAsiaTheme="minorEastAsia" w:hAnsiTheme="minorHAnsi" w:cstheme="minorBidi"/>
            <w:sz w:val="22"/>
            <w:szCs w:val="22"/>
          </w:rPr>
          <w:tab/>
        </w:r>
        <w:r w:rsidR="00EA0A58" w:rsidRPr="009521C3">
          <w:rPr>
            <w:rStyle w:val="Hyperlink"/>
            <w:rFonts w:ascii="Arial" w:hAnsi="Arial"/>
          </w:rPr>
          <w:t>Visibility</w:t>
        </w:r>
        <w:r w:rsidR="00EA0A58">
          <w:rPr>
            <w:webHidden/>
          </w:rPr>
          <w:tab/>
        </w:r>
        <w:r>
          <w:rPr>
            <w:webHidden/>
          </w:rPr>
          <w:fldChar w:fldCharType="begin"/>
        </w:r>
        <w:r w:rsidR="00EA0A58">
          <w:rPr>
            <w:webHidden/>
          </w:rPr>
          <w:instrText xml:space="preserve"> PAGEREF _Toc394011089 \h </w:instrText>
        </w:r>
        <w:r>
          <w:rPr>
            <w:webHidden/>
          </w:rPr>
        </w:r>
        <w:r>
          <w:rPr>
            <w:webHidden/>
          </w:rPr>
          <w:fldChar w:fldCharType="separate"/>
        </w:r>
        <w:r w:rsidR="0085182E">
          <w:rPr>
            <w:webHidden/>
          </w:rPr>
          <w:t>13</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090" w:history="1">
        <w:r w:rsidR="00EA0A58" w:rsidRPr="009521C3">
          <w:rPr>
            <w:rStyle w:val="Hyperlink"/>
            <w:rFonts w:ascii="Arial" w:hAnsi="Arial"/>
          </w:rPr>
          <w:t>3.2.4</w:t>
        </w:r>
        <w:r w:rsidR="00EA0A58">
          <w:rPr>
            <w:rFonts w:asciiTheme="minorHAnsi" w:eastAsiaTheme="minorEastAsia" w:hAnsiTheme="minorHAnsi" w:cstheme="minorBidi"/>
            <w:sz w:val="22"/>
            <w:szCs w:val="22"/>
          </w:rPr>
          <w:tab/>
        </w:r>
        <w:r w:rsidR="00EA0A58" w:rsidRPr="009521C3">
          <w:rPr>
            <w:rStyle w:val="Hyperlink"/>
            <w:rFonts w:ascii="Arial" w:hAnsi="Arial"/>
          </w:rPr>
          <w:t>Materials and cultural heritage</w:t>
        </w:r>
        <w:r w:rsidR="00EA0A58">
          <w:rPr>
            <w:webHidden/>
          </w:rPr>
          <w:tab/>
        </w:r>
        <w:r>
          <w:rPr>
            <w:webHidden/>
          </w:rPr>
          <w:fldChar w:fldCharType="begin"/>
        </w:r>
        <w:r w:rsidR="00EA0A58">
          <w:rPr>
            <w:webHidden/>
          </w:rPr>
          <w:instrText xml:space="preserve"> PAGEREF _Toc394011090 \h </w:instrText>
        </w:r>
        <w:r>
          <w:rPr>
            <w:webHidden/>
          </w:rPr>
        </w:r>
        <w:r>
          <w:rPr>
            <w:webHidden/>
          </w:rPr>
          <w:fldChar w:fldCharType="separate"/>
        </w:r>
        <w:r w:rsidR="0085182E">
          <w:rPr>
            <w:webHidden/>
          </w:rPr>
          <w:t>13</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091" w:history="1">
        <w:r w:rsidR="00EA0A58" w:rsidRPr="009521C3">
          <w:rPr>
            <w:rStyle w:val="Hyperlink"/>
            <w:rFonts w:ascii="Arial" w:hAnsi="Arial"/>
          </w:rPr>
          <w:t>3.3</w:t>
        </w:r>
        <w:r w:rsidR="00EA0A58">
          <w:rPr>
            <w:rFonts w:asciiTheme="minorHAnsi" w:eastAsiaTheme="minorEastAsia" w:hAnsiTheme="minorHAnsi" w:cstheme="minorBidi"/>
            <w:sz w:val="22"/>
            <w:szCs w:val="22"/>
          </w:rPr>
          <w:tab/>
        </w:r>
        <w:r w:rsidR="00EA0A58" w:rsidRPr="009521C3">
          <w:rPr>
            <w:rStyle w:val="Hyperlink"/>
            <w:rFonts w:ascii="Arial" w:hAnsi="Arial"/>
          </w:rPr>
          <w:t>Costs associated with airborne PM in Australia</w:t>
        </w:r>
        <w:r w:rsidR="00EA0A58">
          <w:rPr>
            <w:webHidden/>
          </w:rPr>
          <w:tab/>
        </w:r>
        <w:r>
          <w:rPr>
            <w:webHidden/>
          </w:rPr>
          <w:fldChar w:fldCharType="begin"/>
        </w:r>
        <w:r w:rsidR="00EA0A58">
          <w:rPr>
            <w:webHidden/>
          </w:rPr>
          <w:instrText xml:space="preserve"> PAGEREF _Toc394011091 \h </w:instrText>
        </w:r>
        <w:r>
          <w:rPr>
            <w:webHidden/>
          </w:rPr>
        </w:r>
        <w:r>
          <w:rPr>
            <w:webHidden/>
          </w:rPr>
          <w:fldChar w:fldCharType="separate"/>
        </w:r>
        <w:r w:rsidR="0085182E">
          <w:rPr>
            <w:webHidden/>
          </w:rPr>
          <w:t>13</w:t>
        </w:r>
        <w:r>
          <w:rPr>
            <w:webHidden/>
          </w:rPr>
          <w:fldChar w:fldCharType="end"/>
        </w:r>
      </w:hyperlink>
    </w:p>
    <w:p w:rsidR="00EA0A58" w:rsidRDefault="00BF6019">
      <w:pPr>
        <w:pStyle w:val="TOC1"/>
        <w:rPr>
          <w:rFonts w:asciiTheme="minorHAnsi" w:eastAsiaTheme="minorEastAsia" w:hAnsiTheme="minorHAnsi" w:cstheme="minorBidi"/>
          <w:bCs w:val="0"/>
          <w:caps w:val="0"/>
          <w:sz w:val="22"/>
          <w:szCs w:val="22"/>
          <w:lang w:eastAsia="en-AU"/>
        </w:rPr>
      </w:pPr>
      <w:hyperlink w:anchor="_Toc394011092" w:history="1">
        <w:r w:rsidR="00EA0A58" w:rsidRPr="009521C3">
          <w:rPr>
            <w:rStyle w:val="Hyperlink"/>
            <w:rFonts w:ascii="Arial" w:hAnsi="Arial"/>
          </w:rPr>
          <w:t>4</w:t>
        </w:r>
        <w:r w:rsidR="00EA0A58">
          <w:rPr>
            <w:rFonts w:asciiTheme="minorHAnsi" w:eastAsiaTheme="minorEastAsia" w:hAnsiTheme="minorHAnsi" w:cstheme="minorBidi"/>
            <w:bCs w:val="0"/>
            <w:caps w:val="0"/>
            <w:sz w:val="22"/>
            <w:szCs w:val="22"/>
            <w:lang w:eastAsia="en-AU"/>
          </w:rPr>
          <w:tab/>
        </w:r>
        <w:r w:rsidR="00EA0A58" w:rsidRPr="009521C3">
          <w:rPr>
            <w:rStyle w:val="Hyperlink"/>
            <w:rFonts w:ascii="Arial" w:hAnsi="Arial"/>
          </w:rPr>
          <w:t>Policy context and legislation</w:t>
        </w:r>
        <w:r w:rsidR="00EA0A58">
          <w:rPr>
            <w:webHidden/>
          </w:rPr>
          <w:tab/>
        </w:r>
        <w:r>
          <w:rPr>
            <w:webHidden/>
          </w:rPr>
          <w:fldChar w:fldCharType="begin"/>
        </w:r>
        <w:r w:rsidR="00EA0A58">
          <w:rPr>
            <w:webHidden/>
          </w:rPr>
          <w:instrText xml:space="preserve"> PAGEREF _Toc394011092 \h </w:instrText>
        </w:r>
        <w:r>
          <w:rPr>
            <w:webHidden/>
          </w:rPr>
        </w:r>
        <w:r>
          <w:rPr>
            <w:webHidden/>
          </w:rPr>
          <w:fldChar w:fldCharType="separate"/>
        </w:r>
        <w:r w:rsidR="0085182E">
          <w:rPr>
            <w:webHidden/>
          </w:rPr>
          <w:t>16</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093" w:history="1">
        <w:r w:rsidR="00EA0A58" w:rsidRPr="009521C3">
          <w:rPr>
            <w:rStyle w:val="Hyperlink"/>
            <w:rFonts w:ascii="Arial" w:hAnsi="Arial"/>
          </w:rPr>
          <w:t>4.1</w:t>
        </w:r>
        <w:r w:rsidR="00EA0A58">
          <w:rPr>
            <w:rFonts w:asciiTheme="minorHAnsi" w:eastAsiaTheme="minorEastAsia" w:hAnsiTheme="minorHAnsi" w:cstheme="minorBidi"/>
            <w:sz w:val="22"/>
            <w:szCs w:val="22"/>
          </w:rPr>
          <w:tab/>
        </w:r>
        <w:r w:rsidR="00EA0A58" w:rsidRPr="009521C3">
          <w:rPr>
            <w:rStyle w:val="Hyperlink"/>
            <w:rFonts w:ascii="Arial" w:hAnsi="Arial"/>
          </w:rPr>
          <w:t>Air quality management in Australia</w:t>
        </w:r>
        <w:r w:rsidR="00EA0A58">
          <w:rPr>
            <w:webHidden/>
          </w:rPr>
          <w:tab/>
        </w:r>
        <w:r>
          <w:rPr>
            <w:webHidden/>
          </w:rPr>
          <w:fldChar w:fldCharType="begin"/>
        </w:r>
        <w:r w:rsidR="00EA0A58">
          <w:rPr>
            <w:webHidden/>
          </w:rPr>
          <w:instrText xml:space="preserve"> PAGEREF _Toc394011093 \h </w:instrText>
        </w:r>
        <w:r>
          <w:rPr>
            <w:webHidden/>
          </w:rPr>
        </w:r>
        <w:r>
          <w:rPr>
            <w:webHidden/>
          </w:rPr>
          <w:fldChar w:fldCharType="separate"/>
        </w:r>
        <w:r w:rsidR="0085182E">
          <w:rPr>
            <w:webHidden/>
          </w:rPr>
          <w:t>16</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094" w:history="1">
        <w:r w:rsidR="00EA0A58" w:rsidRPr="009521C3">
          <w:rPr>
            <w:rStyle w:val="Hyperlink"/>
            <w:rFonts w:ascii="Arial" w:hAnsi="Arial"/>
          </w:rPr>
          <w:t>4.1.1</w:t>
        </w:r>
        <w:r w:rsidR="00EA0A58">
          <w:rPr>
            <w:rFonts w:asciiTheme="minorHAnsi" w:eastAsiaTheme="minorEastAsia" w:hAnsiTheme="minorHAnsi" w:cstheme="minorBidi"/>
            <w:sz w:val="22"/>
            <w:szCs w:val="22"/>
          </w:rPr>
          <w:tab/>
        </w:r>
        <w:r w:rsidR="00EA0A58" w:rsidRPr="009521C3">
          <w:rPr>
            <w:rStyle w:val="Hyperlink"/>
            <w:rFonts w:ascii="Arial" w:hAnsi="Arial"/>
          </w:rPr>
          <w:t>Governance</w:t>
        </w:r>
        <w:r w:rsidR="00EA0A58">
          <w:rPr>
            <w:webHidden/>
          </w:rPr>
          <w:tab/>
        </w:r>
        <w:r>
          <w:rPr>
            <w:webHidden/>
          </w:rPr>
          <w:fldChar w:fldCharType="begin"/>
        </w:r>
        <w:r w:rsidR="00EA0A58">
          <w:rPr>
            <w:webHidden/>
          </w:rPr>
          <w:instrText xml:space="preserve"> PAGEREF _Toc394011094 \h </w:instrText>
        </w:r>
        <w:r>
          <w:rPr>
            <w:webHidden/>
          </w:rPr>
        </w:r>
        <w:r>
          <w:rPr>
            <w:webHidden/>
          </w:rPr>
          <w:fldChar w:fldCharType="separate"/>
        </w:r>
        <w:r w:rsidR="0085182E">
          <w:rPr>
            <w:webHidden/>
          </w:rPr>
          <w:t>16</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095" w:history="1">
        <w:r w:rsidR="00EA0A58" w:rsidRPr="009521C3">
          <w:rPr>
            <w:rStyle w:val="Hyperlink"/>
            <w:rFonts w:ascii="Arial" w:hAnsi="Arial"/>
          </w:rPr>
          <w:t>4.1.2</w:t>
        </w:r>
        <w:r w:rsidR="00EA0A58">
          <w:rPr>
            <w:rFonts w:asciiTheme="minorHAnsi" w:eastAsiaTheme="minorEastAsia" w:hAnsiTheme="minorHAnsi" w:cstheme="minorBidi"/>
            <w:sz w:val="22"/>
            <w:szCs w:val="22"/>
          </w:rPr>
          <w:tab/>
        </w:r>
        <w:r w:rsidR="00EA0A58" w:rsidRPr="009521C3">
          <w:rPr>
            <w:rStyle w:val="Hyperlink"/>
            <w:rFonts w:ascii="Arial" w:hAnsi="Arial"/>
          </w:rPr>
          <w:t>AAQ NEPM and review</w:t>
        </w:r>
        <w:r w:rsidR="00EA0A58">
          <w:rPr>
            <w:webHidden/>
          </w:rPr>
          <w:tab/>
        </w:r>
        <w:r>
          <w:rPr>
            <w:webHidden/>
          </w:rPr>
          <w:fldChar w:fldCharType="begin"/>
        </w:r>
        <w:r w:rsidR="00EA0A58">
          <w:rPr>
            <w:webHidden/>
          </w:rPr>
          <w:instrText xml:space="preserve"> PAGEREF _Toc394011095 \h </w:instrText>
        </w:r>
        <w:r>
          <w:rPr>
            <w:webHidden/>
          </w:rPr>
        </w:r>
        <w:r>
          <w:rPr>
            <w:webHidden/>
          </w:rPr>
          <w:fldChar w:fldCharType="separate"/>
        </w:r>
        <w:r w:rsidR="0085182E">
          <w:rPr>
            <w:webHidden/>
          </w:rPr>
          <w:t>16</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096" w:history="1">
        <w:r w:rsidR="00EA0A58" w:rsidRPr="009521C3">
          <w:rPr>
            <w:rStyle w:val="Hyperlink"/>
            <w:rFonts w:ascii="Arial" w:hAnsi="Arial"/>
          </w:rPr>
          <w:t>4.1.3</w:t>
        </w:r>
        <w:r w:rsidR="00EA0A58">
          <w:rPr>
            <w:rFonts w:asciiTheme="minorHAnsi" w:eastAsiaTheme="minorEastAsia" w:hAnsiTheme="minorHAnsi" w:cstheme="minorBidi"/>
            <w:sz w:val="22"/>
            <w:szCs w:val="22"/>
          </w:rPr>
          <w:tab/>
        </w:r>
        <w:r w:rsidR="00EA0A58" w:rsidRPr="009521C3">
          <w:rPr>
            <w:rStyle w:val="Hyperlink"/>
            <w:rFonts w:ascii="Arial" w:hAnsi="Arial"/>
          </w:rPr>
          <w:t>Use of AAQ NEPM PM standards and goals by jurisdictions</w:t>
        </w:r>
        <w:r w:rsidR="00EA0A58">
          <w:rPr>
            <w:webHidden/>
          </w:rPr>
          <w:tab/>
        </w:r>
        <w:r>
          <w:rPr>
            <w:webHidden/>
          </w:rPr>
          <w:fldChar w:fldCharType="begin"/>
        </w:r>
        <w:r w:rsidR="00EA0A58">
          <w:rPr>
            <w:webHidden/>
          </w:rPr>
          <w:instrText xml:space="preserve"> PAGEREF _Toc394011096 \h </w:instrText>
        </w:r>
        <w:r>
          <w:rPr>
            <w:webHidden/>
          </w:rPr>
        </w:r>
        <w:r>
          <w:rPr>
            <w:webHidden/>
          </w:rPr>
          <w:fldChar w:fldCharType="separate"/>
        </w:r>
        <w:r w:rsidR="0085182E">
          <w:rPr>
            <w:webHidden/>
          </w:rPr>
          <w:t>19</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097" w:history="1">
        <w:r w:rsidR="00EA0A58" w:rsidRPr="009521C3">
          <w:rPr>
            <w:rStyle w:val="Hyperlink"/>
            <w:rFonts w:ascii="Arial" w:hAnsi="Arial"/>
          </w:rPr>
          <w:t>4.1.4</w:t>
        </w:r>
        <w:r w:rsidR="00EA0A58">
          <w:rPr>
            <w:rFonts w:asciiTheme="minorHAnsi" w:eastAsiaTheme="minorEastAsia" w:hAnsiTheme="minorHAnsi" w:cstheme="minorBidi"/>
            <w:sz w:val="22"/>
            <w:szCs w:val="22"/>
          </w:rPr>
          <w:tab/>
        </w:r>
        <w:r w:rsidR="00EA0A58" w:rsidRPr="009521C3">
          <w:rPr>
            <w:rStyle w:val="Hyperlink"/>
            <w:rFonts w:ascii="Arial" w:hAnsi="Arial"/>
          </w:rPr>
          <w:t>National Policy Initiatives</w:t>
        </w:r>
        <w:r w:rsidR="00EA0A58">
          <w:rPr>
            <w:webHidden/>
          </w:rPr>
          <w:tab/>
        </w:r>
        <w:r>
          <w:rPr>
            <w:webHidden/>
          </w:rPr>
          <w:fldChar w:fldCharType="begin"/>
        </w:r>
        <w:r w:rsidR="00EA0A58">
          <w:rPr>
            <w:webHidden/>
          </w:rPr>
          <w:instrText xml:space="preserve"> PAGEREF _Toc394011097 \h </w:instrText>
        </w:r>
        <w:r>
          <w:rPr>
            <w:webHidden/>
          </w:rPr>
        </w:r>
        <w:r>
          <w:rPr>
            <w:webHidden/>
          </w:rPr>
          <w:fldChar w:fldCharType="separate"/>
        </w:r>
        <w:r w:rsidR="0085182E">
          <w:rPr>
            <w:webHidden/>
          </w:rPr>
          <w:t>21</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098" w:history="1">
        <w:r w:rsidR="00EA0A58" w:rsidRPr="009521C3">
          <w:rPr>
            <w:rStyle w:val="Hyperlink"/>
            <w:rFonts w:ascii="Arial" w:hAnsi="Arial"/>
          </w:rPr>
          <w:t>4.1.5</w:t>
        </w:r>
        <w:r w:rsidR="00EA0A58">
          <w:rPr>
            <w:rFonts w:asciiTheme="minorHAnsi" w:eastAsiaTheme="minorEastAsia" w:hAnsiTheme="minorHAnsi" w:cstheme="minorBidi"/>
            <w:sz w:val="22"/>
            <w:szCs w:val="22"/>
          </w:rPr>
          <w:tab/>
        </w:r>
        <w:r w:rsidR="00EA0A58" w:rsidRPr="009521C3">
          <w:rPr>
            <w:rStyle w:val="Hyperlink"/>
            <w:rFonts w:ascii="Arial" w:hAnsi="Arial"/>
          </w:rPr>
          <w:t>Abatement initiatives</w:t>
        </w:r>
        <w:r w:rsidR="00EA0A58">
          <w:rPr>
            <w:webHidden/>
          </w:rPr>
          <w:tab/>
        </w:r>
        <w:r>
          <w:rPr>
            <w:webHidden/>
          </w:rPr>
          <w:fldChar w:fldCharType="begin"/>
        </w:r>
        <w:r w:rsidR="00EA0A58">
          <w:rPr>
            <w:webHidden/>
          </w:rPr>
          <w:instrText xml:space="preserve"> PAGEREF _Toc394011098 \h </w:instrText>
        </w:r>
        <w:r>
          <w:rPr>
            <w:webHidden/>
          </w:rPr>
        </w:r>
        <w:r>
          <w:rPr>
            <w:webHidden/>
          </w:rPr>
          <w:fldChar w:fldCharType="separate"/>
        </w:r>
        <w:r w:rsidR="0085182E">
          <w:rPr>
            <w:webHidden/>
          </w:rPr>
          <w:t>22</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099" w:history="1">
        <w:r w:rsidR="00EA0A58" w:rsidRPr="009521C3">
          <w:rPr>
            <w:rStyle w:val="Hyperlink"/>
            <w:rFonts w:ascii="Arial" w:hAnsi="Arial"/>
          </w:rPr>
          <w:t>4.2</w:t>
        </w:r>
        <w:r w:rsidR="00EA0A58">
          <w:rPr>
            <w:rFonts w:asciiTheme="minorHAnsi" w:eastAsiaTheme="minorEastAsia" w:hAnsiTheme="minorHAnsi" w:cstheme="minorBidi"/>
            <w:sz w:val="22"/>
            <w:szCs w:val="22"/>
          </w:rPr>
          <w:tab/>
        </w:r>
        <w:r w:rsidR="00EA0A58" w:rsidRPr="009521C3">
          <w:rPr>
            <w:rStyle w:val="Hyperlink"/>
            <w:rFonts w:ascii="Arial" w:hAnsi="Arial"/>
          </w:rPr>
          <w:t>International air quality standards and exposure-reduction frameworks</w:t>
        </w:r>
        <w:r w:rsidR="00EA0A58">
          <w:rPr>
            <w:webHidden/>
          </w:rPr>
          <w:tab/>
        </w:r>
        <w:r>
          <w:rPr>
            <w:webHidden/>
          </w:rPr>
          <w:fldChar w:fldCharType="begin"/>
        </w:r>
        <w:r w:rsidR="00EA0A58">
          <w:rPr>
            <w:webHidden/>
          </w:rPr>
          <w:instrText xml:space="preserve"> PAGEREF _Toc394011099 \h </w:instrText>
        </w:r>
        <w:r>
          <w:rPr>
            <w:webHidden/>
          </w:rPr>
        </w:r>
        <w:r>
          <w:rPr>
            <w:webHidden/>
          </w:rPr>
          <w:fldChar w:fldCharType="separate"/>
        </w:r>
        <w:r w:rsidR="0085182E">
          <w:rPr>
            <w:webHidden/>
          </w:rPr>
          <w:t>23</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00" w:history="1">
        <w:r w:rsidR="00EA0A58" w:rsidRPr="009521C3">
          <w:rPr>
            <w:rStyle w:val="Hyperlink"/>
            <w:rFonts w:ascii="Arial" w:hAnsi="Arial"/>
            <w:lang w:eastAsia="en-US"/>
          </w:rPr>
          <w:t>4.2.1</w:t>
        </w:r>
        <w:r w:rsidR="00EA0A58">
          <w:rPr>
            <w:rFonts w:asciiTheme="minorHAnsi" w:eastAsiaTheme="minorEastAsia" w:hAnsiTheme="minorHAnsi" w:cstheme="minorBidi"/>
            <w:sz w:val="22"/>
            <w:szCs w:val="22"/>
          </w:rPr>
          <w:tab/>
        </w:r>
        <w:r w:rsidR="00EA0A58" w:rsidRPr="009521C3">
          <w:rPr>
            <w:rStyle w:val="Hyperlink"/>
            <w:rFonts w:ascii="Arial" w:hAnsi="Arial"/>
            <w:lang w:eastAsia="en-US"/>
          </w:rPr>
          <w:t>Air quality guidelines and standards</w:t>
        </w:r>
        <w:r w:rsidR="00EA0A58">
          <w:rPr>
            <w:webHidden/>
          </w:rPr>
          <w:tab/>
        </w:r>
        <w:r>
          <w:rPr>
            <w:webHidden/>
          </w:rPr>
          <w:fldChar w:fldCharType="begin"/>
        </w:r>
        <w:r w:rsidR="00EA0A58">
          <w:rPr>
            <w:webHidden/>
          </w:rPr>
          <w:instrText xml:space="preserve"> PAGEREF _Toc394011100 \h </w:instrText>
        </w:r>
        <w:r>
          <w:rPr>
            <w:webHidden/>
          </w:rPr>
        </w:r>
        <w:r>
          <w:rPr>
            <w:webHidden/>
          </w:rPr>
          <w:fldChar w:fldCharType="separate"/>
        </w:r>
        <w:r w:rsidR="0085182E">
          <w:rPr>
            <w:webHidden/>
          </w:rPr>
          <w:t>23</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01" w:history="1">
        <w:r w:rsidR="00EA0A58" w:rsidRPr="009521C3">
          <w:rPr>
            <w:rStyle w:val="Hyperlink"/>
            <w:rFonts w:ascii="Arial" w:hAnsi="Arial"/>
            <w:lang w:eastAsia="en-US"/>
          </w:rPr>
          <w:t>4.2.2</w:t>
        </w:r>
        <w:r w:rsidR="00EA0A58">
          <w:rPr>
            <w:rFonts w:asciiTheme="minorHAnsi" w:eastAsiaTheme="minorEastAsia" w:hAnsiTheme="minorHAnsi" w:cstheme="minorBidi"/>
            <w:sz w:val="22"/>
            <w:szCs w:val="22"/>
          </w:rPr>
          <w:tab/>
        </w:r>
        <w:r w:rsidR="00EA0A58" w:rsidRPr="009521C3">
          <w:rPr>
            <w:rStyle w:val="Hyperlink"/>
            <w:rFonts w:ascii="Arial" w:hAnsi="Arial"/>
            <w:lang w:eastAsia="en-US"/>
          </w:rPr>
          <w:t>Exposure reduction</w:t>
        </w:r>
        <w:r w:rsidR="00EA0A58">
          <w:rPr>
            <w:webHidden/>
          </w:rPr>
          <w:tab/>
        </w:r>
        <w:r>
          <w:rPr>
            <w:webHidden/>
          </w:rPr>
          <w:fldChar w:fldCharType="begin"/>
        </w:r>
        <w:r w:rsidR="00EA0A58">
          <w:rPr>
            <w:webHidden/>
          </w:rPr>
          <w:instrText xml:space="preserve"> PAGEREF _Toc394011101 \h </w:instrText>
        </w:r>
        <w:r>
          <w:rPr>
            <w:webHidden/>
          </w:rPr>
        </w:r>
        <w:r>
          <w:rPr>
            <w:webHidden/>
          </w:rPr>
          <w:fldChar w:fldCharType="separate"/>
        </w:r>
        <w:r w:rsidR="0085182E">
          <w:rPr>
            <w:webHidden/>
          </w:rPr>
          <w:t>29</w:t>
        </w:r>
        <w:r>
          <w:rPr>
            <w:webHidden/>
          </w:rPr>
          <w:fldChar w:fldCharType="end"/>
        </w:r>
      </w:hyperlink>
    </w:p>
    <w:p w:rsidR="00EA0A58" w:rsidRDefault="00BF6019">
      <w:pPr>
        <w:pStyle w:val="TOC1"/>
        <w:rPr>
          <w:rFonts w:asciiTheme="minorHAnsi" w:eastAsiaTheme="minorEastAsia" w:hAnsiTheme="minorHAnsi" w:cstheme="minorBidi"/>
          <w:bCs w:val="0"/>
          <w:caps w:val="0"/>
          <w:sz w:val="22"/>
          <w:szCs w:val="22"/>
          <w:lang w:eastAsia="en-AU"/>
        </w:rPr>
      </w:pPr>
      <w:hyperlink w:anchor="_Toc394011102" w:history="1">
        <w:r w:rsidR="00EA0A58" w:rsidRPr="009521C3">
          <w:rPr>
            <w:rStyle w:val="Hyperlink"/>
            <w:rFonts w:ascii="Arial" w:hAnsi="Arial"/>
          </w:rPr>
          <w:t>5</w:t>
        </w:r>
        <w:r w:rsidR="00EA0A58">
          <w:rPr>
            <w:rFonts w:asciiTheme="minorHAnsi" w:eastAsiaTheme="minorEastAsia" w:hAnsiTheme="minorHAnsi" w:cstheme="minorBidi"/>
            <w:bCs w:val="0"/>
            <w:caps w:val="0"/>
            <w:sz w:val="22"/>
            <w:szCs w:val="22"/>
            <w:lang w:eastAsia="en-AU"/>
          </w:rPr>
          <w:tab/>
        </w:r>
        <w:r w:rsidR="00EA0A58" w:rsidRPr="009521C3">
          <w:rPr>
            <w:rStyle w:val="Hyperlink"/>
            <w:rFonts w:ascii="Arial" w:hAnsi="Arial"/>
          </w:rPr>
          <w:t>Airborne particulate matter in Australia</w:t>
        </w:r>
        <w:r w:rsidR="00EA0A58">
          <w:rPr>
            <w:webHidden/>
          </w:rPr>
          <w:tab/>
        </w:r>
        <w:r>
          <w:rPr>
            <w:webHidden/>
          </w:rPr>
          <w:fldChar w:fldCharType="begin"/>
        </w:r>
        <w:r w:rsidR="00EA0A58">
          <w:rPr>
            <w:webHidden/>
          </w:rPr>
          <w:instrText xml:space="preserve"> PAGEREF _Toc394011102 \h </w:instrText>
        </w:r>
        <w:r>
          <w:rPr>
            <w:webHidden/>
          </w:rPr>
        </w:r>
        <w:r>
          <w:rPr>
            <w:webHidden/>
          </w:rPr>
          <w:fldChar w:fldCharType="separate"/>
        </w:r>
        <w:r w:rsidR="0085182E">
          <w:rPr>
            <w:webHidden/>
          </w:rPr>
          <w:t>35</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03" w:history="1">
        <w:r w:rsidR="00EA0A58" w:rsidRPr="009521C3">
          <w:rPr>
            <w:rStyle w:val="Hyperlink"/>
            <w:rFonts w:ascii="Arial" w:hAnsi="Arial"/>
          </w:rPr>
          <w:t>5.1</w:t>
        </w:r>
        <w:r w:rsidR="00EA0A58">
          <w:rPr>
            <w:rFonts w:asciiTheme="minorHAnsi" w:eastAsiaTheme="minorEastAsia" w:hAnsiTheme="minorHAnsi" w:cstheme="minorBidi"/>
            <w:sz w:val="22"/>
            <w:szCs w:val="22"/>
          </w:rPr>
          <w:tab/>
        </w:r>
        <w:r w:rsidR="00EA0A58" w:rsidRPr="009521C3">
          <w:rPr>
            <w:rStyle w:val="Hyperlink"/>
            <w:rFonts w:ascii="Arial" w:hAnsi="Arial"/>
          </w:rPr>
          <w:t>Sources</w:t>
        </w:r>
        <w:r w:rsidR="00EA0A58">
          <w:rPr>
            <w:webHidden/>
          </w:rPr>
          <w:tab/>
        </w:r>
        <w:r>
          <w:rPr>
            <w:webHidden/>
          </w:rPr>
          <w:fldChar w:fldCharType="begin"/>
        </w:r>
        <w:r w:rsidR="00EA0A58">
          <w:rPr>
            <w:webHidden/>
          </w:rPr>
          <w:instrText xml:space="preserve"> PAGEREF _Toc394011103 \h </w:instrText>
        </w:r>
        <w:r>
          <w:rPr>
            <w:webHidden/>
          </w:rPr>
        </w:r>
        <w:r>
          <w:rPr>
            <w:webHidden/>
          </w:rPr>
          <w:fldChar w:fldCharType="separate"/>
        </w:r>
        <w:r w:rsidR="0085182E">
          <w:rPr>
            <w:webHidden/>
          </w:rPr>
          <w:t>35</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04" w:history="1">
        <w:r w:rsidR="00EA0A58" w:rsidRPr="009521C3">
          <w:rPr>
            <w:rStyle w:val="Hyperlink"/>
            <w:rFonts w:ascii="Arial" w:hAnsi="Arial"/>
          </w:rPr>
          <w:t>5.2</w:t>
        </w:r>
        <w:r w:rsidR="00EA0A58">
          <w:rPr>
            <w:rFonts w:asciiTheme="minorHAnsi" w:eastAsiaTheme="minorEastAsia" w:hAnsiTheme="minorHAnsi" w:cstheme="minorBidi"/>
            <w:sz w:val="22"/>
            <w:szCs w:val="22"/>
          </w:rPr>
          <w:tab/>
        </w:r>
        <w:r w:rsidR="00EA0A58" w:rsidRPr="009521C3">
          <w:rPr>
            <w:rStyle w:val="Hyperlink"/>
            <w:rFonts w:ascii="Arial" w:hAnsi="Arial"/>
          </w:rPr>
          <w:t>Emissions of PM</w:t>
        </w:r>
        <w:r w:rsidR="00EA0A58">
          <w:rPr>
            <w:webHidden/>
          </w:rPr>
          <w:tab/>
        </w:r>
        <w:r>
          <w:rPr>
            <w:webHidden/>
          </w:rPr>
          <w:fldChar w:fldCharType="begin"/>
        </w:r>
        <w:r w:rsidR="00EA0A58">
          <w:rPr>
            <w:webHidden/>
          </w:rPr>
          <w:instrText xml:space="preserve"> PAGEREF _Toc394011104 \h </w:instrText>
        </w:r>
        <w:r>
          <w:rPr>
            <w:webHidden/>
          </w:rPr>
        </w:r>
        <w:r>
          <w:rPr>
            <w:webHidden/>
          </w:rPr>
          <w:fldChar w:fldCharType="separate"/>
        </w:r>
        <w:r w:rsidR="0085182E">
          <w:rPr>
            <w:webHidden/>
          </w:rPr>
          <w:t>36</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05" w:history="1">
        <w:r w:rsidR="00EA0A58" w:rsidRPr="009521C3">
          <w:rPr>
            <w:rStyle w:val="Hyperlink"/>
            <w:rFonts w:ascii="Arial" w:hAnsi="Arial"/>
          </w:rPr>
          <w:t>5.2.1</w:t>
        </w:r>
        <w:r w:rsidR="00EA0A58">
          <w:rPr>
            <w:rFonts w:asciiTheme="minorHAnsi" w:eastAsiaTheme="minorEastAsia" w:hAnsiTheme="minorHAnsi" w:cstheme="minorBidi"/>
            <w:sz w:val="22"/>
            <w:szCs w:val="22"/>
          </w:rPr>
          <w:tab/>
        </w:r>
        <w:r w:rsidR="00EA0A58" w:rsidRPr="009521C3">
          <w:rPr>
            <w:rStyle w:val="Hyperlink"/>
            <w:rFonts w:ascii="Arial" w:hAnsi="Arial"/>
          </w:rPr>
          <w:t>Emissions inventories</w:t>
        </w:r>
        <w:r w:rsidR="00EA0A58">
          <w:rPr>
            <w:webHidden/>
          </w:rPr>
          <w:tab/>
        </w:r>
        <w:r>
          <w:rPr>
            <w:webHidden/>
          </w:rPr>
          <w:fldChar w:fldCharType="begin"/>
        </w:r>
        <w:r w:rsidR="00EA0A58">
          <w:rPr>
            <w:webHidden/>
          </w:rPr>
          <w:instrText xml:space="preserve"> PAGEREF _Toc394011105 \h </w:instrText>
        </w:r>
        <w:r>
          <w:rPr>
            <w:webHidden/>
          </w:rPr>
        </w:r>
        <w:r>
          <w:rPr>
            <w:webHidden/>
          </w:rPr>
          <w:fldChar w:fldCharType="separate"/>
        </w:r>
        <w:r w:rsidR="0085182E">
          <w:rPr>
            <w:webHidden/>
          </w:rPr>
          <w:t>36</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06" w:history="1">
        <w:r w:rsidR="00EA0A58" w:rsidRPr="009521C3">
          <w:rPr>
            <w:rStyle w:val="Hyperlink"/>
            <w:rFonts w:ascii="Arial" w:hAnsi="Arial"/>
          </w:rPr>
          <w:t>5.2.2</w:t>
        </w:r>
        <w:r w:rsidR="00EA0A58">
          <w:rPr>
            <w:rFonts w:asciiTheme="minorHAnsi" w:eastAsiaTheme="minorEastAsia" w:hAnsiTheme="minorHAnsi" w:cstheme="minorBidi"/>
            <w:sz w:val="22"/>
            <w:szCs w:val="22"/>
          </w:rPr>
          <w:tab/>
        </w:r>
        <w:r w:rsidR="00EA0A58" w:rsidRPr="009521C3">
          <w:rPr>
            <w:rStyle w:val="Hyperlink"/>
            <w:rFonts w:ascii="Arial" w:hAnsi="Arial"/>
          </w:rPr>
          <w:t>Emission projections</w:t>
        </w:r>
        <w:r w:rsidR="00EA0A58">
          <w:rPr>
            <w:webHidden/>
          </w:rPr>
          <w:tab/>
        </w:r>
        <w:r>
          <w:rPr>
            <w:webHidden/>
          </w:rPr>
          <w:fldChar w:fldCharType="begin"/>
        </w:r>
        <w:r w:rsidR="00EA0A58">
          <w:rPr>
            <w:webHidden/>
          </w:rPr>
          <w:instrText xml:space="preserve"> PAGEREF _Toc394011106 \h </w:instrText>
        </w:r>
        <w:r>
          <w:rPr>
            <w:webHidden/>
          </w:rPr>
        </w:r>
        <w:r>
          <w:rPr>
            <w:webHidden/>
          </w:rPr>
          <w:fldChar w:fldCharType="separate"/>
        </w:r>
        <w:r w:rsidR="0085182E">
          <w:rPr>
            <w:webHidden/>
          </w:rPr>
          <w:t>38</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07" w:history="1">
        <w:r w:rsidR="00EA0A58" w:rsidRPr="009521C3">
          <w:rPr>
            <w:rStyle w:val="Hyperlink"/>
            <w:rFonts w:ascii="Arial" w:hAnsi="Arial"/>
          </w:rPr>
          <w:t>5.3</w:t>
        </w:r>
        <w:r w:rsidR="00EA0A58">
          <w:rPr>
            <w:rFonts w:asciiTheme="minorHAnsi" w:eastAsiaTheme="minorEastAsia" w:hAnsiTheme="minorHAnsi" w:cstheme="minorBidi"/>
            <w:sz w:val="22"/>
            <w:szCs w:val="22"/>
          </w:rPr>
          <w:tab/>
        </w:r>
        <w:r w:rsidR="00EA0A58" w:rsidRPr="009521C3">
          <w:rPr>
            <w:rStyle w:val="Hyperlink"/>
            <w:rFonts w:ascii="Arial" w:hAnsi="Arial"/>
          </w:rPr>
          <w:t>Ambient PM concentrations</w:t>
        </w:r>
        <w:r w:rsidR="00EA0A58">
          <w:rPr>
            <w:webHidden/>
          </w:rPr>
          <w:tab/>
        </w:r>
        <w:r>
          <w:rPr>
            <w:webHidden/>
          </w:rPr>
          <w:fldChar w:fldCharType="begin"/>
        </w:r>
        <w:r w:rsidR="00EA0A58">
          <w:rPr>
            <w:webHidden/>
          </w:rPr>
          <w:instrText xml:space="preserve"> PAGEREF _Toc394011107 \h </w:instrText>
        </w:r>
        <w:r>
          <w:rPr>
            <w:webHidden/>
          </w:rPr>
        </w:r>
        <w:r>
          <w:rPr>
            <w:webHidden/>
          </w:rPr>
          <w:fldChar w:fldCharType="separate"/>
        </w:r>
        <w:r w:rsidR="0085182E">
          <w:rPr>
            <w:webHidden/>
          </w:rPr>
          <w:t>41</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08" w:history="1">
        <w:r w:rsidR="00EA0A58" w:rsidRPr="009521C3">
          <w:rPr>
            <w:rStyle w:val="Hyperlink"/>
            <w:rFonts w:ascii="Arial" w:hAnsi="Arial"/>
          </w:rPr>
          <w:t>5.3.1</w:t>
        </w:r>
        <w:r w:rsidR="00EA0A58">
          <w:rPr>
            <w:rFonts w:asciiTheme="minorHAnsi" w:eastAsiaTheme="minorEastAsia" w:hAnsiTheme="minorHAnsi" w:cstheme="minorBidi"/>
            <w:sz w:val="22"/>
            <w:szCs w:val="22"/>
          </w:rPr>
          <w:tab/>
        </w:r>
        <w:r w:rsidR="00EA0A58" w:rsidRPr="009521C3">
          <w:rPr>
            <w:rStyle w:val="Hyperlink"/>
            <w:rFonts w:ascii="Arial" w:hAnsi="Arial"/>
          </w:rPr>
          <w:t>Overview</w:t>
        </w:r>
        <w:r w:rsidR="00EA0A58">
          <w:rPr>
            <w:webHidden/>
          </w:rPr>
          <w:tab/>
        </w:r>
        <w:r>
          <w:rPr>
            <w:webHidden/>
          </w:rPr>
          <w:fldChar w:fldCharType="begin"/>
        </w:r>
        <w:r w:rsidR="00EA0A58">
          <w:rPr>
            <w:webHidden/>
          </w:rPr>
          <w:instrText xml:space="preserve"> PAGEREF _Toc394011108 \h </w:instrText>
        </w:r>
        <w:r>
          <w:rPr>
            <w:webHidden/>
          </w:rPr>
        </w:r>
        <w:r>
          <w:rPr>
            <w:webHidden/>
          </w:rPr>
          <w:fldChar w:fldCharType="separate"/>
        </w:r>
        <w:r w:rsidR="0085182E">
          <w:rPr>
            <w:webHidden/>
          </w:rPr>
          <w:t>41</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09" w:history="1">
        <w:r w:rsidR="00EA0A58" w:rsidRPr="009521C3">
          <w:rPr>
            <w:rStyle w:val="Hyperlink"/>
            <w:rFonts w:ascii="Arial" w:hAnsi="Arial"/>
          </w:rPr>
          <w:t>5.3.2</w:t>
        </w:r>
        <w:r w:rsidR="00EA0A58">
          <w:rPr>
            <w:rFonts w:asciiTheme="minorHAnsi" w:eastAsiaTheme="minorEastAsia" w:hAnsiTheme="minorHAnsi" w:cstheme="minorBidi"/>
            <w:sz w:val="22"/>
            <w:szCs w:val="22"/>
          </w:rPr>
          <w:tab/>
        </w:r>
        <w:r w:rsidR="00EA0A58" w:rsidRPr="009521C3">
          <w:rPr>
            <w:rStyle w:val="Hyperlink"/>
            <w:rFonts w:ascii="Arial" w:hAnsi="Arial"/>
          </w:rPr>
          <w:t>Analysis of monitoring data</w:t>
        </w:r>
        <w:r w:rsidR="00EA0A58">
          <w:rPr>
            <w:webHidden/>
          </w:rPr>
          <w:tab/>
        </w:r>
        <w:r>
          <w:rPr>
            <w:webHidden/>
          </w:rPr>
          <w:fldChar w:fldCharType="begin"/>
        </w:r>
        <w:r w:rsidR="00EA0A58">
          <w:rPr>
            <w:webHidden/>
          </w:rPr>
          <w:instrText xml:space="preserve"> PAGEREF _Toc394011109 \h </w:instrText>
        </w:r>
        <w:r>
          <w:rPr>
            <w:webHidden/>
          </w:rPr>
        </w:r>
        <w:r>
          <w:rPr>
            <w:webHidden/>
          </w:rPr>
          <w:fldChar w:fldCharType="separate"/>
        </w:r>
        <w:r w:rsidR="0085182E">
          <w:rPr>
            <w:webHidden/>
          </w:rPr>
          <w:t>42</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10" w:history="1">
        <w:r w:rsidR="00EA0A58" w:rsidRPr="009521C3">
          <w:rPr>
            <w:rStyle w:val="Hyperlink"/>
            <w:rFonts w:ascii="Arial" w:hAnsi="Arial"/>
          </w:rPr>
          <w:t>5.4</w:t>
        </w:r>
        <w:r w:rsidR="00EA0A58">
          <w:rPr>
            <w:rFonts w:asciiTheme="minorHAnsi" w:eastAsiaTheme="minorEastAsia" w:hAnsiTheme="minorHAnsi" w:cstheme="minorBidi"/>
            <w:sz w:val="22"/>
            <w:szCs w:val="22"/>
          </w:rPr>
          <w:tab/>
        </w:r>
        <w:r w:rsidR="00EA0A58" w:rsidRPr="009521C3">
          <w:rPr>
            <w:rStyle w:val="Hyperlink"/>
            <w:rFonts w:ascii="Arial" w:hAnsi="Arial"/>
          </w:rPr>
          <w:t>PM composition and source apportionment</w:t>
        </w:r>
        <w:r w:rsidR="00EA0A58">
          <w:rPr>
            <w:webHidden/>
          </w:rPr>
          <w:tab/>
        </w:r>
        <w:r>
          <w:rPr>
            <w:webHidden/>
          </w:rPr>
          <w:fldChar w:fldCharType="begin"/>
        </w:r>
        <w:r w:rsidR="00EA0A58">
          <w:rPr>
            <w:webHidden/>
          </w:rPr>
          <w:instrText xml:space="preserve"> PAGEREF _Toc394011110 \h </w:instrText>
        </w:r>
        <w:r>
          <w:rPr>
            <w:webHidden/>
          </w:rPr>
        </w:r>
        <w:r>
          <w:rPr>
            <w:webHidden/>
          </w:rPr>
          <w:fldChar w:fldCharType="separate"/>
        </w:r>
        <w:r w:rsidR="0085182E">
          <w:rPr>
            <w:webHidden/>
          </w:rPr>
          <w:t>44</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11" w:history="1">
        <w:r w:rsidR="00EA0A58" w:rsidRPr="009521C3">
          <w:rPr>
            <w:rStyle w:val="Hyperlink"/>
            <w:rFonts w:ascii="Arial" w:hAnsi="Arial"/>
          </w:rPr>
          <w:t>5.4.1</w:t>
        </w:r>
        <w:r w:rsidR="00EA0A58">
          <w:rPr>
            <w:rFonts w:asciiTheme="minorHAnsi" w:eastAsiaTheme="minorEastAsia" w:hAnsiTheme="minorHAnsi" w:cstheme="minorBidi"/>
            <w:sz w:val="22"/>
            <w:szCs w:val="22"/>
          </w:rPr>
          <w:tab/>
        </w:r>
        <w:r w:rsidR="00EA0A58" w:rsidRPr="009521C3">
          <w:rPr>
            <w:rStyle w:val="Hyperlink"/>
            <w:rFonts w:ascii="Arial" w:hAnsi="Arial"/>
          </w:rPr>
          <w:t>Methods</w:t>
        </w:r>
        <w:r w:rsidR="00EA0A58">
          <w:rPr>
            <w:webHidden/>
          </w:rPr>
          <w:tab/>
        </w:r>
        <w:r>
          <w:rPr>
            <w:webHidden/>
          </w:rPr>
          <w:fldChar w:fldCharType="begin"/>
        </w:r>
        <w:r w:rsidR="00EA0A58">
          <w:rPr>
            <w:webHidden/>
          </w:rPr>
          <w:instrText xml:space="preserve"> PAGEREF _Toc394011111 \h </w:instrText>
        </w:r>
        <w:r>
          <w:rPr>
            <w:webHidden/>
          </w:rPr>
        </w:r>
        <w:r>
          <w:rPr>
            <w:webHidden/>
          </w:rPr>
          <w:fldChar w:fldCharType="separate"/>
        </w:r>
        <w:r w:rsidR="0085182E">
          <w:rPr>
            <w:webHidden/>
          </w:rPr>
          <w:t>44</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12" w:history="1">
        <w:r w:rsidR="00EA0A58" w:rsidRPr="009521C3">
          <w:rPr>
            <w:rStyle w:val="Hyperlink"/>
            <w:rFonts w:ascii="Arial" w:hAnsi="Arial"/>
          </w:rPr>
          <w:t>5.4.2</w:t>
        </w:r>
        <w:r w:rsidR="00EA0A58">
          <w:rPr>
            <w:rFonts w:asciiTheme="minorHAnsi" w:eastAsiaTheme="minorEastAsia" w:hAnsiTheme="minorHAnsi" w:cstheme="minorBidi"/>
            <w:sz w:val="22"/>
            <w:szCs w:val="22"/>
          </w:rPr>
          <w:tab/>
        </w:r>
        <w:r w:rsidR="00EA0A58" w:rsidRPr="009521C3">
          <w:rPr>
            <w:rStyle w:val="Hyperlink"/>
            <w:rFonts w:ascii="Arial" w:hAnsi="Arial"/>
          </w:rPr>
          <w:t>Measurements by ANSTO</w:t>
        </w:r>
        <w:r w:rsidR="00EA0A58">
          <w:rPr>
            <w:webHidden/>
          </w:rPr>
          <w:tab/>
        </w:r>
        <w:r>
          <w:rPr>
            <w:webHidden/>
          </w:rPr>
          <w:fldChar w:fldCharType="begin"/>
        </w:r>
        <w:r w:rsidR="00EA0A58">
          <w:rPr>
            <w:webHidden/>
          </w:rPr>
          <w:instrText xml:space="preserve"> PAGEREF _Toc394011112 \h </w:instrText>
        </w:r>
        <w:r>
          <w:rPr>
            <w:webHidden/>
          </w:rPr>
        </w:r>
        <w:r>
          <w:rPr>
            <w:webHidden/>
          </w:rPr>
          <w:fldChar w:fldCharType="separate"/>
        </w:r>
        <w:r w:rsidR="0085182E">
          <w:rPr>
            <w:webHidden/>
          </w:rPr>
          <w:t>44</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13" w:history="1">
        <w:r w:rsidR="00EA0A58" w:rsidRPr="009521C3">
          <w:rPr>
            <w:rStyle w:val="Hyperlink"/>
            <w:rFonts w:ascii="Arial" w:hAnsi="Arial"/>
          </w:rPr>
          <w:t>5.5</w:t>
        </w:r>
        <w:r w:rsidR="00EA0A58">
          <w:rPr>
            <w:rFonts w:asciiTheme="minorHAnsi" w:eastAsiaTheme="minorEastAsia" w:hAnsiTheme="minorHAnsi" w:cstheme="minorBidi"/>
            <w:sz w:val="22"/>
            <w:szCs w:val="22"/>
          </w:rPr>
          <w:tab/>
        </w:r>
        <w:r w:rsidR="00EA0A58" w:rsidRPr="009521C3">
          <w:rPr>
            <w:rStyle w:val="Hyperlink"/>
            <w:rFonts w:ascii="Arial" w:hAnsi="Arial"/>
          </w:rPr>
          <w:t>Other studies</w:t>
        </w:r>
        <w:r w:rsidR="00EA0A58">
          <w:rPr>
            <w:webHidden/>
          </w:rPr>
          <w:tab/>
        </w:r>
        <w:r>
          <w:rPr>
            <w:webHidden/>
          </w:rPr>
          <w:fldChar w:fldCharType="begin"/>
        </w:r>
        <w:r w:rsidR="00EA0A58">
          <w:rPr>
            <w:webHidden/>
          </w:rPr>
          <w:instrText xml:space="preserve"> PAGEREF _Toc394011113 \h </w:instrText>
        </w:r>
        <w:r>
          <w:rPr>
            <w:webHidden/>
          </w:rPr>
        </w:r>
        <w:r>
          <w:rPr>
            <w:webHidden/>
          </w:rPr>
          <w:fldChar w:fldCharType="separate"/>
        </w:r>
        <w:r w:rsidR="0085182E">
          <w:rPr>
            <w:webHidden/>
          </w:rPr>
          <w:t>48</w:t>
        </w:r>
        <w:r>
          <w:rPr>
            <w:webHidden/>
          </w:rPr>
          <w:fldChar w:fldCharType="end"/>
        </w:r>
      </w:hyperlink>
    </w:p>
    <w:p w:rsidR="00EA0A58" w:rsidRDefault="00BF6019">
      <w:pPr>
        <w:pStyle w:val="TOC1"/>
        <w:rPr>
          <w:rFonts w:asciiTheme="minorHAnsi" w:eastAsiaTheme="minorEastAsia" w:hAnsiTheme="minorHAnsi" w:cstheme="minorBidi"/>
          <w:bCs w:val="0"/>
          <w:caps w:val="0"/>
          <w:sz w:val="22"/>
          <w:szCs w:val="22"/>
          <w:lang w:eastAsia="en-AU"/>
        </w:rPr>
      </w:pPr>
      <w:hyperlink w:anchor="_Toc394011114" w:history="1">
        <w:r w:rsidR="00EA0A58" w:rsidRPr="009521C3">
          <w:rPr>
            <w:rStyle w:val="Hyperlink"/>
            <w:rFonts w:ascii="Arial" w:hAnsi="Arial"/>
          </w:rPr>
          <w:t>6</w:t>
        </w:r>
        <w:r w:rsidR="00EA0A58">
          <w:rPr>
            <w:rFonts w:asciiTheme="minorHAnsi" w:eastAsiaTheme="minorEastAsia" w:hAnsiTheme="minorHAnsi" w:cstheme="minorBidi"/>
            <w:bCs w:val="0"/>
            <w:caps w:val="0"/>
            <w:sz w:val="22"/>
            <w:szCs w:val="22"/>
            <w:lang w:eastAsia="en-AU"/>
          </w:rPr>
          <w:tab/>
        </w:r>
        <w:r w:rsidR="00EA0A58" w:rsidRPr="009521C3">
          <w:rPr>
            <w:rStyle w:val="Hyperlink"/>
            <w:rFonts w:ascii="Arial" w:hAnsi="Arial"/>
          </w:rPr>
          <w:t>Statement of the problem and the case for government intervention</w:t>
        </w:r>
        <w:r w:rsidR="00EA0A58">
          <w:rPr>
            <w:webHidden/>
          </w:rPr>
          <w:tab/>
        </w:r>
        <w:r>
          <w:rPr>
            <w:webHidden/>
          </w:rPr>
          <w:fldChar w:fldCharType="begin"/>
        </w:r>
        <w:r w:rsidR="00EA0A58">
          <w:rPr>
            <w:webHidden/>
          </w:rPr>
          <w:instrText xml:space="preserve"> PAGEREF _Toc394011114 \h </w:instrText>
        </w:r>
        <w:r>
          <w:rPr>
            <w:webHidden/>
          </w:rPr>
        </w:r>
        <w:r>
          <w:rPr>
            <w:webHidden/>
          </w:rPr>
          <w:fldChar w:fldCharType="separate"/>
        </w:r>
        <w:r w:rsidR="0085182E">
          <w:rPr>
            <w:webHidden/>
          </w:rPr>
          <w:t>53</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15" w:history="1">
        <w:r w:rsidR="00EA0A58" w:rsidRPr="009521C3">
          <w:rPr>
            <w:rStyle w:val="Hyperlink"/>
            <w:rFonts w:ascii="Arial" w:hAnsi="Arial"/>
          </w:rPr>
          <w:t>6.1</w:t>
        </w:r>
        <w:r w:rsidR="00EA0A58">
          <w:rPr>
            <w:rFonts w:asciiTheme="minorHAnsi" w:eastAsiaTheme="minorEastAsia" w:hAnsiTheme="minorHAnsi" w:cstheme="minorBidi"/>
            <w:sz w:val="22"/>
            <w:szCs w:val="22"/>
          </w:rPr>
          <w:tab/>
        </w:r>
        <w:r w:rsidR="00EA0A58" w:rsidRPr="009521C3">
          <w:rPr>
            <w:rStyle w:val="Hyperlink"/>
            <w:rFonts w:ascii="Arial" w:hAnsi="Arial"/>
          </w:rPr>
          <w:t>Statement of the problem</w:t>
        </w:r>
        <w:r w:rsidR="00EA0A58">
          <w:rPr>
            <w:webHidden/>
          </w:rPr>
          <w:tab/>
        </w:r>
        <w:r>
          <w:rPr>
            <w:webHidden/>
          </w:rPr>
          <w:fldChar w:fldCharType="begin"/>
        </w:r>
        <w:r w:rsidR="00EA0A58">
          <w:rPr>
            <w:webHidden/>
          </w:rPr>
          <w:instrText xml:space="preserve"> PAGEREF _Toc394011115 \h </w:instrText>
        </w:r>
        <w:r>
          <w:rPr>
            <w:webHidden/>
          </w:rPr>
        </w:r>
        <w:r>
          <w:rPr>
            <w:webHidden/>
          </w:rPr>
          <w:fldChar w:fldCharType="separate"/>
        </w:r>
        <w:r w:rsidR="0085182E">
          <w:rPr>
            <w:webHidden/>
          </w:rPr>
          <w:t>53</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16" w:history="1">
        <w:r w:rsidR="00EA0A58" w:rsidRPr="009521C3">
          <w:rPr>
            <w:rStyle w:val="Hyperlink"/>
            <w:rFonts w:ascii="Arial" w:hAnsi="Arial"/>
          </w:rPr>
          <w:t>6.2</w:t>
        </w:r>
        <w:r w:rsidR="00EA0A58">
          <w:rPr>
            <w:rFonts w:asciiTheme="minorHAnsi" w:eastAsiaTheme="minorEastAsia" w:hAnsiTheme="minorHAnsi" w:cstheme="minorBidi"/>
            <w:sz w:val="22"/>
            <w:szCs w:val="22"/>
          </w:rPr>
          <w:tab/>
        </w:r>
        <w:r w:rsidR="00EA0A58" w:rsidRPr="009521C3">
          <w:rPr>
            <w:rStyle w:val="Hyperlink"/>
            <w:rFonts w:ascii="Arial" w:hAnsi="Arial"/>
          </w:rPr>
          <w:t>Why the AAQ NEPM PM standards need to be updated</w:t>
        </w:r>
        <w:r w:rsidR="00EA0A58">
          <w:rPr>
            <w:webHidden/>
          </w:rPr>
          <w:tab/>
        </w:r>
        <w:r>
          <w:rPr>
            <w:webHidden/>
          </w:rPr>
          <w:fldChar w:fldCharType="begin"/>
        </w:r>
        <w:r w:rsidR="00EA0A58">
          <w:rPr>
            <w:webHidden/>
          </w:rPr>
          <w:instrText xml:space="preserve"> PAGEREF _Toc394011116 \h </w:instrText>
        </w:r>
        <w:r>
          <w:rPr>
            <w:webHidden/>
          </w:rPr>
        </w:r>
        <w:r>
          <w:rPr>
            <w:webHidden/>
          </w:rPr>
          <w:fldChar w:fldCharType="separate"/>
        </w:r>
        <w:r w:rsidR="0085182E">
          <w:rPr>
            <w:webHidden/>
          </w:rPr>
          <w:t>53</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17" w:history="1">
        <w:r w:rsidR="00EA0A58" w:rsidRPr="009521C3">
          <w:rPr>
            <w:rStyle w:val="Hyperlink"/>
            <w:rFonts w:ascii="Arial" w:hAnsi="Arial"/>
          </w:rPr>
          <w:t>6.3</w:t>
        </w:r>
        <w:r w:rsidR="00EA0A58">
          <w:rPr>
            <w:rFonts w:asciiTheme="minorHAnsi" w:eastAsiaTheme="minorEastAsia" w:hAnsiTheme="minorHAnsi" w:cstheme="minorBidi"/>
            <w:sz w:val="22"/>
            <w:szCs w:val="22"/>
          </w:rPr>
          <w:tab/>
        </w:r>
        <w:r w:rsidR="00EA0A58" w:rsidRPr="009521C3">
          <w:rPr>
            <w:rStyle w:val="Hyperlink"/>
            <w:rFonts w:ascii="Arial" w:hAnsi="Arial"/>
          </w:rPr>
          <w:t>Risks of not revising the standards</w:t>
        </w:r>
        <w:r w:rsidR="00EA0A58">
          <w:rPr>
            <w:webHidden/>
          </w:rPr>
          <w:tab/>
        </w:r>
        <w:r>
          <w:rPr>
            <w:webHidden/>
          </w:rPr>
          <w:fldChar w:fldCharType="begin"/>
        </w:r>
        <w:r w:rsidR="00EA0A58">
          <w:rPr>
            <w:webHidden/>
          </w:rPr>
          <w:instrText xml:space="preserve"> PAGEREF _Toc394011117 \h </w:instrText>
        </w:r>
        <w:r>
          <w:rPr>
            <w:webHidden/>
          </w:rPr>
        </w:r>
        <w:r>
          <w:rPr>
            <w:webHidden/>
          </w:rPr>
          <w:fldChar w:fldCharType="separate"/>
        </w:r>
        <w:r w:rsidR="0085182E">
          <w:rPr>
            <w:webHidden/>
          </w:rPr>
          <w:t>54</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18" w:history="1">
        <w:r w:rsidR="00EA0A58" w:rsidRPr="009521C3">
          <w:rPr>
            <w:rStyle w:val="Hyperlink"/>
            <w:rFonts w:ascii="Arial" w:hAnsi="Arial"/>
          </w:rPr>
          <w:t>6.4</w:t>
        </w:r>
        <w:r w:rsidR="00EA0A58">
          <w:rPr>
            <w:rFonts w:asciiTheme="minorHAnsi" w:eastAsiaTheme="minorEastAsia" w:hAnsiTheme="minorHAnsi" w:cstheme="minorBidi"/>
            <w:sz w:val="22"/>
            <w:szCs w:val="22"/>
          </w:rPr>
          <w:tab/>
        </w:r>
        <w:r w:rsidR="00EA0A58" w:rsidRPr="009521C3">
          <w:rPr>
            <w:rStyle w:val="Hyperlink"/>
            <w:rFonts w:ascii="Arial" w:hAnsi="Arial"/>
          </w:rPr>
          <w:t>Rationale and objectives of government intervention</w:t>
        </w:r>
        <w:r w:rsidR="00EA0A58">
          <w:rPr>
            <w:webHidden/>
          </w:rPr>
          <w:tab/>
        </w:r>
        <w:r>
          <w:rPr>
            <w:webHidden/>
          </w:rPr>
          <w:fldChar w:fldCharType="begin"/>
        </w:r>
        <w:r w:rsidR="00EA0A58">
          <w:rPr>
            <w:webHidden/>
          </w:rPr>
          <w:instrText xml:space="preserve"> PAGEREF _Toc394011118 \h </w:instrText>
        </w:r>
        <w:r>
          <w:rPr>
            <w:webHidden/>
          </w:rPr>
        </w:r>
        <w:r>
          <w:rPr>
            <w:webHidden/>
          </w:rPr>
          <w:fldChar w:fldCharType="separate"/>
        </w:r>
        <w:r w:rsidR="0085182E">
          <w:rPr>
            <w:webHidden/>
          </w:rPr>
          <w:t>54</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19" w:history="1">
        <w:r w:rsidR="00EA0A58" w:rsidRPr="009521C3">
          <w:rPr>
            <w:rStyle w:val="Hyperlink"/>
            <w:rFonts w:ascii="Arial" w:hAnsi="Arial"/>
          </w:rPr>
          <w:t>6.5</w:t>
        </w:r>
        <w:r w:rsidR="00EA0A58">
          <w:rPr>
            <w:rFonts w:asciiTheme="minorHAnsi" w:eastAsiaTheme="minorEastAsia" w:hAnsiTheme="minorHAnsi" w:cstheme="minorBidi"/>
            <w:sz w:val="22"/>
            <w:szCs w:val="22"/>
          </w:rPr>
          <w:tab/>
        </w:r>
        <w:r w:rsidR="00EA0A58" w:rsidRPr="009521C3">
          <w:rPr>
            <w:rStyle w:val="Hyperlink"/>
            <w:rFonts w:ascii="Arial" w:hAnsi="Arial"/>
          </w:rPr>
          <w:t>Issues to be addressed in AAQ NEPM variation</w:t>
        </w:r>
        <w:r w:rsidR="00EA0A58">
          <w:rPr>
            <w:webHidden/>
          </w:rPr>
          <w:tab/>
        </w:r>
        <w:r>
          <w:rPr>
            <w:webHidden/>
          </w:rPr>
          <w:fldChar w:fldCharType="begin"/>
        </w:r>
        <w:r w:rsidR="00EA0A58">
          <w:rPr>
            <w:webHidden/>
          </w:rPr>
          <w:instrText xml:space="preserve"> PAGEREF _Toc394011119 \h </w:instrText>
        </w:r>
        <w:r>
          <w:rPr>
            <w:webHidden/>
          </w:rPr>
        </w:r>
        <w:r>
          <w:rPr>
            <w:webHidden/>
          </w:rPr>
          <w:fldChar w:fldCharType="separate"/>
        </w:r>
        <w:r w:rsidR="0085182E">
          <w:rPr>
            <w:webHidden/>
          </w:rPr>
          <w:t>55</w:t>
        </w:r>
        <w:r>
          <w:rPr>
            <w:webHidden/>
          </w:rPr>
          <w:fldChar w:fldCharType="end"/>
        </w:r>
      </w:hyperlink>
    </w:p>
    <w:p w:rsidR="00EA0A58" w:rsidRDefault="00BF6019">
      <w:pPr>
        <w:pStyle w:val="TOC1"/>
        <w:rPr>
          <w:rFonts w:asciiTheme="minorHAnsi" w:eastAsiaTheme="minorEastAsia" w:hAnsiTheme="minorHAnsi" w:cstheme="minorBidi"/>
          <w:bCs w:val="0"/>
          <w:caps w:val="0"/>
          <w:sz w:val="22"/>
          <w:szCs w:val="22"/>
          <w:lang w:eastAsia="en-AU"/>
        </w:rPr>
      </w:pPr>
      <w:hyperlink w:anchor="_Toc394011120" w:history="1">
        <w:r w:rsidR="00EA0A58" w:rsidRPr="009521C3">
          <w:rPr>
            <w:rStyle w:val="Hyperlink"/>
            <w:rFonts w:ascii="Arial" w:hAnsi="Arial"/>
          </w:rPr>
          <w:t>7</w:t>
        </w:r>
        <w:r w:rsidR="00EA0A58">
          <w:rPr>
            <w:rFonts w:asciiTheme="minorHAnsi" w:eastAsiaTheme="minorEastAsia" w:hAnsiTheme="minorHAnsi" w:cstheme="minorBidi"/>
            <w:bCs w:val="0"/>
            <w:caps w:val="0"/>
            <w:sz w:val="22"/>
            <w:szCs w:val="22"/>
            <w:lang w:eastAsia="en-AU"/>
          </w:rPr>
          <w:tab/>
        </w:r>
        <w:r w:rsidR="00EA0A58" w:rsidRPr="009521C3">
          <w:rPr>
            <w:rStyle w:val="Hyperlink"/>
            <w:rFonts w:ascii="Arial" w:hAnsi="Arial"/>
          </w:rPr>
          <w:t>Discussion of possible approaches and options</w:t>
        </w:r>
        <w:r w:rsidR="00EA0A58">
          <w:rPr>
            <w:webHidden/>
          </w:rPr>
          <w:tab/>
        </w:r>
        <w:r>
          <w:rPr>
            <w:webHidden/>
          </w:rPr>
          <w:fldChar w:fldCharType="begin"/>
        </w:r>
        <w:r w:rsidR="00EA0A58">
          <w:rPr>
            <w:webHidden/>
          </w:rPr>
          <w:instrText xml:space="preserve"> PAGEREF _Toc394011120 \h </w:instrText>
        </w:r>
        <w:r>
          <w:rPr>
            <w:webHidden/>
          </w:rPr>
        </w:r>
        <w:r>
          <w:rPr>
            <w:webHidden/>
          </w:rPr>
          <w:fldChar w:fldCharType="separate"/>
        </w:r>
        <w:r w:rsidR="0085182E">
          <w:rPr>
            <w:webHidden/>
          </w:rPr>
          <w:t>57</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21" w:history="1">
        <w:r w:rsidR="00EA0A58" w:rsidRPr="009521C3">
          <w:rPr>
            <w:rStyle w:val="Hyperlink"/>
            <w:rFonts w:ascii="Arial" w:hAnsi="Arial"/>
          </w:rPr>
          <w:t>7.1</w:t>
        </w:r>
        <w:r w:rsidR="00EA0A58">
          <w:rPr>
            <w:rFonts w:asciiTheme="minorHAnsi" w:eastAsiaTheme="minorEastAsia" w:hAnsiTheme="minorHAnsi" w:cstheme="minorBidi"/>
            <w:sz w:val="22"/>
            <w:szCs w:val="22"/>
          </w:rPr>
          <w:tab/>
        </w:r>
        <w:r w:rsidR="00EA0A58" w:rsidRPr="009521C3">
          <w:rPr>
            <w:rStyle w:val="Hyperlink"/>
            <w:rFonts w:ascii="Arial" w:hAnsi="Arial"/>
          </w:rPr>
          <w:t>General air quality management framework</w:t>
        </w:r>
        <w:r w:rsidR="00EA0A58">
          <w:rPr>
            <w:webHidden/>
          </w:rPr>
          <w:tab/>
        </w:r>
        <w:r>
          <w:rPr>
            <w:webHidden/>
          </w:rPr>
          <w:fldChar w:fldCharType="begin"/>
        </w:r>
        <w:r w:rsidR="00EA0A58">
          <w:rPr>
            <w:webHidden/>
          </w:rPr>
          <w:instrText xml:space="preserve"> PAGEREF _Toc394011121 \h </w:instrText>
        </w:r>
        <w:r>
          <w:rPr>
            <w:webHidden/>
          </w:rPr>
        </w:r>
        <w:r>
          <w:rPr>
            <w:webHidden/>
          </w:rPr>
          <w:fldChar w:fldCharType="separate"/>
        </w:r>
        <w:r w:rsidR="0085182E">
          <w:rPr>
            <w:webHidden/>
          </w:rPr>
          <w:t>57</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22" w:history="1">
        <w:r w:rsidR="00EA0A58" w:rsidRPr="009521C3">
          <w:rPr>
            <w:rStyle w:val="Hyperlink"/>
            <w:rFonts w:ascii="Arial" w:hAnsi="Arial"/>
            <w:lang w:eastAsia="en-US"/>
          </w:rPr>
          <w:t>7.1.1</w:t>
        </w:r>
        <w:r w:rsidR="00EA0A58">
          <w:rPr>
            <w:rFonts w:asciiTheme="minorHAnsi" w:eastAsiaTheme="minorEastAsia" w:hAnsiTheme="minorHAnsi" w:cstheme="minorBidi"/>
            <w:sz w:val="22"/>
            <w:szCs w:val="22"/>
          </w:rPr>
          <w:tab/>
        </w:r>
        <w:r w:rsidR="00EA0A58" w:rsidRPr="009521C3">
          <w:rPr>
            <w:rStyle w:val="Hyperlink"/>
            <w:rFonts w:ascii="Arial" w:hAnsi="Arial"/>
            <w:lang w:eastAsia="en-US"/>
          </w:rPr>
          <w:t>Variation of the Ambient Air Quality AAQ NEPM</w:t>
        </w:r>
        <w:r w:rsidR="00EA0A58">
          <w:rPr>
            <w:webHidden/>
          </w:rPr>
          <w:tab/>
        </w:r>
        <w:r>
          <w:rPr>
            <w:webHidden/>
          </w:rPr>
          <w:fldChar w:fldCharType="begin"/>
        </w:r>
        <w:r w:rsidR="00EA0A58">
          <w:rPr>
            <w:webHidden/>
          </w:rPr>
          <w:instrText xml:space="preserve"> PAGEREF _Toc394011122 \h </w:instrText>
        </w:r>
        <w:r>
          <w:rPr>
            <w:webHidden/>
          </w:rPr>
        </w:r>
        <w:r>
          <w:rPr>
            <w:webHidden/>
          </w:rPr>
          <w:fldChar w:fldCharType="separate"/>
        </w:r>
        <w:r w:rsidR="0085182E">
          <w:rPr>
            <w:webHidden/>
          </w:rPr>
          <w:t>57</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23" w:history="1">
        <w:r w:rsidR="00EA0A58" w:rsidRPr="009521C3">
          <w:rPr>
            <w:rStyle w:val="Hyperlink"/>
            <w:rFonts w:ascii="Arial" w:hAnsi="Arial"/>
          </w:rPr>
          <w:t>7.1.2</w:t>
        </w:r>
        <w:r w:rsidR="00EA0A58">
          <w:rPr>
            <w:rFonts w:asciiTheme="minorHAnsi" w:eastAsiaTheme="minorEastAsia" w:hAnsiTheme="minorHAnsi" w:cstheme="minorBidi"/>
            <w:sz w:val="22"/>
            <w:szCs w:val="22"/>
          </w:rPr>
          <w:tab/>
        </w:r>
        <w:r w:rsidR="00EA0A58" w:rsidRPr="009521C3">
          <w:rPr>
            <w:rStyle w:val="Hyperlink"/>
            <w:rFonts w:ascii="Arial" w:hAnsi="Arial"/>
          </w:rPr>
          <w:t>Commonwealth legislation</w:t>
        </w:r>
        <w:r w:rsidR="00EA0A58">
          <w:rPr>
            <w:webHidden/>
          </w:rPr>
          <w:tab/>
        </w:r>
        <w:r>
          <w:rPr>
            <w:webHidden/>
          </w:rPr>
          <w:fldChar w:fldCharType="begin"/>
        </w:r>
        <w:r w:rsidR="00EA0A58">
          <w:rPr>
            <w:webHidden/>
          </w:rPr>
          <w:instrText xml:space="preserve"> PAGEREF _Toc394011123 \h </w:instrText>
        </w:r>
        <w:r>
          <w:rPr>
            <w:webHidden/>
          </w:rPr>
        </w:r>
        <w:r>
          <w:rPr>
            <w:webHidden/>
          </w:rPr>
          <w:fldChar w:fldCharType="separate"/>
        </w:r>
        <w:r w:rsidR="0085182E">
          <w:rPr>
            <w:webHidden/>
          </w:rPr>
          <w:t>57</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24" w:history="1">
        <w:r w:rsidR="00EA0A58" w:rsidRPr="009521C3">
          <w:rPr>
            <w:rStyle w:val="Hyperlink"/>
            <w:rFonts w:ascii="Arial" w:hAnsi="Arial"/>
          </w:rPr>
          <w:t>7.1.3</w:t>
        </w:r>
        <w:r w:rsidR="00EA0A58">
          <w:rPr>
            <w:rFonts w:asciiTheme="minorHAnsi" w:eastAsiaTheme="minorEastAsia" w:hAnsiTheme="minorHAnsi" w:cstheme="minorBidi"/>
            <w:sz w:val="22"/>
            <w:szCs w:val="22"/>
          </w:rPr>
          <w:tab/>
        </w:r>
        <w:r w:rsidR="00EA0A58" w:rsidRPr="009521C3">
          <w:rPr>
            <w:rStyle w:val="Hyperlink"/>
            <w:rFonts w:ascii="Arial" w:hAnsi="Arial"/>
          </w:rPr>
          <w:t>Voluntary guidelines</w:t>
        </w:r>
        <w:r w:rsidR="00EA0A58">
          <w:rPr>
            <w:webHidden/>
          </w:rPr>
          <w:tab/>
        </w:r>
        <w:r>
          <w:rPr>
            <w:webHidden/>
          </w:rPr>
          <w:fldChar w:fldCharType="begin"/>
        </w:r>
        <w:r w:rsidR="00EA0A58">
          <w:rPr>
            <w:webHidden/>
          </w:rPr>
          <w:instrText xml:space="preserve"> PAGEREF _Toc394011124 \h </w:instrText>
        </w:r>
        <w:r>
          <w:rPr>
            <w:webHidden/>
          </w:rPr>
        </w:r>
        <w:r>
          <w:rPr>
            <w:webHidden/>
          </w:rPr>
          <w:fldChar w:fldCharType="separate"/>
        </w:r>
        <w:r w:rsidR="0085182E">
          <w:rPr>
            <w:webHidden/>
          </w:rPr>
          <w:t>58</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25" w:history="1">
        <w:r w:rsidR="00EA0A58" w:rsidRPr="009521C3">
          <w:rPr>
            <w:rStyle w:val="Hyperlink"/>
            <w:rFonts w:ascii="Arial" w:hAnsi="Arial"/>
            <w:lang w:eastAsia="en-US"/>
          </w:rPr>
          <w:t>7.1.4</w:t>
        </w:r>
        <w:r w:rsidR="00EA0A58">
          <w:rPr>
            <w:rFonts w:asciiTheme="minorHAnsi" w:eastAsiaTheme="minorEastAsia" w:hAnsiTheme="minorHAnsi" w:cstheme="minorBidi"/>
            <w:sz w:val="22"/>
            <w:szCs w:val="22"/>
          </w:rPr>
          <w:tab/>
        </w:r>
        <w:r w:rsidR="00EA0A58" w:rsidRPr="009521C3">
          <w:rPr>
            <w:rStyle w:val="Hyperlink"/>
            <w:rFonts w:ascii="Arial" w:hAnsi="Arial"/>
            <w:lang w:eastAsia="en-US"/>
          </w:rPr>
          <w:t>Inter-governmental agreement or memorandum of understanding</w:t>
        </w:r>
        <w:r w:rsidR="00EA0A58">
          <w:rPr>
            <w:webHidden/>
          </w:rPr>
          <w:tab/>
        </w:r>
        <w:r>
          <w:rPr>
            <w:webHidden/>
          </w:rPr>
          <w:fldChar w:fldCharType="begin"/>
        </w:r>
        <w:r w:rsidR="00EA0A58">
          <w:rPr>
            <w:webHidden/>
          </w:rPr>
          <w:instrText xml:space="preserve"> PAGEREF _Toc394011125 \h </w:instrText>
        </w:r>
        <w:r>
          <w:rPr>
            <w:webHidden/>
          </w:rPr>
        </w:r>
        <w:r>
          <w:rPr>
            <w:webHidden/>
          </w:rPr>
          <w:fldChar w:fldCharType="separate"/>
        </w:r>
        <w:r w:rsidR="0085182E">
          <w:rPr>
            <w:webHidden/>
          </w:rPr>
          <w:t>58</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26" w:history="1">
        <w:r w:rsidR="00EA0A58" w:rsidRPr="009521C3">
          <w:rPr>
            <w:rStyle w:val="Hyperlink"/>
            <w:rFonts w:ascii="Arial" w:hAnsi="Arial"/>
          </w:rPr>
          <w:t>7.1.5</w:t>
        </w:r>
        <w:r w:rsidR="00EA0A58">
          <w:rPr>
            <w:rFonts w:asciiTheme="minorHAnsi" w:eastAsiaTheme="minorEastAsia" w:hAnsiTheme="minorHAnsi" w:cstheme="minorBidi"/>
            <w:sz w:val="22"/>
            <w:szCs w:val="22"/>
          </w:rPr>
          <w:tab/>
        </w:r>
        <w:r w:rsidR="00EA0A58" w:rsidRPr="009521C3">
          <w:rPr>
            <w:rStyle w:val="Hyperlink"/>
            <w:rFonts w:ascii="Arial" w:hAnsi="Arial"/>
          </w:rPr>
          <w:t>No change to the current framework</w:t>
        </w:r>
        <w:r w:rsidR="00EA0A58">
          <w:rPr>
            <w:webHidden/>
          </w:rPr>
          <w:tab/>
        </w:r>
        <w:r>
          <w:rPr>
            <w:webHidden/>
          </w:rPr>
          <w:fldChar w:fldCharType="begin"/>
        </w:r>
        <w:r w:rsidR="00EA0A58">
          <w:rPr>
            <w:webHidden/>
          </w:rPr>
          <w:instrText xml:space="preserve"> PAGEREF _Toc394011126 \h </w:instrText>
        </w:r>
        <w:r>
          <w:rPr>
            <w:webHidden/>
          </w:rPr>
        </w:r>
        <w:r>
          <w:rPr>
            <w:webHidden/>
          </w:rPr>
          <w:fldChar w:fldCharType="separate"/>
        </w:r>
        <w:r w:rsidR="0085182E">
          <w:rPr>
            <w:webHidden/>
          </w:rPr>
          <w:t>58</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27" w:history="1">
        <w:r w:rsidR="00EA0A58" w:rsidRPr="009521C3">
          <w:rPr>
            <w:rStyle w:val="Hyperlink"/>
            <w:rFonts w:ascii="Arial" w:hAnsi="Arial"/>
            <w:lang w:eastAsia="en-US"/>
          </w:rPr>
          <w:t>7.2</w:t>
        </w:r>
        <w:r w:rsidR="00EA0A58">
          <w:rPr>
            <w:rFonts w:asciiTheme="minorHAnsi" w:eastAsiaTheme="minorEastAsia" w:hAnsiTheme="minorHAnsi" w:cstheme="minorBidi"/>
            <w:sz w:val="22"/>
            <w:szCs w:val="22"/>
          </w:rPr>
          <w:tab/>
        </w:r>
        <w:r w:rsidR="00EA0A58" w:rsidRPr="009521C3">
          <w:rPr>
            <w:rStyle w:val="Hyperlink"/>
            <w:rFonts w:ascii="Arial" w:hAnsi="Arial"/>
          </w:rPr>
          <w:t>Status of air quality standards</w:t>
        </w:r>
        <w:r w:rsidR="00EA0A58">
          <w:rPr>
            <w:webHidden/>
          </w:rPr>
          <w:tab/>
        </w:r>
        <w:r>
          <w:rPr>
            <w:webHidden/>
          </w:rPr>
          <w:fldChar w:fldCharType="begin"/>
        </w:r>
        <w:r w:rsidR="00EA0A58">
          <w:rPr>
            <w:webHidden/>
          </w:rPr>
          <w:instrText xml:space="preserve"> PAGEREF _Toc394011127 \h </w:instrText>
        </w:r>
        <w:r>
          <w:rPr>
            <w:webHidden/>
          </w:rPr>
        </w:r>
        <w:r>
          <w:rPr>
            <w:webHidden/>
          </w:rPr>
          <w:fldChar w:fldCharType="separate"/>
        </w:r>
        <w:r w:rsidR="0085182E">
          <w:rPr>
            <w:webHidden/>
          </w:rPr>
          <w:t>59</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28" w:history="1">
        <w:r w:rsidR="00EA0A58" w:rsidRPr="009521C3">
          <w:rPr>
            <w:rStyle w:val="Hyperlink"/>
            <w:rFonts w:ascii="Arial" w:hAnsi="Arial"/>
          </w:rPr>
          <w:t>7.3</w:t>
        </w:r>
        <w:r w:rsidR="00EA0A58">
          <w:rPr>
            <w:rFonts w:asciiTheme="minorHAnsi" w:eastAsiaTheme="minorEastAsia" w:hAnsiTheme="minorHAnsi" w:cstheme="minorBidi"/>
            <w:sz w:val="22"/>
            <w:szCs w:val="22"/>
          </w:rPr>
          <w:tab/>
        </w:r>
        <w:r w:rsidR="00EA0A58" w:rsidRPr="009521C3">
          <w:rPr>
            <w:rStyle w:val="Hyperlink"/>
            <w:rFonts w:ascii="Arial" w:hAnsi="Arial"/>
          </w:rPr>
          <w:t>PM metrics and averaging periods</w:t>
        </w:r>
        <w:r w:rsidR="00EA0A58">
          <w:rPr>
            <w:webHidden/>
          </w:rPr>
          <w:tab/>
        </w:r>
        <w:r>
          <w:rPr>
            <w:webHidden/>
          </w:rPr>
          <w:fldChar w:fldCharType="begin"/>
        </w:r>
        <w:r w:rsidR="00EA0A58">
          <w:rPr>
            <w:webHidden/>
          </w:rPr>
          <w:instrText xml:space="preserve"> PAGEREF _Toc394011128 \h </w:instrText>
        </w:r>
        <w:r>
          <w:rPr>
            <w:webHidden/>
          </w:rPr>
        </w:r>
        <w:r>
          <w:rPr>
            <w:webHidden/>
          </w:rPr>
          <w:fldChar w:fldCharType="separate"/>
        </w:r>
        <w:r w:rsidR="0085182E">
          <w:rPr>
            <w:webHidden/>
          </w:rPr>
          <w:t>59</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29" w:history="1">
        <w:r w:rsidR="00EA0A58" w:rsidRPr="009521C3">
          <w:rPr>
            <w:rStyle w:val="Hyperlink"/>
            <w:rFonts w:ascii="Arial" w:hAnsi="Arial"/>
          </w:rPr>
          <w:t>7.4</w:t>
        </w:r>
        <w:r w:rsidR="00EA0A58">
          <w:rPr>
            <w:rFonts w:asciiTheme="minorHAnsi" w:eastAsiaTheme="minorEastAsia" w:hAnsiTheme="minorHAnsi" w:cstheme="minorBidi"/>
            <w:sz w:val="22"/>
            <w:szCs w:val="22"/>
          </w:rPr>
          <w:tab/>
        </w:r>
        <w:r w:rsidR="00EA0A58" w:rsidRPr="009521C3">
          <w:rPr>
            <w:rStyle w:val="Hyperlink"/>
            <w:rFonts w:ascii="Arial" w:hAnsi="Arial"/>
          </w:rPr>
          <w:t>Numerical values of standards</w:t>
        </w:r>
        <w:r w:rsidR="00EA0A58">
          <w:rPr>
            <w:webHidden/>
          </w:rPr>
          <w:tab/>
        </w:r>
        <w:r>
          <w:rPr>
            <w:webHidden/>
          </w:rPr>
          <w:fldChar w:fldCharType="begin"/>
        </w:r>
        <w:r w:rsidR="00EA0A58">
          <w:rPr>
            <w:webHidden/>
          </w:rPr>
          <w:instrText xml:space="preserve"> PAGEREF _Toc394011129 \h </w:instrText>
        </w:r>
        <w:r>
          <w:rPr>
            <w:webHidden/>
          </w:rPr>
        </w:r>
        <w:r>
          <w:rPr>
            <w:webHidden/>
          </w:rPr>
          <w:fldChar w:fldCharType="separate"/>
        </w:r>
        <w:r w:rsidR="0085182E">
          <w:rPr>
            <w:webHidden/>
          </w:rPr>
          <w:t>59</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30" w:history="1">
        <w:r w:rsidR="00EA0A58" w:rsidRPr="009521C3">
          <w:rPr>
            <w:rStyle w:val="Hyperlink"/>
            <w:rFonts w:ascii="Arial" w:hAnsi="Arial"/>
          </w:rPr>
          <w:t>7.5</w:t>
        </w:r>
        <w:r w:rsidR="00EA0A58">
          <w:rPr>
            <w:rFonts w:asciiTheme="minorHAnsi" w:eastAsiaTheme="minorEastAsia" w:hAnsiTheme="minorHAnsi" w:cstheme="minorBidi"/>
            <w:sz w:val="22"/>
            <w:szCs w:val="22"/>
          </w:rPr>
          <w:tab/>
        </w:r>
        <w:r w:rsidR="00EA0A58" w:rsidRPr="009521C3">
          <w:rPr>
            <w:rStyle w:val="Hyperlink"/>
            <w:rFonts w:ascii="Arial" w:hAnsi="Arial"/>
          </w:rPr>
          <w:t>Form of the 24-hour PM standards</w:t>
        </w:r>
        <w:r w:rsidR="00EA0A58">
          <w:rPr>
            <w:webHidden/>
          </w:rPr>
          <w:tab/>
        </w:r>
        <w:r>
          <w:rPr>
            <w:webHidden/>
          </w:rPr>
          <w:fldChar w:fldCharType="begin"/>
        </w:r>
        <w:r w:rsidR="00EA0A58">
          <w:rPr>
            <w:webHidden/>
          </w:rPr>
          <w:instrText xml:space="preserve"> PAGEREF _Toc394011130 \h </w:instrText>
        </w:r>
        <w:r>
          <w:rPr>
            <w:webHidden/>
          </w:rPr>
        </w:r>
        <w:r>
          <w:rPr>
            <w:webHidden/>
          </w:rPr>
          <w:fldChar w:fldCharType="separate"/>
        </w:r>
        <w:r w:rsidR="0085182E">
          <w:rPr>
            <w:webHidden/>
          </w:rPr>
          <w:t>60</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31" w:history="1">
        <w:r w:rsidR="00EA0A58" w:rsidRPr="009521C3">
          <w:rPr>
            <w:rStyle w:val="Hyperlink"/>
            <w:rFonts w:ascii="Arial" w:hAnsi="Arial"/>
          </w:rPr>
          <w:t>7.5.1</w:t>
        </w:r>
        <w:r w:rsidR="00EA0A58">
          <w:rPr>
            <w:rFonts w:asciiTheme="minorHAnsi" w:eastAsiaTheme="minorEastAsia" w:hAnsiTheme="minorHAnsi" w:cstheme="minorBidi"/>
            <w:sz w:val="22"/>
            <w:szCs w:val="22"/>
          </w:rPr>
          <w:tab/>
        </w:r>
        <w:r w:rsidR="00EA0A58" w:rsidRPr="009521C3">
          <w:rPr>
            <w:rStyle w:val="Hyperlink"/>
            <w:rFonts w:ascii="Arial" w:hAnsi="Arial"/>
          </w:rPr>
          <w:t>Background</w:t>
        </w:r>
        <w:r w:rsidR="00EA0A58">
          <w:rPr>
            <w:webHidden/>
          </w:rPr>
          <w:tab/>
        </w:r>
        <w:r>
          <w:rPr>
            <w:webHidden/>
          </w:rPr>
          <w:fldChar w:fldCharType="begin"/>
        </w:r>
        <w:r w:rsidR="00EA0A58">
          <w:rPr>
            <w:webHidden/>
          </w:rPr>
          <w:instrText xml:space="preserve"> PAGEREF _Toc394011131 \h </w:instrText>
        </w:r>
        <w:r>
          <w:rPr>
            <w:webHidden/>
          </w:rPr>
        </w:r>
        <w:r>
          <w:rPr>
            <w:webHidden/>
          </w:rPr>
          <w:fldChar w:fldCharType="separate"/>
        </w:r>
        <w:r w:rsidR="0085182E">
          <w:rPr>
            <w:webHidden/>
          </w:rPr>
          <w:t>60</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32" w:history="1">
        <w:r w:rsidR="00EA0A58" w:rsidRPr="009521C3">
          <w:rPr>
            <w:rStyle w:val="Hyperlink"/>
            <w:rFonts w:ascii="Arial" w:hAnsi="Arial"/>
          </w:rPr>
          <w:t>7.5.2</w:t>
        </w:r>
        <w:r w:rsidR="00EA0A58">
          <w:rPr>
            <w:rFonts w:asciiTheme="minorHAnsi" w:eastAsiaTheme="minorEastAsia" w:hAnsiTheme="minorHAnsi" w:cstheme="minorBidi"/>
            <w:sz w:val="22"/>
            <w:szCs w:val="22"/>
          </w:rPr>
          <w:tab/>
        </w:r>
        <w:r w:rsidR="00EA0A58" w:rsidRPr="009521C3">
          <w:rPr>
            <w:rStyle w:val="Hyperlink"/>
            <w:rFonts w:ascii="Arial" w:hAnsi="Arial"/>
          </w:rPr>
          <w:t>Alternative forms</w:t>
        </w:r>
        <w:r w:rsidR="00EA0A58">
          <w:rPr>
            <w:webHidden/>
          </w:rPr>
          <w:tab/>
        </w:r>
        <w:r>
          <w:rPr>
            <w:webHidden/>
          </w:rPr>
          <w:fldChar w:fldCharType="begin"/>
        </w:r>
        <w:r w:rsidR="00EA0A58">
          <w:rPr>
            <w:webHidden/>
          </w:rPr>
          <w:instrText xml:space="preserve"> PAGEREF _Toc394011132 \h </w:instrText>
        </w:r>
        <w:r>
          <w:rPr>
            <w:webHidden/>
          </w:rPr>
        </w:r>
        <w:r>
          <w:rPr>
            <w:webHidden/>
          </w:rPr>
          <w:fldChar w:fldCharType="separate"/>
        </w:r>
        <w:r w:rsidR="0085182E">
          <w:rPr>
            <w:webHidden/>
          </w:rPr>
          <w:t>61</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33" w:history="1">
        <w:r w:rsidR="00EA0A58" w:rsidRPr="009521C3">
          <w:rPr>
            <w:rStyle w:val="Hyperlink"/>
            <w:rFonts w:ascii="Arial" w:hAnsi="Arial"/>
          </w:rPr>
          <w:t>7.5.3</w:t>
        </w:r>
        <w:r w:rsidR="00EA0A58">
          <w:rPr>
            <w:rFonts w:asciiTheme="minorHAnsi" w:eastAsiaTheme="minorEastAsia" w:hAnsiTheme="minorHAnsi" w:cstheme="minorBidi"/>
            <w:sz w:val="22"/>
            <w:szCs w:val="22"/>
          </w:rPr>
          <w:tab/>
        </w:r>
        <w:r w:rsidR="00EA0A58" w:rsidRPr="009521C3">
          <w:rPr>
            <w:rStyle w:val="Hyperlink"/>
            <w:rFonts w:ascii="Arial" w:hAnsi="Arial"/>
          </w:rPr>
          <w:t>Summary of options for the form of the 24-hour standards</w:t>
        </w:r>
        <w:r w:rsidR="00EA0A58">
          <w:rPr>
            <w:webHidden/>
          </w:rPr>
          <w:tab/>
        </w:r>
        <w:r>
          <w:rPr>
            <w:webHidden/>
          </w:rPr>
          <w:fldChar w:fldCharType="begin"/>
        </w:r>
        <w:r w:rsidR="00EA0A58">
          <w:rPr>
            <w:webHidden/>
          </w:rPr>
          <w:instrText xml:space="preserve"> PAGEREF _Toc394011133 \h </w:instrText>
        </w:r>
        <w:r>
          <w:rPr>
            <w:webHidden/>
          </w:rPr>
        </w:r>
        <w:r>
          <w:rPr>
            <w:webHidden/>
          </w:rPr>
          <w:fldChar w:fldCharType="separate"/>
        </w:r>
        <w:r w:rsidR="0085182E">
          <w:rPr>
            <w:webHidden/>
          </w:rPr>
          <w:t>63</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34" w:history="1">
        <w:r w:rsidR="00EA0A58" w:rsidRPr="009521C3">
          <w:rPr>
            <w:rStyle w:val="Hyperlink"/>
            <w:rFonts w:ascii="Arial" w:hAnsi="Arial"/>
          </w:rPr>
          <w:t>7.6</w:t>
        </w:r>
        <w:r w:rsidR="00EA0A58">
          <w:rPr>
            <w:rFonts w:asciiTheme="minorHAnsi" w:eastAsiaTheme="minorEastAsia" w:hAnsiTheme="minorHAnsi" w:cstheme="minorBidi"/>
            <w:sz w:val="22"/>
            <w:szCs w:val="22"/>
          </w:rPr>
          <w:tab/>
        </w:r>
        <w:r w:rsidR="00EA0A58" w:rsidRPr="009521C3">
          <w:rPr>
            <w:rStyle w:val="Hyperlink"/>
            <w:rFonts w:ascii="Arial" w:hAnsi="Arial"/>
          </w:rPr>
          <w:t>Applicability of standards</w:t>
        </w:r>
        <w:r w:rsidR="00EA0A58">
          <w:rPr>
            <w:webHidden/>
          </w:rPr>
          <w:tab/>
        </w:r>
        <w:r>
          <w:rPr>
            <w:webHidden/>
          </w:rPr>
          <w:fldChar w:fldCharType="begin"/>
        </w:r>
        <w:r w:rsidR="00EA0A58">
          <w:rPr>
            <w:webHidden/>
          </w:rPr>
          <w:instrText xml:space="preserve"> PAGEREF _Toc394011134 \h </w:instrText>
        </w:r>
        <w:r>
          <w:rPr>
            <w:webHidden/>
          </w:rPr>
        </w:r>
        <w:r>
          <w:rPr>
            <w:webHidden/>
          </w:rPr>
          <w:fldChar w:fldCharType="separate"/>
        </w:r>
        <w:r w:rsidR="0085182E">
          <w:rPr>
            <w:webHidden/>
          </w:rPr>
          <w:t>63</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35" w:history="1">
        <w:r w:rsidR="00EA0A58" w:rsidRPr="009521C3">
          <w:rPr>
            <w:rStyle w:val="Hyperlink"/>
            <w:rFonts w:ascii="Arial" w:hAnsi="Arial"/>
          </w:rPr>
          <w:t>7.7</w:t>
        </w:r>
        <w:r w:rsidR="00EA0A58">
          <w:rPr>
            <w:rFonts w:asciiTheme="minorHAnsi" w:eastAsiaTheme="minorEastAsia" w:hAnsiTheme="minorHAnsi" w:cstheme="minorBidi"/>
            <w:sz w:val="22"/>
            <w:szCs w:val="22"/>
          </w:rPr>
          <w:tab/>
        </w:r>
        <w:r w:rsidR="00EA0A58" w:rsidRPr="009521C3">
          <w:rPr>
            <w:rStyle w:val="Hyperlink"/>
            <w:rFonts w:ascii="Arial" w:hAnsi="Arial"/>
          </w:rPr>
          <w:t>Exposure-reduction framework</w:t>
        </w:r>
        <w:r w:rsidR="00EA0A58">
          <w:rPr>
            <w:webHidden/>
          </w:rPr>
          <w:tab/>
        </w:r>
        <w:r>
          <w:rPr>
            <w:webHidden/>
          </w:rPr>
          <w:fldChar w:fldCharType="begin"/>
        </w:r>
        <w:r w:rsidR="00EA0A58">
          <w:rPr>
            <w:webHidden/>
          </w:rPr>
          <w:instrText xml:space="preserve"> PAGEREF _Toc394011135 \h </w:instrText>
        </w:r>
        <w:r>
          <w:rPr>
            <w:webHidden/>
          </w:rPr>
        </w:r>
        <w:r>
          <w:rPr>
            <w:webHidden/>
          </w:rPr>
          <w:fldChar w:fldCharType="separate"/>
        </w:r>
        <w:r w:rsidR="0085182E">
          <w:rPr>
            <w:webHidden/>
          </w:rPr>
          <w:t>63</w:t>
        </w:r>
        <w:r>
          <w:rPr>
            <w:webHidden/>
          </w:rPr>
          <w:fldChar w:fldCharType="end"/>
        </w:r>
      </w:hyperlink>
    </w:p>
    <w:p w:rsidR="00EA0A58" w:rsidRDefault="00BF6019">
      <w:pPr>
        <w:pStyle w:val="TOC1"/>
        <w:rPr>
          <w:rFonts w:asciiTheme="minorHAnsi" w:eastAsiaTheme="minorEastAsia" w:hAnsiTheme="minorHAnsi" w:cstheme="minorBidi"/>
          <w:bCs w:val="0"/>
          <w:caps w:val="0"/>
          <w:sz w:val="22"/>
          <w:szCs w:val="22"/>
          <w:lang w:eastAsia="en-AU"/>
        </w:rPr>
      </w:pPr>
      <w:hyperlink w:anchor="_Toc394011136" w:history="1">
        <w:r w:rsidR="00EA0A58" w:rsidRPr="009521C3">
          <w:rPr>
            <w:rStyle w:val="Hyperlink"/>
            <w:rFonts w:ascii="Arial" w:hAnsi="Arial"/>
          </w:rPr>
          <w:t>8</w:t>
        </w:r>
        <w:r w:rsidR="00EA0A58">
          <w:rPr>
            <w:rFonts w:asciiTheme="minorHAnsi" w:eastAsiaTheme="minorEastAsia" w:hAnsiTheme="minorHAnsi" w:cstheme="minorBidi"/>
            <w:bCs w:val="0"/>
            <w:caps w:val="0"/>
            <w:sz w:val="22"/>
            <w:szCs w:val="22"/>
            <w:lang w:eastAsia="en-AU"/>
          </w:rPr>
          <w:tab/>
        </w:r>
        <w:r w:rsidR="00EA0A58" w:rsidRPr="009521C3">
          <w:rPr>
            <w:rStyle w:val="Hyperlink"/>
            <w:rFonts w:ascii="Arial" w:hAnsi="Arial"/>
          </w:rPr>
          <w:t>Impact analysis</w:t>
        </w:r>
        <w:r w:rsidR="00EA0A58">
          <w:rPr>
            <w:webHidden/>
          </w:rPr>
          <w:tab/>
        </w:r>
        <w:r>
          <w:rPr>
            <w:webHidden/>
          </w:rPr>
          <w:fldChar w:fldCharType="begin"/>
        </w:r>
        <w:r w:rsidR="00EA0A58">
          <w:rPr>
            <w:webHidden/>
          </w:rPr>
          <w:instrText xml:space="preserve"> PAGEREF _Toc394011136 \h </w:instrText>
        </w:r>
        <w:r>
          <w:rPr>
            <w:webHidden/>
          </w:rPr>
        </w:r>
        <w:r>
          <w:rPr>
            <w:webHidden/>
          </w:rPr>
          <w:fldChar w:fldCharType="separate"/>
        </w:r>
        <w:r w:rsidR="0085182E">
          <w:rPr>
            <w:webHidden/>
          </w:rPr>
          <w:t>67</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37" w:history="1">
        <w:r w:rsidR="00EA0A58" w:rsidRPr="009521C3">
          <w:rPr>
            <w:rStyle w:val="Hyperlink"/>
            <w:rFonts w:ascii="Arial" w:hAnsi="Arial"/>
          </w:rPr>
          <w:t>8.1</w:t>
        </w:r>
        <w:r w:rsidR="00EA0A58">
          <w:rPr>
            <w:rFonts w:asciiTheme="minorHAnsi" w:eastAsiaTheme="minorEastAsia" w:hAnsiTheme="minorHAnsi" w:cstheme="minorBidi"/>
            <w:sz w:val="22"/>
            <w:szCs w:val="22"/>
          </w:rPr>
          <w:tab/>
        </w:r>
        <w:r w:rsidR="00EA0A58" w:rsidRPr="009521C3">
          <w:rPr>
            <w:rStyle w:val="Hyperlink"/>
            <w:rFonts w:ascii="Arial" w:hAnsi="Arial"/>
          </w:rPr>
          <w:t>Overview</w:t>
        </w:r>
        <w:r w:rsidR="00EA0A58">
          <w:rPr>
            <w:webHidden/>
          </w:rPr>
          <w:tab/>
        </w:r>
        <w:r>
          <w:rPr>
            <w:webHidden/>
          </w:rPr>
          <w:fldChar w:fldCharType="begin"/>
        </w:r>
        <w:r w:rsidR="00EA0A58">
          <w:rPr>
            <w:webHidden/>
          </w:rPr>
          <w:instrText xml:space="preserve"> PAGEREF _Toc394011137 \h </w:instrText>
        </w:r>
        <w:r>
          <w:rPr>
            <w:webHidden/>
          </w:rPr>
        </w:r>
        <w:r>
          <w:rPr>
            <w:webHidden/>
          </w:rPr>
          <w:fldChar w:fldCharType="separate"/>
        </w:r>
        <w:r w:rsidR="0085182E">
          <w:rPr>
            <w:webHidden/>
          </w:rPr>
          <w:t>67</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38" w:history="1">
        <w:r w:rsidR="00EA0A58" w:rsidRPr="009521C3">
          <w:rPr>
            <w:rStyle w:val="Hyperlink"/>
            <w:rFonts w:ascii="Arial" w:hAnsi="Arial"/>
          </w:rPr>
          <w:t>8.2</w:t>
        </w:r>
        <w:r w:rsidR="00EA0A58">
          <w:rPr>
            <w:rFonts w:asciiTheme="minorHAnsi" w:eastAsiaTheme="minorEastAsia" w:hAnsiTheme="minorHAnsi" w:cstheme="minorBidi"/>
            <w:sz w:val="22"/>
            <w:szCs w:val="22"/>
          </w:rPr>
          <w:tab/>
        </w:r>
        <w:r w:rsidR="00EA0A58" w:rsidRPr="009521C3">
          <w:rPr>
            <w:rStyle w:val="Hyperlink"/>
            <w:rFonts w:ascii="Arial" w:hAnsi="Arial"/>
          </w:rPr>
          <w:t>Analysis of monitoring data and achievability of the standards</w:t>
        </w:r>
        <w:r w:rsidR="00EA0A58">
          <w:rPr>
            <w:webHidden/>
          </w:rPr>
          <w:tab/>
        </w:r>
        <w:r>
          <w:rPr>
            <w:webHidden/>
          </w:rPr>
          <w:fldChar w:fldCharType="begin"/>
        </w:r>
        <w:r w:rsidR="00EA0A58">
          <w:rPr>
            <w:webHidden/>
          </w:rPr>
          <w:instrText xml:space="preserve"> PAGEREF _Toc394011138 \h </w:instrText>
        </w:r>
        <w:r>
          <w:rPr>
            <w:webHidden/>
          </w:rPr>
        </w:r>
        <w:r>
          <w:rPr>
            <w:webHidden/>
          </w:rPr>
          <w:fldChar w:fldCharType="separate"/>
        </w:r>
        <w:r w:rsidR="0085182E">
          <w:rPr>
            <w:webHidden/>
          </w:rPr>
          <w:t>67</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39" w:history="1">
        <w:r w:rsidR="00EA0A58" w:rsidRPr="009521C3">
          <w:rPr>
            <w:rStyle w:val="Hyperlink"/>
            <w:rFonts w:ascii="Arial" w:hAnsi="Arial"/>
          </w:rPr>
          <w:t>8.2.1</w:t>
        </w:r>
        <w:r w:rsidR="00EA0A58">
          <w:rPr>
            <w:rFonts w:asciiTheme="minorHAnsi" w:eastAsiaTheme="minorEastAsia" w:hAnsiTheme="minorHAnsi" w:cstheme="minorBidi"/>
            <w:sz w:val="22"/>
            <w:szCs w:val="22"/>
          </w:rPr>
          <w:tab/>
        </w:r>
        <w:r w:rsidR="00EA0A58" w:rsidRPr="009521C3">
          <w:rPr>
            <w:rStyle w:val="Hyperlink"/>
            <w:rFonts w:ascii="Arial" w:hAnsi="Arial"/>
          </w:rPr>
          <w:t>PM</w:t>
        </w:r>
        <w:r w:rsidR="00EA0A58" w:rsidRPr="009521C3">
          <w:rPr>
            <w:rStyle w:val="Hyperlink"/>
            <w:rFonts w:ascii="Arial" w:hAnsi="Arial"/>
            <w:vertAlign w:val="subscript"/>
          </w:rPr>
          <w:t>10</w:t>
        </w:r>
        <w:r w:rsidR="00EA0A58" w:rsidRPr="009521C3">
          <w:rPr>
            <w:rStyle w:val="Hyperlink"/>
            <w:rFonts w:ascii="Arial" w:hAnsi="Arial"/>
          </w:rPr>
          <w:t xml:space="preserve"> annual mean standard</w:t>
        </w:r>
        <w:r w:rsidR="00EA0A58">
          <w:rPr>
            <w:webHidden/>
          </w:rPr>
          <w:tab/>
        </w:r>
        <w:r>
          <w:rPr>
            <w:webHidden/>
          </w:rPr>
          <w:fldChar w:fldCharType="begin"/>
        </w:r>
        <w:r w:rsidR="00EA0A58">
          <w:rPr>
            <w:webHidden/>
          </w:rPr>
          <w:instrText xml:space="preserve"> PAGEREF _Toc394011139 \h </w:instrText>
        </w:r>
        <w:r>
          <w:rPr>
            <w:webHidden/>
          </w:rPr>
        </w:r>
        <w:r>
          <w:rPr>
            <w:webHidden/>
          </w:rPr>
          <w:fldChar w:fldCharType="separate"/>
        </w:r>
        <w:r w:rsidR="0085182E">
          <w:rPr>
            <w:webHidden/>
          </w:rPr>
          <w:t>67</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40" w:history="1">
        <w:r w:rsidR="00EA0A58" w:rsidRPr="009521C3">
          <w:rPr>
            <w:rStyle w:val="Hyperlink"/>
            <w:rFonts w:ascii="Arial" w:hAnsi="Arial"/>
          </w:rPr>
          <w:t>8.2.2</w:t>
        </w:r>
        <w:r w:rsidR="00EA0A58">
          <w:rPr>
            <w:rFonts w:asciiTheme="minorHAnsi" w:eastAsiaTheme="minorEastAsia" w:hAnsiTheme="minorHAnsi" w:cstheme="minorBidi"/>
            <w:sz w:val="22"/>
            <w:szCs w:val="22"/>
          </w:rPr>
          <w:tab/>
        </w:r>
        <w:r w:rsidR="00EA0A58" w:rsidRPr="009521C3">
          <w:rPr>
            <w:rStyle w:val="Hyperlink"/>
            <w:rFonts w:ascii="Arial" w:hAnsi="Arial"/>
          </w:rPr>
          <w:t>PM</w:t>
        </w:r>
        <w:r w:rsidR="00EA0A58" w:rsidRPr="009521C3">
          <w:rPr>
            <w:rStyle w:val="Hyperlink"/>
            <w:rFonts w:ascii="Arial" w:hAnsi="Arial"/>
            <w:vertAlign w:val="subscript"/>
          </w:rPr>
          <w:t>10</w:t>
        </w:r>
        <w:r w:rsidR="00EA0A58" w:rsidRPr="009521C3">
          <w:rPr>
            <w:rStyle w:val="Hyperlink"/>
            <w:rFonts w:ascii="Arial" w:hAnsi="Arial"/>
          </w:rPr>
          <w:t xml:space="preserve"> 24-hour mean standard</w:t>
        </w:r>
        <w:r w:rsidR="00EA0A58">
          <w:rPr>
            <w:webHidden/>
          </w:rPr>
          <w:tab/>
        </w:r>
        <w:r>
          <w:rPr>
            <w:webHidden/>
          </w:rPr>
          <w:fldChar w:fldCharType="begin"/>
        </w:r>
        <w:r w:rsidR="00EA0A58">
          <w:rPr>
            <w:webHidden/>
          </w:rPr>
          <w:instrText xml:space="preserve"> PAGEREF _Toc394011140 \h </w:instrText>
        </w:r>
        <w:r>
          <w:rPr>
            <w:webHidden/>
          </w:rPr>
        </w:r>
        <w:r>
          <w:rPr>
            <w:webHidden/>
          </w:rPr>
          <w:fldChar w:fldCharType="separate"/>
        </w:r>
        <w:r w:rsidR="0085182E">
          <w:rPr>
            <w:webHidden/>
          </w:rPr>
          <w:t>68</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41" w:history="1">
        <w:r w:rsidR="00EA0A58" w:rsidRPr="009521C3">
          <w:rPr>
            <w:rStyle w:val="Hyperlink"/>
            <w:rFonts w:ascii="Arial" w:hAnsi="Arial"/>
          </w:rPr>
          <w:t>8.2.3</w:t>
        </w:r>
        <w:r w:rsidR="00EA0A58">
          <w:rPr>
            <w:rFonts w:asciiTheme="minorHAnsi" w:eastAsiaTheme="minorEastAsia" w:hAnsiTheme="minorHAnsi" w:cstheme="minorBidi"/>
            <w:sz w:val="22"/>
            <w:szCs w:val="22"/>
          </w:rPr>
          <w:tab/>
        </w:r>
        <w:r w:rsidR="00EA0A58" w:rsidRPr="009521C3">
          <w:rPr>
            <w:rStyle w:val="Hyperlink"/>
            <w:rFonts w:ascii="Arial" w:hAnsi="Arial"/>
          </w:rPr>
          <w:t>PM</w:t>
        </w:r>
        <w:r w:rsidR="00EA0A58" w:rsidRPr="009521C3">
          <w:rPr>
            <w:rStyle w:val="Hyperlink"/>
            <w:rFonts w:ascii="Arial" w:hAnsi="Arial"/>
            <w:vertAlign w:val="subscript"/>
          </w:rPr>
          <w:t>2.5</w:t>
        </w:r>
        <w:r w:rsidR="00EA0A58" w:rsidRPr="009521C3">
          <w:rPr>
            <w:rStyle w:val="Hyperlink"/>
            <w:rFonts w:ascii="Arial" w:hAnsi="Arial"/>
          </w:rPr>
          <w:t xml:space="preserve"> annual mean standard</w:t>
        </w:r>
        <w:r w:rsidR="00EA0A58">
          <w:rPr>
            <w:webHidden/>
          </w:rPr>
          <w:tab/>
        </w:r>
        <w:r>
          <w:rPr>
            <w:webHidden/>
          </w:rPr>
          <w:fldChar w:fldCharType="begin"/>
        </w:r>
        <w:r w:rsidR="00EA0A58">
          <w:rPr>
            <w:webHidden/>
          </w:rPr>
          <w:instrText xml:space="preserve"> PAGEREF _Toc394011141 \h </w:instrText>
        </w:r>
        <w:r>
          <w:rPr>
            <w:webHidden/>
          </w:rPr>
        </w:r>
        <w:r>
          <w:rPr>
            <w:webHidden/>
          </w:rPr>
          <w:fldChar w:fldCharType="separate"/>
        </w:r>
        <w:r w:rsidR="0085182E">
          <w:rPr>
            <w:webHidden/>
          </w:rPr>
          <w:t>69</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42" w:history="1">
        <w:r w:rsidR="00EA0A58" w:rsidRPr="009521C3">
          <w:rPr>
            <w:rStyle w:val="Hyperlink"/>
            <w:rFonts w:ascii="Arial" w:hAnsi="Arial"/>
          </w:rPr>
          <w:t>8.2.4</w:t>
        </w:r>
        <w:r w:rsidR="00EA0A58">
          <w:rPr>
            <w:rFonts w:asciiTheme="minorHAnsi" w:eastAsiaTheme="minorEastAsia" w:hAnsiTheme="minorHAnsi" w:cstheme="minorBidi"/>
            <w:sz w:val="22"/>
            <w:szCs w:val="22"/>
          </w:rPr>
          <w:tab/>
        </w:r>
        <w:r w:rsidR="00EA0A58" w:rsidRPr="009521C3">
          <w:rPr>
            <w:rStyle w:val="Hyperlink"/>
            <w:rFonts w:ascii="Arial" w:hAnsi="Arial"/>
          </w:rPr>
          <w:t>PM</w:t>
        </w:r>
        <w:r w:rsidR="00EA0A58" w:rsidRPr="009521C3">
          <w:rPr>
            <w:rStyle w:val="Hyperlink"/>
            <w:rFonts w:ascii="Arial" w:hAnsi="Arial"/>
            <w:vertAlign w:val="subscript"/>
          </w:rPr>
          <w:t>2.5</w:t>
        </w:r>
        <w:r w:rsidR="00EA0A58" w:rsidRPr="009521C3">
          <w:rPr>
            <w:rStyle w:val="Hyperlink"/>
            <w:rFonts w:ascii="Arial" w:hAnsi="Arial"/>
          </w:rPr>
          <w:t xml:space="preserve"> 24-hour mean standard</w:t>
        </w:r>
        <w:r w:rsidR="00EA0A58">
          <w:rPr>
            <w:webHidden/>
          </w:rPr>
          <w:tab/>
        </w:r>
        <w:r>
          <w:rPr>
            <w:webHidden/>
          </w:rPr>
          <w:fldChar w:fldCharType="begin"/>
        </w:r>
        <w:r w:rsidR="00EA0A58">
          <w:rPr>
            <w:webHidden/>
          </w:rPr>
          <w:instrText xml:space="preserve"> PAGEREF _Toc394011142 \h </w:instrText>
        </w:r>
        <w:r>
          <w:rPr>
            <w:webHidden/>
          </w:rPr>
        </w:r>
        <w:r>
          <w:rPr>
            <w:webHidden/>
          </w:rPr>
          <w:fldChar w:fldCharType="separate"/>
        </w:r>
        <w:r w:rsidR="0085182E">
          <w:rPr>
            <w:webHidden/>
          </w:rPr>
          <w:t>70</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43" w:history="1">
        <w:r w:rsidR="00EA0A58" w:rsidRPr="009521C3">
          <w:rPr>
            <w:rStyle w:val="Hyperlink"/>
            <w:rFonts w:ascii="Arial" w:hAnsi="Arial"/>
          </w:rPr>
          <w:t>8.2.5</w:t>
        </w:r>
        <w:r w:rsidR="00EA0A58">
          <w:rPr>
            <w:rFonts w:asciiTheme="minorHAnsi" w:eastAsiaTheme="minorEastAsia" w:hAnsiTheme="minorHAnsi" w:cstheme="minorBidi"/>
            <w:sz w:val="22"/>
            <w:szCs w:val="22"/>
          </w:rPr>
          <w:tab/>
        </w:r>
        <w:r w:rsidR="00EA0A58" w:rsidRPr="009521C3">
          <w:rPr>
            <w:rStyle w:val="Hyperlink"/>
            <w:rFonts w:ascii="Arial" w:hAnsi="Arial"/>
          </w:rPr>
          <w:t>Form of 24-hour standards</w:t>
        </w:r>
        <w:r w:rsidR="00EA0A58">
          <w:rPr>
            <w:webHidden/>
          </w:rPr>
          <w:tab/>
        </w:r>
        <w:r>
          <w:rPr>
            <w:webHidden/>
          </w:rPr>
          <w:fldChar w:fldCharType="begin"/>
        </w:r>
        <w:r w:rsidR="00EA0A58">
          <w:rPr>
            <w:webHidden/>
          </w:rPr>
          <w:instrText xml:space="preserve"> PAGEREF _Toc394011143 \h </w:instrText>
        </w:r>
        <w:r>
          <w:rPr>
            <w:webHidden/>
          </w:rPr>
        </w:r>
        <w:r>
          <w:rPr>
            <w:webHidden/>
          </w:rPr>
          <w:fldChar w:fldCharType="separate"/>
        </w:r>
        <w:r w:rsidR="0085182E">
          <w:rPr>
            <w:webHidden/>
          </w:rPr>
          <w:t>71</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44" w:history="1">
        <w:r w:rsidR="00EA0A58" w:rsidRPr="009521C3">
          <w:rPr>
            <w:rStyle w:val="Hyperlink"/>
            <w:rFonts w:ascii="Arial" w:hAnsi="Arial"/>
          </w:rPr>
          <w:t>8.2.6</w:t>
        </w:r>
        <w:r w:rsidR="00EA0A58">
          <w:rPr>
            <w:rFonts w:asciiTheme="minorHAnsi" w:eastAsiaTheme="minorEastAsia" w:hAnsiTheme="minorHAnsi" w:cstheme="minorBidi"/>
            <w:sz w:val="22"/>
            <w:szCs w:val="22"/>
          </w:rPr>
          <w:tab/>
        </w:r>
        <w:r w:rsidR="00EA0A58" w:rsidRPr="009521C3">
          <w:rPr>
            <w:rStyle w:val="Hyperlink"/>
            <w:rFonts w:ascii="Arial" w:hAnsi="Arial"/>
          </w:rPr>
          <w:t>Comparison between PM</w:t>
        </w:r>
        <w:r w:rsidR="00EA0A58" w:rsidRPr="009521C3">
          <w:rPr>
            <w:rStyle w:val="Hyperlink"/>
            <w:rFonts w:ascii="Arial" w:hAnsi="Arial"/>
            <w:vertAlign w:val="subscript"/>
          </w:rPr>
          <w:t>10</w:t>
        </w:r>
        <w:r w:rsidR="00EA0A58" w:rsidRPr="009521C3">
          <w:rPr>
            <w:rStyle w:val="Hyperlink"/>
            <w:rFonts w:ascii="Arial" w:hAnsi="Arial"/>
          </w:rPr>
          <w:t xml:space="preserve"> and PM</w:t>
        </w:r>
        <w:r w:rsidR="00EA0A58" w:rsidRPr="009521C3">
          <w:rPr>
            <w:rStyle w:val="Hyperlink"/>
            <w:rFonts w:ascii="Arial" w:hAnsi="Arial"/>
            <w:vertAlign w:val="subscript"/>
          </w:rPr>
          <w:t>2.5</w:t>
        </w:r>
        <w:r w:rsidR="00EA0A58" w:rsidRPr="009521C3">
          <w:rPr>
            <w:rStyle w:val="Hyperlink"/>
            <w:rFonts w:ascii="Arial" w:hAnsi="Arial"/>
          </w:rPr>
          <w:t xml:space="preserve"> standards</w:t>
        </w:r>
        <w:r w:rsidR="00EA0A58">
          <w:rPr>
            <w:webHidden/>
          </w:rPr>
          <w:tab/>
        </w:r>
        <w:r>
          <w:rPr>
            <w:webHidden/>
          </w:rPr>
          <w:fldChar w:fldCharType="begin"/>
        </w:r>
        <w:r w:rsidR="00EA0A58">
          <w:rPr>
            <w:webHidden/>
          </w:rPr>
          <w:instrText xml:space="preserve"> PAGEREF _Toc394011144 \h </w:instrText>
        </w:r>
        <w:r>
          <w:rPr>
            <w:webHidden/>
          </w:rPr>
        </w:r>
        <w:r>
          <w:rPr>
            <w:webHidden/>
          </w:rPr>
          <w:fldChar w:fldCharType="separate"/>
        </w:r>
        <w:r w:rsidR="0085182E">
          <w:rPr>
            <w:webHidden/>
          </w:rPr>
          <w:t>74</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45" w:history="1">
        <w:r w:rsidR="00EA0A58" w:rsidRPr="009521C3">
          <w:rPr>
            <w:rStyle w:val="Hyperlink"/>
            <w:rFonts w:ascii="Arial" w:hAnsi="Arial"/>
          </w:rPr>
          <w:t>8.3</w:t>
        </w:r>
        <w:r w:rsidR="00EA0A58">
          <w:rPr>
            <w:rFonts w:asciiTheme="minorHAnsi" w:eastAsiaTheme="minorEastAsia" w:hAnsiTheme="minorHAnsi" w:cstheme="minorBidi"/>
            <w:sz w:val="22"/>
            <w:szCs w:val="22"/>
          </w:rPr>
          <w:tab/>
        </w:r>
        <w:r w:rsidR="00EA0A58" w:rsidRPr="009521C3">
          <w:rPr>
            <w:rStyle w:val="Hyperlink"/>
            <w:rFonts w:ascii="Arial" w:hAnsi="Arial"/>
          </w:rPr>
          <w:t>HRA project</w:t>
        </w:r>
        <w:r w:rsidR="00EA0A58">
          <w:rPr>
            <w:webHidden/>
          </w:rPr>
          <w:tab/>
        </w:r>
        <w:r>
          <w:rPr>
            <w:webHidden/>
          </w:rPr>
          <w:fldChar w:fldCharType="begin"/>
        </w:r>
        <w:r w:rsidR="00EA0A58">
          <w:rPr>
            <w:webHidden/>
          </w:rPr>
          <w:instrText xml:space="preserve"> PAGEREF _Toc394011145 \h </w:instrText>
        </w:r>
        <w:r>
          <w:rPr>
            <w:webHidden/>
          </w:rPr>
        </w:r>
        <w:r>
          <w:rPr>
            <w:webHidden/>
          </w:rPr>
          <w:fldChar w:fldCharType="separate"/>
        </w:r>
        <w:r w:rsidR="0085182E">
          <w:rPr>
            <w:webHidden/>
          </w:rPr>
          <w:t>77</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46" w:history="1">
        <w:r w:rsidR="00EA0A58" w:rsidRPr="009521C3">
          <w:rPr>
            <w:rStyle w:val="Hyperlink"/>
            <w:rFonts w:ascii="Arial" w:hAnsi="Arial"/>
          </w:rPr>
          <w:t>8.3.1</w:t>
        </w:r>
        <w:r w:rsidR="00EA0A58">
          <w:rPr>
            <w:rFonts w:asciiTheme="minorHAnsi" w:eastAsiaTheme="minorEastAsia" w:hAnsiTheme="minorHAnsi" w:cstheme="minorBidi"/>
            <w:sz w:val="22"/>
            <w:szCs w:val="22"/>
          </w:rPr>
          <w:tab/>
        </w:r>
        <w:r w:rsidR="00EA0A58" w:rsidRPr="009521C3">
          <w:rPr>
            <w:rStyle w:val="Hyperlink"/>
            <w:rFonts w:ascii="Arial" w:hAnsi="Arial"/>
          </w:rPr>
          <w:t>Approach</w:t>
        </w:r>
        <w:r w:rsidR="00EA0A58">
          <w:rPr>
            <w:webHidden/>
          </w:rPr>
          <w:tab/>
        </w:r>
        <w:r>
          <w:rPr>
            <w:webHidden/>
          </w:rPr>
          <w:fldChar w:fldCharType="begin"/>
        </w:r>
        <w:r w:rsidR="00EA0A58">
          <w:rPr>
            <w:webHidden/>
          </w:rPr>
          <w:instrText xml:space="preserve"> PAGEREF _Toc394011146 \h </w:instrText>
        </w:r>
        <w:r>
          <w:rPr>
            <w:webHidden/>
          </w:rPr>
        </w:r>
        <w:r>
          <w:rPr>
            <w:webHidden/>
          </w:rPr>
          <w:fldChar w:fldCharType="separate"/>
        </w:r>
        <w:r w:rsidR="0085182E">
          <w:rPr>
            <w:webHidden/>
          </w:rPr>
          <w:t>77</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47" w:history="1">
        <w:r w:rsidR="00EA0A58" w:rsidRPr="009521C3">
          <w:rPr>
            <w:rStyle w:val="Hyperlink"/>
            <w:rFonts w:ascii="Arial" w:hAnsi="Arial"/>
          </w:rPr>
          <w:t>8.3.2</w:t>
        </w:r>
        <w:r w:rsidR="00EA0A58">
          <w:rPr>
            <w:rFonts w:asciiTheme="minorHAnsi" w:eastAsiaTheme="minorEastAsia" w:hAnsiTheme="minorHAnsi" w:cstheme="minorBidi"/>
            <w:sz w:val="22"/>
            <w:szCs w:val="22"/>
          </w:rPr>
          <w:tab/>
        </w:r>
        <w:r w:rsidR="00EA0A58" w:rsidRPr="009521C3">
          <w:rPr>
            <w:rStyle w:val="Hyperlink"/>
            <w:rFonts w:ascii="Arial" w:hAnsi="Arial"/>
          </w:rPr>
          <w:t>Results</w:t>
        </w:r>
        <w:r w:rsidR="00EA0A58">
          <w:rPr>
            <w:webHidden/>
          </w:rPr>
          <w:tab/>
        </w:r>
        <w:r>
          <w:rPr>
            <w:webHidden/>
          </w:rPr>
          <w:fldChar w:fldCharType="begin"/>
        </w:r>
        <w:r w:rsidR="00EA0A58">
          <w:rPr>
            <w:webHidden/>
          </w:rPr>
          <w:instrText xml:space="preserve"> PAGEREF _Toc394011147 \h </w:instrText>
        </w:r>
        <w:r>
          <w:rPr>
            <w:webHidden/>
          </w:rPr>
        </w:r>
        <w:r>
          <w:rPr>
            <w:webHidden/>
          </w:rPr>
          <w:fldChar w:fldCharType="separate"/>
        </w:r>
        <w:r w:rsidR="0085182E">
          <w:rPr>
            <w:webHidden/>
          </w:rPr>
          <w:t>78</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48" w:history="1">
        <w:r w:rsidR="00EA0A58" w:rsidRPr="009521C3">
          <w:rPr>
            <w:rStyle w:val="Hyperlink"/>
            <w:rFonts w:ascii="Arial" w:hAnsi="Arial"/>
          </w:rPr>
          <w:t>8.4</w:t>
        </w:r>
        <w:r w:rsidR="00EA0A58">
          <w:rPr>
            <w:rFonts w:asciiTheme="minorHAnsi" w:eastAsiaTheme="minorEastAsia" w:hAnsiTheme="minorHAnsi" w:cstheme="minorBidi"/>
            <w:sz w:val="22"/>
            <w:szCs w:val="22"/>
          </w:rPr>
          <w:tab/>
        </w:r>
        <w:r w:rsidR="00EA0A58" w:rsidRPr="009521C3">
          <w:rPr>
            <w:rStyle w:val="Hyperlink"/>
            <w:rFonts w:ascii="Arial" w:hAnsi="Arial"/>
          </w:rPr>
          <w:t>Economic Analysis</w:t>
        </w:r>
        <w:r w:rsidR="00EA0A58">
          <w:rPr>
            <w:webHidden/>
          </w:rPr>
          <w:tab/>
        </w:r>
        <w:r>
          <w:rPr>
            <w:webHidden/>
          </w:rPr>
          <w:fldChar w:fldCharType="begin"/>
        </w:r>
        <w:r w:rsidR="00EA0A58">
          <w:rPr>
            <w:webHidden/>
          </w:rPr>
          <w:instrText xml:space="preserve"> PAGEREF _Toc394011148 \h </w:instrText>
        </w:r>
        <w:r>
          <w:rPr>
            <w:webHidden/>
          </w:rPr>
        </w:r>
        <w:r>
          <w:rPr>
            <w:webHidden/>
          </w:rPr>
          <w:fldChar w:fldCharType="separate"/>
        </w:r>
        <w:r w:rsidR="0085182E">
          <w:rPr>
            <w:webHidden/>
          </w:rPr>
          <w:t>81</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49" w:history="1">
        <w:r w:rsidR="00EA0A58" w:rsidRPr="009521C3">
          <w:rPr>
            <w:rStyle w:val="Hyperlink"/>
            <w:rFonts w:ascii="Arial" w:hAnsi="Arial"/>
          </w:rPr>
          <w:t>8.4.1</w:t>
        </w:r>
        <w:r w:rsidR="00EA0A58">
          <w:rPr>
            <w:rFonts w:asciiTheme="minorHAnsi" w:eastAsiaTheme="minorEastAsia" w:hAnsiTheme="minorHAnsi" w:cstheme="minorBidi"/>
            <w:sz w:val="22"/>
            <w:szCs w:val="22"/>
          </w:rPr>
          <w:tab/>
        </w:r>
        <w:r w:rsidR="00EA0A58" w:rsidRPr="009521C3">
          <w:rPr>
            <w:rStyle w:val="Hyperlink"/>
            <w:rFonts w:ascii="Arial" w:hAnsi="Arial"/>
          </w:rPr>
          <w:t>Approach</w:t>
        </w:r>
        <w:r w:rsidR="00EA0A58">
          <w:rPr>
            <w:webHidden/>
          </w:rPr>
          <w:tab/>
        </w:r>
        <w:r>
          <w:rPr>
            <w:webHidden/>
          </w:rPr>
          <w:fldChar w:fldCharType="begin"/>
        </w:r>
        <w:r w:rsidR="00EA0A58">
          <w:rPr>
            <w:webHidden/>
          </w:rPr>
          <w:instrText xml:space="preserve"> PAGEREF _Toc394011149 \h </w:instrText>
        </w:r>
        <w:r>
          <w:rPr>
            <w:webHidden/>
          </w:rPr>
        </w:r>
        <w:r>
          <w:rPr>
            <w:webHidden/>
          </w:rPr>
          <w:fldChar w:fldCharType="separate"/>
        </w:r>
        <w:r w:rsidR="0085182E">
          <w:rPr>
            <w:webHidden/>
          </w:rPr>
          <w:t>81</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50" w:history="1">
        <w:r w:rsidR="00EA0A58" w:rsidRPr="009521C3">
          <w:rPr>
            <w:rStyle w:val="Hyperlink"/>
            <w:rFonts w:ascii="Arial" w:hAnsi="Arial"/>
          </w:rPr>
          <w:t>8.4.2</w:t>
        </w:r>
        <w:r w:rsidR="00EA0A58">
          <w:rPr>
            <w:rFonts w:asciiTheme="minorHAnsi" w:eastAsiaTheme="minorEastAsia" w:hAnsiTheme="minorHAnsi" w:cstheme="minorBidi"/>
            <w:sz w:val="22"/>
            <w:szCs w:val="22"/>
          </w:rPr>
          <w:tab/>
        </w:r>
        <w:r w:rsidR="00EA0A58" w:rsidRPr="009521C3">
          <w:rPr>
            <w:rStyle w:val="Hyperlink"/>
            <w:rFonts w:ascii="Arial" w:hAnsi="Arial"/>
          </w:rPr>
          <w:t>Results</w:t>
        </w:r>
        <w:r w:rsidR="00EA0A58">
          <w:rPr>
            <w:webHidden/>
          </w:rPr>
          <w:tab/>
        </w:r>
        <w:r>
          <w:rPr>
            <w:webHidden/>
          </w:rPr>
          <w:fldChar w:fldCharType="begin"/>
        </w:r>
        <w:r w:rsidR="00EA0A58">
          <w:rPr>
            <w:webHidden/>
          </w:rPr>
          <w:instrText xml:space="preserve"> PAGEREF _Toc394011150 \h </w:instrText>
        </w:r>
        <w:r>
          <w:rPr>
            <w:webHidden/>
          </w:rPr>
        </w:r>
        <w:r>
          <w:rPr>
            <w:webHidden/>
          </w:rPr>
          <w:fldChar w:fldCharType="separate"/>
        </w:r>
        <w:r w:rsidR="0085182E">
          <w:rPr>
            <w:webHidden/>
          </w:rPr>
          <w:t>82</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51" w:history="1">
        <w:r w:rsidR="00EA0A58" w:rsidRPr="009521C3">
          <w:rPr>
            <w:rStyle w:val="Hyperlink"/>
            <w:rFonts w:ascii="Arial" w:hAnsi="Arial"/>
          </w:rPr>
          <w:t>8.5</w:t>
        </w:r>
        <w:r w:rsidR="00EA0A58">
          <w:rPr>
            <w:rFonts w:asciiTheme="minorHAnsi" w:eastAsiaTheme="minorEastAsia" w:hAnsiTheme="minorHAnsi" w:cstheme="minorBidi"/>
            <w:sz w:val="22"/>
            <w:szCs w:val="22"/>
          </w:rPr>
          <w:tab/>
        </w:r>
        <w:r w:rsidR="00EA0A58" w:rsidRPr="009521C3">
          <w:rPr>
            <w:rStyle w:val="Hyperlink"/>
            <w:rFonts w:ascii="Arial" w:hAnsi="Arial"/>
          </w:rPr>
          <w:t>Summary of information for each sub-option</w:t>
        </w:r>
        <w:r w:rsidR="00EA0A58">
          <w:rPr>
            <w:webHidden/>
          </w:rPr>
          <w:tab/>
        </w:r>
        <w:r>
          <w:rPr>
            <w:webHidden/>
          </w:rPr>
          <w:fldChar w:fldCharType="begin"/>
        </w:r>
        <w:r w:rsidR="00EA0A58">
          <w:rPr>
            <w:webHidden/>
          </w:rPr>
          <w:instrText xml:space="preserve"> PAGEREF _Toc394011151 \h </w:instrText>
        </w:r>
        <w:r>
          <w:rPr>
            <w:webHidden/>
          </w:rPr>
        </w:r>
        <w:r>
          <w:rPr>
            <w:webHidden/>
          </w:rPr>
          <w:fldChar w:fldCharType="separate"/>
        </w:r>
        <w:r w:rsidR="0085182E">
          <w:rPr>
            <w:webHidden/>
          </w:rPr>
          <w:t>85</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52" w:history="1">
        <w:r w:rsidR="00EA0A58" w:rsidRPr="009521C3">
          <w:rPr>
            <w:rStyle w:val="Hyperlink"/>
            <w:rFonts w:ascii="Arial" w:hAnsi="Arial"/>
          </w:rPr>
          <w:t>8.6</w:t>
        </w:r>
        <w:r w:rsidR="00EA0A58">
          <w:rPr>
            <w:rFonts w:asciiTheme="minorHAnsi" w:eastAsiaTheme="minorEastAsia" w:hAnsiTheme="minorHAnsi" w:cstheme="minorBidi"/>
            <w:sz w:val="22"/>
            <w:szCs w:val="22"/>
          </w:rPr>
          <w:tab/>
        </w:r>
        <w:r w:rsidR="00EA0A58" w:rsidRPr="009521C3">
          <w:rPr>
            <w:rStyle w:val="Hyperlink"/>
            <w:rFonts w:ascii="Arial" w:hAnsi="Arial"/>
          </w:rPr>
          <w:t>Other considerations</w:t>
        </w:r>
        <w:r w:rsidR="00EA0A58">
          <w:rPr>
            <w:webHidden/>
          </w:rPr>
          <w:tab/>
        </w:r>
        <w:r>
          <w:rPr>
            <w:webHidden/>
          </w:rPr>
          <w:fldChar w:fldCharType="begin"/>
        </w:r>
        <w:r w:rsidR="00EA0A58">
          <w:rPr>
            <w:webHidden/>
          </w:rPr>
          <w:instrText xml:space="preserve"> PAGEREF _Toc394011152 \h </w:instrText>
        </w:r>
        <w:r>
          <w:rPr>
            <w:webHidden/>
          </w:rPr>
        </w:r>
        <w:r>
          <w:rPr>
            <w:webHidden/>
          </w:rPr>
          <w:fldChar w:fldCharType="separate"/>
        </w:r>
        <w:r w:rsidR="0085182E">
          <w:rPr>
            <w:webHidden/>
          </w:rPr>
          <w:t>87</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53" w:history="1">
        <w:r w:rsidR="00EA0A58" w:rsidRPr="009521C3">
          <w:rPr>
            <w:rStyle w:val="Hyperlink"/>
            <w:rFonts w:ascii="Arial" w:hAnsi="Arial"/>
          </w:rPr>
          <w:t>8.6.1</w:t>
        </w:r>
        <w:r w:rsidR="00EA0A58">
          <w:rPr>
            <w:rFonts w:asciiTheme="minorHAnsi" w:eastAsiaTheme="minorEastAsia" w:hAnsiTheme="minorHAnsi" w:cstheme="minorBidi"/>
            <w:sz w:val="22"/>
            <w:szCs w:val="22"/>
          </w:rPr>
          <w:tab/>
        </w:r>
        <w:r w:rsidR="00EA0A58" w:rsidRPr="009521C3">
          <w:rPr>
            <w:rStyle w:val="Hyperlink"/>
            <w:rFonts w:ascii="Arial" w:hAnsi="Arial"/>
          </w:rPr>
          <w:t>Resourcing implications for jurisdictions</w:t>
        </w:r>
        <w:r w:rsidR="00EA0A58">
          <w:rPr>
            <w:webHidden/>
          </w:rPr>
          <w:tab/>
        </w:r>
        <w:r>
          <w:rPr>
            <w:webHidden/>
          </w:rPr>
          <w:fldChar w:fldCharType="begin"/>
        </w:r>
        <w:r w:rsidR="00EA0A58">
          <w:rPr>
            <w:webHidden/>
          </w:rPr>
          <w:instrText xml:space="preserve"> PAGEREF _Toc394011153 \h </w:instrText>
        </w:r>
        <w:r>
          <w:rPr>
            <w:webHidden/>
          </w:rPr>
        </w:r>
        <w:r>
          <w:rPr>
            <w:webHidden/>
          </w:rPr>
          <w:fldChar w:fldCharType="separate"/>
        </w:r>
        <w:r w:rsidR="0085182E">
          <w:rPr>
            <w:webHidden/>
          </w:rPr>
          <w:t>87</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54" w:history="1">
        <w:r w:rsidR="00EA0A58" w:rsidRPr="009521C3">
          <w:rPr>
            <w:rStyle w:val="Hyperlink"/>
            <w:rFonts w:ascii="Arial" w:hAnsi="Arial"/>
            <w:lang w:eastAsia="en-US"/>
          </w:rPr>
          <w:t>8.6.2</w:t>
        </w:r>
        <w:r w:rsidR="00EA0A58">
          <w:rPr>
            <w:rFonts w:asciiTheme="minorHAnsi" w:eastAsiaTheme="minorEastAsia" w:hAnsiTheme="minorHAnsi" w:cstheme="minorBidi"/>
            <w:sz w:val="22"/>
            <w:szCs w:val="22"/>
          </w:rPr>
          <w:tab/>
        </w:r>
        <w:r w:rsidR="00EA0A58" w:rsidRPr="009521C3">
          <w:rPr>
            <w:rStyle w:val="Hyperlink"/>
            <w:rFonts w:ascii="Arial" w:hAnsi="Arial"/>
            <w:lang w:eastAsia="en-US"/>
          </w:rPr>
          <w:t>Costs to industry and business</w:t>
        </w:r>
        <w:r w:rsidR="00EA0A58">
          <w:rPr>
            <w:webHidden/>
          </w:rPr>
          <w:tab/>
        </w:r>
        <w:r>
          <w:rPr>
            <w:webHidden/>
          </w:rPr>
          <w:fldChar w:fldCharType="begin"/>
        </w:r>
        <w:r w:rsidR="00EA0A58">
          <w:rPr>
            <w:webHidden/>
          </w:rPr>
          <w:instrText xml:space="preserve"> PAGEREF _Toc394011154 \h </w:instrText>
        </w:r>
        <w:r>
          <w:rPr>
            <w:webHidden/>
          </w:rPr>
        </w:r>
        <w:r>
          <w:rPr>
            <w:webHidden/>
          </w:rPr>
          <w:fldChar w:fldCharType="separate"/>
        </w:r>
        <w:r w:rsidR="0085182E">
          <w:rPr>
            <w:webHidden/>
          </w:rPr>
          <w:t>87</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55" w:history="1">
        <w:r w:rsidR="00EA0A58" w:rsidRPr="009521C3">
          <w:rPr>
            <w:rStyle w:val="Hyperlink"/>
            <w:rFonts w:ascii="Arial" w:hAnsi="Arial"/>
          </w:rPr>
          <w:t>8.6.3</w:t>
        </w:r>
        <w:r w:rsidR="00EA0A58">
          <w:rPr>
            <w:rFonts w:asciiTheme="minorHAnsi" w:eastAsiaTheme="minorEastAsia" w:hAnsiTheme="minorHAnsi" w:cstheme="minorBidi"/>
            <w:sz w:val="22"/>
            <w:szCs w:val="22"/>
          </w:rPr>
          <w:tab/>
        </w:r>
        <w:r w:rsidR="00EA0A58" w:rsidRPr="009521C3">
          <w:rPr>
            <w:rStyle w:val="Hyperlink"/>
            <w:rFonts w:ascii="Arial" w:hAnsi="Arial"/>
          </w:rPr>
          <w:t>Social impacts</w:t>
        </w:r>
        <w:r w:rsidR="00EA0A58">
          <w:rPr>
            <w:webHidden/>
          </w:rPr>
          <w:tab/>
        </w:r>
        <w:r>
          <w:rPr>
            <w:webHidden/>
          </w:rPr>
          <w:fldChar w:fldCharType="begin"/>
        </w:r>
        <w:r w:rsidR="00EA0A58">
          <w:rPr>
            <w:webHidden/>
          </w:rPr>
          <w:instrText xml:space="preserve"> PAGEREF _Toc394011155 \h </w:instrText>
        </w:r>
        <w:r>
          <w:rPr>
            <w:webHidden/>
          </w:rPr>
        </w:r>
        <w:r>
          <w:rPr>
            <w:webHidden/>
          </w:rPr>
          <w:fldChar w:fldCharType="separate"/>
        </w:r>
        <w:r w:rsidR="0085182E">
          <w:rPr>
            <w:webHidden/>
          </w:rPr>
          <w:t>87</w:t>
        </w:r>
        <w:r>
          <w:rPr>
            <w:webHidden/>
          </w:rPr>
          <w:fldChar w:fldCharType="end"/>
        </w:r>
      </w:hyperlink>
    </w:p>
    <w:p w:rsidR="00EA0A58" w:rsidRDefault="00BF6019">
      <w:pPr>
        <w:pStyle w:val="TOC1"/>
        <w:rPr>
          <w:rFonts w:asciiTheme="minorHAnsi" w:eastAsiaTheme="minorEastAsia" w:hAnsiTheme="minorHAnsi" w:cstheme="minorBidi"/>
          <w:bCs w:val="0"/>
          <w:caps w:val="0"/>
          <w:sz w:val="22"/>
          <w:szCs w:val="22"/>
          <w:lang w:eastAsia="en-AU"/>
        </w:rPr>
      </w:pPr>
      <w:hyperlink w:anchor="_Toc394011156" w:history="1">
        <w:r w:rsidR="00EA0A58" w:rsidRPr="009521C3">
          <w:rPr>
            <w:rStyle w:val="Hyperlink"/>
            <w:rFonts w:ascii="Arial" w:hAnsi="Arial"/>
          </w:rPr>
          <w:t>9</w:t>
        </w:r>
        <w:r w:rsidR="00EA0A58">
          <w:rPr>
            <w:rFonts w:asciiTheme="minorHAnsi" w:eastAsiaTheme="minorEastAsia" w:hAnsiTheme="minorHAnsi" w:cstheme="minorBidi"/>
            <w:bCs w:val="0"/>
            <w:caps w:val="0"/>
            <w:sz w:val="22"/>
            <w:szCs w:val="22"/>
            <w:lang w:eastAsia="en-AU"/>
          </w:rPr>
          <w:tab/>
        </w:r>
        <w:r w:rsidR="00EA0A58" w:rsidRPr="009521C3">
          <w:rPr>
            <w:rStyle w:val="Hyperlink"/>
            <w:rFonts w:ascii="Arial" w:hAnsi="Arial"/>
          </w:rPr>
          <w:t>Preferred Options</w:t>
        </w:r>
        <w:r w:rsidR="00EA0A58">
          <w:rPr>
            <w:webHidden/>
          </w:rPr>
          <w:tab/>
        </w:r>
        <w:r>
          <w:rPr>
            <w:webHidden/>
          </w:rPr>
          <w:fldChar w:fldCharType="begin"/>
        </w:r>
        <w:r w:rsidR="00EA0A58">
          <w:rPr>
            <w:webHidden/>
          </w:rPr>
          <w:instrText xml:space="preserve"> PAGEREF _Toc394011156 \h </w:instrText>
        </w:r>
        <w:r>
          <w:rPr>
            <w:webHidden/>
          </w:rPr>
        </w:r>
        <w:r>
          <w:rPr>
            <w:webHidden/>
          </w:rPr>
          <w:fldChar w:fldCharType="separate"/>
        </w:r>
        <w:r w:rsidR="0085182E">
          <w:rPr>
            <w:webHidden/>
          </w:rPr>
          <w:t>89</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57" w:history="1">
        <w:r w:rsidR="00EA0A58" w:rsidRPr="009521C3">
          <w:rPr>
            <w:rStyle w:val="Hyperlink"/>
            <w:rFonts w:ascii="Arial" w:hAnsi="Arial"/>
          </w:rPr>
          <w:t>9.1</w:t>
        </w:r>
        <w:r w:rsidR="00EA0A58">
          <w:rPr>
            <w:rFonts w:asciiTheme="minorHAnsi" w:eastAsiaTheme="minorEastAsia" w:hAnsiTheme="minorHAnsi" w:cstheme="minorBidi"/>
            <w:sz w:val="22"/>
            <w:szCs w:val="22"/>
          </w:rPr>
          <w:tab/>
        </w:r>
        <w:r w:rsidR="00EA0A58" w:rsidRPr="009521C3">
          <w:rPr>
            <w:rStyle w:val="Hyperlink"/>
            <w:rFonts w:ascii="Arial" w:hAnsi="Arial"/>
          </w:rPr>
          <w:t>PM metrics for inclusion in the AAQ NEPM</w:t>
        </w:r>
        <w:r w:rsidR="00EA0A58">
          <w:rPr>
            <w:webHidden/>
          </w:rPr>
          <w:tab/>
        </w:r>
        <w:r>
          <w:rPr>
            <w:webHidden/>
          </w:rPr>
          <w:fldChar w:fldCharType="begin"/>
        </w:r>
        <w:r w:rsidR="00EA0A58">
          <w:rPr>
            <w:webHidden/>
          </w:rPr>
          <w:instrText xml:space="preserve"> PAGEREF _Toc394011157 \h </w:instrText>
        </w:r>
        <w:r>
          <w:rPr>
            <w:webHidden/>
          </w:rPr>
        </w:r>
        <w:r>
          <w:rPr>
            <w:webHidden/>
          </w:rPr>
          <w:fldChar w:fldCharType="separate"/>
        </w:r>
        <w:r w:rsidR="0085182E">
          <w:rPr>
            <w:webHidden/>
          </w:rPr>
          <w:t>89</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58" w:history="1">
        <w:r w:rsidR="00EA0A58" w:rsidRPr="009521C3">
          <w:rPr>
            <w:rStyle w:val="Hyperlink"/>
            <w:rFonts w:ascii="Arial" w:hAnsi="Arial"/>
          </w:rPr>
          <w:t>9.2</w:t>
        </w:r>
        <w:r w:rsidR="00EA0A58">
          <w:rPr>
            <w:rFonts w:asciiTheme="minorHAnsi" w:eastAsiaTheme="minorEastAsia" w:hAnsiTheme="minorHAnsi" w:cstheme="minorBidi"/>
            <w:sz w:val="22"/>
            <w:szCs w:val="22"/>
          </w:rPr>
          <w:tab/>
        </w:r>
        <w:r w:rsidR="00EA0A58" w:rsidRPr="009521C3">
          <w:rPr>
            <w:rStyle w:val="Hyperlink"/>
            <w:rFonts w:ascii="Arial" w:hAnsi="Arial"/>
          </w:rPr>
          <w:t>Numerical values for the PM standards</w:t>
        </w:r>
        <w:r w:rsidR="00EA0A58">
          <w:rPr>
            <w:webHidden/>
          </w:rPr>
          <w:tab/>
        </w:r>
        <w:r>
          <w:rPr>
            <w:webHidden/>
          </w:rPr>
          <w:fldChar w:fldCharType="begin"/>
        </w:r>
        <w:r w:rsidR="00EA0A58">
          <w:rPr>
            <w:webHidden/>
          </w:rPr>
          <w:instrText xml:space="preserve"> PAGEREF _Toc394011158 \h </w:instrText>
        </w:r>
        <w:r>
          <w:rPr>
            <w:webHidden/>
          </w:rPr>
        </w:r>
        <w:r>
          <w:rPr>
            <w:webHidden/>
          </w:rPr>
          <w:fldChar w:fldCharType="separate"/>
        </w:r>
        <w:r w:rsidR="0085182E">
          <w:rPr>
            <w:webHidden/>
          </w:rPr>
          <w:t>89</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59" w:history="1">
        <w:r w:rsidR="00EA0A58" w:rsidRPr="009521C3">
          <w:rPr>
            <w:rStyle w:val="Hyperlink"/>
            <w:rFonts w:ascii="Arial" w:hAnsi="Arial"/>
          </w:rPr>
          <w:t>9.3</w:t>
        </w:r>
        <w:r w:rsidR="00EA0A58">
          <w:rPr>
            <w:rFonts w:asciiTheme="minorHAnsi" w:eastAsiaTheme="minorEastAsia" w:hAnsiTheme="minorHAnsi" w:cstheme="minorBidi"/>
            <w:sz w:val="22"/>
            <w:szCs w:val="22"/>
          </w:rPr>
          <w:tab/>
        </w:r>
        <w:r w:rsidR="00EA0A58" w:rsidRPr="009521C3">
          <w:rPr>
            <w:rStyle w:val="Hyperlink"/>
            <w:rFonts w:ascii="Arial" w:hAnsi="Arial"/>
          </w:rPr>
          <w:t>Form of the 24-hour standards</w:t>
        </w:r>
        <w:r w:rsidR="00EA0A58">
          <w:rPr>
            <w:webHidden/>
          </w:rPr>
          <w:tab/>
        </w:r>
        <w:r>
          <w:rPr>
            <w:webHidden/>
          </w:rPr>
          <w:fldChar w:fldCharType="begin"/>
        </w:r>
        <w:r w:rsidR="00EA0A58">
          <w:rPr>
            <w:webHidden/>
          </w:rPr>
          <w:instrText xml:space="preserve"> PAGEREF _Toc394011159 \h </w:instrText>
        </w:r>
        <w:r>
          <w:rPr>
            <w:webHidden/>
          </w:rPr>
        </w:r>
        <w:r>
          <w:rPr>
            <w:webHidden/>
          </w:rPr>
          <w:fldChar w:fldCharType="separate"/>
        </w:r>
        <w:r w:rsidR="0085182E">
          <w:rPr>
            <w:webHidden/>
          </w:rPr>
          <w:t>90</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60" w:history="1">
        <w:r w:rsidR="00EA0A58" w:rsidRPr="009521C3">
          <w:rPr>
            <w:rStyle w:val="Hyperlink"/>
            <w:rFonts w:ascii="Arial" w:hAnsi="Arial"/>
          </w:rPr>
          <w:t>9.4</w:t>
        </w:r>
        <w:r w:rsidR="00EA0A58">
          <w:rPr>
            <w:rFonts w:asciiTheme="minorHAnsi" w:eastAsiaTheme="minorEastAsia" w:hAnsiTheme="minorHAnsi" w:cstheme="minorBidi"/>
            <w:sz w:val="22"/>
            <w:szCs w:val="22"/>
          </w:rPr>
          <w:tab/>
        </w:r>
        <w:r w:rsidR="00EA0A58" w:rsidRPr="009521C3">
          <w:rPr>
            <w:rStyle w:val="Hyperlink"/>
            <w:rFonts w:ascii="Arial" w:hAnsi="Arial"/>
          </w:rPr>
          <w:t>Other PM metrics for possible inclusion in the AAQ NEPM</w:t>
        </w:r>
        <w:r w:rsidR="00EA0A58">
          <w:rPr>
            <w:webHidden/>
          </w:rPr>
          <w:tab/>
        </w:r>
        <w:r>
          <w:rPr>
            <w:webHidden/>
          </w:rPr>
          <w:fldChar w:fldCharType="begin"/>
        </w:r>
        <w:r w:rsidR="00EA0A58">
          <w:rPr>
            <w:webHidden/>
          </w:rPr>
          <w:instrText xml:space="preserve"> PAGEREF _Toc394011160 \h </w:instrText>
        </w:r>
        <w:r>
          <w:rPr>
            <w:webHidden/>
          </w:rPr>
        </w:r>
        <w:r>
          <w:rPr>
            <w:webHidden/>
          </w:rPr>
          <w:fldChar w:fldCharType="separate"/>
        </w:r>
        <w:r w:rsidR="0085182E">
          <w:rPr>
            <w:webHidden/>
          </w:rPr>
          <w:t>90</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61" w:history="1">
        <w:r w:rsidR="00EA0A58" w:rsidRPr="009521C3">
          <w:rPr>
            <w:rStyle w:val="Hyperlink"/>
            <w:rFonts w:ascii="Arial" w:hAnsi="Arial"/>
          </w:rPr>
          <w:t>9.5</w:t>
        </w:r>
        <w:r w:rsidR="00EA0A58">
          <w:rPr>
            <w:rFonts w:asciiTheme="minorHAnsi" w:eastAsiaTheme="minorEastAsia" w:hAnsiTheme="minorHAnsi" w:cstheme="minorBidi"/>
            <w:sz w:val="22"/>
            <w:szCs w:val="22"/>
          </w:rPr>
          <w:tab/>
        </w:r>
        <w:r w:rsidR="00EA0A58" w:rsidRPr="009521C3">
          <w:rPr>
            <w:rStyle w:val="Hyperlink"/>
            <w:rFonts w:ascii="Arial" w:hAnsi="Arial"/>
          </w:rPr>
          <w:t>Form of an exposure-reduction framework</w:t>
        </w:r>
        <w:r w:rsidR="00EA0A58">
          <w:rPr>
            <w:webHidden/>
          </w:rPr>
          <w:tab/>
        </w:r>
        <w:r>
          <w:rPr>
            <w:webHidden/>
          </w:rPr>
          <w:fldChar w:fldCharType="begin"/>
        </w:r>
        <w:r w:rsidR="00EA0A58">
          <w:rPr>
            <w:webHidden/>
          </w:rPr>
          <w:instrText xml:space="preserve"> PAGEREF _Toc394011161 \h </w:instrText>
        </w:r>
        <w:r>
          <w:rPr>
            <w:webHidden/>
          </w:rPr>
        </w:r>
        <w:r>
          <w:rPr>
            <w:webHidden/>
          </w:rPr>
          <w:fldChar w:fldCharType="separate"/>
        </w:r>
        <w:r w:rsidR="0085182E">
          <w:rPr>
            <w:webHidden/>
          </w:rPr>
          <w:t>91</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62" w:history="1">
        <w:r w:rsidR="00EA0A58" w:rsidRPr="009521C3">
          <w:rPr>
            <w:rStyle w:val="Hyperlink"/>
            <w:rFonts w:ascii="Arial" w:hAnsi="Arial"/>
          </w:rPr>
          <w:t>9.6</w:t>
        </w:r>
        <w:r w:rsidR="00EA0A58">
          <w:rPr>
            <w:rFonts w:asciiTheme="minorHAnsi" w:eastAsiaTheme="minorEastAsia" w:hAnsiTheme="minorHAnsi" w:cstheme="minorBidi"/>
            <w:sz w:val="22"/>
            <w:szCs w:val="22"/>
          </w:rPr>
          <w:tab/>
        </w:r>
        <w:r w:rsidR="00EA0A58" w:rsidRPr="009521C3">
          <w:rPr>
            <w:rStyle w:val="Hyperlink"/>
            <w:rFonts w:ascii="Arial" w:hAnsi="Arial"/>
          </w:rPr>
          <w:t>Implementation of an AAQ NEPM variation</w:t>
        </w:r>
        <w:r w:rsidR="00EA0A58">
          <w:rPr>
            <w:webHidden/>
          </w:rPr>
          <w:tab/>
        </w:r>
        <w:r>
          <w:rPr>
            <w:webHidden/>
          </w:rPr>
          <w:fldChar w:fldCharType="begin"/>
        </w:r>
        <w:r w:rsidR="00EA0A58">
          <w:rPr>
            <w:webHidden/>
          </w:rPr>
          <w:instrText xml:space="preserve"> PAGEREF _Toc394011162 \h </w:instrText>
        </w:r>
        <w:r>
          <w:rPr>
            <w:webHidden/>
          </w:rPr>
        </w:r>
        <w:r>
          <w:rPr>
            <w:webHidden/>
          </w:rPr>
          <w:fldChar w:fldCharType="separate"/>
        </w:r>
        <w:r w:rsidR="0085182E">
          <w:rPr>
            <w:webHidden/>
          </w:rPr>
          <w:t>91</w:t>
        </w:r>
        <w:r>
          <w:rPr>
            <w:webHidden/>
          </w:rPr>
          <w:fldChar w:fldCharType="end"/>
        </w:r>
      </w:hyperlink>
    </w:p>
    <w:p w:rsidR="00EA0A58" w:rsidRDefault="00BF6019">
      <w:pPr>
        <w:pStyle w:val="TOC1"/>
        <w:rPr>
          <w:rFonts w:asciiTheme="minorHAnsi" w:eastAsiaTheme="minorEastAsia" w:hAnsiTheme="minorHAnsi" w:cstheme="minorBidi"/>
          <w:bCs w:val="0"/>
          <w:caps w:val="0"/>
          <w:sz w:val="22"/>
          <w:szCs w:val="22"/>
          <w:lang w:eastAsia="en-AU"/>
        </w:rPr>
      </w:pPr>
      <w:hyperlink w:anchor="_Toc394011163" w:history="1">
        <w:r w:rsidR="00EA0A58" w:rsidRPr="009521C3">
          <w:rPr>
            <w:rStyle w:val="Hyperlink"/>
            <w:rFonts w:ascii="Arial" w:hAnsi="Arial"/>
          </w:rPr>
          <w:t>10</w:t>
        </w:r>
        <w:r w:rsidR="00EA0A58">
          <w:rPr>
            <w:rFonts w:asciiTheme="minorHAnsi" w:eastAsiaTheme="minorEastAsia" w:hAnsiTheme="minorHAnsi" w:cstheme="minorBidi"/>
            <w:bCs w:val="0"/>
            <w:caps w:val="0"/>
            <w:sz w:val="22"/>
            <w:szCs w:val="22"/>
            <w:lang w:eastAsia="en-AU"/>
          </w:rPr>
          <w:tab/>
        </w:r>
        <w:r w:rsidR="00EA0A58" w:rsidRPr="009521C3">
          <w:rPr>
            <w:rStyle w:val="Hyperlink"/>
            <w:rFonts w:ascii="Arial" w:hAnsi="Arial"/>
          </w:rPr>
          <w:t>Consultation</w:t>
        </w:r>
        <w:r w:rsidR="00EA0A58">
          <w:rPr>
            <w:webHidden/>
          </w:rPr>
          <w:tab/>
        </w:r>
        <w:r>
          <w:rPr>
            <w:webHidden/>
          </w:rPr>
          <w:fldChar w:fldCharType="begin"/>
        </w:r>
        <w:r w:rsidR="00EA0A58">
          <w:rPr>
            <w:webHidden/>
          </w:rPr>
          <w:instrText xml:space="preserve"> PAGEREF _Toc394011163 \h </w:instrText>
        </w:r>
        <w:r>
          <w:rPr>
            <w:webHidden/>
          </w:rPr>
        </w:r>
        <w:r>
          <w:rPr>
            <w:webHidden/>
          </w:rPr>
          <w:fldChar w:fldCharType="separate"/>
        </w:r>
        <w:r w:rsidR="0085182E">
          <w:rPr>
            <w:webHidden/>
          </w:rPr>
          <w:t>93</w:t>
        </w:r>
        <w:r>
          <w:rPr>
            <w:webHidden/>
          </w:rPr>
          <w:fldChar w:fldCharType="end"/>
        </w:r>
      </w:hyperlink>
    </w:p>
    <w:p w:rsidR="00EA0A58" w:rsidRDefault="00BF6019">
      <w:pPr>
        <w:pStyle w:val="TOC1"/>
        <w:rPr>
          <w:rFonts w:asciiTheme="minorHAnsi" w:eastAsiaTheme="minorEastAsia" w:hAnsiTheme="minorHAnsi" w:cstheme="minorBidi"/>
          <w:bCs w:val="0"/>
          <w:caps w:val="0"/>
          <w:sz w:val="22"/>
          <w:szCs w:val="22"/>
          <w:lang w:eastAsia="en-AU"/>
        </w:rPr>
      </w:pPr>
      <w:hyperlink w:anchor="_Toc394011164" w:history="1">
        <w:r w:rsidR="00EA0A58" w:rsidRPr="009521C3">
          <w:rPr>
            <w:rStyle w:val="Hyperlink"/>
            <w:rFonts w:ascii="Arial" w:hAnsi="Arial"/>
          </w:rPr>
          <w:t>11</w:t>
        </w:r>
        <w:r w:rsidR="00EA0A58">
          <w:rPr>
            <w:rFonts w:asciiTheme="minorHAnsi" w:eastAsiaTheme="minorEastAsia" w:hAnsiTheme="minorHAnsi" w:cstheme="minorBidi"/>
            <w:bCs w:val="0"/>
            <w:caps w:val="0"/>
            <w:sz w:val="22"/>
            <w:szCs w:val="22"/>
            <w:lang w:eastAsia="en-AU"/>
          </w:rPr>
          <w:tab/>
        </w:r>
        <w:r w:rsidR="00EA0A58" w:rsidRPr="009521C3">
          <w:rPr>
            <w:rStyle w:val="Hyperlink"/>
            <w:rFonts w:ascii="Arial" w:hAnsi="Arial"/>
          </w:rPr>
          <w:t>List of technical terms and abbreviations</w:t>
        </w:r>
        <w:r w:rsidR="00EA0A58">
          <w:rPr>
            <w:webHidden/>
          </w:rPr>
          <w:tab/>
        </w:r>
        <w:r>
          <w:rPr>
            <w:webHidden/>
          </w:rPr>
          <w:fldChar w:fldCharType="begin"/>
        </w:r>
        <w:r w:rsidR="00EA0A58">
          <w:rPr>
            <w:webHidden/>
          </w:rPr>
          <w:instrText xml:space="preserve"> PAGEREF _Toc394011164 \h </w:instrText>
        </w:r>
        <w:r>
          <w:rPr>
            <w:webHidden/>
          </w:rPr>
        </w:r>
        <w:r>
          <w:rPr>
            <w:webHidden/>
          </w:rPr>
          <w:fldChar w:fldCharType="separate"/>
        </w:r>
        <w:r w:rsidR="0085182E">
          <w:rPr>
            <w:webHidden/>
          </w:rPr>
          <w:t>94</w:t>
        </w:r>
        <w:r>
          <w:rPr>
            <w:webHidden/>
          </w:rPr>
          <w:fldChar w:fldCharType="end"/>
        </w:r>
      </w:hyperlink>
    </w:p>
    <w:p w:rsidR="00EA0A58" w:rsidRDefault="00BF6019">
      <w:pPr>
        <w:pStyle w:val="TOC1"/>
        <w:rPr>
          <w:rFonts w:asciiTheme="minorHAnsi" w:eastAsiaTheme="minorEastAsia" w:hAnsiTheme="minorHAnsi" w:cstheme="minorBidi"/>
          <w:bCs w:val="0"/>
          <w:caps w:val="0"/>
          <w:sz w:val="22"/>
          <w:szCs w:val="22"/>
          <w:lang w:eastAsia="en-AU"/>
        </w:rPr>
      </w:pPr>
      <w:hyperlink w:anchor="_Toc394011165" w:history="1">
        <w:r w:rsidR="00EA0A58" w:rsidRPr="009521C3">
          <w:rPr>
            <w:rStyle w:val="Hyperlink"/>
            <w:rFonts w:ascii="Arial" w:hAnsi="Arial"/>
          </w:rPr>
          <w:t>12</w:t>
        </w:r>
        <w:r w:rsidR="00EA0A58">
          <w:rPr>
            <w:rFonts w:asciiTheme="minorHAnsi" w:eastAsiaTheme="minorEastAsia" w:hAnsiTheme="minorHAnsi" w:cstheme="minorBidi"/>
            <w:bCs w:val="0"/>
            <w:caps w:val="0"/>
            <w:sz w:val="22"/>
            <w:szCs w:val="22"/>
            <w:lang w:eastAsia="en-AU"/>
          </w:rPr>
          <w:tab/>
        </w:r>
        <w:r w:rsidR="00EA0A58" w:rsidRPr="009521C3">
          <w:rPr>
            <w:rStyle w:val="Hyperlink"/>
            <w:rFonts w:ascii="Arial" w:hAnsi="Arial"/>
          </w:rPr>
          <w:t>References</w:t>
        </w:r>
        <w:r w:rsidR="00EA0A58">
          <w:rPr>
            <w:webHidden/>
          </w:rPr>
          <w:tab/>
        </w:r>
        <w:r>
          <w:rPr>
            <w:webHidden/>
          </w:rPr>
          <w:fldChar w:fldCharType="begin"/>
        </w:r>
        <w:r w:rsidR="00EA0A58">
          <w:rPr>
            <w:webHidden/>
          </w:rPr>
          <w:instrText xml:space="preserve"> PAGEREF _Toc394011165 \h </w:instrText>
        </w:r>
        <w:r>
          <w:rPr>
            <w:webHidden/>
          </w:rPr>
        </w:r>
        <w:r>
          <w:rPr>
            <w:webHidden/>
          </w:rPr>
          <w:fldChar w:fldCharType="separate"/>
        </w:r>
        <w:r w:rsidR="0085182E">
          <w:rPr>
            <w:webHidden/>
          </w:rPr>
          <w:t>97</w:t>
        </w:r>
        <w:r>
          <w:rPr>
            <w:webHidden/>
          </w:rPr>
          <w:fldChar w:fldCharType="end"/>
        </w:r>
      </w:hyperlink>
    </w:p>
    <w:p w:rsidR="00EA0A58" w:rsidRDefault="00BF6019">
      <w:pPr>
        <w:pStyle w:val="TOC1"/>
        <w:rPr>
          <w:rFonts w:asciiTheme="minorHAnsi" w:eastAsiaTheme="minorEastAsia" w:hAnsiTheme="minorHAnsi" w:cstheme="minorBidi"/>
          <w:bCs w:val="0"/>
          <w:caps w:val="0"/>
          <w:sz w:val="22"/>
          <w:szCs w:val="22"/>
          <w:lang w:eastAsia="en-AU"/>
        </w:rPr>
      </w:pPr>
      <w:hyperlink w:anchor="_Toc394011166" w:history="1">
        <w:r w:rsidR="00EA0A58" w:rsidRPr="009521C3">
          <w:rPr>
            <w:rStyle w:val="Hyperlink"/>
            <w:rFonts w:ascii="Arial" w:hAnsi="Arial" w:cs="Arial"/>
          </w:rPr>
          <w:t>Appendix A Recommendations from the 2011 AAQ NEPM review</w:t>
        </w:r>
        <w:r w:rsidR="00EA0A58">
          <w:rPr>
            <w:webHidden/>
          </w:rPr>
          <w:tab/>
        </w:r>
        <w:r>
          <w:rPr>
            <w:webHidden/>
          </w:rPr>
          <w:fldChar w:fldCharType="begin"/>
        </w:r>
        <w:r w:rsidR="00EA0A58">
          <w:rPr>
            <w:webHidden/>
          </w:rPr>
          <w:instrText xml:space="preserve"> PAGEREF _Toc394011166 \h </w:instrText>
        </w:r>
        <w:r>
          <w:rPr>
            <w:webHidden/>
          </w:rPr>
        </w:r>
        <w:r>
          <w:rPr>
            <w:webHidden/>
          </w:rPr>
          <w:fldChar w:fldCharType="separate"/>
        </w:r>
        <w:r w:rsidR="0085182E">
          <w:rPr>
            <w:webHidden/>
          </w:rPr>
          <w:t>103</w:t>
        </w:r>
        <w:r>
          <w:rPr>
            <w:webHidden/>
          </w:rPr>
          <w:fldChar w:fldCharType="end"/>
        </w:r>
      </w:hyperlink>
    </w:p>
    <w:p w:rsidR="00EA0A58" w:rsidRDefault="00BF6019">
      <w:pPr>
        <w:pStyle w:val="TOC1"/>
        <w:rPr>
          <w:rFonts w:asciiTheme="minorHAnsi" w:eastAsiaTheme="minorEastAsia" w:hAnsiTheme="minorHAnsi" w:cstheme="minorBidi"/>
          <w:bCs w:val="0"/>
          <w:caps w:val="0"/>
          <w:sz w:val="22"/>
          <w:szCs w:val="22"/>
          <w:lang w:eastAsia="en-AU"/>
        </w:rPr>
      </w:pPr>
      <w:hyperlink w:anchor="_Toc394011167" w:history="1">
        <w:r w:rsidR="00EA0A58" w:rsidRPr="009521C3">
          <w:rPr>
            <w:rStyle w:val="Hyperlink"/>
            <w:rFonts w:ascii="Arial" w:hAnsi="Arial" w:cs="Arial"/>
          </w:rPr>
          <w:t>Appendix B Monitoring methods for PM</w:t>
        </w:r>
        <w:r w:rsidR="00EA0A58" w:rsidRPr="009521C3">
          <w:rPr>
            <w:rStyle w:val="Hyperlink"/>
            <w:rFonts w:ascii="Arial" w:hAnsi="Arial" w:cs="Arial"/>
            <w:vertAlign w:val="subscript"/>
          </w:rPr>
          <w:t>10</w:t>
        </w:r>
        <w:r w:rsidR="00EA0A58" w:rsidRPr="009521C3">
          <w:rPr>
            <w:rStyle w:val="Hyperlink"/>
            <w:rFonts w:ascii="Arial" w:hAnsi="Arial" w:cs="Arial"/>
          </w:rPr>
          <w:t xml:space="preserve"> and PM</w:t>
        </w:r>
        <w:r w:rsidR="00EA0A58" w:rsidRPr="009521C3">
          <w:rPr>
            <w:rStyle w:val="Hyperlink"/>
            <w:rFonts w:ascii="Arial" w:hAnsi="Arial" w:cs="Arial"/>
            <w:vertAlign w:val="subscript"/>
          </w:rPr>
          <w:t>2.5</w:t>
        </w:r>
        <w:r w:rsidR="00EA0A58">
          <w:rPr>
            <w:webHidden/>
          </w:rPr>
          <w:tab/>
        </w:r>
        <w:r>
          <w:rPr>
            <w:webHidden/>
          </w:rPr>
          <w:fldChar w:fldCharType="begin"/>
        </w:r>
        <w:r w:rsidR="00EA0A58">
          <w:rPr>
            <w:webHidden/>
          </w:rPr>
          <w:instrText xml:space="preserve"> PAGEREF _Toc394011167 \h </w:instrText>
        </w:r>
        <w:r>
          <w:rPr>
            <w:webHidden/>
          </w:rPr>
        </w:r>
        <w:r>
          <w:rPr>
            <w:webHidden/>
          </w:rPr>
          <w:fldChar w:fldCharType="separate"/>
        </w:r>
        <w:r w:rsidR="0085182E">
          <w:rPr>
            <w:webHidden/>
          </w:rPr>
          <w:t>108</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68" w:history="1">
        <w:r w:rsidR="00EA0A58" w:rsidRPr="009521C3">
          <w:rPr>
            <w:rStyle w:val="Hyperlink"/>
            <w:rFonts w:ascii="Arial" w:hAnsi="Arial"/>
          </w:rPr>
          <w:t>B.1</w:t>
        </w:r>
        <w:r w:rsidR="00EA0A58">
          <w:rPr>
            <w:rFonts w:asciiTheme="minorHAnsi" w:eastAsiaTheme="minorEastAsia" w:hAnsiTheme="minorHAnsi" w:cstheme="minorBidi"/>
            <w:sz w:val="22"/>
            <w:szCs w:val="22"/>
          </w:rPr>
          <w:tab/>
        </w:r>
        <w:r w:rsidR="00EA0A58" w:rsidRPr="009521C3">
          <w:rPr>
            <w:rStyle w:val="Hyperlink"/>
            <w:rFonts w:ascii="Arial" w:hAnsi="Arial"/>
          </w:rPr>
          <w:t>Reference methods</w:t>
        </w:r>
        <w:r w:rsidR="00EA0A58">
          <w:rPr>
            <w:webHidden/>
          </w:rPr>
          <w:tab/>
        </w:r>
        <w:r>
          <w:rPr>
            <w:webHidden/>
          </w:rPr>
          <w:fldChar w:fldCharType="begin"/>
        </w:r>
        <w:r w:rsidR="00EA0A58">
          <w:rPr>
            <w:webHidden/>
          </w:rPr>
          <w:instrText xml:space="preserve"> PAGEREF _Toc394011168 \h </w:instrText>
        </w:r>
        <w:r>
          <w:rPr>
            <w:webHidden/>
          </w:rPr>
        </w:r>
        <w:r>
          <w:rPr>
            <w:webHidden/>
          </w:rPr>
          <w:fldChar w:fldCharType="separate"/>
        </w:r>
        <w:r w:rsidR="0085182E">
          <w:rPr>
            <w:webHidden/>
          </w:rPr>
          <w:t>109</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69" w:history="1">
        <w:r w:rsidR="00EA0A58" w:rsidRPr="009521C3">
          <w:rPr>
            <w:rStyle w:val="Hyperlink"/>
            <w:rFonts w:ascii="Arial" w:hAnsi="Arial"/>
            <w:lang w:eastAsia="en-US"/>
          </w:rPr>
          <w:t>B.2</w:t>
        </w:r>
        <w:r w:rsidR="00EA0A58">
          <w:rPr>
            <w:rFonts w:asciiTheme="minorHAnsi" w:eastAsiaTheme="minorEastAsia" w:hAnsiTheme="minorHAnsi" w:cstheme="minorBidi"/>
            <w:sz w:val="22"/>
            <w:szCs w:val="22"/>
          </w:rPr>
          <w:tab/>
        </w:r>
        <w:r w:rsidR="00EA0A58" w:rsidRPr="009521C3">
          <w:rPr>
            <w:rStyle w:val="Hyperlink"/>
            <w:rFonts w:ascii="Arial" w:hAnsi="Arial"/>
            <w:lang w:eastAsia="en-US"/>
          </w:rPr>
          <w:t>Alternative methods</w:t>
        </w:r>
        <w:r w:rsidR="00EA0A58">
          <w:rPr>
            <w:webHidden/>
          </w:rPr>
          <w:tab/>
        </w:r>
        <w:r>
          <w:rPr>
            <w:webHidden/>
          </w:rPr>
          <w:fldChar w:fldCharType="begin"/>
        </w:r>
        <w:r w:rsidR="00EA0A58">
          <w:rPr>
            <w:webHidden/>
          </w:rPr>
          <w:instrText xml:space="preserve"> PAGEREF _Toc394011169 \h </w:instrText>
        </w:r>
        <w:r>
          <w:rPr>
            <w:webHidden/>
          </w:rPr>
        </w:r>
        <w:r>
          <w:rPr>
            <w:webHidden/>
          </w:rPr>
          <w:fldChar w:fldCharType="separate"/>
        </w:r>
        <w:r w:rsidR="0085182E">
          <w:rPr>
            <w:webHidden/>
          </w:rPr>
          <w:t>109</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70" w:history="1">
        <w:r w:rsidR="00EA0A58" w:rsidRPr="009521C3">
          <w:rPr>
            <w:rStyle w:val="Hyperlink"/>
            <w:rFonts w:ascii="Arial" w:hAnsi="Arial"/>
            <w:lang w:eastAsia="en-US"/>
          </w:rPr>
          <w:t>B.2.1</w:t>
        </w:r>
        <w:r w:rsidR="00EA0A58">
          <w:rPr>
            <w:rFonts w:asciiTheme="minorHAnsi" w:eastAsiaTheme="minorEastAsia" w:hAnsiTheme="minorHAnsi" w:cstheme="minorBidi"/>
            <w:sz w:val="22"/>
            <w:szCs w:val="22"/>
          </w:rPr>
          <w:tab/>
        </w:r>
        <w:r w:rsidR="00EA0A58" w:rsidRPr="009521C3">
          <w:rPr>
            <w:rStyle w:val="Hyperlink"/>
            <w:rFonts w:ascii="Arial" w:hAnsi="Arial"/>
            <w:lang w:eastAsia="en-US"/>
          </w:rPr>
          <w:t>TEOM</w:t>
        </w:r>
        <w:r w:rsidR="00EA0A58">
          <w:rPr>
            <w:webHidden/>
          </w:rPr>
          <w:tab/>
        </w:r>
        <w:r>
          <w:rPr>
            <w:webHidden/>
          </w:rPr>
          <w:fldChar w:fldCharType="begin"/>
        </w:r>
        <w:r w:rsidR="00EA0A58">
          <w:rPr>
            <w:webHidden/>
          </w:rPr>
          <w:instrText xml:space="preserve"> PAGEREF _Toc394011170 \h </w:instrText>
        </w:r>
        <w:r>
          <w:rPr>
            <w:webHidden/>
          </w:rPr>
        </w:r>
        <w:r>
          <w:rPr>
            <w:webHidden/>
          </w:rPr>
          <w:fldChar w:fldCharType="separate"/>
        </w:r>
        <w:r w:rsidR="0085182E">
          <w:rPr>
            <w:webHidden/>
          </w:rPr>
          <w:t>109</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71" w:history="1">
        <w:r w:rsidR="00EA0A58" w:rsidRPr="009521C3">
          <w:rPr>
            <w:rStyle w:val="Hyperlink"/>
            <w:rFonts w:ascii="Arial" w:hAnsi="Arial"/>
            <w:lang w:eastAsia="en-US"/>
          </w:rPr>
          <w:t>B.2.2</w:t>
        </w:r>
        <w:r w:rsidR="00EA0A58">
          <w:rPr>
            <w:rFonts w:asciiTheme="minorHAnsi" w:eastAsiaTheme="minorEastAsia" w:hAnsiTheme="minorHAnsi" w:cstheme="minorBidi"/>
            <w:sz w:val="22"/>
            <w:szCs w:val="22"/>
          </w:rPr>
          <w:tab/>
        </w:r>
        <w:r w:rsidR="00EA0A58" w:rsidRPr="009521C3">
          <w:rPr>
            <w:rStyle w:val="Hyperlink"/>
            <w:rFonts w:ascii="Arial" w:hAnsi="Arial"/>
            <w:lang w:eastAsia="en-US"/>
          </w:rPr>
          <w:t>Filter Dynamic Measurement System (FDMS)</w:t>
        </w:r>
        <w:r w:rsidR="00EA0A58">
          <w:rPr>
            <w:webHidden/>
          </w:rPr>
          <w:tab/>
        </w:r>
        <w:r>
          <w:rPr>
            <w:webHidden/>
          </w:rPr>
          <w:fldChar w:fldCharType="begin"/>
        </w:r>
        <w:r w:rsidR="00EA0A58">
          <w:rPr>
            <w:webHidden/>
          </w:rPr>
          <w:instrText xml:space="preserve"> PAGEREF _Toc394011171 \h </w:instrText>
        </w:r>
        <w:r>
          <w:rPr>
            <w:webHidden/>
          </w:rPr>
        </w:r>
        <w:r>
          <w:rPr>
            <w:webHidden/>
          </w:rPr>
          <w:fldChar w:fldCharType="separate"/>
        </w:r>
        <w:r w:rsidR="0085182E">
          <w:rPr>
            <w:webHidden/>
          </w:rPr>
          <w:t>110</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72" w:history="1">
        <w:r w:rsidR="00EA0A58" w:rsidRPr="009521C3">
          <w:rPr>
            <w:rStyle w:val="Hyperlink"/>
            <w:rFonts w:ascii="Arial" w:hAnsi="Arial"/>
            <w:lang w:eastAsia="en-US"/>
          </w:rPr>
          <w:t>B.2.3</w:t>
        </w:r>
        <w:r w:rsidR="00EA0A58">
          <w:rPr>
            <w:rFonts w:asciiTheme="minorHAnsi" w:eastAsiaTheme="minorEastAsia" w:hAnsiTheme="minorHAnsi" w:cstheme="minorBidi"/>
            <w:sz w:val="22"/>
            <w:szCs w:val="22"/>
          </w:rPr>
          <w:tab/>
        </w:r>
        <w:r w:rsidR="00EA0A58" w:rsidRPr="009521C3">
          <w:rPr>
            <w:rStyle w:val="Hyperlink"/>
            <w:rFonts w:ascii="Arial" w:hAnsi="Arial"/>
          </w:rPr>
          <w:t>Beta-Attenuation Monitor (BAM)</w:t>
        </w:r>
        <w:r w:rsidR="00EA0A58">
          <w:rPr>
            <w:webHidden/>
          </w:rPr>
          <w:tab/>
        </w:r>
        <w:r>
          <w:rPr>
            <w:webHidden/>
          </w:rPr>
          <w:fldChar w:fldCharType="begin"/>
        </w:r>
        <w:r w:rsidR="00EA0A58">
          <w:rPr>
            <w:webHidden/>
          </w:rPr>
          <w:instrText xml:space="preserve"> PAGEREF _Toc394011172 \h </w:instrText>
        </w:r>
        <w:r>
          <w:rPr>
            <w:webHidden/>
          </w:rPr>
        </w:r>
        <w:r>
          <w:rPr>
            <w:webHidden/>
          </w:rPr>
          <w:fldChar w:fldCharType="separate"/>
        </w:r>
        <w:r w:rsidR="0085182E">
          <w:rPr>
            <w:webHidden/>
          </w:rPr>
          <w:t>110</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73" w:history="1">
        <w:r w:rsidR="00EA0A58" w:rsidRPr="009521C3">
          <w:rPr>
            <w:rStyle w:val="Hyperlink"/>
            <w:rFonts w:ascii="Arial" w:hAnsi="Arial"/>
            <w:lang w:eastAsia="en-US"/>
          </w:rPr>
          <w:t>B.2.4</w:t>
        </w:r>
        <w:r w:rsidR="00EA0A58">
          <w:rPr>
            <w:rFonts w:asciiTheme="minorHAnsi" w:eastAsiaTheme="minorEastAsia" w:hAnsiTheme="minorHAnsi" w:cstheme="minorBidi"/>
            <w:sz w:val="22"/>
            <w:szCs w:val="22"/>
          </w:rPr>
          <w:tab/>
        </w:r>
        <w:r w:rsidR="00EA0A58" w:rsidRPr="009521C3">
          <w:rPr>
            <w:rStyle w:val="Hyperlink"/>
            <w:rFonts w:ascii="Arial" w:hAnsi="Arial"/>
            <w:lang w:eastAsia="en-US"/>
          </w:rPr>
          <w:t>Partisol</w:t>
        </w:r>
        <w:r w:rsidR="00EA0A58">
          <w:rPr>
            <w:webHidden/>
          </w:rPr>
          <w:tab/>
        </w:r>
        <w:r>
          <w:rPr>
            <w:webHidden/>
          </w:rPr>
          <w:fldChar w:fldCharType="begin"/>
        </w:r>
        <w:r w:rsidR="00EA0A58">
          <w:rPr>
            <w:webHidden/>
          </w:rPr>
          <w:instrText xml:space="preserve"> PAGEREF _Toc394011173 \h </w:instrText>
        </w:r>
        <w:r>
          <w:rPr>
            <w:webHidden/>
          </w:rPr>
        </w:r>
        <w:r>
          <w:rPr>
            <w:webHidden/>
          </w:rPr>
          <w:fldChar w:fldCharType="separate"/>
        </w:r>
        <w:r w:rsidR="0085182E">
          <w:rPr>
            <w:webHidden/>
          </w:rPr>
          <w:t>111</w:t>
        </w:r>
        <w:r>
          <w:rPr>
            <w:webHidden/>
          </w:rPr>
          <w:fldChar w:fldCharType="end"/>
        </w:r>
      </w:hyperlink>
    </w:p>
    <w:p w:rsidR="00EA0A58" w:rsidRDefault="00BF6019">
      <w:pPr>
        <w:pStyle w:val="TOC3"/>
        <w:rPr>
          <w:rFonts w:asciiTheme="minorHAnsi" w:eastAsiaTheme="minorEastAsia" w:hAnsiTheme="minorHAnsi" w:cstheme="minorBidi"/>
          <w:sz w:val="22"/>
          <w:szCs w:val="22"/>
        </w:rPr>
      </w:pPr>
      <w:hyperlink w:anchor="_Toc394011174" w:history="1">
        <w:r w:rsidR="00EA0A58" w:rsidRPr="009521C3">
          <w:rPr>
            <w:rStyle w:val="Hyperlink"/>
            <w:rFonts w:ascii="Arial" w:hAnsi="Arial"/>
          </w:rPr>
          <w:t>B.2.5</w:t>
        </w:r>
        <w:r w:rsidR="00EA0A58">
          <w:rPr>
            <w:rFonts w:asciiTheme="minorHAnsi" w:eastAsiaTheme="minorEastAsia" w:hAnsiTheme="minorHAnsi" w:cstheme="minorBidi"/>
            <w:sz w:val="22"/>
            <w:szCs w:val="22"/>
          </w:rPr>
          <w:tab/>
        </w:r>
        <w:r w:rsidR="00EA0A58" w:rsidRPr="009521C3">
          <w:rPr>
            <w:rStyle w:val="Hyperlink"/>
            <w:rFonts w:ascii="Arial" w:hAnsi="Arial"/>
          </w:rPr>
          <w:t>Optical monitors</w:t>
        </w:r>
        <w:r w:rsidR="00EA0A58">
          <w:rPr>
            <w:webHidden/>
          </w:rPr>
          <w:tab/>
        </w:r>
        <w:r>
          <w:rPr>
            <w:webHidden/>
          </w:rPr>
          <w:fldChar w:fldCharType="begin"/>
        </w:r>
        <w:r w:rsidR="00EA0A58">
          <w:rPr>
            <w:webHidden/>
          </w:rPr>
          <w:instrText xml:space="preserve"> PAGEREF _Toc394011174 \h </w:instrText>
        </w:r>
        <w:r>
          <w:rPr>
            <w:webHidden/>
          </w:rPr>
        </w:r>
        <w:r>
          <w:rPr>
            <w:webHidden/>
          </w:rPr>
          <w:fldChar w:fldCharType="separate"/>
        </w:r>
        <w:r w:rsidR="0085182E">
          <w:rPr>
            <w:webHidden/>
          </w:rPr>
          <w:t>111</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75" w:history="1">
        <w:r w:rsidR="00EA0A58" w:rsidRPr="009521C3">
          <w:rPr>
            <w:rStyle w:val="Hyperlink"/>
            <w:rFonts w:ascii="Arial" w:hAnsi="Arial"/>
          </w:rPr>
          <w:t>B.3</w:t>
        </w:r>
        <w:r w:rsidR="00EA0A58">
          <w:rPr>
            <w:rFonts w:asciiTheme="minorHAnsi" w:eastAsiaTheme="minorEastAsia" w:hAnsiTheme="minorHAnsi" w:cstheme="minorBidi"/>
            <w:sz w:val="22"/>
            <w:szCs w:val="22"/>
          </w:rPr>
          <w:tab/>
        </w:r>
        <w:r w:rsidR="00EA0A58" w:rsidRPr="009521C3">
          <w:rPr>
            <w:rStyle w:val="Hyperlink"/>
            <w:rFonts w:ascii="Arial" w:hAnsi="Arial"/>
          </w:rPr>
          <w:t>Equivalence and adjustment</w:t>
        </w:r>
        <w:r w:rsidR="00EA0A58">
          <w:rPr>
            <w:webHidden/>
          </w:rPr>
          <w:tab/>
        </w:r>
        <w:r>
          <w:rPr>
            <w:webHidden/>
          </w:rPr>
          <w:fldChar w:fldCharType="begin"/>
        </w:r>
        <w:r w:rsidR="00EA0A58">
          <w:rPr>
            <w:webHidden/>
          </w:rPr>
          <w:instrText xml:space="preserve"> PAGEREF _Toc394011175 \h </w:instrText>
        </w:r>
        <w:r>
          <w:rPr>
            <w:webHidden/>
          </w:rPr>
        </w:r>
        <w:r>
          <w:rPr>
            <w:webHidden/>
          </w:rPr>
          <w:fldChar w:fldCharType="separate"/>
        </w:r>
        <w:r w:rsidR="0085182E">
          <w:rPr>
            <w:webHidden/>
          </w:rPr>
          <w:t>111</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76" w:history="1">
        <w:r w:rsidR="00EA0A58" w:rsidRPr="009521C3">
          <w:rPr>
            <w:rStyle w:val="Hyperlink"/>
            <w:rFonts w:ascii="Arial" w:hAnsi="Arial"/>
          </w:rPr>
          <w:t>B.4</w:t>
        </w:r>
        <w:r w:rsidR="00EA0A58">
          <w:rPr>
            <w:rFonts w:asciiTheme="minorHAnsi" w:eastAsiaTheme="minorEastAsia" w:hAnsiTheme="minorHAnsi" w:cstheme="minorBidi"/>
            <w:sz w:val="22"/>
            <w:szCs w:val="22"/>
          </w:rPr>
          <w:tab/>
        </w:r>
        <w:r w:rsidR="00EA0A58" w:rsidRPr="009521C3">
          <w:rPr>
            <w:rStyle w:val="Hyperlink"/>
            <w:rFonts w:ascii="Arial" w:hAnsi="Arial"/>
          </w:rPr>
          <w:t>Implications for Australia</w:t>
        </w:r>
        <w:r w:rsidR="00EA0A58">
          <w:rPr>
            <w:webHidden/>
          </w:rPr>
          <w:tab/>
        </w:r>
        <w:r>
          <w:rPr>
            <w:webHidden/>
          </w:rPr>
          <w:fldChar w:fldCharType="begin"/>
        </w:r>
        <w:r w:rsidR="00EA0A58">
          <w:rPr>
            <w:webHidden/>
          </w:rPr>
          <w:instrText xml:space="preserve"> PAGEREF _Toc394011176 \h </w:instrText>
        </w:r>
        <w:r>
          <w:rPr>
            <w:webHidden/>
          </w:rPr>
        </w:r>
        <w:r>
          <w:rPr>
            <w:webHidden/>
          </w:rPr>
          <w:fldChar w:fldCharType="separate"/>
        </w:r>
        <w:r w:rsidR="0085182E">
          <w:rPr>
            <w:webHidden/>
          </w:rPr>
          <w:t>111</w:t>
        </w:r>
        <w:r>
          <w:rPr>
            <w:webHidden/>
          </w:rPr>
          <w:fldChar w:fldCharType="end"/>
        </w:r>
      </w:hyperlink>
    </w:p>
    <w:p w:rsidR="00EA0A58" w:rsidRDefault="00BF6019">
      <w:pPr>
        <w:pStyle w:val="TOC1"/>
        <w:rPr>
          <w:rFonts w:asciiTheme="minorHAnsi" w:eastAsiaTheme="minorEastAsia" w:hAnsiTheme="minorHAnsi" w:cstheme="minorBidi"/>
          <w:bCs w:val="0"/>
          <w:caps w:val="0"/>
          <w:sz w:val="22"/>
          <w:szCs w:val="22"/>
          <w:lang w:eastAsia="en-AU"/>
        </w:rPr>
      </w:pPr>
      <w:hyperlink w:anchor="_Toc394011177" w:history="1">
        <w:r w:rsidR="00EA0A58" w:rsidRPr="009521C3">
          <w:rPr>
            <w:rStyle w:val="Hyperlink"/>
            <w:rFonts w:ascii="Arial" w:hAnsi="Arial" w:cs="Arial"/>
          </w:rPr>
          <w:t>Appendix C enHealth recommendations</w:t>
        </w:r>
        <w:r w:rsidR="00EA0A58">
          <w:rPr>
            <w:webHidden/>
          </w:rPr>
          <w:tab/>
        </w:r>
        <w:r>
          <w:rPr>
            <w:webHidden/>
          </w:rPr>
          <w:fldChar w:fldCharType="begin"/>
        </w:r>
        <w:r w:rsidR="00EA0A58">
          <w:rPr>
            <w:webHidden/>
          </w:rPr>
          <w:instrText xml:space="preserve"> PAGEREF _Toc394011177 \h </w:instrText>
        </w:r>
        <w:r>
          <w:rPr>
            <w:webHidden/>
          </w:rPr>
        </w:r>
        <w:r>
          <w:rPr>
            <w:webHidden/>
          </w:rPr>
          <w:fldChar w:fldCharType="separate"/>
        </w:r>
        <w:r w:rsidR="0085182E">
          <w:rPr>
            <w:webHidden/>
          </w:rPr>
          <w:t>113</w:t>
        </w:r>
        <w:r>
          <w:rPr>
            <w:webHidden/>
          </w:rPr>
          <w:fldChar w:fldCharType="end"/>
        </w:r>
      </w:hyperlink>
    </w:p>
    <w:p w:rsidR="00EA0A58" w:rsidRDefault="00BF6019">
      <w:pPr>
        <w:pStyle w:val="TOC1"/>
        <w:rPr>
          <w:rFonts w:asciiTheme="minorHAnsi" w:eastAsiaTheme="minorEastAsia" w:hAnsiTheme="minorHAnsi" w:cstheme="minorBidi"/>
          <w:bCs w:val="0"/>
          <w:caps w:val="0"/>
          <w:sz w:val="22"/>
          <w:szCs w:val="22"/>
          <w:lang w:eastAsia="en-AU"/>
        </w:rPr>
      </w:pPr>
      <w:hyperlink w:anchor="_Toc394011178" w:history="1">
        <w:r w:rsidR="00EA0A58" w:rsidRPr="009521C3">
          <w:rPr>
            <w:rStyle w:val="Hyperlink"/>
            <w:rFonts w:ascii="Arial" w:hAnsi="Arial" w:cs="Arial"/>
          </w:rPr>
          <w:t>Appendix D PM</w:t>
        </w:r>
        <w:r w:rsidR="00EA0A58" w:rsidRPr="009521C3">
          <w:rPr>
            <w:rStyle w:val="Hyperlink"/>
            <w:rFonts w:ascii="Arial" w:hAnsi="Arial" w:cs="Arial"/>
            <w:vertAlign w:val="subscript"/>
          </w:rPr>
          <w:t>10</w:t>
        </w:r>
        <w:r w:rsidR="00EA0A58" w:rsidRPr="009521C3">
          <w:rPr>
            <w:rStyle w:val="Hyperlink"/>
            <w:rFonts w:ascii="Arial" w:hAnsi="Arial" w:cs="Arial"/>
          </w:rPr>
          <w:t xml:space="preserve"> and PM</w:t>
        </w:r>
        <w:r w:rsidR="00EA0A58" w:rsidRPr="009521C3">
          <w:rPr>
            <w:rStyle w:val="Hyperlink"/>
            <w:rFonts w:ascii="Arial" w:hAnsi="Arial" w:cs="Arial"/>
            <w:vertAlign w:val="subscript"/>
          </w:rPr>
          <w:t>2.5</w:t>
        </w:r>
        <w:r w:rsidR="00EA0A58" w:rsidRPr="009521C3">
          <w:rPr>
            <w:rStyle w:val="Hyperlink"/>
            <w:rFonts w:ascii="Arial" w:hAnsi="Arial" w:cs="Arial"/>
          </w:rPr>
          <w:t xml:space="preserve"> monitoring sites in australia</w:t>
        </w:r>
        <w:r w:rsidR="00EA0A58">
          <w:rPr>
            <w:webHidden/>
          </w:rPr>
          <w:tab/>
        </w:r>
        <w:r>
          <w:rPr>
            <w:webHidden/>
          </w:rPr>
          <w:fldChar w:fldCharType="begin"/>
        </w:r>
        <w:r w:rsidR="00EA0A58">
          <w:rPr>
            <w:webHidden/>
          </w:rPr>
          <w:instrText xml:space="preserve"> PAGEREF _Toc394011178 \h </w:instrText>
        </w:r>
        <w:r>
          <w:rPr>
            <w:webHidden/>
          </w:rPr>
        </w:r>
        <w:r>
          <w:rPr>
            <w:webHidden/>
          </w:rPr>
          <w:fldChar w:fldCharType="separate"/>
        </w:r>
        <w:r w:rsidR="0085182E">
          <w:rPr>
            <w:webHidden/>
          </w:rPr>
          <w:t>117</w:t>
        </w:r>
        <w:r>
          <w:rPr>
            <w:webHidden/>
          </w:rPr>
          <w:fldChar w:fldCharType="end"/>
        </w:r>
      </w:hyperlink>
    </w:p>
    <w:p w:rsidR="00EA0A58" w:rsidRDefault="00BF6019">
      <w:pPr>
        <w:pStyle w:val="TOC1"/>
        <w:rPr>
          <w:rFonts w:asciiTheme="minorHAnsi" w:eastAsiaTheme="minorEastAsia" w:hAnsiTheme="minorHAnsi" w:cstheme="minorBidi"/>
          <w:bCs w:val="0"/>
          <w:caps w:val="0"/>
          <w:sz w:val="22"/>
          <w:szCs w:val="22"/>
          <w:lang w:eastAsia="en-AU"/>
        </w:rPr>
      </w:pPr>
      <w:hyperlink w:anchor="_Toc394011179" w:history="1">
        <w:r w:rsidR="00EA0A58" w:rsidRPr="009521C3">
          <w:rPr>
            <w:rStyle w:val="Hyperlink"/>
            <w:rFonts w:ascii="Arial" w:hAnsi="Arial" w:cs="Arial"/>
          </w:rPr>
          <w:t>Appendix E Analysis of PM</w:t>
        </w:r>
        <w:r w:rsidR="00EA0A58" w:rsidRPr="009521C3">
          <w:rPr>
            <w:rStyle w:val="Hyperlink"/>
            <w:rFonts w:ascii="Arial" w:hAnsi="Arial" w:cs="Arial"/>
            <w:vertAlign w:val="subscript"/>
          </w:rPr>
          <w:t>10</w:t>
        </w:r>
        <w:r w:rsidR="00EA0A58" w:rsidRPr="009521C3">
          <w:rPr>
            <w:rStyle w:val="Hyperlink"/>
            <w:rFonts w:ascii="Arial" w:hAnsi="Arial" w:cs="Arial"/>
          </w:rPr>
          <w:t xml:space="preserve"> and PM</w:t>
        </w:r>
        <w:r w:rsidR="00EA0A58" w:rsidRPr="009521C3">
          <w:rPr>
            <w:rStyle w:val="Hyperlink"/>
            <w:rFonts w:ascii="Arial" w:hAnsi="Arial" w:cs="Arial"/>
            <w:vertAlign w:val="subscript"/>
          </w:rPr>
          <w:t>2.5</w:t>
        </w:r>
        <w:r w:rsidR="00EA0A58" w:rsidRPr="009521C3">
          <w:rPr>
            <w:rStyle w:val="Hyperlink"/>
            <w:rFonts w:ascii="Arial" w:hAnsi="Arial" w:cs="Arial"/>
          </w:rPr>
          <w:t xml:space="preserve"> monitoring data</w:t>
        </w:r>
        <w:r w:rsidR="00EA0A58">
          <w:rPr>
            <w:webHidden/>
          </w:rPr>
          <w:tab/>
        </w:r>
        <w:r>
          <w:rPr>
            <w:webHidden/>
          </w:rPr>
          <w:fldChar w:fldCharType="begin"/>
        </w:r>
        <w:r w:rsidR="00EA0A58">
          <w:rPr>
            <w:webHidden/>
          </w:rPr>
          <w:instrText xml:space="preserve"> PAGEREF _Toc394011179 \h </w:instrText>
        </w:r>
        <w:r>
          <w:rPr>
            <w:webHidden/>
          </w:rPr>
        </w:r>
        <w:r>
          <w:rPr>
            <w:webHidden/>
          </w:rPr>
          <w:fldChar w:fldCharType="separate"/>
        </w:r>
        <w:r w:rsidR="0085182E">
          <w:rPr>
            <w:webHidden/>
          </w:rPr>
          <w:t>125</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80" w:history="1">
        <w:r w:rsidR="00EA0A58" w:rsidRPr="009521C3">
          <w:rPr>
            <w:rStyle w:val="Hyperlink"/>
            <w:rFonts w:ascii="Arial" w:hAnsi="Arial"/>
          </w:rPr>
          <w:t>E.1</w:t>
        </w:r>
        <w:r w:rsidR="00EA0A58">
          <w:rPr>
            <w:rFonts w:asciiTheme="minorHAnsi" w:eastAsiaTheme="minorEastAsia" w:hAnsiTheme="minorHAnsi" w:cstheme="minorBidi"/>
            <w:sz w:val="22"/>
            <w:szCs w:val="22"/>
          </w:rPr>
          <w:tab/>
        </w:r>
        <w:r w:rsidR="00EA0A58" w:rsidRPr="009521C3">
          <w:rPr>
            <w:rStyle w:val="Hyperlink"/>
            <w:rFonts w:ascii="Arial" w:hAnsi="Arial"/>
          </w:rPr>
          <w:t>Data collection</w:t>
        </w:r>
        <w:r w:rsidR="00EA0A58">
          <w:rPr>
            <w:webHidden/>
          </w:rPr>
          <w:tab/>
        </w:r>
        <w:r>
          <w:rPr>
            <w:webHidden/>
          </w:rPr>
          <w:fldChar w:fldCharType="begin"/>
        </w:r>
        <w:r w:rsidR="00EA0A58">
          <w:rPr>
            <w:webHidden/>
          </w:rPr>
          <w:instrText xml:space="preserve"> PAGEREF _Toc394011180 \h </w:instrText>
        </w:r>
        <w:r>
          <w:rPr>
            <w:webHidden/>
          </w:rPr>
        </w:r>
        <w:r>
          <w:rPr>
            <w:webHidden/>
          </w:rPr>
          <w:fldChar w:fldCharType="separate"/>
        </w:r>
        <w:r w:rsidR="0085182E">
          <w:rPr>
            <w:webHidden/>
          </w:rPr>
          <w:t>126</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81" w:history="1">
        <w:r w:rsidR="00EA0A58" w:rsidRPr="009521C3">
          <w:rPr>
            <w:rStyle w:val="Hyperlink"/>
            <w:rFonts w:ascii="Arial" w:hAnsi="Arial"/>
            <w:lang w:eastAsia="en-US"/>
          </w:rPr>
          <w:t>E.2</w:t>
        </w:r>
        <w:r w:rsidR="00EA0A58">
          <w:rPr>
            <w:rFonts w:asciiTheme="minorHAnsi" w:eastAsiaTheme="minorEastAsia" w:hAnsiTheme="minorHAnsi" w:cstheme="minorBidi"/>
            <w:sz w:val="22"/>
            <w:szCs w:val="22"/>
          </w:rPr>
          <w:tab/>
        </w:r>
        <w:r w:rsidR="00EA0A58" w:rsidRPr="009521C3">
          <w:rPr>
            <w:rStyle w:val="Hyperlink"/>
            <w:rFonts w:ascii="Arial" w:hAnsi="Arial"/>
            <w:lang w:eastAsia="en-US"/>
          </w:rPr>
          <w:t>Inter-annual trends</w:t>
        </w:r>
        <w:r w:rsidR="00EA0A58">
          <w:rPr>
            <w:webHidden/>
          </w:rPr>
          <w:tab/>
        </w:r>
        <w:r>
          <w:rPr>
            <w:webHidden/>
          </w:rPr>
          <w:fldChar w:fldCharType="begin"/>
        </w:r>
        <w:r w:rsidR="00EA0A58">
          <w:rPr>
            <w:webHidden/>
          </w:rPr>
          <w:instrText xml:space="preserve"> PAGEREF _Toc394011181 \h </w:instrText>
        </w:r>
        <w:r>
          <w:rPr>
            <w:webHidden/>
          </w:rPr>
        </w:r>
        <w:r>
          <w:rPr>
            <w:webHidden/>
          </w:rPr>
          <w:fldChar w:fldCharType="separate"/>
        </w:r>
        <w:r w:rsidR="0085182E">
          <w:rPr>
            <w:webHidden/>
          </w:rPr>
          <w:t>126</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82" w:history="1">
        <w:r w:rsidR="00EA0A58" w:rsidRPr="009521C3">
          <w:rPr>
            <w:rStyle w:val="Hyperlink"/>
            <w:rFonts w:ascii="Arial" w:hAnsi="Arial"/>
            <w:lang w:eastAsia="en-US"/>
          </w:rPr>
          <w:t>E.3</w:t>
        </w:r>
        <w:r w:rsidR="00EA0A58">
          <w:rPr>
            <w:rFonts w:asciiTheme="minorHAnsi" w:eastAsiaTheme="minorEastAsia" w:hAnsiTheme="minorHAnsi" w:cstheme="minorBidi"/>
            <w:sz w:val="22"/>
            <w:szCs w:val="22"/>
          </w:rPr>
          <w:tab/>
        </w:r>
        <w:r w:rsidR="00EA0A58" w:rsidRPr="009521C3">
          <w:rPr>
            <w:rStyle w:val="Hyperlink"/>
            <w:rFonts w:ascii="Arial" w:hAnsi="Arial"/>
            <w:lang w:eastAsia="en-US"/>
          </w:rPr>
          <w:t>Seasonal patterns</w:t>
        </w:r>
        <w:r w:rsidR="00EA0A58">
          <w:rPr>
            <w:webHidden/>
          </w:rPr>
          <w:tab/>
        </w:r>
        <w:r>
          <w:rPr>
            <w:webHidden/>
          </w:rPr>
          <w:fldChar w:fldCharType="begin"/>
        </w:r>
        <w:r w:rsidR="00EA0A58">
          <w:rPr>
            <w:webHidden/>
          </w:rPr>
          <w:instrText xml:space="preserve"> PAGEREF _Toc394011182 \h </w:instrText>
        </w:r>
        <w:r>
          <w:rPr>
            <w:webHidden/>
          </w:rPr>
        </w:r>
        <w:r>
          <w:rPr>
            <w:webHidden/>
          </w:rPr>
          <w:fldChar w:fldCharType="separate"/>
        </w:r>
        <w:r w:rsidR="0085182E">
          <w:rPr>
            <w:webHidden/>
          </w:rPr>
          <w:t>133</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83" w:history="1">
        <w:r w:rsidR="00EA0A58" w:rsidRPr="009521C3">
          <w:rPr>
            <w:rStyle w:val="Hyperlink"/>
            <w:rFonts w:ascii="Arial" w:hAnsi="Arial"/>
            <w:lang w:eastAsia="en-US"/>
          </w:rPr>
          <w:t>E.4</w:t>
        </w:r>
        <w:r w:rsidR="00EA0A58">
          <w:rPr>
            <w:rFonts w:asciiTheme="minorHAnsi" w:eastAsiaTheme="minorEastAsia" w:hAnsiTheme="minorHAnsi" w:cstheme="minorBidi"/>
            <w:sz w:val="22"/>
            <w:szCs w:val="22"/>
          </w:rPr>
          <w:tab/>
        </w:r>
        <w:r w:rsidR="00EA0A58" w:rsidRPr="009521C3">
          <w:rPr>
            <w:rStyle w:val="Hyperlink"/>
            <w:rFonts w:ascii="Arial" w:hAnsi="Arial"/>
            <w:lang w:eastAsia="en-US"/>
          </w:rPr>
          <w:t>Daily trends</w:t>
        </w:r>
        <w:r w:rsidR="00EA0A58">
          <w:rPr>
            <w:webHidden/>
          </w:rPr>
          <w:tab/>
        </w:r>
        <w:r>
          <w:rPr>
            <w:webHidden/>
          </w:rPr>
          <w:fldChar w:fldCharType="begin"/>
        </w:r>
        <w:r w:rsidR="00EA0A58">
          <w:rPr>
            <w:webHidden/>
          </w:rPr>
          <w:instrText xml:space="preserve"> PAGEREF _Toc394011183 \h </w:instrText>
        </w:r>
        <w:r>
          <w:rPr>
            <w:webHidden/>
          </w:rPr>
        </w:r>
        <w:r>
          <w:rPr>
            <w:webHidden/>
          </w:rPr>
          <w:fldChar w:fldCharType="separate"/>
        </w:r>
        <w:r w:rsidR="0085182E">
          <w:rPr>
            <w:webHidden/>
          </w:rPr>
          <w:t>139</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84" w:history="1">
        <w:r w:rsidR="00EA0A58" w:rsidRPr="009521C3">
          <w:rPr>
            <w:rStyle w:val="Hyperlink"/>
            <w:rFonts w:ascii="Arial" w:hAnsi="Arial"/>
          </w:rPr>
          <w:t>E.5</w:t>
        </w:r>
        <w:r w:rsidR="00EA0A58">
          <w:rPr>
            <w:rFonts w:asciiTheme="minorHAnsi" w:eastAsiaTheme="minorEastAsia" w:hAnsiTheme="minorHAnsi" w:cstheme="minorBidi"/>
            <w:sz w:val="22"/>
            <w:szCs w:val="22"/>
          </w:rPr>
          <w:tab/>
        </w:r>
        <w:r w:rsidR="00EA0A58" w:rsidRPr="009521C3">
          <w:rPr>
            <w:rStyle w:val="Hyperlink"/>
            <w:rFonts w:ascii="Arial" w:hAnsi="Arial"/>
          </w:rPr>
          <w:t>Geographical variations</w:t>
        </w:r>
        <w:r w:rsidR="00EA0A58">
          <w:rPr>
            <w:webHidden/>
          </w:rPr>
          <w:tab/>
        </w:r>
        <w:r>
          <w:rPr>
            <w:webHidden/>
          </w:rPr>
          <w:fldChar w:fldCharType="begin"/>
        </w:r>
        <w:r w:rsidR="00EA0A58">
          <w:rPr>
            <w:webHidden/>
          </w:rPr>
          <w:instrText xml:space="preserve"> PAGEREF _Toc394011184 \h </w:instrText>
        </w:r>
        <w:r>
          <w:rPr>
            <w:webHidden/>
          </w:rPr>
        </w:r>
        <w:r>
          <w:rPr>
            <w:webHidden/>
          </w:rPr>
          <w:fldChar w:fldCharType="separate"/>
        </w:r>
        <w:r w:rsidR="0085182E">
          <w:rPr>
            <w:webHidden/>
          </w:rPr>
          <w:t>139</w:t>
        </w:r>
        <w:r>
          <w:rPr>
            <w:webHidden/>
          </w:rPr>
          <w:fldChar w:fldCharType="end"/>
        </w:r>
      </w:hyperlink>
    </w:p>
    <w:p w:rsidR="00EA0A58" w:rsidRDefault="00BF6019">
      <w:pPr>
        <w:pStyle w:val="TOC2"/>
        <w:rPr>
          <w:rFonts w:asciiTheme="minorHAnsi" w:eastAsiaTheme="minorEastAsia" w:hAnsiTheme="minorHAnsi" w:cstheme="minorBidi"/>
          <w:sz w:val="22"/>
          <w:szCs w:val="22"/>
        </w:rPr>
      </w:pPr>
      <w:hyperlink w:anchor="_Toc394011185" w:history="1">
        <w:r w:rsidR="00EA0A58" w:rsidRPr="009521C3">
          <w:rPr>
            <w:rStyle w:val="Hyperlink"/>
            <w:rFonts w:ascii="Arial" w:hAnsi="Arial"/>
          </w:rPr>
          <w:t>E.6</w:t>
        </w:r>
        <w:r w:rsidR="00EA0A58">
          <w:rPr>
            <w:rFonts w:asciiTheme="minorHAnsi" w:eastAsiaTheme="minorEastAsia" w:hAnsiTheme="minorHAnsi" w:cstheme="minorBidi"/>
            <w:sz w:val="22"/>
            <w:szCs w:val="22"/>
          </w:rPr>
          <w:tab/>
        </w:r>
        <w:r w:rsidR="00EA0A58" w:rsidRPr="009521C3">
          <w:rPr>
            <w:rStyle w:val="Hyperlink"/>
            <w:rFonts w:ascii="Arial" w:hAnsi="Arial"/>
          </w:rPr>
          <w:t>Exceedances of air quality standards</w:t>
        </w:r>
        <w:r w:rsidR="00EA0A58">
          <w:rPr>
            <w:webHidden/>
          </w:rPr>
          <w:tab/>
        </w:r>
        <w:r>
          <w:rPr>
            <w:webHidden/>
          </w:rPr>
          <w:fldChar w:fldCharType="begin"/>
        </w:r>
        <w:r w:rsidR="00EA0A58">
          <w:rPr>
            <w:webHidden/>
          </w:rPr>
          <w:instrText xml:space="preserve"> PAGEREF _Toc394011185 \h </w:instrText>
        </w:r>
        <w:r>
          <w:rPr>
            <w:webHidden/>
          </w:rPr>
        </w:r>
        <w:r>
          <w:rPr>
            <w:webHidden/>
          </w:rPr>
          <w:fldChar w:fldCharType="separate"/>
        </w:r>
        <w:r w:rsidR="0085182E">
          <w:rPr>
            <w:webHidden/>
          </w:rPr>
          <w:t>141</w:t>
        </w:r>
        <w:r>
          <w:rPr>
            <w:webHidden/>
          </w:rPr>
          <w:fldChar w:fldCharType="end"/>
        </w:r>
      </w:hyperlink>
    </w:p>
    <w:p w:rsidR="00EA0A58" w:rsidRDefault="00BF6019">
      <w:pPr>
        <w:pStyle w:val="TOC1"/>
        <w:rPr>
          <w:rFonts w:asciiTheme="minorHAnsi" w:eastAsiaTheme="minorEastAsia" w:hAnsiTheme="minorHAnsi" w:cstheme="minorBidi"/>
          <w:bCs w:val="0"/>
          <w:caps w:val="0"/>
          <w:sz w:val="22"/>
          <w:szCs w:val="22"/>
          <w:lang w:eastAsia="en-AU"/>
        </w:rPr>
      </w:pPr>
      <w:hyperlink w:anchor="_Toc394011186" w:history="1">
        <w:r w:rsidR="00EA0A58" w:rsidRPr="009521C3">
          <w:rPr>
            <w:rStyle w:val="Hyperlink"/>
            <w:rFonts w:ascii="Arial" w:hAnsi="Arial" w:cs="Arial"/>
          </w:rPr>
          <w:t>Appendix F Summary of questions for consultation</w:t>
        </w:r>
        <w:r w:rsidR="00EA0A58">
          <w:rPr>
            <w:webHidden/>
          </w:rPr>
          <w:tab/>
        </w:r>
        <w:r>
          <w:rPr>
            <w:webHidden/>
          </w:rPr>
          <w:fldChar w:fldCharType="begin"/>
        </w:r>
        <w:r w:rsidR="00EA0A58">
          <w:rPr>
            <w:webHidden/>
          </w:rPr>
          <w:instrText xml:space="preserve"> PAGEREF _Toc394011186 \h </w:instrText>
        </w:r>
        <w:r>
          <w:rPr>
            <w:webHidden/>
          </w:rPr>
        </w:r>
        <w:r>
          <w:rPr>
            <w:webHidden/>
          </w:rPr>
          <w:fldChar w:fldCharType="separate"/>
        </w:r>
        <w:r w:rsidR="0085182E">
          <w:rPr>
            <w:webHidden/>
          </w:rPr>
          <w:t>149</w:t>
        </w:r>
        <w:r>
          <w:rPr>
            <w:webHidden/>
          </w:rPr>
          <w:fldChar w:fldCharType="end"/>
        </w:r>
      </w:hyperlink>
    </w:p>
    <w:p w:rsidR="00D32C73" w:rsidRPr="007428E2" w:rsidRDefault="00BF6019" w:rsidP="00D32C73">
      <w:pPr>
        <w:pStyle w:val="HeadingTOC"/>
        <w:spacing w:after="360"/>
        <w:rPr>
          <w:rFonts w:ascii="Arial" w:hAnsi="Arial" w:cs="Arial"/>
        </w:rPr>
        <w:sectPr w:rsidR="00D32C73" w:rsidRPr="007428E2" w:rsidSect="006A5626">
          <w:headerReference w:type="even" r:id="rId16"/>
          <w:headerReference w:type="default" r:id="rId17"/>
          <w:footerReference w:type="even" r:id="rId18"/>
          <w:footerReference w:type="default" r:id="rId19"/>
          <w:headerReference w:type="first" r:id="rId20"/>
          <w:pgSz w:w="11906" w:h="16838" w:code="9"/>
          <w:pgMar w:top="1440" w:right="1440" w:bottom="1440" w:left="1440" w:header="284" w:footer="244" w:gutter="0"/>
          <w:pgNumType w:fmt="lowerRoman"/>
          <w:cols w:space="255"/>
          <w:docGrid w:linePitch="360"/>
        </w:sectPr>
      </w:pPr>
      <w:r w:rsidRPr="007428E2">
        <w:rPr>
          <w:rFonts w:ascii="Arial" w:hAnsi="Arial" w:cs="Arial"/>
        </w:rPr>
        <w:fldChar w:fldCharType="end"/>
      </w:r>
    </w:p>
    <w:p w:rsidR="00002132" w:rsidRPr="007428E2" w:rsidRDefault="00002132" w:rsidP="00AA0C0D">
      <w:pPr>
        <w:pStyle w:val="ESHeading1"/>
        <w:spacing w:after="240"/>
        <w:rPr>
          <w:rFonts w:ascii="Arial" w:hAnsi="Arial" w:cs="Arial"/>
        </w:rPr>
      </w:pPr>
      <w:bookmarkStart w:id="0" w:name="_Toc394011066"/>
      <w:r w:rsidRPr="007428E2">
        <w:rPr>
          <w:rFonts w:ascii="Arial" w:hAnsi="Arial" w:cs="Arial"/>
        </w:rPr>
        <w:lastRenderedPageBreak/>
        <w:t>Executive Summary</w:t>
      </w:r>
      <w:bookmarkEnd w:id="0"/>
    </w:p>
    <w:p w:rsidR="00BA1CC8" w:rsidRPr="007428E2" w:rsidRDefault="00871190" w:rsidP="007B7983">
      <w:pPr>
        <w:pStyle w:val="ES1"/>
        <w:spacing w:after="200"/>
        <w:rPr>
          <w:rFonts w:ascii="Arial" w:hAnsi="Arial" w:cs="Arial"/>
        </w:rPr>
      </w:pPr>
      <w:r w:rsidRPr="007428E2">
        <w:rPr>
          <w:rFonts w:ascii="Arial" w:hAnsi="Arial" w:cs="Arial"/>
        </w:rPr>
        <w:t>Introduction</w:t>
      </w:r>
    </w:p>
    <w:p w:rsidR="00895C6E" w:rsidRPr="007428E2" w:rsidRDefault="00370A25" w:rsidP="00AA0C0D">
      <w:pPr>
        <w:spacing w:after="200"/>
        <w:rPr>
          <w:rFonts w:ascii="Arial" w:hAnsi="Arial" w:cs="Arial"/>
        </w:rPr>
      </w:pPr>
      <w:r w:rsidRPr="007428E2">
        <w:rPr>
          <w:rFonts w:ascii="Arial" w:hAnsi="Arial" w:cs="Arial"/>
        </w:rPr>
        <w:t>T</w:t>
      </w:r>
      <w:r w:rsidR="00895C6E" w:rsidRPr="007428E2">
        <w:rPr>
          <w:rFonts w:ascii="Arial" w:hAnsi="Arial" w:cs="Arial"/>
        </w:rPr>
        <w:t>he National Environment Protection (Ambient Air Quality) Measure</w:t>
      </w:r>
      <w:r w:rsidR="00F23D64" w:rsidRPr="007428E2">
        <w:rPr>
          <w:rFonts w:ascii="Arial" w:hAnsi="Arial" w:cs="Arial"/>
        </w:rPr>
        <w:t xml:space="preserve"> (AAQ NEPM)</w:t>
      </w:r>
      <w:r w:rsidR="004B4989" w:rsidRPr="007428E2">
        <w:rPr>
          <w:rFonts w:ascii="Arial" w:hAnsi="Arial" w:cs="Arial"/>
        </w:rPr>
        <w:t xml:space="preserve"> </w:t>
      </w:r>
      <w:r w:rsidR="00895C6E" w:rsidRPr="007428E2">
        <w:rPr>
          <w:rFonts w:ascii="Arial" w:hAnsi="Arial" w:cs="Arial"/>
        </w:rPr>
        <w:t>establishe</w:t>
      </w:r>
      <w:r w:rsidRPr="007428E2">
        <w:rPr>
          <w:rFonts w:ascii="Arial" w:hAnsi="Arial" w:cs="Arial"/>
        </w:rPr>
        <w:t>s</w:t>
      </w:r>
      <w:r w:rsidR="00895C6E" w:rsidRPr="007428E2">
        <w:rPr>
          <w:rFonts w:ascii="Arial" w:hAnsi="Arial" w:cs="Arial"/>
        </w:rPr>
        <w:t xml:space="preserve"> national standards and a </w:t>
      </w:r>
      <w:r w:rsidR="00D21E45" w:rsidRPr="007428E2">
        <w:rPr>
          <w:rFonts w:ascii="Arial" w:hAnsi="Arial" w:cs="Arial"/>
        </w:rPr>
        <w:t xml:space="preserve">nationally </w:t>
      </w:r>
      <w:r w:rsidR="00895C6E" w:rsidRPr="007428E2">
        <w:rPr>
          <w:rFonts w:ascii="Arial" w:hAnsi="Arial" w:cs="Arial"/>
        </w:rPr>
        <w:t xml:space="preserve">consistent framework for the monitoring and reporting </w:t>
      </w:r>
      <w:r w:rsidR="00D21E45" w:rsidRPr="007428E2">
        <w:rPr>
          <w:rFonts w:ascii="Arial" w:hAnsi="Arial" w:cs="Arial"/>
        </w:rPr>
        <w:t>for six common air pollutants</w:t>
      </w:r>
      <w:r w:rsidR="00895C6E" w:rsidRPr="007428E2">
        <w:rPr>
          <w:rFonts w:ascii="Arial" w:hAnsi="Arial" w:cs="Arial"/>
        </w:rPr>
        <w:t>. The pollutants are:</w:t>
      </w:r>
    </w:p>
    <w:tbl>
      <w:tblPr>
        <w:tblW w:w="0" w:type="auto"/>
        <w:tblInd w:w="108" w:type="dxa"/>
        <w:tblLook w:val="04A0"/>
      </w:tblPr>
      <w:tblGrid>
        <w:gridCol w:w="2835"/>
        <w:gridCol w:w="5529"/>
      </w:tblGrid>
      <w:tr w:rsidR="00895C6E" w:rsidRPr="007428E2" w:rsidTr="009B5493">
        <w:trPr>
          <w:trHeight w:val="1285"/>
        </w:trPr>
        <w:tc>
          <w:tcPr>
            <w:tcW w:w="2835" w:type="dxa"/>
            <w:shd w:val="clear" w:color="auto" w:fill="auto"/>
          </w:tcPr>
          <w:p w:rsidR="00895C6E" w:rsidRPr="007428E2" w:rsidRDefault="00FA793F" w:rsidP="002A2116">
            <w:pPr>
              <w:pStyle w:val="BulletCubes"/>
              <w:numPr>
                <w:ilvl w:val="0"/>
                <w:numId w:val="1"/>
              </w:numPr>
              <w:tabs>
                <w:tab w:val="clear" w:pos="3060"/>
                <w:tab w:val="left" w:pos="459"/>
              </w:tabs>
              <w:spacing w:before="0" w:line="240" w:lineRule="auto"/>
              <w:ind w:left="460" w:right="0" w:hanging="284"/>
              <w:jc w:val="left"/>
              <w:rPr>
                <w:rFonts w:ascii="Arial" w:hAnsi="Arial" w:cs="Arial"/>
                <w:color w:val="auto"/>
                <w:lang w:val="en-AU"/>
              </w:rPr>
            </w:pPr>
            <w:r w:rsidRPr="007428E2">
              <w:rPr>
                <w:rFonts w:ascii="Arial" w:hAnsi="Arial" w:cs="Arial"/>
                <w:color w:val="auto"/>
                <w:lang w:val="en-AU"/>
              </w:rPr>
              <w:t>c</w:t>
            </w:r>
            <w:r w:rsidR="00895C6E" w:rsidRPr="007428E2">
              <w:rPr>
                <w:rFonts w:ascii="Arial" w:hAnsi="Arial" w:cs="Arial"/>
                <w:color w:val="auto"/>
                <w:lang w:val="en-AU"/>
              </w:rPr>
              <w:t>arbon monoxide (CO)</w:t>
            </w:r>
          </w:p>
          <w:p w:rsidR="00895C6E" w:rsidRPr="007428E2" w:rsidRDefault="00FA793F" w:rsidP="002A2116">
            <w:pPr>
              <w:pStyle w:val="BulletCubes"/>
              <w:numPr>
                <w:ilvl w:val="0"/>
                <w:numId w:val="1"/>
              </w:numPr>
              <w:tabs>
                <w:tab w:val="clear" w:pos="3060"/>
                <w:tab w:val="left" w:pos="459"/>
              </w:tabs>
              <w:spacing w:before="0" w:line="240" w:lineRule="auto"/>
              <w:ind w:left="460" w:right="0" w:hanging="284"/>
              <w:jc w:val="left"/>
              <w:rPr>
                <w:rFonts w:ascii="Arial" w:hAnsi="Arial" w:cs="Arial"/>
                <w:color w:val="auto"/>
                <w:lang w:val="en-AU"/>
              </w:rPr>
            </w:pPr>
            <w:r w:rsidRPr="007428E2">
              <w:rPr>
                <w:rFonts w:ascii="Arial" w:hAnsi="Arial" w:cs="Arial"/>
                <w:color w:val="auto"/>
                <w:lang w:val="en-AU"/>
              </w:rPr>
              <w:t>n</w:t>
            </w:r>
            <w:r w:rsidR="00895C6E" w:rsidRPr="007428E2">
              <w:rPr>
                <w:rFonts w:ascii="Arial" w:hAnsi="Arial" w:cs="Arial"/>
                <w:color w:val="auto"/>
                <w:lang w:val="en-AU"/>
              </w:rPr>
              <w:t>itrogen dioxide (NO</w:t>
            </w:r>
            <w:r w:rsidR="00895C6E" w:rsidRPr="007428E2">
              <w:rPr>
                <w:rFonts w:ascii="Arial" w:hAnsi="Arial" w:cs="Arial"/>
                <w:color w:val="auto"/>
                <w:vertAlign w:val="subscript"/>
                <w:lang w:val="en-AU"/>
              </w:rPr>
              <w:t>2</w:t>
            </w:r>
            <w:r w:rsidR="00895C6E" w:rsidRPr="007428E2">
              <w:rPr>
                <w:rFonts w:ascii="Arial" w:hAnsi="Arial" w:cs="Arial"/>
                <w:color w:val="auto"/>
                <w:lang w:val="en-AU"/>
              </w:rPr>
              <w:t>)</w:t>
            </w:r>
          </w:p>
          <w:p w:rsidR="00895C6E" w:rsidRPr="007428E2" w:rsidRDefault="00FA793F" w:rsidP="002A2116">
            <w:pPr>
              <w:pStyle w:val="BulletCubes"/>
              <w:numPr>
                <w:ilvl w:val="0"/>
                <w:numId w:val="1"/>
              </w:numPr>
              <w:tabs>
                <w:tab w:val="clear" w:pos="3060"/>
                <w:tab w:val="left" w:pos="459"/>
              </w:tabs>
              <w:spacing w:before="0" w:after="180" w:line="240" w:lineRule="auto"/>
              <w:ind w:left="459" w:right="0" w:hanging="283"/>
              <w:jc w:val="left"/>
              <w:rPr>
                <w:rFonts w:ascii="Arial" w:hAnsi="Arial" w:cs="Arial"/>
                <w:color w:val="auto"/>
                <w:lang w:val="en-AU"/>
              </w:rPr>
            </w:pPr>
            <w:r w:rsidRPr="007428E2">
              <w:rPr>
                <w:rFonts w:ascii="Arial" w:hAnsi="Arial" w:cs="Arial"/>
                <w:color w:val="auto"/>
                <w:lang w:val="en-AU"/>
              </w:rPr>
              <w:t>s</w:t>
            </w:r>
            <w:r w:rsidR="00895C6E" w:rsidRPr="007428E2">
              <w:rPr>
                <w:rFonts w:ascii="Arial" w:hAnsi="Arial" w:cs="Arial"/>
                <w:color w:val="auto"/>
                <w:lang w:val="en-AU"/>
              </w:rPr>
              <w:t>ulfur dioxide (SO</w:t>
            </w:r>
            <w:r w:rsidR="00895C6E" w:rsidRPr="007428E2">
              <w:rPr>
                <w:rFonts w:ascii="Arial" w:hAnsi="Arial" w:cs="Arial"/>
                <w:color w:val="auto"/>
                <w:vertAlign w:val="subscript"/>
                <w:lang w:val="en-AU"/>
              </w:rPr>
              <w:t>2</w:t>
            </w:r>
            <w:r w:rsidR="00895C6E" w:rsidRPr="007428E2">
              <w:rPr>
                <w:rFonts w:ascii="Arial" w:hAnsi="Arial" w:cs="Arial"/>
                <w:color w:val="auto"/>
                <w:lang w:val="en-AU"/>
              </w:rPr>
              <w:t>)</w:t>
            </w:r>
          </w:p>
        </w:tc>
        <w:tc>
          <w:tcPr>
            <w:tcW w:w="5529" w:type="dxa"/>
            <w:shd w:val="clear" w:color="auto" w:fill="auto"/>
          </w:tcPr>
          <w:p w:rsidR="00895C6E" w:rsidRPr="007428E2" w:rsidRDefault="00FA793F" w:rsidP="002A2116">
            <w:pPr>
              <w:pStyle w:val="BulletCubes"/>
              <w:numPr>
                <w:ilvl w:val="0"/>
                <w:numId w:val="1"/>
              </w:numPr>
              <w:tabs>
                <w:tab w:val="clear" w:pos="3060"/>
                <w:tab w:val="left" w:pos="459"/>
              </w:tabs>
              <w:spacing w:before="0" w:line="240" w:lineRule="auto"/>
              <w:ind w:left="460" w:right="0" w:hanging="284"/>
              <w:jc w:val="left"/>
              <w:rPr>
                <w:rFonts w:ascii="Arial" w:hAnsi="Arial" w:cs="Arial"/>
                <w:color w:val="auto"/>
                <w:lang w:val="en-AU"/>
              </w:rPr>
            </w:pPr>
            <w:r w:rsidRPr="007428E2">
              <w:rPr>
                <w:rFonts w:ascii="Arial" w:hAnsi="Arial" w:cs="Arial"/>
                <w:color w:val="auto"/>
                <w:lang w:val="en-AU"/>
              </w:rPr>
              <w:t>l</w:t>
            </w:r>
            <w:r w:rsidR="00895C6E" w:rsidRPr="007428E2">
              <w:rPr>
                <w:rFonts w:ascii="Arial" w:hAnsi="Arial" w:cs="Arial"/>
                <w:color w:val="auto"/>
                <w:lang w:val="en-AU"/>
              </w:rPr>
              <w:t>ead (</w:t>
            </w:r>
            <w:proofErr w:type="spellStart"/>
            <w:r w:rsidR="00895C6E" w:rsidRPr="007428E2">
              <w:rPr>
                <w:rFonts w:ascii="Arial" w:hAnsi="Arial" w:cs="Arial"/>
                <w:color w:val="auto"/>
                <w:lang w:val="en-AU"/>
              </w:rPr>
              <w:t>Pb</w:t>
            </w:r>
            <w:proofErr w:type="spellEnd"/>
            <w:r w:rsidR="00895C6E" w:rsidRPr="007428E2">
              <w:rPr>
                <w:rFonts w:ascii="Arial" w:hAnsi="Arial" w:cs="Arial"/>
                <w:color w:val="auto"/>
                <w:lang w:val="en-AU"/>
              </w:rPr>
              <w:t>)</w:t>
            </w:r>
          </w:p>
          <w:p w:rsidR="00895C6E" w:rsidRPr="007428E2" w:rsidRDefault="00FA793F" w:rsidP="002A2116">
            <w:pPr>
              <w:pStyle w:val="BulletCubes"/>
              <w:numPr>
                <w:ilvl w:val="0"/>
                <w:numId w:val="1"/>
              </w:numPr>
              <w:tabs>
                <w:tab w:val="clear" w:pos="3060"/>
                <w:tab w:val="left" w:pos="459"/>
              </w:tabs>
              <w:spacing w:before="0" w:line="240" w:lineRule="auto"/>
              <w:ind w:left="460" w:right="0" w:hanging="284"/>
              <w:jc w:val="left"/>
              <w:rPr>
                <w:rFonts w:ascii="Arial" w:hAnsi="Arial" w:cs="Arial"/>
                <w:color w:val="auto"/>
                <w:lang w:val="en-AU"/>
              </w:rPr>
            </w:pPr>
            <w:r w:rsidRPr="007428E2">
              <w:rPr>
                <w:rFonts w:ascii="Arial" w:hAnsi="Arial" w:cs="Arial"/>
                <w:color w:val="auto"/>
                <w:lang w:val="en-AU"/>
              </w:rPr>
              <w:t>p</w:t>
            </w:r>
            <w:r w:rsidR="00895C6E" w:rsidRPr="007428E2">
              <w:rPr>
                <w:rFonts w:ascii="Arial" w:hAnsi="Arial" w:cs="Arial"/>
                <w:color w:val="auto"/>
                <w:lang w:val="en-AU"/>
              </w:rPr>
              <w:t>hotochemical oxidants as ozone (O</w:t>
            </w:r>
            <w:r w:rsidR="00895C6E" w:rsidRPr="007428E2">
              <w:rPr>
                <w:rFonts w:ascii="Arial" w:hAnsi="Arial" w:cs="Arial"/>
                <w:color w:val="auto"/>
                <w:vertAlign w:val="subscript"/>
                <w:lang w:val="en-AU"/>
              </w:rPr>
              <w:t>3</w:t>
            </w:r>
            <w:r w:rsidR="00895C6E" w:rsidRPr="007428E2">
              <w:rPr>
                <w:rFonts w:ascii="Arial" w:hAnsi="Arial" w:cs="Arial"/>
                <w:color w:val="auto"/>
                <w:lang w:val="en-AU"/>
              </w:rPr>
              <w:t>)</w:t>
            </w:r>
          </w:p>
          <w:p w:rsidR="00895C6E" w:rsidRPr="007428E2" w:rsidRDefault="00FA793F" w:rsidP="002A2116">
            <w:pPr>
              <w:pStyle w:val="BulletCubes"/>
              <w:numPr>
                <w:ilvl w:val="0"/>
                <w:numId w:val="1"/>
              </w:numPr>
              <w:tabs>
                <w:tab w:val="clear" w:pos="3060"/>
                <w:tab w:val="left" w:pos="459"/>
              </w:tabs>
              <w:spacing w:before="0" w:after="240" w:line="240" w:lineRule="auto"/>
              <w:ind w:left="460" w:right="0" w:hanging="284"/>
              <w:jc w:val="left"/>
              <w:rPr>
                <w:rFonts w:ascii="Arial" w:hAnsi="Arial" w:cs="Arial"/>
                <w:color w:val="auto"/>
                <w:lang w:val="en-AU"/>
              </w:rPr>
            </w:pPr>
            <w:proofErr w:type="gramStart"/>
            <w:r w:rsidRPr="007428E2">
              <w:rPr>
                <w:rFonts w:ascii="Arial" w:hAnsi="Arial" w:cs="Arial"/>
                <w:color w:val="auto"/>
                <w:lang w:val="en-AU"/>
              </w:rPr>
              <w:t>p</w:t>
            </w:r>
            <w:r w:rsidR="00895C6E" w:rsidRPr="007428E2">
              <w:rPr>
                <w:rFonts w:ascii="Arial" w:hAnsi="Arial" w:cs="Arial"/>
                <w:color w:val="auto"/>
                <w:lang w:val="en-AU"/>
              </w:rPr>
              <w:t>articulate</w:t>
            </w:r>
            <w:proofErr w:type="gramEnd"/>
            <w:r w:rsidR="00895C6E" w:rsidRPr="007428E2">
              <w:rPr>
                <w:rFonts w:ascii="Arial" w:hAnsi="Arial" w:cs="Arial"/>
                <w:color w:val="auto"/>
                <w:lang w:val="en-AU"/>
              </w:rPr>
              <w:t xml:space="preserve"> matter (PM) with an aerodynamic diameter of less than 10</w:t>
            </w:r>
            <w:r w:rsidR="00710FBF" w:rsidRPr="007428E2">
              <w:rPr>
                <w:rFonts w:ascii="Arial" w:hAnsi="Arial" w:cs="Arial"/>
                <w:color w:val="auto"/>
                <w:lang w:val="en-AU"/>
              </w:rPr>
              <w:t xml:space="preserve"> micrometres</w:t>
            </w:r>
            <w:r w:rsidR="00895C6E" w:rsidRPr="007428E2">
              <w:rPr>
                <w:rFonts w:ascii="Arial" w:hAnsi="Arial" w:cs="Arial"/>
                <w:color w:val="auto"/>
                <w:lang w:val="en-AU"/>
              </w:rPr>
              <w:t xml:space="preserve"> </w:t>
            </w:r>
            <w:r w:rsidR="00710FBF" w:rsidRPr="007428E2">
              <w:rPr>
                <w:rFonts w:ascii="Arial" w:hAnsi="Arial" w:cs="Arial"/>
                <w:color w:val="auto"/>
                <w:lang w:val="en-AU"/>
              </w:rPr>
              <w:t>(</w:t>
            </w:r>
            <w:r w:rsidR="00895C6E" w:rsidRPr="007428E2">
              <w:rPr>
                <w:rFonts w:ascii="Arial" w:hAnsi="Arial" w:cs="Arial"/>
                <w:color w:val="auto"/>
                <w:lang w:val="en-AU"/>
              </w:rPr>
              <w:t>µm</w:t>
            </w:r>
            <w:r w:rsidR="00710FBF" w:rsidRPr="007428E2">
              <w:rPr>
                <w:rFonts w:ascii="Arial" w:hAnsi="Arial" w:cs="Arial"/>
                <w:color w:val="auto"/>
                <w:lang w:val="en-AU"/>
              </w:rPr>
              <w:t>)</w:t>
            </w:r>
            <w:r w:rsidR="00895C6E" w:rsidRPr="007428E2">
              <w:rPr>
                <w:rFonts w:ascii="Arial" w:hAnsi="Arial" w:cs="Arial"/>
                <w:color w:val="auto"/>
                <w:lang w:val="en-AU"/>
              </w:rPr>
              <w:t xml:space="preserve"> (known as PM</w:t>
            </w:r>
            <w:r w:rsidR="00895C6E" w:rsidRPr="007428E2">
              <w:rPr>
                <w:rFonts w:ascii="Arial" w:hAnsi="Arial" w:cs="Arial"/>
                <w:color w:val="auto"/>
                <w:vertAlign w:val="subscript"/>
                <w:lang w:val="en-AU"/>
              </w:rPr>
              <w:t>10</w:t>
            </w:r>
            <w:r w:rsidR="00895C6E" w:rsidRPr="007428E2">
              <w:rPr>
                <w:rFonts w:ascii="Arial" w:hAnsi="Arial" w:cs="Arial"/>
                <w:color w:val="auto"/>
                <w:lang w:val="en-AU"/>
              </w:rPr>
              <w:t>)</w:t>
            </w:r>
            <w:r w:rsidRPr="007428E2">
              <w:rPr>
                <w:rFonts w:ascii="Arial" w:hAnsi="Arial" w:cs="Arial"/>
                <w:color w:val="auto"/>
                <w:lang w:val="en-AU"/>
              </w:rPr>
              <w:t>.</w:t>
            </w:r>
          </w:p>
        </w:tc>
      </w:tr>
    </w:tbl>
    <w:p w:rsidR="0019087B" w:rsidRPr="007428E2" w:rsidRDefault="00370A25" w:rsidP="007B7983">
      <w:pPr>
        <w:spacing w:after="200"/>
        <w:rPr>
          <w:rFonts w:ascii="Arial" w:hAnsi="Arial" w:cs="Arial"/>
        </w:rPr>
      </w:pPr>
      <w:r w:rsidRPr="007428E2">
        <w:rPr>
          <w:rFonts w:ascii="Arial" w:hAnsi="Arial" w:cs="Arial"/>
        </w:rPr>
        <w:t xml:space="preserve">In 2003 the </w:t>
      </w:r>
      <w:r w:rsidR="00895C6E" w:rsidRPr="007428E2">
        <w:rPr>
          <w:rFonts w:ascii="Arial" w:hAnsi="Arial" w:cs="Arial"/>
        </w:rPr>
        <w:t xml:space="preserve">AAQ NEPM was varied to include </w:t>
      </w:r>
      <w:r w:rsidR="00F23D64" w:rsidRPr="007428E2">
        <w:rPr>
          <w:rFonts w:ascii="Arial" w:hAnsi="Arial" w:cs="Arial"/>
        </w:rPr>
        <w:t xml:space="preserve">monitoring and reporting protocols and </w:t>
      </w:r>
      <w:r w:rsidR="00895C6E" w:rsidRPr="007428E2">
        <w:rPr>
          <w:rFonts w:ascii="Arial" w:hAnsi="Arial" w:cs="Arial"/>
        </w:rPr>
        <w:t xml:space="preserve">advisory reporting standards for particles with an aerodynamic diameter of less than 2.5 </w:t>
      </w:r>
      <w:r w:rsidR="00710FBF" w:rsidRPr="007428E2">
        <w:rPr>
          <w:rFonts w:ascii="Arial" w:hAnsi="Arial" w:cs="Arial"/>
        </w:rPr>
        <w:t>µm</w:t>
      </w:r>
      <w:r w:rsidR="00895C6E" w:rsidRPr="007428E2">
        <w:rPr>
          <w:rFonts w:ascii="Arial" w:hAnsi="Arial" w:cs="Arial"/>
        </w:rPr>
        <w:t>, known as PM</w:t>
      </w:r>
      <w:r w:rsidR="00895C6E" w:rsidRPr="007428E2">
        <w:rPr>
          <w:rFonts w:ascii="Arial" w:hAnsi="Arial" w:cs="Arial"/>
          <w:vertAlign w:val="subscript"/>
        </w:rPr>
        <w:t>2.5</w:t>
      </w:r>
      <w:r w:rsidR="00F23D64" w:rsidRPr="007428E2">
        <w:rPr>
          <w:rFonts w:ascii="Arial" w:hAnsi="Arial" w:cs="Arial"/>
        </w:rPr>
        <w:t xml:space="preserve"> </w:t>
      </w:r>
      <w:r w:rsidR="00F23D64" w:rsidRPr="007428E2">
        <w:rPr>
          <w:rFonts w:ascii="Arial" w:hAnsi="Arial" w:cs="Arial"/>
          <w:b/>
        </w:rPr>
        <w:t>(NEPC 2002)</w:t>
      </w:r>
      <w:r w:rsidR="00F23D64" w:rsidRPr="007428E2">
        <w:rPr>
          <w:rFonts w:ascii="Arial" w:hAnsi="Arial" w:cs="Arial"/>
        </w:rPr>
        <w:t>.</w:t>
      </w:r>
    </w:p>
    <w:p w:rsidR="0047557D" w:rsidRPr="007428E2" w:rsidRDefault="00853A23" w:rsidP="007B7983">
      <w:pPr>
        <w:spacing w:after="140"/>
        <w:rPr>
          <w:rFonts w:ascii="Arial" w:hAnsi="Arial" w:cs="Arial"/>
        </w:rPr>
      </w:pPr>
      <w:r w:rsidRPr="007428E2">
        <w:rPr>
          <w:rFonts w:ascii="Arial" w:hAnsi="Arial" w:cs="Arial"/>
        </w:rPr>
        <w:t>An initial</w:t>
      </w:r>
      <w:r w:rsidR="007A74DC" w:rsidRPr="007428E2">
        <w:rPr>
          <w:rFonts w:ascii="Arial" w:hAnsi="Arial" w:cs="Arial"/>
        </w:rPr>
        <w:t xml:space="preserve"> </w:t>
      </w:r>
      <w:r w:rsidR="00BA1CC8" w:rsidRPr="007428E2">
        <w:rPr>
          <w:rFonts w:ascii="Arial" w:hAnsi="Arial" w:cs="Arial"/>
        </w:rPr>
        <w:t xml:space="preserve">review of the </w:t>
      </w:r>
      <w:r w:rsidR="00EF24F8" w:rsidRPr="007428E2">
        <w:rPr>
          <w:rFonts w:ascii="Arial" w:hAnsi="Arial" w:cs="Arial"/>
        </w:rPr>
        <w:t>AAQ NEPM</w:t>
      </w:r>
      <w:r w:rsidR="0047557D" w:rsidRPr="007428E2">
        <w:rPr>
          <w:rFonts w:ascii="Arial" w:hAnsi="Arial" w:cs="Arial"/>
        </w:rPr>
        <w:t xml:space="preserve"> was completed </w:t>
      </w:r>
      <w:r w:rsidRPr="007428E2">
        <w:rPr>
          <w:rFonts w:ascii="Arial" w:hAnsi="Arial" w:cs="Arial"/>
        </w:rPr>
        <w:t>in 2011</w:t>
      </w:r>
      <w:r w:rsidR="003A73B4" w:rsidRPr="007428E2">
        <w:rPr>
          <w:rFonts w:ascii="Arial" w:hAnsi="Arial" w:cs="Arial"/>
        </w:rPr>
        <w:t xml:space="preserve"> </w:t>
      </w:r>
      <w:r w:rsidR="00395ACA" w:rsidRPr="007428E2">
        <w:rPr>
          <w:rFonts w:ascii="Arial" w:hAnsi="Arial" w:cs="Arial"/>
          <w:b/>
        </w:rPr>
        <w:t>(NEPC 2011</w:t>
      </w:r>
      <w:r w:rsidR="00BA1CC8" w:rsidRPr="007428E2">
        <w:rPr>
          <w:rFonts w:ascii="Arial" w:hAnsi="Arial" w:cs="Arial"/>
          <w:b/>
        </w:rPr>
        <w:t>)</w:t>
      </w:r>
      <w:r w:rsidR="007A74DC" w:rsidRPr="007428E2">
        <w:rPr>
          <w:rFonts w:ascii="Arial" w:hAnsi="Arial" w:cs="Arial"/>
          <w:b/>
        </w:rPr>
        <w:t>.</w:t>
      </w:r>
      <w:r w:rsidRPr="007428E2">
        <w:rPr>
          <w:rFonts w:ascii="Arial" w:hAnsi="Arial" w:cs="Arial"/>
          <w:b/>
        </w:rPr>
        <w:t xml:space="preserve"> </w:t>
      </w:r>
      <w:r w:rsidR="0047557D" w:rsidRPr="007428E2">
        <w:rPr>
          <w:rFonts w:ascii="Arial" w:hAnsi="Arial" w:cs="Arial"/>
        </w:rPr>
        <w:t xml:space="preserve">In 2012 COAG agreed that </w:t>
      </w:r>
      <w:r w:rsidR="003A73B4" w:rsidRPr="007428E2">
        <w:rPr>
          <w:rFonts w:ascii="Arial" w:hAnsi="Arial" w:cs="Arial"/>
        </w:rPr>
        <w:t xml:space="preserve">the review of the AAQ NEPM </w:t>
      </w:r>
      <w:r w:rsidR="0047557D" w:rsidRPr="007428E2">
        <w:rPr>
          <w:rFonts w:ascii="Arial" w:hAnsi="Arial" w:cs="Arial"/>
        </w:rPr>
        <w:t xml:space="preserve">particle </w:t>
      </w:r>
      <w:r w:rsidR="003A73B4" w:rsidRPr="007428E2">
        <w:rPr>
          <w:rFonts w:ascii="Arial" w:hAnsi="Arial" w:cs="Arial"/>
        </w:rPr>
        <w:t xml:space="preserve">standards </w:t>
      </w:r>
      <w:r w:rsidR="007A74DC" w:rsidRPr="007428E2">
        <w:rPr>
          <w:rFonts w:ascii="Arial" w:hAnsi="Arial" w:cs="Arial"/>
        </w:rPr>
        <w:t>wou</w:t>
      </w:r>
      <w:r w:rsidR="00EB6CA9">
        <w:rPr>
          <w:rFonts w:ascii="Arial" w:hAnsi="Arial" w:cs="Arial"/>
        </w:rPr>
        <w:t>l</w:t>
      </w:r>
      <w:r w:rsidR="007A74DC" w:rsidRPr="007428E2">
        <w:rPr>
          <w:rFonts w:ascii="Arial" w:hAnsi="Arial" w:cs="Arial"/>
        </w:rPr>
        <w:t xml:space="preserve">d be prioritised </w:t>
      </w:r>
      <w:r w:rsidR="0047557D" w:rsidRPr="007428E2">
        <w:rPr>
          <w:rFonts w:ascii="Arial" w:hAnsi="Arial" w:cs="Arial"/>
        </w:rPr>
        <w:t>for the following reasons:</w:t>
      </w:r>
    </w:p>
    <w:p w:rsidR="00BB1D08" w:rsidRPr="007428E2" w:rsidRDefault="00CE341C" w:rsidP="006A5626">
      <w:pPr>
        <w:pStyle w:val="BulletArrows"/>
        <w:numPr>
          <w:ilvl w:val="0"/>
          <w:numId w:val="54"/>
        </w:numPr>
        <w:spacing w:after="140"/>
        <w:rPr>
          <w:rFonts w:ascii="Arial" w:hAnsi="Arial"/>
        </w:rPr>
      </w:pPr>
      <w:r w:rsidRPr="007428E2">
        <w:rPr>
          <w:rFonts w:ascii="Arial" w:hAnsi="Arial"/>
        </w:rPr>
        <w:t xml:space="preserve">There is strong </w:t>
      </w:r>
      <w:r w:rsidR="0047557D" w:rsidRPr="007428E2">
        <w:rPr>
          <w:rFonts w:ascii="Arial" w:hAnsi="Arial"/>
        </w:rPr>
        <w:t xml:space="preserve">evidence that exposure to </w:t>
      </w:r>
      <w:r w:rsidR="00BB1D08" w:rsidRPr="007428E2">
        <w:rPr>
          <w:rFonts w:ascii="Arial" w:hAnsi="Arial"/>
        </w:rPr>
        <w:t>PM</w:t>
      </w:r>
      <w:r w:rsidR="0047557D" w:rsidRPr="007428E2">
        <w:rPr>
          <w:rFonts w:ascii="Arial" w:hAnsi="Arial"/>
        </w:rPr>
        <w:t xml:space="preserve"> has</w:t>
      </w:r>
      <w:r w:rsidR="00BB1D08" w:rsidRPr="007428E2">
        <w:rPr>
          <w:rFonts w:ascii="Arial" w:hAnsi="Arial"/>
        </w:rPr>
        <w:t xml:space="preserve"> adverse effects on human health</w:t>
      </w:r>
      <w:r w:rsidR="0047557D" w:rsidRPr="007428E2">
        <w:rPr>
          <w:rFonts w:ascii="Arial" w:hAnsi="Arial"/>
        </w:rPr>
        <w:t>, and a lack of e</w:t>
      </w:r>
      <w:r w:rsidR="0047557D" w:rsidRPr="007428E2">
        <w:rPr>
          <w:rFonts w:ascii="Arial" w:hAnsi="Arial"/>
          <w:color w:val="auto"/>
        </w:rPr>
        <w:t>vidence for a concentration threshold below which health effects do not occur</w:t>
      </w:r>
      <w:r w:rsidR="00BB1D08" w:rsidRPr="007428E2">
        <w:rPr>
          <w:rFonts w:ascii="Arial" w:hAnsi="Arial"/>
          <w:color w:val="auto"/>
        </w:rPr>
        <w:t>.</w:t>
      </w:r>
      <w:r w:rsidRPr="007428E2">
        <w:rPr>
          <w:rFonts w:ascii="Arial" w:hAnsi="Arial"/>
          <w:color w:val="auto"/>
        </w:rPr>
        <w:t xml:space="preserve"> This means that there are likely to be adverse health effects at the concentrations currently experienced in Australian cities, even where these are below the current standards and goals (see </w:t>
      </w:r>
      <w:r w:rsidRPr="007428E2">
        <w:rPr>
          <w:rFonts w:ascii="Arial" w:hAnsi="Arial"/>
          <w:b/>
          <w:color w:val="auto"/>
        </w:rPr>
        <w:t>Table ES1</w:t>
      </w:r>
      <w:r w:rsidRPr="007428E2">
        <w:rPr>
          <w:rFonts w:ascii="Arial" w:hAnsi="Arial"/>
          <w:color w:val="auto"/>
        </w:rPr>
        <w:t>).</w:t>
      </w:r>
    </w:p>
    <w:p w:rsidR="00BB1D08" w:rsidRPr="007428E2" w:rsidRDefault="00E74B7D" w:rsidP="006A5626">
      <w:pPr>
        <w:pStyle w:val="BulletArrows"/>
        <w:numPr>
          <w:ilvl w:val="0"/>
          <w:numId w:val="54"/>
        </w:numPr>
        <w:spacing w:after="140"/>
        <w:rPr>
          <w:rFonts w:ascii="Arial" w:hAnsi="Arial"/>
        </w:rPr>
      </w:pPr>
      <w:r w:rsidRPr="007428E2">
        <w:rPr>
          <w:rFonts w:ascii="Arial" w:hAnsi="Arial"/>
        </w:rPr>
        <w:t>PM</w:t>
      </w:r>
      <w:r w:rsidRPr="007428E2">
        <w:rPr>
          <w:rFonts w:ascii="Arial" w:hAnsi="Arial"/>
          <w:vertAlign w:val="subscript"/>
        </w:rPr>
        <w:t>10</w:t>
      </w:r>
      <w:r w:rsidRPr="007428E2">
        <w:rPr>
          <w:rFonts w:ascii="Arial" w:hAnsi="Arial"/>
        </w:rPr>
        <w:t xml:space="preserve"> </w:t>
      </w:r>
      <w:r w:rsidR="00D21E45" w:rsidRPr="007428E2">
        <w:rPr>
          <w:rFonts w:ascii="Arial" w:hAnsi="Arial"/>
        </w:rPr>
        <w:t xml:space="preserve">standards are </w:t>
      </w:r>
      <w:r w:rsidR="006009CC">
        <w:rPr>
          <w:rFonts w:ascii="Arial" w:hAnsi="Arial"/>
        </w:rPr>
        <w:t xml:space="preserve">at times </w:t>
      </w:r>
      <w:r w:rsidRPr="007428E2">
        <w:rPr>
          <w:rFonts w:ascii="Arial" w:hAnsi="Arial"/>
        </w:rPr>
        <w:t>exceed</w:t>
      </w:r>
      <w:r w:rsidR="00D21E45" w:rsidRPr="007428E2">
        <w:rPr>
          <w:rFonts w:ascii="Arial" w:hAnsi="Arial"/>
        </w:rPr>
        <w:t>ed</w:t>
      </w:r>
      <w:r w:rsidRPr="007428E2">
        <w:rPr>
          <w:rFonts w:ascii="Arial" w:hAnsi="Arial"/>
        </w:rPr>
        <w:t xml:space="preserve"> in nearly all regions of Australia </w:t>
      </w:r>
      <w:r w:rsidRPr="007428E2">
        <w:rPr>
          <w:rFonts w:ascii="Arial" w:hAnsi="Arial"/>
          <w:b/>
        </w:rPr>
        <w:t>(DSEWPC 2011)</w:t>
      </w:r>
      <w:r w:rsidR="00812AE7" w:rsidRPr="007428E2">
        <w:rPr>
          <w:rFonts w:ascii="Arial" w:hAnsi="Arial"/>
        </w:rPr>
        <w:t>;</w:t>
      </w:r>
      <w:r w:rsidRPr="007428E2">
        <w:rPr>
          <w:rFonts w:ascii="Arial" w:hAnsi="Arial"/>
        </w:rPr>
        <w:t xml:space="preserve"> </w:t>
      </w:r>
      <w:r w:rsidR="00812AE7" w:rsidRPr="007428E2">
        <w:rPr>
          <w:rFonts w:ascii="Arial" w:hAnsi="Arial"/>
        </w:rPr>
        <w:t>h</w:t>
      </w:r>
      <w:r w:rsidRPr="007428E2">
        <w:rPr>
          <w:rFonts w:ascii="Arial" w:hAnsi="Arial"/>
        </w:rPr>
        <w:t>owever, such exceedances can occur as a result of uncontrollable natural events.</w:t>
      </w:r>
    </w:p>
    <w:p w:rsidR="00BA1CC8" w:rsidRPr="007428E2" w:rsidRDefault="00BA1CC8" w:rsidP="006A5626">
      <w:pPr>
        <w:pStyle w:val="BulletArrows"/>
        <w:numPr>
          <w:ilvl w:val="0"/>
          <w:numId w:val="54"/>
        </w:numPr>
        <w:spacing w:after="140"/>
        <w:rPr>
          <w:rFonts w:ascii="Arial" w:hAnsi="Arial"/>
        </w:rPr>
      </w:pPr>
      <w:r w:rsidRPr="007428E2">
        <w:rPr>
          <w:rFonts w:ascii="Arial" w:hAnsi="Arial"/>
        </w:rPr>
        <w:t xml:space="preserve">The potential health benefits of reducing population exposure to PM </w:t>
      </w:r>
      <w:r w:rsidR="00FA793F" w:rsidRPr="007428E2">
        <w:rPr>
          <w:rFonts w:ascii="Arial" w:hAnsi="Arial"/>
        </w:rPr>
        <w:t>–</w:t>
      </w:r>
      <w:r w:rsidRPr="007428E2">
        <w:rPr>
          <w:rFonts w:ascii="Arial" w:hAnsi="Arial"/>
        </w:rPr>
        <w:t xml:space="preserve"> and the associated monetary savings for society </w:t>
      </w:r>
      <w:r w:rsidR="00FA793F" w:rsidRPr="007428E2">
        <w:rPr>
          <w:rFonts w:ascii="Arial" w:hAnsi="Arial"/>
        </w:rPr>
        <w:t>–</w:t>
      </w:r>
      <w:r w:rsidRPr="007428E2">
        <w:rPr>
          <w:rFonts w:ascii="Arial" w:hAnsi="Arial"/>
        </w:rPr>
        <w:t xml:space="preserve"> are larger than those for other air pollutants.</w:t>
      </w:r>
      <w:r w:rsidR="004B4989" w:rsidRPr="007428E2">
        <w:rPr>
          <w:rFonts w:ascii="Arial" w:hAnsi="Arial"/>
        </w:rPr>
        <w:t xml:space="preserve"> </w:t>
      </w:r>
    </w:p>
    <w:p w:rsidR="00BA1CC8" w:rsidRPr="007428E2" w:rsidRDefault="00BA1CC8" w:rsidP="006A5626">
      <w:pPr>
        <w:pStyle w:val="BulletArrows"/>
        <w:numPr>
          <w:ilvl w:val="0"/>
          <w:numId w:val="54"/>
        </w:numPr>
        <w:spacing w:after="240"/>
        <w:rPr>
          <w:rFonts w:ascii="Arial" w:hAnsi="Arial"/>
        </w:rPr>
      </w:pPr>
      <w:r w:rsidRPr="007428E2">
        <w:rPr>
          <w:rFonts w:ascii="Arial" w:hAnsi="Arial"/>
        </w:rPr>
        <w:t xml:space="preserve">The range of cost-effective abatement policies and actions </w:t>
      </w:r>
      <w:r w:rsidR="00213417" w:rsidRPr="007428E2">
        <w:rPr>
          <w:rFonts w:ascii="Arial" w:hAnsi="Arial"/>
        </w:rPr>
        <w:t xml:space="preserve">available </w:t>
      </w:r>
      <w:r w:rsidRPr="007428E2">
        <w:rPr>
          <w:rFonts w:ascii="Arial" w:hAnsi="Arial"/>
        </w:rPr>
        <w:t xml:space="preserve">for PM is larger than that for other pollutants. </w:t>
      </w:r>
    </w:p>
    <w:p w:rsidR="00BA1CC8" w:rsidRPr="007428E2" w:rsidRDefault="0047557D" w:rsidP="00AA0C0D">
      <w:pPr>
        <w:pStyle w:val="BulletArrows"/>
        <w:spacing w:after="200"/>
        <w:rPr>
          <w:rFonts w:ascii="Arial" w:hAnsi="Arial"/>
        </w:rPr>
      </w:pPr>
      <w:r w:rsidRPr="007428E2">
        <w:rPr>
          <w:rFonts w:ascii="Arial" w:hAnsi="Arial"/>
        </w:rPr>
        <w:t>In the decade s</w:t>
      </w:r>
      <w:r w:rsidR="00BA1CC8" w:rsidRPr="007428E2">
        <w:rPr>
          <w:rFonts w:ascii="Arial" w:hAnsi="Arial"/>
        </w:rPr>
        <w:t xml:space="preserve">ince the </w:t>
      </w:r>
      <w:r w:rsidR="00EF24F8" w:rsidRPr="007428E2">
        <w:rPr>
          <w:rFonts w:ascii="Arial" w:hAnsi="Arial"/>
        </w:rPr>
        <w:t>AAQ NEPM</w:t>
      </w:r>
      <w:r w:rsidR="00BA1CC8" w:rsidRPr="007428E2">
        <w:rPr>
          <w:rFonts w:ascii="Arial" w:hAnsi="Arial"/>
        </w:rPr>
        <w:t xml:space="preserve"> was </w:t>
      </w:r>
      <w:r w:rsidRPr="007428E2">
        <w:rPr>
          <w:rFonts w:ascii="Arial" w:hAnsi="Arial"/>
        </w:rPr>
        <w:t>varied</w:t>
      </w:r>
      <w:r w:rsidR="00BA1CC8" w:rsidRPr="007428E2">
        <w:rPr>
          <w:rFonts w:ascii="Arial" w:hAnsi="Arial"/>
        </w:rPr>
        <w:t xml:space="preserve"> there have been significant developments in the understanding of the </w:t>
      </w:r>
      <w:r w:rsidR="00213417" w:rsidRPr="007428E2">
        <w:rPr>
          <w:rFonts w:ascii="Arial" w:hAnsi="Arial"/>
        </w:rPr>
        <w:t xml:space="preserve">effects </w:t>
      </w:r>
      <w:r w:rsidR="00BA1CC8" w:rsidRPr="007428E2">
        <w:rPr>
          <w:rFonts w:ascii="Arial" w:hAnsi="Arial"/>
        </w:rPr>
        <w:t>of PM on health and the environment, as well as imp</w:t>
      </w:r>
      <w:r w:rsidRPr="007428E2">
        <w:rPr>
          <w:rFonts w:ascii="Arial" w:hAnsi="Arial"/>
        </w:rPr>
        <w:t>rovements in monitoring methods</w:t>
      </w:r>
      <w:r w:rsidR="00BA1CC8" w:rsidRPr="007428E2">
        <w:rPr>
          <w:rFonts w:ascii="Arial" w:hAnsi="Arial"/>
        </w:rPr>
        <w:t>.</w:t>
      </w:r>
    </w:p>
    <w:p w:rsidR="007B33DB" w:rsidRPr="007428E2" w:rsidRDefault="003A73B4" w:rsidP="00AA0C0D">
      <w:pPr>
        <w:spacing w:after="200"/>
        <w:rPr>
          <w:rFonts w:ascii="Arial" w:hAnsi="Arial" w:cs="Arial"/>
        </w:rPr>
      </w:pPr>
      <w:r w:rsidRPr="007428E2">
        <w:rPr>
          <w:rFonts w:ascii="Arial" w:hAnsi="Arial" w:cs="Arial"/>
        </w:rPr>
        <w:t xml:space="preserve">This </w:t>
      </w:r>
      <w:r w:rsidR="007A74DC" w:rsidRPr="007428E2">
        <w:rPr>
          <w:rFonts w:ascii="Arial" w:hAnsi="Arial" w:cs="Arial"/>
        </w:rPr>
        <w:t xml:space="preserve">Impact Statement </w:t>
      </w:r>
      <w:r w:rsidR="00BA1CC8" w:rsidRPr="007428E2">
        <w:rPr>
          <w:rFonts w:ascii="Arial" w:hAnsi="Arial" w:cs="Arial"/>
        </w:rPr>
        <w:t xml:space="preserve">has been </w:t>
      </w:r>
      <w:r w:rsidR="007A74DC" w:rsidRPr="007428E2">
        <w:rPr>
          <w:rFonts w:ascii="Arial" w:hAnsi="Arial" w:cs="Arial"/>
        </w:rPr>
        <w:t xml:space="preserve">prepared </w:t>
      </w:r>
      <w:r w:rsidR="00BA1CC8" w:rsidRPr="007428E2">
        <w:rPr>
          <w:rFonts w:ascii="Arial" w:hAnsi="Arial" w:cs="Arial"/>
        </w:rPr>
        <w:t>for the National Environment Protection Council (NEPC)</w:t>
      </w:r>
      <w:r w:rsidR="0074135A" w:rsidRPr="007428E2">
        <w:rPr>
          <w:rFonts w:ascii="Arial" w:hAnsi="Arial" w:cs="Arial"/>
        </w:rPr>
        <w:t xml:space="preserve"> with reference to the requirements of the NEPC Act</w:t>
      </w:r>
      <w:r w:rsidR="00BA1CC8" w:rsidRPr="007428E2">
        <w:rPr>
          <w:rFonts w:ascii="Arial" w:hAnsi="Arial" w:cs="Arial"/>
        </w:rPr>
        <w:t>.</w:t>
      </w:r>
    </w:p>
    <w:p w:rsidR="00F45024" w:rsidRPr="007428E2" w:rsidRDefault="00F45024" w:rsidP="00AA0C0D">
      <w:pPr>
        <w:spacing w:after="200"/>
        <w:rPr>
          <w:rFonts w:ascii="Arial" w:hAnsi="Arial" w:cs="Arial"/>
        </w:rPr>
      </w:pPr>
      <w:r w:rsidRPr="007428E2">
        <w:rPr>
          <w:rFonts w:ascii="Arial" w:hAnsi="Arial" w:cs="Arial"/>
        </w:rPr>
        <w:t>This Impact Statement collates and analyses available information about PM in Australia. It considers the feasibility, costs and benefits of amending the standards and goals relating to PM, as currently defined in the AAQ NEPM</w:t>
      </w:r>
      <w:r w:rsidR="00244AB8">
        <w:rPr>
          <w:rFonts w:ascii="Arial" w:hAnsi="Arial" w:cs="Arial"/>
        </w:rPr>
        <w:t xml:space="preserve">. It also considers </w:t>
      </w:r>
      <w:r w:rsidRPr="007428E2">
        <w:rPr>
          <w:rFonts w:ascii="Arial" w:hAnsi="Arial" w:cs="Arial"/>
        </w:rPr>
        <w:t>a framework for reducing population exposure to PM.</w:t>
      </w:r>
    </w:p>
    <w:p w:rsidR="0074135A" w:rsidRPr="007428E2" w:rsidRDefault="00003287" w:rsidP="00AA0C0D">
      <w:pPr>
        <w:spacing w:after="200"/>
        <w:rPr>
          <w:rFonts w:ascii="Arial" w:hAnsi="Arial" w:cs="Arial"/>
        </w:rPr>
      </w:pPr>
      <w:r w:rsidRPr="007428E2">
        <w:rPr>
          <w:rFonts w:ascii="Arial" w:hAnsi="Arial" w:cs="Arial"/>
        </w:rPr>
        <w:t xml:space="preserve">The Impact Statement outlines </w:t>
      </w:r>
      <w:r w:rsidR="0047557D" w:rsidRPr="007428E2">
        <w:rPr>
          <w:rFonts w:ascii="Arial" w:hAnsi="Arial" w:cs="Arial"/>
        </w:rPr>
        <w:t xml:space="preserve">the basis for </w:t>
      </w:r>
      <w:r w:rsidR="00BA1CC8" w:rsidRPr="007428E2">
        <w:rPr>
          <w:rFonts w:ascii="Arial" w:hAnsi="Arial" w:cs="Arial"/>
        </w:rPr>
        <w:t>options bein</w:t>
      </w:r>
      <w:r w:rsidR="0047557D" w:rsidRPr="007428E2">
        <w:rPr>
          <w:rFonts w:ascii="Arial" w:hAnsi="Arial" w:cs="Arial"/>
        </w:rPr>
        <w:t>g considered by government.</w:t>
      </w:r>
    </w:p>
    <w:p w:rsidR="008D003F" w:rsidRPr="007428E2" w:rsidRDefault="008D003F" w:rsidP="00AA0C0D">
      <w:pPr>
        <w:spacing w:after="200"/>
        <w:rPr>
          <w:rFonts w:ascii="Arial" w:hAnsi="Arial" w:cs="Arial"/>
        </w:rPr>
      </w:pPr>
      <w:r w:rsidRPr="007428E2">
        <w:rPr>
          <w:rFonts w:ascii="Arial" w:hAnsi="Arial" w:cs="Arial"/>
        </w:rPr>
        <w:t xml:space="preserve">The NEPC </w:t>
      </w:r>
      <w:r w:rsidR="00003287" w:rsidRPr="007428E2">
        <w:rPr>
          <w:rFonts w:ascii="Arial" w:hAnsi="Arial" w:cs="Arial"/>
        </w:rPr>
        <w:t>a</w:t>
      </w:r>
      <w:r w:rsidRPr="007428E2">
        <w:rPr>
          <w:rFonts w:ascii="Arial" w:hAnsi="Arial" w:cs="Arial"/>
        </w:rPr>
        <w:t>ct</w:t>
      </w:r>
      <w:r w:rsidR="00003287" w:rsidRPr="007428E2">
        <w:rPr>
          <w:rFonts w:ascii="Arial" w:hAnsi="Arial" w:cs="Arial"/>
        </w:rPr>
        <w:t xml:space="preserve">s </w:t>
      </w:r>
      <w:r w:rsidRPr="007428E2">
        <w:rPr>
          <w:rFonts w:ascii="Arial" w:hAnsi="Arial" w:cs="Arial"/>
        </w:rPr>
        <w:t>require that both the draft NEPM and the Imp</w:t>
      </w:r>
      <w:r w:rsidR="00003287" w:rsidRPr="007428E2">
        <w:rPr>
          <w:rFonts w:ascii="Arial" w:hAnsi="Arial" w:cs="Arial"/>
        </w:rPr>
        <w:t>a</w:t>
      </w:r>
      <w:r w:rsidRPr="007428E2">
        <w:rPr>
          <w:rFonts w:ascii="Arial" w:hAnsi="Arial" w:cs="Arial"/>
        </w:rPr>
        <w:t xml:space="preserve">ct Statement be made available for public consultation for a period of at least two months. NEPC must have regard to the </w:t>
      </w:r>
      <w:r w:rsidR="008046DF" w:rsidRPr="007428E2">
        <w:rPr>
          <w:rFonts w:ascii="Arial" w:hAnsi="Arial" w:cs="Arial"/>
        </w:rPr>
        <w:t>I</w:t>
      </w:r>
      <w:r w:rsidRPr="007428E2">
        <w:rPr>
          <w:rFonts w:ascii="Arial" w:hAnsi="Arial" w:cs="Arial"/>
        </w:rPr>
        <w:t xml:space="preserve">mpact Statement and submissions received during public consultation in deciding whether or not to vary the </w:t>
      </w:r>
      <w:r w:rsidR="008046DF" w:rsidRPr="007428E2">
        <w:rPr>
          <w:rFonts w:ascii="Arial" w:hAnsi="Arial" w:cs="Arial"/>
        </w:rPr>
        <w:t xml:space="preserve">AAQ </w:t>
      </w:r>
      <w:r w:rsidRPr="007428E2">
        <w:rPr>
          <w:rFonts w:ascii="Arial" w:hAnsi="Arial" w:cs="Arial"/>
        </w:rPr>
        <w:t>NEPM.</w:t>
      </w:r>
    </w:p>
    <w:p w:rsidR="0074135A" w:rsidRPr="007428E2" w:rsidRDefault="0074135A" w:rsidP="00AA0C0D">
      <w:pPr>
        <w:spacing w:after="200"/>
        <w:rPr>
          <w:rFonts w:ascii="Arial" w:hAnsi="Arial" w:cs="Arial"/>
        </w:rPr>
      </w:pPr>
      <w:r w:rsidRPr="007428E2">
        <w:rPr>
          <w:rFonts w:ascii="Arial" w:hAnsi="Arial" w:cs="Arial"/>
        </w:rPr>
        <w:t>In addition to addressing the requirem</w:t>
      </w:r>
      <w:r w:rsidR="008D003F" w:rsidRPr="007428E2">
        <w:rPr>
          <w:rFonts w:ascii="Arial" w:hAnsi="Arial" w:cs="Arial"/>
        </w:rPr>
        <w:t>e</w:t>
      </w:r>
      <w:r w:rsidRPr="007428E2">
        <w:rPr>
          <w:rFonts w:ascii="Arial" w:hAnsi="Arial" w:cs="Arial"/>
        </w:rPr>
        <w:t>nt</w:t>
      </w:r>
      <w:r w:rsidR="008D003F" w:rsidRPr="007428E2">
        <w:rPr>
          <w:rFonts w:ascii="Arial" w:hAnsi="Arial" w:cs="Arial"/>
        </w:rPr>
        <w:t>s</w:t>
      </w:r>
      <w:r w:rsidRPr="007428E2">
        <w:rPr>
          <w:rFonts w:ascii="Arial" w:hAnsi="Arial" w:cs="Arial"/>
        </w:rPr>
        <w:t xml:space="preserve"> </w:t>
      </w:r>
      <w:r w:rsidR="00853A23" w:rsidRPr="007428E2">
        <w:rPr>
          <w:rFonts w:ascii="Arial" w:hAnsi="Arial" w:cs="Arial"/>
        </w:rPr>
        <w:t xml:space="preserve">of </w:t>
      </w:r>
      <w:r w:rsidRPr="007428E2">
        <w:rPr>
          <w:rFonts w:ascii="Arial" w:hAnsi="Arial" w:cs="Arial"/>
        </w:rPr>
        <w:t>the NEP</w:t>
      </w:r>
      <w:r w:rsidR="008D003F" w:rsidRPr="007428E2">
        <w:rPr>
          <w:rFonts w:ascii="Arial" w:hAnsi="Arial" w:cs="Arial"/>
        </w:rPr>
        <w:t>C</w:t>
      </w:r>
      <w:r w:rsidRPr="007428E2">
        <w:rPr>
          <w:rFonts w:ascii="Arial" w:hAnsi="Arial" w:cs="Arial"/>
        </w:rPr>
        <w:t xml:space="preserve"> </w:t>
      </w:r>
      <w:r w:rsidR="008046DF" w:rsidRPr="007428E2">
        <w:rPr>
          <w:rFonts w:ascii="Arial" w:hAnsi="Arial" w:cs="Arial"/>
        </w:rPr>
        <w:t>A</w:t>
      </w:r>
      <w:r w:rsidRPr="007428E2">
        <w:rPr>
          <w:rFonts w:ascii="Arial" w:hAnsi="Arial" w:cs="Arial"/>
        </w:rPr>
        <w:t>ct, impact statement</w:t>
      </w:r>
      <w:r w:rsidR="008D003F" w:rsidRPr="007428E2">
        <w:rPr>
          <w:rFonts w:ascii="Arial" w:hAnsi="Arial" w:cs="Arial"/>
        </w:rPr>
        <w:t>s</w:t>
      </w:r>
      <w:r w:rsidRPr="007428E2">
        <w:rPr>
          <w:rFonts w:ascii="Arial" w:hAnsi="Arial" w:cs="Arial"/>
        </w:rPr>
        <w:t xml:space="preserve"> are developed in keeping with the requirem</w:t>
      </w:r>
      <w:r w:rsidR="008D003F" w:rsidRPr="007428E2">
        <w:rPr>
          <w:rFonts w:ascii="Arial" w:hAnsi="Arial" w:cs="Arial"/>
        </w:rPr>
        <w:t>e</w:t>
      </w:r>
      <w:r w:rsidRPr="007428E2">
        <w:rPr>
          <w:rFonts w:ascii="Arial" w:hAnsi="Arial" w:cs="Arial"/>
        </w:rPr>
        <w:t>nt</w:t>
      </w:r>
      <w:r w:rsidR="00853A23" w:rsidRPr="007428E2">
        <w:rPr>
          <w:rFonts w:ascii="Arial" w:hAnsi="Arial" w:cs="Arial"/>
        </w:rPr>
        <w:t>s</w:t>
      </w:r>
      <w:r w:rsidRPr="007428E2">
        <w:rPr>
          <w:rFonts w:ascii="Arial" w:hAnsi="Arial" w:cs="Arial"/>
        </w:rPr>
        <w:t xml:space="preserve"> of the Counc</w:t>
      </w:r>
      <w:r w:rsidR="008D003F" w:rsidRPr="007428E2">
        <w:rPr>
          <w:rFonts w:ascii="Arial" w:hAnsi="Arial" w:cs="Arial"/>
        </w:rPr>
        <w:t>i</w:t>
      </w:r>
      <w:r w:rsidRPr="007428E2">
        <w:rPr>
          <w:rFonts w:ascii="Arial" w:hAnsi="Arial" w:cs="Arial"/>
        </w:rPr>
        <w:t>l of</w:t>
      </w:r>
      <w:r w:rsidR="008D003F" w:rsidRPr="007428E2">
        <w:rPr>
          <w:rFonts w:ascii="Arial" w:hAnsi="Arial" w:cs="Arial"/>
        </w:rPr>
        <w:t xml:space="preserve"> Austra</w:t>
      </w:r>
      <w:r w:rsidR="00853A23" w:rsidRPr="007428E2">
        <w:rPr>
          <w:rFonts w:ascii="Arial" w:hAnsi="Arial" w:cs="Arial"/>
        </w:rPr>
        <w:t>l</w:t>
      </w:r>
      <w:r w:rsidR="008D003F" w:rsidRPr="007428E2">
        <w:rPr>
          <w:rFonts w:ascii="Arial" w:hAnsi="Arial" w:cs="Arial"/>
        </w:rPr>
        <w:t>ian Governments.</w:t>
      </w:r>
    </w:p>
    <w:p w:rsidR="0047557D" w:rsidRPr="007428E2" w:rsidRDefault="00853FD4" w:rsidP="007B7983">
      <w:pPr>
        <w:spacing w:after="140"/>
        <w:rPr>
          <w:rFonts w:ascii="Arial" w:hAnsi="Arial" w:cs="Arial"/>
        </w:rPr>
      </w:pPr>
      <w:r w:rsidRPr="007428E2">
        <w:rPr>
          <w:rFonts w:ascii="Arial" w:hAnsi="Arial" w:cs="Arial"/>
        </w:rPr>
        <w:t xml:space="preserve">Key issues </w:t>
      </w:r>
      <w:r w:rsidR="00853A23" w:rsidRPr="007428E2">
        <w:rPr>
          <w:rFonts w:ascii="Arial" w:hAnsi="Arial" w:cs="Arial"/>
        </w:rPr>
        <w:t xml:space="preserve">considered in </w:t>
      </w:r>
      <w:r w:rsidR="0047557D" w:rsidRPr="007428E2">
        <w:rPr>
          <w:rFonts w:ascii="Arial" w:hAnsi="Arial" w:cs="Arial"/>
        </w:rPr>
        <w:t xml:space="preserve">this </w:t>
      </w:r>
      <w:r w:rsidR="00853A23" w:rsidRPr="007428E2">
        <w:rPr>
          <w:rFonts w:ascii="Arial" w:hAnsi="Arial" w:cs="Arial"/>
        </w:rPr>
        <w:t xml:space="preserve">Impact Statement </w:t>
      </w:r>
      <w:r w:rsidR="0047557D" w:rsidRPr="007428E2">
        <w:rPr>
          <w:rFonts w:ascii="Arial" w:hAnsi="Arial" w:cs="Arial"/>
        </w:rPr>
        <w:t>include:</w:t>
      </w:r>
    </w:p>
    <w:p w:rsidR="00BA1CC8" w:rsidRPr="007428E2" w:rsidRDefault="00E74B7D" w:rsidP="00AA0C0D">
      <w:pPr>
        <w:pStyle w:val="BulletArrows"/>
        <w:numPr>
          <w:ilvl w:val="0"/>
          <w:numId w:val="55"/>
        </w:numPr>
        <w:spacing w:after="60" w:line="240" w:lineRule="auto"/>
        <w:ind w:left="714" w:hanging="357"/>
        <w:rPr>
          <w:rFonts w:ascii="Arial" w:hAnsi="Arial"/>
        </w:rPr>
      </w:pPr>
      <w:r w:rsidRPr="007428E2">
        <w:rPr>
          <w:rFonts w:ascii="Arial" w:hAnsi="Arial"/>
        </w:rPr>
        <w:t>metrics used to quantify</w:t>
      </w:r>
      <w:r w:rsidR="002A2AD2" w:rsidRPr="007428E2">
        <w:rPr>
          <w:rFonts w:ascii="Arial" w:hAnsi="Arial"/>
        </w:rPr>
        <w:t xml:space="preserve"> PM </w:t>
      </w:r>
      <w:r w:rsidR="00BA1CC8" w:rsidRPr="007428E2">
        <w:rPr>
          <w:rFonts w:ascii="Arial" w:hAnsi="Arial"/>
        </w:rPr>
        <w:t xml:space="preserve">in the </w:t>
      </w:r>
      <w:r w:rsidRPr="007428E2">
        <w:rPr>
          <w:rFonts w:ascii="Arial" w:hAnsi="Arial"/>
        </w:rPr>
        <w:t>AAQ NEPM</w:t>
      </w:r>
    </w:p>
    <w:p w:rsidR="00BA1CC8" w:rsidRPr="007428E2" w:rsidRDefault="00BA1CC8" w:rsidP="00AA0C0D">
      <w:pPr>
        <w:pStyle w:val="BulletArrows"/>
        <w:numPr>
          <w:ilvl w:val="0"/>
          <w:numId w:val="55"/>
        </w:numPr>
        <w:spacing w:after="60" w:line="240" w:lineRule="auto"/>
        <w:ind w:left="714" w:hanging="357"/>
        <w:rPr>
          <w:rFonts w:ascii="Arial" w:hAnsi="Arial"/>
        </w:rPr>
      </w:pPr>
      <w:r w:rsidRPr="007428E2">
        <w:rPr>
          <w:rFonts w:ascii="Arial" w:hAnsi="Arial"/>
        </w:rPr>
        <w:t xml:space="preserve">numerical values of the </w:t>
      </w:r>
      <w:r w:rsidR="00E74B7D" w:rsidRPr="007428E2">
        <w:rPr>
          <w:rFonts w:ascii="Arial" w:hAnsi="Arial"/>
        </w:rPr>
        <w:t xml:space="preserve">PM </w:t>
      </w:r>
      <w:r w:rsidRPr="007428E2">
        <w:rPr>
          <w:rFonts w:ascii="Arial" w:hAnsi="Arial"/>
        </w:rPr>
        <w:t>standards</w:t>
      </w:r>
    </w:p>
    <w:p w:rsidR="00BA1CC8" w:rsidRPr="007428E2" w:rsidRDefault="00BA1CC8" w:rsidP="00AA0C0D">
      <w:pPr>
        <w:pStyle w:val="BulletArrows"/>
        <w:numPr>
          <w:ilvl w:val="0"/>
          <w:numId w:val="55"/>
        </w:numPr>
        <w:spacing w:after="60" w:line="240" w:lineRule="auto"/>
        <w:ind w:left="714" w:hanging="357"/>
        <w:rPr>
          <w:rFonts w:ascii="Arial" w:hAnsi="Arial"/>
        </w:rPr>
      </w:pPr>
      <w:r w:rsidRPr="007428E2">
        <w:rPr>
          <w:rFonts w:ascii="Arial" w:hAnsi="Arial"/>
        </w:rPr>
        <w:t xml:space="preserve">form of the </w:t>
      </w:r>
      <w:r w:rsidR="00E74B7D" w:rsidRPr="007428E2">
        <w:rPr>
          <w:rFonts w:ascii="Arial" w:hAnsi="Arial"/>
        </w:rPr>
        <w:t xml:space="preserve">PM </w:t>
      </w:r>
      <w:r w:rsidRPr="007428E2">
        <w:rPr>
          <w:rFonts w:ascii="Arial" w:hAnsi="Arial"/>
        </w:rPr>
        <w:t>standards (e.g. allowed exceedances)</w:t>
      </w:r>
    </w:p>
    <w:p w:rsidR="00BA1CC8" w:rsidRPr="007428E2" w:rsidRDefault="00BA1CC8" w:rsidP="00AA0C0D">
      <w:pPr>
        <w:pStyle w:val="BulletArrows"/>
        <w:numPr>
          <w:ilvl w:val="0"/>
          <w:numId w:val="55"/>
        </w:numPr>
        <w:spacing w:after="60" w:line="240" w:lineRule="auto"/>
        <w:ind w:left="714" w:hanging="357"/>
        <w:rPr>
          <w:rFonts w:ascii="Arial" w:hAnsi="Arial"/>
        </w:rPr>
      </w:pPr>
      <w:proofErr w:type="gramStart"/>
      <w:r w:rsidRPr="007428E2">
        <w:rPr>
          <w:rFonts w:ascii="Arial" w:hAnsi="Arial"/>
        </w:rPr>
        <w:t>options</w:t>
      </w:r>
      <w:proofErr w:type="gramEnd"/>
      <w:r w:rsidRPr="007428E2">
        <w:rPr>
          <w:rFonts w:ascii="Arial" w:hAnsi="Arial"/>
        </w:rPr>
        <w:t xml:space="preserve"> for an exposure-reduction framework</w:t>
      </w:r>
      <w:r w:rsidR="00E74B7D" w:rsidRPr="007428E2">
        <w:rPr>
          <w:rFonts w:ascii="Arial" w:hAnsi="Arial"/>
        </w:rPr>
        <w:t xml:space="preserve"> for PM</w:t>
      </w:r>
      <w:r w:rsidRPr="007428E2">
        <w:rPr>
          <w:rFonts w:ascii="Arial" w:hAnsi="Arial"/>
        </w:rPr>
        <w:t>.</w:t>
      </w:r>
    </w:p>
    <w:p w:rsidR="00F971C2" w:rsidRPr="007428E2" w:rsidRDefault="00F971C2" w:rsidP="00AA0C0D">
      <w:pPr>
        <w:spacing w:before="120" w:after="300"/>
        <w:rPr>
          <w:rFonts w:ascii="Arial" w:hAnsi="Arial" w:cs="Arial"/>
        </w:rPr>
      </w:pPr>
      <w:r w:rsidRPr="007428E2">
        <w:rPr>
          <w:rFonts w:ascii="Arial" w:hAnsi="Arial" w:cs="Arial"/>
        </w:rPr>
        <w:t xml:space="preserve">Other recommendations </w:t>
      </w:r>
      <w:r w:rsidR="000B245D" w:rsidRPr="007428E2">
        <w:rPr>
          <w:rFonts w:ascii="Arial" w:hAnsi="Arial" w:cs="Arial"/>
        </w:rPr>
        <w:t>concerning specific</w:t>
      </w:r>
      <w:r w:rsidR="008D1C0F" w:rsidRPr="007428E2">
        <w:rPr>
          <w:rFonts w:ascii="Arial" w:hAnsi="Arial" w:cs="Arial"/>
        </w:rPr>
        <w:t xml:space="preserve"> technical matters </w:t>
      </w:r>
      <w:r w:rsidRPr="007428E2">
        <w:rPr>
          <w:rFonts w:ascii="Arial" w:hAnsi="Arial" w:cs="Arial"/>
        </w:rPr>
        <w:t>(</w:t>
      </w:r>
      <w:r w:rsidR="009334F4" w:rsidRPr="007428E2">
        <w:rPr>
          <w:rFonts w:ascii="Arial" w:hAnsi="Arial" w:cs="Arial"/>
        </w:rPr>
        <w:t>e.g.</w:t>
      </w:r>
      <w:r w:rsidRPr="007428E2">
        <w:rPr>
          <w:rFonts w:ascii="Arial" w:hAnsi="Arial" w:cs="Arial"/>
        </w:rPr>
        <w:t xml:space="preserve"> monitoring methods and protocols, site locations)</w:t>
      </w:r>
      <w:r w:rsidR="008D1C0F" w:rsidRPr="007428E2">
        <w:rPr>
          <w:rFonts w:ascii="Arial" w:hAnsi="Arial" w:cs="Arial"/>
        </w:rPr>
        <w:t xml:space="preserve"> are being considered through existing processes</w:t>
      </w:r>
      <w:r w:rsidR="000B245D" w:rsidRPr="007428E2">
        <w:rPr>
          <w:rFonts w:ascii="Arial" w:hAnsi="Arial" w:cs="Arial"/>
        </w:rPr>
        <w:t>, and</w:t>
      </w:r>
      <w:r w:rsidR="0047557D" w:rsidRPr="007428E2">
        <w:rPr>
          <w:rFonts w:ascii="Arial" w:hAnsi="Arial" w:cs="Arial"/>
        </w:rPr>
        <w:t xml:space="preserve"> are outside the scope of this</w:t>
      </w:r>
      <w:r w:rsidR="008D1C0F" w:rsidRPr="007428E2">
        <w:rPr>
          <w:rFonts w:ascii="Arial" w:hAnsi="Arial" w:cs="Arial"/>
        </w:rPr>
        <w:t xml:space="preserve"> </w:t>
      </w:r>
      <w:r w:rsidR="008D003F" w:rsidRPr="007428E2">
        <w:rPr>
          <w:rFonts w:ascii="Arial" w:hAnsi="Arial" w:cs="Arial"/>
        </w:rPr>
        <w:t>Impact Statement</w:t>
      </w:r>
      <w:r w:rsidR="008D1C0F" w:rsidRPr="007428E2">
        <w:rPr>
          <w:rFonts w:ascii="Arial" w:hAnsi="Arial" w:cs="Arial"/>
        </w:rPr>
        <w:t>.</w:t>
      </w:r>
    </w:p>
    <w:p w:rsidR="00953222" w:rsidRPr="007428E2" w:rsidRDefault="00953222" w:rsidP="00953222">
      <w:pPr>
        <w:pStyle w:val="ES1"/>
        <w:rPr>
          <w:rFonts w:ascii="Arial" w:hAnsi="Arial" w:cs="Arial"/>
        </w:rPr>
      </w:pPr>
      <w:r w:rsidRPr="007428E2">
        <w:rPr>
          <w:rFonts w:ascii="Arial" w:hAnsi="Arial" w:cs="Arial"/>
        </w:rPr>
        <w:lastRenderedPageBreak/>
        <w:t>Preferred options</w:t>
      </w:r>
    </w:p>
    <w:p w:rsidR="00953222" w:rsidRPr="007428E2" w:rsidRDefault="00953222" w:rsidP="00953222">
      <w:pPr>
        <w:pStyle w:val="BulletArrows"/>
        <w:spacing w:after="360"/>
        <w:rPr>
          <w:rFonts w:ascii="Arial" w:hAnsi="Arial"/>
        </w:rPr>
      </w:pPr>
      <w:r w:rsidRPr="007428E2">
        <w:rPr>
          <w:rFonts w:ascii="Arial" w:hAnsi="Arial"/>
          <w:color w:val="auto"/>
        </w:rPr>
        <w:t xml:space="preserve">The preferred options </w:t>
      </w:r>
      <w:r>
        <w:rPr>
          <w:rFonts w:ascii="Arial" w:hAnsi="Arial"/>
          <w:color w:val="auto"/>
        </w:rPr>
        <w:t xml:space="preserve">for revising the AAQ NEPM </w:t>
      </w:r>
      <w:r w:rsidRPr="007428E2">
        <w:rPr>
          <w:rFonts w:ascii="Arial" w:hAnsi="Arial"/>
          <w:color w:val="auto"/>
        </w:rPr>
        <w:t xml:space="preserve">are summarised in </w:t>
      </w:r>
      <w:r w:rsidRPr="007428E2">
        <w:rPr>
          <w:rFonts w:ascii="Arial" w:hAnsi="Arial"/>
          <w:b/>
          <w:color w:val="auto"/>
        </w:rPr>
        <w:t>Table ES</w:t>
      </w:r>
      <w:r>
        <w:rPr>
          <w:rFonts w:ascii="Arial" w:hAnsi="Arial"/>
          <w:b/>
          <w:color w:val="auto"/>
        </w:rPr>
        <w:t>1</w:t>
      </w:r>
      <w:r w:rsidRPr="007428E2">
        <w:rPr>
          <w:rFonts w:ascii="Arial" w:hAnsi="Arial"/>
          <w:color w:val="auto"/>
        </w:rPr>
        <w:t xml:space="preserve">. </w:t>
      </w:r>
      <w:r w:rsidRPr="007428E2">
        <w:rPr>
          <w:rFonts w:ascii="Arial" w:hAnsi="Arial"/>
        </w:rPr>
        <w:t xml:space="preserve">It is also </w:t>
      </w:r>
      <w:r w:rsidR="00AA0CD0">
        <w:rPr>
          <w:rFonts w:ascii="Arial" w:hAnsi="Arial"/>
        </w:rPr>
        <w:t xml:space="preserve">proposed </w:t>
      </w:r>
      <w:r w:rsidRPr="007428E2">
        <w:rPr>
          <w:rFonts w:ascii="Arial" w:hAnsi="Arial"/>
        </w:rPr>
        <w:t>that the advisory reporting standards for PM</w:t>
      </w:r>
      <w:r w:rsidRPr="007428E2">
        <w:rPr>
          <w:rFonts w:ascii="Arial" w:hAnsi="Arial"/>
          <w:vertAlign w:val="subscript"/>
        </w:rPr>
        <w:t>2.5</w:t>
      </w:r>
      <w:r w:rsidRPr="007428E2">
        <w:rPr>
          <w:rFonts w:ascii="Arial" w:hAnsi="Arial"/>
        </w:rPr>
        <w:t xml:space="preserve"> could be </w:t>
      </w:r>
      <w:r w:rsidR="00AA0CD0">
        <w:rPr>
          <w:rFonts w:ascii="Arial" w:hAnsi="Arial"/>
        </w:rPr>
        <w:t xml:space="preserve">made </w:t>
      </w:r>
      <w:r w:rsidRPr="007428E2">
        <w:rPr>
          <w:rFonts w:ascii="Arial" w:hAnsi="Arial"/>
        </w:rPr>
        <w:t>performance standards.</w:t>
      </w:r>
    </w:p>
    <w:p w:rsidR="00953222" w:rsidRPr="007428E2" w:rsidRDefault="00953222" w:rsidP="00953222">
      <w:pPr>
        <w:pStyle w:val="Caption"/>
        <w:rPr>
          <w:rFonts w:ascii="Arial" w:hAnsi="Arial" w:cs="Arial"/>
        </w:rPr>
      </w:pPr>
      <w:r w:rsidRPr="007428E2">
        <w:rPr>
          <w:rFonts w:ascii="Arial" w:hAnsi="Arial" w:cs="Arial"/>
        </w:rPr>
        <w:t>Table ES</w:t>
      </w:r>
      <w:r>
        <w:rPr>
          <w:rFonts w:ascii="Arial" w:hAnsi="Arial" w:cs="Arial"/>
        </w:rPr>
        <w:t>1</w:t>
      </w:r>
      <w:r w:rsidRPr="007428E2">
        <w:rPr>
          <w:rFonts w:ascii="Arial" w:hAnsi="Arial" w:cs="Arial"/>
        </w:rPr>
        <w:t>: Summary of preferred options</w:t>
      </w:r>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A0"/>
      </w:tblPr>
      <w:tblGrid>
        <w:gridCol w:w="1044"/>
        <w:gridCol w:w="2466"/>
        <w:gridCol w:w="1418"/>
        <w:gridCol w:w="2268"/>
        <w:gridCol w:w="1417"/>
      </w:tblGrid>
      <w:tr w:rsidR="00953222" w:rsidRPr="007428E2" w:rsidTr="00953222">
        <w:trPr>
          <w:trHeight w:val="529"/>
          <w:jc w:val="center"/>
        </w:trPr>
        <w:tc>
          <w:tcPr>
            <w:tcW w:w="1044" w:type="dxa"/>
            <w:shd w:val="clear" w:color="auto" w:fill="0070C0"/>
            <w:vAlign w:val="center"/>
          </w:tcPr>
          <w:p w:rsidR="00953222" w:rsidRPr="007428E2" w:rsidRDefault="00953222" w:rsidP="00953222">
            <w:pPr>
              <w:spacing w:after="0" w:line="240" w:lineRule="auto"/>
              <w:jc w:val="center"/>
              <w:rPr>
                <w:rFonts w:ascii="Arial" w:hAnsi="Arial" w:cs="Arial"/>
                <w:b/>
                <w:color w:val="FFFFFF"/>
                <w:sz w:val="15"/>
                <w:szCs w:val="15"/>
              </w:rPr>
            </w:pPr>
            <w:r w:rsidRPr="007428E2">
              <w:rPr>
                <w:rFonts w:ascii="Arial" w:hAnsi="Arial" w:cs="Arial"/>
                <w:b/>
                <w:color w:val="FFFFFF"/>
                <w:sz w:val="15"/>
                <w:szCs w:val="15"/>
              </w:rPr>
              <w:t>Aspect</w:t>
            </w:r>
          </w:p>
        </w:tc>
        <w:tc>
          <w:tcPr>
            <w:tcW w:w="2466" w:type="dxa"/>
            <w:shd w:val="clear" w:color="auto" w:fill="0070C0"/>
            <w:vAlign w:val="center"/>
          </w:tcPr>
          <w:p w:rsidR="00953222" w:rsidRPr="007428E2" w:rsidRDefault="00953222" w:rsidP="00953222">
            <w:pPr>
              <w:spacing w:after="0" w:line="240" w:lineRule="auto"/>
              <w:jc w:val="center"/>
              <w:rPr>
                <w:rFonts w:ascii="Arial" w:hAnsi="Arial" w:cs="Arial"/>
                <w:b/>
                <w:color w:val="FFFFFF"/>
                <w:sz w:val="15"/>
                <w:szCs w:val="15"/>
              </w:rPr>
            </w:pPr>
            <w:r w:rsidRPr="007428E2">
              <w:rPr>
                <w:rFonts w:ascii="Arial" w:hAnsi="Arial" w:cs="Arial"/>
                <w:b/>
                <w:color w:val="FFFFFF"/>
                <w:sz w:val="15"/>
                <w:szCs w:val="15"/>
              </w:rPr>
              <w:t>Metric</w:t>
            </w:r>
          </w:p>
        </w:tc>
        <w:tc>
          <w:tcPr>
            <w:tcW w:w="1418" w:type="dxa"/>
            <w:shd w:val="clear" w:color="auto" w:fill="0070C0"/>
            <w:vAlign w:val="center"/>
          </w:tcPr>
          <w:p w:rsidR="00953222" w:rsidRPr="007428E2" w:rsidRDefault="00953222" w:rsidP="00953222">
            <w:pPr>
              <w:spacing w:after="0" w:line="240" w:lineRule="auto"/>
              <w:jc w:val="center"/>
              <w:rPr>
                <w:rFonts w:ascii="Arial" w:hAnsi="Arial" w:cs="Arial"/>
                <w:b/>
                <w:color w:val="FFFFFF"/>
                <w:sz w:val="15"/>
                <w:szCs w:val="15"/>
              </w:rPr>
            </w:pPr>
            <w:r w:rsidRPr="007428E2">
              <w:rPr>
                <w:rFonts w:ascii="Arial" w:hAnsi="Arial" w:cs="Arial"/>
                <w:b/>
                <w:color w:val="FFFFFF"/>
                <w:sz w:val="15"/>
                <w:szCs w:val="15"/>
              </w:rPr>
              <w:t>To be included in AAQ NEPM?</w:t>
            </w:r>
          </w:p>
        </w:tc>
        <w:tc>
          <w:tcPr>
            <w:tcW w:w="2268" w:type="dxa"/>
            <w:shd w:val="clear" w:color="auto" w:fill="0070C0"/>
            <w:vAlign w:val="center"/>
          </w:tcPr>
          <w:p w:rsidR="00953222" w:rsidRPr="007428E2" w:rsidRDefault="00953222" w:rsidP="00953222">
            <w:pPr>
              <w:spacing w:after="0" w:line="240" w:lineRule="auto"/>
              <w:jc w:val="center"/>
              <w:rPr>
                <w:rFonts w:ascii="Arial" w:hAnsi="Arial" w:cs="Arial"/>
                <w:b/>
                <w:color w:val="FFFFFF"/>
                <w:sz w:val="15"/>
                <w:szCs w:val="15"/>
              </w:rPr>
            </w:pPr>
            <w:r w:rsidRPr="007428E2">
              <w:rPr>
                <w:rFonts w:ascii="Arial" w:hAnsi="Arial" w:cs="Arial"/>
                <w:b/>
                <w:color w:val="FFFFFF"/>
                <w:sz w:val="15"/>
                <w:szCs w:val="15"/>
              </w:rPr>
              <w:t>Numerical value</w:t>
            </w:r>
          </w:p>
        </w:tc>
        <w:tc>
          <w:tcPr>
            <w:tcW w:w="1417" w:type="dxa"/>
            <w:shd w:val="clear" w:color="auto" w:fill="0070C0"/>
            <w:vAlign w:val="center"/>
          </w:tcPr>
          <w:p w:rsidR="00953222" w:rsidRPr="007428E2" w:rsidRDefault="00953222" w:rsidP="00953222">
            <w:pPr>
              <w:spacing w:after="0" w:line="240" w:lineRule="auto"/>
              <w:jc w:val="center"/>
              <w:rPr>
                <w:rFonts w:ascii="Arial" w:hAnsi="Arial" w:cs="Arial"/>
                <w:b/>
                <w:color w:val="FFFFFF"/>
                <w:sz w:val="15"/>
                <w:szCs w:val="15"/>
              </w:rPr>
            </w:pPr>
            <w:r w:rsidRPr="007428E2">
              <w:rPr>
                <w:rFonts w:ascii="Arial" w:hAnsi="Arial" w:cs="Arial"/>
                <w:b/>
                <w:color w:val="FFFFFF"/>
                <w:sz w:val="15"/>
                <w:szCs w:val="15"/>
              </w:rPr>
              <w:t>Form of standard</w:t>
            </w:r>
          </w:p>
        </w:tc>
      </w:tr>
      <w:tr w:rsidR="00953222" w:rsidRPr="007428E2" w:rsidTr="00953222">
        <w:trPr>
          <w:cantSplit/>
          <w:trHeight w:hRule="exact" w:val="397"/>
          <w:jc w:val="center"/>
        </w:trPr>
        <w:tc>
          <w:tcPr>
            <w:tcW w:w="1044" w:type="dxa"/>
            <w:vMerge w:val="restart"/>
            <w:vAlign w:val="center"/>
          </w:tcPr>
          <w:p w:rsidR="00953222" w:rsidRPr="007428E2" w:rsidRDefault="00953222" w:rsidP="00953222">
            <w:pPr>
              <w:spacing w:after="0" w:line="240" w:lineRule="auto"/>
              <w:jc w:val="center"/>
              <w:rPr>
                <w:rFonts w:ascii="Arial" w:hAnsi="Arial" w:cs="Arial"/>
                <w:sz w:val="15"/>
                <w:szCs w:val="15"/>
              </w:rPr>
            </w:pPr>
            <w:r w:rsidRPr="007428E2">
              <w:rPr>
                <w:rFonts w:ascii="Arial" w:hAnsi="Arial" w:cs="Arial"/>
                <w:sz w:val="15"/>
                <w:szCs w:val="15"/>
              </w:rPr>
              <w:t>Air quality standards</w:t>
            </w:r>
          </w:p>
        </w:tc>
        <w:tc>
          <w:tcPr>
            <w:tcW w:w="2466" w:type="dxa"/>
            <w:tcBorders>
              <w:bottom w:val="dotted" w:sz="4" w:space="0" w:color="0070C0"/>
            </w:tcBorders>
            <w:vAlign w:val="center"/>
          </w:tcPr>
          <w:p w:rsidR="00953222" w:rsidRPr="007428E2" w:rsidRDefault="00953222" w:rsidP="00953222">
            <w:pPr>
              <w:spacing w:after="0" w:line="240" w:lineRule="auto"/>
              <w:jc w:val="center"/>
              <w:rPr>
                <w:rFonts w:ascii="Arial" w:hAnsi="Arial" w:cs="Arial"/>
                <w:sz w:val="15"/>
                <w:szCs w:val="15"/>
              </w:rPr>
            </w:pPr>
            <w:r w:rsidRPr="007428E2">
              <w:rPr>
                <w:rFonts w:ascii="Arial" w:hAnsi="Arial" w:cs="Arial"/>
                <w:sz w:val="15"/>
                <w:szCs w:val="15"/>
              </w:rPr>
              <w:t>PM</w:t>
            </w:r>
            <w:r w:rsidRPr="007428E2">
              <w:rPr>
                <w:rFonts w:ascii="Arial" w:hAnsi="Arial" w:cs="Arial"/>
                <w:sz w:val="15"/>
                <w:szCs w:val="15"/>
                <w:vertAlign w:val="subscript"/>
              </w:rPr>
              <w:t>10</w:t>
            </w:r>
            <w:r w:rsidRPr="007428E2">
              <w:rPr>
                <w:rFonts w:ascii="Arial" w:hAnsi="Arial" w:cs="Arial"/>
                <w:sz w:val="15"/>
                <w:szCs w:val="15"/>
              </w:rPr>
              <w:t xml:space="preserve"> – annual mean</w:t>
            </w:r>
          </w:p>
        </w:tc>
        <w:tc>
          <w:tcPr>
            <w:tcW w:w="1418" w:type="dxa"/>
            <w:tcBorders>
              <w:bottom w:val="dotted" w:sz="4" w:space="0" w:color="0070C0"/>
            </w:tcBorders>
            <w:vAlign w:val="center"/>
          </w:tcPr>
          <w:p w:rsidR="00953222" w:rsidRPr="007428E2" w:rsidRDefault="00953222" w:rsidP="00953222">
            <w:pPr>
              <w:spacing w:after="0" w:line="240" w:lineRule="auto"/>
              <w:jc w:val="center"/>
              <w:rPr>
                <w:rFonts w:ascii="Arial" w:hAnsi="Arial" w:cs="Arial"/>
                <w:sz w:val="15"/>
                <w:szCs w:val="15"/>
              </w:rPr>
            </w:pPr>
            <w:r w:rsidRPr="007428E2">
              <w:rPr>
                <w:rFonts w:ascii="Arial" w:hAnsi="Arial" w:cs="Arial"/>
                <w:sz w:val="15"/>
                <w:szCs w:val="15"/>
              </w:rPr>
              <w:t>Yes</w:t>
            </w:r>
          </w:p>
        </w:tc>
        <w:tc>
          <w:tcPr>
            <w:tcW w:w="2268" w:type="dxa"/>
            <w:tcBorders>
              <w:bottom w:val="dotted" w:sz="4" w:space="0" w:color="0070C0"/>
            </w:tcBorders>
            <w:vAlign w:val="center"/>
          </w:tcPr>
          <w:p w:rsidR="00953222" w:rsidRPr="007428E2" w:rsidRDefault="006009CC" w:rsidP="00953222">
            <w:pPr>
              <w:spacing w:after="0" w:line="240" w:lineRule="auto"/>
              <w:jc w:val="center"/>
              <w:rPr>
                <w:rFonts w:ascii="Arial" w:hAnsi="Arial" w:cs="Arial"/>
                <w:sz w:val="15"/>
                <w:szCs w:val="15"/>
              </w:rPr>
            </w:pPr>
            <w:r>
              <w:rPr>
                <w:rFonts w:ascii="Arial" w:hAnsi="Arial" w:cs="Arial"/>
                <w:sz w:val="15"/>
                <w:szCs w:val="15"/>
              </w:rPr>
              <w:t>No standard</w:t>
            </w:r>
            <w:r w:rsidR="00953222" w:rsidRPr="007428E2">
              <w:rPr>
                <w:rFonts w:ascii="Arial" w:hAnsi="Arial" w:cs="Arial"/>
                <w:sz w:val="15"/>
                <w:szCs w:val="15"/>
              </w:rPr>
              <w:t xml:space="preserve"> with consideration of 20 </w:t>
            </w:r>
            <w:proofErr w:type="spellStart"/>
            <w:r w:rsidR="00953222" w:rsidRPr="007428E2">
              <w:rPr>
                <w:rFonts w:ascii="Arial" w:hAnsi="Arial" w:cs="Arial"/>
                <w:sz w:val="15"/>
                <w:szCs w:val="15"/>
              </w:rPr>
              <w:t>μg</w:t>
            </w:r>
            <w:proofErr w:type="spellEnd"/>
            <w:r w:rsidR="00953222" w:rsidRPr="007428E2">
              <w:rPr>
                <w:rFonts w:ascii="Arial" w:hAnsi="Arial" w:cs="Arial"/>
                <w:sz w:val="15"/>
                <w:szCs w:val="15"/>
              </w:rPr>
              <w:t>/m</w:t>
            </w:r>
            <w:r w:rsidR="00953222" w:rsidRPr="007428E2">
              <w:rPr>
                <w:rFonts w:ascii="Arial" w:hAnsi="Arial" w:cs="Arial"/>
                <w:sz w:val="15"/>
                <w:szCs w:val="15"/>
                <w:vertAlign w:val="superscript"/>
              </w:rPr>
              <w:t>3</w:t>
            </w:r>
          </w:p>
        </w:tc>
        <w:tc>
          <w:tcPr>
            <w:tcW w:w="1417" w:type="dxa"/>
            <w:tcBorders>
              <w:bottom w:val="dotted" w:sz="4" w:space="0" w:color="0070C0"/>
            </w:tcBorders>
            <w:vAlign w:val="center"/>
          </w:tcPr>
          <w:p w:rsidR="00953222" w:rsidRPr="007428E2" w:rsidRDefault="00953222" w:rsidP="00953222">
            <w:pPr>
              <w:spacing w:after="0" w:line="240" w:lineRule="auto"/>
              <w:jc w:val="center"/>
              <w:rPr>
                <w:rFonts w:ascii="Arial" w:hAnsi="Arial" w:cs="Arial"/>
                <w:sz w:val="15"/>
                <w:szCs w:val="15"/>
              </w:rPr>
            </w:pPr>
            <w:r w:rsidRPr="007428E2">
              <w:rPr>
                <w:rFonts w:ascii="Arial" w:hAnsi="Arial" w:cs="Arial"/>
                <w:sz w:val="15"/>
                <w:szCs w:val="15"/>
              </w:rPr>
              <w:t>–</w:t>
            </w:r>
          </w:p>
        </w:tc>
      </w:tr>
      <w:tr w:rsidR="00953222" w:rsidRPr="007428E2" w:rsidTr="00953222">
        <w:trPr>
          <w:cantSplit/>
          <w:trHeight w:hRule="exact" w:val="802"/>
          <w:jc w:val="center"/>
        </w:trPr>
        <w:tc>
          <w:tcPr>
            <w:tcW w:w="1044" w:type="dxa"/>
            <w:vMerge/>
            <w:vAlign w:val="center"/>
          </w:tcPr>
          <w:p w:rsidR="00953222" w:rsidRPr="007428E2" w:rsidRDefault="00953222" w:rsidP="00953222">
            <w:pPr>
              <w:spacing w:after="0" w:line="240" w:lineRule="auto"/>
              <w:jc w:val="center"/>
              <w:rPr>
                <w:rFonts w:ascii="Arial" w:hAnsi="Arial" w:cs="Arial"/>
                <w:sz w:val="15"/>
                <w:szCs w:val="15"/>
              </w:rPr>
            </w:pPr>
          </w:p>
        </w:tc>
        <w:tc>
          <w:tcPr>
            <w:tcW w:w="2466" w:type="dxa"/>
            <w:tcBorders>
              <w:top w:val="dotted" w:sz="4" w:space="0" w:color="0070C0"/>
              <w:bottom w:val="dotted" w:sz="4" w:space="0" w:color="0070C0"/>
            </w:tcBorders>
            <w:vAlign w:val="center"/>
          </w:tcPr>
          <w:p w:rsidR="00953222" w:rsidRPr="007428E2" w:rsidRDefault="00953222" w:rsidP="00953222">
            <w:pPr>
              <w:spacing w:after="0" w:line="240" w:lineRule="auto"/>
              <w:jc w:val="center"/>
              <w:rPr>
                <w:rFonts w:ascii="Arial" w:hAnsi="Arial" w:cs="Arial"/>
                <w:sz w:val="15"/>
                <w:szCs w:val="15"/>
              </w:rPr>
            </w:pPr>
            <w:r w:rsidRPr="007428E2">
              <w:rPr>
                <w:rFonts w:ascii="Arial" w:hAnsi="Arial" w:cs="Arial"/>
                <w:sz w:val="15"/>
                <w:szCs w:val="15"/>
              </w:rPr>
              <w:t>PM</w:t>
            </w:r>
            <w:r w:rsidRPr="007428E2">
              <w:rPr>
                <w:rFonts w:ascii="Arial" w:hAnsi="Arial" w:cs="Arial"/>
                <w:sz w:val="15"/>
                <w:szCs w:val="15"/>
                <w:vertAlign w:val="subscript"/>
              </w:rPr>
              <w:t>10</w:t>
            </w:r>
            <w:r w:rsidRPr="007428E2">
              <w:rPr>
                <w:rFonts w:ascii="Arial" w:hAnsi="Arial" w:cs="Arial"/>
                <w:sz w:val="15"/>
                <w:szCs w:val="15"/>
              </w:rPr>
              <w:t xml:space="preserve"> – 24-hour mean</w:t>
            </w:r>
          </w:p>
        </w:tc>
        <w:tc>
          <w:tcPr>
            <w:tcW w:w="1418" w:type="dxa"/>
            <w:tcBorders>
              <w:top w:val="dotted" w:sz="4" w:space="0" w:color="0070C0"/>
              <w:bottom w:val="dotted" w:sz="4" w:space="0" w:color="0070C0"/>
            </w:tcBorders>
            <w:vAlign w:val="center"/>
          </w:tcPr>
          <w:p w:rsidR="00953222" w:rsidRPr="007428E2" w:rsidRDefault="00953222" w:rsidP="00953222">
            <w:pPr>
              <w:spacing w:after="0" w:line="240" w:lineRule="auto"/>
              <w:jc w:val="center"/>
              <w:rPr>
                <w:rFonts w:ascii="Arial" w:hAnsi="Arial" w:cs="Arial"/>
                <w:sz w:val="15"/>
                <w:szCs w:val="15"/>
              </w:rPr>
            </w:pPr>
            <w:r w:rsidRPr="007428E2">
              <w:rPr>
                <w:rFonts w:ascii="Arial" w:hAnsi="Arial" w:cs="Arial"/>
                <w:sz w:val="15"/>
                <w:szCs w:val="15"/>
              </w:rPr>
              <w:t>Yes</w:t>
            </w:r>
          </w:p>
        </w:tc>
        <w:tc>
          <w:tcPr>
            <w:tcW w:w="2268" w:type="dxa"/>
            <w:tcBorders>
              <w:top w:val="dotted" w:sz="4" w:space="0" w:color="0070C0"/>
              <w:bottom w:val="dotted" w:sz="4" w:space="0" w:color="0070C0"/>
            </w:tcBorders>
            <w:vAlign w:val="center"/>
          </w:tcPr>
          <w:p w:rsidR="00953222" w:rsidRPr="007428E2" w:rsidRDefault="00953222" w:rsidP="00953222">
            <w:pPr>
              <w:spacing w:after="0" w:line="240" w:lineRule="auto"/>
              <w:jc w:val="center"/>
              <w:rPr>
                <w:rFonts w:ascii="Arial" w:hAnsi="Arial" w:cs="Arial"/>
                <w:sz w:val="15"/>
                <w:szCs w:val="15"/>
              </w:rPr>
            </w:pPr>
            <w:r w:rsidRPr="007428E2">
              <w:rPr>
                <w:rFonts w:ascii="Arial" w:hAnsi="Arial" w:cs="Arial"/>
                <w:sz w:val="15"/>
                <w:szCs w:val="15"/>
              </w:rPr>
              <w:t xml:space="preserve">40 - 50 </w:t>
            </w:r>
            <w:proofErr w:type="spellStart"/>
            <w:r w:rsidRPr="007428E2">
              <w:rPr>
                <w:rFonts w:ascii="Arial" w:hAnsi="Arial" w:cs="Arial"/>
                <w:sz w:val="15"/>
                <w:szCs w:val="15"/>
              </w:rPr>
              <w:t>μg</w:t>
            </w:r>
            <w:proofErr w:type="spellEnd"/>
            <w:r w:rsidRPr="007428E2">
              <w:rPr>
                <w:rFonts w:ascii="Arial" w:hAnsi="Arial" w:cs="Arial"/>
                <w:sz w:val="15"/>
                <w:szCs w:val="15"/>
              </w:rPr>
              <w:t>/m</w:t>
            </w:r>
            <w:r w:rsidRPr="007428E2">
              <w:rPr>
                <w:rFonts w:ascii="Arial" w:hAnsi="Arial" w:cs="Arial"/>
                <w:sz w:val="15"/>
                <w:szCs w:val="15"/>
                <w:vertAlign w:val="superscript"/>
              </w:rPr>
              <w:t>3</w:t>
            </w:r>
          </w:p>
        </w:tc>
        <w:tc>
          <w:tcPr>
            <w:tcW w:w="1417" w:type="dxa"/>
            <w:tcBorders>
              <w:top w:val="dotted" w:sz="4" w:space="0" w:color="0070C0"/>
              <w:bottom w:val="dotted" w:sz="4" w:space="0" w:color="0070C0"/>
            </w:tcBorders>
            <w:vAlign w:val="center"/>
          </w:tcPr>
          <w:p w:rsidR="00953222" w:rsidRPr="007428E2" w:rsidRDefault="00953222" w:rsidP="00953222">
            <w:pPr>
              <w:spacing w:after="0" w:line="240" w:lineRule="auto"/>
              <w:jc w:val="center"/>
              <w:rPr>
                <w:rFonts w:ascii="Arial" w:hAnsi="Arial" w:cs="Arial"/>
                <w:sz w:val="15"/>
                <w:szCs w:val="15"/>
              </w:rPr>
            </w:pPr>
            <w:r w:rsidRPr="007428E2">
              <w:rPr>
                <w:rFonts w:ascii="Arial" w:hAnsi="Arial" w:cs="Arial"/>
                <w:sz w:val="15"/>
                <w:szCs w:val="15"/>
              </w:rPr>
              <w:t>To be agreed</w:t>
            </w:r>
          </w:p>
        </w:tc>
      </w:tr>
      <w:tr w:rsidR="00953222" w:rsidRPr="007428E2" w:rsidTr="00953222">
        <w:trPr>
          <w:cantSplit/>
          <w:trHeight w:hRule="exact" w:val="397"/>
          <w:jc w:val="center"/>
        </w:trPr>
        <w:tc>
          <w:tcPr>
            <w:tcW w:w="1044" w:type="dxa"/>
            <w:vMerge/>
            <w:vAlign w:val="center"/>
          </w:tcPr>
          <w:p w:rsidR="00953222" w:rsidRPr="007428E2" w:rsidRDefault="00953222" w:rsidP="00953222">
            <w:pPr>
              <w:spacing w:after="0" w:line="240" w:lineRule="auto"/>
              <w:jc w:val="center"/>
              <w:rPr>
                <w:rFonts w:ascii="Arial" w:hAnsi="Arial" w:cs="Arial"/>
                <w:sz w:val="15"/>
                <w:szCs w:val="15"/>
              </w:rPr>
            </w:pPr>
          </w:p>
        </w:tc>
        <w:tc>
          <w:tcPr>
            <w:tcW w:w="2466" w:type="dxa"/>
            <w:tcBorders>
              <w:top w:val="dotted" w:sz="4" w:space="0" w:color="0070C0"/>
              <w:bottom w:val="dotted" w:sz="4" w:space="0" w:color="0070C0"/>
            </w:tcBorders>
            <w:vAlign w:val="center"/>
          </w:tcPr>
          <w:p w:rsidR="00953222" w:rsidRPr="007428E2" w:rsidRDefault="00953222" w:rsidP="00953222">
            <w:pPr>
              <w:spacing w:after="0" w:line="240" w:lineRule="auto"/>
              <w:jc w:val="center"/>
              <w:rPr>
                <w:rFonts w:ascii="Arial" w:hAnsi="Arial" w:cs="Arial"/>
                <w:sz w:val="15"/>
                <w:szCs w:val="15"/>
              </w:rPr>
            </w:pPr>
            <w:r w:rsidRPr="007428E2">
              <w:rPr>
                <w:rFonts w:ascii="Arial" w:hAnsi="Arial" w:cs="Arial"/>
                <w:sz w:val="15"/>
                <w:szCs w:val="15"/>
              </w:rPr>
              <w:t>PM</w:t>
            </w:r>
            <w:r w:rsidRPr="007428E2">
              <w:rPr>
                <w:rFonts w:ascii="Arial" w:hAnsi="Arial" w:cs="Arial"/>
                <w:sz w:val="15"/>
                <w:szCs w:val="15"/>
                <w:vertAlign w:val="subscript"/>
              </w:rPr>
              <w:t>2.5</w:t>
            </w:r>
            <w:r w:rsidRPr="007428E2">
              <w:rPr>
                <w:rFonts w:ascii="Arial" w:hAnsi="Arial" w:cs="Arial"/>
                <w:sz w:val="15"/>
                <w:szCs w:val="15"/>
              </w:rPr>
              <w:t xml:space="preserve"> – annual mean</w:t>
            </w:r>
          </w:p>
        </w:tc>
        <w:tc>
          <w:tcPr>
            <w:tcW w:w="1418" w:type="dxa"/>
            <w:tcBorders>
              <w:top w:val="dotted" w:sz="4" w:space="0" w:color="0070C0"/>
              <w:bottom w:val="dotted" w:sz="4" w:space="0" w:color="0070C0"/>
            </w:tcBorders>
            <w:vAlign w:val="center"/>
          </w:tcPr>
          <w:p w:rsidR="00953222" w:rsidRPr="007428E2" w:rsidRDefault="00953222" w:rsidP="00953222">
            <w:pPr>
              <w:spacing w:after="0" w:line="240" w:lineRule="auto"/>
              <w:jc w:val="center"/>
              <w:rPr>
                <w:rFonts w:ascii="Arial" w:hAnsi="Arial" w:cs="Arial"/>
                <w:b/>
                <w:sz w:val="15"/>
                <w:szCs w:val="15"/>
              </w:rPr>
            </w:pPr>
            <w:r w:rsidRPr="007428E2">
              <w:rPr>
                <w:rFonts w:ascii="Arial" w:hAnsi="Arial" w:cs="Arial"/>
                <w:sz w:val="15"/>
                <w:szCs w:val="15"/>
              </w:rPr>
              <w:t>Yes</w:t>
            </w:r>
          </w:p>
        </w:tc>
        <w:tc>
          <w:tcPr>
            <w:tcW w:w="2268" w:type="dxa"/>
            <w:tcBorders>
              <w:top w:val="dotted" w:sz="4" w:space="0" w:color="0070C0"/>
              <w:bottom w:val="dotted" w:sz="4" w:space="0" w:color="0070C0"/>
            </w:tcBorders>
            <w:vAlign w:val="center"/>
          </w:tcPr>
          <w:p w:rsidR="00953222" w:rsidRPr="007428E2" w:rsidRDefault="00953222" w:rsidP="00953222">
            <w:pPr>
              <w:spacing w:after="0" w:line="240" w:lineRule="auto"/>
              <w:jc w:val="center"/>
              <w:rPr>
                <w:rFonts w:ascii="Arial" w:hAnsi="Arial" w:cs="Arial"/>
                <w:sz w:val="15"/>
                <w:szCs w:val="15"/>
              </w:rPr>
            </w:pPr>
            <w:r w:rsidRPr="007428E2">
              <w:rPr>
                <w:rFonts w:ascii="Arial" w:hAnsi="Arial" w:cs="Arial"/>
                <w:sz w:val="15"/>
                <w:szCs w:val="15"/>
              </w:rPr>
              <w:t xml:space="preserve">8 </w:t>
            </w:r>
            <w:proofErr w:type="spellStart"/>
            <w:r w:rsidRPr="007428E2">
              <w:rPr>
                <w:rFonts w:ascii="Arial" w:hAnsi="Arial" w:cs="Arial"/>
                <w:sz w:val="15"/>
                <w:szCs w:val="15"/>
              </w:rPr>
              <w:t>μg</w:t>
            </w:r>
            <w:proofErr w:type="spellEnd"/>
            <w:r w:rsidRPr="007428E2">
              <w:rPr>
                <w:rFonts w:ascii="Arial" w:hAnsi="Arial" w:cs="Arial"/>
                <w:sz w:val="15"/>
                <w:szCs w:val="15"/>
              </w:rPr>
              <w:t>/m</w:t>
            </w:r>
            <w:r w:rsidRPr="007428E2">
              <w:rPr>
                <w:rFonts w:ascii="Arial" w:hAnsi="Arial" w:cs="Arial"/>
                <w:sz w:val="15"/>
                <w:szCs w:val="15"/>
                <w:vertAlign w:val="superscript"/>
              </w:rPr>
              <w:t>3</w:t>
            </w:r>
          </w:p>
        </w:tc>
        <w:tc>
          <w:tcPr>
            <w:tcW w:w="1417" w:type="dxa"/>
            <w:tcBorders>
              <w:top w:val="dotted" w:sz="4" w:space="0" w:color="0070C0"/>
              <w:bottom w:val="dotted" w:sz="4" w:space="0" w:color="0070C0"/>
            </w:tcBorders>
            <w:vAlign w:val="center"/>
          </w:tcPr>
          <w:p w:rsidR="00953222" w:rsidRPr="007428E2" w:rsidRDefault="00953222" w:rsidP="00953222">
            <w:pPr>
              <w:spacing w:after="0" w:line="240" w:lineRule="auto"/>
              <w:jc w:val="center"/>
              <w:rPr>
                <w:rFonts w:ascii="Arial" w:hAnsi="Arial" w:cs="Arial"/>
                <w:sz w:val="15"/>
                <w:szCs w:val="15"/>
              </w:rPr>
            </w:pPr>
            <w:r w:rsidRPr="007428E2">
              <w:rPr>
                <w:rFonts w:ascii="Arial" w:hAnsi="Arial" w:cs="Arial"/>
                <w:sz w:val="15"/>
                <w:szCs w:val="15"/>
              </w:rPr>
              <w:t>–</w:t>
            </w:r>
          </w:p>
        </w:tc>
      </w:tr>
      <w:tr w:rsidR="00953222" w:rsidRPr="007428E2" w:rsidTr="00953222">
        <w:trPr>
          <w:cantSplit/>
          <w:trHeight w:hRule="exact" w:val="397"/>
          <w:jc w:val="center"/>
        </w:trPr>
        <w:tc>
          <w:tcPr>
            <w:tcW w:w="1044" w:type="dxa"/>
            <w:vMerge/>
            <w:vAlign w:val="center"/>
          </w:tcPr>
          <w:p w:rsidR="00953222" w:rsidRPr="007428E2" w:rsidRDefault="00953222" w:rsidP="00953222">
            <w:pPr>
              <w:spacing w:after="0" w:line="240" w:lineRule="auto"/>
              <w:jc w:val="center"/>
              <w:rPr>
                <w:rFonts w:ascii="Arial" w:hAnsi="Arial" w:cs="Arial"/>
                <w:sz w:val="15"/>
                <w:szCs w:val="15"/>
              </w:rPr>
            </w:pPr>
          </w:p>
        </w:tc>
        <w:tc>
          <w:tcPr>
            <w:tcW w:w="2466" w:type="dxa"/>
            <w:tcBorders>
              <w:top w:val="dotted" w:sz="4" w:space="0" w:color="0070C0"/>
            </w:tcBorders>
            <w:vAlign w:val="center"/>
          </w:tcPr>
          <w:p w:rsidR="00953222" w:rsidRPr="007428E2" w:rsidRDefault="00953222" w:rsidP="00953222">
            <w:pPr>
              <w:spacing w:after="0" w:line="240" w:lineRule="auto"/>
              <w:jc w:val="center"/>
              <w:rPr>
                <w:rFonts w:ascii="Arial" w:hAnsi="Arial" w:cs="Arial"/>
                <w:sz w:val="15"/>
                <w:szCs w:val="15"/>
              </w:rPr>
            </w:pPr>
            <w:r w:rsidRPr="007428E2">
              <w:rPr>
                <w:rFonts w:ascii="Arial" w:hAnsi="Arial" w:cs="Arial"/>
                <w:sz w:val="15"/>
                <w:szCs w:val="15"/>
              </w:rPr>
              <w:t>PM</w:t>
            </w:r>
            <w:r w:rsidRPr="007428E2">
              <w:rPr>
                <w:rFonts w:ascii="Arial" w:hAnsi="Arial" w:cs="Arial"/>
                <w:sz w:val="15"/>
                <w:szCs w:val="15"/>
                <w:vertAlign w:val="subscript"/>
              </w:rPr>
              <w:t>2.5</w:t>
            </w:r>
            <w:r w:rsidRPr="007428E2">
              <w:rPr>
                <w:rFonts w:ascii="Arial" w:hAnsi="Arial" w:cs="Arial"/>
                <w:sz w:val="15"/>
                <w:szCs w:val="15"/>
              </w:rPr>
              <w:t xml:space="preserve"> – 24-hour mean</w:t>
            </w:r>
          </w:p>
        </w:tc>
        <w:tc>
          <w:tcPr>
            <w:tcW w:w="1418" w:type="dxa"/>
            <w:tcBorders>
              <w:top w:val="dotted" w:sz="4" w:space="0" w:color="0070C0"/>
            </w:tcBorders>
            <w:vAlign w:val="center"/>
          </w:tcPr>
          <w:p w:rsidR="00953222" w:rsidRPr="007428E2" w:rsidRDefault="00953222" w:rsidP="00953222">
            <w:pPr>
              <w:spacing w:after="0" w:line="240" w:lineRule="auto"/>
              <w:jc w:val="center"/>
              <w:rPr>
                <w:rFonts w:ascii="Arial" w:hAnsi="Arial" w:cs="Arial"/>
                <w:b/>
                <w:sz w:val="15"/>
                <w:szCs w:val="15"/>
              </w:rPr>
            </w:pPr>
            <w:r w:rsidRPr="007428E2">
              <w:rPr>
                <w:rFonts w:ascii="Arial" w:hAnsi="Arial" w:cs="Arial"/>
                <w:sz w:val="15"/>
                <w:szCs w:val="15"/>
              </w:rPr>
              <w:t>Yes</w:t>
            </w:r>
          </w:p>
        </w:tc>
        <w:tc>
          <w:tcPr>
            <w:tcW w:w="2268" w:type="dxa"/>
            <w:tcBorders>
              <w:top w:val="dotted" w:sz="4" w:space="0" w:color="0070C0"/>
            </w:tcBorders>
            <w:vAlign w:val="center"/>
          </w:tcPr>
          <w:p w:rsidR="00953222" w:rsidRPr="007428E2" w:rsidRDefault="00953222" w:rsidP="00953222">
            <w:pPr>
              <w:spacing w:after="0" w:line="240" w:lineRule="auto"/>
              <w:jc w:val="center"/>
              <w:rPr>
                <w:rFonts w:ascii="Arial" w:hAnsi="Arial" w:cs="Arial"/>
                <w:sz w:val="15"/>
                <w:szCs w:val="15"/>
              </w:rPr>
            </w:pPr>
            <w:r w:rsidRPr="007428E2">
              <w:rPr>
                <w:rFonts w:ascii="Arial" w:hAnsi="Arial" w:cs="Arial"/>
                <w:sz w:val="15"/>
                <w:szCs w:val="15"/>
              </w:rPr>
              <w:t xml:space="preserve">25 </w:t>
            </w:r>
            <w:proofErr w:type="spellStart"/>
            <w:r w:rsidRPr="007428E2">
              <w:rPr>
                <w:rFonts w:ascii="Arial" w:hAnsi="Arial" w:cs="Arial"/>
                <w:sz w:val="15"/>
                <w:szCs w:val="15"/>
              </w:rPr>
              <w:t>μg</w:t>
            </w:r>
            <w:proofErr w:type="spellEnd"/>
            <w:r w:rsidRPr="007428E2">
              <w:rPr>
                <w:rFonts w:ascii="Arial" w:hAnsi="Arial" w:cs="Arial"/>
                <w:sz w:val="15"/>
                <w:szCs w:val="15"/>
              </w:rPr>
              <w:t>/m</w:t>
            </w:r>
            <w:r w:rsidRPr="007428E2">
              <w:rPr>
                <w:rFonts w:ascii="Arial" w:hAnsi="Arial" w:cs="Arial"/>
                <w:sz w:val="15"/>
                <w:szCs w:val="15"/>
                <w:vertAlign w:val="superscript"/>
              </w:rPr>
              <w:t>3</w:t>
            </w:r>
          </w:p>
        </w:tc>
        <w:tc>
          <w:tcPr>
            <w:tcW w:w="1417" w:type="dxa"/>
            <w:tcBorders>
              <w:top w:val="dotted" w:sz="4" w:space="0" w:color="0070C0"/>
            </w:tcBorders>
            <w:vAlign w:val="center"/>
          </w:tcPr>
          <w:p w:rsidR="00953222" w:rsidRPr="007428E2" w:rsidRDefault="00953222" w:rsidP="00953222">
            <w:pPr>
              <w:spacing w:after="0" w:line="240" w:lineRule="auto"/>
              <w:jc w:val="center"/>
              <w:rPr>
                <w:rFonts w:ascii="Arial" w:hAnsi="Arial" w:cs="Arial"/>
                <w:b/>
                <w:sz w:val="15"/>
                <w:szCs w:val="15"/>
              </w:rPr>
            </w:pPr>
            <w:r w:rsidRPr="007428E2">
              <w:rPr>
                <w:rFonts w:ascii="Arial" w:hAnsi="Arial" w:cs="Arial"/>
                <w:sz w:val="15"/>
                <w:szCs w:val="15"/>
              </w:rPr>
              <w:t>To be agreed</w:t>
            </w:r>
          </w:p>
        </w:tc>
      </w:tr>
      <w:tr w:rsidR="00953222" w:rsidRPr="007428E2" w:rsidTr="00953222">
        <w:trPr>
          <w:cantSplit/>
          <w:trHeight w:hRule="exact" w:val="1117"/>
          <w:jc w:val="center"/>
        </w:trPr>
        <w:tc>
          <w:tcPr>
            <w:tcW w:w="1044" w:type="dxa"/>
            <w:vAlign w:val="center"/>
          </w:tcPr>
          <w:p w:rsidR="00953222" w:rsidRPr="007428E2" w:rsidRDefault="00953222" w:rsidP="00953222">
            <w:pPr>
              <w:spacing w:after="0" w:line="240" w:lineRule="auto"/>
              <w:jc w:val="center"/>
              <w:rPr>
                <w:rFonts w:ascii="Arial" w:hAnsi="Arial" w:cs="Arial"/>
                <w:sz w:val="15"/>
                <w:szCs w:val="15"/>
              </w:rPr>
            </w:pPr>
            <w:r w:rsidRPr="007428E2">
              <w:rPr>
                <w:rFonts w:ascii="Arial" w:hAnsi="Arial" w:cs="Arial"/>
                <w:sz w:val="15"/>
                <w:szCs w:val="15"/>
              </w:rPr>
              <w:t>Exposure-reduction framework co-option</w:t>
            </w:r>
          </w:p>
        </w:tc>
        <w:tc>
          <w:tcPr>
            <w:tcW w:w="2466" w:type="dxa"/>
            <w:vAlign w:val="center"/>
          </w:tcPr>
          <w:p w:rsidR="00953222" w:rsidRPr="007428E2" w:rsidRDefault="00953222" w:rsidP="00953222">
            <w:pPr>
              <w:spacing w:after="0" w:line="240" w:lineRule="auto"/>
              <w:jc w:val="center"/>
              <w:rPr>
                <w:rFonts w:ascii="Arial" w:hAnsi="Arial" w:cs="Arial"/>
                <w:sz w:val="15"/>
                <w:szCs w:val="15"/>
              </w:rPr>
            </w:pPr>
            <w:r w:rsidRPr="007428E2">
              <w:rPr>
                <w:rFonts w:ascii="Arial" w:hAnsi="Arial" w:cs="Arial"/>
                <w:sz w:val="15"/>
                <w:szCs w:val="15"/>
              </w:rPr>
              <w:t>Exposure index based on average PM</w:t>
            </w:r>
            <w:r w:rsidRPr="007428E2">
              <w:rPr>
                <w:rFonts w:ascii="Arial" w:hAnsi="Arial" w:cs="Arial"/>
                <w:sz w:val="15"/>
                <w:szCs w:val="15"/>
                <w:vertAlign w:val="subscript"/>
              </w:rPr>
              <w:t>2.5</w:t>
            </w:r>
            <w:r w:rsidRPr="007428E2">
              <w:rPr>
                <w:rFonts w:ascii="Arial" w:hAnsi="Arial" w:cs="Arial"/>
                <w:sz w:val="15"/>
                <w:szCs w:val="15"/>
              </w:rPr>
              <w:t xml:space="preserve"> concentration at urban AAQ NEPM monitoring sites within a jurisdiction</w:t>
            </w:r>
          </w:p>
        </w:tc>
        <w:tc>
          <w:tcPr>
            <w:tcW w:w="1418" w:type="dxa"/>
            <w:vAlign w:val="center"/>
          </w:tcPr>
          <w:p w:rsidR="00953222" w:rsidRPr="007428E2" w:rsidRDefault="00953222" w:rsidP="00953222">
            <w:pPr>
              <w:spacing w:after="0" w:line="240" w:lineRule="auto"/>
              <w:jc w:val="center"/>
              <w:rPr>
                <w:rFonts w:ascii="Arial" w:hAnsi="Arial" w:cs="Arial"/>
                <w:sz w:val="15"/>
                <w:szCs w:val="15"/>
              </w:rPr>
            </w:pPr>
            <w:r w:rsidRPr="007428E2">
              <w:rPr>
                <w:rFonts w:ascii="Arial" w:hAnsi="Arial" w:cs="Arial"/>
                <w:sz w:val="15"/>
                <w:szCs w:val="15"/>
              </w:rPr>
              <w:t>Yes</w:t>
            </w:r>
          </w:p>
        </w:tc>
        <w:tc>
          <w:tcPr>
            <w:tcW w:w="2268" w:type="dxa"/>
            <w:vAlign w:val="center"/>
          </w:tcPr>
          <w:p w:rsidR="00953222" w:rsidRPr="007428E2" w:rsidRDefault="00953222" w:rsidP="00953222">
            <w:pPr>
              <w:spacing w:after="0" w:line="240" w:lineRule="auto"/>
              <w:jc w:val="center"/>
              <w:rPr>
                <w:rFonts w:ascii="Arial" w:hAnsi="Arial" w:cs="Arial"/>
                <w:b/>
                <w:sz w:val="15"/>
                <w:szCs w:val="15"/>
              </w:rPr>
            </w:pPr>
            <w:r w:rsidRPr="007428E2">
              <w:rPr>
                <w:rFonts w:ascii="Arial" w:hAnsi="Arial" w:cs="Arial"/>
                <w:sz w:val="15"/>
                <w:szCs w:val="15"/>
              </w:rPr>
              <w:t>Continual improvement and/or no deterioration. Exposure index used to assess progress in reducing population exposure</w:t>
            </w:r>
          </w:p>
        </w:tc>
        <w:tc>
          <w:tcPr>
            <w:tcW w:w="1417" w:type="dxa"/>
            <w:vAlign w:val="center"/>
          </w:tcPr>
          <w:p w:rsidR="00953222" w:rsidRPr="007428E2" w:rsidRDefault="00953222" w:rsidP="00953222">
            <w:pPr>
              <w:spacing w:after="0" w:line="240" w:lineRule="auto"/>
              <w:jc w:val="center"/>
              <w:rPr>
                <w:rFonts w:ascii="Arial" w:hAnsi="Arial" w:cs="Arial"/>
                <w:sz w:val="15"/>
                <w:szCs w:val="15"/>
              </w:rPr>
            </w:pPr>
            <w:r w:rsidRPr="007428E2">
              <w:rPr>
                <w:rFonts w:ascii="Arial" w:hAnsi="Arial" w:cs="Arial"/>
                <w:sz w:val="15"/>
                <w:szCs w:val="15"/>
              </w:rPr>
              <w:t>To be agreed</w:t>
            </w:r>
          </w:p>
          <w:p w:rsidR="00953222" w:rsidRPr="007428E2" w:rsidRDefault="00953222" w:rsidP="00953222">
            <w:pPr>
              <w:spacing w:after="0" w:line="240" w:lineRule="auto"/>
              <w:jc w:val="center"/>
              <w:rPr>
                <w:rFonts w:ascii="Arial" w:hAnsi="Arial" w:cs="Arial"/>
                <w:sz w:val="15"/>
                <w:szCs w:val="15"/>
              </w:rPr>
            </w:pPr>
            <w:r w:rsidRPr="007428E2">
              <w:rPr>
                <w:rFonts w:ascii="Arial" w:hAnsi="Arial" w:cs="Arial"/>
                <w:sz w:val="15"/>
                <w:szCs w:val="15"/>
              </w:rPr>
              <w:t>3 year rolling average</w:t>
            </w:r>
          </w:p>
        </w:tc>
      </w:tr>
    </w:tbl>
    <w:p w:rsidR="00953222" w:rsidRPr="007428E2" w:rsidRDefault="00953222" w:rsidP="00953222">
      <w:pPr>
        <w:rPr>
          <w:rFonts w:ascii="Arial" w:hAnsi="Arial" w:cs="Arial"/>
        </w:rPr>
      </w:pPr>
    </w:p>
    <w:p w:rsidR="00953222" w:rsidRPr="007428E2" w:rsidRDefault="00953222" w:rsidP="00AA0C0D">
      <w:pPr>
        <w:pStyle w:val="BulletArrows"/>
        <w:spacing w:after="200"/>
        <w:rPr>
          <w:rFonts w:ascii="Arial" w:hAnsi="Arial"/>
          <w:color w:val="auto"/>
          <w:szCs w:val="18"/>
        </w:rPr>
      </w:pPr>
      <w:r w:rsidRPr="007428E2">
        <w:rPr>
          <w:rFonts w:ascii="Arial" w:hAnsi="Arial"/>
        </w:rPr>
        <w:t xml:space="preserve">The analysis of the PM monitoring data has indicated that the numerical values shown in </w:t>
      </w:r>
      <w:r w:rsidRPr="007428E2">
        <w:rPr>
          <w:rFonts w:ascii="Arial" w:hAnsi="Arial"/>
          <w:b/>
        </w:rPr>
        <w:t>Table ES</w:t>
      </w:r>
      <w:r w:rsidR="00AA0CD0">
        <w:rPr>
          <w:rFonts w:ascii="Arial" w:hAnsi="Arial"/>
          <w:b/>
        </w:rPr>
        <w:t>1</w:t>
      </w:r>
      <w:r w:rsidRPr="007428E2">
        <w:rPr>
          <w:rFonts w:ascii="Arial" w:hAnsi="Arial"/>
          <w:b/>
        </w:rPr>
        <w:t xml:space="preserve"> </w:t>
      </w:r>
      <w:r w:rsidRPr="007428E2">
        <w:rPr>
          <w:rFonts w:ascii="Arial" w:hAnsi="Arial"/>
        </w:rPr>
        <w:t>would be achievable given the current monitoring networks and trends in concentration. Tighter standards than these are unlikely to be achievable in all jurisdictions. No single preferred option for the 24-hour PM</w:t>
      </w:r>
      <w:r w:rsidRPr="007428E2">
        <w:rPr>
          <w:rFonts w:ascii="Arial" w:hAnsi="Arial"/>
          <w:vertAlign w:val="subscript"/>
        </w:rPr>
        <w:t>10</w:t>
      </w:r>
      <w:r w:rsidRPr="007428E2">
        <w:rPr>
          <w:rFonts w:ascii="Arial" w:hAnsi="Arial"/>
        </w:rPr>
        <w:t xml:space="preserve"> standard has been identified.</w:t>
      </w:r>
      <w:r w:rsidRPr="007428E2">
        <w:rPr>
          <w:rFonts w:ascii="Arial" w:hAnsi="Arial"/>
          <w:color w:val="auto"/>
          <w:szCs w:val="18"/>
        </w:rPr>
        <w:t xml:space="preserve"> The form of the standards has also been left for consultation.</w:t>
      </w:r>
    </w:p>
    <w:p w:rsidR="00953222" w:rsidRPr="007428E2" w:rsidRDefault="00953222" w:rsidP="00AA0C0D">
      <w:pPr>
        <w:pStyle w:val="BulletArrows"/>
        <w:spacing w:after="200"/>
        <w:rPr>
          <w:rFonts w:ascii="Arial" w:hAnsi="Arial"/>
        </w:rPr>
      </w:pPr>
      <w:r w:rsidRPr="007428E2">
        <w:rPr>
          <w:rFonts w:ascii="Arial" w:hAnsi="Arial"/>
        </w:rPr>
        <w:t>For exposure reduction, meeting a target of a 10% reduction in the annual mean PM</w:t>
      </w:r>
      <w:r w:rsidRPr="007428E2">
        <w:rPr>
          <w:rFonts w:ascii="Arial" w:hAnsi="Arial"/>
          <w:vertAlign w:val="subscript"/>
        </w:rPr>
        <w:t>2.5</w:t>
      </w:r>
      <w:r w:rsidRPr="007428E2">
        <w:rPr>
          <w:rFonts w:ascii="Arial" w:hAnsi="Arial"/>
        </w:rPr>
        <w:t xml:space="preserve"> concentration between 2015 and 2025 is unlikely to be achievable in practice. The issues and inconsistencies associated with the measurement of PM</w:t>
      </w:r>
      <w:r w:rsidRPr="007428E2">
        <w:rPr>
          <w:rFonts w:ascii="Arial" w:hAnsi="Arial"/>
          <w:vertAlign w:val="subscript"/>
        </w:rPr>
        <w:t>2.5</w:t>
      </w:r>
      <w:r w:rsidRPr="007428E2">
        <w:rPr>
          <w:rFonts w:ascii="Arial" w:hAnsi="Arial"/>
        </w:rPr>
        <w:t>, coupled with the need to detect relatively small changes in concentrations, mean that checking progress towards any target would also be very challenging. A more practical approach would involve the development of an exposure index based on monitoring to track population exposure for major urban areas (e.g. using a three-year rolling average PM</w:t>
      </w:r>
      <w:r w:rsidRPr="007428E2">
        <w:rPr>
          <w:rFonts w:ascii="Arial" w:hAnsi="Arial"/>
          <w:vertAlign w:val="subscript"/>
        </w:rPr>
        <w:t>2.5</w:t>
      </w:r>
      <w:r w:rsidRPr="007428E2">
        <w:rPr>
          <w:rFonts w:ascii="Arial" w:hAnsi="Arial"/>
        </w:rPr>
        <w:t xml:space="preserve"> concentration, as in Europe). Variations of this approach, such as introducing population weightings for different monitoring sites, could be considered as potential refinements.</w:t>
      </w:r>
    </w:p>
    <w:p w:rsidR="00953222" w:rsidRPr="007428E2" w:rsidRDefault="00953222" w:rsidP="00953222">
      <w:pPr>
        <w:pStyle w:val="ES1"/>
        <w:rPr>
          <w:rFonts w:ascii="Arial" w:hAnsi="Arial" w:cs="Arial"/>
        </w:rPr>
      </w:pPr>
      <w:r w:rsidRPr="007428E2">
        <w:rPr>
          <w:rFonts w:ascii="Arial" w:hAnsi="Arial" w:cs="Arial"/>
        </w:rPr>
        <w:t>Consultation</w:t>
      </w:r>
    </w:p>
    <w:p w:rsidR="00A12A8A" w:rsidRDefault="00953222" w:rsidP="00AA0C0D">
      <w:pPr>
        <w:spacing w:after="200"/>
        <w:rPr>
          <w:rFonts w:ascii="Arial" w:hAnsi="Arial" w:cs="Arial"/>
        </w:rPr>
      </w:pPr>
      <w:r w:rsidRPr="007428E2">
        <w:rPr>
          <w:rFonts w:ascii="Arial" w:hAnsi="Arial" w:cs="Arial"/>
        </w:rPr>
        <w:t xml:space="preserve">Input is sought from all stakeholders on the options outlined in the Impact Statement.  </w:t>
      </w:r>
    </w:p>
    <w:p w:rsidR="001C5A83" w:rsidRPr="006F1D04" w:rsidRDefault="001C5A83" w:rsidP="00AA0C0D">
      <w:pPr>
        <w:pStyle w:val="BulletArrows"/>
        <w:numPr>
          <w:ilvl w:val="0"/>
          <w:numId w:val="1"/>
        </w:numPr>
        <w:spacing w:after="80"/>
        <w:ind w:left="714" w:hanging="357"/>
        <w:rPr>
          <w:rFonts w:ascii="Arial" w:hAnsi="Arial"/>
        </w:rPr>
      </w:pPr>
      <w:r w:rsidRPr="006F1D04">
        <w:rPr>
          <w:rFonts w:ascii="Arial" w:hAnsi="Arial"/>
        </w:rPr>
        <w:t>Do you agree with the introduction of an annual PM</w:t>
      </w:r>
      <w:r w:rsidRPr="006F1D04">
        <w:rPr>
          <w:rFonts w:ascii="Arial" w:hAnsi="Arial"/>
          <w:vertAlign w:val="subscript"/>
        </w:rPr>
        <w:t>10</w:t>
      </w:r>
      <w:r w:rsidRPr="006F1D04">
        <w:rPr>
          <w:rFonts w:ascii="Arial" w:hAnsi="Arial"/>
        </w:rPr>
        <w:t xml:space="preserve"> standard, given the apparent adverse health effects of coarse particles and their prevalence in some regions?</w:t>
      </w:r>
    </w:p>
    <w:p w:rsidR="001C5A83" w:rsidRPr="006F1D04" w:rsidRDefault="001C5A83" w:rsidP="00AA0C0D">
      <w:pPr>
        <w:pStyle w:val="BulletArrows"/>
        <w:numPr>
          <w:ilvl w:val="0"/>
          <w:numId w:val="1"/>
        </w:numPr>
        <w:spacing w:after="80"/>
        <w:ind w:left="714" w:hanging="357"/>
        <w:rPr>
          <w:rFonts w:ascii="Arial" w:hAnsi="Arial"/>
        </w:rPr>
      </w:pPr>
      <w:r w:rsidRPr="006F1D04">
        <w:rPr>
          <w:rFonts w:ascii="Arial" w:hAnsi="Arial"/>
        </w:rPr>
        <w:t xml:space="preserve">Do you support </w:t>
      </w:r>
      <w:r>
        <w:rPr>
          <w:rFonts w:ascii="Arial" w:hAnsi="Arial"/>
        </w:rPr>
        <w:t>upgrading the current AAQ NEPM advisory reporting standards for PM</w:t>
      </w:r>
      <w:r w:rsidRPr="00E07636">
        <w:rPr>
          <w:rFonts w:ascii="Arial" w:hAnsi="Arial"/>
          <w:vertAlign w:val="subscript"/>
        </w:rPr>
        <w:t>2.5</w:t>
      </w:r>
      <w:r w:rsidRPr="00E07636">
        <w:rPr>
          <w:rFonts w:ascii="Arial" w:hAnsi="Arial"/>
        </w:rPr>
        <w:t xml:space="preserve"> </w:t>
      </w:r>
      <w:r>
        <w:rPr>
          <w:rFonts w:ascii="Arial" w:hAnsi="Arial"/>
        </w:rPr>
        <w:t>to compliance standards?</w:t>
      </w:r>
    </w:p>
    <w:p w:rsidR="001C5A83" w:rsidRPr="006F1D04" w:rsidRDefault="001C5A83" w:rsidP="00AA0C0D">
      <w:pPr>
        <w:pStyle w:val="BulletArrows"/>
        <w:numPr>
          <w:ilvl w:val="0"/>
          <w:numId w:val="1"/>
        </w:numPr>
        <w:spacing w:after="80"/>
        <w:ind w:left="714" w:hanging="357"/>
        <w:rPr>
          <w:rFonts w:ascii="Arial" w:hAnsi="Arial"/>
        </w:rPr>
      </w:pPr>
      <w:r w:rsidRPr="006F1D04">
        <w:rPr>
          <w:rFonts w:ascii="Arial" w:hAnsi="Arial"/>
        </w:rPr>
        <w:t>Do you support the preferred numerical values for new/revised 24-hour and annual PM</w:t>
      </w:r>
      <w:r w:rsidRPr="006F1D04">
        <w:rPr>
          <w:rFonts w:ascii="Arial" w:hAnsi="Arial"/>
          <w:vertAlign w:val="subscript"/>
        </w:rPr>
        <w:t>2.5</w:t>
      </w:r>
      <w:r w:rsidRPr="006F1D04">
        <w:rPr>
          <w:rFonts w:ascii="Arial" w:hAnsi="Arial"/>
        </w:rPr>
        <w:t xml:space="preserve"> and PM</w:t>
      </w:r>
      <w:r w:rsidRPr="006F1D04">
        <w:rPr>
          <w:rFonts w:ascii="Arial" w:hAnsi="Arial"/>
          <w:vertAlign w:val="subscript"/>
        </w:rPr>
        <w:t>10</w:t>
      </w:r>
      <w:r w:rsidRPr="006F1D04">
        <w:rPr>
          <w:rFonts w:ascii="Arial" w:hAnsi="Arial"/>
        </w:rPr>
        <w:t xml:space="preserve"> standards? Which value for the 24-hour PM</w:t>
      </w:r>
      <w:r w:rsidRPr="006F1D04">
        <w:rPr>
          <w:rFonts w:ascii="Arial" w:hAnsi="Arial"/>
          <w:vertAlign w:val="subscript"/>
        </w:rPr>
        <w:t>10</w:t>
      </w:r>
      <w:r w:rsidRPr="006F1D04">
        <w:rPr>
          <w:rFonts w:ascii="Arial" w:hAnsi="Arial"/>
        </w:rPr>
        <w:t xml:space="preserve"> standard do you consider to be the most appropriate, and why?</w:t>
      </w:r>
    </w:p>
    <w:p w:rsidR="001C5A83" w:rsidRPr="006F1D04" w:rsidRDefault="001C5A83" w:rsidP="00AA0C0D">
      <w:pPr>
        <w:pStyle w:val="BulletArrows"/>
        <w:numPr>
          <w:ilvl w:val="0"/>
          <w:numId w:val="1"/>
        </w:numPr>
        <w:spacing w:after="80"/>
        <w:ind w:left="714" w:hanging="357"/>
        <w:rPr>
          <w:rFonts w:ascii="Arial" w:hAnsi="Arial"/>
        </w:rPr>
      </w:pPr>
      <w:r w:rsidRPr="006F1D04">
        <w:rPr>
          <w:rFonts w:ascii="Arial" w:hAnsi="Arial"/>
        </w:rPr>
        <w:t>What is your preferred option for the form of the 24-hour PM</w:t>
      </w:r>
      <w:r w:rsidRPr="006F1D04">
        <w:rPr>
          <w:rFonts w:ascii="Arial" w:hAnsi="Arial"/>
          <w:vertAlign w:val="subscript"/>
        </w:rPr>
        <w:t>10</w:t>
      </w:r>
      <w:r w:rsidRPr="006F1D04">
        <w:rPr>
          <w:rFonts w:ascii="Arial" w:hAnsi="Arial"/>
        </w:rPr>
        <w:t xml:space="preserve"> and PM</w:t>
      </w:r>
      <w:r w:rsidRPr="006F1D04">
        <w:rPr>
          <w:rFonts w:ascii="Arial" w:hAnsi="Arial"/>
          <w:vertAlign w:val="subscript"/>
        </w:rPr>
        <w:t>2.5</w:t>
      </w:r>
      <w:r w:rsidRPr="006F1D04">
        <w:rPr>
          <w:rFonts w:ascii="Arial" w:hAnsi="Arial"/>
        </w:rPr>
        <w:t xml:space="preserve"> standards? Should the options be trialled?</w:t>
      </w:r>
    </w:p>
    <w:p w:rsidR="001C5A83" w:rsidRPr="006F1D04" w:rsidRDefault="001C5A83" w:rsidP="00AA0C0D">
      <w:pPr>
        <w:pStyle w:val="BulletArrows"/>
        <w:numPr>
          <w:ilvl w:val="0"/>
          <w:numId w:val="1"/>
        </w:numPr>
        <w:spacing w:after="80"/>
        <w:ind w:left="714" w:hanging="357"/>
        <w:rPr>
          <w:rFonts w:ascii="Arial" w:hAnsi="Arial"/>
        </w:rPr>
      </w:pPr>
      <w:r>
        <w:rPr>
          <w:rFonts w:ascii="Arial" w:hAnsi="Arial"/>
        </w:rPr>
        <w:t>Do you have any comments regarding the possible inclusion of PM metrics, other than PM</w:t>
      </w:r>
      <w:r w:rsidRPr="00E07636">
        <w:rPr>
          <w:rFonts w:ascii="Arial" w:hAnsi="Arial"/>
          <w:vertAlign w:val="subscript"/>
        </w:rPr>
        <w:t>10</w:t>
      </w:r>
      <w:r>
        <w:rPr>
          <w:rFonts w:ascii="Arial" w:hAnsi="Arial"/>
        </w:rPr>
        <w:t xml:space="preserve"> and PM</w:t>
      </w:r>
      <w:r w:rsidRPr="00E07636">
        <w:rPr>
          <w:rFonts w:ascii="Arial" w:hAnsi="Arial"/>
          <w:vertAlign w:val="subscript"/>
        </w:rPr>
        <w:t>2.5</w:t>
      </w:r>
      <w:r>
        <w:rPr>
          <w:rFonts w:ascii="Arial" w:hAnsi="Arial"/>
        </w:rPr>
        <w:t>, in the future?</w:t>
      </w:r>
    </w:p>
    <w:p w:rsidR="001C5A83" w:rsidRPr="006F1D04" w:rsidRDefault="001C5A83" w:rsidP="00AA0C0D">
      <w:pPr>
        <w:pStyle w:val="BulletArrows"/>
        <w:numPr>
          <w:ilvl w:val="0"/>
          <w:numId w:val="1"/>
        </w:numPr>
        <w:spacing w:after="80"/>
        <w:ind w:left="714" w:hanging="357"/>
        <w:rPr>
          <w:rFonts w:ascii="Arial" w:hAnsi="Arial"/>
        </w:rPr>
      </w:pPr>
      <w:r w:rsidRPr="006F1D04">
        <w:rPr>
          <w:rFonts w:ascii="Arial" w:hAnsi="Arial"/>
        </w:rPr>
        <w:t>Do you agree with the preferred form of the exposure-reduction framework under which an exposure index based on monitoring would be used to track population exposure for major urban areas?</w:t>
      </w:r>
    </w:p>
    <w:p w:rsidR="00A12A8A" w:rsidRDefault="00A12A8A" w:rsidP="00AA0C0D">
      <w:pPr>
        <w:spacing w:before="120" w:after="200"/>
        <w:rPr>
          <w:rFonts w:ascii="Arial" w:hAnsi="Arial" w:cs="Arial"/>
        </w:rPr>
      </w:pPr>
      <w:r w:rsidRPr="007428E2">
        <w:rPr>
          <w:rFonts w:ascii="Arial" w:hAnsi="Arial" w:cs="Arial"/>
        </w:rPr>
        <w:t>Feedback is</w:t>
      </w:r>
      <w:r>
        <w:rPr>
          <w:rFonts w:ascii="Arial" w:hAnsi="Arial" w:cs="Arial"/>
        </w:rPr>
        <w:t xml:space="preserve"> also</w:t>
      </w:r>
      <w:r w:rsidRPr="007428E2">
        <w:rPr>
          <w:rFonts w:ascii="Arial" w:hAnsi="Arial" w:cs="Arial"/>
        </w:rPr>
        <w:t xml:space="preserve"> welcomed on the analysis and conclusions, and any other aspect of the Impact Statement.</w:t>
      </w:r>
      <w:r>
        <w:rPr>
          <w:rFonts w:ascii="Arial" w:hAnsi="Arial" w:cs="Arial"/>
        </w:rPr>
        <w:t xml:space="preserve"> A summary of issues on which feedback is sought is included in Appendix F.</w:t>
      </w:r>
    </w:p>
    <w:p w:rsidR="00953222" w:rsidRPr="007428E2" w:rsidRDefault="00953222" w:rsidP="00723257">
      <w:pPr>
        <w:spacing w:after="180"/>
        <w:rPr>
          <w:rFonts w:ascii="Arial" w:hAnsi="Arial" w:cs="Arial"/>
        </w:rPr>
      </w:pPr>
      <w:r w:rsidRPr="007428E2">
        <w:rPr>
          <w:rFonts w:ascii="Arial" w:hAnsi="Arial" w:cs="Arial"/>
        </w:rPr>
        <w:lastRenderedPageBreak/>
        <w:t>All submissions are public documents unless clearly marked ‘confidential’ and may be made available to other interested parties, including by being published on the NEPC website. Stakeholders should indicate if their submission is confidential or clearly indicate sections that may contain confidential or sensitive information that is not for publication.</w:t>
      </w:r>
    </w:p>
    <w:p w:rsidR="00953222" w:rsidRPr="007428E2" w:rsidRDefault="00953222" w:rsidP="00723257">
      <w:pPr>
        <w:spacing w:after="180"/>
        <w:rPr>
          <w:rFonts w:ascii="Arial" w:hAnsi="Arial" w:cs="Arial"/>
        </w:rPr>
      </w:pPr>
      <w:r w:rsidRPr="007428E2">
        <w:rPr>
          <w:rFonts w:ascii="Arial" w:hAnsi="Arial" w:cs="Arial"/>
        </w:rPr>
        <w:t xml:space="preserve">Feedback received during the public </w:t>
      </w:r>
      <w:proofErr w:type="gramStart"/>
      <w:r w:rsidRPr="007428E2">
        <w:rPr>
          <w:rFonts w:ascii="Arial" w:hAnsi="Arial" w:cs="Arial"/>
        </w:rPr>
        <w:t>comment  period</w:t>
      </w:r>
      <w:proofErr w:type="gramEnd"/>
      <w:r w:rsidRPr="007428E2">
        <w:rPr>
          <w:rFonts w:ascii="Arial" w:hAnsi="Arial" w:cs="Arial"/>
        </w:rPr>
        <w:t xml:space="preserve"> will be used to inform the development of the AAQ NEPM variation.</w:t>
      </w:r>
    </w:p>
    <w:p w:rsidR="00953222" w:rsidRPr="007428E2" w:rsidRDefault="00953222" w:rsidP="00723257">
      <w:pPr>
        <w:spacing w:after="180"/>
        <w:rPr>
          <w:rFonts w:ascii="Arial" w:hAnsi="Arial" w:cs="Arial"/>
        </w:rPr>
      </w:pPr>
      <w:r w:rsidRPr="007428E2">
        <w:rPr>
          <w:rFonts w:ascii="Arial" w:hAnsi="Arial" w:cs="Arial"/>
        </w:rPr>
        <w:t>The NEPC Act requires that both the draft AAQ NEPM variation and the Impact Statement be made available for public consultation for a period of at least two months.</w:t>
      </w:r>
      <w:r w:rsidR="00AA0CD0">
        <w:rPr>
          <w:rFonts w:ascii="Arial" w:hAnsi="Arial" w:cs="Arial"/>
        </w:rPr>
        <w:t xml:space="preserve"> The </w:t>
      </w:r>
      <w:r w:rsidRPr="007428E2">
        <w:rPr>
          <w:rFonts w:ascii="Arial" w:hAnsi="Arial" w:cs="Arial"/>
        </w:rPr>
        <w:t xml:space="preserve">consultation period will occur </w:t>
      </w:r>
      <w:r w:rsidR="00160CF6">
        <w:rPr>
          <w:rFonts w:ascii="Arial" w:hAnsi="Arial" w:cs="Arial"/>
        </w:rPr>
        <w:t xml:space="preserve">over a ten week period </w:t>
      </w:r>
      <w:r w:rsidR="00AA0CD0">
        <w:rPr>
          <w:rFonts w:ascii="Arial" w:hAnsi="Arial" w:cs="Arial"/>
        </w:rPr>
        <w:t xml:space="preserve">from </w:t>
      </w:r>
      <w:r w:rsidRPr="007428E2">
        <w:rPr>
          <w:rFonts w:ascii="Arial" w:hAnsi="Arial" w:cs="Arial"/>
        </w:rPr>
        <w:t>July</w:t>
      </w:r>
      <w:r w:rsidR="00AA0CD0">
        <w:rPr>
          <w:rFonts w:ascii="Arial" w:hAnsi="Arial" w:cs="Arial"/>
        </w:rPr>
        <w:t xml:space="preserve"> to </w:t>
      </w:r>
      <w:r w:rsidR="00160CF6">
        <w:rPr>
          <w:rFonts w:ascii="Arial" w:hAnsi="Arial" w:cs="Arial"/>
        </w:rPr>
        <w:t xml:space="preserve">October </w:t>
      </w:r>
      <w:r w:rsidRPr="007428E2">
        <w:rPr>
          <w:rFonts w:ascii="Arial" w:hAnsi="Arial" w:cs="Arial"/>
        </w:rPr>
        <w:t xml:space="preserve">2014. The views of stakeholders on these documents </w:t>
      </w:r>
      <w:r w:rsidR="00AA0CD0">
        <w:rPr>
          <w:rFonts w:ascii="Arial" w:hAnsi="Arial" w:cs="Arial"/>
        </w:rPr>
        <w:t xml:space="preserve">are </w:t>
      </w:r>
      <w:r w:rsidRPr="007428E2">
        <w:rPr>
          <w:rFonts w:ascii="Arial" w:hAnsi="Arial" w:cs="Arial"/>
        </w:rPr>
        <w:t>be</w:t>
      </w:r>
      <w:r w:rsidR="007C3877">
        <w:rPr>
          <w:rFonts w:ascii="Arial" w:hAnsi="Arial" w:cs="Arial"/>
        </w:rPr>
        <w:t>ing</w:t>
      </w:r>
      <w:r w:rsidRPr="007428E2">
        <w:rPr>
          <w:rFonts w:ascii="Arial" w:hAnsi="Arial" w:cs="Arial"/>
        </w:rPr>
        <w:t xml:space="preserve"> sought through written and online submissions.</w:t>
      </w:r>
    </w:p>
    <w:p w:rsidR="001C5A83" w:rsidRPr="00FD5FEA" w:rsidRDefault="001C5A83" w:rsidP="00723257">
      <w:pPr>
        <w:spacing w:after="180"/>
        <w:rPr>
          <w:rFonts w:ascii="Arial" w:hAnsi="Arial" w:cs="Arial"/>
          <w:b/>
        </w:rPr>
      </w:pPr>
      <w:r>
        <w:rPr>
          <w:rFonts w:ascii="Arial" w:hAnsi="Arial" w:cs="Arial"/>
        </w:rPr>
        <w:t xml:space="preserve">Online submissions are preferred and can be made via </w:t>
      </w:r>
      <w:r w:rsidRPr="00916BBC">
        <w:rPr>
          <w:rFonts w:ascii="Arial" w:hAnsi="Arial" w:cs="Arial"/>
          <w:b/>
        </w:rPr>
        <w:t>&lt;</w:t>
      </w:r>
      <w:r w:rsidR="007C3877" w:rsidRPr="00916BBC">
        <w:t xml:space="preserve"> </w:t>
      </w:r>
      <w:hyperlink r:id="rId21" w:history="1">
        <w:r w:rsidR="007C3877" w:rsidRPr="00916BBC">
          <w:rPr>
            <w:rStyle w:val="Hyperlink"/>
            <w:rFonts w:ascii="Arial" w:hAnsi="Arial" w:cs="Arial"/>
            <w:b/>
          </w:rPr>
          <w:t>www.nepc.gov.au</w:t>
        </w:r>
      </w:hyperlink>
      <w:r w:rsidR="007C3877" w:rsidRPr="00916BBC">
        <w:rPr>
          <w:rFonts w:ascii="Arial" w:hAnsi="Arial" w:cs="Arial"/>
          <w:b/>
        </w:rPr>
        <w:t xml:space="preserve"> </w:t>
      </w:r>
      <w:r w:rsidRPr="00916BBC">
        <w:rPr>
          <w:rFonts w:ascii="Arial" w:hAnsi="Arial" w:cs="Arial"/>
          <w:b/>
        </w:rPr>
        <w:t>&gt;</w:t>
      </w:r>
    </w:p>
    <w:p w:rsidR="001C5A83" w:rsidRDefault="007C3877" w:rsidP="00723257">
      <w:pPr>
        <w:spacing w:after="180"/>
        <w:rPr>
          <w:rFonts w:ascii="Arial" w:hAnsi="Arial" w:cs="Arial"/>
        </w:rPr>
      </w:pPr>
      <w:r>
        <w:rPr>
          <w:rFonts w:ascii="Arial" w:hAnsi="Arial" w:cs="Arial"/>
        </w:rPr>
        <w:t>W</w:t>
      </w:r>
      <w:r w:rsidR="001C5A83">
        <w:rPr>
          <w:rFonts w:ascii="Arial" w:hAnsi="Arial" w:cs="Arial"/>
        </w:rPr>
        <w:t>ritten submission</w:t>
      </w:r>
      <w:r>
        <w:rPr>
          <w:rFonts w:ascii="Arial" w:hAnsi="Arial" w:cs="Arial"/>
        </w:rPr>
        <w:t>s</w:t>
      </w:r>
      <w:r w:rsidR="001C5A83">
        <w:rPr>
          <w:rFonts w:ascii="Arial" w:hAnsi="Arial" w:cs="Arial"/>
        </w:rPr>
        <w:t xml:space="preserve"> may also be made and can be sent to: </w:t>
      </w:r>
    </w:p>
    <w:p w:rsidR="001C5A83" w:rsidRPr="00FD5FEA" w:rsidRDefault="007C3877" w:rsidP="001C5A83">
      <w:pPr>
        <w:autoSpaceDE w:val="0"/>
        <w:autoSpaceDN w:val="0"/>
        <w:adjustRightInd w:val="0"/>
        <w:spacing w:after="0" w:line="240" w:lineRule="auto"/>
        <w:ind w:left="720"/>
        <w:rPr>
          <w:rFonts w:ascii="Arial" w:hAnsi="Arial" w:cs="Arial"/>
          <w:b/>
        </w:rPr>
      </w:pPr>
      <w:r>
        <w:rPr>
          <w:rFonts w:ascii="Arial" w:hAnsi="Arial" w:cs="Arial"/>
          <w:b/>
        </w:rPr>
        <w:t>The Executive Officer</w:t>
      </w:r>
    </w:p>
    <w:p w:rsidR="001C5A83" w:rsidRDefault="001C5A83" w:rsidP="001C5A83">
      <w:pPr>
        <w:autoSpaceDE w:val="0"/>
        <w:autoSpaceDN w:val="0"/>
        <w:adjustRightInd w:val="0"/>
        <w:spacing w:after="0" w:line="240" w:lineRule="auto"/>
        <w:ind w:left="720"/>
        <w:rPr>
          <w:rFonts w:ascii="Arial" w:hAnsi="Arial" w:cs="Arial"/>
          <w:b/>
        </w:rPr>
      </w:pPr>
      <w:r w:rsidRPr="00FD5FEA">
        <w:rPr>
          <w:rFonts w:ascii="Arial" w:hAnsi="Arial" w:cs="Arial"/>
          <w:b/>
        </w:rPr>
        <w:t>National Environment Protection Council</w:t>
      </w:r>
    </w:p>
    <w:p w:rsidR="00723257" w:rsidRPr="00FD5FEA" w:rsidRDefault="00723257" w:rsidP="001C5A83">
      <w:pPr>
        <w:autoSpaceDE w:val="0"/>
        <w:autoSpaceDN w:val="0"/>
        <w:adjustRightInd w:val="0"/>
        <w:spacing w:after="0" w:line="240" w:lineRule="auto"/>
        <w:ind w:left="720"/>
        <w:rPr>
          <w:rFonts w:ascii="Arial" w:hAnsi="Arial" w:cs="Arial"/>
          <w:b/>
        </w:rPr>
      </w:pPr>
      <w:r>
        <w:rPr>
          <w:rFonts w:ascii="Arial" w:hAnsi="Arial" w:cs="Arial"/>
          <w:b/>
        </w:rPr>
        <w:t>Department of the Environment</w:t>
      </w:r>
    </w:p>
    <w:p w:rsidR="001C5A83" w:rsidRPr="00FD5FEA" w:rsidRDefault="001C5A83" w:rsidP="001C5A83">
      <w:pPr>
        <w:autoSpaceDE w:val="0"/>
        <w:autoSpaceDN w:val="0"/>
        <w:adjustRightInd w:val="0"/>
        <w:spacing w:after="0" w:line="240" w:lineRule="auto"/>
        <w:ind w:left="720"/>
        <w:rPr>
          <w:rFonts w:ascii="Arial" w:hAnsi="Arial" w:cs="Arial"/>
          <w:b/>
          <w:color w:val="000000"/>
        </w:rPr>
      </w:pPr>
      <w:r w:rsidRPr="00FD5FEA">
        <w:rPr>
          <w:rFonts w:ascii="Arial" w:hAnsi="Arial" w:cs="Arial"/>
          <w:b/>
          <w:color w:val="000000"/>
        </w:rPr>
        <w:t>GPO Box 787</w:t>
      </w:r>
    </w:p>
    <w:p w:rsidR="001C5A83" w:rsidRPr="00FD5FEA" w:rsidRDefault="001C5A83" w:rsidP="001C5A83">
      <w:pPr>
        <w:autoSpaceDE w:val="0"/>
        <w:autoSpaceDN w:val="0"/>
        <w:adjustRightInd w:val="0"/>
        <w:spacing w:after="0" w:line="240" w:lineRule="auto"/>
        <w:ind w:left="720"/>
        <w:rPr>
          <w:rFonts w:ascii="Arial" w:hAnsi="Arial" w:cs="Arial"/>
          <w:b/>
        </w:rPr>
      </w:pPr>
      <w:proofErr w:type="gramStart"/>
      <w:r w:rsidRPr="00FD5FEA">
        <w:rPr>
          <w:rFonts w:ascii="Arial" w:hAnsi="Arial" w:cs="Arial"/>
          <w:b/>
          <w:color w:val="000000"/>
        </w:rPr>
        <w:t>Canberra  ACT</w:t>
      </w:r>
      <w:proofErr w:type="gramEnd"/>
      <w:r w:rsidRPr="00FD5FEA">
        <w:rPr>
          <w:rFonts w:ascii="Arial" w:hAnsi="Arial" w:cs="Arial"/>
          <w:b/>
          <w:color w:val="000000"/>
        </w:rPr>
        <w:t xml:space="preserve">  2601</w:t>
      </w:r>
    </w:p>
    <w:p w:rsidR="001C5A83" w:rsidRPr="00FD5FEA" w:rsidRDefault="001C5A83" w:rsidP="001C5A83">
      <w:pPr>
        <w:autoSpaceDE w:val="0"/>
        <w:autoSpaceDN w:val="0"/>
        <w:adjustRightInd w:val="0"/>
        <w:spacing w:after="0" w:line="240" w:lineRule="auto"/>
        <w:ind w:left="720"/>
        <w:rPr>
          <w:rFonts w:ascii="Arial" w:hAnsi="Arial" w:cs="Arial"/>
          <w:b/>
        </w:rPr>
      </w:pPr>
    </w:p>
    <w:p w:rsidR="001C5A83" w:rsidRPr="00FD5FEA" w:rsidRDefault="001C5A83" w:rsidP="00723257">
      <w:pPr>
        <w:autoSpaceDE w:val="0"/>
        <w:autoSpaceDN w:val="0"/>
        <w:adjustRightInd w:val="0"/>
        <w:spacing w:after="200" w:line="240" w:lineRule="auto"/>
        <w:ind w:left="720"/>
        <w:rPr>
          <w:rFonts w:ascii="Arial" w:hAnsi="Arial" w:cs="Arial"/>
          <w:b/>
        </w:rPr>
      </w:pPr>
      <w:r w:rsidRPr="00FD5FEA">
        <w:rPr>
          <w:rFonts w:ascii="Arial" w:hAnsi="Arial" w:cs="Arial"/>
          <w:b/>
        </w:rPr>
        <w:t xml:space="preserve">Email: </w:t>
      </w:r>
      <w:hyperlink r:id="rId22" w:history="1">
        <w:r w:rsidRPr="00FD5FEA">
          <w:rPr>
            <w:rStyle w:val="Hyperlink"/>
            <w:rFonts w:ascii="Arial" w:hAnsi="Arial" w:cs="Arial"/>
            <w:b/>
          </w:rPr>
          <w:t>nepc@environment.gov.au</w:t>
        </w:r>
      </w:hyperlink>
    </w:p>
    <w:p w:rsidR="001C5A83" w:rsidRPr="00FD5FEA" w:rsidRDefault="001C5A83" w:rsidP="00723257">
      <w:pPr>
        <w:autoSpaceDE w:val="0"/>
        <w:autoSpaceDN w:val="0"/>
        <w:adjustRightInd w:val="0"/>
        <w:spacing w:after="200" w:line="240" w:lineRule="auto"/>
        <w:rPr>
          <w:rFonts w:ascii="Arial" w:hAnsi="Arial" w:cs="Arial"/>
          <w:b/>
        </w:rPr>
      </w:pPr>
      <w:r w:rsidRPr="00FD5FEA">
        <w:rPr>
          <w:rFonts w:ascii="Arial" w:hAnsi="Arial" w:cs="Arial"/>
          <w:b/>
        </w:rPr>
        <w:t xml:space="preserve">The </w:t>
      </w:r>
      <w:r>
        <w:rPr>
          <w:rFonts w:ascii="Arial" w:hAnsi="Arial" w:cs="Arial"/>
          <w:b/>
        </w:rPr>
        <w:t xml:space="preserve">closing date for </w:t>
      </w:r>
      <w:r w:rsidRPr="00FD5FEA">
        <w:rPr>
          <w:rFonts w:ascii="Arial" w:hAnsi="Arial" w:cs="Arial"/>
          <w:b/>
        </w:rPr>
        <w:t>submission</w:t>
      </w:r>
      <w:r>
        <w:rPr>
          <w:rFonts w:ascii="Arial" w:hAnsi="Arial" w:cs="Arial"/>
          <w:b/>
        </w:rPr>
        <w:t>s</w:t>
      </w:r>
      <w:r w:rsidRPr="00FD5FEA">
        <w:rPr>
          <w:rFonts w:ascii="Arial" w:hAnsi="Arial" w:cs="Arial"/>
          <w:b/>
        </w:rPr>
        <w:t xml:space="preserve"> is Friday 10 October 2014.</w:t>
      </w:r>
    </w:p>
    <w:p w:rsidR="00160CF6" w:rsidRPr="007428E2" w:rsidRDefault="00160CF6" w:rsidP="00723257">
      <w:pPr>
        <w:spacing w:after="180"/>
        <w:rPr>
          <w:rFonts w:ascii="Arial" w:hAnsi="Arial" w:cs="Arial"/>
        </w:rPr>
      </w:pPr>
      <w:r w:rsidRPr="007428E2">
        <w:rPr>
          <w:rFonts w:ascii="Arial" w:hAnsi="Arial" w:cs="Arial"/>
        </w:rPr>
        <w:t>Following the public consultation period, the NEPC is required to prepare a summary of the issues raised in submissions and responses to them. In deciding whether or not to make the AAQ NEPM variation, the NEPC must take both the Impact Statement and the summary of submissions and responses into account.</w:t>
      </w:r>
    </w:p>
    <w:p w:rsidR="00160CF6" w:rsidRDefault="00160CF6" w:rsidP="00723257">
      <w:pPr>
        <w:spacing w:after="180"/>
        <w:rPr>
          <w:rFonts w:ascii="Arial" w:hAnsi="Arial" w:cs="Arial"/>
        </w:rPr>
      </w:pPr>
      <w:r w:rsidRPr="007428E2">
        <w:rPr>
          <w:rFonts w:ascii="Arial" w:hAnsi="Arial" w:cs="Arial"/>
        </w:rPr>
        <w:t>The following documents have been released by the NEPC to facilitate public consultation on the NEPM</w:t>
      </w:r>
      <w:r w:rsidR="00723257">
        <w:rPr>
          <w:rFonts w:ascii="Arial" w:hAnsi="Arial" w:cs="Arial"/>
        </w:rPr>
        <w:t xml:space="preserve"> variation:</w:t>
      </w:r>
    </w:p>
    <w:p w:rsidR="00160CF6" w:rsidRDefault="00916BBC" w:rsidP="00160CF6">
      <w:pPr>
        <w:pStyle w:val="ListBullet3"/>
        <w:numPr>
          <w:ilvl w:val="0"/>
          <w:numId w:val="46"/>
        </w:numPr>
        <w:rPr>
          <w:rFonts w:cs="Arial"/>
          <w:sz w:val="18"/>
          <w:szCs w:val="18"/>
        </w:rPr>
      </w:pPr>
      <w:r w:rsidRPr="00916BBC">
        <w:rPr>
          <w:rFonts w:cs="Arial"/>
          <w:sz w:val="18"/>
          <w:szCs w:val="18"/>
        </w:rPr>
        <w:t>Exposure Assessment and Risk Characterisation to Inform Recommendations for Updating Ambient Air Quality Standards for PM</w:t>
      </w:r>
      <w:r w:rsidRPr="00916BBC">
        <w:rPr>
          <w:rFonts w:cs="Arial"/>
          <w:sz w:val="18"/>
          <w:szCs w:val="18"/>
          <w:vertAlign w:val="subscript"/>
        </w:rPr>
        <w:t>2.5</w:t>
      </w:r>
      <w:r w:rsidRPr="00916BBC">
        <w:rPr>
          <w:rFonts w:cs="Arial"/>
          <w:sz w:val="18"/>
          <w:szCs w:val="18"/>
        </w:rPr>
        <w:t>, PM</w:t>
      </w:r>
      <w:r w:rsidRPr="00916BBC">
        <w:rPr>
          <w:rFonts w:cs="Arial"/>
          <w:sz w:val="18"/>
          <w:szCs w:val="18"/>
          <w:vertAlign w:val="subscript"/>
        </w:rPr>
        <w:t>10</w:t>
      </w:r>
      <w:r w:rsidRPr="00916BBC">
        <w:rPr>
          <w:rFonts w:cs="Arial"/>
          <w:sz w:val="18"/>
          <w:szCs w:val="18"/>
        </w:rPr>
        <w:t>, 0</w:t>
      </w:r>
      <w:r w:rsidRPr="00916BBC">
        <w:rPr>
          <w:rFonts w:cs="Arial"/>
          <w:sz w:val="18"/>
          <w:szCs w:val="18"/>
          <w:vertAlign w:val="subscript"/>
        </w:rPr>
        <w:t>3</w:t>
      </w:r>
      <w:r w:rsidRPr="00916BBC">
        <w:rPr>
          <w:rFonts w:cs="Arial"/>
          <w:sz w:val="18"/>
          <w:szCs w:val="18"/>
        </w:rPr>
        <w:t>, NO</w:t>
      </w:r>
      <w:r w:rsidRPr="00916BBC">
        <w:rPr>
          <w:rFonts w:cs="Arial"/>
          <w:sz w:val="18"/>
          <w:szCs w:val="18"/>
          <w:vertAlign w:val="subscript"/>
        </w:rPr>
        <w:t>2</w:t>
      </w:r>
      <w:r w:rsidRPr="00916BBC">
        <w:rPr>
          <w:rFonts w:cs="Arial"/>
          <w:sz w:val="18"/>
          <w:szCs w:val="18"/>
        </w:rPr>
        <w:t xml:space="preserve"> and SO</w:t>
      </w:r>
      <w:r w:rsidRPr="00916BBC">
        <w:rPr>
          <w:rFonts w:cs="Arial"/>
          <w:sz w:val="18"/>
          <w:szCs w:val="18"/>
          <w:vertAlign w:val="subscript"/>
        </w:rPr>
        <w:t>2</w:t>
      </w:r>
      <w:r w:rsidRPr="00916BBC">
        <w:rPr>
          <w:rFonts w:cs="Arial"/>
          <w:sz w:val="18"/>
          <w:szCs w:val="18"/>
        </w:rPr>
        <w:t xml:space="preserve"> (referred to in this Impact Statement as the Health Risk Assessment (HRA))</w:t>
      </w:r>
    </w:p>
    <w:p w:rsidR="00160CF6" w:rsidRPr="007428E2" w:rsidRDefault="00160CF6" w:rsidP="00160CF6">
      <w:pPr>
        <w:pStyle w:val="ListBullet3"/>
        <w:numPr>
          <w:ilvl w:val="0"/>
          <w:numId w:val="46"/>
        </w:numPr>
        <w:rPr>
          <w:rFonts w:cs="Arial"/>
          <w:sz w:val="18"/>
          <w:szCs w:val="18"/>
        </w:rPr>
      </w:pPr>
      <w:r w:rsidRPr="007428E2">
        <w:rPr>
          <w:rFonts w:cs="Arial"/>
          <w:sz w:val="18"/>
          <w:szCs w:val="18"/>
        </w:rPr>
        <w:t xml:space="preserve">Summary for Policy Makers of the Health Risk Assessment on Air Pollution in Australia </w:t>
      </w:r>
    </w:p>
    <w:p w:rsidR="00160CF6" w:rsidRPr="007428E2" w:rsidRDefault="00160CF6" w:rsidP="00160CF6">
      <w:pPr>
        <w:pStyle w:val="ListBullet3"/>
        <w:numPr>
          <w:ilvl w:val="0"/>
          <w:numId w:val="46"/>
        </w:numPr>
        <w:rPr>
          <w:rFonts w:cs="Arial"/>
          <w:sz w:val="18"/>
          <w:szCs w:val="18"/>
        </w:rPr>
      </w:pPr>
      <w:r w:rsidRPr="007428E2">
        <w:rPr>
          <w:rFonts w:cs="Arial"/>
          <w:sz w:val="18"/>
          <w:szCs w:val="18"/>
        </w:rPr>
        <w:t xml:space="preserve">Economic Analysis to Inform the National Plan for Clean Air (Particles) </w:t>
      </w:r>
      <w:r w:rsidR="007C3877">
        <w:rPr>
          <w:rFonts w:cs="Arial"/>
          <w:sz w:val="18"/>
          <w:szCs w:val="18"/>
        </w:rPr>
        <w:t>(referred to in this Impact Statement as the Economic Analysis)</w:t>
      </w:r>
    </w:p>
    <w:p w:rsidR="00160CF6" w:rsidRPr="007428E2" w:rsidRDefault="00160CF6" w:rsidP="00160CF6">
      <w:pPr>
        <w:pStyle w:val="ListBullet3"/>
        <w:numPr>
          <w:ilvl w:val="0"/>
          <w:numId w:val="46"/>
        </w:numPr>
        <w:rPr>
          <w:rFonts w:cs="Arial"/>
          <w:sz w:val="18"/>
          <w:szCs w:val="18"/>
        </w:rPr>
      </w:pPr>
      <w:r w:rsidRPr="007428E2">
        <w:rPr>
          <w:rFonts w:cs="Arial"/>
          <w:sz w:val="18"/>
          <w:szCs w:val="18"/>
        </w:rPr>
        <w:t xml:space="preserve">Evaluating Options for an Exposure Reduction Framework in Australia </w:t>
      </w:r>
    </w:p>
    <w:p w:rsidR="00160CF6" w:rsidRPr="007428E2" w:rsidRDefault="00160CF6" w:rsidP="00160CF6">
      <w:pPr>
        <w:pStyle w:val="ListBullet3"/>
        <w:numPr>
          <w:ilvl w:val="0"/>
          <w:numId w:val="46"/>
        </w:numPr>
        <w:rPr>
          <w:rFonts w:cs="Arial"/>
          <w:sz w:val="18"/>
          <w:szCs w:val="18"/>
        </w:rPr>
      </w:pPr>
      <w:r w:rsidRPr="007428E2">
        <w:rPr>
          <w:rFonts w:cs="Arial"/>
          <w:sz w:val="18"/>
          <w:szCs w:val="18"/>
        </w:rPr>
        <w:t>Methodology for Valuing the Health Impacts of Changes in Particle Emissions</w:t>
      </w:r>
    </w:p>
    <w:p w:rsidR="00BA1CC8" w:rsidRPr="007428E2" w:rsidRDefault="00BA1CC8" w:rsidP="00723257">
      <w:pPr>
        <w:pStyle w:val="ES1"/>
        <w:spacing w:before="360" w:after="200"/>
        <w:rPr>
          <w:rFonts w:ascii="Arial" w:hAnsi="Arial" w:cs="Arial"/>
        </w:rPr>
      </w:pPr>
      <w:r w:rsidRPr="007428E2">
        <w:rPr>
          <w:rFonts w:ascii="Arial" w:hAnsi="Arial" w:cs="Arial"/>
        </w:rPr>
        <w:t>Characteristics</w:t>
      </w:r>
      <w:r w:rsidR="00871190" w:rsidRPr="007428E2">
        <w:rPr>
          <w:rFonts w:ascii="Arial" w:hAnsi="Arial" w:cs="Arial"/>
        </w:rPr>
        <w:t xml:space="preserve"> and measurement </w:t>
      </w:r>
      <w:r w:rsidRPr="007428E2">
        <w:rPr>
          <w:rFonts w:ascii="Arial" w:hAnsi="Arial" w:cs="Arial"/>
        </w:rPr>
        <w:t>of airborne PM</w:t>
      </w:r>
    </w:p>
    <w:p w:rsidR="00395ACA" w:rsidRPr="007428E2" w:rsidRDefault="00397389" w:rsidP="00723257">
      <w:pPr>
        <w:pStyle w:val="BulletArrows"/>
        <w:spacing w:after="180"/>
        <w:rPr>
          <w:rFonts w:ascii="Arial" w:hAnsi="Arial"/>
        </w:rPr>
      </w:pPr>
      <w:r w:rsidRPr="007428E2">
        <w:rPr>
          <w:rFonts w:ascii="Arial" w:hAnsi="Arial"/>
        </w:rPr>
        <w:t xml:space="preserve">Airborne </w:t>
      </w:r>
      <w:r w:rsidR="00BA1CC8" w:rsidRPr="007428E2">
        <w:rPr>
          <w:rFonts w:ascii="Arial" w:hAnsi="Arial"/>
        </w:rPr>
        <w:t>PM is a complex mixture of substances that are derived from a range of sources and processes. The contributions of these sources and processes, and the physical and chemical properties of PM vary according to many factors.</w:t>
      </w:r>
      <w:r w:rsidR="00361D8C" w:rsidRPr="007428E2">
        <w:rPr>
          <w:rFonts w:ascii="Arial" w:hAnsi="Arial"/>
        </w:rPr>
        <w:t xml:space="preserve"> </w:t>
      </w:r>
    </w:p>
    <w:p w:rsidR="00395ACA" w:rsidRPr="007428E2" w:rsidRDefault="00BA1CC8" w:rsidP="007B7983">
      <w:pPr>
        <w:pStyle w:val="BulletArrows"/>
        <w:spacing w:after="200"/>
        <w:rPr>
          <w:rFonts w:ascii="Arial" w:hAnsi="Arial"/>
        </w:rPr>
      </w:pPr>
      <w:r w:rsidRPr="007428E2">
        <w:rPr>
          <w:rFonts w:ascii="Arial" w:hAnsi="Arial"/>
        </w:rPr>
        <w:t xml:space="preserve">PM </w:t>
      </w:r>
      <w:r w:rsidR="00B00B2C" w:rsidRPr="007428E2">
        <w:rPr>
          <w:rFonts w:ascii="Arial" w:hAnsi="Arial"/>
        </w:rPr>
        <w:t xml:space="preserve">is </w:t>
      </w:r>
      <w:r w:rsidRPr="007428E2">
        <w:rPr>
          <w:rFonts w:ascii="Arial" w:hAnsi="Arial"/>
        </w:rPr>
        <w:t xml:space="preserve">often classified as </w:t>
      </w:r>
      <w:r w:rsidR="00B00B2C" w:rsidRPr="007428E2">
        <w:rPr>
          <w:rFonts w:ascii="Arial" w:hAnsi="Arial"/>
        </w:rPr>
        <w:t xml:space="preserve">being </w:t>
      </w:r>
      <w:r w:rsidRPr="007428E2">
        <w:rPr>
          <w:rFonts w:ascii="Arial" w:hAnsi="Arial"/>
        </w:rPr>
        <w:t>primary or secondary</w:t>
      </w:r>
      <w:r w:rsidR="00B00B2C" w:rsidRPr="007428E2">
        <w:rPr>
          <w:rFonts w:ascii="Arial" w:hAnsi="Arial"/>
        </w:rPr>
        <w:t xml:space="preserve"> in origin</w:t>
      </w:r>
      <w:r w:rsidRPr="007428E2">
        <w:rPr>
          <w:rFonts w:ascii="Arial" w:hAnsi="Arial"/>
        </w:rPr>
        <w:t xml:space="preserve">. </w:t>
      </w:r>
      <w:r w:rsidR="00395ACA" w:rsidRPr="007428E2">
        <w:rPr>
          <w:rFonts w:ascii="Arial" w:hAnsi="Arial"/>
        </w:rPr>
        <w:t xml:space="preserve">Primary particles are emitted directly into the atmosphere. Natural sources of primary particles include wind erosion, bush fires and the production of marine aerosol. Anthropogenic </w:t>
      </w:r>
      <w:r w:rsidR="0029440D" w:rsidRPr="007428E2">
        <w:rPr>
          <w:rFonts w:ascii="Arial" w:hAnsi="Arial"/>
        </w:rPr>
        <w:t>(</w:t>
      </w:r>
      <w:r w:rsidR="00FA793F" w:rsidRPr="007428E2">
        <w:rPr>
          <w:rFonts w:ascii="Arial" w:hAnsi="Arial"/>
        </w:rPr>
        <w:t>human</w:t>
      </w:r>
      <w:r w:rsidR="0029440D" w:rsidRPr="007428E2">
        <w:rPr>
          <w:rFonts w:ascii="Arial" w:hAnsi="Arial"/>
        </w:rPr>
        <w:t xml:space="preserve">-made) </w:t>
      </w:r>
      <w:r w:rsidR="00395ACA" w:rsidRPr="007428E2">
        <w:rPr>
          <w:rFonts w:ascii="Arial" w:hAnsi="Arial"/>
        </w:rPr>
        <w:t>sources involve fuel combustion (</w:t>
      </w:r>
      <w:r w:rsidR="009334F4" w:rsidRPr="007428E2">
        <w:rPr>
          <w:rFonts w:ascii="Arial" w:hAnsi="Arial"/>
        </w:rPr>
        <w:t>e.g.</w:t>
      </w:r>
      <w:r w:rsidR="00395ACA" w:rsidRPr="007428E2">
        <w:rPr>
          <w:rFonts w:ascii="Arial" w:hAnsi="Arial"/>
        </w:rPr>
        <w:t xml:space="preserve"> power generation, domestic wood heaters, vehicles), mechanical suspension (</w:t>
      </w:r>
      <w:r w:rsidR="009334F4" w:rsidRPr="007428E2">
        <w:rPr>
          <w:rFonts w:ascii="Arial" w:hAnsi="Arial"/>
        </w:rPr>
        <w:t>e.g.</w:t>
      </w:r>
      <w:r w:rsidR="00395ACA" w:rsidRPr="007428E2">
        <w:rPr>
          <w:rFonts w:ascii="Arial" w:hAnsi="Arial"/>
        </w:rPr>
        <w:t xml:space="preserve"> entrainment of dust from roads at coal mines), or abrasion/fragmentation (</w:t>
      </w:r>
      <w:r w:rsidR="009334F4" w:rsidRPr="007428E2">
        <w:rPr>
          <w:rFonts w:ascii="Arial" w:hAnsi="Arial"/>
        </w:rPr>
        <w:t>e.g.</w:t>
      </w:r>
      <w:r w:rsidR="00395ACA" w:rsidRPr="007428E2">
        <w:rPr>
          <w:rFonts w:ascii="Arial" w:hAnsi="Arial"/>
        </w:rPr>
        <w:t xml:space="preserve"> tyre wear). Industrial activities may involve combustion processes, mechanical processes or chemical processes. Secondary particles are not emitted directly but are formed in the atmosphere through chemical reactions involving inorganic or organic gas-phase components. The main gaseous precursors are oxides of nitrogen (NO</w:t>
      </w:r>
      <w:r w:rsidR="00395ACA" w:rsidRPr="007428E2">
        <w:rPr>
          <w:rFonts w:ascii="Arial" w:hAnsi="Arial"/>
          <w:vertAlign w:val="subscript"/>
        </w:rPr>
        <w:t>X</w:t>
      </w:r>
      <w:r w:rsidR="00395ACA" w:rsidRPr="007428E2">
        <w:rPr>
          <w:rFonts w:ascii="Arial" w:hAnsi="Arial"/>
        </w:rPr>
        <w:t>), ammonia (NH</w:t>
      </w:r>
      <w:r w:rsidR="00395ACA" w:rsidRPr="007428E2">
        <w:rPr>
          <w:rFonts w:ascii="Arial" w:hAnsi="Arial"/>
          <w:vertAlign w:val="subscript"/>
        </w:rPr>
        <w:t>3</w:t>
      </w:r>
      <w:r w:rsidR="00395ACA" w:rsidRPr="007428E2">
        <w:rPr>
          <w:rFonts w:ascii="Arial" w:hAnsi="Arial"/>
        </w:rPr>
        <w:t>), sulfur oxides (SO</w:t>
      </w:r>
      <w:r w:rsidR="00395ACA" w:rsidRPr="007428E2">
        <w:rPr>
          <w:rFonts w:ascii="Arial" w:hAnsi="Arial"/>
          <w:vertAlign w:val="subscript"/>
        </w:rPr>
        <w:t>X</w:t>
      </w:r>
      <w:r w:rsidR="00395ACA" w:rsidRPr="007428E2">
        <w:rPr>
          <w:rFonts w:ascii="Arial" w:hAnsi="Arial"/>
        </w:rPr>
        <w:t>) and volatile org</w:t>
      </w:r>
      <w:r w:rsidR="002F41A6" w:rsidRPr="007428E2">
        <w:rPr>
          <w:rFonts w:ascii="Arial" w:hAnsi="Arial"/>
        </w:rPr>
        <w:t>anic compounds (VOCs). S</w:t>
      </w:r>
      <w:r w:rsidR="00395ACA" w:rsidRPr="007428E2">
        <w:rPr>
          <w:rFonts w:ascii="Arial" w:hAnsi="Arial"/>
        </w:rPr>
        <w:t>tudies have shown that secondary particles can contribute significantly to PM</w:t>
      </w:r>
      <w:r w:rsidR="00132F9E" w:rsidRPr="007428E2">
        <w:rPr>
          <w:rFonts w:ascii="Arial" w:hAnsi="Arial"/>
          <w:vertAlign w:val="subscript"/>
        </w:rPr>
        <w:t xml:space="preserve"> </w:t>
      </w:r>
      <w:r w:rsidR="00132F9E" w:rsidRPr="007428E2">
        <w:rPr>
          <w:rFonts w:ascii="Arial" w:hAnsi="Arial"/>
        </w:rPr>
        <w:t>concentrations</w:t>
      </w:r>
      <w:r w:rsidR="00395ACA" w:rsidRPr="007428E2">
        <w:rPr>
          <w:rFonts w:ascii="Arial" w:hAnsi="Arial"/>
        </w:rPr>
        <w:t>.</w:t>
      </w:r>
    </w:p>
    <w:p w:rsidR="00395ACA" w:rsidRPr="007428E2" w:rsidRDefault="005F592C" w:rsidP="00132F9E">
      <w:pPr>
        <w:pStyle w:val="BulletArrows"/>
        <w:spacing w:after="240"/>
        <w:rPr>
          <w:rFonts w:ascii="Arial" w:hAnsi="Arial"/>
          <w:color w:val="auto"/>
          <w:szCs w:val="18"/>
        </w:rPr>
      </w:pPr>
      <w:r w:rsidRPr="007428E2">
        <w:rPr>
          <w:rFonts w:ascii="Arial" w:hAnsi="Arial"/>
          <w:color w:val="auto"/>
          <w:szCs w:val="18"/>
        </w:rPr>
        <w:lastRenderedPageBreak/>
        <w:t>Airborne particles are measured using various metrics which relate to particle size, and the two metrics that are used most commonly are PM</w:t>
      </w:r>
      <w:r w:rsidRPr="007428E2">
        <w:rPr>
          <w:rFonts w:ascii="Arial" w:hAnsi="Arial"/>
          <w:color w:val="auto"/>
          <w:szCs w:val="18"/>
          <w:vertAlign w:val="subscript"/>
        </w:rPr>
        <w:t>10</w:t>
      </w:r>
      <w:r w:rsidRPr="007428E2">
        <w:rPr>
          <w:rFonts w:ascii="Arial" w:hAnsi="Arial"/>
          <w:color w:val="auto"/>
          <w:szCs w:val="18"/>
        </w:rPr>
        <w:t xml:space="preserve"> and PM</w:t>
      </w:r>
      <w:r w:rsidRPr="007428E2">
        <w:rPr>
          <w:rFonts w:ascii="Arial" w:hAnsi="Arial"/>
          <w:color w:val="auto"/>
          <w:szCs w:val="18"/>
          <w:vertAlign w:val="subscript"/>
        </w:rPr>
        <w:t>2.5</w:t>
      </w:r>
      <w:r w:rsidRPr="007428E2">
        <w:rPr>
          <w:rFonts w:ascii="Arial" w:hAnsi="Arial"/>
          <w:color w:val="auto"/>
          <w:szCs w:val="18"/>
        </w:rPr>
        <w:t xml:space="preserve">. </w:t>
      </w:r>
      <w:r w:rsidR="00BA1CC8" w:rsidRPr="007428E2">
        <w:rPr>
          <w:rFonts w:ascii="Arial" w:hAnsi="Arial"/>
          <w:color w:val="auto"/>
          <w:szCs w:val="18"/>
        </w:rPr>
        <w:t>A variety of instruments and methods are available for measuring PM</w:t>
      </w:r>
      <w:r w:rsidR="00BA1CC8" w:rsidRPr="007428E2">
        <w:rPr>
          <w:rFonts w:ascii="Arial" w:hAnsi="Arial"/>
          <w:color w:val="auto"/>
          <w:szCs w:val="18"/>
          <w:vertAlign w:val="subscript"/>
        </w:rPr>
        <w:t>10</w:t>
      </w:r>
      <w:r w:rsidR="00BA1CC8" w:rsidRPr="007428E2">
        <w:rPr>
          <w:rFonts w:ascii="Arial" w:hAnsi="Arial"/>
          <w:color w:val="auto"/>
          <w:szCs w:val="18"/>
        </w:rPr>
        <w:t xml:space="preserve"> and/or PM</w:t>
      </w:r>
      <w:r w:rsidR="00BA1CC8" w:rsidRPr="007428E2">
        <w:rPr>
          <w:rFonts w:ascii="Arial" w:hAnsi="Arial"/>
          <w:color w:val="auto"/>
          <w:szCs w:val="18"/>
          <w:vertAlign w:val="subscript"/>
        </w:rPr>
        <w:t>2.5</w:t>
      </w:r>
      <w:r w:rsidR="00BA1CC8" w:rsidRPr="007428E2">
        <w:rPr>
          <w:rFonts w:ascii="Arial" w:hAnsi="Arial"/>
          <w:color w:val="auto"/>
          <w:szCs w:val="18"/>
        </w:rPr>
        <w:t>. The measurement of PM</w:t>
      </w:r>
      <w:r w:rsidR="00BA1CC8" w:rsidRPr="007428E2">
        <w:rPr>
          <w:rFonts w:ascii="Arial" w:hAnsi="Arial"/>
          <w:color w:val="auto"/>
          <w:szCs w:val="18"/>
          <w:vertAlign w:val="subscript"/>
        </w:rPr>
        <w:t>2.5</w:t>
      </w:r>
      <w:r w:rsidR="00BA1CC8" w:rsidRPr="007428E2">
        <w:rPr>
          <w:rFonts w:ascii="Arial" w:hAnsi="Arial"/>
          <w:color w:val="auto"/>
          <w:szCs w:val="18"/>
        </w:rPr>
        <w:t xml:space="preserve"> is inherently more difficult, partly because there is </w:t>
      </w:r>
      <w:r w:rsidR="00132F9E" w:rsidRPr="007428E2">
        <w:rPr>
          <w:rFonts w:ascii="Arial" w:hAnsi="Arial"/>
          <w:color w:val="auto"/>
          <w:szCs w:val="18"/>
        </w:rPr>
        <w:t xml:space="preserve">a much smaller mass to measure. </w:t>
      </w:r>
      <w:r w:rsidR="00395ACA" w:rsidRPr="007428E2">
        <w:rPr>
          <w:rFonts w:ascii="Arial" w:hAnsi="Arial"/>
        </w:rPr>
        <w:t xml:space="preserve">The </w:t>
      </w:r>
      <w:r w:rsidR="005B38F9" w:rsidRPr="007428E2">
        <w:rPr>
          <w:rFonts w:ascii="Arial" w:hAnsi="Arial"/>
        </w:rPr>
        <w:t xml:space="preserve">Impact Statement </w:t>
      </w:r>
      <w:r w:rsidR="00395ACA" w:rsidRPr="007428E2">
        <w:rPr>
          <w:rFonts w:ascii="Arial" w:hAnsi="Arial"/>
        </w:rPr>
        <w:t xml:space="preserve">summarises the main PM measurement methods in use in Australia. </w:t>
      </w:r>
      <w:r w:rsidR="00BA1CC8" w:rsidRPr="007428E2">
        <w:rPr>
          <w:rFonts w:ascii="Arial" w:hAnsi="Arial"/>
        </w:rPr>
        <w:t xml:space="preserve">The </w:t>
      </w:r>
      <w:r w:rsidR="002472F5" w:rsidRPr="007428E2">
        <w:rPr>
          <w:rFonts w:ascii="Arial" w:hAnsi="Arial"/>
        </w:rPr>
        <w:t xml:space="preserve">AAQ NEPM </w:t>
      </w:r>
      <w:r w:rsidR="00BA1CC8" w:rsidRPr="007428E2">
        <w:rPr>
          <w:rFonts w:ascii="Arial" w:hAnsi="Arial"/>
        </w:rPr>
        <w:t>reference method for monitoring PM</w:t>
      </w:r>
      <w:r w:rsidR="00BA1CC8" w:rsidRPr="007428E2">
        <w:rPr>
          <w:rFonts w:ascii="Arial" w:hAnsi="Arial"/>
          <w:vertAlign w:val="subscript"/>
        </w:rPr>
        <w:t>10</w:t>
      </w:r>
      <w:r w:rsidR="00BA1CC8" w:rsidRPr="007428E2">
        <w:rPr>
          <w:rFonts w:ascii="Arial" w:hAnsi="Arial"/>
        </w:rPr>
        <w:t xml:space="preserve"> and PM</w:t>
      </w:r>
      <w:r w:rsidR="00BA1CC8" w:rsidRPr="007428E2">
        <w:rPr>
          <w:rFonts w:ascii="Arial" w:hAnsi="Arial"/>
          <w:vertAlign w:val="subscript"/>
        </w:rPr>
        <w:t>2.5</w:t>
      </w:r>
      <w:r w:rsidR="00BA1CC8" w:rsidRPr="007428E2">
        <w:rPr>
          <w:rFonts w:ascii="Arial" w:hAnsi="Arial"/>
        </w:rPr>
        <w:t xml:space="preserve"> in Australia is</w:t>
      </w:r>
      <w:r w:rsidR="00361D8C" w:rsidRPr="007428E2">
        <w:rPr>
          <w:rFonts w:ascii="Arial" w:hAnsi="Arial"/>
        </w:rPr>
        <w:t xml:space="preserve"> the manual gravimetric method. </w:t>
      </w:r>
      <w:r w:rsidR="00BA1CC8" w:rsidRPr="007428E2">
        <w:rPr>
          <w:rFonts w:ascii="Arial" w:hAnsi="Arial"/>
        </w:rPr>
        <w:t xml:space="preserve">Some automated and continuous methods can </w:t>
      </w:r>
      <w:r w:rsidR="009A03FB" w:rsidRPr="007428E2">
        <w:rPr>
          <w:rFonts w:ascii="Arial" w:hAnsi="Arial"/>
        </w:rPr>
        <w:t xml:space="preserve">also </w:t>
      </w:r>
      <w:r w:rsidR="00BA1CC8" w:rsidRPr="007428E2">
        <w:rPr>
          <w:rFonts w:ascii="Arial" w:hAnsi="Arial"/>
        </w:rPr>
        <w:t>be used as alternatives to the reference met</w:t>
      </w:r>
      <w:r w:rsidR="002F41A6" w:rsidRPr="007428E2">
        <w:rPr>
          <w:rFonts w:ascii="Arial" w:hAnsi="Arial"/>
        </w:rPr>
        <w:t>hod</w:t>
      </w:r>
      <w:r w:rsidR="00BA1CC8" w:rsidRPr="007428E2">
        <w:rPr>
          <w:rFonts w:ascii="Arial" w:hAnsi="Arial"/>
        </w:rPr>
        <w:t>.</w:t>
      </w:r>
      <w:r w:rsidR="00395ACA" w:rsidRPr="007428E2">
        <w:rPr>
          <w:rFonts w:ascii="Arial" w:hAnsi="Arial"/>
        </w:rPr>
        <w:t xml:space="preserve"> </w:t>
      </w:r>
    </w:p>
    <w:p w:rsidR="00E62830" w:rsidRPr="007428E2" w:rsidRDefault="007366ED" w:rsidP="007B7983">
      <w:pPr>
        <w:pStyle w:val="ES1"/>
        <w:spacing w:after="200"/>
        <w:rPr>
          <w:rFonts w:ascii="Arial" w:hAnsi="Arial" w:cs="Arial"/>
        </w:rPr>
      </w:pPr>
      <w:r w:rsidRPr="007428E2">
        <w:rPr>
          <w:rFonts w:ascii="Arial" w:hAnsi="Arial" w:cs="Arial"/>
        </w:rPr>
        <w:t>Effects and monetary costs of PM</w:t>
      </w:r>
    </w:p>
    <w:p w:rsidR="00DD0DF2" w:rsidRPr="006574FD" w:rsidRDefault="00DD0DF2" w:rsidP="007B7983">
      <w:pPr>
        <w:pStyle w:val="ES2"/>
        <w:spacing w:after="200"/>
        <w:rPr>
          <w:rFonts w:ascii="Arial" w:hAnsi="Arial" w:cs="Arial"/>
        </w:rPr>
      </w:pPr>
      <w:r w:rsidRPr="006574FD">
        <w:rPr>
          <w:rFonts w:ascii="Arial" w:hAnsi="Arial" w:cs="Arial"/>
        </w:rPr>
        <w:t>Health effects</w:t>
      </w:r>
    </w:p>
    <w:p w:rsidR="004245BF" w:rsidRPr="007428E2" w:rsidRDefault="00DD0DF2" w:rsidP="007C48C4">
      <w:pPr>
        <w:pStyle w:val="BulletArrows"/>
        <w:spacing w:after="180"/>
        <w:rPr>
          <w:rFonts w:ascii="Arial" w:hAnsi="Arial"/>
          <w:color w:val="auto"/>
        </w:rPr>
      </w:pPr>
      <w:r w:rsidRPr="007428E2">
        <w:rPr>
          <w:rFonts w:ascii="Arial" w:hAnsi="Arial"/>
          <w:color w:val="auto"/>
        </w:rPr>
        <w:t xml:space="preserve">Since the </w:t>
      </w:r>
      <w:r w:rsidR="00EF24F8" w:rsidRPr="007428E2">
        <w:rPr>
          <w:rFonts w:ascii="Arial" w:hAnsi="Arial"/>
          <w:color w:val="auto"/>
        </w:rPr>
        <w:t>AAQ NEPM</w:t>
      </w:r>
      <w:r w:rsidRPr="007428E2">
        <w:rPr>
          <w:rFonts w:ascii="Arial" w:hAnsi="Arial"/>
          <w:color w:val="auto"/>
        </w:rPr>
        <w:t xml:space="preserve"> variation in 2003 there have been significant advances in the understanding of the health effects of PM. These effects are diverse </w:t>
      </w:r>
      <w:r w:rsidR="00E74B7D" w:rsidRPr="007428E2">
        <w:rPr>
          <w:rFonts w:ascii="Arial" w:hAnsi="Arial"/>
          <w:color w:val="auto"/>
        </w:rPr>
        <w:t>in scope, severity and duration</w:t>
      </w:r>
      <w:r w:rsidR="004245BF" w:rsidRPr="007428E2">
        <w:rPr>
          <w:rFonts w:ascii="Arial" w:hAnsi="Arial"/>
          <w:color w:val="auto"/>
        </w:rPr>
        <w:t>. They include premature mortality, aggravation of cardiovascular disease and aggravation of respiratory disease. Outdoor air pollution has also recently been classified as carcinogenic to humans, with an emphasis on PM in general and specifically PM in diesel engine exhaust</w:t>
      </w:r>
      <w:r w:rsidR="00043DE9" w:rsidRPr="007428E2">
        <w:rPr>
          <w:rFonts w:ascii="Arial" w:hAnsi="Arial"/>
          <w:color w:val="auto"/>
        </w:rPr>
        <w:t xml:space="preserve"> </w:t>
      </w:r>
      <w:r w:rsidR="00043DE9" w:rsidRPr="007428E2">
        <w:rPr>
          <w:rFonts w:ascii="Arial" w:hAnsi="Arial"/>
          <w:b/>
          <w:color w:val="auto"/>
        </w:rPr>
        <w:t>(IARC 2012, 2013)</w:t>
      </w:r>
      <w:r w:rsidR="004245BF" w:rsidRPr="007428E2">
        <w:rPr>
          <w:rFonts w:ascii="Arial" w:hAnsi="Arial"/>
          <w:color w:val="auto"/>
        </w:rPr>
        <w:t>.</w:t>
      </w:r>
    </w:p>
    <w:p w:rsidR="004245BF" w:rsidRPr="007428E2" w:rsidRDefault="00DD0DF2" w:rsidP="00471627">
      <w:pPr>
        <w:pStyle w:val="BulletArrows"/>
        <w:spacing w:after="240"/>
        <w:rPr>
          <w:rFonts w:ascii="Arial" w:hAnsi="Arial"/>
          <w:color w:val="auto"/>
        </w:rPr>
      </w:pPr>
      <w:r w:rsidRPr="007428E2">
        <w:rPr>
          <w:rFonts w:ascii="Arial" w:hAnsi="Arial"/>
          <w:color w:val="auto"/>
        </w:rPr>
        <w:t xml:space="preserve">The </w:t>
      </w:r>
      <w:r w:rsidR="00132F9E" w:rsidRPr="007428E2">
        <w:rPr>
          <w:rFonts w:ascii="Arial" w:hAnsi="Arial"/>
          <w:color w:val="auto"/>
        </w:rPr>
        <w:t xml:space="preserve">recent </w:t>
      </w:r>
      <w:r w:rsidRPr="007428E2">
        <w:rPr>
          <w:rFonts w:ascii="Arial" w:hAnsi="Arial"/>
          <w:color w:val="auto"/>
        </w:rPr>
        <w:t xml:space="preserve">advances </w:t>
      </w:r>
      <w:r w:rsidR="004245BF" w:rsidRPr="007428E2">
        <w:rPr>
          <w:rFonts w:ascii="Arial" w:hAnsi="Arial"/>
          <w:color w:val="auto"/>
        </w:rPr>
        <w:t>have been reviewed in a number of key documents</w:t>
      </w:r>
      <w:r w:rsidR="004245BF" w:rsidRPr="007428E2">
        <w:rPr>
          <w:rFonts w:ascii="Arial" w:hAnsi="Arial"/>
          <w:b/>
          <w:color w:val="auto"/>
        </w:rPr>
        <w:t xml:space="preserve"> (</w:t>
      </w:r>
      <w:r w:rsidR="009334F4" w:rsidRPr="007428E2">
        <w:rPr>
          <w:rFonts w:ascii="Arial" w:hAnsi="Arial"/>
          <w:color w:val="auto"/>
        </w:rPr>
        <w:t>e.g.</w:t>
      </w:r>
      <w:r w:rsidR="004245BF" w:rsidRPr="007428E2">
        <w:rPr>
          <w:rFonts w:ascii="Arial" w:hAnsi="Arial"/>
          <w:b/>
          <w:color w:val="auto"/>
        </w:rPr>
        <w:t xml:space="preserve"> USEPA 2009; </w:t>
      </w:r>
      <w:r w:rsidRPr="007428E2">
        <w:rPr>
          <w:rFonts w:ascii="Arial" w:hAnsi="Arial"/>
          <w:b/>
          <w:color w:val="auto"/>
        </w:rPr>
        <w:t>WHO Regional Office for Europe 2013)</w:t>
      </w:r>
      <w:r w:rsidR="004245BF" w:rsidRPr="007428E2">
        <w:rPr>
          <w:rFonts w:ascii="Arial" w:hAnsi="Arial"/>
          <w:color w:val="auto"/>
        </w:rPr>
        <w:t>, and can be summarised as follows:</w:t>
      </w:r>
    </w:p>
    <w:p w:rsidR="0054291D" w:rsidRPr="007428E2" w:rsidRDefault="0054291D" w:rsidP="00553B34">
      <w:pPr>
        <w:pStyle w:val="BulletArrows"/>
        <w:numPr>
          <w:ilvl w:val="0"/>
          <w:numId w:val="67"/>
        </w:numPr>
        <w:spacing w:after="140"/>
        <w:rPr>
          <w:rFonts w:ascii="Arial" w:hAnsi="Arial"/>
        </w:rPr>
      </w:pPr>
      <w:r w:rsidRPr="007428E2">
        <w:rPr>
          <w:rFonts w:ascii="Arial" w:hAnsi="Arial"/>
          <w:color w:val="auto"/>
          <w:szCs w:val="18"/>
        </w:rPr>
        <w:t>For PM</w:t>
      </w:r>
      <w:r w:rsidRPr="007428E2">
        <w:rPr>
          <w:rFonts w:ascii="Arial" w:hAnsi="Arial"/>
          <w:color w:val="auto"/>
          <w:szCs w:val="18"/>
          <w:vertAlign w:val="subscript"/>
        </w:rPr>
        <w:t>2.5</w:t>
      </w:r>
      <w:r w:rsidRPr="007428E2">
        <w:rPr>
          <w:rFonts w:ascii="Arial" w:hAnsi="Arial"/>
          <w:color w:val="auto"/>
          <w:szCs w:val="18"/>
        </w:rPr>
        <w:t>:</w:t>
      </w:r>
    </w:p>
    <w:p w:rsidR="0054291D" w:rsidRPr="007428E2" w:rsidRDefault="0054291D" w:rsidP="00553B34">
      <w:pPr>
        <w:pStyle w:val="BulletArrows"/>
        <w:numPr>
          <w:ilvl w:val="0"/>
          <w:numId w:val="69"/>
        </w:numPr>
        <w:spacing w:after="140"/>
        <w:rPr>
          <w:rFonts w:ascii="Arial" w:hAnsi="Arial"/>
          <w:color w:val="auto"/>
          <w:szCs w:val="18"/>
        </w:rPr>
      </w:pPr>
      <w:r w:rsidRPr="007428E2">
        <w:rPr>
          <w:rFonts w:ascii="Arial" w:hAnsi="Arial"/>
        </w:rPr>
        <w:t>There is sufficient evidence to conclude that long-term and short-term exposure causes illness and death from cardiovascular conditions, and is likely to cause respiratory conditions</w:t>
      </w:r>
      <w:r w:rsidRPr="007428E2">
        <w:rPr>
          <w:rFonts w:ascii="Arial" w:hAnsi="Arial"/>
          <w:b/>
        </w:rPr>
        <w:t>.</w:t>
      </w:r>
      <w:r w:rsidRPr="007428E2">
        <w:rPr>
          <w:rFonts w:ascii="Arial" w:hAnsi="Arial"/>
          <w:color w:val="auto"/>
          <w:szCs w:val="18"/>
        </w:rPr>
        <w:t xml:space="preserve"> </w:t>
      </w:r>
    </w:p>
    <w:p w:rsidR="0054291D" w:rsidRPr="007428E2" w:rsidRDefault="0054291D" w:rsidP="00553B34">
      <w:pPr>
        <w:pStyle w:val="BulletArrows"/>
        <w:numPr>
          <w:ilvl w:val="0"/>
          <w:numId w:val="69"/>
        </w:numPr>
        <w:spacing w:after="240"/>
        <w:rPr>
          <w:rFonts w:ascii="Arial" w:hAnsi="Arial"/>
          <w:color w:val="auto"/>
          <w:szCs w:val="18"/>
        </w:rPr>
      </w:pPr>
      <w:r w:rsidRPr="007428E2">
        <w:rPr>
          <w:rFonts w:ascii="Arial" w:hAnsi="Arial"/>
        </w:rPr>
        <w:t>Associations have been observed between exposure and reproductive and developmental effects.</w:t>
      </w:r>
    </w:p>
    <w:p w:rsidR="0054291D" w:rsidRPr="007428E2" w:rsidRDefault="0054291D" w:rsidP="00553B34">
      <w:pPr>
        <w:pStyle w:val="BulletArrows"/>
        <w:numPr>
          <w:ilvl w:val="0"/>
          <w:numId w:val="3"/>
        </w:numPr>
        <w:spacing w:after="140"/>
        <w:ind w:left="357" w:hanging="357"/>
        <w:rPr>
          <w:rFonts w:ascii="Arial" w:hAnsi="Arial"/>
        </w:rPr>
      </w:pPr>
      <w:r w:rsidRPr="007428E2">
        <w:rPr>
          <w:rFonts w:ascii="Arial" w:hAnsi="Arial"/>
        </w:rPr>
        <w:t>For PM</w:t>
      </w:r>
      <w:r w:rsidRPr="007428E2">
        <w:rPr>
          <w:rFonts w:ascii="Arial" w:hAnsi="Arial"/>
          <w:vertAlign w:val="subscript"/>
        </w:rPr>
        <w:t>10</w:t>
      </w:r>
      <w:r w:rsidRPr="007428E2">
        <w:rPr>
          <w:rFonts w:ascii="Arial" w:hAnsi="Arial"/>
        </w:rPr>
        <w:t>:</w:t>
      </w:r>
    </w:p>
    <w:p w:rsidR="0054291D" w:rsidRPr="007428E2" w:rsidRDefault="0054291D" w:rsidP="00553B34">
      <w:pPr>
        <w:pStyle w:val="BulletArrows"/>
        <w:numPr>
          <w:ilvl w:val="0"/>
          <w:numId w:val="71"/>
        </w:numPr>
        <w:spacing w:after="140"/>
        <w:rPr>
          <w:rFonts w:ascii="Arial" w:hAnsi="Arial"/>
        </w:rPr>
      </w:pPr>
      <w:r w:rsidRPr="007428E2">
        <w:rPr>
          <w:rFonts w:ascii="Arial" w:hAnsi="Arial"/>
        </w:rPr>
        <w:t>There is extensive evidence that short-term exposure is associated with health effects, and that these effects are independent of the effects of PM</w:t>
      </w:r>
      <w:r w:rsidRPr="007428E2">
        <w:rPr>
          <w:rFonts w:ascii="Arial" w:hAnsi="Arial"/>
          <w:vertAlign w:val="subscript"/>
        </w:rPr>
        <w:t>2.5</w:t>
      </w:r>
      <w:r w:rsidRPr="007428E2">
        <w:rPr>
          <w:rFonts w:ascii="Arial" w:hAnsi="Arial"/>
        </w:rPr>
        <w:t>.</w:t>
      </w:r>
    </w:p>
    <w:p w:rsidR="0054291D" w:rsidRPr="007428E2" w:rsidRDefault="0054291D" w:rsidP="00553B34">
      <w:pPr>
        <w:pStyle w:val="BulletArrows"/>
        <w:numPr>
          <w:ilvl w:val="0"/>
          <w:numId w:val="71"/>
        </w:numPr>
        <w:spacing w:after="140"/>
        <w:rPr>
          <w:rFonts w:ascii="Arial" w:hAnsi="Arial"/>
        </w:rPr>
      </w:pPr>
      <w:r w:rsidRPr="007428E2">
        <w:rPr>
          <w:rFonts w:ascii="Arial" w:hAnsi="Arial"/>
        </w:rPr>
        <w:t>There is evidence of a causal relationship between short-term exposure and cardiovascular and respiratory effects and mortality</w:t>
      </w:r>
      <w:r w:rsidRPr="007428E2">
        <w:rPr>
          <w:rFonts w:ascii="Arial" w:hAnsi="Arial"/>
          <w:b/>
        </w:rPr>
        <w:t>.</w:t>
      </w:r>
    </w:p>
    <w:p w:rsidR="0054291D" w:rsidRPr="007428E2" w:rsidRDefault="0054291D" w:rsidP="00553B34">
      <w:pPr>
        <w:pStyle w:val="BulletArrows"/>
        <w:numPr>
          <w:ilvl w:val="0"/>
          <w:numId w:val="71"/>
        </w:numPr>
        <w:spacing w:after="240"/>
        <w:rPr>
          <w:rFonts w:ascii="Arial" w:hAnsi="Arial"/>
        </w:rPr>
      </w:pPr>
      <w:r w:rsidRPr="007428E2">
        <w:rPr>
          <w:rFonts w:ascii="Arial" w:hAnsi="Arial"/>
        </w:rPr>
        <w:t>There is less evidence that long-term exposure has health effects that are independent of those caused by long-term exposure to PM</w:t>
      </w:r>
      <w:r w:rsidRPr="007428E2">
        <w:rPr>
          <w:rFonts w:ascii="Arial" w:hAnsi="Arial"/>
          <w:vertAlign w:val="subscript"/>
        </w:rPr>
        <w:t>2.5</w:t>
      </w:r>
      <w:r w:rsidRPr="007428E2">
        <w:rPr>
          <w:rFonts w:ascii="Arial" w:hAnsi="Arial"/>
        </w:rPr>
        <w:t xml:space="preserve">, </w:t>
      </w:r>
      <w:r w:rsidR="002472F5" w:rsidRPr="007428E2">
        <w:rPr>
          <w:rFonts w:ascii="Arial" w:hAnsi="Arial"/>
        </w:rPr>
        <w:t>nevertheless</w:t>
      </w:r>
      <w:r w:rsidRPr="007428E2">
        <w:rPr>
          <w:rFonts w:ascii="Arial" w:hAnsi="Arial"/>
        </w:rPr>
        <w:t xml:space="preserve"> WHO recommends a long-term air quality standard. </w:t>
      </w:r>
    </w:p>
    <w:p w:rsidR="0054291D" w:rsidRPr="007428E2" w:rsidRDefault="0054291D" w:rsidP="00553B34">
      <w:pPr>
        <w:pStyle w:val="BulletArrows"/>
        <w:numPr>
          <w:ilvl w:val="0"/>
          <w:numId w:val="3"/>
        </w:numPr>
        <w:spacing w:after="140"/>
        <w:ind w:left="357" w:hanging="357"/>
        <w:rPr>
          <w:rFonts w:ascii="Arial" w:hAnsi="Arial"/>
        </w:rPr>
      </w:pPr>
      <w:r w:rsidRPr="007428E2">
        <w:rPr>
          <w:rFonts w:ascii="Arial" w:hAnsi="Arial"/>
        </w:rPr>
        <w:t>For other PM metrics:</w:t>
      </w:r>
    </w:p>
    <w:p w:rsidR="0054291D" w:rsidRPr="007428E2" w:rsidRDefault="0054291D" w:rsidP="00553B34">
      <w:pPr>
        <w:pStyle w:val="BulletArrows"/>
        <w:numPr>
          <w:ilvl w:val="0"/>
          <w:numId w:val="73"/>
        </w:numPr>
        <w:spacing w:after="140"/>
        <w:rPr>
          <w:rFonts w:ascii="Arial" w:hAnsi="Arial"/>
        </w:rPr>
      </w:pPr>
      <w:r w:rsidRPr="007428E2">
        <w:rPr>
          <w:rFonts w:ascii="Arial" w:hAnsi="Arial"/>
        </w:rPr>
        <w:t xml:space="preserve">There is increasing, but as yet limited, epidemiological evidence on the association between short-term exposure to ultrafine particles </w:t>
      </w:r>
      <w:r w:rsidR="002472F5" w:rsidRPr="007428E2">
        <w:rPr>
          <w:rFonts w:ascii="Arial" w:hAnsi="Arial"/>
        </w:rPr>
        <w:t xml:space="preserve">(i.e. particles with an aerodynamic diameter of less than </w:t>
      </w:r>
      <w:r w:rsidR="00860E6F" w:rsidRPr="007428E2">
        <w:rPr>
          <w:rFonts w:ascii="Arial" w:hAnsi="Arial"/>
        </w:rPr>
        <w:t>0.</w:t>
      </w:r>
      <w:r w:rsidR="002472F5" w:rsidRPr="007428E2">
        <w:rPr>
          <w:rFonts w:ascii="Arial" w:hAnsi="Arial"/>
        </w:rPr>
        <w:t xml:space="preserve">1 µm) </w:t>
      </w:r>
      <w:r w:rsidRPr="007428E2">
        <w:rPr>
          <w:rFonts w:ascii="Arial" w:hAnsi="Arial"/>
        </w:rPr>
        <w:t>and health.</w:t>
      </w:r>
      <w:r w:rsidR="00132F9E" w:rsidRPr="007428E2">
        <w:rPr>
          <w:rFonts w:ascii="Arial" w:hAnsi="Arial"/>
        </w:rPr>
        <w:t xml:space="preserve"> This is an area of ongoing research.</w:t>
      </w:r>
    </w:p>
    <w:p w:rsidR="0054291D" w:rsidRPr="007428E2" w:rsidRDefault="0054291D" w:rsidP="00553B34">
      <w:pPr>
        <w:pStyle w:val="BulletArrows"/>
        <w:numPr>
          <w:ilvl w:val="0"/>
          <w:numId w:val="73"/>
        </w:numPr>
        <w:spacing w:after="240"/>
        <w:rPr>
          <w:rFonts w:ascii="Arial" w:hAnsi="Arial"/>
        </w:rPr>
      </w:pPr>
      <w:r w:rsidRPr="007428E2">
        <w:rPr>
          <w:rFonts w:ascii="Arial" w:hAnsi="Arial"/>
        </w:rPr>
        <w:t>While there is some evidence that the relationship between PM and health effects depends on chemical composition (</w:t>
      </w:r>
      <w:r w:rsidR="009334F4" w:rsidRPr="007428E2">
        <w:rPr>
          <w:rFonts w:ascii="Arial" w:hAnsi="Arial"/>
        </w:rPr>
        <w:t>e.g.</w:t>
      </w:r>
      <w:r w:rsidRPr="007428E2">
        <w:rPr>
          <w:rFonts w:ascii="Arial" w:hAnsi="Arial"/>
        </w:rPr>
        <w:t xml:space="preserve"> black carbon, </w:t>
      </w:r>
      <w:r w:rsidR="002472F5" w:rsidRPr="007428E2">
        <w:rPr>
          <w:rFonts w:ascii="Arial" w:hAnsi="Arial"/>
        </w:rPr>
        <w:t>secondary organic aerosol (</w:t>
      </w:r>
      <w:r w:rsidRPr="007428E2">
        <w:rPr>
          <w:rFonts w:ascii="Arial" w:hAnsi="Arial"/>
        </w:rPr>
        <w:t>SOA</w:t>
      </w:r>
      <w:r w:rsidR="002472F5" w:rsidRPr="007428E2">
        <w:rPr>
          <w:rFonts w:ascii="Arial" w:hAnsi="Arial"/>
        </w:rPr>
        <w:t>)</w:t>
      </w:r>
      <w:r w:rsidRPr="007428E2">
        <w:rPr>
          <w:rFonts w:ascii="Arial" w:hAnsi="Arial"/>
        </w:rPr>
        <w:t xml:space="preserve"> and </w:t>
      </w:r>
      <w:r w:rsidR="002472F5" w:rsidRPr="007428E2">
        <w:rPr>
          <w:rFonts w:ascii="Arial" w:hAnsi="Arial"/>
        </w:rPr>
        <w:t>secondary inorganic aerosol (</w:t>
      </w:r>
      <w:r w:rsidRPr="007428E2">
        <w:rPr>
          <w:rFonts w:ascii="Arial" w:hAnsi="Arial"/>
        </w:rPr>
        <w:t>SIA</w:t>
      </w:r>
      <w:r w:rsidR="002472F5" w:rsidRPr="007428E2">
        <w:rPr>
          <w:rFonts w:ascii="Arial" w:hAnsi="Arial"/>
        </w:rPr>
        <w:t>)</w:t>
      </w:r>
      <w:r w:rsidRPr="007428E2">
        <w:rPr>
          <w:rFonts w:ascii="Arial" w:hAnsi="Arial"/>
        </w:rPr>
        <w:t>), the evidence is insufficient to conclude that this relationship is causal.</w:t>
      </w:r>
    </w:p>
    <w:p w:rsidR="0054291D" w:rsidRPr="007428E2" w:rsidRDefault="0054291D" w:rsidP="0054291D">
      <w:pPr>
        <w:pStyle w:val="BulletArrows"/>
        <w:spacing w:after="180"/>
        <w:rPr>
          <w:rFonts w:ascii="Arial" w:hAnsi="Arial"/>
        </w:rPr>
      </w:pPr>
      <w:r w:rsidRPr="007428E2">
        <w:rPr>
          <w:rFonts w:ascii="Arial" w:hAnsi="Arial"/>
        </w:rPr>
        <w:t>For PM</w:t>
      </w:r>
      <w:r w:rsidRPr="007428E2">
        <w:rPr>
          <w:rFonts w:ascii="Arial" w:hAnsi="Arial"/>
          <w:vertAlign w:val="subscript"/>
        </w:rPr>
        <w:t>2.5</w:t>
      </w:r>
      <w:r w:rsidRPr="007428E2">
        <w:rPr>
          <w:rFonts w:ascii="Arial" w:hAnsi="Arial"/>
        </w:rPr>
        <w:t xml:space="preserve"> and PM</w:t>
      </w:r>
      <w:r w:rsidRPr="007428E2">
        <w:rPr>
          <w:rFonts w:ascii="Arial" w:hAnsi="Arial"/>
          <w:vertAlign w:val="subscript"/>
        </w:rPr>
        <w:t>10</w:t>
      </w:r>
      <w:r w:rsidRPr="007428E2">
        <w:rPr>
          <w:rFonts w:ascii="Arial" w:hAnsi="Arial"/>
        </w:rPr>
        <w:t xml:space="preserve"> the effects observed in Australia and New Zealand are consistent with those reported in the international literature.</w:t>
      </w:r>
    </w:p>
    <w:p w:rsidR="0054291D" w:rsidRPr="007428E2" w:rsidRDefault="00132F9E" w:rsidP="00471627">
      <w:pPr>
        <w:pStyle w:val="BulletArrows"/>
        <w:spacing w:after="360"/>
        <w:rPr>
          <w:rFonts w:ascii="Arial" w:hAnsi="Arial"/>
        </w:rPr>
      </w:pPr>
      <w:r w:rsidRPr="007428E2">
        <w:rPr>
          <w:rFonts w:ascii="Arial" w:hAnsi="Arial"/>
        </w:rPr>
        <w:t xml:space="preserve">Long-term studies have not provided evidence of a threshold for health effects. </w:t>
      </w:r>
      <w:r w:rsidR="0054291D" w:rsidRPr="007428E2">
        <w:rPr>
          <w:rFonts w:ascii="Arial" w:hAnsi="Arial"/>
        </w:rPr>
        <w:t>There is also evidence that exposure to PM at levels experienced in Australian cities is associated with health effects. There would therefore be health benefits from reducing exposure below these levels, and setting standards as low as reasonably achievable.</w:t>
      </w:r>
    </w:p>
    <w:p w:rsidR="00395ACA" w:rsidRPr="006574FD" w:rsidRDefault="00395ACA" w:rsidP="00395ACA">
      <w:pPr>
        <w:pStyle w:val="ES2"/>
        <w:rPr>
          <w:rFonts w:ascii="Arial" w:hAnsi="Arial" w:cs="Arial"/>
        </w:rPr>
      </w:pPr>
      <w:r w:rsidRPr="006574FD">
        <w:rPr>
          <w:rFonts w:ascii="Arial" w:hAnsi="Arial" w:cs="Arial"/>
        </w:rPr>
        <w:t>Other effects</w:t>
      </w:r>
    </w:p>
    <w:p w:rsidR="00395ACA" w:rsidRPr="007428E2" w:rsidRDefault="00395ACA" w:rsidP="00471627">
      <w:pPr>
        <w:pStyle w:val="BulletArrows"/>
        <w:spacing w:after="360"/>
        <w:rPr>
          <w:rFonts w:ascii="Arial" w:hAnsi="Arial"/>
        </w:rPr>
      </w:pPr>
      <w:r w:rsidRPr="007428E2">
        <w:rPr>
          <w:rFonts w:ascii="Arial" w:hAnsi="Arial"/>
        </w:rPr>
        <w:t xml:space="preserve">Airborne PM also has adverse impacts on ecosystems, </w:t>
      </w:r>
      <w:r w:rsidR="002C1D86" w:rsidRPr="007428E2">
        <w:rPr>
          <w:rFonts w:ascii="Arial" w:hAnsi="Arial"/>
        </w:rPr>
        <w:t xml:space="preserve">agriculture, </w:t>
      </w:r>
      <w:r w:rsidRPr="007428E2">
        <w:rPr>
          <w:rFonts w:ascii="Arial" w:hAnsi="Arial"/>
        </w:rPr>
        <w:t xml:space="preserve">visibility, cultural heritage and climate. However, the main focus of public concern is currently on its effects on human health, and these generally </w:t>
      </w:r>
      <w:r w:rsidR="009A03FB" w:rsidRPr="007428E2">
        <w:rPr>
          <w:rFonts w:ascii="Arial" w:hAnsi="Arial"/>
        </w:rPr>
        <w:t>account for the majority</w:t>
      </w:r>
      <w:r w:rsidRPr="007428E2">
        <w:rPr>
          <w:rFonts w:ascii="Arial" w:hAnsi="Arial"/>
        </w:rPr>
        <w:t xml:space="preserve"> of the external monetary costs </w:t>
      </w:r>
      <w:r w:rsidR="009A03FB" w:rsidRPr="007428E2">
        <w:rPr>
          <w:rFonts w:ascii="Arial" w:hAnsi="Arial"/>
        </w:rPr>
        <w:t xml:space="preserve">associated with the impacts </w:t>
      </w:r>
      <w:r w:rsidRPr="007428E2">
        <w:rPr>
          <w:rFonts w:ascii="Arial" w:hAnsi="Arial"/>
        </w:rPr>
        <w:t>of air pollution</w:t>
      </w:r>
      <w:r w:rsidR="00F3202F" w:rsidRPr="007428E2">
        <w:rPr>
          <w:rFonts w:ascii="Arial" w:hAnsi="Arial"/>
        </w:rPr>
        <w:t>.</w:t>
      </w:r>
    </w:p>
    <w:p w:rsidR="00BA1CC8" w:rsidRPr="006574FD" w:rsidRDefault="002F41A6" w:rsidP="00361D8C">
      <w:pPr>
        <w:pStyle w:val="ES2"/>
        <w:rPr>
          <w:rFonts w:ascii="Arial" w:hAnsi="Arial" w:cs="Arial"/>
        </w:rPr>
      </w:pPr>
      <w:r w:rsidRPr="006574FD">
        <w:rPr>
          <w:rFonts w:ascii="Arial" w:hAnsi="Arial" w:cs="Arial"/>
        </w:rPr>
        <w:lastRenderedPageBreak/>
        <w:t>Monetary benefits</w:t>
      </w:r>
      <w:r w:rsidR="00BA1CC8" w:rsidRPr="006574FD">
        <w:rPr>
          <w:rFonts w:ascii="Arial" w:hAnsi="Arial" w:cs="Arial"/>
        </w:rPr>
        <w:t xml:space="preserve"> of </w:t>
      </w:r>
      <w:r w:rsidRPr="006574FD">
        <w:rPr>
          <w:rFonts w:ascii="Arial" w:hAnsi="Arial" w:cs="Arial"/>
        </w:rPr>
        <w:t xml:space="preserve">reducing </w:t>
      </w:r>
      <w:r w:rsidR="00BA1CC8" w:rsidRPr="006574FD">
        <w:rPr>
          <w:rFonts w:ascii="Arial" w:hAnsi="Arial" w:cs="Arial"/>
        </w:rPr>
        <w:t>PM</w:t>
      </w:r>
      <w:r w:rsidRPr="006574FD">
        <w:rPr>
          <w:rFonts w:ascii="Arial" w:hAnsi="Arial" w:cs="Arial"/>
        </w:rPr>
        <w:t xml:space="preserve"> concentrations</w:t>
      </w:r>
    </w:p>
    <w:p w:rsidR="00156C9E" w:rsidRPr="007428E2" w:rsidRDefault="00156C9E" w:rsidP="00156C9E">
      <w:pPr>
        <w:rPr>
          <w:rFonts w:ascii="Arial" w:hAnsi="Arial" w:cs="Arial"/>
        </w:rPr>
      </w:pPr>
      <w:r w:rsidRPr="007428E2">
        <w:rPr>
          <w:rFonts w:ascii="Arial" w:hAnsi="Arial" w:cs="Arial"/>
        </w:rPr>
        <w:t xml:space="preserve">Any reduction in exposure to particle pollution will have public health benefits. The health cost of particle air pollution in the NSW Greater Metropolitan is estimated to be around $4.7 billion per year </w:t>
      </w:r>
      <w:r w:rsidRPr="007428E2">
        <w:rPr>
          <w:rFonts w:ascii="Arial" w:hAnsi="Arial" w:cs="Arial"/>
          <w:b/>
          <w:bCs/>
        </w:rPr>
        <w:t xml:space="preserve">(NSW DEC 2005; </w:t>
      </w:r>
      <w:proofErr w:type="spellStart"/>
      <w:r w:rsidRPr="007428E2">
        <w:rPr>
          <w:rFonts w:ascii="Arial" w:hAnsi="Arial" w:cs="Arial"/>
          <w:b/>
          <w:bCs/>
        </w:rPr>
        <w:t>Jalaludin</w:t>
      </w:r>
      <w:proofErr w:type="spellEnd"/>
      <w:r w:rsidRPr="007428E2">
        <w:rPr>
          <w:rFonts w:ascii="Arial" w:hAnsi="Arial" w:cs="Arial"/>
          <w:b/>
          <w:bCs/>
        </w:rPr>
        <w:t xml:space="preserve"> et al. 2011)</w:t>
      </w:r>
      <w:r w:rsidRPr="007428E2">
        <w:rPr>
          <w:rFonts w:ascii="Arial" w:hAnsi="Arial" w:cs="Arial"/>
        </w:rPr>
        <w:t>. The greatest proportion (&gt;99%) of the health costs accrue from avoiding premature deaths due to long-term exposure to PM</w:t>
      </w:r>
      <w:r w:rsidRPr="007428E2">
        <w:rPr>
          <w:rFonts w:ascii="Arial" w:hAnsi="Arial" w:cs="Arial"/>
          <w:vertAlign w:val="subscript"/>
        </w:rPr>
        <w:t>2.5</w:t>
      </w:r>
      <w:r w:rsidRPr="007428E2">
        <w:rPr>
          <w:rFonts w:ascii="Arial" w:hAnsi="Arial" w:cs="Arial"/>
        </w:rPr>
        <w:t>.</w:t>
      </w:r>
    </w:p>
    <w:p w:rsidR="007366ED" w:rsidRPr="007428E2" w:rsidRDefault="007366ED" w:rsidP="00361D8C">
      <w:pPr>
        <w:pStyle w:val="ES1"/>
        <w:rPr>
          <w:rFonts w:ascii="Arial" w:hAnsi="Arial" w:cs="Arial"/>
        </w:rPr>
      </w:pPr>
      <w:r w:rsidRPr="007428E2">
        <w:rPr>
          <w:rFonts w:ascii="Arial" w:hAnsi="Arial" w:cs="Arial"/>
        </w:rPr>
        <w:t>Policy context and legislation</w:t>
      </w:r>
    </w:p>
    <w:p w:rsidR="00BA1CC8" w:rsidRPr="006574FD" w:rsidRDefault="00EF24F8" w:rsidP="00361D8C">
      <w:pPr>
        <w:pStyle w:val="ES2"/>
        <w:rPr>
          <w:rFonts w:ascii="Arial" w:hAnsi="Arial" w:cs="Arial"/>
        </w:rPr>
      </w:pPr>
      <w:r w:rsidRPr="006574FD">
        <w:rPr>
          <w:rFonts w:ascii="Arial" w:hAnsi="Arial" w:cs="Arial"/>
        </w:rPr>
        <w:t>AAQ NEPM</w:t>
      </w:r>
    </w:p>
    <w:p w:rsidR="007D57CD" w:rsidRPr="006574FD" w:rsidRDefault="00EF24F8" w:rsidP="00471627">
      <w:pPr>
        <w:pStyle w:val="ES3"/>
        <w:spacing w:after="240"/>
        <w:rPr>
          <w:rFonts w:ascii="Arial" w:hAnsi="Arial" w:cs="Arial"/>
        </w:rPr>
      </w:pPr>
      <w:r w:rsidRPr="006574FD">
        <w:rPr>
          <w:rFonts w:ascii="Arial" w:hAnsi="Arial" w:cs="Arial"/>
        </w:rPr>
        <w:t>AAQ NEPM</w:t>
      </w:r>
      <w:r w:rsidR="007D57CD" w:rsidRPr="006574FD">
        <w:rPr>
          <w:rFonts w:ascii="Arial" w:hAnsi="Arial" w:cs="Arial"/>
        </w:rPr>
        <w:t xml:space="preserve"> standards and goals</w:t>
      </w:r>
    </w:p>
    <w:p w:rsidR="00F3202F" w:rsidRPr="007428E2" w:rsidRDefault="007D57CD" w:rsidP="00AA0C0D">
      <w:pPr>
        <w:pStyle w:val="BulletArrows"/>
        <w:spacing w:after="140"/>
        <w:rPr>
          <w:rFonts w:ascii="Arial" w:hAnsi="Arial"/>
          <w:color w:val="auto"/>
          <w:szCs w:val="18"/>
        </w:rPr>
      </w:pPr>
      <w:r w:rsidRPr="007428E2">
        <w:rPr>
          <w:rFonts w:ascii="Arial" w:hAnsi="Arial"/>
          <w:color w:val="auto"/>
          <w:szCs w:val="18"/>
        </w:rPr>
        <w:t xml:space="preserve">The </w:t>
      </w:r>
      <w:r w:rsidR="00EF24F8" w:rsidRPr="007428E2">
        <w:rPr>
          <w:rFonts w:ascii="Arial" w:hAnsi="Arial"/>
          <w:color w:val="auto"/>
          <w:szCs w:val="18"/>
        </w:rPr>
        <w:t>AAQ NEPM</w:t>
      </w:r>
      <w:r w:rsidRPr="007428E2">
        <w:rPr>
          <w:rFonts w:ascii="Arial" w:hAnsi="Arial"/>
          <w:color w:val="auto"/>
          <w:szCs w:val="18"/>
        </w:rPr>
        <w:t xml:space="preserve"> provides a </w:t>
      </w:r>
      <w:r w:rsidR="009A03FB" w:rsidRPr="007428E2">
        <w:rPr>
          <w:rFonts w:ascii="Arial" w:hAnsi="Arial"/>
          <w:color w:val="auto"/>
          <w:szCs w:val="18"/>
        </w:rPr>
        <w:t xml:space="preserve">nationally </w:t>
      </w:r>
      <w:r w:rsidRPr="007428E2">
        <w:rPr>
          <w:rFonts w:ascii="Arial" w:hAnsi="Arial"/>
          <w:color w:val="auto"/>
          <w:szCs w:val="18"/>
        </w:rPr>
        <w:t xml:space="preserve">consistent framework for the monitoring and reporting of ambient air quality </w:t>
      </w:r>
      <w:r w:rsidR="00E74B7D" w:rsidRPr="007428E2">
        <w:rPr>
          <w:rFonts w:ascii="Arial" w:hAnsi="Arial"/>
          <w:color w:val="auto"/>
          <w:szCs w:val="18"/>
        </w:rPr>
        <w:t xml:space="preserve">in Australia, and </w:t>
      </w:r>
      <w:r w:rsidR="009A03FB" w:rsidRPr="007428E2">
        <w:rPr>
          <w:rFonts w:ascii="Arial" w:hAnsi="Arial"/>
          <w:color w:val="auto"/>
        </w:rPr>
        <w:t>establishes air quality standards and goals</w:t>
      </w:r>
      <w:r w:rsidR="00F3202F" w:rsidRPr="007428E2">
        <w:rPr>
          <w:rFonts w:ascii="Arial" w:hAnsi="Arial"/>
          <w:color w:val="auto"/>
        </w:rPr>
        <w:t>:</w:t>
      </w:r>
    </w:p>
    <w:p w:rsidR="00F3202F" w:rsidRPr="007428E2" w:rsidRDefault="00F3202F" w:rsidP="00AA0C0D">
      <w:pPr>
        <w:pStyle w:val="BulletArrows"/>
        <w:numPr>
          <w:ilvl w:val="0"/>
          <w:numId w:val="65"/>
        </w:numPr>
        <w:spacing w:after="80"/>
        <w:ind w:left="714" w:hanging="357"/>
        <w:rPr>
          <w:rFonts w:ascii="Arial" w:hAnsi="Arial"/>
          <w:color w:val="auto"/>
        </w:rPr>
      </w:pPr>
      <w:r w:rsidRPr="007428E2">
        <w:rPr>
          <w:rFonts w:ascii="Arial" w:hAnsi="Arial"/>
          <w:color w:val="auto"/>
        </w:rPr>
        <w:t>Air q</w:t>
      </w:r>
      <w:r w:rsidR="009A03FB" w:rsidRPr="007428E2">
        <w:rPr>
          <w:rFonts w:ascii="Arial" w:hAnsi="Arial"/>
          <w:color w:val="auto"/>
        </w:rPr>
        <w:t xml:space="preserve">uality standards are expressed as </w:t>
      </w:r>
      <w:r w:rsidRPr="007428E2">
        <w:rPr>
          <w:rFonts w:ascii="Arial" w:hAnsi="Arial"/>
          <w:color w:val="auto"/>
        </w:rPr>
        <w:t xml:space="preserve">a maximum </w:t>
      </w:r>
      <w:r w:rsidR="00B00B2C" w:rsidRPr="007428E2">
        <w:rPr>
          <w:rFonts w:ascii="Arial" w:hAnsi="Arial"/>
          <w:color w:val="auto"/>
        </w:rPr>
        <w:t xml:space="preserve">allowable </w:t>
      </w:r>
      <w:r w:rsidRPr="007428E2">
        <w:rPr>
          <w:rFonts w:ascii="Arial" w:hAnsi="Arial"/>
          <w:color w:val="auto"/>
        </w:rPr>
        <w:t>concentration for a given averaging period.</w:t>
      </w:r>
    </w:p>
    <w:p w:rsidR="00F3202F" w:rsidRPr="007428E2" w:rsidRDefault="009A03FB" w:rsidP="00AA0C0D">
      <w:pPr>
        <w:pStyle w:val="BulletArrows"/>
        <w:numPr>
          <w:ilvl w:val="0"/>
          <w:numId w:val="65"/>
        </w:numPr>
        <w:spacing w:after="80"/>
        <w:ind w:left="714" w:hanging="357"/>
        <w:rPr>
          <w:rFonts w:ascii="Arial" w:hAnsi="Arial"/>
          <w:color w:val="auto"/>
        </w:rPr>
      </w:pPr>
      <w:r w:rsidRPr="007428E2">
        <w:rPr>
          <w:rFonts w:ascii="Arial" w:hAnsi="Arial"/>
          <w:color w:val="auto"/>
        </w:rPr>
        <w:t xml:space="preserve">Air quality goals </w:t>
      </w:r>
      <w:r w:rsidR="00F3202F" w:rsidRPr="007428E2">
        <w:rPr>
          <w:rFonts w:ascii="Arial" w:hAnsi="Arial"/>
          <w:color w:val="auto"/>
        </w:rPr>
        <w:t>are expressed in terms of ‘maximum allowable exceedances’ to be achieved within 10 years</w:t>
      </w:r>
      <w:r w:rsidR="005E567C">
        <w:rPr>
          <w:rFonts w:ascii="Arial" w:hAnsi="Arial"/>
          <w:color w:val="auto"/>
        </w:rPr>
        <w:t>.</w:t>
      </w:r>
    </w:p>
    <w:p w:rsidR="00A017A8" w:rsidRPr="007428E2" w:rsidRDefault="00A017A8" w:rsidP="00AA0C0D">
      <w:pPr>
        <w:pStyle w:val="BulletArrows"/>
        <w:spacing w:before="120" w:after="200"/>
        <w:rPr>
          <w:rFonts w:ascii="Arial" w:hAnsi="Arial"/>
        </w:rPr>
      </w:pPr>
      <w:r w:rsidRPr="007428E2">
        <w:rPr>
          <w:rFonts w:ascii="Arial" w:hAnsi="Arial"/>
        </w:rPr>
        <w:t xml:space="preserve">The standards and goals of the </w:t>
      </w:r>
      <w:r w:rsidR="00EF24F8" w:rsidRPr="007428E2">
        <w:rPr>
          <w:rFonts w:ascii="Arial" w:hAnsi="Arial"/>
        </w:rPr>
        <w:t>AAQ NEPM</w:t>
      </w:r>
      <w:r w:rsidRPr="007428E2">
        <w:rPr>
          <w:rFonts w:ascii="Arial" w:hAnsi="Arial"/>
        </w:rPr>
        <w:t xml:space="preserve"> aim to guide policy formulation that allows for the adequate protection of health and wellbeing. Under the current </w:t>
      </w:r>
      <w:r w:rsidR="00EF24F8" w:rsidRPr="007428E2">
        <w:rPr>
          <w:rFonts w:ascii="Arial" w:hAnsi="Arial"/>
        </w:rPr>
        <w:t>AAQ NEPM</w:t>
      </w:r>
      <w:r w:rsidRPr="007428E2">
        <w:rPr>
          <w:rFonts w:ascii="Arial" w:hAnsi="Arial"/>
        </w:rPr>
        <w:t xml:space="preserve">, participating jurisdictions (Commonwealth, </w:t>
      </w:r>
      <w:r w:rsidR="00FD140A" w:rsidRPr="007428E2">
        <w:rPr>
          <w:rFonts w:ascii="Arial" w:hAnsi="Arial"/>
        </w:rPr>
        <w:t>s</w:t>
      </w:r>
      <w:r w:rsidRPr="007428E2">
        <w:rPr>
          <w:rFonts w:ascii="Arial" w:hAnsi="Arial"/>
        </w:rPr>
        <w:t>tate</w:t>
      </w:r>
      <w:r w:rsidR="009A03FB" w:rsidRPr="007428E2">
        <w:rPr>
          <w:rFonts w:ascii="Arial" w:hAnsi="Arial"/>
        </w:rPr>
        <w:t xml:space="preserve">s and </w:t>
      </w:r>
      <w:r w:rsidR="00FD140A" w:rsidRPr="007428E2">
        <w:rPr>
          <w:rFonts w:ascii="Arial" w:hAnsi="Arial"/>
        </w:rPr>
        <w:t>t</w:t>
      </w:r>
      <w:r w:rsidR="009A03FB" w:rsidRPr="007428E2">
        <w:rPr>
          <w:rFonts w:ascii="Arial" w:hAnsi="Arial"/>
        </w:rPr>
        <w:t>erritories</w:t>
      </w:r>
      <w:r w:rsidRPr="007428E2">
        <w:rPr>
          <w:rFonts w:ascii="Arial" w:hAnsi="Arial"/>
        </w:rPr>
        <w:t xml:space="preserve">) are required to undertake monitoring </w:t>
      </w:r>
      <w:r w:rsidR="006650E0" w:rsidRPr="007428E2">
        <w:rPr>
          <w:rFonts w:ascii="Arial" w:hAnsi="Arial"/>
        </w:rPr>
        <w:t xml:space="preserve">and public reporting of air pollution and generate </w:t>
      </w:r>
      <w:r w:rsidR="00857EAA" w:rsidRPr="007428E2">
        <w:rPr>
          <w:rFonts w:ascii="Arial" w:hAnsi="Arial"/>
        </w:rPr>
        <w:t>data that assist</w:t>
      </w:r>
      <w:r w:rsidRPr="007428E2">
        <w:rPr>
          <w:rFonts w:ascii="Arial" w:hAnsi="Arial"/>
        </w:rPr>
        <w:t xml:space="preserve"> jurisdictions in formulating air quality policies.</w:t>
      </w:r>
      <w:r w:rsidR="006650E0" w:rsidRPr="007428E2">
        <w:rPr>
          <w:rFonts w:ascii="Arial" w:hAnsi="Arial"/>
        </w:rPr>
        <w:t xml:space="preserve"> The AAQ NEPM does not prescribe sanctions for non-compliance with AAQ standards or goals and t</w:t>
      </w:r>
      <w:r w:rsidRPr="007428E2">
        <w:rPr>
          <w:rFonts w:ascii="Arial" w:hAnsi="Arial"/>
        </w:rPr>
        <w:t xml:space="preserve">he </w:t>
      </w:r>
      <w:r w:rsidR="00EF24F8" w:rsidRPr="007428E2">
        <w:rPr>
          <w:rFonts w:ascii="Arial" w:hAnsi="Arial"/>
        </w:rPr>
        <w:t>AAQ NEPM</w:t>
      </w:r>
      <w:r w:rsidRPr="007428E2">
        <w:rPr>
          <w:rFonts w:ascii="Arial" w:hAnsi="Arial"/>
        </w:rPr>
        <w:t xml:space="preserve"> itself does not compel or direct </w:t>
      </w:r>
      <w:r w:rsidR="00857EAA" w:rsidRPr="007428E2">
        <w:rPr>
          <w:rFonts w:ascii="Arial" w:hAnsi="Arial"/>
        </w:rPr>
        <w:t xml:space="preserve">air </w:t>
      </w:r>
      <w:r w:rsidRPr="007428E2">
        <w:rPr>
          <w:rFonts w:ascii="Arial" w:hAnsi="Arial"/>
        </w:rPr>
        <w:t>pollution control measures.</w:t>
      </w:r>
    </w:p>
    <w:p w:rsidR="00A017A8" w:rsidRPr="007428E2" w:rsidRDefault="00F3202F" w:rsidP="00A017A8">
      <w:pPr>
        <w:spacing w:after="300"/>
        <w:rPr>
          <w:rFonts w:ascii="Arial" w:hAnsi="Arial" w:cs="Arial"/>
        </w:rPr>
      </w:pPr>
      <w:r w:rsidRPr="007428E2">
        <w:rPr>
          <w:rFonts w:ascii="Arial" w:hAnsi="Arial" w:cs="Arial"/>
        </w:rPr>
        <w:t>The specific standards and goals that are set out for short-term (24-hour average) and long-term (annual average) PM</w:t>
      </w:r>
      <w:r w:rsidRPr="007428E2">
        <w:rPr>
          <w:rFonts w:ascii="Arial" w:hAnsi="Arial" w:cs="Arial"/>
          <w:vertAlign w:val="subscript"/>
        </w:rPr>
        <w:t>10</w:t>
      </w:r>
      <w:r w:rsidRPr="007428E2">
        <w:rPr>
          <w:rFonts w:ascii="Arial" w:hAnsi="Arial" w:cs="Arial"/>
        </w:rPr>
        <w:t xml:space="preserve"> and PM</w:t>
      </w:r>
      <w:r w:rsidRPr="007428E2">
        <w:rPr>
          <w:rFonts w:ascii="Arial" w:hAnsi="Arial" w:cs="Arial"/>
          <w:vertAlign w:val="subscript"/>
        </w:rPr>
        <w:t>2.5</w:t>
      </w:r>
      <w:r w:rsidRPr="007428E2">
        <w:rPr>
          <w:rFonts w:ascii="Arial" w:hAnsi="Arial" w:cs="Arial"/>
        </w:rPr>
        <w:t xml:space="preserve"> concentrations in the </w:t>
      </w:r>
      <w:r w:rsidR="00EF24F8" w:rsidRPr="007428E2">
        <w:rPr>
          <w:rFonts w:ascii="Arial" w:hAnsi="Arial" w:cs="Arial"/>
        </w:rPr>
        <w:t>AAQ NEPM</w:t>
      </w:r>
      <w:r w:rsidRPr="007428E2">
        <w:rPr>
          <w:rFonts w:ascii="Arial" w:hAnsi="Arial" w:cs="Arial"/>
        </w:rPr>
        <w:t xml:space="preserve"> are summarised in </w:t>
      </w:r>
      <w:r w:rsidRPr="007428E2">
        <w:rPr>
          <w:rFonts w:ascii="Arial" w:hAnsi="Arial" w:cs="Arial"/>
          <w:b/>
        </w:rPr>
        <w:t>Table ES</w:t>
      </w:r>
      <w:r w:rsidR="00953222">
        <w:rPr>
          <w:rFonts w:ascii="Arial" w:hAnsi="Arial" w:cs="Arial"/>
          <w:b/>
        </w:rPr>
        <w:t>2</w:t>
      </w:r>
      <w:r w:rsidRPr="007428E2">
        <w:rPr>
          <w:rFonts w:ascii="Arial" w:hAnsi="Arial" w:cs="Arial"/>
        </w:rPr>
        <w:t xml:space="preserve">. </w:t>
      </w:r>
      <w:r w:rsidR="00946A18" w:rsidRPr="007428E2">
        <w:rPr>
          <w:rFonts w:ascii="Arial" w:hAnsi="Arial" w:cs="Arial"/>
          <w:lang w:eastAsia="en-US"/>
        </w:rPr>
        <w:t>The standard for PM</w:t>
      </w:r>
      <w:r w:rsidR="00946A18" w:rsidRPr="007428E2">
        <w:rPr>
          <w:rFonts w:ascii="Arial" w:hAnsi="Arial" w:cs="Arial"/>
          <w:vertAlign w:val="subscript"/>
          <w:lang w:eastAsia="en-US"/>
        </w:rPr>
        <w:t>10</w:t>
      </w:r>
      <w:r w:rsidR="002F41A6" w:rsidRPr="007428E2">
        <w:rPr>
          <w:rFonts w:ascii="Arial" w:hAnsi="Arial" w:cs="Arial"/>
          <w:lang w:eastAsia="en-US"/>
        </w:rPr>
        <w:t xml:space="preserve"> </w:t>
      </w:r>
      <w:r w:rsidR="006650E0" w:rsidRPr="007428E2">
        <w:rPr>
          <w:rFonts w:ascii="Arial" w:hAnsi="Arial" w:cs="Arial"/>
          <w:lang w:eastAsia="en-US"/>
        </w:rPr>
        <w:t xml:space="preserve">reflects </w:t>
      </w:r>
      <w:r w:rsidR="002F41A6" w:rsidRPr="007428E2">
        <w:rPr>
          <w:rFonts w:ascii="Arial" w:hAnsi="Arial" w:cs="Arial"/>
          <w:lang w:eastAsia="en-US"/>
        </w:rPr>
        <w:t xml:space="preserve">the </w:t>
      </w:r>
      <w:r w:rsidR="009A03FB" w:rsidRPr="007428E2">
        <w:rPr>
          <w:rFonts w:ascii="Arial" w:hAnsi="Arial" w:cs="Arial"/>
          <w:lang w:eastAsia="en-US"/>
        </w:rPr>
        <w:t xml:space="preserve">health-based </w:t>
      </w:r>
      <w:r w:rsidR="00A017A8" w:rsidRPr="007428E2">
        <w:rPr>
          <w:rFonts w:ascii="Arial" w:hAnsi="Arial" w:cs="Arial"/>
          <w:lang w:eastAsia="en-US"/>
        </w:rPr>
        <w:t xml:space="preserve">evidence that was available </w:t>
      </w:r>
      <w:r w:rsidR="006650E0" w:rsidRPr="007428E2">
        <w:rPr>
          <w:rFonts w:ascii="Arial" w:hAnsi="Arial" w:cs="Arial"/>
          <w:lang w:eastAsia="en-US"/>
        </w:rPr>
        <w:t xml:space="preserve">that </w:t>
      </w:r>
      <w:r w:rsidR="00623EE8" w:rsidRPr="007428E2">
        <w:rPr>
          <w:rFonts w:ascii="Arial" w:hAnsi="Arial" w:cs="Arial"/>
          <w:lang w:eastAsia="en-US"/>
        </w:rPr>
        <w:t>inform</w:t>
      </w:r>
      <w:r w:rsidR="006650E0" w:rsidRPr="007428E2">
        <w:rPr>
          <w:rFonts w:ascii="Arial" w:hAnsi="Arial" w:cs="Arial"/>
          <w:lang w:eastAsia="en-US"/>
        </w:rPr>
        <w:t>ed</w:t>
      </w:r>
      <w:r w:rsidR="007C4134" w:rsidRPr="007428E2">
        <w:rPr>
          <w:rFonts w:ascii="Arial" w:hAnsi="Arial" w:cs="Arial"/>
          <w:lang w:eastAsia="en-US"/>
        </w:rPr>
        <w:t xml:space="preserve"> the making of the</w:t>
      </w:r>
      <w:r w:rsidR="004822A5" w:rsidRPr="007428E2">
        <w:rPr>
          <w:rFonts w:ascii="Arial" w:hAnsi="Arial" w:cs="Arial"/>
          <w:lang w:eastAsia="en-US"/>
        </w:rPr>
        <w:t xml:space="preserve"> </w:t>
      </w:r>
      <w:r w:rsidR="00EF24F8" w:rsidRPr="007428E2">
        <w:rPr>
          <w:rFonts w:ascii="Arial" w:hAnsi="Arial" w:cs="Arial"/>
          <w:lang w:eastAsia="en-US"/>
        </w:rPr>
        <w:t>AAQ NEPM</w:t>
      </w:r>
      <w:r w:rsidR="005816DD" w:rsidRPr="007428E2">
        <w:rPr>
          <w:rFonts w:ascii="Arial" w:hAnsi="Arial" w:cs="Arial"/>
          <w:lang w:eastAsia="en-US"/>
        </w:rPr>
        <w:t xml:space="preserve"> </w:t>
      </w:r>
      <w:r w:rsidR="005816DD" w:rsidRPr="007428E2">
        <w:rPr>
          <w:rFonts w:ascii="Arial" w:hAnsi="Arial" w:cs="Arial"/>
          <w:b/>
          <w:lang w:eastAsia="en-US"/>
        </w:rPr>
        <w:t>(NEPC 1998)</w:t>
      </w:r>
      <w:r w:rsidR="00894DDE" w:rsidRPr="007428E2">
        <w:rPr>
          <w:rFonts w:ascii="Arial" w:hAnsi="Arial" w:cs="Arial"/>
        </w:rPr>
        <w:t>.</w:t>
      </w:r>
      <w:r w:rsidR="00A017A8" w:rsidRPr="007428E2">
        <w:rPr>
          <w:rFonts w:ascii="Arial" w:hAnsi="Arial" w:cs="Arial"/>
        </w:rPr>
        <w:t xml:space="preserve"> The advisory standards for PM</w:t>
      </w:r>
      <w:r w:rsidR="00A017A8" w:rsidRPr="007428E2">
        <w:rPr>
          <w:rFonts w:ascii="Arial" w:hAnsi="Arial" w:cs="Arial"/>
          <w:vertAlign w:val="subscript"/>
        </w:rPr>
        <w:t>2.5</w:t>
      </w:r>
      <w:r w:rsidR="00A017A8" w:rsidRPr="007428E2">
        <w:rPr>
          <w:rFonts w:ascii="Arial" w:hAnsi="Arial" w:cs="Arial"/>
        </w:rPr>
        <w:t xml:space="preserve"> were </w:t>
      </w:r>
      <w:r w:rsidR="005816DD" w:rsidRPr="007428E2">
        <w:rPr>
          <w:rFonts w:ascii="Arial" w:hAnsi="Arial" w:cs="Arial"/>
        </w:rPr>
        <w:t xml:space="preserve">also </w:t>
      </w:r>
      <w:r w:rsidR="00A017A8" w:rsidRPr="007428E2">
        <w:rPr>
          <w:rFonts w:ascii="Arial" w:hAnsi="Arial" w:cs="Arial"/>
        </w:rPr>
        <w:t xml:space="preserve">underpinned by </w:t>
      </w:r>
      <w:r w:rsidR="009A03FB" w:rsidRPr="007428E2">
        <w:rPr>
          <w:rFonts w:ascii="Arial" w:hAnsi="Arial" w:cs="Arial"/>
        </w:rPr>
        <w:t xml:space="preserve">the available health evidence, including </w:t>
      </w:r>
      <w:r w:rsidR="00623EE8" w:rsidRPr="007428E2">
        <w:rPr>
          <w:rFonts w:ascii="Arial" w:hAnsi="Arial" w:cs="Arial"/>
        </w:rPr>
        <w:t xml:space="preserve">a </w:t>
      </w:r>
      <w:r w:rsidR="00BC1A07" w:rsidRPr="007428E2">
        <w:rPr>
          <w:rFonts w:ascii="Arial" w:hAnsi="Arial" w:cs="Arial"/>
        </w:rPr>
        <w:t xml:space="preserve">risk assessment based on </w:t>
      </w:r>
      <w:r w:rsidR="00A017A8" w:rsidRPr="007428E2">
        <w:rPr>
          <w:rFonts w:ascii="Arial" w:hAnsi="Arial" w:cs="Arial"/>
        </w:rPr>
        <w:t>monitor</w:t>
      </w:r>
      <w:r w:rsidR="002F41A6" w:rsidRPr="007428E2">
        <w:rPr>
          <w:rFonts w:ascii="Arial" w:hAnsi="Arial" w:cs="Arial"/>
        </w:rPr>
        <w:t xml:space="preserve">ing </w:t>
      </w:r>
      <w:r w:rsidR="00A017A8" w:rsidRPr="007428E2">
        <w:rPr>
          <w:rFonts w:ascii="Arial" w:hAnsi="Arial" w:cs="Arial"/>
        </w:rPr>
        <w:t>in four cities over a three-year period</w:t>
      </w:r>
      <w:r w:rsidR="005816DD" w:rsidRPr="007428E2">
        <w:rPr>
          <w:rFonts w:ascii="Arial" w:hAnsi="Arial" w:cs="Arial"/>
        </w:rPr>
        <w:t xml:space="preserve"> </w:t>
      </w:r>
      <w:r w:rsidR="005816DD" w:rsidRPr="007428E2">
        <w:rPr>
          <w:rFonts w:ascii="Arial" w:hAnsi="Arial" w:cs="Arial"/>
          <w:b/>
        </w:rPr>
        <w:t>(NEPC 2002)</w:t>
      </w:r>
      <w:r w:rsidR="00A017A8" w:rsidRPr="007428E2">
        <w:rPr>
          <w:rFonts w:ascii="Arial" w:hAnsi="Arial" w:cs="Arial"/>
        </w:rPr>
        <w:t>.</w:t>
      </w:r>
    </w:p>
    <w:p w:rsidR="00F3202F" w:rsidRPr="007428E2" w:rsidRDefault="00F3202F" w:rsidP="00F3202F">
      <w:pPr>
        <w:pStyle w:val="CaptionPB"/>
        <w:rPr>
          <w:rFonts w:ascii="Arial" w:hAnsi="Arial" w:cs="Arial"/>
        </w:rPr>
      </w:pPr>
      <w:r w:rsidRPr="007428E2">
        <w:rPr>
          <w:rFonts w:ascii="Arial" w:hAnsi="Arial" w:cs="Arial"/>
        </w:rPr>
        <w:t>Table ES</w:t>
      </w:r>
      <w:r w:rsidR="00953222">
        <w:rPr>
          <w:rFonts w:ascii="Arial" w:hAnsi="Arial" w:cs="Arial"/>
        </w:rPr>
        <w:t>2</w:t>
      </w:r>
      <w:r w:rsidRPr="007428E2">
        <w:rPr>
          <w:rFonts w:ascii="Arial" w:hAnsi="Arial" w:cs="Arial"/>
        </w:rPr>
        <w:t>: Air quality standards and goals for PM</w:t>
      </w:r>
      <w:r w:rsidRPr="007428E2">
        <w:rPr>
          <w:rFonts w:ascii="Arial" w:hAnsi="Arial" w:cs="Arial"/>
          <w:vertAlign w:val="subscript"/>
        </w:rPr>
        <w:t>10</w:t>
      </w:r>
      <w:r w:rsidRPr="007428E2">
        <w:rPr>
          <w:rFonts w:ascii="Arial" w:hAnsi="Arial" w:cs="Arial"/>
        </w:rPr>
        <w:t xml:space="preserve"> and PM</w:t>
      </w:r>
      <w:r w:rsidRPr="007428E2">
        <w:rPr>
          <w:rFonts w:ascii="Arial" w:hAnsi="Arial" w:cs="Arial"/>
          <w:vertAlign w:val="subscript"/>
        </w:rPr>
        <w:t>2.5</w:t>
      </w:r>
      <w:r w:rsidRPr="007428E2">
        <w:rPr>
          <w:rFonts w:ascii="Arial" w:hAnsi="Arial" w:cs="Arial"/>
        </w:rPr>
        <w:t xml:space="preserve"> in </w:t>
      </w:r>
      <w:r w:rsidR="00FD140A" w:rsidRPr="007428E2">
        <w:rPr>
          <w:rFonts w:ascii="Arial" w:hAnsi="Arial" w:cs="Arial"/>
        </w:rPr>
        <w:t xml:space="preserve">the </w:t>
      </w:r>
      <w:r w:rsidR="00EF24F8" w:rsidRPr="007428E2">
        <w:rPr>
          <w:rFonts w:ascii="Arial" w:hAnsi="Arial" w:cs="Arial"/>
        </w:rPr>
        <w:t>AAQ NEPM</w:t>
      </w:r>
    </w:p>
    <w:tbl>
      <w:tblPr>
        <w:tblW w:w="4427"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858"/>
        <w:gridCol w:w="971"/>
        <w:gridCol w:w="1301"/>
        <w:gridCol w:w="5053"/>
      </w:tblGrid>
      <w:tr w:rsidR="00F3202F" w:rsidRPr="007428E2" w:rsidTr="00C04365">
        <w:trPr>
          <w:trHeight w:hRule="exact" w:val="399"/>
          <w:jc w:val="center"/>
        </w:trPr>
        <w:tc>
          <w:tcPr>
            <w:tcW w:w="511" w:type="pct"/>
            <w:vMerge w:val="restart"/>
            <w:shd w:val="clear" w:color="auto" w:fill="0070C0"/>
            <w:vAlign w:val="center"/>
          </w:tcPr>
          <w:p w:rsidR="00F3202F" w:rsidRPr="007428E2" w:rsidRDefault="00F3202F" w:rsidP="00C04365">
            <w:pPr>
              <w:pStyle w:val="TableContentHeading"/>
              <w:keepNext/>
              <w:jc w:val="center"/>
              <w:rPr>
                <w:rFonts w:ascii="Arial" w:hAnsi="Arial" w:cs="Arial"/>
                <w:bCs/>
                <w:sz w:val="15"/>
                <w:szCs w:val="15"/>
              </w:rPr>
            </w:pPr>
            <w:r w:rsidRPr="007428E2">
              <w:rPr>
                <w:rFonts w:ascii="Arial" w:hAnsi="Arial" w:cs="Arial"/>
                <w:bCs/>
                <w:sz w:val="15"/>
                <w:szCs w:val="15"/>
              </w:rPr>
              <w:t>Pollutant</w:t>
            </w:r>
          </w:p>
        </w:tc>
        <w:tc>
          <w:tcPr>
            <w:tcW w:w="1397" w:type="pct"/>
            <w:gridSpan w:val="2"/>
            <w:shd w:val="clear" w:color="auto" w:fill="0070C0"/>
            <w:vAlign w:val="center"/>
          </w:tcPr>
          <w:p w:rsidR="00F3202F" w:rsidRPr="007428E2" w:rsidRDefault="00F3202F" w:rsidP="00C04365">
            <w:pPr>
              <w:pStyle w:val="TableContentHeading"/>
              <w:keepNext/>
              <w:jc w:val="center"/>
              <w:rPr>
                <w:rFonts w:ascii="Arial" w:hAnsi="Arial" w:cs="Arial"/>
                <w:bCs/>
                <w:sz w:val="15"/>
                <w:szCs w:val="15"/>
              </w:rPr>
            </w:pPr>
            <w:r w:rsidRPr="007428E2">
              <w:rPr>
                <w:rFonts w:ascii="Arial" w:hAnsi="Arial" w:cs="Arial"/>
                <w:bCs/>
                <w:sz w:val="15"/>
                <w:szCs w:val="15"/>
              </w:rPr>
              <w:t>Standard</w:t>
            </w:r>
          </w:p>
        </w:tc>
        <w:tc>
          <w:tcPr>
            <w:tcW w:w="3092" w:type="pct"/>
            <w:vMerge w:val="restart"/>
            <w:shd w:val="clear" w:color="auto" w:fill="0070C0"/>
            <w:vAlign w:val="center"/>
          </w:tcPr>
          <w:p w:rsidR="00F3202F" w:rsidRPr="007428E2" w:rsidRDefault="00F3202F" w:rsidP="00C04365">
            <w:pPr>
              <w:pStyle w:val="TableContentHeading"/>
              <w:keepNext/>
              <w:jc w:val="center"/>
              <w:rPr>
                <w:rFonts w:ascii="Arial" w:hAnsi="Arial" w:cs="Arial"/>
                <w:bCs/>
                <w:sz w:val="15"/>
                <w:szCs w:val="15"/>
              </w:rPr>
            </w:pPr>
            <w:r w:rsidRPr="007428E2">
              <w:rPr>
                <w:rFonts w:ascii="Arial" w:hAnsi="Arial" w:cs="Arial"/>
                <w:bCs/>
                <w:sz w:val="15"/>
                <w:szCs w:val="15"/>
              </w:rPr>
              <w:t>Goal</w:t>
            </w:r>
          </w:p>
          <w:p w:rsidR="00F3202F" w:rsidRPr="007428E2" w:rsidRDefault="00F3202F" w:rsidP="00C04365">
            <w:pPr>
              <w:pStyle w:val="TableContentHeading"/>
              <w:keepNext/>
              <w:jc w:val="center"/>
              <w:rPr>
                <w:rFonts w:ascii="Arial" w:hAnsi="Arial" w:cs="Arial"/>
                <w:bCs/>
                <w:sz w:val="15"/>
                <w:szCs w:val="15"/>
              </w:rPr>
            </w:pPr>
            <w:r w:rsidRPr="007428E2">
              <w:rPr>
                <w:rFonts w:ascii="Arial" w:hAnsi="Arial" w:cs="Arial"/>
                <w:bCs/>
                <w:sz w:val="15"/>
                <w:szCs w:val="15"/>
              </w:rPr>
              <w:t>(maximum allowable exceedances within 10 years)</w:t>
            </w:r>
          </w:p>
        </w:tc>
      </w:tr>
      <w:tr w:rsidR="00F3202F" w:rsidRPr="007428E2" w:rsidTr="00C04365">
        <w:trPr>
          <w:trHeight w:hRule="exact" w:val="454"/>
          <w:jc w:val="center"/>
        </w:trPr>
        <w:tc>
          <w:tcPr>
            <w:tcW w:w="511" w:type="pct"/>
            <w:vMerge/>
            <w:shd w:val="clear" w:color="auto" w:fill="0070C0"/>
            <w:vAlign w:val="center"/>
          </w:tcPr>
          <w:p w:rsidR="00F3202F" w:rsidRPr="007428E2" w:rsidRDefault="00F3202F" w:rsidP="00C04365">
            <w:pPr>
              <w:pStyle w:val="TableContentHeading"/>
              <w:keepNext/>
              <w:jc w:val="center"/>
              <w:rPr>
                <w:rFonts w:ascii="Arial" w:hAnsi="Arial" w:cs="Arial"/>
                <w:bCs/>
                <w:sz w:val="15"/>
                <w:szCs w:val="15"/>
              </w:rPr>
            </w:pPr>
          </w:p>
        </w:tc>
        <w:tc>
          <w:tcPr>
            <w:tcW w:w="598" w:type="pct"/>
            <w:shd w:val="clear" w:color="auto" w:fill="0070C0"/>
            <w:vAlign w:val="center"/>
          </w:tcPr>
          <w:p w:rsidR="00F3202F" w:rsidRPr="007428E2" w:rsidRDefault="00F3202F" w:rsidP="00C04365">
            <w:pPr>
              <w:pStyle w:val="TableContentHeading"/>
              <w:keepNext/>
              <w:jc w:val="center"/>
              <w:rPr>
                <w:rFonts w:ascii="Arial" w:hAnsi="Arial" w:cs="Arial"/>
                <w:bCs/>
                <w:sz w:val="15"/>
                <w:szCs w:val="15"/>
              </w:rPr>
            </w:pPr>
            <w:r w:rsidRPr="007428E2">
              <w:rPr>
                <w:rFonts w:ascii="Arial" w:hAnsi="Arial" w:cs="Arial"/>
                <w:bCs/>
                <w:sz w:val="15"/>
                <w:szCs w:val="15"/>
              </w:rPr>
              <w:t>Averaging period</w:t>
            </w:r>
          </w:p>
        </w:tc>
        <w:tc>
          <w:tcPr>
            <w:tcW w:w="799" w:type="pct"/>
            <w:shd w:val="clear" w:color="auto" w:fill="0070C0"/>
            <w:vAlign w:val="center"/>
          </w:tcPr>
          <w:p w:rsidR="00F3202F" w:rsidRPr="007428E2" w:rsidRDefault="00F3202F" w:rsidP="00C04365">
            <w:pPr>
              <w:pStyle w:val="TableContentHeading"/>
              <w:keepNext/>
              <w:jc w:val="center"/>
              <w:rPr>
                <w:rFonts w:ascii="Arial" w:hAnsi="Arial" w:cs="Arial"/>
                <w:bCs/>
                <w:sz w:val="15"/>
                <w:szCs w:val="15"/>
              </w:rPr>
            </w:pPr>
            <w:r w:rsidRPr="007428E2">
              <w:rPr>
                <w:rFonts w:ascii="Arial" w:hAnsi="Arial" w:cs="Arial"/>
                <w:bCs/>
                <w:sz w:val="15"/>
                <w:szCs w:val="15"/>
              </w:rPr>
              <w:t>Maximum concentration</w:t>
            </w:r>
          </w:p>
        </w:tc>
        <w:tc>
          <w:tcPr>
            <w:tcW w:w="3092" w:type="pct"/>
            <w:vMerge/>
            <w:shd w:val="clear" w:color="auto" w:fill="0070C0"/>
            <w:vAlign w:val="center"/>
          </w:tcPr>
          <w:p w:rsidR="00F3202F" w:rsidRPr="007428E2" w:rsidRDefault="00F3202F" w:rsidP="00C04365">
            <w:pPr>
              <w:pStyle w:val="TableContentHeading"/>
              <w:keepNext/>
              <w:jc w:val="center"/>
              <w:rPr>
                <w:rFonts w:ascii="Arial" w:hAnsi="Arial" w:cs="Arial"/>
                <w:bCs/>
                <w:sz w:val="15"/>
                <w:szCs w:val="15"/>
              </w:rPr>
            </w:pPr>
          </w:p>
        </w:tc>
      </w:tr>
      <w:tr w:rsidR="00F3202F" w:rsidRPr="007428E2" w:rsidTr="00C04365">
        <w:trPr>
          <w:jc w:val="center"/>
        </w:trPr>
        <w:tc>
          <w:tcPr>
            <w:tcW w:w="511" w:type="pct"/>
            <w:shd w:val="clear" w:color="auto" w:fill="auto"/>
          </w:tcPr>
          <w:p w:rsidR="00F3202F" w:rsidRPr="007428E2" w:rsidRDefault="00F3202F" w:rsidP="00C04365">
            <w:pPr>
              <w:pStyle w:val="TableContentText"/>
              <w:keepNext/>
              <w:spacing w:after="80"/>
              <w:rPr>
                <w:rFonts w:ascii="Arial" w:hAnsi="Arial" w:cs="Arial"/>
                <w:bCs/>
                <w:color w:val="auto"/>
                <w:sz w:val="15"/>
                <w:szCs w:val="15"/>
                <w:vertAlign w:val="subscript"/>
              </w:rPr>
            </w:pPr>
            <w:r w:rsidRPr="007428E2">
              <w:rPr>
                <w:rFonts w:ascii="Arial" w:hAnsi="Arial" w:cs="Arial"/>
                <w:bCs/>
                <w:color w:val="auto"/>
                <w:sz w:val="15"/>
                <w:szCs w:val="15"/>
              </w:rPr>
              <w:t>PM</w:t>
            </w:r>
            <w:r w:rsidRPr="007428E2">
              <w:rPr>
                <w:rFonts w:ascii="Arial" w:hAnsi="Arial" w:cs="Arial"/>
                <w:bCs/>
                <w:color w:val="auto"/>
                <w:sz w:val="15"/>
                <w:szCs w:val="15"/>
                <w:vertAlign w:val="subscript"/>
              </w:rPr>
              <w:t>10</w:t>
            </w:r>
          </w:p>
        </w:tc>
        <w:tc>
          <w:tcPr>
            <w:tcW w:w="598" w:type="pct"/>
            <w:shd w:val="clear" w:color="auto" w:fill="auto"/>
          </w:tcPr>
          <w:p w:rsidR="00F3202F" w:rsidRPr="007428E2" w:rsidRDefault="00F3202F" w:rsidP="00C04365">
            <w:pPr>
              <w:pStyle w:val="TableContentText"/>
              <w:keepNext/>
              <w:spacing w:after="80"/>
              <w:jc w:val="center"/>
              <w:rPr>
                <w:rFonts w:ascii="Arial" w:hAnsi="Arial" w:cs="Arial"/>
                <w:color w:val="auto"/>
                <w:sz w:val="15"/>
                <w:szCs w:val="15"/>
              </w:rPr>
            </w:pPr>
            <w:r w:rsidRPr="007428E2">
              <w:rPr>
                <w:rFonts w:ascii="Arial" w:hAnsi="Arial" w:cs="Arial"/>
                <w:color w:val="auto"/>
                <w:sz w:val="15"/>
                <w:szCs w:val="15"/>
              </w:rPr>
              <w:t>24 hours</w:t>
            </w:r>
          </w:p>
        </w:tc>
        <w:tc>
          <w:tcPr>
            <w:tcW w:w="799" w:type="pct"/>
            <w:shd w:val="clear" w:color="auto" w:fill="auto"/>
          </w:tcPr>
          <w:p w:rsidR="00F3202F" w:rsidRPr="007428E2" w:rsidRDefault="00F3202F" w:rsidP="00C04365">
            <w:pPr>
              <w:pStyle w:val="TableContentText"/>
              <w:keepNext/>
              <w:spacing w:after="80"/>
              <w:jc w:val="center"/>
              <w:rPr>
                <w:rFonts w:ascii="Arial" w:hAnsi="Arial" w:cs="Arial"/>
                <w:color w:val="auto"/>
                <w:sz w:val="15"/>
                <w:szCs w:val="15"/>
              </w:rPr>
            </w:pPr>
            <w:r w:rsidRPr="007428E2">
              <w:rPr>
                <w:rFonts w:ascii="Arial" w:hAnsi="Arial" w:cs="Arial"/>
                <w:color w:val="auto"/>
                <w:sz w:val="15"/>
                <w:szCs w:val="15"/>
              </w:rPr>
              <w:t>50 µg/m³</w:t>
            </w:r>
          </w:p>
        </w:tc>
        <w:tc>
          <w:tcPr>
            <w:tcW w:w="3092" w:type="pct"/>
            <w:shd w:val="clear" w:color="auto" w:fill="auto"/>
          </w:tcPr>
          <w:p w:rsidR="00F3202F" w:rsidRPr="007428E2" w:rsidRDefault="00F3202F" w:rsidP="00C04365">
            <w:pPr>
              <w:pStyle w:val="TableContentText"/>
              <w:keepNext/>
              <w:spacing w:after="80"/>
              <w:jc w:val="center"/>
              <w:rPr>
                <w:rFonts w:ascii="Arial" w:hAnsi="Arial" w:cs="Arial"/>
                <w:color w:val="auto"/>
                <w:sz w:val="15"/>
                <w:szCs w:val="15"/>
              </w:rPr>
            </w:pPr>
            <w:r w:rsidRPr="007428E2">
              <w:rPr>
                <w:rFonts w:ascii="Arial" w:hAnsi="Arial" w:cs="Arial"/>
                <w:color w:val="auto"/>
                <w:sz w:val="15"/>
                <w:szCs w:val="15"/>
              </w:rPr>
              <w:t>5 days per year</w:t>
            </w:r>
          </w:p>
        </w:tc>
      </w:tr>
      <w:tr w:rsidR="00F3202F" w:rsidRPr="007428E2" w:rsidTr="007B7983">
        <w:trPr>
          <w:trHeight w:hRule="exact" w:val="652"/>
          <w:jc w:val="center"/>
        </w:trPr>
        <w:tc>
          <w:tcPr>
            <w:tcW w:w="511" w:type="pct"/>
            <w:shd w:val="clear" w:color="auto" w:fill="F2F2F2"/>
          </w:tcPr>
          <w:p w:rsidR="00F3202F" w:rsidRPr="007428E2" w:rsidRDefault="00F3202F" w:rsidP="00C04365">
            <w:pPr>
              <w:pStyle w:val="TableContentText"/>
              <w:keepNext/>
              <w:spacing w:after="80"/>
              <w:rPr>
                <w:rFonts w:ascii="Arial" w:hAnsi="Arial" w:cs="Arial"/>
                <w:bCs/>
                <w:color w:val="auto"/>
                <w:sz w:val="15"/>
                <w:szCs w:val="15"/>
                <w:vertAlign w:val="superscript"/>
              </w:rPr>
            </w:pPr>
            <w:r w:rsidRPr="007428E2">
              <w:rPr>
                <w:rFonts w:ascii="Arial" w:hAnsi="Arial" w:cs="Arial"/>
                <w:bCs/>
                <w:color w:val="auto"/>
                <w:sz w:val="15"/>
                <w:szCs w:val="15"/>
              </w:rPr>
              <w:t>PM</w:t>
            </w:r>
            <w:r w:rsidRPr="007428E2">
              <w:rPr>
                <w:rFonts w:ascii="Arial" w:hAnsi="Arial" w:cs="Arial"/>
                <w:bCs/>
                <w:color w:val="auto"/>
                <w:sz w:val="15"/>
                <w:szCs w:val="15"/>
                <w:vertAlign w:val="subscript"/>
              </w:rPr>
              <w:t>2.5</w:t>
            </w:r>
            <w:r w:rsidRPr="007428E2">
              <w:rPr>
                <w:rFonts w:ascii="Arial" w:hAnsi="Arial" w:cs="Arial"/>
                <w:bCs/>
                <w:color w:val="auto"/>
                <w:sz w:val="15"/>
                <w:szCs w:val="15"/>
                <w:vertAlign w:val="superscript"/>
              </w:rPr>
              <w:t>(a)</w:t>
            </w:r>
          </w:p>
        </w:tc>
        <w:tc>
          <w:tcPr>
            <w:tcW w:w="598" w:type="pct"/>
            <w:shd w:val="clear" w:color="auto" w:fill="F2F2F2"/>
          </w:tcPr>
          <w:p w:rsidR="00F3202F" w:rsidRPr="007428E2" w:rsidRDefault="00F3202F" w:rsidP="00C04365">
            <w:pPr>
              <w:pStyle w:val="TableContentText"/>
              <w:keepNext/>
              <w:spacing w:after="80"/>
              <w:jc w:val="center"/>
              <w:rPr>
                <w:rFonts w:ascii="Arial" w:hAnsi="Arial" w:cs="Arial"/>
                <w:color w:val="auto"/>
                <w:sz w:val="15"/>
                <w:szCs w:val="15"/>
              </w:rPr>
            </w:pPr>
            <w:r w:rsidRPr="007428E2">
              <w:rPr>
                <w:rFonts w:ascii="Arial" w:hAnsi="Arial" w:cs="Arial"/>
                <w:color w:val="auto"/>
                <w:sz w:val="15"/>
                <w:szCs w:val="15"/>
              </w:rPr>
              <w:t>24 hours</w:t>
            </w:r>
          </w:p>
          <w:p w:rsidR="00F3202F" w:rsidRPr="007428E2" w:rsidRDefault="00F3202F" w:rsidP="00C04365">
            <w:pPr>
              <w:pStyle w:val="TableContentText"/>
              <w:keepNext/>
              <w:spacing w:after="80"/>
              <w:jc w:val="center"/>
              <w:rPr>
                <w:rFonts w:ascii="Arial" w:hAnsi="Arial" w:cs="Arial"/>
                <w:color w:val="auto"/>
                <w:sz w:val="15"/>
                <w:szCs w:val="15"/>
              </w:rPr>
            </w:pPr>
            <w:r w:rsidRPr="007428E2">
              <w:rPr>
                <w:rFonts w:ascii="Arial" w:hAnsi="Arial" w:cs="Arial"/>
                <w:color w:val="auto"/>
                <w:sz w:val="15"/>
                <w:szCs w:val="15"/>
              </w:rPr>
              <w:t>1 year</w:t>
            </w:r>
          </w:p>
        </w:tc>
        <w:tc>
          <w:tcPr>
            <w:tcW w:w="799" w:type="pct"/>
            <w:shd w:val="clear" w:color="auto" w:fill="F2F2F2"/>
          </w:tcPr>
          <w:p w:rsidR="00F3202F" w:rsidRPr="007428E2" w:rsidRDefault="00F3202F" w:rsidP="00C04365">
            <w:pPr>
              <w:pStyle w:val="TableContentText"/>
              <w:keepNext/>
              <w:spacing w:after="80"/>
              <w:jc w:val="center"/>
              <w:rPr>
                <w:rFonts w:ascii="Arial" w:hAnsi="Arial" w:cs="Arial"/>
                <w:color w:val="auto"/>
                <w:sz w:val="15"/>
                <w:szCs w:val="15"/>
              </w:rPr>
            </w:pPr>
            <w:r w:rsidRPr="007428E2">
              <w:rPr>
                <w:rFonts w:ascii="Arial" w:hAnsi="Arial" w:cs="Arial"/>
                <w:color w:val="auto"/>
                <w:sz w:val="15"/>
                <w:szCs w:val="15"/>
              </w:rPr>
              <w:t>25 µg/m³</w:t>
            </w:r>
          </w:p>
          <w:p w:rsidR="00F3202F" w:rsidRPr="007428E2" w:rsidRDefault="00F3202F" w:rsidP="00C04365">
            <w:pPr>
              <w:pStyle w:val="TableContentText"/>
              <w:keepNext/>
              <w:spacing w:after="80"/>
              <w:jc w:val="center"/>
              <w:rPr>
                <w:rFonts w:ascii="Arial" w:hAnsi="Arial" w:cs="Arial"/>
                <w:color w:val="auto"/>
                <w:sz w:val="15"/>
                <w:szCs w:val="15"/>
              </w:rPr>
            </w:pPr>
            <w:r w:rsidRPr="007428E2">
              <w:rPr>
                <w:rFonts w:ascii="Arial" w:hAnsi="Arial" w:cs="Arial"/>
                <w:color w:val="auto"/>
                <w:sz w:val="15"/>
                <w:szCs w:val="15"/>
              </w:rPr>
              <w:t>8 µg/m³</w:t>
            </w:r>
          </w:p>
        </w:tc>
        <w:tc>
          <w:tcPr>
            <w:tcW w:w="3092" w:type="pct"/>
            <w:shd w:val="clear" w:color="auto" w:fill="F2F2F2"/>
          </w:tcPr>
          <w:p w:rsidR="00F3202F" w:rsidRPr="007428E2" w:rsidRDefault="00F3202F" w:rsidP="007C4134">
            <w:pPr>
              <w:pStyle w:val="TableContentText"/>
              <w:keepNext/>
              <w:jc w:val="center"/>
              <w:rPr>
                <w:rFonts w:ascii="Arial" w:hAnsi="Arial" w:cs="Arial"/>
                <w:color w:val="auto"/>
                <w:sz w:val="15"/>
                <w:szCs w:val="15"/>
              </w:rPr>
            </w:pPr>
            <w:r w:rsidRPr="007428E2">
              <w:rPr>
                <w:rFonts w:ascii="Arial" w:hAnsi="Arial" w:cs="Arial"/>
                <w:color w:val="auto"/>
                <w:sz w:val="15"/>
                <w:szCs w:val="15"/>
              </w:rPr>
              <w:t xml:space="preserve">Not applicable. Goal is to gather sufficient data nationally to facilitate a review of the </w:t>
            </w:r>
            <w:r w:rsidR="00FD140A" w:rsidRPr="007428E2">
              <w:rPr>
                <w:rFonts w:ascii="Arial" w:hAnsi="Arial" w:cs="Arial"/>
                <w:color w:val="auto"/>
                <w:sz w:val="15"/>
                <w:szCs w:val="15"/>
              </w:rPr>
              <w:t>a</w:t>
            </w:r>
            <w:r w:rsidRPr="007428E2">
              <w:rPr>
                <w:rFonts w:ascii="Arial" w:hAnsi="Arial" w:cs="Arial"/>
                <w:color w:val="auto"/>
                <w:sz w:val="15"/>
                <w:szCs w:val="15"/>
              </w:rPr>
              <w:t xml:space="preserve">dvisory </w:t>
            </w:r>
            <w:r w:rsidR="00FD140A" w:rsidRPr="007428E2">
              <w:rPr>
                <w:rFonts w:ascii="Arial" w:hAnsi="Arial" w:cs="Arial"/>
                <w:color w:val="auto"/>
                <w:sz w:val="15"/>
                <w:szCs w:val="15"/>
              </w:rPr>
              <w:t>r</w:t>
            </w:r>
            <w:r w:rsidRPr="007428E2">
              <w:rPr>
                <w:rFonts w:ascii="Arial" w:hAnsi="Arial" w:cs="Arial"/>
                <w:color w:val="auto"/>
                <w:sz w:val="15"/>
                <w:szCs w:val="15"/>
              </w:rPr>
              <w:t xml:space="preserve">eporting </w:t>
            </w:r>
            <w:r w:rsidR="00FD140A" w:rsidRPr="007428E2">
              <w:rPr>
                <w:rFonts w:ascii="Arial" w:hAnsi="Arial" w:cs="Arial"/>
                <w:color w:val="auto"/>
                <w:sz w:val="15"/>
                <w:szCs w:val="15"/>
              </w:rPr>
              <w:t>s</w:t>
            </w:r>
            <w:r w:rsidRPr="007428E2">
              <w:rPr>
                <w:rFonts w:ascii="Arial" w:hAnsi="Arial" w:cs="Arial"/>
                <w:color w:val="auto"/>
                <w:sz w:val="15"/>
                <w:szCs w:val="15"/>
              </w:rPr>
              <w:t>tandards</w:t>
            </w:r>
          </w:p>
        </w:tc>
      </w:tr>
    </w:tbl>
    <w:p w:rsidR="00F3202F" w:rsidRPr="007428E2" w:rsidRDefault="00F3202F" w:rsidP="002D42E4">
      <w:pPr>
        <w:pStyle w:val="Tablefootnotetext"/>
        <w:numPr>
          <w:ilvl w:val="0"/>
          <w:numId w:val="14"/>
        </w:numPr>
        <w:spacing w:before="60" w:after="360" w:line="288" w:lineRule="auto"/>
        <w:ind w:left="992" w:hanging="357"/>
        <w:jc w:val="both"/>
        <w:rPr>
          <w:rFonts w:ascii="Arial" w:hAnsi="Arial" w:cs="Arial"/>
          <w:sz w:val="14"/>
          <w:szCs w:val="14"/>
        </w:rPr>
      </w:pPr>
      <w:r w:rsidRPr="007428E2">
        <w:rPr>
          <w:rFonts w:ascii="Arial" w:hAnsi="Arial" w:cs="Arial"/>
          <w:sz w:val="14"/>
          <w:szCs w:val="14"/>
        </w:rPr>
        <w:t>Advisory reporting standards</w:t>
      </w:r>
    </w:p>
    <w:p w:rsidR="00F3202F" w:rsidRPr="006574FD" w:rsidRDefault="00F3202F" w:rsidP="007D57CD">
      <w:pPr>
        <w:pStyle w:val="ES3"/>
        <w:rPr>
          <w:rFonts w:ascii="Arial" w:hAnsi="Arial" w:cs="Arial"/>
        </w:rPr>
      </w:pPr>
      <w:r w:rsidRPr="006574FD">
        <w:rPr>
          <w:rFonts w:ascii="Arial" w:hAnsi="Arial" w:cs="Arial"/>
        </w:rPr>
        <w:t xml:space="preserve">Use of </w:t>
      </w:r>
      <w:r w:rsidR="00EF24F8" w:rsidRPr="006574FD">
        <w:rPr>
          <w:rFonts w:ascii="Arial" w:hAnsi="Arial" w:cs="Arial"/>
        </w:rPr>
        <w:t>AAQ NEPM</w:t>
      </w:r>
      <w:r w:rsidRPr="006574FD">
        <w:rPr>
          <w:rFonts w:ascii="Arial" w:hAnsi="Arial" w:cs="Arial"/>
        </w:rPr>
        <w:t xml:space="preserve"> standards by jurisdictions</w:t>
      </w:r>
    </w:p>
    <w:p w:rsidR="00623EE8" w:rsidRPr="007428E2" w:rsidRDefault="00623EE8" w:rsidP="007B7983">
      <w:pPr>
        <w:pStyle w:val="BulletArrows"/>
        <w:spacing w:after="200"/>
        <w:rPr>
          <w:rFonts w:ascii="Arial" w:hAnsi="Arial"/>
          <w:color w:val="auto"/>
        </w:rPr>
      </w:pPr>
      <w:r w:rsidRPr="007428E2">
        <w:rPr>
          <w:rFonts w:ascii="Arial" w:hAnsi="Arial"/>
        </w:rPr>
        <w:t>A</w:t>
      </w:r>
      <w:r w:rsidR="00F26AFF" w:rsidRPr="007428E2">
        <w:rPr>
          <w:rFonts w:ascii="Arial" w:hAnsi="Arial"/>
        </w:rPr>
        <w:t xml:space="preserve">ll </w:t>
      </w:r>
      <w:r w:rsidR="00FD140A" w:rsidRPr="007428E2">
        <w:rPr>
          <w:rFonts w:ascii="Arial" w:hAnsi="Arial"/>
        </w:rPr>
        <w:t>s</w:t>
      </w:r>
      <w:r w:rsidRPr="007428E2">
        <w:rPr>
          <w:rFonts w:ascii="Arial" w:hAnsi="Arial"/>
        </w:rPr>
        <w:t xml:space="preserve">tates and </w:t>
      </w:r>
      <w:r w:rsidR="00FD140A" w:rsidRPr="007428E2">
        <w:rPr>
          <w:rFonts w:ascii="Arial" w:hAnsi="Arial"/>
        </w:rPr>
        <w:t>t</w:t>
      </w:r>
      <w:r w:rsidRPr="007428E2">
        <w:rPr>
          <w:rFonts w:ascii="Arial" w:hAnsi="Arial"/>
        </w:rPr>
        <w:t>erritories manage emissions and air quality in relation to certain types of source</w:t>
      </w:r>
      <w:r w:rsidR="00141E7C" w:rsidRPr="007428E2">
        <w:rPr>
          <w:rFonts w:ascii="Arial" w:hAnsi="Arial"/>
        </w:rPr>
        <w:t>s</w:t>
      </w:r>
      <w:r w:rsidRPr="007428E2">
        <w:rPr>
          <w:rFonts w:ascii="Arial" w:hAnsi="Arial"/>
        </w:rPr>
        <w:t xml:space="preserve"> (</w:t>
      </w:r>
      <w:r w:rsidR="009334F4" w:rsidRPr="007428E2">
        <w:rPr>
          <w:rFonts w:ascii="Arial" w:hAnsi="Arial"/>
        </w:rPr>
        <w:t>e.g.</w:t>
      </w:r>
      <w:r w:rsidRPr="007428E2">
        <w:rPr>
          <w:rFonts w:ascii="Arial" w:hAnsi="Arial"/>
        </w:rPr>
        <w:t xml:space="preserve"> landfills, quarries, crematoria and coal mines). </w:t>
      </w:r>
      <w:r w:rsidR="009A03FB" w:rsidRPr="007428E2">
        <w:rPr>
          <w:rFonts w:ascii="Arial" w:hAnsi="Arial"/>
        </w:rPr>
        <w:t>Generally speaking, t</w:t>
      </w:r>
      <w:r w:rsidRPr="007428E2">
        <w:rPr>
          <w:rFonts w:ascii="Arial" w:hAnsi="Arial"/>
        </w:rPr>
        <w:t xml:space="preserve">he jurisdictions have legislation or guidance which includes </w:t>
      </w:r>
      <w:r w:rsidR="006650E0" w:rsidRPr="007428E2">
        <w:rPr>
          <w:rFonts w:ascii="Arial" w:hAnsi="Arial"/>
        </w:rPr>
        <w:t xml:space="preserve">facility </w:t>
      </w:r>
      <w:r w:rsidRPr="007428E2">
        <w:rPr>
          <w:rFonts w:ascii="Arial" w:hAnsi="Arial"/>
        </w:rPr>
        <w:t xml:space="preserve">design goals, licence conditions or other </w:t>
      </w:r>
      <w:r w:rsidR="006650E0" w:rsidRPr="007428E2">
        <w:rPr>
          <w:rFonts w:ascii="Arial" w:hAnsi="Arial"/>
        </w:rPr>
        <w:t xml:space="preserve">ways </w:t>
      </w:r>
      <w:r w:rsidR="00FD140A" w:rsidRPr="007428E2">
        <w:rPr>
          <w:rFonts w:ascii="Arial" w:hAnsi="Arial"/>
        </w:rPr>
        <w:t xml:space="preserve">to </w:t>
      </w:r>
      <w:r w:rsidRPr="007428E2">
        <w:rPr>
          <w:rFonts w:ascii="Arial" w:hAnsi="Arial"/>
        </w:rPr>
        <w:t xml:space="preserve">protect local communities from </w:t>
      </w:r>
      <w:r w:rsidR="006650E0" w:rsidRPr="007428E2">
        <w:rPr>
          <w:rFonts w:ascii="Arial" w:hAnsi="Arial"/>
        </w:rPr>
        <w:t xml:space="preserve">the </w:t>
      </w:r>
      <w:r w:rsidRPr="007428E2">
        <w:rPr>
          <w:rFonts w:ascii="Arial" w:hAnsi="Arial"/>
        </w:rPr>
        <w:t xml:space="preserve">impacts of </w:t>
      </w:r>
      <w:r w:rsidR="006650E0" w:rsidRPr="007428E2">
        <w:rPr>
          <w:rFonts w:ascii="Arial" w:hAnsi="Arial"/>
        </w:rPr>
        <w:t xml:space="preserve">air </w:t>
      </w:r>
      <w:r w:rsidRPr="007428E2">
        <w:rPr>
          <w:rFonts w:ascii="Arial" w:hAnsi="Arial"/>
        </w:rPr>
        <w:t xml:space="preserve">pollutants in residential areas outside </w:t>
      </w:r>
      <w:r w:rsidR="006650E0" w:rsidRPr="007428E2">
        <w:rPr>
          <w:rFonts w:ascii="Arial" w:hAnsi="Arial"/>
        </w:rPr>
        <w:t xml:space="preserve">facility </w:t>
      </w:r>
      <w:r w:rsidRPr="007428E2">
        <w:rPr>
          <w:rFonts w:ascii="Arial" w:hAnsi="Arial"/>
        </w:rPr>
        <w:t>site boundaries. Where this is the case, the AAQ NEPM standards are sometimes used as the criteria for air quality assessments.</w:t>
      </w:r>
    </w:p>
    <w:p w:rsidR="00623EE8" w:rsidRPr="007428E2" w:rsidRDefault="00623EE8" w:rsidP="00F26AFF">
      <w:pPr>
        <w:rPr>
          <w:rFonts w:ascii="Arial" w:hAnsi="Arial" w:cs="Arial"/>
        </w:rPr>
      </w:pPr>
      <w:r w:rsidRPr="007428E2">
        <w:rPr>
          <w:rFonts w:ascii="Arial" w:hAnsi="Arial" w:cs="Arial"/>
        </w:rPr>
        <w:t xml:space="preserve">The AAQ NEPM standards are currently being used in a variety of locations and contexts, some of which are inconsistent with the </w:t>
      </w:r>
      <w:r w:rsidR="006650E0" w:rsidRPr="007428E2">
        <w:rPr>
          <w:rFonts w:ascii="Arial" w:hAnsi="Arial" w:cs="Arial"/>
        </w:rPr>
        <w:t xml:space="preserve">original </w:t>
      </w:r>
      <w:r w:rsidRPr="007428E2">
        <w:rPr>
          <w:rFonts w:ascii="Arial" w:hAnsi="Arial" w:cs="Arial"/>
        </w:rPr>
        <w:t xml:space="preserve">intention of the AAQ NEPM. The AAQ NEPM standards are designed </w:t>
      </w:r>
      <w:r w:rsidR="006650E0" w:rsidRPr="007428E2">
        <w:rPr>
          <w:rFonts w:ascii="Arial" w:hAnsi="Arial" w:cs="Arial"/>
        </w:rPr>
        <w:t xml:space="preserve">to be applied </w:t>
      </w:r>
      <w:r w:rsidRPr="007428E2">
        <w:rPr>
          <w:rFonts w:ascii="Arial" w:hAnsi="Arial" w:cs="Arial"/>
        </w:rPr>
        <w:t xml:space="preserve">at locations </w:t>
      </w:r>
      <w:r w:rsidR="006650E0" w:rsidRPr="007428E2">
        <w:rPr>
          <w:rFonts w:ascii="Arial" w:hAnsi="Arial" w:cs="Arial"/>
        </w:rPr>
        <w:t xml:space="preserve">that are </w:t>
      </w:r>
      <w:r w:rsidR="00141E7C" w:rsidRPr="007428E2">
        <w:rPr>
          <w:rFonts w:ascii="Arial" w:hAnsi="Arial" w:cs="Arial"/>
        </w:rPr>
        <w:t>representative of overall air quality in those areas.</w:t>
      </w:r>
      <w:r w:rsidRPr="007428E2">
        <w:rPr>
          <w:rFonts w:ascii="Arial" w:hAnsi="Arial" w:cs="Arial"/>
        </w:rPr>
        <w:t xml:space="preserve"> </w:t>
      </w:r>
      <w:r w:rsidR="00141E7C" w:rsidRPr="007428E2">
        <w:rPr>
          <w:rFonts w:ascii="Arial" w:hAnsi="Arial" w:cs="Arial"/>
        </w:rPr>
        <w:t>However, as noted above, they</w:t>
      </w:r>
      <w:r w:rsidRPr="007428E2">
        <w:rPr>
          <w:rFonts w:ascii="Arial" w:hAnsi="Arial" w:cs="Arial"/>
        </w:rPr>
        <w:t xml:space="preserve"> are </w:t>
      </w:r>
      <w:r w:rsidR="00141E7C" w:rsidRPr="007428E2">
        <w:rPr>
          <w:rFonts w:ascii="Arial" w:hAnsi="Arial" w:cs="Arial"/>
        </w:rPr>
        <w:t xml:space="preserve">also </w:t>
      </w:r>
      <w:r w:rsidRPr="007428E2">
        <w:rPr>
          <w:rFonts w:ascii="Arial" w:hAnsi="Arial" w:cs="Arial"/>
        </w:rPr>
        <w:t>sometimes applied at other locations as part of environmental assessment</w:t>
      </w:r>
      <w:r w:rsidR="00141E7C" w:rsidRPr="007428E2">
        <w:rPr>
          <w:rFonts w:ascii="Arial" w:hAnsi="Arial" w:cs="Arial"/>
        </w:rPr>
        <w:t>,</w:t>
      </w:r>
      <w:r w:rsidRPr="007428E2">
        <w:rPr>
          <w:rFonts w:ascii="Arial" w:hAnsi="Arial" w:cs="Arial"/>
        </w:rPr>
        <w:t xml:space="preserve"> for example, at the boundary of an industrial facility</w:t>
      </w:r>
      <w:r w:rsidR="00190FC0" w:rsidRPr="007428E2">
        <w:rPr>
          <w:rFonts w:ascii="Arial" w:hAnsi="Arial" w:cs="Arial"/>
        </w:rPr>
        <w:t xml:space="preserve"> </w:t>
      </w:r>
      <w:r w:rsidR="00141E7C" w:rsidRPr="007428E2">
        <w:rPr>
          <w:rFonts w:ascii="Arial" w:hAnsi="Arial" w:cs="Arial"/>
        </w:rPr>
        <w:t>(i.e. a ‘hot spot’</w:t>
      </w:r>
      <w:r w:rsidRPr="007428E2">
        <w:rPr>
          <w:rFonts w:ascii="Arial" w:hAnsi="Arial" w:cs="Arial"/>
        </w:rPr>
        <w:t>).</w:t>
      </w:r>
      <w:r w:rsidR="006650E0" w:rsidRPr="007428E2">
        <w:rPr>
          <w:rFonts w:ascii="Arial" w:hAnsi="Arial" w:cs="Arial"/>
        </w:rPr>
        <w:t xml:space="preserve"> </w:t>
      </w:r>
      <w:r w:rsidR="00190FC0" w:rsidRPr="007428E2">
        <w:rPr>
          <w:rFonts w:ascii="Arial" w:hAnsi="Arial" w:cs="Arial"/>
        </w:rPr>
        <w:t>S</w:t>
      </w:r>
      <w:r w:rsidRPr="007428E2">
        <w:rPr>
          <w:rFonts w:ascii="Arial" w:hAnsi="Arial" w:cs="Arial"/>
        </w:rPr>
        <w:t>ome jurisdictions are considering alternatives to this approach (</w:t>
      </w:r>
      <w:r w:rsidR="009334F4" w:rsidRPr="007428E2">
        <w:rPr>
          <w:rFonts w:ascii="Arial" w:hAnsi="Arial" w:cs="Arial"/>
        </w:rPr>
        <w:t>e.g.</w:t>
      </w:r>
      <w:r w:rsidRPr="007428E2">
        <w:rPr>
          <w:rFonts w:ascii="Arial" w:hAnsi="Arial" w:cs="Arial"/>
        </w:rPr>
        <w:t xml:space="preserve"> risk-based guidelines for PM in N</w:t>
      </w:r>
      <w:r w:rsidR="00135B52" w:rsidRPr="007428E2">
        <w:rPr>
          <w:rFonts w:ascii="Arial" w:hAnsi="Arial" w:cs="Arial"/>
        </w:rPr>
        <w:t xml:space="preserve">ew </w:t>
      </w:r>
      <w:r w:rsidRPr="007428E2">
        <w:rPr>
          <w:rFonts w:ascii="Arial" w:hAnsi="Arial" w:cs="Arial"/>
        </w:rPr>
        <w:t>S</w:t>
      </w:r>
      <w:r w:rsidR="00135B52" w:rsidRPr="007428E2">
        <w:rPr>
          <w:rFonts w:ascii="Arial" w:hAnsi="Arial" w:cs="Arial"/>
        </w:rPr>
        <w:t xml:space="preserve">outh </w:t>
      </w:r>
      <w:r w:rsidRPr="007428E2">
        <w:rPr>
          <w:rFonts w:ascii="Arial" w:hAnsi="Arial" w:cs="Arial"/>
        </w:rPr>
        <w:t>W</w:t>
      </w:r>
      <w:r w:rsidR="00135B52" w:rsidRPr="007428E2">
        <w:rPr>
          <w:rFonts w:ascii="Arial" w:hAnsi="Arial" w:cs="Arial"/>
        </w:rPr>
        <w:t>ales (NSW)</w:t>
      </w:r>
      <w:r w:rsidRPr="007428E2">
        <w:rPr>
          <w:rFonts w:ascii="Arial" w:hAnsi="Arial" w:cs="Arial"/>
        </w:rPr>
        <w:t>).</w:t>
      </w:r>
    </w:p>
    <w:p w:rsidR="00BA1CC8" w:rsidRPr="006574FD" w:rsidRDefault="00A017A8" w:rsidP="007D57CD">
      <w:pPr>
        <w:pStyle w:val="ES3"/>
        <w:rPr>
          <w:rFonts w:ascii="Arial" w:hAnsi="Arial" w:cs="Arial"/>
        </w:rPr>
      </w:pPr>
      <w:r w:rsidRPr="006574FD">
        <w:rPr>
          <w:rFonts w:ascii="Arial" w:hAnsi="Arial" w:cs="Arial"/>
        </w:rPr>
        <w:lastRenderedPageBreak/>
        <w:t xml:space="preserve">Exposure </w:t>
      </w:r>
      <w:r w:rsidR="00BA1CC8" w:rsidRPr="006574FD">
        <w:rPr>
          <w:rFonts w:ascii="Arial" w:hAnsi="Arial" w:cs="Arial"/>
        </w:rPr>
        <w:t>reduction</w:t>
      </w:r>
    </w:p>
    <w:p w:rsidR="00A017A8" w:rsidRPr="007428E2" w:rsidRDefault="00D0654A" w:rsidP="00325FBD">
      <w:pPr>
        <w:pStyle w:val="BulletArrows"/>
        <w:spacing w:after="0"/>
        <w:rPr>
          <w:rFonts w:ascii="Arial" w:hAnsi="Arial"/>
          <w:color w:val="auto"/>
          <w:szCs w:val="18"/>
        </w:rPr>
      </w:pPr>
      <w:r w:rsidRPr="007428E2">
        <w:rPr>
          <w:rFonts w:ascii="Arial" w:hAnsi="Arial"/>
          <w:color w:val="auto"/>
        </w:rPr>
        <w:t>In Australia f</w:t>
      </w:r>
      <w:r w:rsidR="00A017A8" w:rsidRPr="007428E2">
        <w:rPr>
          <w:rFonts w:ascii="Arial" w:hAnsi="Arial"/>
          <w:color w:val="auto"/>
        </w:rPr>
        <w:t>or non-threshold pollut</w:t>
      </w:r>
      <w:r w:rsidR="00A33B2F" w:rsidRPr="007428E2">
        <w:rPr>
          <w:rFonts w:ascii="Arial" w:hAnsi="Arial"/>
          <w:color w:val="auto"/>
        </w:rPr>
        <w:t xml:space="preserve">ants such as PM, </w:t>
      </w:r>
      <w:r w:rsidR="00A017A8" w:rsidRPr="007428E2">
        <w:rPr>
          <w:rFonts w:ascii="Arial" w:hAnsi="Arial"/>
          <w:color w:val="auto"/>
        </w:rPr>
        <w:t xml:space="preserve">overall health outcomes in a population are driven by large-scale exposure to the prevailing </w:t>
      </w:r>
      <w:r w:rsidRPr="007428E2">
        <w:rPr>
          <w:rFonts w:ascii="Arial" w:hAnsi="Arial"/>
          <w:color w:val="auto"/>
        </w:rPr>
        <w:t xml:space="preserve">average </w:t>
      </w:r>
      <w:r w:rsidR="00A017A8" w:rsidRPr="007428E2">
        <w:rPr>
          <w:rFonts w:ascii="Arial" w:hAnsi="Arial"/>
          <w:color w:val="auto"/>
        </w:rPr>
        <w:t>concentration</w:t>
      </w:r>
      <w:r w:rsidRPr="007428E2">
        <w:rPr>
          <w:rFonts w:ascii="Arial" w:hAnsi="Arial"/>
          <w:color w:val="auto"/>
        </w:rPr>
        <w:t>s</w:t>
      </w:r>
      <w:r w:rsidR="00A017A8" w:rsidRPr="007428E2">
        <w:rPr>
          <w:rFonts w:ascii="Arial" w:hAnsi="Arial"/>
          <w:color w:val="auto"/>
        </w:rPr>
        <w:t>, rather than by relatively small-scale exposure to higher concentrations</w:t>
      </w:r>
      <w:r w:rsidR="005E567C">
        <w:rPr>
          <w:rFonts w:ascii="Arial" w:hAnsi="Arial"/>
          <w:color w:val="auto"/>
        </w:rPr>
        <w:t>.</w:t>
      </w:r>
      <w:r w:rsidR="00A017A8" w:rsidRPr="007428E2">
        <w:rPr>
          <w:rFonts w:ascii="Arial" w:hAnsi="Arial"/>
          <w:color w:val="auto"/>
        </w:rPr>
        <w:t xml:space="preserve"> </w:t>
      </w:r>
      <w:r w:rsidR="00BA1CC8" w:rsidRPr="007428E2">
        <w:rPr>
          <w:rFonts w:ascii="Arial" w:hAnsi="Arial"/>
          <w:color w:val="auto"/>
          <w:szCs w:val="18"/>
        </w:rPr>
        <w:t>Where there are no exceedances o</w:t>
      </w:r>
      <w:r w:rsidR="009A03FB" w:rsidRPr="007428E2">
        <w:rPr>
          <w:rFonts w:ascii="Arial" w:hAnsi="Arial"/>
          <w:color w:val="auto"/>
          <w:szCs w:val="18"/>
        </w:rPr>
        <w:t>f air quality standards there may be no impetus</w:t>
      </w:r>
      <w:r w:rsidR="00BA1CC8" w:rsidRPr="007428E2">
        <w:rPr>
          <w:rFonts w:ascii="Arial" w:hAnsi="Arial"/>
          <w:color w:val="auto"/>
          <w:szCs w:val="18"/>
        </w:rPr>
        <w:t xml:space="preserve"> to implement mea</w:t>
      </w:r>
      <w:r w:rsidR="00A017A8" w:rsidRPr="007428E2">
        <w:rPr>
          <w:rFonts w:ascii="Arial" w:hAnsi="Arial"/>
          <w:color w:val="auto"/>
          <w:szCs w:val="18"/>
        </w:rPr>
        <w:t xml:space="preserve">sures to </w:t>
      </w:r>
      <w:r w:rsidR="009A03FB" w:rsidRPr="007428E2">
        <w:rPr>
          <w:rFonts w:ascii="Arial" w:hAnsi="Arial"/>
          <w:color w:val="auto"/>
          <w:szCs w:val="18"/>
        </w:rPr>
        <w:t xml:space="preserve">further </w:t>
      </w:r>
      <w:r w:rsidR="00A017A8" w:rsidRPr="007428E2">
        <w:rPr>
          <w:rFonts w:ascii="Arial" w:hAnsi="Arial"/>
          <w:color w:val="auto"/>
          <w:szCs w:val="18"/>
        </w:rPr>
        <w:t xml:space="preserve">reduce exposure to PM. </w:t>
      </w:r>
      <w:r w:rsidR="009A03FB" w:rsidRPr="007428E2">
        <w:rPr>
          <w:rFonts w:ascii="Arial" w:hAnsi="Arial"/>
          <w:color w:val="auto"/>
        </w:rPr>
        <w:t>This has compelled</w:t>
      </w:r>
      <w:r w:rsidR="00A017A8" w:rsidRPr="007428E2">
        <w:rPr>
          <w:rFonts w:ascii="Arial" w:hAnsi="Arial"/>
          <w:color w:val="auto"/>
        </w:rPr>
        <w:t xml:space="preserve"> a shift in the approach to air quality management, and in some countries and regions (notably the European Union) this has taken the form of an ‘exposure-reduction framework’. </w:t>
      </w:r>
      <w:r w:rsidR="00A017A8" w:rsidRPr="007428E2">
        <w:rPr>
          <w:rFonts w:ascii="Arial" w:hAnsi="Arial"/>
          <w:color w:val="auto"/>
          <w:szCs w:val="18"/>
        </w:rPr>
        <w:t>The scientific support for the exposure-reduction appr</w:t>
      </w:r>
      <w:r w:rsidR="00A33B2F" w:rsidRPr="007428E2">
        <w:rPr>
          <w:rFonts w:ascii="Arial" w:hAnsi="Arial"/>
          <w:color w:val="auto"/>
          <w:szCs w:val="18"/>
        </w:rPr>
        <w:t xml:space="preserve">oach to managing PM </w:t>
      </w:r>
      <w:r w:rsidR="00A017A8" w:rsidRPr="007428E2">
        <w:rPr>
          <w:rFonts w:ascii="Arial" w:hAnsi="Arial"/>
          <w:color w:val="auto"/>
          <w:szCs w:val="18"/>
        </w:rPr>
        <w:t>has been strengthened by the latest health findings</w:t>
      </w:r>
      <w:r w:rsidR="00FD140A" w:rsidRPr="007428E2">
        <w:rPr>
          <w:rFonts w:ascii="Arial" w:hAnsi="Arial"/>
          <w:color w:val="auto"/>
          <w:szCs w:val="18"/>
        </w:rPr>
        <w:t>;</w:t>
      </w:r>
      <w:r w:rsidR="00A017A8" w:rsidRPr="007428E2">
        <w:rPr>
          <w:rFonts w:ascii="Arial" w:hAnsi="Arial"/>
          <w:color w:val="auto"/>
          <w:szCs w:val="18"/>
        </w:rPr>
        <w:t xml:space="preserve"> </w:t>
      </w:r>
      <w:r w:rsidR="00FD140A" w:rsidRPr="007428E2">
        <w:rPr>
          <w:rFonts w:ascii="Arial" w:hAnsi="Arial"/>
          <w:color w:val="auto"/>
          <w:szCs w:val="18"/>
        </w:rPr>
        <w:t>h</w:t>
      </w:r>
      <w:r w:rsidR="00A017A8" w:rsidRPr="007428E2">
        <w:rPr>
          <w:rFonts w:ascii="Arial" w:hAnsi="Arial"/>
          <w:color w:val="auto"/>
          <w:szCs w:val="18"/>
        </w:rPr>
        <w:t xml:space="preserve">owever, </w:t>
      </w:r>
      <w:r w:rsidR="00A017A8" w:rsidRPr="007428E2">
        <w:rPr>
          <w:rFonts w:ascii="Arial" w:hAnsi="Arial"/>
          <w:color w:val="auto"/>
        </w:rPr>
        <w:t>there are cu</w:t>
      </w:r>
      <w:r w:rsidR="00A33B2F" w:rsidRPr="007428E2">
        <w:rPr>
          <w:rFonts w:ascii="Arial" w:hAnsi="Arial"/>
          <w:color w:val="auto"/>
        </w:rPr>
        <w:t xml:space="preserve">rrently no targets for exposure </w:t>
      </w:r>
      <w:r w:rsidR="00A017A8" w:rsidRPr="007428E2">
        <w:rPr>
          <w:rFonts w:ascii="Arial" w:hAnsi="Arial"/>
          <w:color w:val="auto"/>
        </w:rPr>
        <w:t xml:space="preserve">reduction in the </w:t>
      </w:r>
      <w:r w:rsidR="00EF24F8" w:rsidRPr="007428E2">
        <w:rPr>
          <w:rFonts w:ascii="Arial" w:hAnsi="Arial"/>
          <w:color w:val="auto"/>
        </w:rPr>
        <w:t>AAQ NEPM</w:t>
      </w:r>
      <w:r w:rsidR="00A017A8" w:rsidRPr="007428E2">
        <w:rPr>
          <w:rFonts w:ascii="Arial" w:hAnsi="Arial"/>
          <w:color w:val="auto"/>
        </w:rPr>
        <w:t xml:space="preserve">. </w:t>
      </w:r>
    </w:p>
    <w:p w:rsidR="00B83B7C" w:rsidRPr="007428E2" w:rsidRDefault="00B83B7C" w:rsidP="007D57CD">
      <w:pPr>
        <w:pStyle w:val="ES2"/>
        <w:rPr>
          <w:rFonts w:ascii="Arial" w:hAnsi="Arial" w:cs="Arial"/>
          <w:i w:val="0"/>
          <w:sz w:val="4"/>
          <w:szCs w:val="4"/>
        </w:rPr>
      </w:pPr>
    </w:p>
    <w:p w:rsidR="00A017A8" w:rsidRPr="006574FD" w:rsidRDefault="00A017A8" w:rsidP="00A017A8">
      <w:pPr>
        <w:pStyle w:val="ES2"/>
        <w:rPr>
          <w:rFonts w:ascii="Arial" w:hAnsi="Arial" w:cs="Arial"/>
        </w:rPr>
      </w:pPr>
      <w:r w:rsidRPr="006574FD">
        <w:rPr>
          <w:rFonts w:ascii="Arial" w:hAnsi="Arial" w:cs="Arial"/>
        </w:rPr>
        <w:t>International air quality standards and exposure-reduction frameworks</w:t>
      </w:r>
    </w:p>
    <w:p w:rsidR="00F43902" w:rsidRPr="006574FD" w:rsidRDefault="00F43902" w:rsidP="00F43902">
      <w:pPr>
        <w:pStyle w:val="ES3"/>
        <w:rPr>
          <w:rFonts w:ascii="Arial" w:hAnsi="Arial" w:cs="Arial"/>
        </w:rPr>
      </w:pPr>
      <w:r w:rsidRPr="006574FD">
        <w:rPr>
          <w:rFonts w:ascii="Arial" w:hAnsi="Arial" w:cs="Arial"/>
        </w:rPr>
        <w:t>Air quality standards</w:t>
      </w:r>
    </w:p>
    <w:p w:rsidR="00894DDE" w:rsidRPr="007428E2" w:rsidRDefault="00A017A8" w:rsidP="00471627">
      <w:pPr>
        <w:spacing w:after="180"/>
        <w:rPr>
          <w:rFonts w:ascii="Arial" w:hAnsi="Arial" w:cs="Arial"/>
        </w:rPr>
      </w:pPr>
      <w:r w:rsidRPr="007428E2">
        <w:rPr>
          <w:rFonts w:ascii="Arial" w:hAnsi="Arial" w:cs="Arial"/>
        </w:rPr>
        <w:t xml:space="preserve">The </w:t>
      </w:r>
      <w:r w:rsidR="00EF48B9" w:rsidRPr="007428E2">
        <w:rPr>
          <w:rFonts w:ascii="Arial" w:hAnsi="Arial" w:cs="Arial"/>
        </w:rPr>
        <w:t xml:space="preserve">Impact Statement </w:t>
      </w:r>
      <w:r w:rsidRPr="007428E2">
        <w:rPr>
          <w:rFonts w:ascii="Arial" w:hAnsi="Arial" w:cs="Arial"/>
        </w:rPr>
        <w:t>reviewed the air quality standards for PM</w:t>
      </w:r>
      <w:r w:rsidRPr="007428E2">
        <w:rPr>
          <w:rFonts w:ascii="Arial" w:hAnsi="Arial" w:cs="Arial"/>
          <w:vertAlign w:val="subscript"/>
        </w:rPr>
        <w:t>10</w:t>
      </w:r>
      <w:r w:rsidRPr="007428E2">
        <w:rPr>
          <w:rFonts w:ascii="Arial" w:hAnsi="Arial" w:cs="Arial"/>
        </w:rPr>
        <w:t xml:space="preserve"> and PM</w:t>
      </w:r>
      <w:r w:rsidRPr="007428E2">
        <w:rPr>
          <w:rFonts w:ascii="Arial" w:hAnsi="Arial" w:cs="Arial"/>
          <w:vertAlign w:val="subscript"/>
        </w:rPr>
        <w:t>2.5</w:t>
      </w:r>
      <w:r w:rsidRPr="007428E2">
        <w:rPr>
          <w:rFonts w:ascii="Arial" w:hAnsi="Arial" w:cs="Arial"/>
        </w:rPr>
        <w:t xml:space="preserve"> that are used internationally. Air quality guidelines have been developed for the most common pollutants by the World Health Organization (WHO). These guidelines are based solely on health consideratio</w:t>
      </w:r>
      <w:r w:rsidR="00A33B2F" w:rsidRPr="007428E2">
        <w:rPr>
          <w:rFonts w:ascii="Arial" w:hAnsi="Arial" w:cs="Arial"/>
        </w:rPr>
        <w:t>ns, and are used as the basis for</w:t>
      </w:r>
      <w:r w:rsidRPr="007428E2">
        <w:rPr>
          <w:rFonts w:ascii="Arial" w:hAnsi="Arial" w:cs="Arial"/>
        </w:rPr>
        <w:t xml:space="preserve"> </w:t>
      </w:r>
      <w:r w:rsidR="00A91C53" w:rsidRPr="007428E2">
        <w:rPr>
          <w:rFonts w:ascii="Arial" w:hAnsi="Arial" w:cs="Arial"/>
        </w:rPr>
        <w:t xml:space="preserve">development </w:t>
      </w:r>
      <w:r w:rsidR="00630CBD">
        <w:rPr>
          <w:rFonts w:ascii="Arial" w:hAnsi="Arial" w:cs="Arial"/>
        </w:rPr>
        <w:t xml:space="preserve">of </w:t>
      </w:r>
      <w:r w:rsidRPr="007428E2">
        <w:rPr>
          <w:rFonts w:ascii="Arial" w:hAnsi="Arial" w:cs="Arial"/>
        </w:rPr>
        <w:t xml:space="preserve">air quality standards </w:t>
      </w:r>
      <w:r w:rsidR="00A33B2F" w:rsidRPr="007428E2">
        <w:rPr>
          <w:rFonts w:ascii="Arial" w:hAnsi="Arial" w:cs="Arial"/>
        </w:rPr>
        <w:t>i</w:t>
      </w:r>
      <w:r w:rsidR="00894DDE" w:rsidRPr="007428E2">
        <w:rPr>
          <w:rFonts w:ascii="Arial" w:hAnsi="Arial" w:cs="Arial"/>
        </w:rPr>
        <w:t>n many countries.</w:t>
      </w:r>
    </w:p>
    <w:p w:rsidR="00B12A8C" w:rsidRPr="007428E2" w:rsidRDefault="00B12A8C" w:rsidP="00471627">
      <w:pPr>
        <w:pStyle w:val="BulletArrows"/>
        <w:spacing w:after="180"/>
        <w:rPr>
          <w:rFonts w:ascii="Arial" w:hAnsi="Arial"/>
          <w:color w:val="auto"/>
          <w:szCs w:val="18"/>
        </w:rPr>
      </w:pPr>
      <w:r w:rsidRPr="007428E2">
        <w:rPr>
          <w:rFonts w:ascii="Arial" w:hAnsi="Arial"/>
          <w:color w:val="auto"/>
          <w:szCs w:val="18"/>
        </w:rPr>
        <w:t>There is currently no annual mean PM</w:t>
      </w:r>
      <w:r w:rsidRPr="007428E2">
        <w:rPr>
          <w:rFonts w:ascii="Arial" w:hAnsi="Arial"/>
          <w:color w:val="auto"/>
          <w:szCs w:val="18"/>
          <w:vertAlign w:val="subscript"/>
        </w:rPr>
        <w:t>10</w:t>
      </w:r>
      <w:r w:rsidRPr="007428E2">
        <w:rPr>
          <w:rFonts w:ascii="Arial" w:hAnsi="Arial"/>
          <w:color w:val="auto"/>
          <w:szCs w:val="18"/>
        </w:rPr>
        <w:t xml:space="preserve"> standard in the AAQ NEPM. C</w:t>
      </w:r>
      <w:r w:rsidRPr="007428E2">
        <w:rPr>
          <w:rFonts w:ascii="Arial" w:hAnsi="Arial"/>
          <w:color w:val="auto"/>
        </w:rPr>
        <w:t>oarse particles are a significant problem in some areas of Australia</w:t>
      </w:r>
      <w:r w:rsidRPr="007428E2">
        <w:rPr>
          <w:rFonts w:ascii="Arial" w:hAnsi="Arial"/>
          <w:color w:val="auto"/>
          <w:szCs w:val="18"/>
        </w:rPr>
        <w:t xml:space="preserve">. </w:t>
      </w:r>
      <w:r w:rsidR="00573563" w:rsidRPr="007428E2">
        <w:rPr>
          <w:rFonts w:ascii="Arial" w:hAnsi="Arial"/>
          <w:color w:val="auto"/>
          <w:szCs w:val="18"/>
        </w:rPr>
        <w:t xml:space="preserve">Increasing </w:t>
      </w:r>
      <w:r w:rsidRPr="007428E2">
        <w:rPr>
          <w:rFonts w:ascii="Arial" w:hAnsi="Arial"/>
          <w:color w:val="auto"/>
          <w:szCs w:val="18"/>
        </w:rPr>
        <w:t xml:space="preserve">evidence for the adverse effects on health of coarse particles, </w:t>
      </w:r>
      <w:r w:rsidR="00FD140A" w:rsidRPr="007428E2">
        <w:rPr>
          <w:rFonts w:ascii="Arial" w:hAnsi="Arial"/>
          <w:color w:val="auto"/>
          <w:szCs w:val="18"/>
        </w:rPr>
        <w:t xml:space="preserve">as </w:t>
      </w:r>
      <w:r w:rsidRPr="007428E2">
        <w:rPr>
          <w:rFonts w:ascii="Arial" w:hAnsi="Arial"/>
          <w:color w:val="auto"/>
          <w:szCs w:val="18"/>
        </w:rPr>
        <w:t>distinct from fine particles</w:t>
      </w:r>
      <w:r w:rsidR="00FD140A" w:rsidRPr="007428E2">
        <w:rPr>
          <w:rFonts w:ascii="Arial" w:hAnsi="Arial"/>
          <w:color w:val="auto"/>
          <w:szCs w:val="18"/>
        </w:rPr>
        <w:t>,</w:t>
      </w:r>
      <w:r w:rsidRPr="007428E2">
        <w:rPr>
          <w:rFonts w:ascii="Arial" w:hAnsi="Arial"/>
          <w:color w:val="auto"/>
          <w:szCs w:val="18"/>
        </w:rPr>
        <w:t xml:space="preserve"> suggests that there may be benefits from an annual mean PM</w:t>
      </w:r>
      <w:r w:rsidRPr="007428E2">
        <w:rPr>
          <w:rFonts w:ascii="Arial" w:hAnsi="Arial"/>
          <w:color w:val="auto"/>
          <w:szCs w:val="18"/>
          <w:vertAlign w:val="subscript"/>
        </w:rPr>
        <w:t>10</w:t>
      </w:r>
      <w:r w:rsidRPr="007428E2">
        <w:rPr>
          <w:rFonts w:ascii="Arial" w:hAnsi="Arial"/>
          <w:color w:val="auto"/>
          <w:szCs w:val="18"/>
        </w:rPr>
        <w:t xml:space="preserve"> standard.</w:t>
      </w:r>
    </w:p>
    <w:p w:rsidR="00894DDE" w:rsidRPr="007428E2" w:rsidRDefault="00A017A8" w:rsidP="00471627">
      <w:pPr>
        <w:spacing w:after="180"/>
        <w:rPr>
          <w:rFonts w:ascii="Arial" w:hAnsi="Arial" w:cs="Arial"/>
        </w:rPr>
      </w:pPr>
      <w:r w:rsidRPr="007428E2">
        <w:rPr>
          <w:rFonts w:ascii="Arial" w:hAnsi="Arial" w:cs="Arial"/>
        </w:rPr>
        <w:t xml:space="preserve">The WHO </w:t>
      </w:r>
      <w:r w:rsidR="009A03FB" w:rsidRPr="007428E2">
        <w:rPr>
          <w:rFonts w:ascii="Arial" w:hAnsi="Arial" w:cs="Arial"/>
        </w:rPr>
        <w:t xml:space="preserve">numerical </w:t>
      </w:r>
      <w:r w:rsidRPr="007428E2">
        <w:rPr>
          <w:rFonts w:ascii="Arial" w:hAnsi="Arial" w:cs="Arial"/>
        </w:rPr>
        <w:t>guideline for 24-hour PM</w:t>
      </w:r>
      <w:r w:rsidRPr="007428E2">
        <w:rPr>
          <w:rFonts w:ascii="Arial" w:hAnsi="Arial" w:cs="Arial"/>
          <w:vertAlign w:val="subscript"/>
        </w:rPr>
        <w:t>10</w:t>
      </w:r>
      <w:r w:rsidRPr="007428E2">
        <w:rPr>
          <w:rFonts w:ascii="Arial" w:hAnsi="Arial" w:cs="Arial"/>
        </w:rPr>
        <w:t xml:space="preserve"> of 50 µg/m</w:t>
      </w:r>
      <w:r w:rsidRPr="007428E2">
        <w:rPr>
          <w:rFonts w:ascii="Arial" w:hAnsi="Arial" w:cs="Arial"/>
          <w:vertAlign w:val="superscript"/>
        </w:rPr>
        <w:t>3</w:t>
      </w:r>
      <w:r w:rsidRPr="007428E2">
        <w:rPr>
          <w:rFonts w:ascii="Arial" w:hAnsi="Arial" w:cs="Arial"/>
        </w:rPr>
        <w:t xml:space="preserve"> has been adopted in Australia and elsewhere (but not in the United States), </w:t>
      </w:r>
      <w:r w:rsidR="00233086" w:rsidRPr="007428E2">
        <w:rPr>
          <w:rFonts w:ascii="Arial" w:hAnsi="Arial" w:cs="Arial"/>
        </w:rPr>
        <w:t>even</w:t>
      </w:r>
      <w:r w:rsidR="00B74275">
        <w:rPr>
          <w:rFonts w:ascii="Arial" w:hAnsi="Arial" w:cs="Arial"/>
        </w:rPr>
        <w:t xml:space="preserve"> </w:t>
      </w:r>
      <w:r w:rsidR="00233086" w:rsidRPr="007428E2">
        <w:rPr>
          <w:rFonts w:ascii="Arial" w:hAnsi="Arial" w:cs="Arial"/>
        </w:rPr>
        <w:t xml:space="preserve">though </w:t>
      </w:r>
      <w:r w:rsidRPr="007428E2">
        <w:rPr>
          <w:rFonts w:ascii="Arial" w:hAnsi="Arial" w:cs="Arial"/>
        </w:rPr>
        <w:t xml:space="preserve">the number of permitted exceedances is greater in Australia than in the </w:t>
      </w:r>
      <w:r w:rsidR="000457D9" w:rsidRPr="007428E2">
        <w:rPr>
          <w:rFonts w:ascii="Arial" w:hAnsi="Arial" w:cs="Arial"/>
        </w:rPr>
        <w:t xml:space="preserve">WHO </w:t>
      </w:r>
      <w:r w:rsidRPr="007428E2">
        <w:rPr>
          <w:rFonts w:ascii="Arial" w:hAnsi="Arial" w:cs="Arial"/>
        </w:rPr>
        <w:t xml:space="preserve">guideline. However, fewer exceedances of the standard are </w:t>
      </w:r>
      <w:r w:rsidR="00233086" w:rsidRPr="007428E2">
        <w:rPr>
          <w:rFonts w:ascii="Arial" w:hAnsi="Arial" w:cs="Arial"/>
        </w:rPr>
        <w:t xml:space="preserve">provided for </w:t>
      </w:r>
      <w:r w:rsidRPr="007428E2">
        <w:rPr>
          <w:rFonts w:ascii="Arial" w:hAnsi="Arial" w:cs="Arial"/>
        </w:rPr>
        <w:t>in Australia than in m</w:t>
      </w:r>
      <w:r w:rsidR="00B12A8C" w:rsidRPr="007428E2">
        <w:rPr>
          <w:rFonts w:ascii="Arial" w:hAnsi="Arial" w:cs="Arial"/>
        </w:rPr>
        <w:t xml:space="preserve">ost other countries/regions (an exception being </w:t>
      </w:r>
      <w:r w:rsidRPr="007428E2">
        <w:rPr>
          <w:rFonts w:ascii="Arial" w:hAnsi="Arial" w:cs="Arial"/>
        </w:rPr>
        <w:t>New</w:t>
      </w:r>
      <w:r w:rsidR="00A33B2F" w:rsidRPr="007428E2">
        <w:rPr>
          <w:rFonts w:ascii="Arial" w:hAnsi="Arial" w:cs="Arial"/>
        </w:rPr>
        <w:t xml:space="preserve"> Zealand). </w:t>
      </w:r>
    </w:p>
    <w:p w:rsidR="00B12A8C" w:rsidRPr="007428E2" w:rsidRDefault="00A33B2F" w:rsidP="00471627">
      <w:pPr>
        <w:spacing w:after="180"/>
        <w:rPr>
          <w:rFonts w:ascii="Arial" w:hAnsi="Arial" w:cs="Arial"/>
        </w:rPr>
      </w:pPr>
      <w:r w:rsidRPr="007428E2">
        <w:rPr>
          <w:rFonts w:ascii="Arial" w:hAnsi="Arial" w:cs="Arial"/>
        </w:rPr>
        <w:t xml:space="preserve">The annual </w:t>
      </w:r>
      <w:r w:rsidR="00B301E3" w:rsidRPr="007428E2">
        <w:rPr>
          <w:rFonts w:ascii="Arial" w:hAnsi="Arial" w:cs="Arial"/>
        </w:rPr>
        <w:t xml:space="preserve">advisory </w:t>
      </w:r>
      <w:r w:rsidRPr="007428E2">
        <w:rPr>
          <w:rFonts w:ascii="Arial" w:hAnsi="Arial" w:cs="Arial"/>
        </w:rPr>
        <w:t>mean standard</w:t>
      </w:r>
      <w:r w:rsidR="00A017A8" w:rsidRPr="007428E2">
        <w:rPr>
          <w:rFonts w:ascii="Arial" w:hAnsi="Arial" w:cs="Arial"/>
        </w:rPr>
        <w:t xml:space="preserve"> for PM</w:t>
      </w:r>
      <w:r w:rsidR="00A017A8" w:rsidRPr="007428E2">
        <w:rPr>
          <w:rFonts w:ascii="Arial" w:hAnsi="Arial" w:cs="Arial"/>
          <w:vertAlign w:val="subscript"/>
        </w:rPr>
        <w:t>2.5</w:t>
      </w:r>
      <w:r w:rsidR="00A017A8" w:rsidRPr="007428E2">
        <w:rPr>
          <w:rFonts w:ascii="Arial" w:hAnsi="Arial" w:cs="Arial"/>
        </w:rPr>
        <w:t xml:space="preserve"> </w:t>
      </w:r>
      <w:r w:rsidR="002472F5" w:rsidRPr="007428E2">
        <w:rPr>
          <w:rFonts w:ascii="Arial" w:hAnsi="Arial" w:cs="Arial"/>
        </w:rPr>
        <w:t xml:space="preserve">of 8 </w:t>
      </w:r>
      <w:proofErr w:type="spellStart"/>
      <w:r w:rsidR="002472F5" w:rsidRPr="007428E2">
        <w:rPr>
          <w:rFonts w:ascii="Arial" w:hAnsi="Arial" w:cs="Arial"/>
        </w:rPr>
        <w:t>μg</w:t>
      </w:r>
      <w:proofErr w:type="spellEnd"/>
      <w:r w:rsidR="002472F5" w:rsidRPr="007428E2">
        <w:rPr>
          <w:rFonts w:ascii="Arial" w:hAnsi="Arial" w:cs="Arial"/>
        </w:rPr>
        <w:t>/m</w:t>
      </w:r>
      <w:r w:rsidR="002472F5" w:rsidRPr="007428E2">
        <w:rPr>
          <w:rFonts w:ascii="Arial" w:hAnsi="Arial" w:cs="Arial"/>
          <w:vertAlign w:val="superscript"/>
        </w:rPr>
        <w:t>3</w:t>
      </w:r>
      <w:r w:rsidR="002472F5" w:rsidRPr="007428E2">
        <w:rPr>
          <w:rFonts w:ascii="Arial" w:hAnsi="Arial" w:cs="Arial"/>
        </w:rPr>
        <w:t xml:space="preserve"> </w:t>
      </w:r>
      <w:r w:rsidR="00A017A8" w:rsidRPr="007428E2">
        <w:rPr>
          <w:rFonts w:ascii="Arial" w:hAnsi="Arial" w:cs="Arial"/>
        </w:rPr>
        <w:t xml:space="preserve">in Australia is lower than the </w:t>
      </w:r>
      <w:r w:rsidR="00B12A8C" w:rsidRPr="007428E2">
        <w:rPr>
          <w:rFonts w:ascii="Arial" w:hAnsi="Arial" w:cs="Arial"/>
        </w:rPr>
        <w:t>current</w:t>
      </w:r>
      <w:r w:rsidR="000457D9" w:rsidRPr="007428E2">
        <w:rPr>
          <w:rFonts w:ascii="Arial" w:hAnsi="Arial" w:cs="Arial"/>
        </w:rPr>
        <w:t xml:space="preserve"> </w:t>
      </w:r>
      <w:r w:rsidR="00A017A8" w:rsidRPr="007428E2">
        <w:rPr>
          <w:rFonts w:ascii="Arial" w:hAnsi="Arial" w:cs="Arial"/>
        </w:rPr>
        <w:t>WHO</w:t>
      </w:r>
      <w:r w:rsidR="000457D9" w:rsidRPr="007428E2">
        <w:rPr>
          <w:rFonts w:ascii="Arial" w:hAnsi="Arial" w:cs="Arial"/>
        </w:rPr>
        <w:t xml:space="preserve"> guideline</w:t>
      </w:r>
      <w:r w:rsidR="00946A18" w:rsidRPr="007428E2">
        <w:rPr>
          <w:rFonts w:ascii="Arial" w:hAnsi="Arial" w:cs="Arial"/>
        </w:rPr>
        <w:t>.</w:t>
      </w:r>
      <w:r w:rsidR="00471627" w:rsidRPr="007428E2">
        <w:rPr>
          <w:rFonts w:ascii="Arial" w:hAnsi="Arial" w:cs="Arial"/>
        </w:rPr>
        <w:t xml:space="preserve"> </w:t>
      </w:r>
      <w:r w:rsidR="00946A18" w:rsidRPr="007428E2">
        <w:rPr>
          <w:rFonts w:ascii="Arial" w:hAnsi="Arial" w:cs="Arial"/>
        </w:rPr>
        <w:t>T</w:t>
      </w:r>
      <w:r w:rsidR="00B12A8C" w:rsidRPr="007428E2">
        <w:rPr>
          <w:rFonts w:ascii="Arial" w:hAnsi="Arial" w:cs="Arial"/>
        </w:rPr>
        <w:t>he current 24-hr PM</w:t>
      </w:r>
      <w:r w:rsidR="00B12A8C" w:rsidRPr="007428E2">
        <w:rPr>
          <w:rFonts w:ascii="Arial" w:hAnsi="Arial" w:cs="Arial"/>
          <w:vertAlign w:val="subscript"/>
        </w:rPr>
        <w:t>2.5</w:t>
      </w:r>
      <w:r w:rsidR="00B12A8C" w:rsidRPr="007428E2">
        <w:rPr>
          <w:rFonts w:ascii="Arial" w:hAnsi="Arial" w:cs="Arial"/>
        </w:rPr>
        <w:t xml:space="preserve"> advisory reporting standard of 25 </w:t>
      </w:r>
      <w:proofErr w:type="spellStart"/>
      <w:r w:rsidR="00B12A8C" w:rsidRPr="007428E2">
        <w:rPr>
          <w:rFonts w:ascii="Arial" w:hAnsi="Arial" w:cs="Arial"/>
        </w:rPr>
        <w:t>μg</w:t>
      </w:r>
      <w:proofErr w:type="spellEnd"/>
      <w:r w:rsidR="00B12A8C" w:rsidRPr="007428E2">
        <w:rPr>
          <w:rFonts w:ascii="Arial" w:hAnsi="Arial" w:cs="Arial"/>
        </w:rPr>
        <w:t>/m</w:t>
      </w:r>
      <w:r w:rsidR="00B12A8C" w:rsidRPr="007428E2">
        <w:rPr>
          <w:rFonts w:ascii="Arial" w:hAnsi="Arial" w:cs="Arial"/>
          <w:vertAlign w:val="superscript"/>
        </w:rPr>
        <w:t>3</w:t>
      </w:r>
      <w:r w:rsidR="00B12A8C" w:rsidRPr="007428E2">
        <w:rPr>
          <w:rFonts w:ascii="Arial" w:hAnsi="Arial" w:cs="Arial"/>
        </w:rPr>
        <w:t xml:space="preserve"> is identical to the WHO 2005 guideline.</w:t>
      </w:r>
    </w:p>
    <w:p w:rsidR="00946A18" w:rsidRPr="007428E2" w:rsidRDefault="002472F5" w:rsidP="00471627">
      <w:pPr>
        <w:pStyle w:val="BulletArrows"/>
        <w:spacing w:after="240"/>
        <w:rPr>
          <w:rFonts w:ascii="Arial" w:hAnsi="Arial"/>
          <w:color w:val="auto"/>
        </w:rPr>
      </w:pPr>
      <w:r w:rsidRPr="007428E2">
        <w:rPr>
          <w:rFonts w:ascii="Arial" w:hAnsi="Arial"/>
          <w:color w:val="auto"/>
        </w:rPr>
        <w:t>Although t</w:t>
      </w:r>
      <w:r w:rsidR="000457D9" w:rsidRPr="007428E2">
        <w:rPr>
          <w:rFonts w:ascii="Arial" w:hAnsi="Arial"/>
          <w:color w:val="auto"/>
        </w:rPr>
        <w:t>he Aus</w:t>
      </w:r>
      <w:r w:rsidR="00946A18" w:rsidRPr="007428E2">
        <w:rPr>
          <w:rFonts w:ascii="Arial" w:hAnsi="Arial"/>
          <w:color w:val="auto"/>
        </w:rPr>
        <w:t xml:space="preserve">tralian PM standards are numerically </w:t>
      </w:r>
      <w:r w:rsidR="000457D9" w:rsidRPr="007428E2">
        <w:rPr>
          <w:rFonts w:ascii="Arial" w:hAnsi="Arial"/>
          <w:color w:val="auto"/>
        </w:rPr>
        <w:t>lower than</w:t>
      </w:r>
      <w:r w:rsidR="00946A18" w:rsidRPr="007428E2">
        <w:rPr>
          <w:rFonts w:ascii="Arial" w:hAnsi="Arial"/>
          <w:color w:val="auto"/>
        </w:rPr>
        <w:t>,</w:t>
      </w:r>
      <w:r w:rsidR="000457D9" w:rsidRPr="007428E2">
        <w:rPr>
          <w:rFonts w:ascii="Arial" w:hAnsi="Arial"/>
          <w:color w:val="auto"/>
        </w:rPr>
        <w:t xml:space="preserve"> </w:t>
      </w:r>
      <w:r w:rsidR="00946A18" w:rsidRPr="007428E2">
        <w:rPr>
          <w:rFonts w:ascii="Arial" w:hAnsi="Arial"/>
          <w:color w:val="auto"/>
        </w:rPr>
        <w:t xml:space="preserve">or equivalent to, </w:t>
      </w:r>
      <w:r w:rsidR="000457D9" w:rsidRPr="007428E2">
        <w:rPr>
          <w:rFonts w:ascii="Arial" w:hAnsi="Arial"/>
          <w:color w:val="auto"/>
        </w:rPr>
        <w:t xml:space="preserve">those </w:t>
      </w:r>
      <w:r w:rsidR="00946A18" w:rsidRPr="007428E2">
        <w:rPr>
          <w:rFonts w:ascii="Arial" w:hAnsi="Arial"/>
          <w:color w:val="auto"/>
        </w:rPr>
        <w:t>in other countries and regions, it is not straightforward to interpret such comparisons</w:t>
      </w:r>
      <w:r w:rsidR="00374349" w:rsidRPr="007428E2">
        <w:rPr>
          <w:rFonts w:ascii="Arial" w:hAnsi="Arial"/>
          <w:color w:val="auto"/>
        </w:rPr>
        <w:t xml:space="preserve"> and they do not necessarily mean that the Australian standards are more stringent.</w:t>
      </w:r>
      <w:r w:rsidR="00946A18" w:rsidRPr="007428E2">
        <w:rPr>
          <w:rFonts w:ascii="Arial" w:hAnsi="Arial"/>
          <w:color w:val="auto"/>
        </w:rPr>
        <w:t xml:space="preserve"> For example, to a large degree the lower standards in Australia are made possible by relatively low</w:t>
      </w:r>
      <w:r w:rsidR="000457D9" w:rsidRPr="007428E2">
        <w:rPr>
          <w:rFonts w:ascii="Arial" w:hAnsi="Arial"/>
          <w:color w:val="auto"/>
        </w:rPr>
        <w:t xml:space="preserve"> natural backgro</w:t>
      </w:r>
      <w:r w:rsidR="00946A18" w:rsidRPr="007428E2">
        <w:rPr>
          <w:rFonts w:ascii="Arial" w:hAnsi="Arial"/>
          <w:color w:val="auto"/>
        </w:rPr>
        <w:t xml:space="preserve">und concentrations </w:t>
      </w:r>
      <w:r w:rsidR="000457D9" w:rsidRPr="007428E2">
        <w:rPr>
          <w:rFonts w:ascii="Arial" w:hAnsi="Arial"/>
          <w:color w:val="auto"/>
        </w:rPr>
        <w:t xml:space="preserve">and the absence of significant anthropogenic </w:t>
      </w:r>
      <w:proofErr w:type="spellStart"/>
      <w:r w:rsidR="000457D9" w:rsidRPr="007428E2">
        <w:rPr>
          <w:rFonts w:ascii="Arial" w:hAnsi="Arial"/>
          <w:color w:val="auto"/>
        </w:rPr>
        <w:t>transboundary</w:t>
      </w:r>
      <w:proofErr w:type="spellEnd"/>
      <w:r w:rsidR="000457D9" w:rsidRPr="007428E2">
        <w:rPr>
          <w:rFonts w:ascii="Arial" w:hAnsi="Arial"/>
          <w:color w:val="auto"/>
        </w:rPr>
        <w:t xml:space="preserve"> pollution (which is a major issue in Europe, for example).</w:t>
      </w:r>
      <w:r w:rsidR="00946A18" w:rsidRPr="007428E2">
        <w:rPr>
          <w:rFonts w:ascii="Arial" w:hAnsi="Arial"/>
          <w:color w:val="auto"/>
        </w:rPr>
        <w:t xml:space="preserve"> However, as noted earlier, there would still be health benefits in Australia from setting the PM standards as low as reasonably achievable. </w:t>
      </w:r>
      <w:r w:rsidR="00EA240D" w:rsidRPr="007428E2">
        <w:rPr>
          <w:rFonts w:ascii="Arial" w:hAnsi="Arial"/>
          <w:color w:val="auto"/>
        </w:rPr>
        <w:t>Also,</w:t>
      </w:r>
      <w:r w:rsidR="00946A18" w:rsidRPr="007428E2">
        <w:rPr>
          <w:rFonts w:ascii="Arial" w:hAnsi="Arial"/>
          <w:color w:val="auto"/>
        </w:rPr>
        <w:t xml:space="preserve"> there are differences in implementation; </w:t>
      </w:r>
      <w:r w:rsidR="00233086" w:rsidRPr="007428E2">
        <w:rPr>
          <w:rFonts w:ascii="Arial" w:hAnsi="Arial"/>
          <w:color w:val="auto"/>
        </w:rPr>
        <w:t xml:space="preserve">where they are applied; and </w:t>
      </w:r>
      <w:r w:rsidR="00946A18" w:rsidRPr="007428E2">
        <w:rPr>
          <w:rFonts w:ascii="Arial" w:hAnsi="Arial"/>
          <w:color w:val="auto"/>
        </w:rPr>
        <w:t xml:space="preserve">there is no </w:t>
      </w:r>
      <w:r w:rsidR="00233086" w:rsidRPr="007428E2">
        <w:rPr>
          <w:rFonts w:ascii="Arial" w:hAnsi="Arial"/>
          <w:color w:val="auto"/>
        </w:rPr>
        <w:t xml:space="preserve">sanctions associated with non-compliance </w:t>
      </w:r>
      <w:r w:rsidR="00946A18" w:rsidRPr="007428E2">
        <w:rPr>
          <w:rFonts w:ascii="Arial" w:hAnsi="Arial"/>
          <w:color w:val="auto"/>
        </w:rPr>
        <w:t>with the standards and goals in Australia, whereas there is in other countries and regions.</w:t>
      </w:r>
    </w:p>
    <w:p w:rsidR="00A017A8" w:rsidRPr="006574FD" w:rsidRDefault="001F07D9" w:rsidP="00471627">
      <w:pPr>
        <w:pStyle w:val="ES3"/>
        <w:rPr>
          <w:rFonts w:ascii="Arial" w:hAnsi="Arial" w:cs="Arial"/>
        </w:rPr>
      </w:pPr>
      <w:r w:rsidRPr="006574FD">
        <w:rPr>
          <w:rFonts w:ascii="Arial" w:hAnsi="Arial" w:cs="Arial"/>
        </w:rPr>
        <w:t>Exposure-reduction framework</w:t>
      </w:r>
    </w:p>
    <w:p w:rsidR="00F43902" w:rsidRPr="007428E2" w:rsidRDefault="00F43902" w:rsidP="00471627">
      <w:pPr>
        <w:spacing w:after="180"/>
        <w:rPr>
          <w:rFonts w:ascii="Arial" w:hAnsi="Arial" w:cs="Arial"/>
        </w:rPr>
      </w:pPr>
      <w:r w:rsidRPr="007428E2">
        <w:rPr>
          <w:rFonts w:ascii="Arial" w:hAnsi="Arial" w:cs="Arial"/>
        </w:rPr>
        <w:t xml:space="preserve">The most prominent example of an exposure-reduction framework is the one that is currently applied in the European Union </w:t>
      </w:r>
      <w:r w:rsidR="00015461" w:rsidRPr="007428E2">
        <w:rPr>
          <w:rFonts w:ascii="Arial" w:hAnsi="Arial" w:cs="Arial"/>
        </w:rPr>
        <w:t xml:space="preserve">(EU) </w:t>
      </w:r>
      <w:r w:rsidRPr="007428E2">
        <w:rPr>
          <w:rFonts w:ascii="Arial" w:hAnsi="Arial" w:cs="Arial"/>
        </w:rPr>
        <w:t xml:space="preserve">through Directive 2008/50/EC. The </w:t>
      </w:r>
      <w:r w:rsidR="00015461" w:rsidRPr="007428E2">
        <w:rPr>
          <w:rFonts w:ascii="Arial" w:hAnsi="Arial" w:cs="Arial"/>
        </w:rPr>
        <w:t xml:space="preserve">EU </w:t>
      </w:r>
      <w:r w:rsidRPr="007428E2">
        <w:rPr>
          <w:rFonts w:ascii="Arial" w:hAnsi="Arial" w:cs="Arial"/>
        </w:rPr>
        <w:t>exposure-reduction approach is based on monitoring of PM</w:t>
      </w:r>
      <w:r w:rsidRPr="007428E2">
        <w:rPr>
          <w:rFonts w:ascii="Arial" w:hAnsi="Arial" w:cs="Arial"/>
          <w:vertAlign w:val="subscript"/>
        </w:rPr>
        <w:t>2.5</w:t>
      </w:r>
      <w:r w:rsidRPr="007428E2">
        <w:rPr>
          <w:rFonts w:ascii="Arial" w:hAnsi="Arial" w:cs="Arial"/>
        </w:rPr>
        <w:t>. Exposur</w:t>
      </w:r>
      <w:r w:rsidRPr="007428E2">
        <w:rPr>
          <w:rFonts w:ascii="Arial" w:hAnsi="Arial" w:cs="Arial"/>
          <w:lang w:eastAsia="en-US"/>
        </w:rPr>
        <w:t>e is assessed using an average exposure indicator (AEI) which is calculated as a t</w:t>
      </w:r>
      <w:r w:rsidR="00015461" w:rsidRPr="007428E2">
        <w:rPr>
          <w:rFonts w:ascii="Arial" w:hAnsi="Arial" w:cs="Arial"/>
          <w:lang w:eastAsia="en-US"/>
        </w:rPr>
        <w:t xml:space="preserve">hree-year running annual mean </w:t>
      </w:r>
      <w:r w:rsidRPr="007428E2">
        <w:rPr>
          <w:rFonts w:ascii="Arial" w:hAnsi="Arial" w:cs="Arial"/>
          <w:lang w:eastAsia="en-US"/>
        </w:rPr>
        <w:t xml:space="preserve">concentration, averaged over all urban background sampling sites in a Member State. </w:t>
      </w:r>
      <w:r w:rsidR="00015461" w:rsidRPr="007428E2">
        <w:rPr>
          <w:rFonts w:ascii="Arial" w:hAnsi="Arial" w:cs="Arial"/>
        </w:rPr>
        <w:t>The exposure-</w:t>
      </w:r>
      <w:r w:rsidRPr="007428E2">
        <w:rPr>
          <w:rFonts w:ascii="Arial" w:hAnsi="Arial" w:cs="Arial"/>
        </w:rPr>
        <w:t>reduction target</w:t>
      </w:r>
      <w:r w:rsidRPr="007428E2">
        <w:rPr>
          <w:rFonts w:ascii="Arial" w:hAnsi="Arial" w:cs="Arial"/>
          <w:lang w:eastAsia="en-US"/>
        </w:rPr>
        <w:t xml:space="preserve"> </w:t>
      </w:r>
      <w:r w:rsidRPr="007428E2">
        <w:rPr>
          <w:rFonts w:ascii="Arial" w:hAnsi="Arial" w:cs="Arial"/>
        </w:rPr>
        <w:t>applicable to each Member State is a percentage reduction by 2020</w:t>
      </w:r>
      <w:r w:rsidR="00015461" w:rsidRPr="007428E2">
        <w:rPr>
          <w:rFonts w:ascii="Arial" w:hAnsi="Arial" w:cs="Arial"/>
        </w:rPr>
        <w:t>, with the required reduction being dependent on the baseline concentration in 2010</w:t>
      </w:r>
      <w:r w:rsidRPr="007428E2">
        <w:rPr>
          <w:rFonts w:ascii="Arial" w:hAnsi="Arial" w:cs="Arial"/>
        </w:rPr>
        <w:t>. The Directive also sets an ‘Exposure Concentration Obligation’, expressed as an AEI of 20 µg/m</w:t>
      </w:r>
      <w:r w:rsidRPr="007428E2">
        <w:rPr>
          <w:rFonts w:ascii="Arial" w:hAnsi="Arial" w:cs="Arial"/>
          <w:vertAlign w:val="superscript"/>
        </w:rPr>
        <w:t>3</w:t>
      </w:r>
      <w:r w:rsidRPr="007428E2">
        <w:rPr>
          <w:rFonts w:ascii="Arial" w:hAnsi="Arial" w:cs="Arial"/>
        </w:rPr>
        <w:t>, to be met by 2015. This sets a minimum obligation on all Member States.</w:t>
      </w:r>
    </w:p>
    <w:p w:rsidR="00F43902" w:rsidRPr="007428E2" w:rsidRDefault="00F43902" w:rsidP="007B7983">
      <w:pPr>
        <w:spacing w:after="300"/>
        <w:rPr>
          <w:rFonts w:ascii="Arial" w:hAnsi="Arial" w:cs="Arial"/>
          <w:lang w:eastAsia="en-US"/>
        </w:rPr>
      </w:pPr>
      <w:r w:rsidRPr="007428E2">
        <w:rPr>
          <w:rFonts w:ascii="Arial" w:hAnsi="Arial" w:cs="Arial"/>
          <w:lang w:eastAsia="en-US"/>
        </w:rPr>
        <w:t>To understand and quantify population exposure accurately in Australia</w:t>
      </w:r>
      <w:r w:rsidR="00D61B91" w:rsidRPr="007428E2">
        <w:rPr>
          <w:rFonts w:ascii="Arial" w:hAnsi="Arial" w:cs="Arial"/>
          <w:lang w:eastAsia="en-US"/>
        </w:rPr>
        <w:t xml:space="preserve">, information would be required </w:t>
      </w:r>
      <w:r w:rsidRPr="007428E2">
        <w:rPr>
          <w:rFonts w:ascii="Arial" w:hAnsi="Arial" w:cs="Arial"/>
          <w:lang w:eastAsia="en-US"/>
        </w:rPr>
        <w:t xml:space="preserve">on both </w:t>
      </w:r>
      <w:r w:rsidR="00D61B91" w:rsidRPr="007428E2">
        <w:rPr>
          <w:rFonts w:ascii="Arial" w:hAnsi="Arial" w:cs="Arial"/>
          <w:lang w:eastAsia="en-US"/>
        </w:rPr>
        <w:t>(</w:t>
      </w:r>
      <w:proofErr w:type="spellStart"/>
      <w:r w:rsidR="00D61B91" w:rsidRPr="007428E2">
        <w:rPr>
          <w:rFonts w:ascii="Arial" w:hAnsi="Arial" w:cs="Arial"/>
          <w:lang w:eastAsia="en-US"/>
        </w:rPr>
        <w:t>i</w:t>
      </w:r>
      <w:proofErr w:type="spellEnd"/>
      <w:r w:rsidR="00D61B91" w:rsidRPr="007428E2">
        <w:rPr>
          <w:rFonts w:ascii="Arial" w:hAnsi="Arial" w:cs="Arial"/>
          <w:lang w:eastAsia="en-US"/>
        </w:rPr>
        <w:t xml:space="preserve">) </w:t>
      </w:r>
      <w:r w:rsidRPr="007428E2">
        <w:rPr>
          <w:rFonts w:ascii="Arial" w:hAnsi="Arial" w:cs="Arial"/>
          <w:lang w:eastAsia="en-US"/>
        </w:rPr>
        <w:t xml:space="preserve">the long-term average spatial distribution of air pollution and </w:t>
      </w:r>
      <w:r w:rsidR="00D61B91" w:rsidRPr="007428E2">
        <w:rPr>
          <w:rFonts w:ascii="Arial" w:hAnsi="Arial" w:cs="Arial"/>
          <w:lang w:eastAsia="en-US"/>
        </w:rPr>
        <w:t xml:space="preserve">(ii) </w:t>
      </w:r>
      <w:r w:rsidRPr="007428E2">
        <w:rPr>
          <w:rFonts w:ascii="Arial" w:hAnsi="Arial" w:cs="Arial"/>
          <w:lang w:eastAsia="en-US"/>
        </w:rPr>
        <w:t>the spatial distr</w:t>
      </w:r>
      <w:r w:rsidR="00015461" w:rsidRPr="007428E2">
        <w:rPr>
          <w:rFonts w:ascii="Arial" w:hAnsi="Arial" w:cs="Arial"/>
          <w:lang w:eastAsia="en-US"/>
        </w:rPr>
        <w:t>ibution of the population in each</w:t>
      </w:r>
      <w:r w:rsidRPr="007428E2">
        <w:rPr>
          <w:rFonts w:ascii="Arial" w:hAnsi="Arial" w:cs="Arial"/>
          <w:lang w:eastAsia="en-US"/>
        </w:rPr>
        <w:t xml:space="preserve"> </w:t>
      </w:r>
      <w:r w:rsidR="00015461" w:rsidRPr="007428E2">
        <w:rPr>
          <w:rFonts w:ascii="Arial" w:hAnsi="Arial" w:cs="Arial"/>
          <w:lang w:eastAsia="en-US"/>
        </w:rPr>
        <w:t>urban area</w:t>
      </w:r>
      <w:r w:rsidRPr="007428E2">
        <w:rPr>
          <w:rFonts w:ascii="Arial" w:hAnsi="Arial" w:cs="Arial"/>
          <w:lang w:eastAsia="en-US"/>
        </w:rPr>
        <w:t>. The tools and data to develop an</w:t>
      </w:r>
      <w:r w:rsidR="00B0027C" w:rsidRPr="007428E2">
        <w:rPr>
          <w:rFonts w:ascii="Arial" w:hAnsi="Arial" w:cs="Arial"/>
          <w:lang w:eastAsia="en-US"/>
        </w:rPr>
        <w:t xml:space="preserve"> exposure-reduction framework</w:t>
      </w:r>
      <w:r w:rsidR="005B2A08" w:rsidRPr="007428E2">
        <w:rPr>
          <w:rFonts w:ascii="Arial" w:hAnsi="Arial" w:cs="Arial"/>
          <w:lang w:eastAsia="en-US"/>
        </w:rPr>
        <w:t xml:space="preserve"> such as the one applied in the EU</w:t>
      </w:r>
      <w:r w:rsidRPr="007428E2">
        <w:rPr>
          <w:rFonts w:ascii="Arial" w:hAnsi="Arial" w:cs="Arial"/>
          <w:lang w:eastAsia="en-US"/>
        </w:rPr>
        <w:t xml:space="preserve"> would include d</w:t>
      </w:r>
      <w:r w:rsidR="00D61B91" w:rsidRPr="007428E2">
        <w:rPr>
          <w:rFonts w:ascii="Arial" w:hAnsi="Arial" w:cs="Arial"/>
        </w:rPr>
        <w:t xml:space="preserve">etailed </w:t>
      </w:r>
      <w:r w:rsidR="00B44448" w:rsidRPr="007428E2">
        <w:rPr>
          <w:rFonts w:ascii="Arial" w:hAnsi="Arial" w:cs="Arial"/>
        </w:rPr>
        <w:t xml:space="preserve">emissions </w:t>
      </w:r>
      <w:r w:rsidRPr="007428E2">
        <w:rPr>
          <w:rFonts w:ascii="Arial" w:hAnsi="Arial" w:cs="Arial"/>
        </w:rPr>
        <w:t xml:space="preserve">inventories based on a relatively fine grid, comprehensive </w:t>
      </w:r>
      <w:proofErr w:type="spellStart"/>
      <w:r w:rsidRPr="007428E2">
        <w:rPr>
          <w:rFonts w:ascii="Arial" w:hAnsi="Arial" w:cs="Arial"/>
        </w:rPr>
        <w:t>airshed</w:t>
      </w:r>
      <w:proofErr w:type="spellEnd"/>
      <w:r w:rsidRPr="007428E2">
        <w:rPr>
          <w:rFonts w:ascii="Arial" w:hAnsi="Arial" w:cs="Arial"/>
        </w:rPr>
        <w:t xml:space="preserve"> dispersion models</w:t>
      </w:r>
      <w:r w:rsidR="00D61B91" w:rsidRPr="007428E2">
        <w:rPr>
          <w:rFonts w:ascii="Arial" w:hAnsi="Arial" w:cs="Arial"/>
        </w:rPr>
        <w:t>,</w:t>
      </w:r>
      <w:r w:rsidRPr="007428E2">
        <w:rPr>
          <w:rFonts w:ascii="Arial" w:hAnsi="Arial" w:cs="Arial"/>
        </w:rPr>
        <w:t xml:space="preserve"> and high-quality monitoring data. The current </w:t>
      </w:r>
      <w:r w:rsidR="00EF24F8" w:rsidRPr="007428E2">
        <w:rPr>
          <w:rFonts w:ascii="Arial" w:hAnsi="Arial" w:cs="Arial"/>
        </w:rPr>
        <w:t>AAQ NEPM</w:t>
      </w:r>
      <w:r w:rsidRPr="007428E2">
        <w:rPr>
          <w:rFonts w:ascii="Arial" w:hAnsi="Arial" w:cs="Arial"/>
        </w:rPr>
        <w:t xml:space="preserve"> monitoring networks can provide an indication of the exposure in the area represented by each monitoring site</w:t>
      </w:r>
      <w:r w:rsidR="00FD140A" w:rsidRPr="007428E2">
        <w:rPr>
          <w:rFonts w:ascii="Arial" w:hAnsi="Arial" w:cs="Arial"/>
        </w:rPr>
        <w:t>;</w:t>
      </w:r>
      <w:r w:rsidRPr="007428E2">
        <w:rPr>
          <w:rFonts w:ascii="Arial" w:hAnsi="Arial" w:cs="Arial"/>
        </w:rPr>
        <w:t xml:space="preserve"> </w:t>
      </w:r>
      <w:r w:rsidR="00FD140A" w:rsidRPr="007428E2">
        <w:rPr>
          <w:rFonts w:ascii="Arial" w:hAnsi="Arial" w:cs="Arial"/>
        </w:rPr>
        <w:t>h</w:t>
      </w:r>
      <w:r w:rsidR="001530D7" w:rsidRPr="007428E2">
        <w:rPr>
          <w:rFonts w:ascii="Arial" w:hAnsi="Arial" w:cs="Arial"/>
        </w:rPr>
        <w:t xml:space="preserve">owever, </w:t>
      </w:r>
      <w:r w:rsidR="00D61B91" w:rsidRPr="007428E2">
        <w:rPr>
          <w:rFonts w:ascii="Arial" w:hAnsi="Arial" w:cs="Arial"/>
        </w:rPr>
        <w:t>the adoption of</w:t>
      </w:r>
      <w:r w:rsidR="001530D7" w:rsidRPr="007428E2">
        <w:rPr>
          <w:rFonts w:ascii="Arial" w:hAnsi="Arial" w:cs="Arial"/>
          <w:lang w:eastAsia="en-US"/>
        </w:rPr>
        <w:t xml:space="preserve"> an EU</w:t>
      </w:r>
      <w:r w:rsidR="00B0027C" w:rsidRPr="007428E2">
        <w:rPr>
          <w:rFonts w:ascii="Arial" w:hAnsi="Arial" w:cs="Arial"/>
          <w:lang w:eastAsia="en-US"/>
        </w:rPr>
        <w:t>-</w:t>
      </w:r>
      <w:r w:rsidR="001530D7" w:rsidRPr="007428E2">
        <w:rPr>
          <w:rFonts w:ascii="Arial" w:hAnsi="Arial" w:cs="Arial"/>
          <w:lang w:eastAsia="en-US"/>
        </w:rPr>
        <w:t>style exposure</w:t>
      </w:r>
      <w:r w:rsidR="00B0027C" w:rsidRPr="007428E2">
        <w:rPr>
          <w:rFonts w:ascii="Arial" w:hAnsi="Arial" w:cs="Arial"/>
          <w:lang w:eastAsia="en-US"/>
        </w:rPr>
        <w:t>-</w:t>
      </w:r>
      <w:r w:rsidR="001530D7" w:rsidRPr="007428E2">
        <w:rPr>
          <w:rFonts w:ascii="Arial" w:hAnsi="Arial" w:cs="Arial"/>
          <w:lang w:eastAsia="en-US"/>
        </w:rPr>
        <w:t xml:space="preserve">reduction </w:t>
      </w:r>
      <w:r w:rsidR="00B0027C" w:rsidRPr="007428E2">
        <w:rPr>
          <w:rFonts w:ascii="Arial" w:hAnsi="Arial" w:cs="Arial"/>
          <w:lang w:eastAsia="en-US"/>
        </w:rPr>
        <w:t>framework</w:t>
      </w:r>
      <w:r w:rsidR="001530D7" w:rsidRPr="007428E2">
        <w:rPr>
          <w:rFonts w:ascii="Arial" w:hAnsi="Arial" w:cs="Arial"/>
          <w:lang w:eastAsia="en-US"/>
        </w:rPr>
        <w:t xml:space="preserve"> </w:t>
      </w:r>
      <w:r w:rsidR="00D61B91" w:rsidRPr="007428E2">
        <w:rPr>
          <w:rFonts w:ascii="Arial" w:hAnsi="Arial" w:cs="Arial"/>
          <w:lang w:eastAsia="en-US"/>
        </w:rPr>
        <w:t xml:space="preserve">would require </w:t>
      </w:r>
      <w:r w:rsidR="00346351" w:rsidRPr="007428E2">
        <w:rPr>
          <w:rFonts w:ascii="Arial" w:hAnsi="Arial" w:cs="Arial"/>
          <w:lang w:eastAsia="en-US"/>
        </w:rPr>
        <w:t xml:space="preserve">a very </w:t>
      </w:r>
      <w:r w:rsidRPr="007428E2">
        <w:rPr>
          <w:rFonts w:ascii="Arial" w:hAnsi="Arial" w:cs="Arial"/>
          <w:lang w:eastAsia="en-US"/>
        </w:rPr>
        <w:t>significant investment</w:t>
      </w:r>
      <w:r w:rsidR="00346351" w:rsidRPr="007428E2">
        <w:rPr>
          <w:rFonts w:ascii="Arial" w:hAnsi="Arial" w:cs="Arial"/>
          <w:lang w:eastAsia="en-US"/>
        </w:rPr>
        <w:t xml:space="preserve"> of resources</w:t>
      </w:r>
      <w:r w:rsidRPr="007428E2">
        <w:rPr>
          <w:rFonts w:ascii="Arial" w:hAnsi="Arial" w:cs="Arial"/>
          <w:lang w:eastAsia="en-US"/>
        </w:rPr>
        <w:t>.</w:t>
      </w:r>
    </w:p>
    <w:p w:rsidR="00361D8C" w:rsidRPr="007428E2" w:rsidRDefault="00361D8C" w:rsidP="00361D8C">
      <w:pPr>
        <w:pStyle w:val="ES1"/>
        <w:rPr>
          <w:rFonts w:ascii="Arial" w:hAnsi="Arial" w:cs="Arial"/>
        </w:rPr>
      </w:pPr>
      <w:r w:rsidRPr="007428E2">
        <w:rPr>
          <w:rFonts w:ascii="Arial" w:hAnsi="Arial" w:cs="Arial"/>
        </w:rPr>
        <w:lastRenderedPageBreak/>
        <w:t>Airborne PM in Australia</w:t>
      </w:r>
    </w:p>
    <w:p w:rsidR="007366ED" w:rsidRPr="006574FD" w:rsidRDefault="00B44448" w:rsidP="00471627">
      <w:pPr>
        <w:pStyle w:val="ES2"/>
        <w:spacing w:after="180"/>
        <w:rPr>
          <w:rFonts w:ascii="Arial" w:hAnsi="Arial" w:cs="Arial"/>
        </w:rPr>
      </w:pPr>
      <w:r w:rsidRPr="006574FD">
        <w:rPr>
          <w:rFonts w:ascii="Arial" w:hAnsi="Arial" w:cs="Arial"/>
        </w:rPr>
        <w:t xml:space="preserve">Emissions </w:t>
      </w:r>
      <w:r w:rsidR="007366ED" w:rsidRPr="006574FD">
        <w:rPr>
          <w:rFonts w:ascii="Arial" w:hAnsi="Arial" w:cs="Arial"/>
        </w:rPr>
        <w:t>inventories and projections</w:t>
      </w:r>
    </w:p>
    <w:p w:rsidR="007366ED" w:rsidRPr="007428E2" w:rsidRDefault="007366ED" w:rsidP="00471627">
      <w:pPr>
        <w:pStyle w:val="BulletArrows"/>
        <w:tabs>
          <w:tab w:val="left" w:pos="284"/>
        </w:tabs>
        <w:spacing w:after="180"/>
        <w:rPr>
          <w:rFonts w:ascii="Arial" w:hAnsi="Arial"/>
          <w:color w:val="auto"/>
          <w:szCs w:val="18"/>
        </w:rPr>
      </w:pPr>
      <w:r w:rsidRPr="007428E2">
        <w:rPr>
          <w:rFonts w:ascii="Arial" w:hAnsi="Arial"/>
          <w:color w:val="auto"/>
          <w:szCs w:val="18"/>
        </w:rPr>
        <w:t>Five</w:t>
      </w:r>
      <w:r w:rsidR="00135B52" w:rsidRPr="007428E2">
        <w:rPr>
          <w:rFonts w:ascii="Arial" w:hAnsi="Arial"/>
          <w:color w:val="auto"/>
          <w:szCs w:val="18"/>
        </w:rPr>
        <w:t xml:space="preserve"> jurisdictions in Australia</w:t>
      </w:r>
      <w:r w:rsidR="00E92948" w:rsidRPr="007428E2">
        <w:rPr>
          <w:rFonts w:ascii="Arial" w:hAnsi="Arial"/>
          <w:color w:val="auto"/>
          <w:szCs w:val="18"/>
        </w:rPr>
        <w:t>,</w:t>
      </w:r>
      <w:r w:rsidR="00135B52" w:rsidRPr="007428E2">
        <w:rPr>
          <w:rFonts w:ascii="Arial" w:hAnsi="Arial"/>
          <w:color w:val="auto"/>
          <w:szCs w:val="18"/>
        </w:rPr>
        <w:t xml:space="preserve"> includ</w:t>
      </w:r>
      <w:r w:rsidRPr="007428E2">
        <w:rPr>
          <w:rFonts w:ascii="Arial" w:hAnsi="Arial"/>
          <w:color w:val="auto"/>
          <w:szCs w:val="18"/>
        </w:rPr>
        <w:t xml:space="preserve">ing the major urban centres </w:t>
      </w:r>
      <w:r w:rsidR="00E92948" w:rsidRPr="007428E2">
        <w:rPr>
          <w:rFonts w:ascii="Arial" w:hAnsi="Arial"/>
          <w:color w:val="auto"/>
          <w:szCs w:val="18"/>
        </w:rPr>
        <w:t xml:space="preserve">of </w:t>
      </w:r>
      <w:r w:rsidRPr="007428E2">
        <w:rPr>
          <w:rFonts w:ascii="Arial" w:hAnsi="Arial"/>
          <w:color w:val="auto"/>
          <w:szCs w:val="18"/>
        </w:rPr>
        <w:t>Sydney, Melbourne, Brisbane, Perth and Adelaide have d</w:t>
      </w:r>
      <w:r w:rsidR="00174B85" w:rsidRPr="007428E2">
        <w:rPr>
          <w:rFonts w:ascii="Arial" w:hAnsi="Arial"/>
          <w:color w:val="auto"/>
          <w:szCs w:val="18"/>
        </w:rPr>
        <w:t xml:space="preserve">eveloped </w:t>
      </w:r>
      <w:r w:rsidR="00B44448" w:rsidRPr="007428E2">
        <w:rPr>
          <w:rFonts w:ascii="Arial" w:hAnsi="Arial"/>
          <w:color w:val="auto"/>
          <w:szCs w:val="18"/>
        </w:rPr>
        <w:t xml:space="preserve">emissions </w:t>
      </w:r>
      <w:r w:rsidR="00174B85" w:rsidRPr="007428E2">
        <w:rPr>
          <w:rFonts w:ascii="Arial" w:hAnsi="Arial"/>
          <w:color w:val="auto"/>
          <w:szCs w:val="18"/>
        </w:rPr>
        <w:t>inventories</w:t>
      </w:r>
      <w:r w:rsidR="00FD140A" w:rsidRPr="007428E2">
        <w:rPr>
          <w:rFonts w:ascii="Arial" w:hAnsi="Arial"/>
          <w:color w:val="auto"/>
          <w:szCs w:val="18"/>
        </w:rPr>
        <w:t>;</w:t>
      </w:r>
      <w:r w:rsidR="00174B85" w:rsidRPr="007428E2">
        <w:rPr>
          <w:rFonts w:ascii="Arial" w:hAnsi="Arial"/>
          <w:color w:val="auto"/>
          <w:szCs w:val="18"/>
        </w:rPr>
        <w:t xml:space="preserve"> </w:t>
      </w:r>
      <w:r w:rsidR="00FD140A" w:rsidRPr="007428E2">
        <w:rPr>
          <w:rFonts w:ascii="Arial" w:hAnsi="Arial"/>
          <w:color w:val="auto"/>
          <w:szCs w:val="18"/>
        </w:rPr>
        <w:t>h</w:t>
      </w:r>
      <w:r w:rsidR="00015461" w:rsidRPr="007428E2">
        <w:rPr>
          <w:rFonts w:ascii="Arial" w:hAnsi="Arial"/>
          <w:color w:val="auto"/>
          <w:szCs w:val="18"/>
        </w:rPr>
        <w:t>owever, t</w:t>
      </w:r>
      <w:r w:rsidRPr="007428E2">
        <w:rPr>
          <w:rFonts w:ascii="Arial" w:hAnsi="Arial"/>
          <w:color w:val="auto"/>
          <w:szCs w:val="18"/>
        </w:rPr>
        <w:t xml:space="preserve">here is </w:t>
      </w:r>
      <w:r w:rsidR="007C1B4A" w:rsidRPr="007428E2">
        <w:rPr>
          <w:rFonts w:ascii="Arial" w:hAnsi="Arial"/>
          <w:color w:val="auto"/>
          <w:szCs w:val="18"/>
        </w:rPr>
        <w:t xml:space="preserve">varying </w:t>
      </w:r>
      <w:r w:rsidRPr="007428E2">
        <w:rPr>
          <w:rFonts w:ascii="Arial" w:hAnsi="Arial"/>
          <w:color w:val="auto"/>
          <w:szCs w:val="18"/>
        </w:rPr>
        <w:t>consistency across the jurisdictional inventories and projectio</w:t>
      </w:r>
      <w:r w:rsidR="00135B52" w:rsidRPr="007428E2">
        <w:rPr>
          <w:rFonts w:ascii="Arial" w:hAnsi="Arial"/>
          <w:color w:val="auto"/>
          <w:szCs w:val="18"/>
        </w:rPr>
        <w:t xml:space="preserve">ns in terms of nomenclature, </w:t>
      </w:r>
      <w:r w:rsidRPr="007428E2">
        <w:rPr>
          <w:rFonts w:ascii="Arial" w:hAnsi="Arial"/>
          <w:color w:val="auto"/>
          <w:szCs w:val="18"/>
        </w:rPr>
        <w:t>methodol</w:t>
      </w:r>
      <w:r w:rsidR="00135B52" w:rsidRPr="007428E2">
        <w:rPr>
          <w:rFonts w:ascii="Arial" w:hAnsi="Arial"/>
          <w:color w:val="auto"/>
          <w:szCs w:val="18"/>
        </w:rPr>
        <w:t>ogy</w:t>
      </w:r>
      <w:r w:rsidRPr="007428E2">
        <w:rPr>
          <w:rFonts w:ascii="Arial" w:hAnsi="Arial"/>
          <w:color w:val="auto"/>
          <w:szCs w:val="18"/>
        </w:rPr>
        <w:t xml:space="preserve"> and </w:t>
      </w:r>
      <w:r w:rsidR="00135B52" w:rsidRPr="007428E2">
        <w:rPr>
          <w:rFonts w:ascii="Arial" w:hAnsi="Arial"/>
          <w:color w:val="auto"/>
          <w:szCs w:val="18"/>
        </w:rPr>
        <w:t>overall quality</w:t>
      </w:r>
      <w:r w:rsidRPr="007428E2">
        <w:rPr>
          <w:rFonts w:ascii="Arial" w:hAnsi="Arial"/>
          <w:color w:val="auto"/>
          <w:szCs w:val="18"/>
        </w:rPr>
        <w:t>.</w:t>
      </w:r>
    </w:p>
    <w:p w:rsidR="007366ED" w:rsidRPr="007428E2" w:rsidRDefault="007366ED" w:rsidP="00471627">
      <w:pPr>
        <w:pStyle w:val="BulletArrows"/>
        <w:tabs>
          <w:tab w:val="left" w:pos="284"/>
        </w:tabs>
        <w:spacing w:after="180"/>
        <w:rPr>
          <w:rFonts w:ascii="Arial" w:hAnsi="Arial"/>
        </w:rPr>
      </w:pPr>
      <w:r w:rsidRPr="007428E2">
        <w:rPr>
          <w:rFonts w:ascii="Arial" w:hAnsi="Arial"/>
          <w:color w:val="auto"/>
          <w:szCs w:val="18"/>
        </w:rPr>
        <w:t xml:space="preserve">The most important sectors of activity </w:t>
      </w:r>
      <w:r w:rsidR="00135B52" w:rsidRPr="007428E2">
        <w:rPr>
          <w:rFonts w:ascii="Arial" w:hAnsi="Arial"/>
          <w:color w:val="auto"/>
          <w:szCs w:val="18"/>
        </w:rPr>
        <w:t xml:space="preserve">also </w:t>
      </w:r>
      <w:r w:rsidRPr="007428E2">
        <w:rPr>
          <w:rFonts w:ascii="Arial" w:hAnsi="Arial"/>
          <w:color w:val="auto"/>
          <w:szCs w:val="18"/>
        </w:rPr>
        <w:t xml:space="preserve">differ by jurisdiction. </w:t>
      </w:r>
      <w:r w:rsidR="00174B85" w:rsidRPr="007428E2">
        <w:rPr>
          <w:rFonts w:ascii="Arial" w:hAnsi="Arial"/>
          <w:color w:val="auto"/>
          <w:szCs w:val="18"/>
        </w:rPr>
        <w:t>For example, i</w:t>
      </w:r>
      <w:r w:rsidR="007B7983" w:rsidRPr="007428E2">
        <w:rPr>
          <w:rFonts w:ascii="Arial" w:hAnsi="Arial"/>
          <w:color w:val="auto"/>
          <w:szCs w:val="18"/>
        </w:rPr>
        <w:t>n NSW the largest</w:t>
      </w:r>
      <w:r w:rsidRPr="007428E2">
        <w:rPr>
          <w:rFonts w:ascii="Arial" w:hAnsi="Arial"/>
          <w:color w:val="auto"/>
          <w:szCs w:val="18"/>
        </w:rPr>
        <w:t xml:space="preserve"> source of PM</w:t>
      </w:r>
      <w:r w:rsidRPr="007428E2">
        <w:rPr>
          <w:rFonts w:ascii="Arial" w:hAnsi="Arial"/>
          <w:color w:val="auto"/>
          <w:szCs w:val="18"/>
          <w:vertAlign w:val="subscript"/>
        </w:rPr>
        <w:t>10</w:t>
      </w:r>
      <w:r w:rsidRPr="007428E2">
        <w:rPr>
          <w:rFonts w:ascii="Arial" w:hAnsi="Arial"/>
          <w:color w:val="auto"/>
          <w:szCs w:val="18"/>
        </w:rPr>
        <w:t xml:space="preserve"> and PM</w:t>
      </w:r>
      <w:r w:rsidRPr="007428E2">
        <w:rPr>
          <w:rFonts w:ascii="Arial" w:hAnsi="Arial"/>
          <w:color w:val="auto"/>
          <w:szCs w:val="18"/>
          <w:vertAlign w:val="subscript"/>
        </w:rPr>
        <w:t>2.5</w:t>
      </w:r>
      <w:r w:rsidR="00135B52" w:rsidRPr="007428E2">
        <w:rPr>
          <w:rFonts w:ascii="Arial" w:hAnsi="Arial"/>
          <w:color w:val="auto"/>
          <w:szCs w:val="18"/>
        </w:rPr>
        <w:t xml:space="preserve"> is coal mining</w:t>
      </w:r>
      <w:r w:rsidRPr="007428E2">
        <w:rPr>
          <w:rFonts w:ascii="Arial" w:hAnsi="Arial"/>
          <w:color w:val="auto"/>
          <w:szCs w:val="18"/>
        </w:rPr>
        <w:t>.</w:t>
      </w:r>
      <w:r w:rsidR="00346351" w:rsidRPr="007428E2">
        <w:rPr>
          <w:rFonts w:ascii="Arial" w:hAnsi="Arial"/>
          <w:color w:val="auto"/>
          <w:szCs w:val="18"/>
        </w:rPr>
        <w:t xml:space="preserve"> In metropolitan areas wood heaters, diesel engines and industry are significant sources.</w:t>
      </w:r>
      <w:r w:rsidR="005E09D0" w:rsidRPr="007428E2">
        <w:rPr>
          <w:rFonts w:ascii="Arial" w:hAnsi="Arial"/>
          <w:color w:val="auto"/>
          <w:szCs w:val="18"/>
        </w:rPr>
        <w:t xml:space="preserve"> </w:t>
      </w:r>
      <w:r w:rsidRPr="007428E2">
        <w:rPr>
          <w:rFonts w:ascii="Arial" w:hAnsi="Arial"/>
          <w:color w:val="auto"/>
          <w:szCs w:val="18"/>
        </w:rPr>
        <w:t xml:space="preserve">Domestic/commercial sources (notably wood heaters) are the most important </w:t>
      </w:r>
      <w:r w:rsidR="002472F5" w:rsidRPr="007428E2">
        <w:rPr>
          <w:rFonts w:ascii="Arial" w:hAnsi="Arial"/>
          <w:color w:val="auto"/>
          <w:szCs w:val="18"/>
        </w:rPr>
        <w:t xml:space="preserve">in </w:t>
      </w:r>
      <w:r w:rsidRPr="007428E2">
        <w:rPr>
          <w:rFonts w:ascii="Arial" w:hAnsi="Arial"/>
          <w:color w:val="auto"/>
          <w:szCs w:val="18"/>
        </w:rPr>
        <w:t>Tasmania</w:t>
      </w:r>
      <w:r w:rsidR="00135B52" w:rsidRPr="007428E2">
        <w:rPr>
          <w:rFonts w:ascii="Arial" w:hAnsi="Arial"/>
          <w:color w:val="auto"/>
          <w:szCs w:val="18"/>
        </w:rPr>
        <w:t xml:space="preserve"> (TAS)</w:t>
      </w:r>
      <w:r w:rsidRPr="007428E2">
        <w:rPr>
          <w:rFonts w:ascii="Arial" w:hAnsi="Arial"/>
          <w:color w:val="auto"/>
          <w:szCs w:val="18"/>
        </w:rPr>
        <w:t>.</w:t>
      </w:r>
      <w:r w:rsidR="00174B85" w:rsidRPr="007428E2">
        <w:rPr>
          <w:rFonts w:ascii="Arial" w:hAnsi="Arial"/>
          <w:color w:val="auto"/>
          <w:szCs w:val="18"/>
        </w:rPr>
        <w:t xml:space="preserve"> </w:t>
      </w:r>
      <w:r w:rsidR="0039442F" w:rsidRPr="007428E2">
        <w:rPr>
          <w:rFonts w:ascii="Arial" w:hAnsi="Arial"/>
          <w:color w:val="auto"/>
          <w:szCs w:val="18"/>
        </w:rPr>
        <w:t>In Victoria</w:t>
      </w:r>
      <w:r w:rsidR="00135B52" w:rsidRPr="007428E2">
        <w:rPr>
          <w:rFonts w:ascii="Arial" w:hAnsi="Arial"/>
          <w:color w:val="auto"/>
          <w:szCs w:val="18"/>
        </w:rPr>
        <w:t xml:space="preserve"> (VIC)</w:t>
      </w:r>
      <w:r w:rsidR="007B7983" w:rsidRPr="007428E2">
        <w:rPr>
          <w:rFonts w:ascii="Arial" w:hAnsi="Arial"/>
          <w:color w:val="auto"/>
          <w:szCs w:val="18"/>
        </w:rPr>
        <w:t xml:space="preserve">, the largest </w:t>
      </w:r>
      <w:r w:rsidR="0039442F" w:rsidRPr="007428E2">
        <w:rPr>
          <w:rFonts w:ascii="Arial" w:hAnsi="Arial"/>
          <w:color w:val="auto"/>
          <w:szCs w:val="18"/>
        </w:rPr>
        <w:t>sources are wood heaters, industry and diesel vehicles.</w:t>
      </w:r>
      <w:r w:rsidR="004B4989" w:rsidRPr="007428E2">
        <w:rPr>
          <w:rFonts w:ascii="Arial" w:hAnsi="Arial"/>
          <w:color w:val="auto"/>
          <w:szCs w:val="18"/>
        </w:rPr>
        <w:t xml:space="preserve"> </w:t>
      </w:r>
      <w:r w:rsidR="00015461" w:rsidRPr="007428E2">
        <w:rPr>
          <w:rFonts w:ascii="Arial" w:hAnsi="Arial"/>
        </w:rPr>
        <w:t>Mobile sources a</w:t>
      </w:r>
      <w:r w:rsidR="00174B85" w:rsidRPr="007428E2">
        <w:rPr>
          <w:rFonts w:ascii="Arial" w:hAnsi="Arial"/>
        </w:rPr>
        <w:t>re also important contributors to PM</w:t>
      </w:r>
      <w:r w:rsidR="00174B85" w:rsidRPr="007428E2">
        <w:rPr>
          <w:rFonts w:ascii="Arial" w:hAnsi="Arial"/>
          <w:vertAlign w:val="subscript"/>
        </w:rPr>
        <w:t>10</w:t>
      </w:r>
      <w:r w:rsidR="00174B85" w:rsidRPr="007428E2">
        <w:rPr>
          <w:rFonts w:ascii="Arial" w:hAnsi="Arial"/>
        </w:rPr>
        <w:t xml:space="preserve"> and PM</w:t>
      </w:r>
      <w:r w:rsidR="00174B85" w:rsidRPr="007428E2">
        <w:rPr>
          <w:rFonts w:ascii="Arial" w:hAnsi="Arial"/>
          <w:vertAlign w:val="subscript"/>
        </w:rPr>
        <w:t>2.5</w:t>
      </w:r>
      <w:r w:rsidR="00174B85" w:rsidRPr="007428E2">
        <w:rPr>
          <w:rFonts w:ascii="Arial" w:hAnsi="Arial"/>
        </w:rPr>
        <w:t xml:space="preserve"> in some jurisdictions.</w:t>
      </w:r>
    </w:p>
    <w:p w:rsidR="007366ED" w:rsidRPr="007428E2" w:rsidRDefault="007366ED" w:rsidP="00361D8C">
      <w:pPr>
        <w:pStyle w:val="BulletArrows"/>
        <w:tabs>
          <w:tab w:val="left" w:pos="284"/>
        </w:tabs>
        <w:spacing w:after="240"/>
        <w:rPr>
          <w:rFonts w:ascii="Arial" w:hAnsi="Arial"/>
          <w:color w:val="auto"/>
          <w:szCs w:val="18"/>
        </w:rPr>
      </w:pPr>
      <w:r w:rsidRPr="007428E2">
        <w:rPr>
          <w:rFonts w:ascii="Arial" w:hAnsi="Arial"/>
          <w:color w:val="auto"/>
          <w:szCs w:val="18"/>
        </w:rPr>
        <w:t>In all jurisdictions emissions of PM</w:t>
      </w:r>
      <w:r w:rsidRPr="007428E2">
        <w:rPr>
          <w:rFonts w:ascii="Arial" w:hAnsi="Arial"/>
          <w:color w:val="auto"/>
          <w:szCs w:val="18"/>
          <w:vertAlign w:val="subscript"/>
        </w:rPr>
        <w:t>10</w:t>
      </w:r>
      <w:r w:rsidRPr="007428E2">
        <w:rPr>
          <w:rFonts w:ascii="Arial" w:hAnsi="Arial"/>
          <w:color w:val="auto"/>
          <w:szCs w:val="18"/>
        </w:rPr>
        <w:t xml:space="preserve"> and PM</w:t>
      </w:r>
      <w:r w:rsidRPr="007428E2">
        <w:rPr>
          <w:rFonts w:ascii="Arial" w:hAnsi="Arial"/>
          <w:color w:val="auto"/>
          <w:szCs w:val="18"/>
          <w:vertAlign w:val="subscript"/>
        </w:rPr>
        <w:t>2.5</w:t>
      </w:r>
      <w:r w:rsidR="00015461" w:rsidRPr="007428E2">
        <w:rPr>
          <w:rFonts w:ascii="Arial" w:hAnsi="Arial"/>
          <w:color w:val="auto"/>
          <w:szCs w:val="18"/>
        </w:rPr>
        <w:t xml:space="preserve"> have been</w:t>
      </w:r>
      <w:r w:rsidRPr="007428E2">
        <w:rPr>
          <w:rFonts w:ascii="Arial" w:hAnsi="Arial"/>
          <w:color w:val="auto"/>
          <w:szCs w:val="18"/>
        </w:rPr>
        <w:t xml:space="preserve"> projected to increase between 2011 and 2036, </w:t>
      </w:r>
      <w:r w:rsidR="007C1B4A" w:rsidRPr="007428E2">
        <w:rPr>
          <w:rFonts w:ascii="Arial" w:hAnsi="Arial"/>
          <w:color w:val="auto"/>
          <w:szCs w:val="18"/>
        </w:rPr>
        <w:t>based on</w:t>
      </w:r>
      <w:r w:rsidR="00135B52" w:rsidRPr="007428E2">
        <w:rPr>
          <w:rFonts w:ascii="Arial" w:hAnsi="Arial"/>
          <w:color w:val="auto"/>
          <w:szCs w:val="18"/>
        </w:rPr>
        <w:t>, for example,</w:t>
      </w:r>
      <w:r w:rsidR="007C1B4A" w:rsidRPr="007428E2">
        <w:rPr>
          <w:rFonts w:ascii="Arial" w:hAnsi="Arial"/>
          <w:color w:val="auto"/>
          <w:szCs w:val="18"/>
        </w:rPr>
        <w:t xml:space="preserve"> Australian Bureau of Statistics population and industry forecasts.</w:t>
      </w:r>
      <w:r w:rsidR="00B0027C" w:rsidRPr="007428E2">
        <w:rPr>
          <w:rFonts w:ascii="Arial" w:hAnsi="Arial"/>
          <w:color w:val="auto"/>
          <w:szCs w:val="18"/>
        </w:rPr>
        <w:t xml:space="preserve"> However, the</w:t>
      </w:r>
      <w:r w:rsidR="007C1B4A" w:rsidRPr="007428E2">
        <w:rPr>
          <w:rFonts w:ascii="Arial" w:hAnsi="Arial"/>
          <w:color w:val="auto"/>
          <w:szCs w:val="18"/>
        </w:rPr>
        <w:t xml:space="preserve"> </w:t>
      </w:r>
      <w:r w:rsidR="00B0027C" w:rsidRPr="007428E2">
        <w:rPr>
          <w:rFonts w:ascii="Arial" w:hAnsi="Arial"/>
          <w:color w:val="auto"/>
          <w:szCs w:val="18"/>
        </w:rPr>
        <w:t>p</w:t>
      </w:r>
      <w:r w:rsidRPr="007428E2">
        <w:rPr>
          <w:rFonts w:ascii="Arial" w:hAnsi="Arial"/>
          <w:color w:val="auto"/>
          <w:szCs w:val="18"/>
        </w:rPr>
        <w:t>rojections vary considerably from jurisdiction to jurisdiction.</w:t>
      </w:r>
      <w:r w:rsidR="00174B85" w:rsidRPr="007428E2">
        <w:rPr>
          <w:rFonts w:ascii="Arial" w:hAnsi="Arial"/>
        </w:rPr>
        <w:t xml:space="preserve"> For example, in</w:t>
      </w:r>
      <w:r w:rsidR="00015461" w:rsidRPr="007428E2">
        <w:rPr>
          <w:rFonts w:ascii="Arial" w:hAnsi="Arial"/>
        </w:rPr>
        <w:t xml:space="preserve"> NSW, Queensland</w:t>
      </w:r>
      <w:r w:rsidR="00135B52" w:rsidRPr="007428E2">
        <w:rPr>
          <w:rFonts w:ascii="Arial" w:hAnsi="Arial"/>
        </w:rPr>
        <w:t xml:space="preserve"> (QLD)</w:t>
      </w:r>
      <w:r w:rsidR="00015461" w:rsidRPr="007428E2">
        <w:rPr>
          <w:rFonts w:ascii="Arial" w:hAnsi="Arial"/>
        </w:rPr>
        <w:t xml:space="preserve"> and </w:t>
      </w:r>
      <w:r w:rsidR="00135B52" w:rsidRPr="007428E2">
        <w:rPr>
          <w:rFonts w:ascii="Arial" w:hAnsi="Arial"/>
        </w:rPr>
        <w:t>Western Australia (</w:t>
      </w:r>
      <w:r w:rsidR="00015461" w:rsidRPr="007428E2">
        <w:rPr>
          <w:rFonts w:ascii="Arial" w:hAnsi="Arial"/>
        </w:rPr>
        <w:t>WA</w:t>
      </w:r>
      <w:r w:rsidR="00135B52" w:rsidRPr="007428E2">
        <w:rPr>
          <w:rFonts w:ascii="Arial" w:hAnsi="Arial"/>
        </w:rPr>
        <w:t>)</w:t>
      </w:r>
      <w:r w:rsidR="00015461" w:rsidRPr="007428E2">
        <w:rPr>
          <w:rFonts w:ascii="Arial" w:hAnsi="Arial"/>
        </w:rPr>
        <w:t xml:space="preserve"> there is a projected</w:t>
      </w:r>
      <w:r w:rsidR="00174B85" w:rsidRPr="007428E2">
        <w:rPr>
          <w:rFonts w:ascii="Arial" w:hAnsi="Arial"/>
        </w:rPr>
        <w:t xml:space="preserve"> increase in PM</w:t>
      </w:r>
      <w:r w:rsidR="00174B85" w:rsidRPr="007428E2">
        <w:rPr>
          <w:rFonts w:ascii="Arial" w:hAnsi="Arial"/>
          <w:vertAlign w:val="subscript"/>
        </w:rPr>
        <w:t>10</w:t>
      </w:r>
      <w:r w:rsidR="00174B85" w:rsidRPr="007428E2">
        <w:rPr>
          <w:rFonts w:ascii="Arial" w:hAnsi="Arial"/>
        </w:rPr>
        <w:t xml:space="preserve"> emissions of around 65%, </w:t>
      </w:r>
      <w:r w:rsidR="00135B52" w:rsidRPr="007428E2">
        <w:rPr>
          <w:rFonts w:ascii="Arial" w:hAnsi="Arial"/>
        </w:rPr>
        <w:t>whereas in VIC</w:t>
      </w:r>
      <w:r w:rsidR="00015461" w:rsidRPr="007428E2">
        <w:rPr>
          <w:rFonts w:ascii="Arial" w:hAnsi="Arial"/>
        </w:rPr>
        <w:t xml:space="preserve"> and </w:t>
      </w:r>
      <w:r w:rsidR="00135B52" w:rsidRPr="007428E2">
        <w:rPr>
          <w:rFonts w:ascii="Arial" w:hAnsi="Arial"/>
        </w:rPr>
        <w:t>South Australia (</w:t>
      </w:r>
      <w:r w:rsidR="00015461" w:rsidRPr="007428E2">
        <w:rPr>
          <w:rFonts w:ascii="Arial" w:hAnsi="Arial"/>
        </w:rPr>
        <w:t>SA</w:t>
      </w:r>
      <w:r w:rsidR="00135B52" w:rsidRPr="007428E2">
        <w:rPr>
          <w:rFonts w:ascii="Arial" w:hAnsi="Arial"/>
        </w:rPr>
        <w:t>)</w:t>
      </w:r>
      <w:r w:rsidR="00015461" w:rsidRPr="007428E2">
        <w:rPr>
          <w:rFonts w:ascii="Arial" w:hAnsi="Arial"/>
        </w:rPr>
        <w:t xml:space="preserve"> it i</w:t>
      </w:r>
      <w:r w:rsidR="00174B85" w:rsidRPr="007428E2">
        <w:rPr>
          <w:rFonts w:ascii="Arial" w:hAnsi="Arial"/>
        </w:rPr>
        <w:t xml:space="preserve">s around 10%. The </w:t>
      </w:r>
      <w:r w:rsidR="009F06DE" w:rsidRPr="007428E2">
        <w:rPr>
          <w:rFonts w:ascii="Arial" w:hAnsi="Arial"/>
        </w:rPr>
        <w:t xml:space="preserve">projected </w:t>
      </w:r>
      <w:r w:rsidR="00174B85" w:rsidRPr="007428E2">
        <w:rPr>
          <w:rFonts w:ascii="Arial" w:hAnsi="Arial"/>
        </w:rPr>
        <w:t>increase in PM</w:t>
      </w:r>
      <w:r w:rsidR="00174B85" w:rsidRPr="007428E2">
        <w:rPr>
          <w:rFonts w:ascii="Arial" w:hAnsi="Arial"/>
          <w:vertAlign w:val="subscript"/>
        </w:rPr>
        <w:t>2.5</w:t>
      </w:r>
      <w:r w:rsidR="00015461" w:rsidRPr="007428E2">
        <w:rPr>
          <w:rFonts w:ascii="Arial" w:hAnsi="Arial"/>
        </w:rPr>
        <w:t xml:space="preserve"> emissions ranges</w:t>
      </w:r>
      <w:r w:rsidR="00135B52" w:rsidRPr="007428E2">
        <w:rPr>
          <w:rFonts w:ascii="Arial" w:hAnsi="Arial"/>
        </w:rPr>
        <w:t xml:space="preserve"> from 8% in VIC</w:t>
      </w:r>
      <w:r w:rsidR="00174B85" w:rsidRPr="007428E2">
        <w:rPr>
          <w:rFonts w:ascii="Arial" w:hAnsi="Arial"/>
        </w:rPr>
        <w:t xml:space="preserve"> to around 65% in WA.</w:t>
      </w:r>
    </w:p>
    <w:p w:rsidR="007366ED" w:rsidRPr="006574FD" w:rsidRDefault="007366ED" w:rsidP="00471627">
      <w:pPr>
        <w:pStyle w:val="ES2"/>
        <w:spacing w:after="180"/>
        <w:rPr>
          <w:rFonts w:ascii="Arial" w:hAnsi="Arial" w:cs="Arial"/>
        </w:rPr>
      </w:pPr>
      <w:r w:rsidRPr="006574FD">
        <w:rPr>
          <w:rFonts w:ascii="Arial" w:hAnsi="Arial" w:cs="Arial"/>
        </w:rPr>
        <w:t>Ambient PM concentrations</w:t>
      </w:r>
    </w:p>
    <w:p w:rsidR="00174B85" w:rsidRPr="007428E2" w:rsidRDefault="00E92948" w:rsidP="00471627">
      <w:pPr>
        <w:pStyle w:val="BulletArrows"/>
        <w:spacing w:after="180"/>
        <w:rPr>
          <w:rFonts w:ascii="Arial" w:hAnsi="Arial"/>
        </w:rPr>
      </w:pPr>
      <w:r w:rsidRPr="007428E2">
        <w:rPr>
          <w:rFonts w:ascii="Arial" w:hAnsi="Arial"/>
        </w:rPr>
        <w:t xml:space="preserve">The </w:t>
      </w:r>
      <w:r w:rsidR="00174B85" w:rsidRPr="007428E2">
        <w:rPr>
          <w:rFonts w:ascii="Arial" w:hAnsi="Arial"/>
        </w:rPr>
        <w:t xml:space="preserve">air quality environment in Australia </w:t>
      </w:r>
      <w:r w:rsidR="00A91C53" w:rsidRPr="007428E2">
        <w:rPr>
          <w:rFonts w:ascii="Arial" w:hAnsi="Arial"/>
        </w:rPr>
        <w:t xml:space="preserve">is characterised </w:t>
      </w:r>
      <w:r w:rsidR="00174B85" w:rsidRPr="007428E2">
        <w:rPr>
          <w:rFonts w:ascii="Arial" w:hAnsi="Arial"/>
        </w:rPr>
        <w:t>with respect to PM</w:t>
      </w:r>
      <w:r w:rsidR="00174B85" w:rsidRPr="007428E2">
        <w:rPr>
          <w:rFonts w:ascii="Arial" w:hAnsi="Arial"/>
          <w:vertAlign w:val="subscript"/>
        </w:rPr>
        <w:t>10</w:t>
      </w:r>
      <w:r w:rsidR="00174B85" w:rsidRPr="007428E2">
        <w:rPr>
          <w:rFonts w:ascii="Arial" w:hAnsi="Arial"/>
        </w:rPr>
        <w:t xml:space="preserve"> and PM</w:t>
      </w:r>
      <w:r w:rsidR="00174B85" w:rsidRPr="007428E2">
        <w:rPr>
          <w:rFonts w:ascii="Arial" w:hAnsi="Arial"/>
          <w:vertAlign w:val="subscript"/>
        </w:rPr>
        <w:t>2.5</w:t>
      </w:r>
      <w:r w:rsidR="00174B85" w:rsidRPr="007428E2">
        <w:rPr>
          <w:rFonts w:ascii="Arial" w:hAnsi="Arial"/>
        </w:rPr>
        <w:t>, so that the options for the</w:t>
      </w:r>
      <w:r w:rsidR="004822A5" w:rsidRPr="007428E2">
        <w:rPr>
          <w:rFonts w:ascii="Arial" w:hAnsi="Arial"/>
        </w:rPr>
        <w:t xml:space="preserve"> </w:t>
      </w:r>
      <w:r w:rsidR="00EF24F8" w:rsidRPr="007428E2">
        <w:rPr>
          <w:rFonts w:ascii="Arial" w:hAnsi="Arial"/>
        </w:rPr>
        <w:t>AAQ NEPM</w:t>
      </w:r>
      <w:r w:rsidR="00174B85" w:rsidRPr="007428E2">
        <w:rPr>
          <w:rFonts w:ascii="Arial" w:hAnsi="Arial"/>
        </w:rPr>
        <w:t xml:space="preserve"> variation </w:t>
      </w:r>
      <w:r w:rsidRPr="007428E2">
        <w:rPr>
          <w:rFonts w:ascii="Arial" w:hAnsi="Arial"/>
        </w:rPr>
        <w:t xml:space="preserve">can </w:t>
      </w:r>
      <w:r w:rsidR="00174B85" w:rsidRPr="007428E2">
        <w:rPr>
          <w:rFonts w:ascii="Arial" w:hAnsi="Arial"/>
        </w:rPr>
        <w:t xml:space="preserve">be framed in an appropriate context. This </w:t>
      </w:r>
      <w:r w:rsidRPr="007428E2">
        <w:rPr>
          <w:rFonts w:ascii="Arial" w:hAnsi="Arial"/>
        </w:rPr>
        <w:t xml:space="preserve">work </w:t>
      </w:r>
      <w:r w:rsidR="00174B85" w:rsidRPr="007428E2">
        <w:rPr>
          <w:rFonts w:ascii="Arial" w:hAnsi="Arial"/>
        </w:rPr>
        <w:t>required analysis of the PM</w:t>
      </w:r>
      <w:r w:rsidR="00174B85" w:rsidRPr="007428E2">
        <w:rPr>
          <w:rFonts w:ascii="Arial" w:hAnsi="Arial"/>
          <w:vertAlign w:val="subscript"/>
        </w:rPr>
        <w:t>10</w:t>
      </w:r>
      <w:r w:rsidR="00174B85" w:rsidRPr="007428E2">
        <w:rPr>
          <w:rFonts w:ascii="Arial" w:hAnsi="Arial"/>
        </w:rPr>
        <w:t xml:space="preserve"> and PM</w:t>
      </w:r>
      <w:r w:rsidR="00174B85" w:rsidRPr="007428E2">
        <w:rPr>
          <w:rFonts w:ascii="Arial" w:hAnsi="Arial"/>
          <w:vertAlign w:val="subscript"/>
        </w:rPr>
        <w:t>2.5</w:t>
      </w:r>
      <w:r w:rsidR="00174B85" w:rsidRPr="007428E2">
        <w:rPr>
          <w:rFonts w:ascii="Arial" w:hAnsi="Arial"/>
        </w:rPr>
        <w:t xml:space="preserve"> data from the </w:t>
      </w:r>
      <w:r w:rsidR="00D16BB6" w:rsidRPr="007428E2">
        <w:rPr>
          <w:rFonts w:ascii="Arial" w:hAnsi="Arial"/>
        </w:rPr>
        <w:t xml:space="preserve">government-run </w:t>
      </w:r>
      <w:r w:rsidR="00174B85" w:rsidRPr="007428E2">
        <w:rPr>
          <w:rFonts w:ascii="Arial" w:hAnsi="Arial"/>
        </w:rPr>
        <w:t xml:space="preserve">air pollution monitoring stations in </w:t>
      </w:r>
      <w:r w:rsidR="00A91C53" w:rsidRPr="007428E2">
        <w:rPr>
          <w:rFonts w:ascii="Arial" w:hAnsi="Arial"/>
        </w:rPr>
        <w:t xml:space="preserve">all </w:t>
      </w:r>
      <w:r w:rsidR="00174B85" w:rsidRPr="007428E2">
        <w:rPr>
          <w:rFonts w:ascii="Arial" w:hAnsi="Arial"/>
        </w:rPr>
        <w:t>jurisdictions.</w:t>
      </w:r>
    </w:p>
    <w:p w:rsidR="002B37CF" w:rsidRPr="007428E2" w:rsidRDefault="00174B85" w:rsidP="00471627">
      <w:pPr>
        <w:pStyle w:val="BulletArrows"/>
        <w:spacing w:after="180"/>
        <w:rPr>
          <w:rFonts w:ascii="Arial" w:hAnsi="Arial"/>
        </w:rPr>
      </w:pPr>
      <w:r w:rsidRPr="007428E2">
        <w:rPr>
          <w:rFonts w:ascii="Arial" w:hAnsi="Arial"/>
        </w:rPr>
        <w:t xml:space="preserve">PM </w:t>
      </w:r>
      <w:r w:rsidR="00D244BB" w:rsidRPr="007428E2">
        <w:rPr>
          <w:rFonts w:ascii="Arial" w:hAnsi="Arial"/>
        </w:rPr>
        <w:t xml:space="preserve">concentrations in Australia </w:t>
      </w:r>
      <w:r w:rsidR="00346351" w:rsidRPr="007428E2">
        <w:rPr>
          <w:rFonts w:ascii="Arial" w:hAnsi="Arial"/>
        </w:rPr>
        <w:t xml:space="preserve">vary </w:t>
      </w:r>
      <w:r w:rsidRPr="007428E2">
        <w:rPr>
          <w:rFonts w:ascii="Arial" w:hAnsi="Arial"/>
        </w:rPr>
        <w:t>temporally and spatially as a consequence of many different influencing factors. On a day-to-day basis PM concentrations are very variable. Extreme events (notably natural bush fires and dust storms) are often associated with the highest levels of pollution.</w:t>
      </w:r>
      <w:r w:rsidR="009C60CA" w:rsidRPr="007428E2">
        <w:rPr>
          <w:rFonts w:ascii="Arial" w:hAnsi="Arial"/>
        </w:rPr>
        <w:t xml:space="preserve"> </w:t>
      </w:r>
      <w:r w:rsidR="007366ED" w:rsidRPr="007428E2">
        <w:rPr>
          <w:rFonts w:ascii="Arial" w:hAnsi="Arial"/>
        </w:rPr>
        <w:t>Various methods are us</w:t>
      </w:r>
      <w:r w:rsidR="00D16BB6" w:rsidRPr="007428E2">
        <w:rPr>
          <w:rFonts w:ascii="Arial" w:hAnsi="Arial"/>
        </w:rPr>
        <w:t xml:space="preserve">ed to measure PM in Australia, and </w:t>
      </w:r>
      <w:r w:rsidR="009B5493" w:rsidRPr="007428E2">
        <w:rPr>
          <w:rFonts w:ascii="Arial" w:hAnsi="Arial"/>
        </w:rPr>
        <w:t>the</w:t>
      </w:r>
      <w:r w:rsidR="006E5DB6" w:rsidRPr="007428E2">
        <w:rPr>
          <w:rFonts w:ascii="Arial" w:hAnsi="Arial"/>
        </w:rPr>
        <w:t xml:space="preserve"> ability to assess</w:t>
      </w:r>
      <w:r w:rsidR="003B7452" w:rsidRPr="007428E2">
        <w:rPr>
          <w:rFonts w:ascii="Arial" w:hAnsi="Arial"/>
        </w:rPr>
        <w:t xml:space="preserve"> </w:t>
      </w:r>
      <w:r w:rsidR="007366ED" w:rsidRPr="007428E2">
        <w:rPr>
          <w:rFonts w:ascii="Arial" w:hAnsi="Arial"/>
        </w:rPr>
        <w:t>trends can be affected by changes in instr</w:t>
      </w:r>
      <w:r w:rsidR="009B5493" w:rsidRPr="007428E2">
        <w:rPr>
          <w:rFonts w:ascii="Arial" w:hAnsi="Arial"/>
        </w:rPr>
        <w:t xml:space="preserve">umentation, the relocation of </w:t>
      </w:r>
      <w:r w:rsidR="007366ED" w:rsidRPr="007428E2">
        <w:rPr>
          <w:rFonts w:ascii="Arial" w:hAnsi="Arial"/>
        </w:rPr>
        <w:t>monitoring site</w:t>
      </w:r>
      <w:r w:rsidR="009B5493" w:rsidRPr="007428E2">
        <w:rPr>
          <w:rFonts w:ascii="Arial" w:hAnsi="Arial"/>
        </w:rPr>
        <w:t>s</w:t>
      </w:r>
      <w:r w:rsidR="007366ED" w:rsidRPr="007428E2">
        <w:rPr>
          <w:rFonts w:ascii="Arial" w:hAnsi="Arial"/>
        </w:rPr>
        <w:t>, or a change in the distribution of sites. All of th</w:t>
      </w:r>
      <w:r w:rsidR="00D16BB6" w:rsidRPr="007428E2">
        <w:rPr>
          <w:rFonts w:ascii="Arial" w:hAnsi="Arial"/>
        </w:rPr>
        <w:t>ese have occurred in Australia. Notwithstanding</w:t>
      </w:r>
      <w:r w:rsidR="007366ED" w:rsidRPr="007428E2">
        <w:rPr>
          <w:rFonts w:ascii="Arial" w:hAnsi="Arial"/>
        </w:rPr>
        <w:t xml:space="preserve">, in most jurisdictions there has </w:t>
      </w:r>
      <w:r w:rsidR="00D16BB6" w:rsidRPr="007428E2">
        <w:rPr>
          <w:rFonts w:ascii="Arial" w:hAnsi="Arial"/>
        </w:rPr>
        <w:t xml:space="preserve">been a reduction in </w:t>
      </w:r>
      <w:r w:rsidR="007366ED" w:rsidRPr="007428E2">
        <w:rPr>
          <w:rFonts w:ascii="Arial" w:hAnsi="Arial"/>
        </w:rPr>
        <w:t>overall annual mean PM</w:t>
      </w:r>
      <w:r w:rsidR="007366ED" w:rsidRPr="007428E2">
        <w:rPr>
          <w:rFonts w:ascii="Arial" w:hAnsi="Arial"/>
          <w:vertAlign w:val="subscript"/>
        </w:rPr>
        <w:t>10</w:t>
      </w:r>
      <w:r w:rsidR="007366ED" w:rsidRPr="007428E2">
        <w:rPr>
          <w:rFonts w:ascii="Arial" w:hAnsi="Arial"/>
        </w:rPr>
        <w:t xml:space="preserve"> and PM</w:t>
      </w:r>
      <w:r w:rsidR="007366ED" w:rsidRPr="007428E2">
        <w:rPr>
          <w:rFonts w:ascii="Arial" w:hAnsi="Arial"/>
          <w:vertAlign w:val="subscript"/>
        </w:rPr>
        <w:t>2.5</w:t>
      </w:r>
      <w:r w:rsidR="007366ED" w:rsidRPr="007428E2">
        <w:rPr>
          <w:rFonts w:ascii="Arial" w:hAnsi="Arial"/>
        </w:rPr>
        <w:t xml:space="preserve"> conce</w:t>
      </w:r>
      <w:r w:rsidRPr="007428E2">
        <w:rPr>
          <w:rFonts w:ascii="Arial" w:hAnsi="Arial"/>
        </w:rPr>
        <w:t xml:space="preserve">ntrations between 2003 and 2012, although in some jurisdictions </w:t>
      </w:r>
      <w:r w:rsidR="00D244BB" w:rsidRPr="007428E2">
        <w:rPr>
          <w:rFonts w:ascii="Arial" w:hAnsi="Arial"/>
        </w:rPr>
        <w:t xml:space="preserve">the </w:t>
      </w:r>
      <w:r w:rsidRPr="007428E2">
        <w:rPr>
          <w:rFonts w:ascii="Arial" w:hAnsi="Arial"/>
        </w:rPr>
        <w:t>concentrations have not decreased significantly. Overall state-average annual mean PM</w:t>
      </w:r>
      <w:r w:rsidRPr="007428E2">
        <w:rPr>
          <w:rFonts w:ascii="Arial" w:hAnsi="Arial"/>
          <w:vertAlign w:val="subscript"/>
        </w:rPr>
        <w:t>2.5</w:t>
      </w:r>
      <w:r w:rsidRPr="007428E2">
        <w:rPr>
          <w:rFonts w:ascii="Arial" w:hAnsi="Arial"/>
        </w:rPr>
        <w:t xml:space="preserve"> </w:t>
      </w:r>
      <w:r w:rsidRPr="007428E2">
        <w:rPr>
          <w:rFonts w:ascii="Arial" w:hAnsi="Arial"/>
          <w:color w:val="auto"/>
        </w:rPr>
        <w:t>concentrations in 2012 we</w:t>
      </w:r>
      <w:r w:rsidR="003E66AD" w:rsidRPr="007428E2">
        <w:rPr>
          <w:rFonts w:ascii="Arial" w:hAnsi="Arial"/>
          <w:color w:val="auto"/>
        </w:rPr>
        <w:t xml:space="preserve">re below the advisory </w:t>
      </w:r>
      <w:r w:rsidRPr="007428E2">
        <w:rPr>
          <w:rFonts w:ascii="Arial" w:hAnsi="Arial"/>
          <w:color w:val="auto"/>
        </w:rPr>
        <w:t xml:space="preserve">standard of 8 </w:t>
      </w:r>
      <w:proofErr w:type="spellStart"/>
      <w:r w:rsidRPr="007428E2">
        <w:rPr>
          <w:rFonts w:ascii="Arial" w:hAnsi="Arial"/>
          <w:color w:val="auto"/>
        </w:rPr>
        <w:t>μg</w:t>
      </w:r>
      <w:proofErr w:type="spellEnd"/>
      <w:r w:rsidRPr="007428E2">
        <w:rPr>
          <w:rFonts w:ascii="Arial" w:hAnsi="Arial"/>
          <w:color w:val="auto"/>
        </w:rPr>
        <w:t>/m</w:t>
      </w:r>
      <w:r w:rsidRPr="007428E2">
        <w:rPr>
          <w:rFonts w:ascii="Arial" w:hAnsi="Arial"/>
          <w:color w:val="auto"/>
          <w:vertAlign w:val="superscript"/>
        </w:rPr>
        <w:t>3</w:t>
      </w:r>
      <w:r w:rsidR="00FD140A" w:rsidRPr="007428E2">
        <w:rPr>
          <w:rFonts w:ascii="Arial" w:hAnsi="Arial"/>
          <w:color w:val="auto"/>
        </w:rPr>
        <w:t>;</w:t>
      </w:r>
      <w:r w:rsidR="002B37CF" w:rsidRPr="007428E2">
        <w:rPr>
          <w:rFonts w:ascii="Arial" w:hAnsi="Arial"/>
          <w:color w:val="auto"/>
        </w:rPr>
        <w:t xml:space="preserve"> </w:t>
      </w:r>
      <w:r w:rsidR="00FD140A" w:rsidRPr="007428E2">
        <w:rPr>
          <w:rFonts w:ascii="Arial" w:hAnsi="Arial"/>
          <w:color w:val="auto"/>
        </w:rPr>
        <w:t>h</w:t>
      </w:r>
      <w:r w:rsidR="002B37CF" w:rsidRPr="007428E2">
        <w:rPr>
          <w:rFonts w:ascii="Arial" w:hAnsi="Arial"/>
          <w:color w:val="auto"/>
        </w:rPr>
        <w:t xml:space="preserve">owever, </w:t>
      </w:r>
      <w:r w:rsidR="00AB13A1" w:rsidRPr="007428E2">
        <w:rPr>
          <w:rFonts w:ascii="Arial" w:hAnsi="Arial"/>
          <w:color w:val="auto"/>
        </w:rPr>
        <w:t xml:space="preserve">it is unclear </w:t>
      </w:r>
      <w:r w:rsidR="002B37CF" w:rsidRPr="007428E2">
        <w:rPr>
          <w:rFonts w:ascii="Arial" w:hAnsi="Arial"/>
          <w:color w:val="auto"/>
        </w:rPr>
        <w:t xml:space="preserve">that </w:t>
      </w:r>
      <w:r w:rsidR="00AB13A1" w:rsidRPr="007428E2">
        <w:rPr>
          <w:rFonts w:ascii="Arial" w:hAnsi="Arial"/>
          <w:color w:val="auto"/>
        </w:rPr>
        <w:t xml:space="preserve">the </w:t>
      </w:r>
      <w:r w:rsidR="002B37CF" w:rsidRPr="007428E2">
        <w:rPr>
          <w:rFonts w:ascii="Arial" w:hAnsi="Arial"/>
          <w:color w:val="auto"/>
        </w:rPr>
        <w:t>downward trends in annual mean concentrations will continue in the future, especially given that the projections in state inventories show that PM</w:t>
      </w:r>
      <w:r w:rsidR="002B37CF" w:rsidRPr="007428E2">
        <w:rPr>
          <w:rFonts w:ascii="Arial" w:hAnsi="Arial"/>
          <w:color w:val="auto"/>
          <w:vertAlign w:val="subscript"/>
        </w:rPr>
        <w:t>10</w:t>
      </w:r>
      <w:r w:rsidR="002B37CF" w:rsidRPr="007428E2">
        <w:rPr>
          <w:rFonts w:ascii="Arial" w:hAnsi="Arial"/>
          <w:color w:val="auto"/>
        </w:rPr>
        <w:t xml:space="preserve"> and PM</w:t>
      </w:r>
      <w:r w:rsidR="002B37CF" w:rsidRPr="007428E2">
        <w:rPr>
          <w:rFonts w:ascii="Arial" w:hAnsi="Arial"/>
          <w:color w:val="auto"/>
          <w:vertAlign w:val="subscript"/>
        </w:rPr>
        <w:t>2.5</w:t>
      </w:r>
      <w:r w:rsidR="002B37CF" w:rsidRPr="007428E2">
        <w:rPr>
          <w:rFonts w:ascii="Arial" w:hAnsi="Arial"/>
          <w:color w:val="auto"/>
        </w:rPr>
        <w:t xml:space="preserve"> emissions are likely to increase under a business-as-usual </w:t>
      </w:r>
      <w:r w:rsidR="007C48C4" w:rsidRPr="007428E2">
        <w:rPr>
          <w:rFonts w:ascii="Arial" w:hAnsi="Arial"/>
          <w:color w:val="auto"/>
        </w:rPr>
        <w:t xml:space="preserve">(BAU) </w:t>
      </w:r>
      <w:r w:rsidR="002B37CF" w:rsidRPr="007428E2">
        <w:rPr>
          <w:rFonts w:ascii="Arial" w:hAnsi="Arial"/>
          <w:color w:val="auto"/>
        </w:rPr>
        <w:t xml:space="preserve">scenario, in spite of controls on emissions from several sectors. </w:t>
      </w:r>
      <w:r w:rsidR="00EA240D" w:rsidRPr="007428E2">
        <w:rPr>
          <w:rFonts w:ascii="Arial" w:hAnsi="Arial"/>
          <w:color w:val="auto"/>
        </w:rPr>
        <w:t>A</w:t>
      </w:r>
      <w:r w:rsidR="002B37CF" w:rsidRPr="007428E2">
        <w:rPr>
          <w:rFonts w:ascii="Arial" w:hAnsi="Arial"/>
          <w:color w:val="auto"/>
        </w:rPr>
        <w:t>nthropogenic emissions of secondary PM precursors are also predicted to increase in the future.</w:t>
      </w:r>
    </w:p>
    <w:p w:rsidR="007366ED" w:rsidRPr="007428E2" w:rsidRDefault="009C60CA" w:rsidP="00361D8C">
      <w:pPr>
        <w:pStyle w:val="BulletArrows"/>
        <w:spacing w:after="240"/>
        <w:rPr>
          <w:rFonts w:ascii="Arial" w:hAnsi="Arial"/>
        </w:rPr>
      </w:pPr>
      <w:r w:rsidRPr="007428E2">
        <w:rPr>
          <w:rFonts w:ascii="Arial" w:hAnsi="Arial"/>
        </w:rPr>
        <w:t xml:space="preserve">There continue to be exceedances of the 24-hour </w:t>
      </w:r>
      <w:r w:rsidR="0029440D" w:rsidRPr="007428E2">
        <w:rPr>
          <w:rFonts w:ascii="Arial" w:hAnsi="Arial"/>
        </w:rPr>
        <w:t xml:space="preserve">PM </w:t>
      </w:r>
      <w:r w:rsidRPr="007428E2">
        <w:rPr>
          <w:rFonts w:ascii="Arial" w:hAnsi="Arial"/>
        </w:rPr>
        <w:t xml:space="preserve">standards and goals at many monitoring sites. </w:t>
      </w:r>
      <w:r w:rsidR="007366ED" w:rsidRPr="007428E2">
        <w:rPr>
          <w:rFonts w:ascii="Arial" w:hAnsi="Arial"/>
        </w:rPr>
        <w:t>For the 24-hour mean PM</w:t>
      </w:r>
      <w:r w:rsidR="007366ED" w:rsidRPr="007428E2">
        <w:rPr>
          <w:rFonts w:ascii="Arial" w:hAnsi="Arial"/>
          <w:vertAlign w:val="subscript"/>
        </w:rPr>
        <w:t>10</w:t>
      </w:r>
      <w:r w:rsidR="007366ED" w:rsidRPr="007428E2">
        <w:rPr>
          <w:rFonts w:ascii="Arial" w:hAnsi="Arial"/>
        </w:rPr>
        <w:t xml:space="preserve"> standard (50 </w:t>
      </w:r>
      <w:proofErr w:type="spellStart"/>
      <w:r w:rsidR="007366ED" w:rsidRPr="007428E2">
        <w:rPr>
          <w:rFonts w:ascii="Arial" w:hAnsi="Arial"/>
        </w:rPr>
        <w:t>μg</w:t>
      </w:r>
      <w:proofErr w:type="spellEnd"/>
      <w:r w:rsidR="007366ED" w:rsidRPr="007428E2">
        <w:rPr>
          <w:rFonts w:ascii="Arial" w:hAnsi="Arial"/>
        </w:rPr>
        <w:t>/m</w:t>
      </w:r>
      <w:r w:rsidR="007366ED" w:rsidRPr="007428E2">
        <w:rPr>
          <w:rFonts w:ascii="Arial" w:hAnsi="Arial"/>
          <w:vertAlign w:val="superscript"/>
        </w:rPr>
        <w:t>3</w:t>
      </w:r>
      <w:r w:rsidR="007366ED" w:rsidRPr="007428E2">
        <w:rPr>
          <w:rFonts w:ascii="Arial" w:hAnsi="Arial"/>
        </w:rPr>
        <w:t>), weather, climate and natural events are major factors affecting exceedances. There are no strong underlying trends in the patterns of exceeda</w:t>
      </w:r>
      <w:r w:rsidR="00174B85" w:rsidRPr="007428E2">
        <w:rPr>
          <w:rFonts w:ascii="Arial" w:hAnsi="Arial"/>
        </w:rPr>
        <w:t xml:space="preserve">nce. </w:t>
      </w:r>
      <w:r w:rsidR="007366ED" w:rsidRPr="007428E2">
        <w:rPr>
          <w:rFonts w:ascii="Arial" w:hAnsi="Arial"/>
        </w:rPr>
        <w:t>For the advisory 24-hour mean PM</w:t>
      </w:r>
      <w:r w:rsidR="007366ED" w:rsidRPr="007428E2">
        <w:rPr>
          <w:rFonts w:ascii="Arial" w:hAnsi="Arial"/>
          <w:vertAlign w:val="subscript"/>
        </w:rPr>
        <w:t>2.5</w:t>
      </w:r>
      <w:r w:rsidR="007366ED" w:rsidRPr="007428E2">
        <w:rPr>
          <w:rFonts w:ascii="Arial" w:hAnsi="Arial"/>
        </w:rPr>
        <w:t xml:space="preserve"> standard (25 </w:t>
      </w:r>
      <w:proofErr w:type="spellStart"/>
      <w:r w:rsidR="007366ED" w:rsidRPr="007428E2">
        <w:rPr>
          <w:rFonts w:ascii="Arial" w:hAnsi="Arial"/>
        </w:rPr>
        <w:t>μg</w:t>
      </w:r>
      <w:proofErr w:type="spellEnd"/>
      <w:r w:rsidR="007366ED" w:rsidRPr="007428E2">
        <w:rPr>
          <w:rFonts w:ascii="Arial" w:hAnsi="Arial"/>
        </w:rPr>
        <w:t>/m</w:t>
      </w:r>
      <w:r w:rsidR="007366ED" w:rsidRPr="007428E2">
        <w:rPr>
          <w:rFonts w:ascii="Arial" w:hAnsi="Arial"/>
          <w:vertAlign w:val="superscript"/>
        </w:rPr>
        <w:t>3</w:t>
      </w:r>
      <w:r w:rsidR="007366ED" w:rsidRPr="007428E2">
        <w:rPr>
          <w:rFonts w:ascii="Arial" w:hAnsi="Arial"/>
        </w:rPr>
        <w:t>), there have been exceedances at most monitoring sites and in most years.</w:t>
      </w:r>
    </w:p>
    <w:p w:rsidR="007366ED" w:rsidRPr="006574FD" w:rsidRDefault="007366ED" w:rsidP="00471627">
      <w:pPr>
        <w:pStyle w:val="ES2"/>
        <w:spacing w:after="180"/>
        <w:rPr>
          <w:rFonts w:ascii="Arial" w:hAnsi="Arial" w:cs="Arial"/>
        </w:rPr>
      </w:pPr>
      <w:r w:rsidRPr="006574FD">
        <w:rPr>
          <w:rFonts w:ascii="Arial" w:hAnsi="Arial" w:cs="Arial"/>
        </w:rPr>
        <w:t>PM composition</w:t>
      </w:r>
    </w:p>
    <w:p w:rsidR="007366ED" w:rsidRPr="007428E2" w:rsidRDefault="007366ED" w:rsidP="00471627">
      <w:pPr>
        <w:pStyle w:val="BulletArrows"/>
        <w:spacing w:after="240"/>
        <w:rPr>
          <w:rFonts w:ascii="Arial" w:hAnsi="Arial"/>
          <w:color w:val="auto"/>
          <w:szCs w:val="18"/>
        </w:rPr>
      </w:pPr>
      <w:r w:rsidRPr="007428E2">
        <w:rPr>
          <w:rFonts w:ascii="Arial" w:hAnsi="Arial"/>
          <w:color w:val="auto"/>
          <w:szCs w:val="18"/>
        </w:rPr>
        <w:t>Secondary and natural PM contribute s</w:t>
      </w:r>
      <w:r w:rsidR="003E66AD" w:rsidRPr="007428E2">
        <w:rPr>
          <w:rFonts w:ascii="Arial" w:hAnsi="Arial"/>
          <w:color w:val="auto"/>
          <w:szCs w:val="18"/>
        </w:rPr>
        <w:t xml:space="preserve">ignificantly to </w:t>
      </w:r>
      <w:r w:rsidRPr="007428E2">
        <w:rPr>
          <w:rFonts w:ascii="Arial" w:hAnsi="Arial"/>
          <w:color w:val="auto"/>
          <w:szCs w:val="18"/>
        </w:rPr>
        <w:t>PM</w:t>
      </w:r>
      <w:r w:rsidRPr="007428E2">
        <w:rPr>
          <w:rFonts w:ascii="Arial" w:hAnsi="Arial"/>
          <w:color w:val="auto"/>
          <w:szCs w:val="18"/>
          <w:vertAlign w:val="subscript"/>
        </w:rPr>
        <w:t>10</w:t>
      </w:r>
      <w:r w:rsidRPr="007428E2">
        <w:rPr>
          <w:rFonts w:ascii="Arial" w:hAnsi="Arial"/>
          <w:color w:val="auto"/>
          <w:szCs w:val="18"/>
        </w:rPr>
        <w:t xml:space="preserve"> and PM</w:t>
      </w:r>
      <w:r w:rsidRPr="007428E2">
        <w:rPr>
          <w:rFonts w:ascii="Arial" w:hAnsi="Arial"/>
          <w:color w:val="auto"/>
          <w:szCs w:val="18"/>
          <w:vertAlign w:val="subscript"/>
        </w:rPr>
        <w:t>2.5</w:t>
      </w:r>
      <w:r w:rsidR="00BD7BDB" w:rsidRPr="007428E2">
        <w:rPr>
          <w:rFonts w:ascii="Arial" w:hAnsi="Arial"/>
          <w:color w:val="auto"/>
          <w:szCs w:val="18"/>
        </w:rPr>
        <w:t xml:space="preserve">. The </w:t>
      </w:r>
      <w:r w:rsidRPr="007428E2">
        <w:rPr>
          <w:rFonts w:ascii="Arial" w:hAnsi="Arial"/>
          <w:color w:val="auto"/>
          <w:szCs w:val="18"/>
        </w:rPr>
        <w:t>primary anthropogenic PM</w:t>
      </w:r>
      <w:r w:rsidRPr="007428E2">
        <w:rPr>
          <w:rFonts w:ascii="Arial" w:hAnsi="Arial"/>
          <w:color w:val="auto"/>
          <w:szCs w:val="18"/>
          <w:vertAlign w:val="subscript"/>
        </w:rPr>
        <w:t>2.5</w:t>
      </w:r>
      <w:r w:rsidRPr="007428E2">
        <w:rPr>
          <w:rFonts w:ascii="Arial" w:hAnsi="Arial"/>
          <w:color w:val="auto"/>
          <w:szCs w:val="18"/>
        </w:rPr>
        <w:t xml:space="preserve"> component typically represents around 30%</w:t>
      </w:r>
      <w:r w:rsidR="00FD140A" w:rsidRPr="007428E2">
        <w:rPr>
          <w:rFonts w:ascii="Arial" w:hAnsi="Arial"/>
          <w:color w:val="auto"/>
          <w:szCs w:val="18"/>
        </w:rPr>
        <w:t>–</w:t>
      </w:r>
      <w:r w:rsidRPr="007428E2">
        <w:rPr>
          <w:rFonts w:ascii="Arial" w:hAnsi="Arial"/>
          <w:color w:val="auto"/>
          <w:szCs w:val="18"/>
        </w:rPr>
        <w:t>50% of PM</w:t>
      </w:r>
      <w:r w:rsidRPr="007428E2">
        <w:rPr>
          <w:rFonts w:ascii="Arial" w:hAnsi="Arial"/>
          <w:color w:val="auto"/>
          <w:szCs w:val="18"/>
          <w:vertAlign w:val="subscript"/>
        </w:rPr>
        <w:t>2.5</w:t>
      </w:r>
      <w:r w:rsidRPr="007428E2">
        <w:rPr>
          <w:rFonts w:ascii="Arial" w:hAnsi="Arial"/>
          <w:color w:val="auto"/>
          <w:szCs w:val="18"/>
        </w:rPr>
        <w:t xml:space="preserve">. This partial contribution </w:t>
      </w:r>
      <w:r w:rsidR="00FF30B7" w:rsidRPr="007428E2">
        <w:rPr>
          <w:rFonts w:ascii="Arial" w:hAnsi="Arial"/>
          <w:color w:val="auto"/>
          <w:szCs w:val="18"/>
        </w:rPr>
        <w:t xml:space="preserve">of primary sources </w:t>
      </w:r>
      <w:r w:rsidRPr="007428E2">
        <w:rPr>
          <w:rFonts w:ascii="Arial" w:hAnsi="Arial"/>
          <w:color w:val="auto"/>
          <w:szCs w:val="18"/>
        </w:rPr>
        <w:t>comp</w:t>
      </w:r>
      <w:r w:rsidR="00174B85" w:rsidRPr="007428E2">
        <w:rPr>
          <w:rFonts w:ascii="Arial" w:hAnsi="Arial"/>
          <w:color w:val="auto"/>
          <w:szCs w:val="18"/>
        </w:rPr>
        <w:t xml:space="preserve">licates air quality management. </w:t>
      </w:r>
      <w:r w:rsidRPr="007428E2">
        <w:rPr>
          <w:rFonts w:ascii="Arial" w:hAnsi="Arial"/>
          <w:color w:val="auto"/>
          <w:szCs w:val="18"/>
        </w:rPr>
        <w:t>One of the largest PM</w:t>
      </w:r>
      <w:r w:rsidRPr="007428E2">
        <w:rPr>
          <w:rFonts w:ascii="Arial" w:hAnsi="Arial"/>
          <w:color w:val="auto"/>
          <w:szCs w:val="18"/>
          <w:vertAlign w:val="subscript"/>
        </w:rPr>
        <w:t>2.5</w:t>
      </w:r>
      <w:r w:rsidRPr="007428E2">
        <w:rPr>
          <w:rFonts w:ascii="Arial" w:hAnsi="Arial"/>
          <w:color w:val="auto"/>
          <w:szCs w:val="18"/>
        </w:rPr>
        <w:t xml:space="preserve"> components is </w:t>
      </w:r>
      <w:r w:rsidR="00D16BB6" w:rsidRPr="007428E2">
        <w:rPr>
          <w:rFonts w:ascii="Arial" w:hAnsi="Arial"/>
          <w:color w:val="auto"/>
          <w:szCs w:val="18"/>
        </w:rPr>
        <w:t xml:space="preserve">secondary </w:t>
      </w:r>
      <w:r w:rsidRPr="007428E2">
        <w:rPr>
          <w:rFonts w:ascii="Arial" w:hAnsi="Arial"/>
          <w:color w:val="auto"/>
          <w:szCs w:val="18"/>
        </w:rPr>
        <w:t xml:space="preserve">ammonium sulfate. The relatively slow formation rate </w:t>
      </w:r>
      <w:r w:rsidR="00FF30B7" w:rsidRPr="007428E2">
        <w:rPr>
          <w:rFonts w:ascii="Arial" w:hAnsi="Arial"/>
          <w:color w:val="auto"/>
          <w:szCs w:val="18"/>
        </w:rPr>
        <w:t>of sulfate means that it contributes to PM concentrations</w:t>
      </w:r>
      <w:r w:rsidRPr="007428E2">
        <w:rPr>
          <w:rFonts w:ascii="Arial" w:hAnsi="Arial"/>
          <w:color w:val="auto"/>
          <w:szCs w:val="18"/>
        </w:rPr>
        <w:t xml:space="preserve"> on re</w:t>
      </w:r>
      <w:r w:rsidR="00FF30B7" w:rsidRPr="007428E2">
        <w:rPr>
          <w:rFonts w:ascii="Arial" w:hAnsi="Arial"/>
          <w:color w:val="auto"/>
          <w:szCs w:val="18"/>
        </w:rPr>
        <w:t xml:space="preserve">gional scales. Sea salt is </w:t>
      </w:r>
      <w:r w:rsidRPr="007428E2">
        <w:rPr>
          <w:rFonts w:ascii="Arial" w:hAnsi="Arial"/>
          <w:color w:val="auto"/>
          <w:szCs w:val="18"/>
        </w:rPr>
        <w:t>a</w:t>
      </w:r>
      <w:r w:rsidR="00174B85" w:rsidRPr="007428E2">
        <w:rPr>
          <w:rFonts w:ascii="Arial" w:hAnsi="Arial"/>
          <w:color w:val="auto"/>
          <w:szCs w:val="18"/>
        </w:rPr>
        <w:t>n important natural component</w:t>
      </w:r>
      <w:r w:rsidR="00FF30B7" w:rsidRPr="007428E2">
        <w:rPr>
          <w:rFonts w:ascii="Arial" w:hAnsi="Arial"/>
          <w:color w:val="auto"/>
          <w:szCs w:val="18"/>
        </w:rPr>
        <w:t xml:space="preserve"> of PM, even at inland locations</w:t>
      </w:r>
      <w:r w:rsidR="00FD140A" w:rsidRPr="007428E2">
        <w:rPr>
          <w:rFonts w:ascii="Arial" w:hAnsi="Arial"/>
          <w:color w:val="auto"/>
          <w:szCs w:val="18"/>
        </w:rPr>
        <w:t>,</w:t>
      </w:r>
      <w:r w:rsidR="00FF30B7" w:rsidRPr="007428E2">
        <w:rPr>
          <w:rFonts w:ascii="Arial" w:hAnsi="Arial"/>
          <w:color w:val="auto"/>
          <w:szCs w:val="18"/>
        </w:rPr>
        <w:t xml:space="preserve"> through transport from the coast</w:t>
      </w:r>
      <w:r w:rsidR="00174B85" w:rsidRPr="007428E2">
        <w:rPr>
          <w:rFonts w:ascii="Arial" w:hAnsi="Arial"/>
          <w:color w:val="auto"/>
          <w:szCs w:val="18"/>
        </w:rPr>
        <w:t xml:space="preserve">. There are strong seasonal patterns in PM composition. </w:t>
      </w:r>
      <w:r w:rsidR="00122AF8" w:rsidRPr="007428E2">
        <w:rPr>
          <w:rFonts w:ascii="Arial" w:hAnsi="Arial"/>
          <w:color w:val="auto"/>
          <w:szCs w:val="18"/>
        </w:rPr>
        <w:t>I</w:t>
      </w:r>
      <w:r w:rsidRPr="007428E2">
        <w:rPr>
          <w:rFonts w:ascii="Arial" w:hAnsi="Arial"/>
          <w:color w:val="auto"/>
          <w:szCs w:val="18"/>
        </w:rPr>
        <w:t>n inland regional centres of</w:t>
      </w:r>
      <w:r w:rsidR="00FF30B7" w:rsidRPr="007428E2">
        <w:rPr>
          <w:rFonts w:ascii="Arial" w:hAnsi="Arial"/>
          <w:color w:val="auto"/>
          <w:szCs w:val="18"/>
        </w:rPr>
        <w:t xml:space="preserve"> NSW</w:t>
      </w:r>
      <w:r w:rsidR="0029440D" w:rsidRPr="007428E2">
        <w:rPr>
          <w:rFonts w:ascii="Arial" w:hAnsi="Arial"/>
          <w:color w:val="auto"/>
          <w:szCs w:val="18"/>
        </w:rPr>
        <w:t xml:space="preserve"> wood smoke is the dominant</w:t>
      </w:r>
      <w:r w:rsidRPr="007428E2">
        <w:rPr>
          <w:rFonts w:ascii="Arial" w:hAnsi="Arial"/>
          <w:color w:val="auto"/>
          <w:szCs w:val="18"/>
        </w:rPr>
        <w:t xml:space="preserve"> source of PM</w:t>
      </w:r>
      <w:r w:rsidRPr="007428E2">
        <w:rPr>
          <w:rFonts w:ascii="Arial" w:hAnsi="Arial"/>
          <w:color w:val="auto"/>
          <w:szCs w:val="18"/>
          <w:vertAlign w:val="subscript"/>
        </w:rPr>
        <w:t>2.5</w:t>
      </w:r>
      <w:r w:rsidRPr="007428E2">
        <w:rPr>
          <w:rFonts w:ascii="Arial" w:hAnsi="Arial"/>
          <w:color w:val="auto"/>
          <w:szCs w:val="18"/>
        </w:rPr>
        <w:t xml:space="preserve"> during the winter</w:t>
      </w:r>
      <w:r w:rsidR="00FF30B7" w:rsidRPr="007428E2">
        <w:rPr>
          <w:rFonts w:ascii="Arial" w:hAnsi="Arial"/>
          <w:color w:val="auto"/>
          <w:szCs w:val="18"/>
        </w:rPr>
        <w:t>, but is much less important in summer</w:t>
      </w:r>
      <w:r w:rsidRPr="007428E2">
        <w:rPr>
          <w:rFonts w:ascii="Arial" w:hAnsi="Arial"/>
          <w:color w:val="auto"/>
          <w:szCs w:val="18"/>
        </w:rPr>
        <w:t>.</w:t>
      </w:r>
    </w:p>
    <w:p w:rsidR="00B319DB" w:rsidRPr="007428E2" w:rsidRDefault="00361D8C" w:rsidP="00471627">
      <w:pPr>
        <w:pStyle w:val="ES1"/>
        <w:rPr>
          <w:rFonts w:ascii="Arial" w:hAnsi="Arial" w:cs="Arial"/>
        </w:rPr>
      </w:pPr>
      <w:r w:rsidRPr="007428E2">
        <w:rPr>
          <w:rFonts w:ascii="Arial" w:hAnsi="Arial" w:cs="Arial"/>
        </w:rPr>
        <w:t>Statement of the problem</w:t>
      </w:r>
      <w:r w:rsidR="009C60CA" w:rsidRPr="007428E2">
        <w:rPr>
          <w:rFonts w:ascii="Arial" w:hAnsi="Arial" w:cs="Arial"/>
        </w:rPr>
        <w:t xml:space="preserve"> and rationale for government intervention</w:t>
      </w:r>
    </w:p>
    <w:p w:rsidR="007366ED" w:rsidRPr="007428E2" w:rsidRDefault="007C48C4" w:rsidP="00471627">
      <w:pPr>
        <w:pStyle w:val="BulletArrows"/>
        <w:spacing w:after="180"/>
        <w:rPr>
          <w:rFonts w:ascii="Arial" w:hAnsi="Arial"/>
          <w:color w:val="auto"/>
          <w:szCs w:val="18"/>
        </w:rPr>
      </w:pPr>
      <w:r w:rsidRPr="007428E2">
        <w:rPr>
          <w:rFonts w:ascii="Arial" w:hAnsi="Arial"/>
        </w:rPr>
        <w:t>The need</w:t>
      </w:r>
      <w:r w:rsidR="00B319DB" w:rsidRPr="007428E2">
        <w:rPr>
          <w:rFonts w:ascii="Arial" w:hAnsi="Arial"/>
        </w:rPr>
        <w:t xml:space="preserve"> to reduce atmospheric concentrations of PM derives principally from its well-recognised and quantified effects upon human health</w:t>
      </w:r>
      <w:r w:rsidR="00B319DB" w:rsidRPr="007428E2">
        <w:rPr>
          <w:rFonts w:ascii="Arial" w:hAnsi="Arial"/>
          <w:color w:val="auto"/>
          <w:szCs w:val="18"/>
        </w:rPr>
        <w:t xml:space="preserve">. The </w:t>
      </w:r>
      <w:r w:rsidR="007C1B4A" w:rsidRPr="007428E2">
        <w:rPr>
          <w:rFonts w:ascii="Arial" w:hAnsi="Arial"/>
          <w:color w:val="auto"/>
          <w:szCs w:val="18"/>
        </w:rPr>
        <w:t xml:space="preserve">recent </w:t>
      </w:r>
      <w:r w:rsidR="00B319DB" w:rsidRPr="007428E2">
        <w:rPr>
          <w:rFonts w:ascii="Arial" w:hAnsi="Arial"/>
          <w:color w:val="auto"/>
          <w:szCs w:val="18"/>
        </w:rPr>
        <w:t>historical</w:t>
      </w:r>
      <w:r w:rsidR="007366ED" w:rsidRPr="007428E2">
        <w:rPr>
          <w:rFonts w:ascii="Arial" w:hAnsi="Arial"/>
          <w:color w:val="auto"/>
          <w:szCs w:val="18"/>
        </w:rPr>
        <w:t xml:space="preserve"> trend of decreasing ambient concentrations of PM</w:t>
      </w:r>
      <w:r w:rsidR="007366ED" w:rsidRPr="007428E2">
        <w:rPr>
          <w:rFonts w:ascii="Arial" w:hAnsi="Arial"/>
          <w:color w:val="auto"/>
          <w:szCs w:val="18"/>
          <w:vertAlign w:val="subscript"/>
        </w:rPr>
        <w:t>10</w:t>
      </w:r>
      <w:r w:rsidR="007366ED" w:rsidRPr="007428E2">
        <w:rPr>
          <w:rFonts w:ascii="Arial" w:hAnsi="Arial"/>
          <w:color w:val="auto"/>
          <w:szCs w:val="18"/>
        </w:rPr>
        <w:t xml:space="preserve"> and PM</w:t>
      </w:r>
      <w:r w:rsidR="007366ED" w:rsidRPr="007428E2">
        <w:rPr>
          <w:rFonts w:ascii="Arial" w:hAnsi="Arial"/>
          <w:color w:val="auto"/>
          <w:szCs w:val="18"/>
          <w:vertAlign w:val="subscript"/>
        </w:rPr>
        <w:t>2.5</w:t>
      </w:r>
      <w:r w:rsidR="007366ED" w:rsidRPr="007428E2">
        <w:rPr>
          <w:rFonts w:ascii="Arial" w:hAnsi="Arial"/>
          <w:color w:val="auto"/>
          <w:szCs w:val="18"/>
        </w:rPr>
        <w:t xml:space="preserve"> </w:t>
      </w:r>
      <w:r w:rsidR="007C1B4A" w:rsidRPr="007428E2">
        <w:rPr>
          <w:rFonts w:ascii="Arial" w:hAnsi="Arial"/>
          <w:color w:val="auto"/>
          <w:szCs w:val="18"/>
        </w:rPr>
        <w:t xml:space="preserve">is </w:t>
      </w:r>
      <w:r w:rsidR="005A2EA6" w:rsidRPr="007428E2">
        <w:rPr>
          <w:rFonts w:ascii="Arial" w:hAnsi="Arial"/>
          <w:color w:val="auto"/>
          <w:szCs w:val="18"/>
        </w:rPr>
        <w:t xml:space="preserve">expected </w:t>
      </w:r>
      <w:r w:rsidR="007C1B4A" w:rsidRPr="007428E2">
        <w:rPr>
          <w:rFonts w:ascii="Arial" w:hAnsi="Arial"/>
          <w:color w:val="auto"/>
          <w:szCs w:val="18"/>
        </w:rPr>
        <w:t xml:space="preserve">to </w:t>
      </w:r>
      <w:r w:rsidR="007366ED" w:rsidRPr="007428E2">
        <w:rPr>
          <w:rFonts w:ascii="Arial" w:hAnsi="Arial"/>
          <w:color w:val="auto"/>
          <w:szCs w:val="18"/>
        </w:rPr>
        <w:t>be reversed in the future</w:t>
      </w:r>
      <w:r w:rsidR="00CE3DF0" w:rsidRPr="007428E2">
        <w:rPr>
          <w:rFonts w:ascii="Arial" w:hAnsi="Arial"/>
          <w:color w:val="auto"/>
          <w:szCs w:val="18"/>
        </w:rPr>
        <w:t xml:space="preserve"> </w:t>
      </w:r>
      <w:r w:rsidR="007831E5" w:rsidRPr="007428E2">
        <w:rPr>
          <w:rFonts w:ascii="Arial" w:hAnsi="Arial"/>
          <w:color w:val="auto"/>
          <w:szCs w:val="18"/>
        </w:rPr>
        <w:t xml:space="preserve">due to </w:t>
      </w:r>
      <w:r w:rsidR="00CE3DF0" w:rsidRPr="007428E2">
        <w:rPr>
          <w:rFonts w:ascii="Arial" w:hAnsi="Arial"/>
          <w:color w:val="auto"/>
          <w:szCs w:val="18"/>
        </w:rPr>
        <w:t>growth</w:t>
      </w:r>
      <w:r w:rsidR="007831E5" w:rsidRPr="007428E2">
        <w:rPr>
          <w:rFonts w:ascii="Arial" w:hAnsi="Arial"/>
          <w:color w:val="auto"/>
          <w:szCs w:val="18"/>
        </w:rPr>
        <w:t xml:space="preserve"> in population</w:t>
      </w:r>
      <w:r w:rsidR="00B12A8C" w:rsidRPr="007428E2">
        <w:rPr>
          <w:rFonts w:ascii="Arial" w:hAnsi="Arial"/>
          <w:color w:val="auto"/>
          <w:szCs w:val="18"/>
        </w:rPr>
        <w:t>, economic activity</w:t>
      </w:r>
      <w:r w:rsidR="007831E5" w:rsidRPr="007428E2">
        <w:rPr>
          <w:rFonts w:ascii="Arial" w:hAnsi="Arial"/>
          <w:color w:val="auto"/>
          <w:szCs w:val="18"/>
        </w:rPr>
        <w:t xml:space="preserve"> and emissions</w:t>
      </w:r>
      <w:r w:rsidR="007366ED" w:rsidRPr="007428E2">
        <w:rPr>
          <w:rFonts w:ascii="Arial" w:hAnsi="Arial"/>
          <w:color w:val="auto"/>
          <w:szCs w:val="18"/>
        </w:rPr>
        <w:t xml:space="preserve">, with </w:t>
      </w:r>
      <w:r w:rsidR="007366ED" w:rsidRPr="007428E2">
        <w:rPr>
          <w:rFonts w:ascii="Arial" w:hAnsi="Arial"/>
          <w:color w:val="auto"/>
          <w:szCs w:val="18"/>
        </w:rPr>
        <w:lastRenderedPageBreak/>
        <w:t xml:space="preserve">subsequent increases in </w:t>
      </w:r>
      <w:r w:rsidR="00B12A8C" w:rsidRPr="007428E2">
        <w:rPr>
          <w:rFonts w:ascii="Arial" w:hAnsi="Arial"/>
          <w:color w:val="auto"/>
          <w:szCs w:val="18"/>
        </w:rPr>
        <w:t xml:space="preserve">population exposure and </w:t>
      </w:r>
      <w:r w:rsidR="007366ED" w:rsidRPr="007428E2">
        <w:rPr>
          <w:rFonts w:ascii="Arial" w:hAnsi="Arial"/>
          <w:color w:val="auto"/>
          <w:szCs w:val="18"/>
        </w:rPr>
        <w:t>the incid</w:t>
      </w:r>
      <w:r w:rsidR="002E57B3" w:rsidRPr="007428E2">
        <w:rPr>
          <w:rFonts w:ascii="Arial" w:hAnsi="Arial"/>
          <w:color w:val="auto"/>
          <w:szCs w:val="18"/>
        </w:rPr>
        <w:t>ence of adverse health outcomes</w:t>
      </w:r>
      <w:r w:rsidR="00FD140A" w:rsidRPr="007428E2">
        <w:rPr>
          <w:rFonts w:ascii="Arial" w:hAnsi="Arial"/>
          <w:color w:val="auto"/>
          <w:szCs w:val="18"/>
        </w:rPr>
        <w:t>,</w:t>
      </w:r>
      <w:r w:rsidR="007366ED" w:rsidRPr="007428E2">
        <w:rPr>
          <w:rFonts w:ascii="Arial" w:hAnsi="Arial"/>
          <w:color w:val="auto"/>
          <w:szCs w:val="18"/>
        </w:rPr>
        <w:t xml:space="preserve"> and increases in the monetary cos</w:t>
      </w:r>
      <w:r w:rsidR="0092462D" w:rsidRPr="007428E2">
        <w:rPr>
          <w:rFonts w:ascii="Arial" w:hAnsi="Arial"/>
          <w:color w:val="auto"/>
          <w:szCs w:val="18"/>
        </w:rPr>
        <w:t>ts of air pollution to society.</w:t>
      </w:r>
    </w:p>
    <w:p w:rsidR="009C60CA" w:rsidRPr="007428E2" w:rsidRDefault="007366ED" w:rsidP="00471627">
      <w:pPr>
        <w:pStyle w:val="BulletArrows"/>
        <w:spacing w:after="180"/>
        <w:rPr>
          <w:rFonts w:ascii="Arial" w:hAnsi="Arial"/>
          <w:color w:val="auto"/>
          <w:szCs w:val="18"/>
        </w:rPr>
      </w:pPr>
      <w:r w:rsidRPr="007428E2">
        <w:rPr>
          <w:rFonts w:ascii="Arial" w:hAnsi="Arial"/>
          <w:color w:val="auto"/>
          <w:szCs w:val="18"/>
        </w:rPr>
        <w:t>It is likely to be more difficult to meet the national air quality standards and goals for PM in the future without further intervention. There is an ongoing risk that Australian public health will</w:t>
      </w:r>
      <w:r w:rsidR="009C60CA" w:rsidRPr="007428E2">
        <w:rPr>
          <w:rFonts w:ascii="Arial" w:hAnsi="Arial"/>
          <w:color w:val="auto"/>
          <w:szCs w:val="18"/>
        </w:rPr>
        <w:t xml:space="preserve"> not be sufficiently protected. </w:t>
      </w:r>
      <w:r w:rsidR="00C0046A" w:rsidRPr="007428E2">
        <w:rPr>
          <w:rFonts w:ascii="Arial" w:hAnsi="Arial"/>
          <w:color w:val="auto"/>
          <w:szCs w:val="18"/>
        </w:rPr>
        <w:t>I</w:t>
      </w:r>
      <w:r w:rsidRPr="007428E2">
        <w:rPr>
          <w:rFonts w:ascii="Arial" w:hAnsi="Arial"/>
          <w:color w:val="auto"/>
          <w:szCs w:val="18"/>
        </w:rPr>
        <w:t xml:space="preserve">ntervention is considered necessary to prompt and accelerate policies and measures to reduce population exposure to particulate air pollution. </w:t>
      </w:r>
      <w:r w:rsidRPr="007428E2">
        <w:rPr>
          <w:rFonts w:ascii="Arial" w:hAnsi="Arial"/>
          <w:color w:val="auto"/>
        </w:rPr>
        <w:t xml:space="preserve">The extent to which government needs to </w:t>
      </w:r>
      <w:r w:rsidR="00C0046A" w:rsidRPr="007428E2">
        <w:rPr>
          <w:rFonts w:ascii="Arial" w:hAnsi="Arial"/>
          <w:color w:val="auto"/>
        </w:rPr>
        <w:t xml:space="preserve">be involved </w:t>
      </w:r>
      <w:r w:rsidRPr="007428E2">
        <w:rPr>
          <w:rFonts w:ascii="Arial" w:hAnsi="Arial"/>
          <w:color w:val="auto"/>
        </w:rPr>
        <w:t>is informed by environmental and economic data.</w:t>
      </w:r>
      <w:r w:rsidR="002E57B3" w:rsidRPr="007428E2">
        <w:rPr>
          <w:rFonts w:ascii="Arial" w:hAnsi="Arial"/>
          <w:color w:val="auto"/>
        </w:rPr>
        <w:t xml:space="preserve"> </w:t>
      </w:r>
      <w:r w:rsidR="009C60CA" w:rsidRPr="007428E2">
        <w:rPr>
          <w:rFonts w:ascii="Arial" w:hAnsi="Arial"/>
        </w:rPr>
        <w:t>Updating the</w:t>
      </w:r>
      <w:r w:rsidR="004822A5" w:rsidRPr="007428E2">
        <w:rPr>
          <w:rFonts w:ascii="Arial" w:hAnsi="Arial"/>
        </w:rPr>
        <w:t xml:space="preserve"> </w:t>
      </w:r>
      <w:r w:rsidR="00EF24F8" w:rsidRPr="007428E2">
        <w:rPr>
          <w:rFonts w:ascii="Arial" w:hAnsi="Arial"/>
        </w:rPr>
        <w:t>AAQ NEPM</w:t>
      </w:r>
      <w:r w:rsidR="009C60CA" w:rsidRPr="007428E2">
        <w:rPr>
          <w:rFonts w:ascii="Arial" w:hAnsi="Arial"/>
        </w:rPr>
        <w:t xml:space="preserve"> </w:t>
      </w:r>
      <w:r w:rsidR="00122AF8" w:rsidRPr="007428E2">
        <w:rPr>
          <w:rFonts w:ascii="Arial" w:hAnsi="Arial"/>
        </w:rPr>
        <w:t xml:space="preserve">will </w:t>
      </w:r>
      <w:r w:rsidR="009C60CA" w:rsidRPr="007428E2">
        <w:rPr>
          <w:rFonts w:ascii="Arial" w:hAnsi="Arial"/>
        </w:rPr>
        <w:t>reduc</w:t>
      </w:r>
      <w:r w:rsidR="00122AF8" w:rsidRPr="007428E2">
        <w:rPr>
          <w:rFonts w:ascii="Arial" w:hAnsi="Arial"/>
        </w:rPr>
        <w:t>e</w:t>
      </w:r>
      <w:r w:rsidR="009C60CA" w:rsidRPr="007428E2">
        <w:rPr>
          <w:rFonts w:ascii="Arial" w:hAnsi="Arial"/>
        </w:rPr>
        <w:t xml:space="preserve"> these adverse effects by highlighting potential problems and assisting jurisdictions in the formulation of air quality policies to reduce emissions from different sectors. </w:t>
      </w:r>
    </w:p>
    <w:p w:rsidR="009C60CA" w:rsidRPr="007428E2" w:rsidRDefault="009C60CA" w:rsidP="00471627">
      <w:pPr>
        <w:spacing w:after="300"/>
        <w:rPr>
          <w:rFonts w:ascii="Arial" w:hAnsi="Arial" w:cs="Arial"/>
        </w:rPr>
      </w:pPr>
      <w:r w:rsidRPr="007428E2">
        <w:rPr>
          <w:rFonts w:ascii="Arial" w:hAnsi="Arial" w:cs="Arial"/>
        </w:rPr>
        <w:t xml:space="preserve">Government </w:t>
      </w:r>
      <w:r w:rsidR="00C0046A" w:rsidRPr="007428E2">
        <w:rPr>
          <w:rFonts w:ascii="Arial" w:hAnsi="Arial" w:cs="Arial"/>
        </w:rPr>
        <w:t xml:space="preserve">involvement </w:t>
      </w:r>
      <w:r w:rsidRPr="007428E2">
        <w:rPr>
          <w:rFonts w:ascii="Arial" w:hAnsi="Arial" w:cs="Arial"/>
        </w:rPr>
        <w:t>should aim to reduce ambient concentrations of PM</w:t>
      </w:r>
      <w:r w:rsidRPr="007428E2">
        <w:rPr>
          <w:rFonts w:ascii="Arial" w:hAnsi="Arial" w:cs="Arial"/>
          <w:vertAlign w:val="subscript"/>
        </w:rPr>
        <w:t>10</w:t>
      </w:r>
      <w:r w:rsidRPr="007428E2">
        <w:rPr>
          <w:rFonts w:ascii="Arial" w:hAnsi="Arial" w:cs="Arial"/>
        </w:rPr>
        <w:t xml:space="preserve"> and PM</w:t>
      </w:r>
      <w:r w:rsidRPr="007428E2">
        <w:rPr>
          <w:rFonts w:ascii="Arial" w:hAnsi="Arial" w:cs="Arial"/>
          <w:vertAlign w:val="subscript"/>
        </w:rPr>
        <w:t>2.5</w:t>
      </w:r>
      <w:r w:rsidRPr="007428E2">
        <w:rPr>
          <w:rFonts w:ascii="Arial" w:hAnsi="Arial" w:cs="Arial"/>
        </w:rPr>
        <w:t xml:space="preserve">, especially in populated areas, taking into </w:t>
      </w:r>
      <w:r w:rsidR="0029440D" w:rsidRPr="007428E2">
        <w:rPr>
          <w:rFonts w:ascii="Arial" w:hAnsi="Arial" w:cs="Arial"/>
        </w:rPr>
        <w:t xml:space="preserve">account </w:t>
      </w:r>
      <w:r w:rsidRPr="007428E2">
        <w:rPr>
          <w:rFonts w:ascii="Arial" w:hAnsi="Arial" w:cs="Arial"/>
        </w:rPr>
        <w:t>the practical limitations on what can be achieved using traditional methods (i.e. reducing primary anthropogenic emissions). This needs to be guided by data on PM concentrations and composition. It is known, for example, that a significant proportion of PM is natural and/or secondary in nature. Measure</w:t>
      </w:r>
      <w:r w:rsidR="0029440D" w:rsidRPr="007428E2">
        <w:rPr>
          <w:rFonts w:ascii="Arial" w:hAnsi="Arial" w:cs="Arial"/>
        </w:rPr>
        <w:t>s to reduce</w:t>
      </w:r>
      <w:r w:rsidRPr="007428E2">
        <w:rPr>
          <w:rFonts w:ascii="Arial" w:hAnsi="Arial" w:cs="Arial"/>
        </w:rPr>
        <w:t xml:space="preserve"> primary anthropogenic PM emissions </w:t>
      </w:r>
      <w:r w:rsidR="00670D5F" w:rsidRPr="007428E2">
        <w:rPr>
          <w:rFonts w:ascii="Arial" w:hAnsi="Arial" w:cs="Arial"/>
        </w:rPr>
        <w:t xml:space="preserve">should </w:t>
      </w:r>
      <w:r w:rsidRPr="007428E2">
        <w:rPr>
          <w:rFonts w:ascii="Arial" w:hAnsi="Arial" w:cs="Arial"/>
        </w:rPr>
        <w:t>therefore be accompanied by measures to reduce</w:t>
      </w:r>
      <w:r w:rsidR="00F40168" w:rsidRPr="007428E2">
        <w:rPr>
          <w:rFonts w:ascii="Arial" w:hAnsi="Arial" w:cs="Arial"/>
        </w:rPr>
        <w:t xml:space="preserve"> emissions of secondary PM precursors</w:t>
      </w:r>
      <w:r w:rsidRPr="007428E2">
        <w:rPr>
          <w:rFonts w:ascii="Arial" w:hAnsi="Arial" w:cs="Arial"/>
        </w:rPr>
        <w:t>.</w:t>
      </w:r>
    </w:p>
    <w:p w:rsidR="007366ED" w:rsidRPr="007428E2" w:rsidRDefault="00361D8C" w:rsidP="00361D8C">
      <w:pPr>
        <w:pStyle w:val="ES1"/>
        <w:rPr>
          <w:rFonts w:ascii="Arial" w:hAnsi="Arial" w:cs="Arial"/>
        </w:rPr>
      </w:pPr>
      <w:r w:rsidRPr="007428E2">
        <w:rPr>
          <w:rFonts w:ascii="Arial" w:hAnsi="Arial" w:cs="Arial"/>
        </w:rPr>
        <w:t>Possible approaches and options</w:t>
      </w:r>
    </w:p>
    <w:p w:rsidR="0092462D" w:rsidRPr="006574FD" w:rsidRDefault="0092462D" w:rsidP="00F26AFF">
      <w:pPr>
        <w:pStyle w:val="ES2"/>
        <w:spacing w:after="200"/>
        <w:rPr>
          <w:rFonts w:ascii="Arial" w:hAnsi="Arial" w:cs="Arial"/>
        </w:rPr>
      </w:pPr>
      <w:r w:rsidRPr="006574FD">
        <w:rPr>
          <w:rFonts w:ascii="Arial" w:hAnsi="Arial" w:cs="Arial"/>
        </w:rPr>
        <w:t>General framework</w:t>
      </w:r>
    </w:p>
    <w:p w:rsidR="007366ED" w:rsidRPr="007428E2" w:rsidRDefault="00CC725A" w:rsidP="0092462D">
      <w:pPr>
        <w:pStyle w:val="BulletArrows"/>
        <w:spacing w:after="240"/>
        <w:ind w:right="-91"/>
        <w:rPr>
          <w:rFonts w:ascii="Arial" w:hAnsi="Arial"/>
          <w:color w:val="auto"/>
          <w:szCs w:val="18"/>
        </w:rPr>
      </w:pPr>
      <w:r w:rsidRPr="007428E2">
        <w:rPr>
          <w:rFonts w:ascii="Arial" w:hAnsi="Arial"/>
          <w:color w:val="auto"/>
          <w:szCs w:val="18"/>
        </w:rPr>
        <w:t xml:space="preserve">Several alternative types of </w:t>
      </w:r>
      <w:r w:rsidR="002472F5" w:rsidRPr="007428E2">
        <w:rPr>
          <w:rFonts w:ascii="Arial" w:hAnsi="Arial"/>
          <w:color w:val="auto"/>
          <w:szCs w:val="18"/>
        </w:rPr>
        <w:t xml:space="preserve">air quality management </w:t>
      </w:r>
      <w:r w:rsidRPr="007428E2">
        <w:rPr>
          <w:rFonts w:ascii="Arial" w:hAnsi="Arial"/>
          <w:color w:val="auto"/>
          <w:szCs w:val="18"/>
        </w:rPr>
        <w:t>framework have the potential to address the problems identified above. The main alterna</w:t>
      </w:r>
      <w:r w:rsidR="00045372" w:rsidRPr="007428E2">
        <w:rPr>
          <w:rFonts w:ascii="Arial" w:hAnsi="Arial"/>
          <w:color w:val="auto"/>
          <w:szCs w:val="18"/>
        </w:rPr>
        <w:t xml:space="preserve">tives </w:t>
      </w:r>
      <w:r w:rsidR="0092462D" w:rsidRPr="007428E2">
        <w:rPr>
          <w:rFonts w:ascii="Arial" w:hAnsi="Arial"/>
          <w:color w:val="auto"/>
          <w:szCs w:val="18"/>
        </w:rPr>
        <w:t>a</w:t>
      </w:r>
      <w:r w:rsidRPr="007428E2">
        <w:rPr>
          <w:rFonts w:ascii="Arial" w:hAnsi="Arial"/>
          <w:color w:val="auto"/>
          <w:szCs w:val="18"/>
        </w:rPr>
        <w:t xml:space="preserve">re </w:t>
      </w:r>
      <w:r w:rsidR="0092462D" w:rsidRPr="007428E2">
        <w:rPr>
          <w:rFonts w:ascii="Arial" w:hAnsi="Arial"/>
          <w:color w:val="auto"/>
          <w:szCs w:val="18"/>
        </w:rPr>
        <w:t>(</w:t>
      </w:r>
      <w:proofErr w:type="spellStart"/>
      <w:r w:rsidR="0092462D" w:rsidRPr="007428E2">
        <w:rPr>
          <w:rFonts w:ascii="Arial" w:hAnsi="Arial"/>
          <w:color w:val="auto"/>
          <w:szCs w:val="18"/>
        </w:rPr>
        <w:t>i</w:t>
      </w:r>
      <w:proofErr w:type="spellEnd"/>
      <w:r w:rsidR="0092462D" w:rsidRPr="007428E2">
        <w:rPr>
          <w:rFonts w:ascii="Arial" w:hAnsi="Arial"/>
          <w:color w:val="auto"/>
          <w:szCs w:val="18"/>
        </w:rPr>
        <w:t xml:space="preserve">) </w:t>
      </w:r>
      <w:r w:rsidR="008A23E1" w:rsidRPr="007428E2">
        <w:rPr>
          <w:rFonts w:ascii="Arial" w:hAnsi="Arial"/>
          <w:color w:val="auto"/>
          <w:szCs w:val="18"/>
        </w:rPr>
        <w:t>variation of the AAQ NEPM</w:t>
      </w:r>
      <w:r w:rsidRPr="007428E2">
        <w:rPr>
          <w:rFonts w:ascii="Arial" w:hAnsi="Arial"/>
          <w:color w:val="auto"/>
          <w:szCs w:val="18"/>
        </w:rPr>
        <w:t xml:space="preserve">, </w:t>
      </w:r>
      <w:r w:rsidR="0092462D" w:rsidRPr="007428E2">
        <w:rPr>
          <w:rFonts w:ascii="Arial" w:hAnsi="Arial"/>
          <w:color w:val="auto"/>
          <w:szCs w:val="18"/>
        </w:rPr>
        <w:t xml:space="preserve">(ii) </w:t>
      </w:r>
      <w:r w:rsidRPr="007428E2">
        <w:rPr>
          <w:rFonts w:ascii="Arial" w:hAnsi="Arial"/>
          <w:color w:val="auto"/>
          <w:szCs w:val="18"/>
        </w:rPr>
        <w:t>Commonwealth legisl</w:t>
      </w:r>
      <w:r w:rsidR="0092462D" w:rsidRPr="007428E2">
        <w:rPr>
          <w:rFonts w:ascii="Arial" w:hAnsi="Arial"/>
          <w:color w:val="auto"/>
          <w:szCs w:val="18"/>
        </w:rPr>
        <w:t xml:space="preserve">ation, (iii) voluntary guidelines, </w:t>
      </w:r>
      <w:proofErr w:type="gramStart"/>
      <w:r w:rsidR="0092462D" w:rsidRPr="007428E2">
        <w:rPr>
          <w:rFonts w:ascii="Arial" w:hAnsi="Arial"/>
          <w:color w:val="auto"/>
          <w:szCs w:val="18"/>
        </w:rPr>
        <w:t>(iv) an</w:t>
      </w:r>
      <w:proofErr w:type="gramEnd"/>
      <w:r w:rsidRPr="007428E2">
        <w:rPr>
          <w:rFonts w:ascii="Arial" w:hAnsi="Arial"/>
          <w:color w:val="auto"/>
          <w:szCs w:val="18"/>
        </w:rPr>
        <w:t xml:space="preserve"> inter-governmental agreement or </w:t>
      </w:r>
      <w:r w:rsidR="0092462D" w:rsidRPr="007428E2">
        <w:rPr>
          <w:rFonts w:ascii="Arial" w:hAnsi="Arial"/>
          <w:color w:val="auto"/>
          <w:szCs w:val="18"/>
        </w:rPr>
        <w:t xml:space="preserve">(v) </w:t>
      </w:r>
      <w:r w:rsidR="008A23E1" w:rsidRPr="007428E2">
        <w:rPr>
          <w:rFonts w:ascii="Arial" w:hAnsi="Arial"/>
          <w:color w:val="auto"/>
          <w:szCs w:val="18"/>
        </w:rPr>
        <w:t>no change to the current framework</w:t>
      </w:r>
      <w:r w:rsidR="00431156" w:rsidRPr="007428E2">
        <w:rPr>
          <w:rFonts w:ascii="Arial" w:hAnsi="Arial"/>
          <w:color w:val="auto"/>
          <w:szCs w:val="18"/>
        </w:rPr>
        <w:t xml:space="preserve">. </w:t>
      </w:r>
      <w:r w:rsidR="002472F5" w:rsidRPr="007428E2">
        <w:rPr>
          <w:rFonts w:ascii="Arial" w:hAnsi="Arial"/>
          <w:color w:val="auto"/>
          <w:szCs w:val="18"/>
        </w:rPr>
        <w:t>To date</w:t>
      </w:r>
      <w:r w:rsidRPr="007428E2">
        <w:rPr>
          <w:rFonts w:ascii="Arial" w:hAnsi="Arial"/>
          <w:color w:val="auto"/>
          <w:szCs w:val="18"/>
        </w:rPr>
        <w:t xml:space="preserve"> </w:t>
      </w:r>
      <w:r w:rsidR="00CE3DF0" w:rsidRPr="007428E2">
        <w:rPr>
          <w:rFonts w:ascii="Arial" w:hAnsi="Arial"/>
          <w:color w:val="auto"/>
          <w:szCs w:val="18"/>
        </w:rPr>
        <w:t xml:space="preserve">the </w:t>
      </w:r>
      <w:r w:rsidR="00EF24F8" w:rsidRPr="007428E2">
        <w:rPr>
          <w:rFonts w:ascii="Arial" w:hAnsi="Arial"/>
          <w:color w:val="auto"/>
          <w:szCs w:val="18"/>
        </w:rPr>
        <w:t>AAQ NEPM</w:t>
      </w:r>
      <w:r w:rsidRPr="007428E2">
        <w:rPr>
          <w:rFonts w:ascii="Arial" w:hAnsi="Arial"/>
          <w:color w:val="auto"/>
          <w:szCs w:val="18"/>
        </w:rPr>
        <w:t xml:space="preserve"> framework has allowed for a</w:t>
      </w:r>
      <w:r w:rsidR="0092462D" w:rsidRPr="007428E2">
        <w:rPr>
          <w:rFonts w:ascii="Arial" w:hAnsi="Arial"/>
          <w:color w:val="auto"/>
          <w:szCs w:val="18"/>
        </w:rPr>
        <w:t xml:space="preserve"> nationally consistent mechanism</w:t>
      </w:r>
      <w:r w:rsidRPr="007428E2">
        <w:rPr>
          <w:rFonts w:ascii="Arial" w:hAnsi="Arial"/>
          <w:color w:val="auto"/>
          <w:szCs w:val="18"/>
        </w:rPr>
        <w:t xml:space="preserve"> for the setting and implementation of air quality standards and goals, and for the monitoring and reporting of air</w:t>
      </w:r>
      <w:r w:rsidR="0092462D" w:rsidRPr="007428E2">
        <w:rPr>
          <w:rFonts w:ascii="Arial" w:hAnsi="Arial"/>
          <w:color w:val="auto"/>
          <w:szCs w:val="18"/>
        </w:rPr>
        <w:t xml:space="preserve"> quality against them</w:t>
      </w:r>
      <w:r w:rsidRPr="007428E2">
        <w:rPr>
          <w:rFonts w:ascii="Arial" w:hAnsi="Arial"/>
          <w:color w:val="auto"/>
          <w:szCs w:val="18"/>
        </w:rPr>
        <w:t>. T</w:t>
      </w:r>
      <w:r w:rsidR="007366ED" w:rsidRPr="007428E2">
        <w:rPr>
          <w:rFonts w:ascii="Arial" w:hAnsi="Arial"/>
          <w:color w:val="auto"/>
          <w:szCs w:val="18"/>
        </w:rPr>
        <w:t>he most effective way to ensure future consistency in national air quality man</w:t>
      </w:r>
      <w:r w:rsidRPr="007428E2">
        <w:rPr>
          <w:rFonts w:ascii="Arial" w:hAnsi="Arial"/>
          <w:color w:val="auto"/>
          <w:szCs w:val="18"/>
        </w:rPr>
        <w:t>agement and data collection would</w:t>
      </w:r>
      <w:r w:rsidR="007366ED" w:rsidRPr="007428E2">
        <w:rPr>
          <w:rFonts w:ascii="Arial" w:hAnsi="Arial"/>
          <w:color w:val="auto"/>
          <w:szCs w:val="18"/>
        </w:rPr>
        <w:t xml:space="preserve"> be a variation to the existing </w:t>
      </w:r>
      <w:r w:rsidR="00EF24F8" w:rsidRPr="007428E2">
        <w:rPr>
          <w:rFonts w:ascii="Arial" w:hAnsi="Arial"/>
          <w:color w:val="auto"/>
          <w:szCs w:val="18"/>
        </w:rPr>
        <w:t>AAQ NEPM</w:t>
      </w:r>
      <w:r w:rsidR="007366ED" w:rsidRPr="007428E2">
        <w:rPr>
          <w:rFonts w:ascii="Arial" w:hAnsi="Arial"/>
          <w:color w:val="auto"/>
          <w:szCs w:val="18"/>
        </w:rPr>
        <w:t xml:space="preserve">, with </w:t>
      </w:r>
      <w:r w:rsidR="008A23E1" w:rsidRPr="007428E2">
        <w:rPr>
          <w:rFonts w:ascii="Arial" w:hAnsi="Arial"/>
          <w:color w:val="auto"/>
          <w:szCs w:val="18"/>
        </w:rPr>
        <w:t>s</w:t>
      </w:r>
      <w:r w:rsidR="00670D5F" w:rsidRPr="007428E2">
        <w:rPr>
          <w:rFonts w:ascii="Arial" w:hAnsi="Arial"/>
          <w:color w:val="auto"/>
          <w:szCs w:val="18"/>
        </w:rPr>
        <w:t xml:space="preserve">tates and </w:t>
      </w:r>
      <w:r w:rsidR="008A23E1" w:rsidRPr="007428E2">
        <w:rPr>
          <w:rFonts w:ascii="Arial" w:hAnsi="Arial"/>
          <w:color w:val="auto"/>
          <w:szCs w:val="18"/>
        </w:rPr>
        <w:t>t</w:t>
      </w:r>
      <w:r w:rsidR="00670D5F" w:rsidRPr="007428E2">
        <w:rPr>
          <w:rFonts w:ascii="Arial" w:hAnsi="Arial"/>
          <w:color w:val="auto"/>
          <w:szCs w:val="18"/>
        </w:rPr>
        <w:t>erritories us</w:t>
      </w:r>
      <w:r w:rsidR="000C6E34" w:rsidRPr="007428E2">
        <w:rPr>
          <w:rFonts w:ascii="Arial" w:hAnsi="Arial"/>
          <w:color w:val="auto"/>
          <w:szCs w:val="18"/>
        </w:rPr>
        <w:t>ing</w:t>
      </w:r>
      <w:r w:rsidR="00670D5F" w:rsidRPr="007428E2">
        <w:rPr>
          <w:rFonts w:ascii="Arial" w:hAnsi="Arial"/>
          <w:color w:val="auto"/>
          <w:szCs w:val="18"/>
        </w:rPr>
        <w:t xml:space="preserve"> </w:t>
      </w:r>
      <w:r w:rsidR="007366ED" w:rsidRPr="007428E2">
        <w:rPr>
          <w:rFonts w:ascii="Arial" w:hAnsi="Arial"/>
          <w:color w:val="auto"/>
          <w:szCs w:val="18"/>
        </w:rPr>
        <w:t xml:space="preserve">the </w:t>
      </w:r>
      <w:r w:rsidR="00EF24F8" w:rsidRPr="007428E2">
        <w:rPr>
          <w:rFonts w:ascii="Arial" w:hAnsi="Arial"/>
          <w:color w:val="auto"/>
          <w:szCs w:val="18"/>
        </w:rPr>
        <w:t>AAQ NEPM</w:t>
      </w:r>
      <w:r w:rsidR="007366ED" w:rsidRPr="007428E2">
        <w:rPr>
          <w:rFonts w:ascii="Arial" w:hAnsi="Arial"/>
          <w:color w:val="auto"/>
          <w:szCs w:val="18"/>
        </w:rPr>
        <w:t xml:space="preserve"> provisions in their own </w:t>
      </w:r>
      <w:r w:rsidR="000C6E34" w:rsidRPr="007428E2">
        <w:rPr>
          <w:rFonts w:ascii="Arial" w:hAnsi="Arial"/>
          <w:color w:val="auto"/>
          <w:szCs w:val="18"/>
        </w:rPr>
        <w:t>jurisdiction</w:t>
      </w:r>
      <w:r w:rsidR="00045372" w:rsidRPr="007428E2">
        <w:rPr>
          <w:rFonts w:ascii="Arial" w:hAnsi="Arial"/>
          <w:color w:val="auto"/>
          <w:szCs w:val="18"/>
        </w:rPr>
        <w:t>, as is currently done</w:t>
      </w:r>
      <w:r w:rsidR="007366ED" w:rsidRPr="007428E2">
        <w:rPr>
          <w:rFonts w:ascii="Arial" w:hAnsi="Arial"/>
          <w:color w:val="auto"/>
          <w:szCs w:val="18"/>
        </w:rPr>
        <w:t>.</w:t>
      </w:r>
    </w:p>
    <w:p w:rsidR="00CC725A" w:rsidRPr="006574FD" w:rsidRDefault="00E84A16" w:rsidP="00F26AFF">
      <w:pPr>
        <w:pStyle w:val="ES2"/>
        <w:spacing w:after="200"/>
        <w:rPr>
          <w:rFonts w:ascii="Arial" w:hAnsi="Arial" w:cs="Arial"/>
        </w:rPr>
      </w:pPr>
      <w:r w:rsidRPr="006574FD">
        <w:rPr>
          <w:rFonts w:ascii="Arial" w:hAnsi="Arial" w:cs="Arial"/>
        </w:rPr>
        <w:t>S</w:t>
      </w:r>
      <w:r w:rsidR="00CC725A" w:rsidRPr="006574FD">
        <w:rPr>
          <w:rFonts w:ascii="Arial" w:hAnsi="Arial" w:cs="Arial"/>
        </w:rPr>
        <w:t>tatus of the PM standards</w:t>
      </w:r>
    </w:p>
    <w:p w:rsidR="00CC725A" w:rsidRPr="007428E2" w:rsidRDefault="00CC725A" w:rsidP="008377C9">
      <w:pPr>
        <w:pStyle w:val="BulletArrows"/>
        <w:spacing w:after="360"/>
        <w:rPr>
          <w:rFonts w:ascii="Arial" w:hAnsi="Arial"/>
          <w:color w:val="auto"/>
        </w:rPr>
      </w:pPr>
      <w:r w:rsidRPr="007428E2">
        <w:rPr>
          <w:rFonts w:ascii="Arial" w:hAnsi="Arial"/>
          <w:color w:val="auto"/>
        </w:rPr>
        <w:t>Assuming that a</w:t>
      </w:r>
      <w:r w:rsidR="00CE3DF0" w:rsidRPr="007428E2">
        <w:rPr>
          <w:rFonts w:ascii="Arial" w:hAnsi="Arial"/>
          <w:color w:val="auto"/>
        </w:rPr>
        <w:t xml:space="preserve">n </w:t>
      </w:r>
      <w:r w:rsidR="00EF24F8" w:rsidRPr="007428E2">
        <w:rPr>
          <w:rFonts w:ascii="Arial" w:hAnsi="Arial"/>
          <w:color w:val="auto"/>
        </w:rPr>
        <w:t>AAQ NEPM</w:t>
      </w:r>
      <w:r w:rsidRPr="007428E2">
        <w:rPr>
          <w:rFonts w:ascii="Arial" w:hAnsi="Arial"/>
          <w:color w:val="auto"/>
        </w:rPr>
        <w:t xml:space="preserve"> variation is the </w:t>
      </w:r>
      <w:r w:rsidR="001B3AA3" w:rsidRPr="007428E2">
        <w:rPr>
          <w:rFonts w:ascii="Arial" w:hAnsi="Arial"/>
          <w:color w:val="auto"/>
        </w:rPr>
        <w:t xml:space="preserve">preferred </w:t>
      </w:r>
      <w:r w:rsidRPr="007428E2">
        <w:rPr>
          <w:rFonts w:ascii="Arial" w:hAnsi="Arial"/>
          <w:color w:val="auto"/>
        </w:rPr>
        <w:t xml:space="preserve">approach, the </w:t>
      </w:r>
      <w:r w:rsidR="00917CEE" w:rsidRPr="007428E2">
        <w:rPr>
          <w:rFonts w:ascii="Arial" w:hAnsi="Arial"/>
          <w:color w:val="auto"/>
        </w:rPr>
        <w:t xml:space="preserve">main </w:t>
      </w:r>
      <w:r w:rsidRPr="007428E2">
        <w:rPr>
          <w:rFonts w:ascii="Arial" w:hAnsi="Arial"/>
          <w:color w:val="auto"/>
        </w:rPr>
        <w:t>choice</w:t>
      </w:r>
      <w:r w:rsidR="00907957" w:rsidRPr="007428E2">
        <w:rPr>
          <w:rFonts w:ascii="Arial" w:hAnsi="Arial"/>
          <w:color w:val="auto"/>
        </w:rPr>
        <w:t>s</w:t>
      </w:r>
      <w:r w:rsidRPr="007428E2">
        <w:rPr>
          <w:rFonts w:ascii="Arial" w:hAnsi="Arial"/>
          <w:color w:val="auto"/>
        </w:rPr>
        <w:t xml:space="preserve"> to be made </w:t>
      </w:r>
      <w:r w:rsidR="00907957" w:rsidRPr="007428E2">
        <w:rPr>
          <w:rFonts w:ascii="Arial" w:hAnsi="Arial"/>
          <w:color w:val="auto"/>
        </w:rPr>
        <w:t xml:space="preserve">are </w:t>
      </w:r>
      <w:r w:rsidRPr="007428E2">
        <w:rPr>
          <w:rFonts w:ascii="Arial" w:hAnsi="Arial"/>
          <w:color w:val="auto"/>
        </w:rPr>
        <w:t xml:space="preserve">whether </w:t>
      </w:r>
      <w:r w:rsidR="009B0CBB" w:rsidRPr="007428E2">
        <w:rPr>
          <w:rFonts w:ascii="Arial" w:hAnsi="Arial"/>
          <w:color w:val="auto"/>
        </w:rPr>
        <w:t xml:space="preserve">monitoring and reporting </w:t>
      </w:r>
      <w:r w:rsidR="00917CEE" w:rsidRPr="007428E2">
        <w:rPr>
          <w:rFonts w:ascii="Arial" w:hAnsi="Arial"/>
          <w:color w:val="auto"/>
        </w:rPr>
        <w:t xml:space="preserve">of </w:t>
      </w:r>
      <w:r w:rsidRPr="007428E2">
        <w:rPr>
          <w:rFonts w:ascii="Arial" w:hAnsi="Arial"/>
          <w:color w:val="auto"/>
        </w:rPr>
        <w:t>th</w:t>
      </w:r>
      <w:r w:rsidR="002E57B3" w:rsidRPr="007428E2">
        <w:rPr>
          <w:rFonts w:ascii="Arial" w:hAnsi="Arial"/>
          <w:color w:val="auto"/>
        </w:rPr>
        <w:t>e PM</w:t>
      </w:r>
      <w:r w:rsidR="002B2693" w:rsidRPr="007428E2">
        <w:rPr>
          <w:rFonts w:ascii="Arial" w:hAnsi="Arial"/>
          <w:color w:val="auto"/>
          <w:vertAlign w:val="subscript"/>
        </w:rPr>
        <w:t>2.5</w:t>
      </w:r>
      <w:r w:rsidR="002E57B3" w:rsidRPr="007428E2">
        <w:rPr>
          <w:rFonts w:ascii="Arial" w:hAnsi="Arial"/>
          <w:color w:val="auto"/>
        </w:rPr>
        <w:t xml:space="preserve"> standards should be of an </w:t>
      </w:r>
      <w:r w:rsidRPr="007428E2">
        <w:rPr>
          <w:rFonts w:ascii="Arial" w:hAnsi="Arial"/>
          <w:color w:val="auto"/>
        </w:rPr>
        <w:t>adviso</w:t>
      </w:r>
      <w:r w:rsidR="002E57B3" w:rsidRPr="007428E2">
        <w:rPr>
          <w:rFonts w:ascii="Arial" w:hAnsi="Arial"/>
          <w:color w:val="auto"/>
        </w:rPr>
        <w:t>ry</w:t>
      </w:r>
      <w:r w:rsidR="009B0CBB" w:rsidRPr="007428E2">
        <w:rPr>
          <w:rFonts w:ascii="Arial" w:hAnsi="Arial"/>
          <w:color w:val="auto"/>
        </w:rPr>
        <w:t xml:space="preserve"> nature or </w:t>
      </w:r>
      <w:r w:rsidR="002E57B3" w:rsidRPr="007428E2">
        <w:rPr>
          <w:rFonts w:ascii="Arial" w:hAnsi="Arial"/>
          <w:color w:val="auto"/>
        </w:rPr>
        <w:t xml:space="preserve">be </w:t>
      </w:r>
      <w:r w:rsidR="009B0CBB" w:rsidRPr="007428E2">
        <w:rPr>
          <w:rFonts w:ascii="Arial" w:hAnsi="Arial"/>
          <w:color w:val="auto"/>
        </w:rPr>
        <w:t>adopted</w:t>
      </w:r>
      <w:r w:rsidR="002B2693" w:rsidRPr="007428E2">
        <w:rPr>
          <w:rFonts w:ascii="Arial" w:hAnsi="Arial"/>
          <w:color w:val="auto"/>
        </w:rPr>
        <w:t xml:space="preserve"> as a performance standard</w:t>
      </w:r>
      <w:r w:rsidR="00907957" w:rsidRPr="007428E2">
        <w:rPr>
          <w:rFonts w:ascii="Arial" w:hAnsi="Arial"/>
          <w:color w:val="auto"/>
        </w:rPr>
        <w:t>, and whether the limits of the existing PM standards should be revised</w:t>
      </w:r>
      <w:r w:rsidR="009B0CBB" w:rsidRPr="007428E2">
        <w:rPr>
          <w:rFonts w:ascii="Arial" w:hAnsi="Arial"/>
          <w:color w:val="auto"/>
        </w:rPr>
        <w:t>.</w:t>
      </w:r>
    </w:p>
    <w:p w:rsidR="00CC725A" w:rsidRPr="006574FD" w:rsidRDefault="00CC725A" w:rsidP="00F26AFF">
      <w:pPr>
        <w:pStyle w:val="ES2"/>
        <w:spacing w:after="200"/>
        <w:rPr>
          <w:rFonts w:ascii="Arial" w:hAnsi="Arial" w:cs="Arial"/>
        </w:rPr>
      </w:pPr>
      <w:r w:rsidRPr="006574FD">
        <w:rPr>
          <w:rFonts w:ascii="Arial" w:hAnsi="Arial" w:cs="Arial"/>
        </w:rPr>
        <w:t>PM metrics and averaging periods</w:t>
      </w:r>
    </w:p>
    <w:p w:rsidR="00CC725A" w:rsidRDefault="00CC725A" w:rsidP="008377C9">
      <w:pPr>
        <w:pStyle w:val="BulletArrows"/>
        <w:spacing w:after="360"/>
        <w:rPr>
          <w:rFonts w:ascii="Arial" w:hAnsi="Arial"/>
          <w:color w:val="auto"/>
        </w:rPr>
      </w:pPr>
      <w:r w:rsidRPr="007428E2">
        <w:rPr>
          <w:rFonts w:ascii="Arial" w:hAnsi="Arial"/>
          <w:color w:val="auto"/>
        </w:rPr>
        <w:t xml:space="preserve">The </w:t>
      </w:r>
      <w:r w:rsidR="00EF24F8" w:rsidRPr="007428E2">
        <w:rPr>
          <w:rFonts w:ascii="Arial" w:hAnsi="Arial"/>
          <w:color w:val="auto"/>
        </w:rPr>
        <w:t>AAQ NEPM</w:t>
      </w:r>
      <w:r w:rsidRPr="007428E2">
        <w:rPr>
          <w:rFonts w:ascii="Arial" w:hAnsi="Arial"/>
          <w:color w:val="auto"/>
        </w:rPr>
        <w:t xml:space="preserve"> currently specifies a 24-hour standard for PM</w:t>
      </w:r>
      <w:r w:rsidRPr="007428E2">
        <w:rPr>
          <w:rFonts w:ascii="Arial" w:hAnsi="Arial"/>
          <w:color w:val="auto"/>
          <w:vertAlign w:val="subscript"/>
        </w:rPr>
        <w:t>10</w:t>
      </w:r>
      <w:r w:rsidRPr="007428E2">
        <w:rPr>
          <w:rFonts w:ascii="Arial" w:hAnsi="Arial"/>
          <w:color w:val="auto"/>
        </w:rPr>
        <w:t xml:space="preserve"> concentrations, and advisory reporting standards for 24-hour and annual mean PM</w:t>
      </w:r>
      <w:r w:rsidRPr="007428E2">
        <w:rPr>
          <w:rFonts w:ascii="Arial" w:hAnsi="Arial"/>
          <w:color w:val="auto"/>
          <w:vertAlign w:val="subscript"/>
        </w:rPr>
        <w:t>2.5</w:t>
      </w:r>
      <w:r w:rsidRPr="007428E2">
        <w:rPr>
          <w:rFonts w:ascii="Arial" w:hAnsi="Arial"/>
          <w:color w:val="auto"/>
        </w:rPr>
        <w:t xml:space="preserve"> concentrations.</w:t>
      </w:r>
      <w:r w:rsidR="002F0C15" w:rsidRPr="007428E2">
        <w:rPr>
          <w:rFonts w:ascii="Arial" w:hAnsi="Arial"/>
          <w:color w:val="auto"/>
        </w:rPr>
        <w:t xml:space="preserve"> </w:t>
      </w:r>
      <w:r w:rsidRPr="007428E2">
        <w:rPr>
          <w:rFonts w:ascii="Arial" w:hAnsi="Arial"/>
          <w:color w:val="auto"/>
        </w:rPr>
        <w:t>The addition of an annual mean standard for PM</w:t>
      </w:r>
      <w:r w:rsidRPr="007428E2">
        <w:rPr>
          <w:rFonts w:ascii="Arial" w:hAnsi="Arial"/>
          <w:color w:val="auto"/>
          <w:vertAlign w:val="subscript"/>
        </w:rPr>
        <w:t>10</w:t>
      </w:r>
      <w:r w:rsidRPr="007428E2">
        <w:rPr>
          <w:rFonts w:ascii="Arial" w:hAnsi="Arial"/>
          <w:color w:val="auto"/>
        </w:rPr>
        <w:t xml:space="preserve"> is </w:t>
      </w:r>
      <w:r w:rsidR="00122AF8" w:rsidRPr="007428E2">
        <w:rPr>
          <w:rFonts w:ascii="Arial" w:hAnsi="Arial"/>
          <w:color w:val="auto"/>
        </w:rPr>
        <w:t xml:space="preserve">proposed on </w:t>
      </w:r>
      <w:r w:rsidR="002F0C15" w:rsidRPr="007428E2">
        <w:rPr>
          <w:rFonts w:ascii="Arial" w:hAnsi="Arial"/>
          <w:color w:val="auto"/>
        </w:rPr>
        <w:t xml:space="preserve">health grounds. </w:t>
      </w:r>
      <w:r w:rsidRPr="007428E2">
        <w:rPr>
          <w:rFonts w:ascii="Arial" w:hAnsi="Arial"/>
          <w:color w:val="auto"/>
        </w:rPr>
        <w:t xml:space="preserve">There </w:t>
      </w:r>
      <w:r w:rsidR="002B2693" w:rsidRPr="007428E2">
        <w:rPr>
          <w:rFonts w:ascii="Arial" w:hAnsi="Arial"/>
          <w:color w:val="auto"/>
        </w:rPr>
        <w:t xml:space="preserve">is </w:t>
      </w:r>
      <w:r w:rsidRPr="007428E2">
        <w:rPr>
          <w:rFonts w:ascii="Arial" w:hAnsi="Arial"/>
          <w:color w:val="auto"/>
        </w:rPr>
        <w:t>currently insufficien</w:t>
      </w:r>
      <w:r w:rsidR="007831E5" w:rsidRPr="007428E2">
        <w:rPr>
          <w:rFonts w:ascii="Arial" w:hAnsi="Arial"/>
          <w:color w:val="auto"/>
        </w:rPr>
        <w:t xml:space="preserve">t data from monitoring networks and health studies </w:t>
      </w:r>
      <w:r w:rsidRPr="007428E2">
        <w:rPr>
          <w:rFonts w:ascii="Arial" w:hAnsi="Arial"/>
          <w:color w:val="auto"/>
        </w:rPr>
        <w:t>in Australia to allow for the consideration of options relating to metrics other than PM</w:t>
      </w:r>
      <w:r w:rsidRPr="007428E2">
        <w:rPr>
          <w:rFonts w:ascii="Arial" w:hAnsi="Arial"/>
          <w:color w:val="auto"/>
          <w:vertAlign w:val="subscript"/>
        </w:rPr>
        <w:t>10</w:t>
      </w:r>
      <w:r w:rsidRPr="007428E2">
        <w:rPr>
          <w:rFonts w:ascii="Arial" w:hAnsi="Arial"/>
          <w:color w:val="auto"/>
        </w:rPr>
        <w:t xml:space="preserve"> and PM</w:t>
      </w:r>
      <w:r w:rsidRPr="007428E2">
        <w:rPr>
          <w:rFonts w:ascii="Arial" w:hAnsi="Arial"/>
          <w:color w:val="auto"/>
          <w:vertAlign w:val="subscript"/>
        </w:rPr>
        <w:t>2.5</w:t>
      </w:r>
      <w:r w:rsidR="002F0C15" w:rsidRPr="007428E2">
        <w:rPr>
          <w:rFonts w:ascii="Arial" w:hAnsi="Arial"/>
          <w:color w:val="auto"/>
        </w:rPr>
        <w:t xml:space="preserve">. </w:t>
      </w:r>
      <w:r w:rsidRPr="007428E2">
        <w:rPr>
          <w:rFonts w:ascii="Arial" w:hAnsi="Arial"/>
          <w:color w:val="auto"/>
        </w:rPr>
        <w:t>Consequently, the options that have been considered here relate solely to the metrics PM</w:t>
      </w:r>
      <w:r w:rsidRPr="007428E2">
        <w:rPr>
          <w:rFonts w:ascii="Arial" w:hAnsi="Arial"/>
          <w:color w:val="auto"/>
          <w:vertAlign w:val="subscript"/>
        </w:rPr>
        <w:t>10</w:t>
      </w:r>
      <w:r w:rsidRPr="007428E2">
        <w:rPr>
          <w:rFonts w:ascii="Arial" w:hAnsi="Arial"/>
          <w:color w:val="auto"/>
        </w:rPr>
        <w:t xml:space="preserve"> and PM</w:t>
      </w:r>
      <w:r w:rsidRPr="007428E2">
        <w:rPr>
          <w:rFonts w:ascii="Arial" w:hAnsi="Arial"/>
          <w:color w:val="auto"/>
          <w:vertAlign w:val="subscript"/>
        </w:rPr>
        <w:t>2.5</w:t>
      </w:r>
      <w:r w:rsidRPr="007428E2">
        <w:rPr>
          <w:rFonts w:ascii="Arial" w:hAnsi="Arial"/>
          <w:color w:val="auto"/>
        </w:rPr>
        <w:t>, and to annual and 24-hour averaging periods in each case.</w:t>
      </w:r>
    </w:p>
    <w:p w:rsidR="00AA0C0D" w:rsidRPr="006574FD" w:rsidRDefault="00AA0C0D" w:rsidP="00AA0C0D">
      <w:pPr>
        <w:pStyle w:val="ES2"/>
        <w:spacing w:after="200"/>
        <w:rPr>
          <w:rFonts w:ascii="Arial" w:hAnsi="Arial" w:cs="Arial"/>
        </w:rPr>
      </w:pPr>
      <w:r w:rsidRPr="006574FD">
        <w:rPr>
          <w:rFonts w:ascii="Arial" w:hAnsi="Arial" w:cs="Arial"/>
        </w:rPr>
        <w:t>Numerical values for the PM standards</w:t>
      </w:r>
    </w:p>
    <w:p w:rsidR="00AA0C0D" w:rsidRPr="007428E2" w:rsidRDefault="00AA0C0D" w:rsidP="00AA0C0D">
      <w:pPr>
        <w:pStyle w:val="BulletArrows"/>
        <w:spacing w:after="240"/>
        <w:ind w:right="-91"/>
        <w:rPr>
          <w:rFonts w:ascii="Arial" w:hAnsi="Arial"/>
          <w:color w:val="auto"/>
          <w:szCs w:val="18"/>
        </w:rPr>
      </w:pPr>
      <w:r w:rsidRPr="007428E2">
        <w:rPr>
          <w:rFonts w:ascii="Arial" w:hAnsi="Arial"/>
          <w:color w:val="auto"/>
          <w:szCs w:val="18"/>
        </w:rPr>
        <w:t>Potential new air quality standards for both PM</w:t>
      </w:r>
      <w:r w:rsidRPr="007428E2">
        <w:rPr>
          <w:rFonts w:ascii="Arial" w:hAnsi="Arial"/>
          <w:color w:val="auto"/>
          <w:szCs w:val="18"/>
          <w:vertAlign w:val="subscript"/>
        </w:rPr>
        <w:t>10</w:t>
      </w:r>
      <w:r w:rsidRPr="007428E2">
        <w:rPr>
          <w:rFonts w:ascii="Arial" w:hAnsi="Arial"/>
          <w:color w:val="auto"/>
          <w:szCs w:val="18"/>
        </w:rPr>
        <w:t xml:space="preserve"> and PM</w:t>
      </w:r>
      <w:r w:rsidRPr="007428E2">
        <w:rPr>
          <w:rFonts w:ascii="Arial" w:hAnsi="Arial"/>
          <w:color w:val="auto"/>
          <w:szCs w:val="18"/>
          <w:vertAlign w:val="subscript"/>
        </w:rPr>
        <w:t>2.5</w:t>
      </w:r>
      <w:r w:rsidRPr="007428E2">
        <w:rPr>
          <w:rFonts w:ascii="Arial" w:hAnsi="Arial"/>
          <w:color w:val="auto"/>
          <w:szCs w:val="18"/>
        </w:rPr>
        <w:t xml:space="preserve"> were considered as options for varying the AAQ NEPM. The options – shown in </w:t>
      </w:r>
      <w:r w:rsidRPr="007428E2">
        <w:rPr>
          <w:rFonts w:ascii="Arial" w:hAnsi="Arial"/>
          <w:b/>
          <w:color w:val="auto"/>
          <w:szCs w:val="18"/>
        </w:rPr>
        <w:t>Table ES</w:t>
      </w:r>
      <w:r>
        <w:rPr>
          <w:rFonts w:ascii="Arial" w:hAnsi="Arial"/>
          <w:b/>
          <w:color w:val="auto"/>
          <w:szCs w:val="18"/>
        </w:rPr>
        <w:t>3</w:t>
      </w:r>
      <w:r w:rsidRPr="007428E2">
        <w:rPr>
          <w:rFonts w:ascii="Arial" w:hAnsi="Arial"/>
          <w:color w:val="auto"/>
          <w:szCs w:val="18"/>
        </w:rPr>
        <w:t xml:space="preserve"> – were based on international guidance (e.g. WHO and the United States Environmental Protection Agency (USEPA)), but were also informed by Australian conditions.</w:t>
      </w:r>
    </w:p>
    <w:p w:rsidR="00AA0C0D" w:rsidRPr="007428E2" w:rsidRDefault="00AA0C0D" w:rsidP="00AA0C0D">
      <w:pPr>
        <w:rPr>
          <w:rFonts w:ascii="Arial" w:hAnsi="Arial" w:cs="Arial"/>
        </w:rPr>
      </w:pPr>
      <w:r w:rsidRPr="007428E2">
        <w:rPr>
          <w:rFonts w:ascii="Arial" w:hAnsi="Arial" w:cs="Arial"/>
        </w:rPr>
        <w:t xml:space="preserve">One aspect for consideration is whether single-year or multi-year averages are used for the monitoring data when comparing measurements with the standards; for example, a three-year averaging period is used in the US. This is not explicitly addressed in the </w:t>
      </w:r>
      <w:r w:rsidRPr="007428E2">
        <w:rPr>
          <w:rFonts w:ascii="Arial" w:hAnsi="Arial"/>
        </w:rPr>
        <w:t>Impact Statement</w:t>
      </w:r>
      <w:r w:rsidRPr="007428E2">
        <w:rPr>
          <w:rFonts w:ascii="Arial" w:hAnsi="Arial" w:cs="Arial"/>
        </w:rPr>
        <w:t xml:space="preserve"> however.</w:t>
      </w:r>
    </w:p>
    <w:p w:rsidR="00CC725A" w:rsidRPr="007428E2" w:rsidRDefault="00CC725A" w:rsidP="00AA0C0D">
      <w:pPr>
        <w:pStyle w:val="Caption"/>
        <w:pageBreakBefore/>
        <w:rPr>
          <w:rFonts w:ascii="Arial" w:hAnsi="Arial" w:cs="Arial"/>
        </w:rPr>
      </w:pPr>
      <w:r w:rsidRPr="007428E2">
        <w:rPr>
          <w:rFonts w:ascii="Arial" w:hAnsi="Arial" w:cs="Arial"/>
        </w:rPr>
        <w:lastRenderedPageBreak/>
        <w:t>Table ES</w:t>
      </w:r>
      <w:r w:rsidR="00953222">
        <w:rPr>
          <w:rFonts w:ascii="Arial" w:hAnsi="Arial" w:cs="Arial"/>
        </w:rPr>
        <w:t>3</w:t>
      </w:r>
      <w:r w:rsidRPr="007428E2">
        <w:rPr>
          <w:rFonts w:ascii="Arial" w:hAnsi="Arial" w:cs="Arial"/>
        </w:rPr>
        <w:t>: Options and sub-options – air quality standards</w:t>
      </w:r>
    </w:p>
    <w:tbl>
      <w:tblPr>
        <w:tblW w:w="0" w:type="auto"/>
        <w:jc w:val="center"/>
        <w:tblLook w:val="00A0"/>
      </w:tblPr>
      <w:tblGrid>
        <w:gridCol w:w="1923"/>
        <w:gridCol w:w="1553"/>
        <w:gridCol w:w="1202"/>
        <w:gridCol w:w="1360"/>
      </w:tblGrid>
      <w:tr w:rsidR="00CC725A" w:rsidRPr="007428E2" w:rsidTr="00F40168">
        <w:trPr>
          <w:trHeight w:hRule="exact" w:val="397"/>
          <w:jc w:val="center"/>
        </w:trPr>
        <w:tc>
          <w:tcPr>
            <w:tcW w:w="1923"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CC725A" w:rsidRPr="007428E2" w:rsidRDefault="00CC725A" w:rsidP="00836A68">
            <w:pPr>
              <w:spacing w:after="0" w:line="240" w:lineRule="auto"/>
              <w:jc w:val="center"/>
              <w:rPr>
                <w:rFonts w:ascii="Arial" w:hAnsi="Arial" w:cs="Arial"/>
                <w:b/>
                <w:color w:val="FFFFFF"/>
                <w:sz w:val="15"/>
                <w:szCs w:val="15"/>
              </w:rPr>
            </w:pPr>
            <w:r w:rsidRPr="007428E2">
              <w:rPr>
                <w:rFonts w:ascii="Arial" w:hAnsi="Arial" w:cs="Arial"/>
                <w:b/>
                <w:color w:val="FFFFFF"/>
                <w:sz w:val="15"/>
                <w:szCs w:val="15"/>
              </w:rPr>
              <w:t>Action</w:t>
            </w:r>
          </w:p>
        </w:tc>
        <w:tc>
          <w:tcPr>
            <w:tcW w:w="1553"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CC725A" w:rsidRPr="007428E2" w:rsidRDefault="00CC725A" w:rsidP="00836A68">
            <w:pPr>
              <w:spacing w:after="0" w:line="240" w:lineRule="auto"/>
              <w:jc w:val="center"/>
              <w:rPr>
                <w:rFonts w:ascii="Arial" w:hAnsi="Arial" w:cs="Arial"/>
                <w:b/>
                <w:color w:val="FFFFFF"/>
                <w:sz w:val="15"/>
                <w:szCs w:val="15"/>
              </w:rPr>
            </w:pPr>
            <w:r w:rsidRPr="007428E2">
              <w:rPr>
                <w:rFonts w:ascii="Arial" w:hAnsi="Arial" w:cs="Arial"/>
                <w:b/>
                <w:color w:val="FFFFFF"/>
                <w:sz w:val="15"/>
                <w:szCs w:val="15"/>
              </w:rPr>
              <w:t>Options</w:t>
            </w:r>
          </w:p>
        </w:tc>
        <w:tc>
          <w:tcPr>
            <w:tcW w:w="1202"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CC725A" w:rsidRPr="007428E2" w:rsidRDefault="00CC725A" w:rsidP="00836A68">
            <w:pPr>
              <w:spacing w:after="0" w:line="240" w:lineRule="auto"/>
              <w:jc w:val="center"/>
              <w:rPr>
                <w:rFonts w:ascii="Arial" w:hAnsi="Arial" w:cs="Arial"/>
                <w:b/>
                <w:color w:val="FFFFFF"/>
                <w:sz w:val="15"/>
                <w:szCs w:val="15"/>
              </w:rPr>
            </w:pPr>
            <w:r w:rsidRPr="007428E2">
              <w:rPr>
                <w:rFonts w:ascii="Arial" w:hAnsi="Arial" w:cs="Arial"/>
                <w:b/>
                <w:color w:val="FFFFFF"/>
                <w:sz w:val="15"/>
                <w:szCs w:val="15"/>
              </w:rPr>
              <w:t>Sub-option</w:t>
            </w:r>
            <w:r w:rsidRPr="007428E2">
              <w:rPr>
                <w:rFonts w:ascii="Arial" w:hAnsi="Arial" w:cs="Arial"/>
                <w:b/>
                <w:color w:val="FFFFFF"/>
                <w:sz w:val="15"/>
                <w:szCs w:val="15"/>
                <w:vertAlign w:val="superscript"/>
              </w:rPr>
              <w:t>(a)</w:t>
            </w:r>
          </w:p>
        </w:tc>
        <w:tc>
          <w:tcPr>
            <w:tcW w:w="1360"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CC725A" w:rsidRPr="007428E2" w:rsidRDefault="00CC725A" w:rsidP="00836A68">
            <w:pPr>
              <w:spacing w:after="0" w:line="240" w:lineRule="auto"/>
              <w:jc w:val="center"/>
              <w:rPr>
                <w:rFonts w:ascii="Arial" w:hAnsi="Arial" w:cs="Arial"/>
                <w:b/>
                <w:color w:val="FFFFFF"/>
                <w:sz w:val="15"/>
                <w:szCs w:val="15"/>
              </w:rPr>
            </w:pPr>
            <w:r w:rsidRPr="007428E2">
              <w:rPr>
                <w:rFonts w:ascii="Arial" w:hAnsi="Arial" w:cs="Arial"/>
                <w:b/>
                <w:color w:val="FFFFFF"/>
                <w:sz w:val="15"/>
                <w:szCs w:val="15"/>
              </w:rPr>
              <w:t>Standard</w:t>
            </w:r>
            <w:r w:rsidRPr="007428E2">
              <w:rPr>
                <w:rFonts w:ascii="Arial" w:hAnsi="Arial" w:cs="Arial"/>
                <w:b/>
                <w:color w:val="FFFFFF"/>
                <w:sz w:val="15"/>
                <w:szCs w:val="15"/>
                <w:vertAlign w:val="superscript"/>
              </w:rPr>
              <w:t>(b)</w:t>
            </w:r>
          </w:p>
        </w:tc>
      </w:tr>
      <w:tr w:rsidR="00CC725A" w:rsidRPr="007428E2" w:rsidTr="008377C9">
        <w:trPr>
          <w:cantSplit/>
          <w:trHeight w:hRule="exact" w:val="340"/>
          <w:jc w:val="center"/>
        </w:trPr>
        <w:tc>
          <w:tcPr>
            <w:tcW w:w="1923" w:type="dxa"/>
            <w:vMerge w:val="restart"/>
            <w:tcBorders>
              <w:top w:val="single" w:sz="4" w:space="0" w:color="0070C0"/>
              <w:left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Particle standards</w:t>
            </w:r>
          </w:p>
        </w:tc>
        <w:tc>
          <w:tcPr>
            <w:tcW w:w="1553" w:type="dxa"/>
            <w:vMerge w:val="restart"/>
            <w:tcBorders>
              <w:top w:val="single" w:sz="4" w:space="0" w:color="0070C0"/>
              <w:left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PM</w:t>
            </w:r>
            <w:r w:rsidRPr="007428E2">
              <w:rPr>
                <w:rFonts w:ascii="Arial" w:hAnsi="Arial" w:cs="Arial"/>
                <w:sz w:val="15"/>
                <w:szCs w:val="15"/>
                <w:vertAlign w:val="subscript"/>
              </w:rPr>
              <w:t>10</w:t>
            </w:r>
          </w:p>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annual mean</w:t>
            </w:r>
          </w:p>
        </w:tc>
        <w:tc>
          <w:tcPr>
            <w:tcW w:w="1202" w:type="dxa"/>
            <w:tcBorders>
              <w:top w:val="single" w:sz="4" w:space="0" w:color="0070C0"/>
              <w:left w:val="single" w:sz="4" w:space="0" w:color="0070C0"/>
              <w:bottom w:val="dotted" w:sz="4" w:space="0" w:color="0070C0"/>
              <w:right w:val="single" w:sz="4" w:space="0" w:color="0070C0"/>
            </w:tcBorders>
            <w:vAlign w:val="center"/>
          </w:tcPr>
          <w:p w:rsidR="00CC725A" w:rsidRPr="007428E2" w:rsidRDefault="003678E4" w:rsidP="003A73B4">
            <w:pPr>
              <w:spacing w:after="0" w:line="240" w:lineRule="auto"/>
              <w:jc w:val="center"/>
              <w:rPr>
                <w:rFonts w:ascii="Arial" w:hAnsi="Arial" w:cs="Arial"/>
                <w:sz w:val="15"/>
                <w:szCs w:val="15"/>
              </w:rPr>
            </w:pPr>
            <w:r w:rsidRPr="007428E2">
              <w:rPr>
                <w:rFonts w:ascii="Arial" w:hAnsi="Arial" w:cs="Arial"/>
                <w:sz w:val="15"/>
                <w:szCs w:val="15"/>
              </w:rPr>
              <w:t>A</w:t>
            </w:r>
            <w:r w:rsidR="00CC725A" w:rsidRPr="007428E2">
              <w:rPr>
                <w:rFonts w:ascii="Arial" w:hAnsi="Arial" w:cs="Arial"/>
                <w:sz w:val="15"/>
                <w:szCs w:val="15"/>
              </w:rPr>
              <w:t>20PM</w:t>
            </w:r>
            <w:r w:rsidR="00CC725A" w:rsidRPr="007428E2">
              <w:rPr>
                <w:rFonts w:ascii="Arial" w:hAnsi="Arial" w:cs="Arial"/>
                <w:sz w:val="15"/>
                <w:szCs w:val="15"/>
                <w:vertAlign w:val="subscript"/>
              </w:rPr>
              <w:t>10</w:t>
            </w:r>
          </w:p>
        </w:tc>
        <w:tc>
          <w:tcPr>
            <w:tcW w:w="1360" w:type="dxa"/>
            <w:tcBorders>
              <w:top w:val="single" w:sz="4" w:space="0" w:color="0070C0"/>
              <w:left w:val="single" w:sz="4" w:space="0" w:color="0070C0"/>
              <w:bottom w:val="dotted"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 xml:space="preserve">20 </w:t>
            </w:r>
            <w:proofErr w:type="spellStart"/>
            <w:r w:rsidRPr="007428E2">
              <w:rPr>
                <w:rFonts w:ascii="Arial" w:hAnsi="Arial" w:cs="Arial"/>
                <w:sz w:val="15"/>
                <w:szCs w:val="15"/>
              </w:rPr>
              <w:t>μg</w:t>
            </w:r>
            <w:proofErr w:type="spellEnd"/>
            <w:r w:rsidRPr="007428E2">
              <w:rPr>
                <w:rFonts w:ascii="Arial" w:hAnsi="Arial" w:cs="Arial"/>
                <w:sz w:val="15"/>
                <w:szCs w:val="15"/>
              </w:rPr>
              <w:t>/m</w:t>
            </w:r>
            <w:r w:rsidRPr="007428E2">
              <w:rPr>
                <w:rFonts w:ascii="Arial" w:hAnsi="Arial" w:cs="Arial"/>
                <w:sz w:val="15"/>
                <w:szCs w:val="15"/>
                <w:vertAlign w:val="superscript"/>
              </w:rPr>
              <w:t>3</w:t>
            </w:r>
          </w:p>
        </w:tc>
      </w:tr>
      <w:tr w:rsidR="00CC725A" w:rsidRPr="007428E2" w:rsidTr="008377C9">
        <w:trPr>
          <w:cantSplit/>
          <w:trHeight w:hRule="exact" w:val="340"/>
          <w:jc w:val="center"/>
        </w:trPr>
        <w:tc>
          <w:tcPr>
            <w:tcW w:w="1923" w:type="dxa"/>
            <w:vMerge/>
            <w:tcBorders>
              <w:left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p>
        </w:tc>
        <w:tc>
          <w:tcPr>
            <w:tcW w:w="1553" w:type="dxa"/>
            <w:vMerge/>
            <w:tcBorders>
              <w:left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p>
        </w:tc>
        <w:tc>
          <w:tcPr>
            <w:tcW w:w="1202" w:type="dxa"/>
            <w:tcBorders>
              <w:top w:val="dotted" w:sz="4" w:space="0" w:color="0070C0"/>
              <w:left w:val="single" w:sz="4" w:space="0" w:color="0070C0"/>
              <w:bottom w:val="dotted"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A16PM</w:t>
            </w:r>
            <w:r w:rsidRPr="007428E2">
              <w:rPr>
                <w:rFonts w:ascii="Arial" w:hAnsi="Arial" w:cs="Arial"/>
                <w:sz w:val="15"/>
                <w:szCs w:val="15"/>
                <w:vertAlign w:val="subscript"/>
              </w:rPr>
              <w:t>10</w:t>
            </w:r>
          </w:p>
        </w:tc>
        <w:tc>
          <w:tcPr>
            <w:tcW w:w="1360" w:type="dxa"/>
            <w:tcBorders>
              <w:top w:val="dotted" w:sz="4" w:space="0" w:color="0070C0"/>
              <w:left w:val="single" w:sz="4" w:space="0" w:color="0070C0"/>
              <w:bottom w:val="dotted"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 xml:space="preserve">16 </w:t>
            </w:r>
            <w:proofErr w:type="spellStart"/>
            <w:r w:rsidRPr="007428E2">
              <w:rPr>
                <w:rFonts w:ascii="Arial" w:hAnsi="Arial" w:cs="Arial"/>
                <w:sz w:val="15"/>
                <w:szCs w:val="15"/>
              </w:rPr>
              <w:t>μg</w:t>
            </w:r>
            <w:proofErr w:type="spellEnd"/>
            <w:r w:rsidRPr="007428E2">
              <w:rPr>
                <w:rFonts w:ascii="Arial" w:hAnsi="Arial" w:cs="Arial"/>
                <w:sz w:val="15"/>
                <w:szCs w:val="15"/>
              </w:rPr>
              <w:t>/m</w:t>
            </w:r>
            <w:r w:rsidRPr="007428E2">
              <w:rPr>
                <w:rFonts w:ascii="Arial" w:hAnsi="Arial" w:cs="Arial"/>
                <w:sz w:val="15"/>
                <w:szCs w:val="15"/>
                <w:vertAlign w:val="superscript"/>
              </w:rPr>
              <w:t>3</w:t>
            </w:r>
          </w:p>
        </w:tc>
      </w:tr>
      <w:tr w:rsidR="00CC725A" w:rsidRPr="007428E2" w:rsidTr="008377C9">
        <w:trPr>
          <w:cantSplit/>
          <w:trHeight w:hRule="exact" w:val="340"/>
          <w:jc w:val="center"/>
        </w:trPr>
        <w:tc>
          <w:tcPr>
            <w:tcW w:w="1923" w:type="dxa"/>
            <w:vMerge/>
            <w:tcBorders>
              <w:left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p>
        </w:tc>
        <w:tc>
          <w:tcPr>
            <w:tcW w:w="1553" w:type="dxa"/>
            <w:vMerge/>
            <w:tcBorders>
              <w:left w:val="single" w:sz="4" w:space="0" w:color="0070C0"/>
              <w:bottom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p>
        </w:tc>
        <w:tc>
          <w:tcPr>
            <w:tcW w:w="1202" w:type="dxa"/>
            <w:tcBorders>
              <w:top w:val="dotted" w:sz="4" w:space="0" w:color="0070C0"/>
              <w:left w:val="single" w:sz="4" w:space="0" w:color="0070C0"/>
              <w:bottom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A12PM</w:t>
            </w:r>
            <w:r w:rsidRPr="007428E2">
              <w:rPr>
                <w:rFonts w:ascii="Arial" w:hAnsi="Arial" w:cs="Arial"/>
                <w:sz w:val="15"/>
                <w:szCs w:val="15"/>
                <w:vertAlign w:val="subscript"/>
              </w:rPr>
              <w:t>10</w:t>
            </w:r>
          </w:p>
        </w:tc>
        <w:tc>
          <w:tcPr>
            <w:tcW w:w="1360" w:type="dxa"/>
            <w:tcBorders>
              <w:top w:val="dotted" w:sz="4" w:space="0" w:color="0070C0"/>
              <w:left w:val="single" w:sz="4" w:space="0" w:color="0070C0"/>
              <w:bottom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 xml:space="preserve">12 </w:t>
            </w:r>
            <w:proofErr w:type="spellStart"/>
            <w:r w:rsidRPr="007428E2">
              <w:rPr>
                <w:rFonts w:ascii="Arial" w:hAnsi="Arial" w:cs="Arial"/>
                <w:sz w:val="15"/>
                <w:szCs w:val="15"/>
              </w:rPr>
              <w:t>μg</w:t>
            </w:r>
            <w:proofErr w:type="spellEnd"/>
            <w:r w:rsidRPr="007428E2">
              <w:rPr>
                <w:rFonts w:ascii="Arial" w:hAnsi="Arial" w:cs="Arial"/>
                <w:sz w:val="15"/>
                <w:szCs w:val="15"/>
              </w:rPr>
              <w:t>/m</w:t>
            </w:r>
            <w:r w:rsidRPr="007428E2">
              <w:rPr>
                <w:rFonts w:ascii="Arial" w:hAnsi="Arial" w:cs="Arial"/>
                <w:sz w:val="15"/>
                <w:szCs w:val="15"/>
                <w:vertAlign w:val="superscript"/>
              </w:rPr>
              <w:t>3</w:t>
            </w:r>
          </w:p>
        </w:tc>
      </w:tr>
      <w:tr w:rsidR="00CC725A" w:rsidRPr="007428E2" w:rsidTr="008377C9">
        <w:trPr>
          <w:cantSplit/>
          <w:trHeight w:hRule="exact" w:val="340"/>
          <w:jc w:val="center"/>
        </w:trPr>
        <w:tc>
          <w:tcPr>
            <w:tcW w:w="1923" w:type="dxa"/>
            <w:vMerge/>
            <w:tcBorders>
              <w:left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p>
        </w:tc>
        <w:tc>
          <w:tcPr>
            <w:tcW w:w="1553" w:type="dxa"/>
            <w:vMerge w:val="restart"/>
            <w:tcBorders>
              <w:top w:val="single" w:sz="4" w:space="0" w:color="0070C0"/>
              <w:left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PM</w:t>
            </w:r>
            <w:r w:rsidRPr="007428E2">
              <w:rPr>
                <w:rFonts w:ascii="Arial" w:hAnsi="Arial" w:cs="Arial"/>
                <w:sz w:val="15"/>
                <w:szCs w:val="15"/>
                <w:vertAlign w:val="subscript"/>
              </w:rPr>
              <w:t>10</w:t>
            </w:r>
          </w:p>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24-hour mean</w:t>
            </w:r>
          </w:p>
        </w:tc>
        <w:tc>
          <w:tcPr>
            <w:tcW w:w="1202" w:type="dxa"/>
            <w:tcBorders>
              <w:top w:val="single" w:sz="4" w:space="0" w:color="0070C0"/>
              <w:left w:val="single" w:sz="4" w:space="0" w:color="0070C0"/>
              <w:bottom w:val="dotted"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D50PM</w:t>
            </w:r>
            <w:r w:rsidRPr="007428E2">
              <w:rPr>
                <w:rFonts w:ascii="Arial" w:hAnsi="Arial" w:cs="Arial"/>
                <w:sz w:val="15"/>
                <w:szCs w:val="15"/>
                <w:vertAlign w:val="subscript"/>
              </w:rPr>
              <w:t>10</w:t>
            </w:r>
          </w:p>
        </w:tc>
        <w:tc>
          <w:tcPr>
            <w:tcW w:w="1360" w:type="dxa"/>
            <w:tcBorders>
              <w:top w:val="single" w:sz="4" w:space="0" w:color="0070C0"/>
              <w:left w:val="single" w:sz="4" w:space="0" w:color="0070C0"/>
              <w:bottom w:val="dotted"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b/>
                <w:sz w:val="15"/>
                <w:szCs w:val="15"/>
              </w:rPr>
            </w:pPr>
            <w:r w:rsidRPr="007428E2">
              <w:rPr>
                <w:rFonts w:ascii="Arial" w:hAnsi="Arial" w:cs="Arial"/>
                <w:b/>
                <w:sz w:val="15"/>
                <w:szCs w:val="15"/>
              </w:rPr>
              <w:t>50</w:t>
            </w:r>
            <w:r w:rsidRPr="007428E2">
              <w:rPr>
                <w:rFonts w:ascii="Arial" w:hAnsi="Arial" w:cs="Arial"/>
                <w:sz w:val="15"/>
                <w:szCs w:val="15"/>
              </w:rPr>
              <w:t xml:space="preserve"> </w:t>
            </w:r>
            <w:proofErr w:type="spellStart"/>
            <w:r w:rsidRPr="007428E2">
              <w:rPr>
                <w:rFonts w:ascii="Arial" w:hAnsi="Arial" w:cs="Arial"/>
                <w:sz w:val="15"/>
                <w:szCs w:val="15"/>
              </w:rPr>
              <w:t>μg</w:t>
            </w:r>
            <w:proofErr w:type="spellEnd"/>
            <w:r w:rsidRPr="007428E2">
              <w:rPr>
                <w:rFonts w:ascii="Arial" w:hAnsi="Arial" w:cs="Arial"/>
                <w:sz w:val="15"/>
                <w:szCs w:val="15"/>
              </w:rPr>
              <w:t>/m</w:t>
            </w:r>
            <w:r w:rsidRPr="007428E2">
              <w:rPr>
                <w:rFonts w:ascii="Arial" w:hAnsi="Arial" w:cs="Arial"/>
                <w:sz w:val="15"/>
                <w:szCs w:val="15"/>
                <w:vertAlign w:val="superscript"/>
              </w:rPr>
              <w:t>3</w:t>
            </w:r>
          </w:p>
        </w:tc>
      </w:tr>
      <w:tr w:rsidR="00CC725A" w:rsidRPr="007428E2" w:rsidTr="008377C9">
        <w:trPr>
          <w:cantSplit/>
          <w:trHeight w:hRule="exact" w:val="340"/>
          <w:jc w:val="center"/>
        </w:trPr>
        <w:tc>
          <w:tcPr>
            <w:tcW w:w="1923" w:type="dxa"/>
            <w:vMerge/>
            <w:tcBorders>
              <w:left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p>
        </w:tc>
        <w:tc>
          <w:tcPr>
            <w:tcW w:w="1553" w:type="dxa"/>
            <w:vMerge/>
            <w:tcBorders>
              <w:left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p>
        </w:tc>
        <w:tc>
          <w:tcPr>
            <w:tcW w:w="1202" w:type="dxa"/>
            <w:tcBorders>
              <w:top w:val="dotted" w:sz="4" w:space="0" w:color="0070C0"/>
              <w:left w:val="single" w:sz="4" w:space="0" w:color="0070C0"/>
              <w:bottom w:val="dotted"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D40PM</w:t>
            </w:r>
            <w:r w:rsidRPr="007428E2">
              <w:rPr>
                <w:rFonts w:ascii="Arial" w:hAnsi="Arial" w:cs="Arial"/>
                <w:sz w:val="15"/>
                <w:szCs w:val="15"/>
                <w:vertAlign w:val="subscript"/>
              </w:rPr>
              <w:t>10</w:t>
            </w:r>
          </w:p>
        </w:tc>
        <w:tc>
          <w:tcPr>
            <w:tcW w:w="1360" w:type="dxa"/>
            <w:tcBorders>
              <w:top w:val="dotted" w:sz="4" w:space="0" w:color="0070C0"/>
              <w:left w:val="single" w:sz="4" w:space="0" w:color="0070C0"/>
              <w:bottom w:val="dotted"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 xml:space="preserve">40 </w:t>
            </w:r>
            <w:proofErr w:type="spellStart"/>
            <w:r w:rsidRPr="007428E2">
              <w:rPr>
                <w:rFonts w:ascii="Arial" w:hAnsi="Arial" w:cs="Arial"/>
                <w:sz w:val="15"/>
                <w:szCs w:val="15"/>
              </w:rPr>
              <w:t>μg</w:t>
            </w:r>
            <w:proofErr w:type="spellEnd"/>
            <w:r w:rsidRPr="007428E2">
              <w:rPr>
                <w:rFonts w:ascii="Arial" w:hAnsi="Arial" w:cs="Arial"/>
                <w:sz w:val="15"/>
                <w:szCs w:val="15"/>
              </w:rPr>
              <w:t>/m</w:t>
            </w:r>
            <w:r w:rsidRPr="007428E2">
              <w:rPr>
                <w:rFonts w:ascii="Arial" w:hAnsi="Arial" w:cs="Arial"/>
                <w:sz w:val="15"/>
                <w:szCs w:val="15"/>
                <w:vertAlign w:val="superscript"/>
              </w:rPr>
              <w:t>3</w:t>
            </w:r>
          </w:p>
        </w:tc>
      </w:tr>
      <w:tr w:rsidR="00CC725A" w:rsidRPr="007428E2" w:rsidTr="008377C9">
        <w:trPr>
          <w:cantSplit/>
          <w:trHeight w:hRule="exact" w:val="340"/>
          <w:jc w:val="center"/>
        </w:trPr>
        <w:tc>
          <w:tcPr>
            <w:tcW w:w="1923" w:type="dxa"/>
            <w:vMerge/>
            <w:tcBorders>
              <w:left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p>
        </w:tc>
        <w:tc>
          <w:tcPr>
            <w:tcW w:w="1553" w:type="dxa"/>
            <w:vMerge/>
            <w:tcBorders>
              <w:left w:val="single" w:sz="4" w:space="0" w:color="0070C0"/>
              <w:bottom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p>
        </w:tc>
        <w:tc>
          <w:tcPr>
            <w:tcW w:w="1202" w:type="dxa"/>
            <w:tcBorders>
              <w:top w:val="dotted" w:sz="4" w:space="0" w:color="0070C0"/>
              <w:left w:val="single" w:sz="4" w:space="0" w:color="0070C0"/>
              <w:bottom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D30PM</w:t>
            </w:r>
            <w:r w:rsidRPr="007428E2">
              <w:rPr>
                <w:rFonts w:ascii="Arial" w:hAnsi="Arial" w:cs="Arial"/>
                <w:sz w:val="15"/>
                <w:szCs w:val="15"/>
                <w:vertAlign w:val="subscript"/>
              </w:rPr>
              <w:t>10</w:t>
            </w:r>
          </w:p>
        </w:tc>
        <w:tc>
          <w:tcPr>
            <w:tcW w:w="1360" w:type="dxa"/>
            <w:tcBorders>
              <w:top w:val="dotted" w:sz="4" w:space="0" w:color="0070C0"/>
              <w:left w:val="single" w:sz="4" w:space="0" w:color="0070C0"/>
              <w:bottom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 xml:space="preserve">30 </w:t>
            </w:r>
            <w:proofErr w:type="spellStart"/>
            <w:r w:rsidRPr="007428E2">
              <w:rPr>
                <w:rFonts w:ascii="Arial" w:hAnsi="Arial" w:cs="Arial"/>
                <w:sz w:val="15"/>
                <w:szCs w:val="15"/>
              </w:rPr>
              <w:t>μg</w:t>
            </w:r>
            <w:proofErr w:type="spellEnd"/>
            <w:r w:rsidRPr="007428E2">
              <w:rPr>
                <w:rFonts w:ascii="Arial" w:hAnsi="Arial" w:cs="Arial"/>
                <w:sz w:val="15"/>
                <w:szCs w:val="15"/>
              </w:rPr>
              <w:t>/m</w:t>
            </w:r>
            <w:r w:rsidRPr="007428E2">
              <w:rPr>
                <w:rFonts w:ascii="Arial" w:hAnsi="Arial" w:cs="Arial"/>
                <w:sz w:val="15"/>
                <w:szCs w:val="15"/>
                <w:vertAlign w:val="superscript"/>
              </w:rPr>
              <w:t>3</w:t>
            </w:r>
          </w:p>
        </w:tc>
      </w:tr>
      <w:tr w:rsidR="00CC725A" w:rsidRPr="007428E2" w:rsidTr="008377C9">
        <w:trPr>
          <w:cantSplit/>
          <w:trHeight w:hRule="exact" w:val="340"/>
          <w:jc w:val="center"/>
        </w:trPr>
        <w:tc>
          <w:tcPr>
            <w:tcW w:w="1923" w:type="dxa"/>
            <w:vMerge/>
            <w:tcBorders>
              <w:left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p>
        </w:tc>
        <w:tc>
          <w:tcPr>
            <w:tcW w:w="1553" w:type="dxa"/>
            <w:vMerge w:val="restart"/>
            <w:tcBorders>
              <w:top w:val="single" w:sz="4" w:space="0" w:color="0070C0"/>
              <w:left w:val="single" w:sz="4" w:space="0" w:color="0070C0"/>
              <w:bottom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PM</w:t>
            </w:r>
            <w:r w:rsidRPr="007428E2">
              <w:rPr>
                <w:rFonts w:ascii="Arial" w:hAnsi="Arial" w:cs="Arial"/>
                <w:sz w:val="15"/>
                <w:szCs w:val="15"/>
                <w:vertAlign w:val="subscript"/>
              </w:rPr>
              <w:t>2.5</w:t>
            </w:r>
          </w:p>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annual mean</w:t>
            </w:r>
          </w:p>
        </w:tc>
        <w:tc>
          <w:tcPr>
            <w:tcW w:w="1202" w:type="dxa"/>
            <w:tcBorders>
              <w:top w:val="single" w:sz="4" w:space="0" w:color="0070C0"/>
              <w:left w:val="single" w:sz="4" w:space="0" w:color="0070C0"/>
              <w:bottom w:val="dotted"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A10PM</w:t>
            </w:r>
            <w:r w:rsidRPr="007428E2">
              <w:rPr>
                <w:rFonts w:ascii="Arial" w:hAnsi="Arial" w:cs="Arial"/>
                <w:sz w:val="15"/>
                <w:szCs w:val="15"/>
                <w:vertAlign w:val="subscript"/>
              </w:rPr>
              <w:t>2.5</w:t>
            </w:r>
          </w:p>
        </w:tc>
        <w:tc>
          <w:tcPr>
            <w:tcW w:w="1360" w:type="dxa"/>
            <w:tcBorders>
              <w:top w:val="single" w:sz="4" w:space="0" w:color="0070C0"/>
              <w:left w:val="single" w:sz="4" w:space="0" w:color="0070C0"/>
              <w:bottom w:val="dotted"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 xml:space="preserve">10 </w:t>
            </w:r>
            <w:proofErr w:type="spellStart"/>
            <w:r w:rsidRPr="007428E2">
              <w:rPr>
                <w:rFonts w:ascii="Arial" w:hAnsi="Arial" w:cs="Arial"/>
                <w:sz w:val="15"/>
                <w:szCs w:val="15"/>
              </w:rPr>
              <w:t>μg</w:t>
            </w:r>
            <w:proofErr w:type="spellEnd"/>
            <w:r w:rsidRPr="007428E2">
              <w:rPr>
                <w:rFonts w:ascii="Arial" w:hAnsi="Arial" w:cs="Arial"/>
                <w:sz w:val="15"/>
                <w:szCs w:val="15"/>
              </w:rPr>
              <w:t>/m</w:t>
            </w:r>
            <w:r w:rsidRPr="007428E2">
              <w:rPr>
                <w:rFonts w:ascii="Arial" w:hAnsi="Arial" w:cs="Arial"/>
                <w:sz w:val="15"/>
                <w:szCs w:val="15"/>
                <w:vertAlign w:val="superscript"/>
              </w:rPr>
              <w:t>3</w:t>
            </w:r>
          </w:p>
        </w:tc>
      </w:tr>
      <w:tr w:rsidR="00CC725A" w:rsidRPr="007428E2" w:rsidTr="008377C9">
        <w:trPr>
          <w:cantSplit/>
          <w:trHeight w:hRule="exact" w:val="340"/>
          <w:jc w:val="center"/>
        </w:trPr>
        <w:tc>
          <w:tcPr>
            <w:tcW w:w="1923" w:type="dxa"/>
            <w:vMerge/>
            <w:tcBorders>
              <w:left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p>
        </w:tc>
        <w:tc>
          <w:tcPr>
            <w:tcW w:w="1553" w:type="dxa"/>
            <w:vMerge/>
            <w:tcBorders>
              <w:top w:val="single" w:sz="4" w:space="0" w:color="0070C0"/>
              <w:left w:val="single" w:sz="4" w:space="0" w:color="0070C0"/>
              <w:bottom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p>
        </w:tc>
        <w:tc>
          <w:tcPr>
            <w:tcW w:w="1202" w:type="dxa"/>
            <w:tcBorders>
              <w:top w:val="dotted" w:sz="4" w:space="0" w:color="0070C0"/>
              <w:left w:val="single" w:sz="4" w:space="0" w:color="0070C0"/>
              <w:bottom w:val="dotted"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A08PM</w:t>
            </w:r>
            <w:r w:rsidRPr="007428E2">
              <w:rPr>
                <w:rFonts w:ascii="Arial" w:hAnsi="Arial" w:cs="Arial"/>
                <w:sz w:val="15"/>
                <w:szCs w:val="15"/>
                <w:vertAlign w:val="subscript"/>
              </w:rPr>
              <w:t>2.5</w:t>
            </w:r>
          </w:p>
        </w:tc>
        <w:tc>
          <w:tcPr>
            <w:tcW w:w="1360" w:type="dxa"/>
            <w:tcBorders>
              <w:top w:val="dotted" w:sz="4" w:space="0" w:color="0070C0"/>
              <w:left w:val="single" w:sz="4" w:space="0" w:color="0070C0"/>
              <w:bottom w:val="dotted"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b/>
                <w:sz w:val="15"/>
                <w:szCs w:val="15"/>
              </w:rPr>
            </w:pPr>
            <w:r w:rsidRPr="007428E2">
              <w:rPr>
                <w:rFonts w:ascii="Arial" w:hAnsi="Arial" w:cs="Arial"/>
                <w:b/>
                <w:sz w:val="15"/>
                <w:szCs w:val="15"/>
              </w:rPr>
              <w:t>8</w:t>
            </w:r>
            <w:r w:rsidRPr="007428E2">
              <w:rPr>
                <w:rFonts w:ascii="Arial" w:hAnsi="Arial" w:cs="Arial"/>
                <w:sz w:val="15"/>
                <w:szCs w:val="15"/>
              </w:rPr>
              <w:t xml:space="preserve"> </w:t>
            </w:r>
            <w:proofErr w:type="spellStart"/>
            <w:r w:rsidRPr="007428E2">
              <w:rPr>
                <w:rFonts w:ascii="Arial" w:hAnsi="Arial" w:cs="Arial"/>
                <w:sz w:val="15"/>
                <w:szCs w:val="15"/>
              </w:rPr>
              <w:t>μg</w:t>
            </w:r>
            <w:proofErr w:type="spellEnd"/>
            <w:r w:rsidRPr="007428E2">
              <w:rPr>
                <w:rFonts w:ascii="Arial" w:hAnsi="Arial" w:cs="Arial"/>
                <w:sz w:val="15"/>
                <w:szCs w:val="15"/>
              </w:rPr>
              <w:t>/m</w:t>
            </w:r>
            <w:r w:rsidRPr="007428E2">
              <w:rPr>
                <w:rFonts w:ascii="Arial" w:hAnsi="Arial" w:cs="Arial"/>
                <w:sz w:val="15"/>
                <w:szCs w:val="15"/>
                <w:vertAlign w:val="superscript"/>
              </w:rPr>
              <w:t>3</w:t>
            </w:r>
          </w:p>
        </w:tc>
      </w:tr>
      <w:tr w:rsidR="00CC725A" w:rsidRPr="007428E2" w:rsidTr="008377C9">
        <w:trPr>
          <w:cantSplit/>
          <w:trHeight w:hRule="exact" w:val="340"/>
          <w:jc w:val="center"/>
        </w:trPr>
        <w:tc>
          <w:tcPr>
            <w:tcW w:w="1923" w:type="dxa"/>
            <w:vMerge/>
            <w:tcBorders>
              <w:left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p>
        </w:tc>
        <w:tc>
          <w:tcPr>
            <w:tcW w:w="1553" w:type="dxa"/>
            <w:vMerge/>
            <w:tcBorders>
              <w:top w:val="single" w:sz="4" w:space="0" w:color="0070C0"/>
              <w:left w:val="single" w:sz="4" w:space="0" w:color="0070C0"/>
              <w:bottom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p>
        </w:tc>
        <w:tc>
          <w:tcPr>
            <w:tcW w:w="1202" w:type="dxa"/>
            <w:tcBorders>
              <w:top w:val="dotted" w:sz="4" w:space="0" w:color="0070C0"/>
              <w:left w:val="single" w:sz="4" w:space="0" w:color="0070C0"/>
              <w:bottom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A06PM</w:t>
            </w:r>
            <w:r w:rsidRPr="007428E2">
              <w:rPr>
                <w:rFonts w:ascii="Arial" w:hAnsi="Arial" w:cs="Arial"/>
                <w:sz w:val="15"/>
                <w:szCs w:val="15"/>
                <w:vertAlign w:val="subscript"/>
              </w:rPr>
              <w:t>2.5</w:t>
            </w:r>
          </w:p>
        </w:tc>
        <w:tc>
          <w:tcPr>
            <w:tcW w:w="1360" w:type="dxa"/>
            <w:tcBorders>
              <w:top w:val="dotted" w:sz="4" w:space="0" w:color="0070C0"/>
              <w:left w:val="single" w:sz="4" w:space="0" w:color="0070C0"/>
              <w:bottom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 xml:space="preserve">6 </w:t>
            </w:r>
            <w:proofErr w:type="spellStart"/>
            <w:r w:rsidRPr="007428E2">
              <w:rPr>
                <w:rFonts w:ascii="Arial" w:hAnsi="Arial" w:cs="Arial"/>
                <w:sz w:val="15"/>
                <w:szCs w:val="15"/>
              </w:rPr>
              <w:t>μg</w:t>
            </w:r>
            <w:proofErr w:type="spellEnd"/>
            <w:r w:rsidRPr="007428E2">
              <w:rPr>
                <w:rFonts w:ascii="Arial" w:hAnsi="Arial" w:cs="Arial"/>
                <w:sz w:val="15"/>
                <w:szCs w:val="15"/>
              </w:rPr>
              <w:t>/m</w:t>
            </w:r>
            <w:r w:rsidRPr="007428E2">
              <w:rPr>
                <w:rFonts w:ascii="Arial" w:hAnsi="Arial" w:cs="Arial"/>
                <w:sz w:val="15"/>
                <w:szCs w:val="15"/>
                <w:vertAlign w:val="superscript"/>
              </w:rPr>
              <w:t>3</w:t>
            </w:r>
          </w:p>
        </w:tc>
      </w:tr>
      <w:tr w:rsidR="00CC725A" w:rsidRPr="007428E2" w:rsidTr="008377C9">
        <w:trPr>
          <w:cantSplit/>
          <w:trHeight w:hRule="exact" w:val="340"/>
          <w:jc w:val="center"/>
        </w:trPr>
        <w:tc>
          <w:tcPr>
            <w:tcW w:w="1923" w:type="dxa"/>
            <w:vMerge/>
            <w:tcBorders>
              <w:left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p>
        </w:tc>
        <w:tc>
          <w:tcPr>
            <w:tcW w:w="1553" w:type="dxa"/>
            <w:vMerge w:val="restart"/>
            <w:tcBorders>
              <w:top w:val="single" w:sz="4" w:space="0" w:color="0070C0"/>
              <w:left w:val="single" w:sz="4" w:space="0" w:color="0070C0"/>
              <w:bottom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PM</w:t>
            </w:r>
            <w:r w:rsidRPr="007428E2">
              <w:rPr>
                <w:rFonts w:ascii="Arial" w:hAnsi="Arial" w:cs="Arial"/>
                <w:sz w:val="15"/>
                <w:szCs w:val="15"/>
                <w:vertAlign w:val="subscript"/>
              </w:rPr>
              <w:t>2.5</w:t>
            </w:r>
          </w:p>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24-hour mean</w:t>
            </w:r>
          </w:p>
        </w:tc>
        <w:tc>
          <w:tcPr>
            <w:tcW w:w="1202" w:type="dxa"/>
            <w:tcBorders>
              <w:top w:val="single" w:sz="4" w:space="0" w:color="0070C0"/>
              <w:left w:val="single" w:sz="4" w:space="0" w:color="0070C0"/>
              <w:bottom w:val="dotted"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D25PM</w:t>
            </w:r>
            <w:r w:rsidRPr="007428E2">
              <w:rPr>
                <w:rFonts w:ascii="Arial" w:hAnsi="Arial" w:cs="Arial"/>
                <w:sz w:val="15"/>
                <w:szCs w:val="15"/>
                <w:vertAlign w:val="subscript"/>
              </w:rPr>
              <w:t>2.5</w:t>
            </w:r>
          </w:p>
        </w:tc>
        <w:tc>
          <w:tcPr>
            <w:tcW w:w="1360" w:type="dxa"/>
            <w:tcBorders>
              <w:top w:val="single" w:sz="4" w:space="0" w:color="0070C0"/>
              <w:left w:val="single" w:sz="4" w:space="0" w:color="0070C0"/>
              <w:bottom w:val="dotted"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b/>
                <w:sz w:val="15"/>
                <w:szCs w:val="15"/>
              </w:rPr>
            </w:pPr>
            <w:r w:rsidRPr="007428E2">
              <w:rPr>
                <w:rFonts w:ascii="Arial" w:hAnsi="Arial" w:cs="Arial"/>
                <w:b/>
                <w:sz w:val="15"/>
                <w:szCs w:val="15"/>
              </w:rPr>
              <w:t>25</w:t>
            </w:r>
            <w:r w:rsidRPr="007428E2">
              <w:rPr>
                <w:rFonts w:ascii="Arial" w:hAnsi="Arial" w:cs="Arial"/>
                <w:sz w:val="15"/>
                <w:szCs w:val="15"/>
              </w:rPr>
              <w:t xml:space="preserve"> </w:t>
            </w:r>
            <w:proofErr w:type="spellStart"/>
            <w:r w:rsidRPr="007428E2">
              <w:rPr>
                <w:rFonts w:ascii="Arial" w:hAnsi="Arial" w:cs="Arial"/>
                <w:sz w:val="15"/>
                <w:szCs w:val="15"/>
              </w:rPr>
              <w:t>μg</w:t>
            </w:r>
            <w:proofErr w:type="spellEnd"/>
            <w:r w:rsidRPr="007428E2">
              <w:rPr>
                <w:rFonts w:ascii="Arial" w:hAnsi="Arial" w:cs="Arial"/>
                <w:sz w:val="15"/>
                <w:szCs w:val="15"/>
              </w:rPr>
              <w:t>/m</w:t>
            </w:r>
            <w:r w:rsidRPr="007428E2">
              <w:rPr>
                <w:rFonts w:ascii="Arial" w:hAnsi="Arial" w:cs="Arial"/>
                <w:sz w:val="15"/>
                <w:szCs w:val="15"/>
                <w:vertAlign w:val="superscript"/>
              </w:rPr>
              <w:t>3</w:t>
            </w:r>
          </w:p>
        </w:tc>
      </w:tr>
      <w:tr w:rsidR="00CC725A" w:rsidRPr="007428E2" w:rsidTr="008377C9">
        <w:trPr>
          <w:cantSplit/>
          <w:trHeight w:hRule="exact" w:val="340"/>
          <w:jc w:val="center"/>
        </w:trPr>
        <w:tc>
          <w:tcPr>
            <w:tcW w:w="1923" w:type="dxa"/>
            <w:vMerge/>
            <w:tcBorders>
              <w:left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p>
        </w:tc>
        <w:tc>
          <w:tcPr>
            <w:tcW w:w="1553" w:type="dxa"/>
            <w:vMerge/>
            <w:tcBorders>
              <w:top w:val="single" w:sz="4" w:space="0" w:color="0070C0"/>
              <w:left w:val="single" w:sz="4" w:space="0" w:color="0070C0"/>
              <w:bottom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p>
        </w:tc>
        <w:tc>
          <w:tcPr>
            <w:tcW w:w="1202" w:type="dxa"/>
            <w:tcBorders>
              <w:top w:val="dotted" w:sz="4" w:space="0" w:color="0070C0"/>
              <w:left w:val="single" w:sz="4" w:space="0" w:color="0070C0"/>
              <w:bottom w:val="dotted"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D20PM</w:t>
            </w:r>
            <w:r w:rsidRPr="007428E2">
              <w:rPr>
                <w:rFonts w:ascii="Arial" w:hAnsi="Arial" w:cs="Arial"/>
                <w:sz w:val="15"/>
                <w:szCs w:val="15"/>
                <w:vertAlign w:val="subscript"/>
              </w:rPr>
              <w:t>2.5</w:t>
            </w:r>
          </w:p>
        </w:tc>
        <w:tc>
          <w:tcPr>
            <w:tcW w:w="1360" w:type="dxa"/>
            <w:tcBorders>
              <w:top w:val="dotted" w:sz="4" w:space="0" w:color="0070C0"/>
              <w:left w:val="single" w:sz="4" w:space="0" w:color="0070C0"/>
              <w:bottom w:val="dotted"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 xml:space="preserve">20 </w:t>
            </w:r>
            <w:proofErr w:type="spellStart"/>
            <w:r w:rsidRPr="007428E2">
              <w:rPr>
                <w:rFonts w:ascii="Arial" w:hAnsi="Arial" w:cs="Arial"/>
                <w:sz w:val="15"/>
                <w:szCs w:val="15"/>
              </w:rPr>
              <w:t>μg</w:t>
            </w:r>
            <w:proofErr w:type="spellEnd"/>
            <w:r w:rsidRPr="007428E2">
              <w:rPr>
                <w:rFonts w:ascii="Arial" w:hAnsi="Arial" w:cs="Arial"/>
                <w:sz w:val="15"/>
                <w:szCs w:val="15"/>
              </w:rPr>
              <w:t>/m</w:t>
            </w:r>
            <w:r w:rsidRPr="007428E2">
              <w:rPr>
                <w:rFonts w:ascii="Arial" w:hAnsi="Arial" w:cs="Arial"/>
                <w:sz w:val="15"/>
                <w:szCs w:val="15"/>
                <w:vertAlign w:val="superscript"/>
              </w:rPr>
              <w:t>3</w:t>
            </w:r>
          </w:p>
        </w:tc>
      </w:tr>
      <w:tr w:rsidR="00CC725A" w:rsidRPr="007428E2" w:rsidTr="008377C9">
        <w:trPr>
          <w:cantSplit/>
          <w:trHeight w:hRule="exact" w:val="340"/>
          <w:jc w:val="center"/>
        </w:trPr>
        <w:tc>
          <w:tcPr>
            <w:tcW w:w="1923" w:type="dxa"/>
            <w:vMerge/>
            <w:tcBorders>
              <w:left w:val="single" w:sz="4" w:space="0" w:color="0070C0"/>
              <w:bottom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p>
        </w:tc>
        <w:tc>
          <w:tcPr>
            <w:tcW w:w="1553" w:type="dxa"/>
            <w:vMerge/>
            <w:tcBorders>
              <w:top w:val="single" w:sz="4" w:space="0" w:color="0070C0"/>
              <w:left w:val="single" w:sz="4" w:space="0" w:color="0070C0"/>
              <w:bottom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p>
        </w:tc>
        <w:tc>
          <w:tcPr>
            <w:tcW w:w="1202" w:type="dxa"/>
            <w:tcBorders>
              <w:top w:val="dotted" w:sz="4" w:space="0" w:color="0070C0"/>
              <w:left w:val="single" w:sz="4" w:space="0" w:color="0070C0"/>
              <w:bottom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D15PM</w:t>
            </w:r>
            <w:r w:rsidRPr="007428E2">
              <w:rPr>
                <w:rFonts w:ascii="Arial" w:hAnsi="Arial" w:cs="Arial"/>
                <w:sz w:val="15"/>
                <w:szCs w:val="15"/>
                <w:vertAlign w:val="subscript"/>
              </w:rPr>
              <w:t>2.5</w:t>
            </w:r>
          </w:p>
        </w:tc>
        <w:tc>
          <w:tcPr>
            <w:tcW w:w="1360" w:type="dxa"/>
            <w:tcBorders>
              <w:top w:val="dotted" w:sz="4" w:space="0" w:color="0070C0"/>
              <w:left w:val="single" w:sz="4" w:space="0" w:color="0070C0"/>
              <w:bottom w:val="single" w:sz="4" w:space="0" w:color="0070C0"/>
              <w:right w:val="single" w:sz="4" w:space="0" w:color="0070C0"/>
            </w:tcBorders>
            <w:vAlign w:val="center"/>
          </w:tcPr>
          <w:p w:rsidR="00CC725A" w:rsidRPr="007428E2" w:rsidRDefault="00CC725A" w:rsidP="00836A68">
            <w:pPr>
              <w:spacing w:after="0" w:line="240" w:lineRule="auto"/>
              <w:jc w:val="center"/>
              <w:rPr>
                <w:rFonts w:ascii="Arial" w:hAnsi="Arial" w:cs="Arial"/>
              </w:rPr>
            </w:pPr>
            <w:r w:rsidRPr="007428E2">
              <w:rPr>
                <w:rFonts w:ascii="Arial" w:hAnsi="Arial" w:cs="Arial"/>
                <w:sz w:val="15"/>
                <w:szCs w:val="15"/>
              </w:rPr>
              <w:t xml:space="preserve">15 </w:t>
            </w:r>
            <w:proofErr w:type="spellStart"/>
            <w:r w:rsidRPr="007428E2">
              <w:rPr>
                <w:rFonts w:ascii="Arial" w:hAnsi="Arial" w:cs="Arial"/>
                <w:sz w:val="15"/>
                <w:szCs w:val="15"/>
              </w:rPr>
              <w:t>μg</w:t>
            </w:r>
            <w:proofErr w:type="spellEnd"/>
            <w:r w:rsidRPr="007428E2">
              <w:rPr>
                <w:rFonts w:ascii="Arial" w:hAnsi="Arial" w:cs="Arial"/>
                <w:sz w:val="15"/>
                <w:szCs w:val="15"/>
              </w:rPr>
              <w:t>/m</w:t>
            </w:r>
            <w:r w:rsidRPr="007428E2">
              <w:rPr>
                <w:rFonts w:ascii="Arial" w:hAnsi="Arial" w:cs="Arial"/>
                <w:sz w:val="15"/>
                <w:szCs w:val="15"/>
                <w:vertAlign w:val="superscript"/>
              </w:rPr>
              <w:t>3</w:t>
            </w:r>
          </w:p>
        </w:tc>
      </w:tr>
    </w:tbl>
    <w:p w:rsidR="00CC725A" w:rsidRPr="007428E2" w:rsidRDefault="00CC725A" w:rsidP="002A2116">
      <w:pPr>
        <w:pStyle w:val="ListParagraph"/>
        <w:numPr>
          <w:ilvl w:val="0"/>
          <w:numId w:val="23"/>
        </w:numPr>
        <w:spacing w:before="120" w:after="0" w:line="240" w:lineRule="auto"/>
        <w:ind w:left="1843"/>
        <w:rPr>
          <w:rFonts w:ascii="Arial" w:hAnsi="Arial" w:cs="Arial"/>
          <w:sz w:val="14"/>
          <w:szCs w:val="14"/>
        </w:rPr>
      </w:pPr>
      <w:r w:rsidRPr="007428E2">
        <w:rPr>
          <w:rFonts w:ascii="Arial" w:hAnsi="Arial" w:cs="Arial"/>
          <w:sz w:val="14"/>
          <w:szCs w:val="14"/>
        </w:rPr>
        <w:t>A = annual mean; D=daily mean</w:t>
      </w:r>
    </w:p>
    <w:p w:rsidR="00CC725A" w:rsidRPr="007428E2" w:rsidRDefault="00CC725A" w:rsidP="002A2116">
      <w:pPr>
        <w:pStyle w:val="ListParagraph"/>
        <w:numPr>
          <w:ilvl w:val="0"/>
          <w:numId w:val="23"/>
        </w:numPr>
        <w:spacing w:before="120" w:after="0" w:line="240" w:lineRule="auto"/>
        <w:ind w:left="1843"/>
        <w:rPr>
          <w:rFonts w:ascii="Arial" w:hAnsi="Arial" w:cs="Arial"/>
          <w:sz w:val="14"/>
          <w:szCs w:val="14"/>
        </w:rPr>
      </w:pPr>
      <w:r w:rsidRPr="007428E2">
        <w:rPr>
          <w:rFonts w:ascii="Arial" w:hAnsi="Arial" w:cs="Arial"/>
          <w:sz w:val="14"/>
          <w:szCs w:val="14"/>
        </w:rPr>
        <w:t>Current standards are shown in bold</w:t>
      </w:r>
    </w:p>
    <w:p w:rsidR="00D22885" w:rsidRPr="007428E2" w:rsidRDefault="00D22885" w:rsidP="00D22885">
      <w:pPr>
        <w:rPr>
          <w:rFonts w:ascii="Arial" w:hAnsi="Arial" w:cs="Arial"/>
        </w:rPr>
      </w:pPr>
    </w:p>
    <w:p w:rsidR="00C7268C" w:rsidRPr="006574FD" w:rsidRDefault="00E84A16" w:rsidP="00C7268C">
      <w:pPr>
        <w:pStyle w:val="ES2"/>
        <w:rPr>
          <w:rFonts w:ascii="Arial" w:hAnsi="Arial" w:cs="Arial"/>
        </w:rPr>
      </w:pPr>
      <w:r w:rsidRPr="006574FD">
        <w:rPr>
          <w:rFonts w:ascii="Arial" w:hAnsi="Arial" w:cs="Arial"/>
        </w:rPr>
        <w:t xml:space="preserve">Form of </w:t>
      </w:r>
      <w:r w:rsidR="00A25288" w:rsidRPr="006574FD">
        <w:rPr>
          <w:rFonts w:ascii="Arial" w:hAnsi="Arial" w:cs="Arial"/>
        </w:rPr>
        <w:t xml:space="preserve">24-hour </w:t>
      </w:r>
      <w:r w:rsidR="00CC725A" w:rsidRPr="006574FD">
        <w:rPr>
          <w:rFonts w:ascii="Arial" w:hAnsi="Arial" w:cs="Arial"/>
        </w:rPr>
        <w:t>standards</w:t>
      </w:r>
    </w:p>
    <w:p w:rsidR="00C7268C" w:rsidRPr="007428E2" w:rsidRDefault="00C7268C" w:rsidP="00656E0B">
      <w:pPr>
        <w:rPr>
          <w:rFonts w:ascii="Arial" w:hAnsi="Arial" w:cs="Arial"/>
        </w:rPr>
      </w:pPr>
      <w:r w:rsidRPr="007428E2">
        <w:rPr>
          <w:rFonts w:ascii="Arial" w:hAnsi="Arial" w:cs="Arial"/>
        </w:rPr>
        <w:t xml:space="preserve">The ‘form’ of a standard refers to the </w:t>
      </w:r>
      <w:r w:rsidR="00122AF8" w:rsidRPr="007428E2">
        <w:rPr>
          <w:rFonts w:ascii="Arial" w:hAnsi="Arial" w:cs="Arial"/>
        </w:rPr>
        <w:t>way in which the standard is interpreted and applie</w:t>
      </w:r>
      <w:r w:rsidR="00E06B7E" w:rsidRPr="007428E2">
        <w:rPr>
          <w:rFonts w:ascii="Arial" w:hAnsi="Arial" w:cs="Arial"/>
        </w:rPr>
        <w:t>d</w:t>
      </w:r>
      <w:r w:rsidR="00122AF8" w:rsidRPr="007428E2">
        <w:rPr>
          <w:rFonts w:ascii="Arial" w:hAnsi="Arial" w:cs="Arial"/>
        </w:rPr>
        <w:t xml:space="preserve">. The form </w:t>
      </w:r>
      <w:r w:rsidR="00E06B7E" w:rsidRPr="007428E2">
        <w:rPr>
          <w:rFonts w:ascii="Arial" w:hAnsi="Arial" w:cs="Arial"/>
        </w:rPr>
        <w:t xml:space="preserve">of the standard prescribes </w:t>
      </w:r>
      <w:r w:rsidR="00122AF8" w:rsidRPr="007428E2">
        <w:rPr>
          <w:rFonts w:ascii="Arial" w:hAnsi="Arial" w:cs="Arial"/>
        </w:rPr>
        <w:t xml:space="preserve">the </w:t>
      </w:r>
      <w:r w:rsidRPr="007428E2">
        <w:rPr>
          <w:rFonts w:ascii="Arial" w:hAnsi="Arial" w:cs="Arial"/>
        </w:rPr>
        <w:t xml:space="preserve">approach used to </w:t>
      </w:r>
      <w:r w:rsidR="00E06B7E" w:rsidRPr="007428E2">
        <w:rPr>
          <w:rFonts w:ascii="Arial" w:hAnsi="Arial" w:cs="Arial"/>
        </w:rPr>
        <w:t xml:space="preserve">compare actual air quality </w:t>
      </w:r>
      <w:r w:rsidRPr="007428E2">
        <w:rPr>
          <w:rFonts w:ascii="Arial" w:hAnsi="Arial" w:cs="Arial"/>
        </w:rPr>
        <w:t xml:space="preserve">measurements with the numerical value of the standard. For the annual mean concentration this is relatively straightforward, as only one value is obtained from the measurements. For the 24-hour standard it is more complicated, as there is a </w:t>
      </w:r>
      <w:r w:rsidR="00C86512" w:rsidRPr="007428E2">
        <w:rPr>
          <w:rFonts w:ascii="Arial" w:hAnsi="Arial" w:cs="Arial"/>
        </w:rPr>
        <w:t xml:space="preserve">need to decide which of the daily </w:t>
      </w:r>
      <w:r w:rsidRPr="007428E2">
        <w:rPr>
          <w:rFonts w:ascii="Arial" w:hAnsi="Arial" w:cs="Arial"/>
        </w:rPr>
        <w:t>measur</w:t>
      </w:r>
      <w:r w:rsidR="00C86512" w:rsidRPr="007428E2">
        <w:rPr>
          <w:rFonts w:ascii="Arial" w:hAnsi="Arial" w:cs="Arial"/>
        </w:rPr>
        <w:t xml:space="preserve">ements in a year </w:t>
      </w:r>
      <w:r w:rsidRPr="007428E2">
        <w:rPr>
          <w:rFonts w:ascii="Arial" w:hAnsi="Arial" w:cs="Arial"/>
        </w:rPr>
        <w:t>should be compared with th</w:t>
      </w:r>
      <w:r w:rsidR="00D8347D" w:rsidRPr="007428E2">
        <w:rPr>
          <w:rFonts w:ascii="Arial" w:hAnsi="Arial" w:cs="Arial"/>
        </w:rPr>
        <w:t xml:space="preserve">e standard. </w:t>
      </w:r>
      <w:r w:rsidR="00C86512" w:rsidRPr="007428E2">
        <w:rPr>
          <w:rFonts w:ascii="Arial" w:hAnsi="Arial" w:cs="Arial"/>
        </w:rPr>
        <w:t>For example, i</w:t>
      </w:r>
      <w:r w:rsidR="00D8347D" w:rsidRPr="007428E2">
        <w:rPr>
          <w:rFonts w:ascii="Arial" w:hAnsi="Arial" w:cs="Arial"/>
        </w:rPr>
        <w:t>n the US</w:t>
      </w:r>
      <w:r w:rsidRPr="007428E2">
        <w:rPr>
          <w:rFonts w:ascii="Arial" w:hAnsi="Arial" w:cs="Arial"/>
        </w:rPr>
        <w:t>, the form of the standard relates to the use of descriptive statistics, and in the case of the 24-hour standard for PM</w:t>
      </w:r>
      <w:r w:rsidRPr="007428E2">
        <w:rPr>
          <w:rFonts w:ascii="Arial" w:hAnsi="Arial" w:cs="Arial"/>
          <w:vertAlign w:val="subscript"/>
        </w:rPr>
        <w:t>2.5</w:t>
      </w:r>
      <w:r w:rsidRPr="007428E2">
        <w:rPr>
          <w:rFonts w:ascii="Arial" w:hAnsi="Arial" w:cs="Arial"/>
        </w:rPr>
        <w:t xml:space="preserve"> the 98</w:t>
      </w:r>
      <w:r w:rsidRPr="007428E2">
        <w:rPr>
          <w:rFonts w:ascii="Arial" w:hAnsi="Arial" w:cs="Arial"/>
          <w:vertAlign w:val="superscript"/>
        </w:rPr>
        <w:t>th</w:t>
      </w:r>
      <w:r w:rsidRPr="007428E2">
        <w:rPr>
          <w:rFonts w:ascii="Arial" w:hAnsi="Arial" w:cs="Arial"/>
        </w:rPr>
        <w:t xml:space="preserve"> percentile (av</w:t>
      </w:r>
      <w:r w:rsidR="00D8347D" w:rsidRPr="007428E2">
        <w:rPr>
          <w:rFonts w:ascii="Arial" w:hAnsi="Arial" w:cs="Arial"/>
        </w:rPr>
        <w:t xml:space="preserve">eraged over three years) is used. </w:t>
      </w:r>
      <w:r w:rsidR="00197875" w:rsidRPr="007428E2">
        <w:rPr>
          <w:rFonts w:ascii="Arial" w:hAnsi="Arial" w:cs="Arial"/>
        </w:rPr>
        <w:t>A percentile is a value below which a given percentage of observations in a sample fall. The 98</w:t>
      </w:r>
      <w:r w:rsidR="00197875" w:rsidRPr="007428E2">
        <w:rPr>
          <w:rFonts w:ascii="Arial" w:hAnsi="Arial" w:cs="Arial"/>
          <w:vertAlign w:val="superscript"/>
        </w:rPr>
        <w:t>th</w:t>
      </w:r>
      <w:r w:rsidR="00197875" w:rsidRPr="007428E2">
        <w:rPr>
          <w:rFonts w:ascii="Arial" w:hAnsi="Arial" w:cs="Arial"/>
        </w:rPr>
        <w:t xml:space="preserve"> percentile for the 24</w:t>
      </w:r>
      <w:r w:rsidR="004D2D4C" w:rsidRPr="007428E2">
        <w:rPr>
          <w:rFonts w:ascii="Arial" w:hAnsi="Arial" w:cs="Arial"/>
        </w:rPr>
        <w:t>-</w:t>
      </w:r>
      <w:r w:rsidR="00197875" w:rsidRPr="007428E2">
        <w:rPr>
          <w:rFonts w:ascii="Arial" w:hAnsi="Arial" w:cs="Arial"/>
        </w:rPr>
        <w:t>hour PM</w:t>
      </w:r>
      <w:r w:rsidR="00197875" w:rsidRPr="007428E2">
        <w:rPr>
          <w:rFonts w:ascii="Arial" w:hAnsi="Arial" w:cs="Arial"/>
          <w:vertAlign w:val="subscript"/>
        </w:rPr>
        <w:t>2.5</w:t>
      </w:r>
      <w:r w:rsidR="00197875" w:rsidRPr="007428E2">
        <w:rPr>
          <w:rFonts w:ascii="Arial" w:hAnsi="Arial" w:cs="Arial"/>
        </w:rPr>
        <w:t xml:space="preserve"> standard excludes the highest 2% of measured concentrations from comparison with the standard. </w:t>
      </w:r>
      <w:r w:rsidR="00D8347D" w:rsidRPr="007428E2">
        <w:rPr>
          <w:rFonts w:ascii="Arial" w:hAnsi="Arial" w:cs="Arial"/>
        </w:rPr>
        <w:t>The 98</w:t>
      </w:r>
      <w:r w:rsidR="00D8347D" w:rsidRPr="007428E2">
        <w:rPr>
          <w:rFonts w:ascii="Arial" w:hAnsi="Arial" w:cs="Arial"/>
          <w:vertAlign w:val="superscript"/>
        </w:rPr>
        <w:t>th</w:t>
      </w:r>
      <w:r w:rsidR="00D8347D" w:rsidRPr="007428E2">
        <w:rPr>
          <w:rFonts w:ascii="Arial" w:hAnsi="Arial" w:cs="Arial"/>
        </w:rPr>
        <w:t xml:space="preserve"> percentile was selected as it represents a balance between limiting peak </w:t>
      </w:r>
      <w:r w:rsidR="00122AF8" w:rsidRPr="007428E2">
        <w:rPr>
          <w:rFonts w:ascii="Arial" w:hAnsi="Arial" w:cs="Arial"/>
        </w:rPr>
        <w:t xml:space="preserve">(extreme event) </w:t>
      </w:r>
      <w:r w:rsidR="00D8347D" w:rsidRPr="007428E2">
        <w:rPr>
          <w:rFonts w:ascii="Arial" w:hAnsi="Arial" w:cs="Arial"/>
        </w:rPr>
        <w:t xml:space="preserve">pollutant concentrations and providing a stable regulatory target </w:t>
      </w:r>
      <w:r w:rsidRPr="007428E2">
        <w:rPr>
          <w:rFonts w:ascii="Arial" w:hAnsi="Arial" w:cs="Arial"/>
          <w:b/>
        </w:rPr>
        <w:t>(USE</w:t>
      </w:r>
      <w:r w:rsidR="00046416" w:rsidRPr="007428E2">
        <w:rPr>
          <w:rFonts w:ascii="Arial" w:hAnsi="Arial" w:cs="Arial"/>
          <w:b/>
        </w:rPr>
        <w:t>PA</w:t>
      </w:r>
      <w:r w:rsidRPr="007428E2">
        <w:rPr>
          <w:rFonts w:ascii="Arial" w:hAnsi="Arial" w:cs="Arial"/>
          <w:b/>
        </w:rPr>
        <w:t xml:space="preserve"> 2011)</w:t>
      </w:r>
      <w:r w:rsidR="00656E0B" w:rsidRPr="007428E2">
        <w:rPr>
          <w:rFonts w:ascii="Arial" w:hAnsi="Arial" w:cs="Arial"/>
        </w:rPr>
        <w:t xml:space="preserve">. </w:t>
      </w:r>
      <w:r w:rsidR="00D8347D" w:rsidRPr="007428E2">
        <w:rPr>
          <w:rFonts w:ascii="Arial" w:hAnsi="Arial" w:cs="Arial"/>
        </w:rPr>
        <w:t>In the US</w:t>
      </w:r>
      <w:r w:rsidRPr="007428E2">
        <w:rPr>
          <w:rFonts w:ascii="Arial" w:hAnsi="Arial" w:cs="Arial"/>
        </w:rPr>
        <w:t xml:space="preserve"> and Europe there is also the possibility for jurisdictions to remove the data for natural or exceptional events (such as bush fires and dust storms) prior to comparing measurements with the standard.</w:t>
      </w:r>
    </w:p>
    <w:p w:rsidR="007623CE" w:rsidRPr="007428E2" w:rsidRDefault="007623CE" w:rsidP="007623CE">
      <w:pPr>
        <w:spacing w:after="200"/>
        <w:rPr>
          <w:rFonts w:ascii="Arial" w:hAnsi="Arial" w:cs="Arial"/>
        </w:rPr>
      </w:pPr>
      <w:r w:rsidRPr="007428E2">
        <w:rPr>
          <w:rFonts w:ascii="Arial" w:hAnsi="Arial" w:cs="Arial"/>
        </w:rPr>
        <w:t>Four options for the form of the 24-hour standards are to be considered for the AAQ NEPM:</w:t>
      </w:r>
    </w:p>
    <w:p w:rsidR="00C7268C" w:rsidRPr="007428E2" w:rsidRDefault="00C7268C" w:rsidP="002A2116">
      <w:pPr>
        <w:pStyle w:val="ListParagraph"/>
        <w:numPr>
          <w:ilvl w:val="0"/>
          <w:numId w:val="31"/>
        </w:numPr>
        <w:spacing w:after="180"/>
        <w:ind w:left="568" w:hanging="284"/>
        <w:contextualSpacing w:val="0"/>
        <w:rPr>
          <w:rFonts w:ascii="Arial" w:hAnsi="Arial" w:cs="Arial"/>
        </w:rPr>
      </w:pPr>
      <w:r w:rsidRPr="007428E2">
        <w:rPr>
          <w:rFonts w:ascii="Arial" w:hAnsi="Arial" w:cs="Arial"/>
        </w:rPr>
        <w:t>Business as usual option. A rule that allows a fixed number of exceedances of a PM standard in a given year (as is currently the case for PM</w:t>
      </w:r>
      <w:r w:rsidRPr="007428E2">
        <w:rPr>
          <w:rFonts w:ascii="Arial" w:hAnsi="Arial" w:cs="Arial"/>
          <w:vertAlign w:val="subscript"/>
        </w:rPr>
        <w:t>10</w:t>
      </w:r>
      <w:r w:rsidRPr="007428E2">
        <w:rPr>
          <w:rFonts w:ascii="Arial" w:hAnsi="Arial" w:cs="Arial"/>
        </w:rPr>
        <w:t xml:space="preserve">), but with no exclusion of data for </w:t>
      </w:r>
      <w:r w:rsidR="00E06B7E" w:rsidRPr="007428E2">
        <w:rPr>
          <w:rFonts w:ascii="Arial" w:hAnsi="Arial" w:cs="Arial"/>
        </w:rPr>
        <w:t xml:space="preserve">activity specific </w:t>
      </w:r>
      <w:r w:rsidRPr="007428E2">
        <w:rPr>
          <w:rFonts w:ascii="Arial" w:hAnsi="Arial" w:cs="Arial"/>
        </w:rPr>
        <w:t>exceptional events. The fixed number of allowable exceedance days (</w:t>
      </w:r>
      <w:r w:rsidR="002F21A3" w:rsidRPr="007428E2">
        <w:rPr>
          <w:rFonts w:ascii="Arial" w:hAnsi="Arial" w:cs="Arial"/>
        </w:rPr>
        <w:t>e.g.</w:t>
      </w:r>
      <w:r w:rsidRPr="007428E2">
        <w:rPr>
          <w:rFonts w:ascii="Arial" w:hAnsi="Arial" w:cs="Arial"/>
        </w:rPr>
        <w:t xml:space="preserve"> </w:t>
      </w:r>
      <w:r w:rsidR="002F21A3" w:rsidRPr="007428E2">
        <w:rPr>
          <w:rFonts w:ascii="Arial" w:hAnsi="Arial" w:cs="Arial"/>
        </w:rPr>
        <w:t>five</w:t>
      </w:r>
      <w:r w:rsidRPr="007428E2">
        <w:rPr>
          <w:rFonts w:ascii="Arial" w:hAnsi="Arial" w:cs="Arial"/>
        </w:rPr>
        <w:t xml:space="preserve"> days per year) would be based on an estimated number of exceptional events. For reporting purposes the occurrence of exceptional events will be recorded, and various statistics will be presented (including percentiles), but these will not be used when comparing measured concentrations with the standard.</w:t>
      </w:r>
      <w:r w:rsidR="005E09D0" w:rsidRPr="007428E2">
        <w:rPr>
          <w:rFonts w:ascii="Arial" w:hAnsi="Arial" w:cs="Arial"/>
        </w:rPr>
        <w:t xml:space="preserve"> </w:t>
      </w:r>
    </w:p>
    <w:p w:rsidR="00C7268C" w:rsidRPr="007428E2" w:rsidRDefault="00C7268C" w:rsidP="002A2116">
      <w:pPr>
        <w:numPr>
          <w:ilvl w:val="0"/>
          <w:numId w:val="31"/>
        </w:numPr>
        <w:spacing w:after="180"/>
        <w:ind w:left="568" w:hanging="284"/>
        <w:rPr>
          <w:rFonts w:ascii="Arial" w:hAnsi="Arial" w:cs="Arial"/>
        </w:rPr>
      </w:pPr>
      <w:r w:rsidRPr="007428E2">
        <w:rPr>
          <w:rFonts w:ascii="Arial" w:hAnsi="Arial" w:cs="Arial"/>
        </w:rPr>
        <w:t>A rule that allows a fixed number of exceedances of a PM st</w:t>
      </w:r>
      <w:r w:rsidR="00364C2E" w:rsidRPr="007428E2">
        <w:rPr>
          <w:rFonts w:ascii="Arial" w:hAnsi="Arial" w:cs="Arial"/>
        </w:rPr>
        <w:t>andard in a given year, based on the exclusion of data</w:t>
      </w:r>
      <w:r w:rsidRPr="007428E2">
        <w:rPr>
          <w:rFonts w:ascii="Arial" w:hAnsi="Arial" w:cs="Arial"/>
        </w:rPr>
        <w:t xml:space="preserve"> for </w:t>
      </w:r>
      <w:r w:rsidR="00E06B7E" w:rsidRPr="007428E2">
        <w:rPr>
          <w:rFonts w:ascii="Arial" w:hAnsi="Arial" w:cs="Arial"/>
        </w:rPr>
        <w:t xml:space="preserve">activity specific </w:t>
      </w:r>
      <w:r w:rsidRPr="007428E2">
        <w:rPr>
          <w:rFonts w:ascii="Arial" w:hAnsi="Arial" w:cs="Arial"/>
        </w:rPr>
        <w:t>exceptional events. This is similar to the approach used in the EU.</w:t>
      </w:r>
    </w:p>
    <w:p w:rsidR="00C7268C" w:rsidRPr="007428E2" w:rsidRDefault="00C7268C" w:rsidP="002A2116">
      <w:pPr>
        <w:numPr>
          <w:ilvl w:val="0"/>
          <w:numId w:val="31"/>
        </w:numPr>
        <w:spacing w:after="180"/>
        <w:ind w:left="568" w:hanging="284"/>
        <w:rPr>
          <w:rFonts w:ascii="Arial" w:hAnsi="Arial" w:cs="Arial"/>
        </w:rPr>
      </w:pPr>
      <w:r w:rsidRPr="007428E2">
        <w:rPr>
          <w:rFonts w:ascii="Arial" w:hAnsi="Arial" w:cs="Arial"/>
        </w:rPr>
        <w:t>A rule in which the 98</w:t>
      </w:r>
      <w:r w:rsidRPr="007428E2">
        <w:rPr>
          <w:rFonts w:ascii="Arial" w:hAnsi="Arial" w:cs="Arial"/>
          <w:vertAlign w:val="superscript"/>
        </w:rPr>
        <w:t>th</w:t>
      </w:r>
      <w:r w:rsidRPr="007428E2">
        <w:rPr>
          <w:rFonts w:ascii="Arial" w:hAnsi="Arial" w:cs="Arial"/>
        </w:rPr>
        <w:t xml:space="preserve"> percentile PM concentration in a given year is compared with a standard, but with no </w:t>
      </w:r>
      <w:r w:rsidR="00E06B7E" w:rsidRPr="007428E2">
        <w:rPr>
          <w:rFonts w:ascii="Arial" w:hAnsi="Arial" w:cs="Arial"/>
        </w:rPr>
        <w:t xml:space="preserve">specific </w:t>
      </w:r>
      <w:r w:rsidRPr="007428E2">
        <w:rPr>
          <w:rFonts w:ascii="Arial" w:hAnsi="Arial" w:cs="Arial"/>
        </w:rPr>
        <w:t>exclusion of data for exceptional events. For reporting purposes the occurrence of exceptional events will be recorded and various statistics will be presented (including percentiles), but these will not be used when comparing measured concentrations with the standard.</w:t>
      </w:r>
    </w:p>
    <w:p w:rsidR="00C7268C" w:rsidRPr="007428E2" w:rsidRDefault="00C7268C" w:rsidP="002A2116">
      <w:pPr>
        <w:numPr>
          <w:ilvl w:val="0"/>
          <w:numId w:val="31"/>
        </w:numPr>
        <w:ind w:left="568" w:hanging="284"/>
        <w:rPr>
          <w:rFonts w:ascii="Arial" w:hAnsi="Arial" w:cs="Arial"/>
        </w:rPr>
      </w:pPr>
      <w:r w:rsidRPr="007428E2">
        <w:rPr>
          <w:rFonts w:ascii="Arial" w:hAnsi="Arial" w:cs="Arial"/>
        </w:rPr>
        <w:t>A rule in which the 98</w:t>
      </w:r>
      <w:r w:rsidRPr="007428E2">
        <w:rPr>
          <w:rFonts w:ascii="Arial" w:hAnsi="Arial" w:cs="Arial"/>
          <w:vertAlign w:val="superscript"/>
        </w:rPr>
        <w:t>th</w:t>
      </w:r>
      <w:r w:rsidRPr="007428E2">
        <w:rPr>
          <w:rFonts w:ascii="Arial" w:hAnsi="Arial" w:cs="Arial"/>
        </w:rPr>
        <w:t xml:space="preserve"> percentile PM concentration in a given year is compared with a standard, but with </w:t>
      </w:r>
      <w:r w:rsidR="00364C2E" w:rsidRPr="007428E2">
        <w:rPr>
          <w:rFonts w:ascii="Arial" w:hAnsi="Arial" w:cs="Arial"/>
        </w:rPr>
        <w:t>the exclusion of data</w:t>
      </w:r>
      <w:r w:rsidRPr="007428E2">
        <w:rPr>
          <w:rFonts w:ascii="Arial" w:hAnsi="Arial" w:cs="Arial"/>
        </w:rPr>
        <w:t xml:space="preserve"> for exceptional events. This is similar to the approach used </w:t>
      </w:r>
      <w:r w:rsidR="00364C2E" w:rsidRPr="007428E2">
        <w:rPr>
          <w:rFonts w:ascii="Arial" w:hAnsi="Arial" w:cs="Arial"/>
        </w:rPr>
        <w:t>for PM</w:t>
      </w:r>
      <w:r w:rsidR="00364C2E" w:rsidRPr="007428E2">
        <w:rPr>
          <w:rFonts w:ascii="Arial" w:hAnsi="Arial" w:cs="Arial"/>
          <w:vertAlign w:val="subscript"/>
        </w:rPr>
        <w:t>2.5</w:t>
      </w:r>
      <w:r w:rsidR="00364C2E" w:rsidRPr="007428E2">
        <w:rPr>
          <w:rFonts w:ascii="Arial" w:hAnsi="Arial" w:cs="Arial"/>
        </w:rPr>
        <w:t xml:space="preserve"> </w:t>
      </w:r>
      <w:r w:rsidRPr="007428E2">
        <w:rPr>
          <w:rFonts w:ascii="Arial" w:hAnsi="Arial" w:cs="Arial"/>
        </w:rPr>
        <w:t>in the US.</w:t>
      </w:r>
    </w:p>
    <w:p w:rsidR="00D8347D" w:rsidRPr="007428E2" w:rsidRDefault="00D8347D" w:rsidP="008377C9">
      <w:pPr>
        <w:rPr>
          <w:rFonts w:ascii="Arial" w:hAnsi="Arial" w:cs="Arial"/>
        </w:rPr>
      </w:pPr>
      <w:r w:rsidRPr="007428E2">
        <w:rPr>
          <w:rFonts w:ascii="Arial" w:hAnsi="Arial" w:cs="Arial"/>
        </w:rPr>
        <w:lastRenderedPageBreak/>
        <w:t>The form of the 24-hour standard</w:t>
      </w:r>
      <w:r w:rsidR="006238D7" w:rsidRPr="007428E2">
        <w:rPr>
          <w:rFonts w:ascii="Arial" w:hAnsi="Arial" w:cs="Arial"/>
        </w:rPr>
        <w:t>s</w:t>
      </w:r>
      <w:r w:rsidRPr="007428E2">
        <w:rPr>
          <w:rFonts w:ascii="Arial" w:hAnsi="Arial" w:cs="Arial"/>
        </w:rPr>
        <w:t xml:space="preserve"> should also result in an appropriate balance between the annual mean and 24-hour standards. For example, where these two metrics are applied together there may be a tendency at a given monitoring site for one of them to be exceeded more frequently than the other. From a health and economic perspective </w:t>
      </w:r>
      <w:r w:rsidR="002F21A3" w:rsidRPr="007428E2">
        <w:rPr>
          <w:rFonts w:ascii="Arial" w:hAnsi="Arial" w:cs="Arial"/>
        </w:rPr>
        <w:t>–</w:t>
      </w:r>
      <w:r w:rsidRPr="007428E2">
        <w:rPr>
          <w:rFonts w:ascii="Arial" w:hAnsi="Arial" w:cs="Arial"/>
        </w:rPr>
        <w:t xml:space="preserve"> and hence in terms of policy </w:t>
      </w:r>
      <w:r w:rsidR="002F21A3" w:rsidRPr="007428E2">
        <w:rPr>
          <w:rFonts w:ascii="Arial" w:hAnsi="Arial" w:cs="Arial"/>
        </w:rPr>
        <w:t>–</w:t>
      </w:r>
      <w:r w:rsidRPr="007428E2">
        <w:rPr>
          <w:rFonts w:ascii="Arial" w:hAnsi="Arial" w:cs="Arial"/>
        </w:rPr>
        <w:t xml:space="preserve"> it is advisable to place more emphasis on the annual mean standard than on the 24-hour standard. As long as separate annual and 24-hour standards are in place, this should not </w:t>
      </w:r>
      <w:r w:rsidR="00DD7753" w:rsidRPr="007428E2">
        <w:rPr>
          <w:rFonts w:ascii="Arial" w:hAnsi="Arial" w:cs="Arial"/>
        </w:rPr>
        <w:t xml:space="preserve">present </w:t>
      </w:r>
      <w:r w:rsidRPr="007428E2">
        <w:rPr>
          <w:rFonts w:ascii="Arial" w:hAnsi="Arial" w:cs="Arial"/>
        </w:rPr>
        <w:t xml:space="preserve">a practical problem. However, if the numerical value and form of the 24-hour standard are defined so that it is exceeded more frequently than the annual mean standard, this </w:t>
      </w:r>
      <w:r w:rsidR="00E06B7E" w:rsidRPr="007428E2">
        <w:rPr>
          <w:rFonts w:ascii="Arial" w:hAnsi="Arial" w:cs="Arial"/>
        </w:rPr>
        <w:t xml:space="preserve">would </w:t>
      </w:r>
      <w:r w:rsidRPr="007428E2">
        <w:rPr>
          <w:rFonts w:ascii="Arial" w:hAnsi="Arial" w:cs="Arial"/>
        </w:rPr>
        <w:t xml:space="preserve">lead the 24-hour standard </w:t>
      </w:r>
      <w:r w:rsidR="00E06B7E" w:rsidRPr="007428E2">
        <w:rPr>
          <w:rFonts w:ascii="Arial" w:hAnsi="Arial" w:cs="Arial"/>
        </w:rPr>
        <w:t>to be the controlling standard</w:t>
      </w:r>
      <w:r w:rsidRPr="007428E2">
        <w:rPr>
          <w:rFonts w:ascii="Arial" w:hAnsi="Arial" w:cs="Arial"/>
        </w:rPr>
        <w:t xml:space="preserve">, with </w:t>
      </w:r>
      <w:r w:rsidR="00E06B7E" w:rsidRPr="007428E2">
        <w:rPr>
          <w:rFonts w:ascii="Arial" w:hAnsi="Arial" w:cs="Arial"/>
        </w:rPr>
        <w:t xml:space="preserve">greater </w:t>
      </w:r>
      <w:r w:rsidRPr="007428E2">
        <w:rPr>
          <w:rFonts w:ascii="Arial" w:hAnsi="Arial" w:cs="Arial"/>
        </w:rPr>
        <w:t xml:space="preserve">potential for action </w:t>
      </w:r>
      <w:r w:rsidR="00E06B7E" w:rsidRPr="007428E2">
        <w:rPr>
          <w:rFonts w:ascii="Arial" w:hAnsi="Arial" w:cs="Arial"/>
        </w:rPr>
        <w:t xml:space="preserve">to be </w:t>
      </w:r>
      <w:r w:rsidR="009334F4" w:rsidRPr="007428E2">
        <w:rPr>
          <w:rFonts w:ascii="Arial" w:hAnsi="Arial" w:cs="Arial"/>
        </w:rPr>
        <w:t xml:space="preserve">focused </w:t>
      </w:r>
      <w:r w:rsidRPr="007428E2">
        <w:rPr>
          <w:rFonts w:ascii="Arial" w:hAnsi="Arial" w:cs="Arial"/>
        </w:rPr>
        <w:t>on short-term concentrations.</w:t>
      </w:r>
    </w:p>
    <w:p w:rsidR="00CC725A" w:rsidRPr="006574FD" w:rsidRDefault="00E84A16" w:rsidP="00CC725A">
      <w:pPr>
        <w:pStyle w:val="ES2"/>
        <w:rPr>
          <w:rFonts w:ascii="Arial" w:hAnsi="Arial" w:cs="Arial"/>
        </w:rPr>
      </w:pPr>
      <w:r w:rsidRPr="006574FD">
        <w:rPr>
          <w:rFonts w:ascii="Arial" w:hAnsi="Arial" w:cs="Arial"/>
        </w:rPr>
        <w:t>A</w:t>
      </w:r>
      <w:r w:rsidR="00CC725A" w:rsidRPr="006574FD">
        <w:rPr>
          <w:rFonts w:ascii="Arial" w:hAnsi="Arial" w:cs="Arial"/>
        </w:rPr>
        <w:t xml:space="preserve">pplicability of the </w:t>
      </w:r>
      <w:r w:rsidR="00EF24F8" w:rsidRPr="006574FD">
        <w:rPr>
          <w:rFonts w:ascii="Arial" w:hAnsi="Arial" w:cs="Arial"/>
        </w:rPr>
        <w:t>AAQ NEPM</w:t>
      </w:r>
      <w:r w:rsidR="00CC725A" w:rsidRPr="006574FD">
        <w:rPr>
          <w:rFonts w:ascii="Arial" w:hAnsi="Arial" w:cs="Arial"/>
        </w:rPr>
        <w:t xml:space="preserve"> standards</w:t>
      </w:r>
    </w:p>
    <w:p w:rsidR="006E5DB6" w:rsidRPr="007428E2" w:rsidRDefault="00396040" w:rsidP="008377C9">
      <w:pPr>
        <w:pStyle w:val="BulletArrows"/>
        <w:spacing w:after="0"/>
        <w:rPr>
          <w:rFonts w:ascii="Arial" w:hAnsi="Arial"/>
          <w:color w:val="auto"/>
        </w:rPr>
      </w:pPr>
      <w:r w:rsidRPr="007428E2">
        <w:rPr>
          <w:rFonts w:ascii="Arial" w:hAnsi="Arial"/>
        </w:rPr>
        <w:t xml:space="preserve">The approach whereby the </w:t>
      </w:r>
      <w:r w:rsidR="00EF24F8" w:rsidRPr="007428E2">
        <w:rPr>
          <w:rFonts w:ascii="Arial" w:hAnsi="Arial"/>
        </w:rPr>
        <w:t>AAQ NEPM</w:t>
      </w:r>
      <w:r w:rsidR="000303A2" w:rsidRPr="007428E2">
        <w:rPr>
          <w:rFonts w:ascii="Arial" w:hAnsi="Arial"/>
        </w:rPr>
        <w:t xml:space="preserve"> standards for PM are based on measurements at sites that reflect the general exposure of populations in large metropolitan areas</w:t>
      </w:r>
      <w:r w:rsidRPr="007428E2">
        <w:rPr>
          <w:rFonts w:ascii="Arial" w:hAnsi="Arial"/>
          <w:color w:val="auto"/>
        </w:rPr>
        <w:t xml:space="preserve"> is </w:t>
      </w:r>
      <w:r w:rsidR="00ED7AB4" w:rsidRPr="007428E2">
        <w:rPr>
          <w:rFonts w:ascii="Arial" w:hAnsi="Arial"/>
          <w:color w:val="auto"/>
        </w:rPr>
        <w:t xml:space="preserve">planned </w:t>
      </w:r>
      <w:r w:rsidRPr="007428E2">
        <w:rPr>
          <w:rFonts w:ascii="Arial" w:hAnsi="Arial"/>
          <w:color w:val="auto"/>
        </w:rPr>
        <w:t xml:space="preserve">to be maintained. Under this general exposure approach the </w:t>
      </w:r>
      <w:r w:rsidR="006E5DB6" w:rsidRPr="007428E2">
        <w:rPr>
          <w:rFonts w:ascii="Arial" w:hAnsi="Arial"/>
          <w:color w:val="auto"/>
        </w:rPr>
        <w:t>standards and goals are applicable to urban sites away from sources of pollution</w:t>
      </w:r>
      <w:r w:rsidR="000303A2" w:rsidRPr="007428E2">
        <w:rPr>
          <w:rFonts w:ascii="Arial" w:hAnsi="Arial"/>
          <w:color w:val="auto"/>
        </w:rPr>
        <w:t>,</w:t>
      </w:r>
      <w:r w:rsidR="006E5DB6" w:rsidRPr="007428E2">
        <w:rPr>
          <w:rFonts w:ascii="Arial" w:hAnsi="Arial"/>
          <w:color w:val="auto"/>
        </w:rPr>
        <w:t xml:space="preserve"> such as busy roads and industrial stacks</w:t>
      </w:r>
      <w:r w:rsidR="00ED7AB4" w:rsidRPr="007428E2">
        <w:rPr>
          <w:rFonts w:ascii="Arial" w:hAnsi="Arial"/>
          <w:color w:val="auto"/>
        </w:rPr>
        <w:t xml:space="preserve">. </w:t>
      </w:r>
      <w:r w:rsidR="00F64C45" w:rsidRPr="007428E2">
        <w:rPr>
          <w:rFonts w:ascii="Arial" w:hAnsi="Arial"/>
          <w:color w:val="auto"/>
        </w:rPr>
        <w:t>Individual jurisdictions can employ compl</w:t>
      </w:r>
      <w:r w:rsidR="00092966" w:rsidRPr="007428E2">
        <w:rPr>
          <w:rFonts w:ascii="Arial" w:hAnsi="Arial"/>
          <w:color w:val="auto"/>
        </w:rPr>
        <w:t>e</w:t>
      </w:r>
      <w:r w:rsidR="00F64C45" w:rsidRPr="007428E2">
        <w:rPr>
          <w:rFonts w:ascii="Arial" w:hAnsi="Arial"/>
          <w:color w:val="auto"/>
        </w:rPr>
        <w:t xml:space="preserve">mentary methods to inform development applications for proposed infrastructure and industrial proposals </w:t>
      </w:r>
      <w:r w:rsidR="006E5DB6" w:rsidRPr="007428E2">
        <w:rPr>
          <w:rFonts w:ascii="Arial" w:hAnsi="Arial"/>
          <w:color w:val="auto"/>
        </w:rPr>
        <w:t>in a var</w:t>
      </w:r>
      <w:r w:rsidR="007831E5" w:rsidRPr="007428E2">
        <w:rPr>
          <w:rFonts w:ascii="Arial" w:hAnsi="Arial"/>
          <w:color w:val="auto"/>
        </w:rPr>
        <w:t>iety of locations and contexts.</w:t>
      </w:r>
    </w:p>
    <w:p w:rsidR="00CC725A" w:rsidRPr="006574FD" w:rsidRDefault="00E84A16" w:rsidP="002F21A3">
      <w:pPr>
        <w:pStyle w:val="ES2"/>
        <w:spacing w:before="240"/>
        <w:rPr>
          <w:rFonts w:ascii="Arial" w:hAnsi="Arial" w:cs="Arial"/>
        </w:rPr>
      </w:pPr>
      <w:r w:rsidRPr="006574FD">
        <w:rPr>
          <w:rFonts w:ascii="Arial" w:hAnsi="Arial" w:cs="Arial"/>
        </w:rPr>
        <w:t>F</w:t>
      </w:r>
      <w:r w:rsidR="00CC725A" w:rsidRPr="006574FD">
        <w:rPr>
          <w:rFonts w:ascii="Arial" w:hAnsi="Arial" w:cs="Arial"/>
        </w:rPr>
        <w:t>easibility of an exposure-reduction framework</w:t>
      </w:r>
    </w:p>
    <w:p w:rsidR="007623CE" w:rsidRPr="007428E2" w:rsidRDefault="003E66AD" w:rsidP="00CC725A">
      <w:pPr>
        <w:pStyle w:val="BulletArrows"/>
        <w:spacing w:after="360"/>
        <w:rPr>
          <w:rFonts w:ascii="Arial" w:hAnsi="Arial"/>
          <w:color w:val="auto"/>
        </w:rPr>
      </w:pPr>
      <w:r w:rsidRPr="007428E2">
        <w:rPr>
          <w:rFonts w:ascii="Arial" w:hAnsi="Arial"/>
          <w:color w:val="auto"/>
        </w:rPr>
        <w:t>T</w:t>
      </w:r>
      <w:r w:rsidR="00CC725A" w:rsidRPr="007428E2">
        <w:rPr>
          <w:rFonts w:ascii="Arial" w:hAnsi="Arial"/>
          <w:color w:val="auto"/>
        </w:rPr>
        <w:t xml:space="preserve">he introduction of an exposure-reduction framework into the </w:t>
      </w:r>
      <w:r w:rsidR="00EF24F8" w:rsidRPr="007428E2">
        <w:rPr>
          <w:rFonts w:ascii="Arial" w:hAnsi="Arial"/>
          <w:color w:val="auto"/>
        </w:rPr>
        <w:t>AAQ NEPM</w:t>
      </w:r>
      <w:r w:rsidR="00CC725A" w:rsidRPr="007428E2">
        <w:rPr>
          <w:rFonts w:ascii="Arial" w:hAnsi="Arial"/>
          <w:color w:val="auto"/>
        </w:rPr>
        <w:t xml:space="preserve"> has been considered as a ‘co-option’. It is assumed that progress towards reducing exposure would be framed in terms of </w:t>
      </w:r>
      <w:r w:rsidRPr="007428E2">
        <w:rPr>
          <w:rFonts w:ascii="Arial" w:hAnsi="Arial"/>
          <w:color w:val="auto"/>
        </w:rPr>
        <w:t xml:space="preserve">the </w:t>
      </w:r>
      <w:r w:rsidR="00CC725A" w:rsidRPr="007428E2">
        <w:rPr>
          <w:rFonts w:ascii="Arial" w:hAnsi="Arial"/>
          <w:color w:val="auto"/>
        </w:rPr>
        <w:t>monitored PM</w:t>
      </w:r>
      <w:r w:rsidR="00CC725A" w:rsidRPr="007428E2">
        <w:rPr>
          <w:rFonts w:ascii="Arial" w:hAnsi="Arial"/>
          <w:color w:val="auto"/>
          <w:vertAlign w:val="subscript"/>
        </w:rPr>
        <w:t>2.5</w:t>
      </w:r>
      <w:r w:rsidR="00CC725A" w:rsidRPr="007428E2">
        <w:rPr>
          <w:rFonts w:ascii="Arial" w:hAnsi="Arial"/>
          <w:color w:val="auto"/>
        </w:rPr>
        <w:t xml:space="preserve"> concentration </w:t>
      </w:r>
      <w:r w:rsidRPr="007428E2">
        <w:rPr>
          <w:rFonts w:ascii="Arial" w:hAnsi="Arial"/>
          <w:color w:val="auto"/>
        </w:rPr>
        <w:t xml:space="preserve">in major urban areas </w:t>
      </w:r>
      <w:r w:rsidR="00CC725A" w:rsidRPr="007428E2">
        <w:rPr>
          <w:rFonts w:ascii="Arial" w:hAnsi="Arial"/>
          <w:color w:val="auto"/>
        </w:rPr>
        <w:t>(as in the AEI approach used in the EU), or an equivalent modelling approach. Two options have been considered, as shown in</w:t>
      </w:r>
      <w:r w:rsidR="002F0C15" w:rsidRPr="007428E2">
        <w:rPr>
          <w:rFonts w:ascii="Arial" w:hAnsi="Arial"/>
          <w:b/>
          <w:color w:val="auto"/>
        </w:rPr>
        <w:t xml:space="preserve"> Table ES</w:t>
      </w:r>
      <w:r w:rsidR="00953222">
        <w:rPr>
          <w:rFonts w:ascii="Arial" w:hAnsi="Arial"/>
          <w:b/>
          <w:color w:val="auto"/>
        </w:rPr>
        <w:t>4</w:t>
      </w:r>
      <w:r w:rsidR="00CC725A" w:rsidRPr="007428E2">
        <w:rPr>
          <w:rFonts w:ascii="Arial" w:hAnsi="Arial"/>
          <w:color w:val="auto"/>
        </w:rPr>
        <w:t xml:space="preserve">. </w:t>
      </w:r>
      <w:r w:rsidR="00DD7753" w:rsidRPr="007428E2">
        <w:rPr>
          <w:rFonts w:ascii="Arial" w:hAnsi="Arial"/>
          <w:color w:val="auto"/>
        </w:rPr>
        <w:t>O</w:t>
      </w:r>
      <w:r w:rsidR="00CC725A" w:rsidRPr="007428E2">
        <w:rPr>
          <w:rFonts w:ascii="Arial" w:hAnsi="Arial"/>
          <w:color w:val="auto"/>
        </w:rPr>
        <w:t xml:space="preserve">ption ER1 </w:t>
      </w:r>
      <w:r w:rsidR="00DD7753" w:rsidRPr="007428E2">
        <w:rPr>
          <w:rFonts w:ascii="Arial" w:hAnsi="Arial"/>
          <w:color w:val="auto"/>
        </w:rPr>
        <w:t xml:space="preserve">includes </w:t>
      </w:r>
      <w:r w:rsidR="00CC725A" w:rsidRPr="007428E2">
        <w:rPr>
          <w:rFonts w:ascii="Arial" w:hAnsi="Arial"/>
          <w:color w:val="auto"/>
        </w:rPr>
        <w:t>the target of a 10% reduction in the annual mean PM</w:t>
      </w:r>
      <w:r w:rsidR="00CC725A" w:rsidRPr="007428E2">
        <w:rPr>
          <w:rFonts w:ascii="Arial" w:hAnsi="Arial"/>
          <w:color w:val="auto"/>
          <w:vertAlign w:val="subscript"/>
        </w:rPr>
        <w:t>2.5</w:t>
      </w:r>
      <w:r w:rsidR="00CC725A" w:rsidRPr="007428E2">
        <w:rPr>
          <w:rFonts w:ascii="Arial" w:hAnsi="Arial"/>
          <w:color w:val="auto"/>
        </w:rPr>
        <w:t xml:space="preserve"> concentration between 2015 and 2025 </w:t>
      </w:r>
      <w:r w:rsidR="00271378" w:rsidRPr="007428E2">
        <w:rPr>
          <w:rFonts w:ascii="Arial" w:hAnsi="Arial"/>
          <w:color w:val="auto"/>
        </w:rPr>
        <w:t>assessed in the Economic Analysis project</w:t>
      </w:r>
      <w:r w:rsidR="00CC725A" w:rsidRPr="007428E2">
        <w:rPr>
          <w:rFonts w:ascii="Arial" w:hAnsi="Arial"/>
          <w:color w:val="auto"/>
        </w:rPr>
        <w:t>. Option ER2 would involve a similar approach,</w:t>
      </w:r>
      <w:r w:rsidR="00907961" w:rsidRPr="007428E2">
        <w:rPr>
          <w:rFonts w:ascii="Arial" w:hAnsi="Arial"/>
          <w:color w:val="auto"/>
        </w:rPr>
        <w:t xml:space="preserve"> without a specific numerical target but with an explicit aim of </w:t>
      </w:r>
      <w:r w:rsidR="00A91C53" w:rsidRPr="007428E2">
        <w:rPr>
          <w:rFonts w:ascii="Arial" w:hAnsi="Arial"/>
          <w:color w:val="auto"/>
        </w:rPr>
        <w:t xml:space="preserve">continual improvement </w:t>
      </w:r>
      <w:r w:rsidR="00907961" w:rsidRPr="007428E2">
        <w:rPr>
          <w:rFonts w:ascii="Arial" w:hAnsi="Arial"/>
          <w:color w:val="auto"/>
        </w:rPr>
        <w:t>and/</w:t>
      </w:r>
      <w:r w:rsidR="00A91C53" w:rsidRPr="007428E2">
        <w:rPr>
          <w:rFonts w:ascii="Arial" w:hAnsi="Arial"/>
          <w:color w:val="auto"/>
        </w:rPr>
        <w:t xml:space="preserve">or no </w:t>
      </w:r>
      <w:r w:rsidR="00907961" w:rsidRPr="007428E2">
        <w:rPr>
          <w:rFonts w:ascii="Arial" w:hAnsi="Arial"/>
          <w:color w:val="auto"/>
        </w:rPr>
        <w:t>deterioration of air quality.</w:t>
      </w:r>
    </w:p>
    <w:p w:rsidR="00CC725A" w:rsidRPr="007428E2" w:rsidRDefault="00CC725A" w:rsidP="00CC725A">
      <w:pPr>
        <w:pStyle w:val="Caption"/>
        <w:rPr>
          <w:rFonts w:ascii="Arial" w:hAnsi="Arial" w:cs="Arial"/>
        </w:rPr>
      </w:pPr>
      <w:r w:rsidRPr="007428E2">
        <w:rPr>
          <w:rFonts w:ascii="Arial" w:hAnsi="Arial" w:cs="Arial"/>
        </w:rPr>
        <w:t>Table</w:t>
      </w:r>
      <w:r w:rsidR="002F0C15" w:rsidRPr="007428E2">
        <w:rPr>
          <w:rFonts w:ascii="Arial" w:hAnsi="Arial" w:cs="Arial"/>
        </w:rPr>
        <w:t xml:space="preserve"> ES</w:t>
      </w:r>
      <w:r w:rsidR="00953222">
        <w:rPr>
          <w:rFonts w:ascii="Arial" w:hAnsi="Arial" w:cs="Arial"/>
        </w:rPr>
        <w:t>4</w:t>
      </w:r>
      <w:r w:rsidRPr="007428E2">
        <w:rPr>
          <w:rFonts w:ascii="Arial" w:hAnsi="Arial" w:cs="Arial"/>
        </w:rPr>
        <w:t>: Options and sub-options – exposure-reduction</w:t>
      </w:r>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A0"/>
      </w:tblPr>
      <w:tblGrid>
        <w:gridCol w:w="1044"/>
        <w:gridCol w:w="817"/>
        <w:gridCol w:w="3133"/>
        <w:gridCol w:w="2693"/>
      </w:tblGrid>
      <w:tr w:rsidR="00CC725A" w:rsidRPr="007428E2" w:rsidTr="002F0C15">
        <w:trPr>
          <w:trHeight w:val="461"/>
          <w:jc w:val="center"/>
        </w:trPr>
        <w:tc>
          <w:tcPr>
            <w:tcW w:w="1044" w:type="dxa"/>
            <w:shd w:val="clear" w:color="auto" w:fill="0070C0"/>
            <w:vAlign w:val="center"/>
          </w:tcPr>
          <w:p w:rsidR="00CC725A" w:rsidRPr="007428E2" w:rsidRDefault="00CC725A" w:rsidP="00836A68">
            <w:pPr>
              <w:spacing w:after="0" w:line="240" w:lineRule="auto"/>
              <w:jc w:val="center"/>
              <w:rPr>
                <w:rFonts w:ascii="Arial" w:hAnsi="Arial" w:cs="Arial"/>
                <w:b/>
                <w:color w:val="FFFFFF"/>
                <w:sz w:val="15"/>
                <w:szCs w:val="15"/>
              </w:rPr>
            </w:pPr>
            <w:r w:rsidRPr="007428E2">
              <w:rPr>
                <w:rFonts w:ascii="Arial" w:hAnsi="Arial" w:cs="Arial"/>
                <w:b/>
                <w:color w:val="FFFFFF"/>
                <w:sz w:val="15"/>
                <w:szCs w:val="15"/>
              </w:rPr>
              <w:t>Option</w:t>
            </w:r>
          </w:p>
        </w:tc>
        <w:tc>
          <w:tcPr>
            <w:tcW w:w="817" w:type="dxa"/>
            <w:shd w:val="clear" w:color="auto" w:fill="0070C0"/>
            <w:vAlign w:val="center"/>
          </w:tcPr>
          <w:p w:rsidR="00CC725A" w:rsidRPr="007428E2" w:rsidRDefault="00CC725A" w:rsidP="00836A68">
            <w:pPr>
              <w:spacing w:after="0" w:line="240" w:lineRule="auto"/>
              <w:jc w:val="center"/>
              <w:rPr>
                <w:rFonts w:ascii="Arial" w:hAnsi="Arial" w:cs="Arial"/>
                <w:b/>
                <w:color w:val="FFFFFF"/>
                <w:sz w:val="15"/>
                <w:szCs w:val="15"/>
              </w:rPr>
            </w:pPr>
            <w:r w:rsidRPr="007428E2">
              <w:rPr>
                <w:rFonts w:ascii="Arial" w:hAnsi="Arial" w:cs="Arial"/>
                <w:b/>
                <w:color w:val="FFFFFF"/>
                <w:sz w:val="15"/>
                <w:szCs w:val="15"/>
              </w:rPr>
              <w:t>Sub-option</w:t>
            </w:r>
          </w:p>
        </w:tc>
        <w:tc>
          <w:tcPr>
            <w:tcW w:w="3133" w:type="dxa"/>
            <w:shd w:val="clear" w:color="auto" w:fill="0070C0"/>
            <w:vAlign w:val="center"/>
          </w:tcPr>
          <w:p w:rsidR="00CC725A" w:rsidRPr="007428E2" w:rsidRDefault="00CC725A" w:rsidP="00836A68">
            <w:pPr>
              <w:spacing w:after="0" w:line="240" w:lineRule="auto"/>
              <w:jc w:val="center"/>
              <w:rPr>
                <w:rFonts w:ascii="Arial" w:hAnsi="Arial" w:cs="Arial"/>
                <w:b/>
                <w:color w:val="FFFFFF"/>
                <w:sz w:val="15"/>
                <w:szCs w:val="15"/>
              </w:rPr>
            </w:pPr>
            <w:r w:rsidRPr="007428E2">
              <w:rPr>
                <w:rFonts w:ascii="Arial" w:hAnsi="Arial" w:cs="Arial"/>
                <w:b/>
                <w:color w:val="FFFFFF"/>
                <w:sz w:val="15"/>
                <w:szCs w:val="15"/>
              </w:rPr>
              <w:t>Description</w:t>
            </w:r>
            <w:r w:rsidRPr="007428E2">
              <w:rPr>
                <w:rFonts w:ascii="Arial" w:hAnsi="Arial" w:cs="Arial"/>
                <w:b/>
                <w:color w:val="FFFFFF"/>
                <w:sz w:val="15"/>
                <w:szCs w:val="15"/>
                <w:vertAlign w:val="superscript"/>
              </w:rPr>
              <w:t>(a)</w:t>
            </w:r>
          </w:p>
        </w:tc>
        <w:tc>
          <w:tcPr>
            <w:tcW w:w="2693" w:type="dxa"/>
            <w:shd w:val="clear" w:color="auto" w:fill="0070C0"/>
            <w:vAlign w:val="center"/>
          </w:tcPr>
          <w:p w:rsidR="00CC725A" w:rsidRPr="007428E2" w:rsidRDefault="00CC725A" w:rsidP="00836A68">
            <w:pPr>
              <w:spacing w:after="0" w:line="240" w:lineRule="auto"/>
              <w:jc w:val="center"/>
              <w:rPr>
                <w:rFonts w:ascii="Arial" w:hAnsi="Arial" w:cs="Arial"/>
                <w:b/>
                <w:color w:val="FFFFFF"/>
                <w:sz w:val="15"/>
                <w:szCs w:val="15"/>
              </w:rPr>
            </w:pPr>
            <w:r w:rsidRPr="007428E2">
              <w:rPr>
                <w:rFonts w:ascii="Arial" w:hAnsi="Arial" w:cs="Arial"/>
                <w:b/>
                <w:color w:val="FFFFFF"/>
                <w:sz w:val="15"/>
                <w:szCs w:val="15"/>
              </w:rPr>
              <w:t>Target</w:t>
            </w:r>
          </w:p>
        </w:tc>
      </w:tr>
      <w:tr w:rsidR="00CC725A" w:rsidRPr="007428E2" w:rsidTr="00F26AFF">
        <w:trPr>
          <w:cantSplit/>
          <w:trHeight w:hRule="exact" w:val="851"/>
          <w:jc w:val="center"/>
        </w:trPr>
        <w:tc>
          <w:tcPr>
            <w:tcW w:w="1044" w:type="dxa"/>
            <w:vMerge w:val="restart"/>
            <w:vAlign w:val="center"/>
          </w:tcPr>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Exposure-reduction framework co-option</w:t>
            </w:r>
          </w:p>
        </w:tc>
        <w:tc>
          <w:tcPr>
            <w:tcW w:w="817" w:type="dxa"/>
            <w:vAlign w:val="center"/>
          </w:tcPr>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ER1</w:t>
            </w:r>
          </w:p>
        </w:tc>
        <w:tc>
          <w:tcPr>
            <w:tcW w:w="3133" w:type="dxa"/>
            <w:vAlign w:val="center"/>
          </w:tcPr>
          <w:p w:rsidR="00CC725A" w:rsidRPr="007428E2" w:rsidRDefault="00CC725A" w:rsidP="007831E5">
            <w:pPr>
              <w:spacing w:after="0" w:line="240" w:lineRule="auto"/>
              <w:jc w:val="center"/>
              <w:rPr>
                <w:rFonts w:ascii="Arial" w:hAnsi="Arial" w:cs="Arial"/>
                <w:sz w:val="15"/>
                <w:szCs w:val="15"/>
              </w:rPr>
            </w:pPr>
            <w:r w:rsidRPr="007428E2">
              <w:rPr>
                <w:rFonts w:ascii="Arial" w:hAnsi="Arial" w:cs="Arial"/>
                <w:sz w:val="15"/>
                <w:szCs w:val="15"/>
              </w:rPr>
              <w:t>‘Exposure index’ based on average PM</w:t>
            </w:r>
            <w:r w:rsidRPr="007428E2">
              <w:rPr>
                <w:rFonts w:ascii="Arial" w:hAnsi="Arial" w:cs="Arial"/>
                <w:sz w:val="15"/>
                <w:szCs w:val="15"/>
                <w:vertAlign w:val="subscript"/>
              </w:rPr>
              <w:t>2.5</w:t>
            </w:r>
            <w:r w:rsidR="000303A2" w:rsidRPr="007428E2">
              <w:rPr>
                <w:rFonts w:ascii="Arial" w:hAnsi="Arial" w:cs="Arial"/>
                <w:sz w:val="15"/>
                <w:szCs w:val="15"/>
              </w:rPr>
              <w:t xml:space="preserve"> concentration at metropolitan</w:t>
            </w:r>
            <w:r w:rsidRPr="007428E2">
              <w:rPr>
                <w:rFonts w:ascii="Arial" w:hAnsi="Arial" w:cs="Arial"/>
                <w:sz w:val="15"/>
                <w:szCs w:val="15"/>
              </w:rPr>
              <w:t xml:space="preserve"> </w:t>
            </w:r>
            <w:r w:rsidR="00EF24F8" w:rsidRPr="007428E2">
              <w:rPr>
                <w:rFonts w:ascii="Arial" w:hAnsi="Arial" w:cs="Arial"/>
                <w:sz w:val="15"/>
                <w:szCs w:val="15"/>
              </w:rPr>
              <w:t>AAQ NEPM</w:t>
            </w:r>
            <w:r w:rsidR="007831E5" w:rsidRPr="007428E2">
              <w:rPr>
                <w:rFonts w:ascii="Arial" w:hAnsi="Arial" w:cs="Arial"/>
                <w:sz w:val="15"/>
                <w:szCs w:val="15"/>
              </w:rPr>
              <w:t xml:space="preserve"> monitoring sites</w:t>
            </w:r>
          </w:p>
        </w:tc>
        <w:tc>
          <w:tcPr>
            <w:tcW w:w="2693" w:type="dxa"/>
            <w:vAlign w:val="center"/>
          </w:tcPr>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10% reduction in the annual mean PM</w:t>
            </w:r>
            <w:r w:rsidRPr="007428E2">
              <w:rPr>
                <w:rFonts w:ascii="Arial" w:hAnsi="Arial" w:cs="Arial"/>
                <w:sz w:val="15"/>
                <w:szCs w:val="15"/>
                <w:vertAlign w:val="subscript"/>
              </w:rPr>
              <w:t>2.5</w:t>
            </w:r>
            <w:r w:rsidRPr="007428E2">
              <w:rPr>
                <w:rFonts w:ascii="Arial" w:hAnsi="Arial" w:cs="Arial"/>
                <w:sz w:val="15"/>
                <w:szCs w:val="15"/>
              </w:rPr>
              <w:t xml:space="preserve"> concentration between 2015 and 2025</w:t>
            </w:r>
          </w:p>
        </w:tc>
      </w:tr>
      <w:tr w:rsidR="00CC725A" w:rsidRPr="007428E2" w:rsidTr="00F26AFF">
        <w:trPr>
          <w:cantSplit/>
          <w:trHeight w:hRule="exact" w:val="851"/>
          <w:jc w:val="center"/>
        </w:trPr>
        <w:tc>
          <w:tcPr>
            <w:tcW w:w="1044" w:type="dxa"/>
            <w:vMerge/>
            <w:vAlign w:val="center"/>
          </w:tcPr>
          <w:p w:rsidR="00CC725A" w:rsidRPr="007428E2" w:rsidRDefault="00CC725A" w:rsidP="00836A68">
            <w:pPr>
              <w:spacing w:after="0" w:line="240" w:lineRule="auto"/>
              <w:jc w:val="center"/>
              <w:rPr>
                <w:rFonts w:ascii="Arial" w:hAnsi="Arial" w:cs="Arial"/>
                <w:sz w:val="15"/>
                <w:szCs w:val="15"/>
              </w:rPr>
            </w:pPr>
          </w:p>
        </w:tc>
        <w:tc>
          <w:tcPr>
            <w:tcW w:w="817" w:type="dxa"/>
            <w:vAlign w:val="center"/>
          </w:tcPr>
          <w:p w:rsidR="00CC725A" w:rsidRPr="007428E2" w:rsidRDefault="00CC725A" w:rsidP="00836A68">
            <w:pPr>
              <w:spacing w:after="0" w:line="240" w:lineRule="auto"/>
              <w:jc w:val="center"/>
              <w:rPr>
                <w:rFonts w:ascii="Arial" w:hAnsi="Arial" w:cs="Arial"/>
                <w:sz w:val="15"/>
                <w:szCs w:val="15"/>
              </w:rPr>
            </w:pPr>
            <w:r w:rsidRPr="007428E2">
              <w:rPr>
                <w:rFonts w:ascii="Arial" w:hAnsi="Arial" w:cs="Arial"/>
                <w:sz w:val="15"/>
                <w:szCs w:val="15"/>
              </w:rPr>
              <w:t>ER2</w:t>
            </w:r>
          </w:p>
        </w:tc>
        <w:tc>
          <w:tcPr>
            <w:tcW w:w="3133" w:type="dxa"/>
            <w:vAlign w:val="center"/>
          </w:tcPr>
          <w:p w:rsidR="00CC725A" w:rsidRPr="007428E2" w:rsidRDefault="00CC725A" w:rsidP="007831E5">
            <w:pPr>
              <w:spacing w:after="0" w:line="240" w:lineRule="auto"/>
              <w:jc w:val="center"/>
              <w:rPr>
                <w:rFonts w:ascii="Arial" w:hAnsi="Arial" w:cs="Arial"/>
                <w:sz w:val="15"/>
                <w:szCs w:val="15"/>
              </w:rPr>
            </w:pPr>
            <w:r w:rsidRPr="007428E2">
              <w:rPr>
                <w:rFonts w:ascii="Arial" w:hAnsi="Arial" w:cs="Arial"/>
                <w:sz w:val="15"/>
                <w:szCs w:val="15"/>
              </w:rPr>
              <w:t>‘Exposure index’ based on average PM</w:t>
            </w:r>
            <w:r w:rsidRPr="007428E2">
              <w:rPr>
                <w:rFonts w:ascii="Arial" w:hAnsi="Arial" w:cs="Arial"/>
                <w:sz w:val="15"/>
                <w:szCs w:val="15"/>
                <w:vertAlign w:val="subscript"/>
              </w:rPr>
              <w:t>2.5</w:t>
            </w:r>
            <w:r w:rsidR="000303A2" w:rsidRPr="007428E2">
              <w:rPr>
                <w:rFonts w:ascii="Arial" w:hAnsi="Arial" w:cs="Arial"/>
                <w:sz w:val="15"/>
                <w:szCs w:val="15"/>
              </w:rPr>
              <w:t xml:space="preserve"> concentration at metropolitan</w:t>
            </w:r>
            <w:r w:rsidRPr="007428E2">
              <w:rPr>
                <w:rFonts w:ascii="Arial" w:hAnsi="Arial" w:cs="Arial"/>
                <w:sz w:val="15"/>
                <w:szCs w:val="15"/>
              </w:rPr>
              <w:t xml:space="preserve"> </w:t>
            </w:r>
            <w:r w:rsidR="00EF24F8" w:rsidRPr="007428E2">
              <w:rPr>
                <w:rFonts w:ascii="Arial" w:hAnsi="Arial" w:cs="Arial"/>
                <w:sz w:val="15"/>
                <w:szCs w:val="15"/>
              </w:rPr>
              <w:t>AAQ NEPM</w:t>
            </w:r>
            <w:r w:rsidRPr="007428E2">
              <w:rPr>
                <w:rFonts w:ascii="Arial" w:hAnsi="Arial" w:cs="Arial"/>
                <w:sz w:val="15"/>
                <w:szCs w:val="15"/>
              </w:rPr>
              <w:t xml:space="preserve"> monitoring sites</w:t>
            </w:r>
          </w:p>
        </w:tc>
        <w:tc>
          <w:tcPr>
            <w:tcW w:w="2693" w:type="dxa"/>
            <w:vAlign w:val="center"/>
          </w:tcPr>
          <w:p w:rsidR="00CC725A" w:rsidRPr="007428E2" w:rsidRDefault="00A91C53" w:rsidP="00D71465">
            <w:pPr>
              <w:spacing w:after="0" w:line="240" w:lineRule="auto"/>
              <w:jc w:val="center"/>
              <w:rPr>
                <w:rFonts w:ascii="Arial" w:hAnsi="Arial" w:cs="Arial"/>
                <w:sz w:val="15"/>
                <w:szCs w:val="15"/>
              </w:rPr>
            </w:pPr>
            <w:r w:rsidRPr="007428E2">
              <w:rPr>
                <w:rFonts w:ascii="Arial" w:hAnsi="Arial" w:cs="Arial"/>
                <w:sz w:val="15"/>
                <w:szCs w:val="15"/>
              </w:rPr>
              <w:t xml:space="preserve">Continual improvement </w:t>
            </w:r>
            <w:r w:rsidR="00907961" w:rsidRPr="007428E2">
              <w:rPr>
                <w:rFonts w:ascii="Arial" w:hAnsi="Arial" w:cs="Arial"/>
                <w:sz w:val="15"/>
                <w:szCs w:val="15"/>
              </w:rPr>
              <w:t>and/</w:t>
            </w:r>
            <w:r w:rsidRPr="007428E2">
              <w:rPr>
                <w:rFonts w:ascii="Arial" w:hAnsi="Arial" w:cs="Arial"/>
                <w:sz w:val="15"/>
                <w:szCs w:val="15"/>
              </w:rPr>
              <w:t>or n</w:t>
            </w:r>
            <w:r w:rsidR="00CC725A" w:rsidRPr="007428E2">
              <w:rPr>
                <w:rFonts w:ascii="Arial" w:hAnsi="Arial" w:cs="Arial"/>
                <w:sz w:val="15"/>
                <w:szCs w:val="15"/>
              </w:rPr>
              <w:t xml:space="preserve">o </w:t>
            </w:r>
            <w:r w:rsidRPr="007428E2">
              <w:rPr>
                <w:rFonts w:ascii="Arial" w:hAnsi="Arial" w:cs="Arial"/>
                <w:sz w:val="15"/>
                <w:szCs w:val="15"/>
              </w:rPr>
              <w:t>deterioration</w:t>
            </w:r>
            <w:r w:rsidR="00907961" w:rsidRPr="007428E2">
              <w:rPr>
                <w:rFonts w:ascii="Arial" w:hAnsi="Arial" w:cs="Arial"/>
                <w:sz w:val="15"/>
                <w:szCs w:val="15"/>
              </w:rPr>
              <w:t xml:space="preserve"> of air qu</w:t>
            </w:r>
            <w:r w:rsidR="00D71465">
              <w:rPr>
                <w:rFonts w:ascii="Arial" w:hAnsi="Arial" w:cs="Arial"/>
                <w:sz w:val="15"/>
                <w:szCs w:val="15"/>
              </w:rPr>
              <w:t>a</w:t>
            </w:r>
            <w:r w:rsidR="00907961" w:rsidRPr="007428E2">
              <w:rPr>
                <w:rFonts w:ascii="Arial" w:hAnsi="Arial" w:cs="Arial"/>
                <w:sz w:val="15"/>
                <w:szCs w:val="15"/>
              </w:rPr>
              <w:t>lity</w:t>
            </w:r>
            <w:r w:rsidR="00CC725A" w:rsidRPr="007428E2">
              <w:rPr>
                <w:rFonts w:ascii="Arial" w:hAnsi="Arial" w:cs="Arial"/>
                <w:sz w:val="15"/>
                <w:szCs w:val="15"/>
              </w:rPr>
              <w:t>. Exposure index is used to assess progress in terms of reducing exposure</w:t>
            </w:r>
          </w:p>
        </w:tc>
      </w:tr>
    </w:tbl>
    <w:p w:rsidR="00CC725A" w:rsidRPr="007428E2" w:rsidRDefault="00CC725A" w:rsidP="002A2116">
      <w:pPr>
        <w:numPr>
          <w:ilvl w:val="0"/>
          <w:numId w:val="24"/>
        </w:numPr>
        <w:spacing w:before="120" w:after="0" w:line="240" w:lineRule="auto"/>
        <w:ind w:left="1134" w:right="662" w:hanging="284"/>
        <w:rPr>
          <w:rFonts w:ascii="Arial" w:hAnsi="Arial" w:cs="Arial"/>
          <w:sz w:val="14"/>
          <w:szCs w:val="14"/>
        </w:rPr>
      </w:pPr>
      <w:r w:rsidRPr="007428E2">
        <w:rPr>
          <w:rFonts w:ascii="Arial" w:hAnsi="Arial" w:cs="Arial"/>
          <w:sz w:val="14"/>
          <w:szCs w:val="14"/>
        </w:rPr>
        <w:t>The ‘exposure index’ could either be specified as a single year average or a multi-year average (for example, a three-year average is used in the EU).</w:t>
      </w:r>
      <w:r w:rsidR="007831E5" w:rsidRPr="007428E2">
        <w:rPr>
          <w:rFonts w:ascii="Arial" w:hAnsi="Arial" w:cs="Arial"/>
          <w:sz w:val="14"/>
          <w:szCs w:val="14"/>
        </w:rPr>
        <w:t xml:space="preserve"> It is likely that the exposure index would apply only to agglomerations with a population above a certain threshold.</w:t>
      </w:r>
    </w:p>
    <w:p w:rsidR="00CC725A" w:rsidRPr="007428E2" w:rsidRDefault="00CC725A" w:rsidP="00CC725A">
      <w:pPr>
        <w:pStyle w:val="BulletArrows"/>
        <w:spacing w:after="0"/>
        <w:rPr>
          <w:rFonts w:ascii="Arial" w:hAnsi="Arial"/>
          <w:sz w:val="28"/>
          <w:szCs w:val="28"/>
        </w:rPr>
      </w:pPr>
    </w:p>
    <w:p w:rsidR="00CC725A" w:rsidRPr="007428E2" w:rsidRDefault="00C03CF3" w:rsidP="002F0C15">
      <w:pPr>
        <w:pStyle w:val="BulletArrows"/>
        <w:spacing w:after="360"/>
        <w:rPr>
          <w:rFonts w:ascii="Arial" w:hAnsi="Arial"/>
          <w:color w:val="auto"/>
        </w:rPr>
      </w:pPr>
      <w:r w:rsidRPr="007428E2">
        <w:rPr>
          <w:rFonts w:ascii="Arial" w:hAnsi="Arial"/>
          <w:color w:val="auto"/>
        </w:rPr>
        <w:t>A</w:t>
      </w:r>
      <w:r w:rsidR="00CC725A" w:rsidRPr="007428E2">
        <w:rPr>
          <w:rFonts w:ascii="Arial" w:hAnsi="Arial"/>
          <w:color w:val="auto"/>
        </w:rPr>
        <w:t xml:space="preserve"> complete understanding of population exposure in Australia would involve significant investment. However, </w:t>
      </w:r>
      <w:r w:rsidR="00271378" w:rsidRPr="007428E2">
        <w:rPr>
          <w:rFonts w:ascii="Arial" w:hAnsi="Arial"/>
          <w:color w:val="auto"/>
        </w:rPr>
        <w:t xml:space="preserve">undertaking </w:t>
      </w:r>
      <w:r w:rsidR="00CC725A" w:rsidRPr="007428E2">
        <w:rPr>
          <w:rFonts w:ascii="Arial" w:hAnsi="Arial"/>
          <w:color w:val="auto"/>
        </w:rPr>
        <w:t>first step</w:t>
      </w:r>
      <w:r w:rsidR="00DD7753" w:rsidRPr="007428E2">
        <w:rPr>
          <w:rFonts w:ascii="Arial" w:hAnsi="Arial"/>
          <w:color w:val="auto"/>
        </w:rPr>
        <w:t>s</w:t>
      </w:r>
      <w:r w:rsidR="00CC725A" w:rsidRPr="007428E2">
        <w:rPr>
          <w:rFonts w:ascii="Arial" w:hAnsi="Arial"/>
          <w:color w:val="auto"/>
        </w:rPr>
        <w:t xml:space="preserve"> towards characterising exposure based on the existing monitoring network would require little or no investment on the part of the jurisdictions. </w:t>
      </w:r>
      <w:r w:rsidR="00046416" w:rsidRPr="007428E2">
        <w:rPr>
          <w:rFonts w:ascii="Arial" w:hAnsi="Arial"/>
          <w:color w:val="auto"/>
        </w:rPr>
        <w:t>T</w:t>
      </w:r>
      <w:r w:rsidR="00CC725A" w:rsidRPr="007428E2">
        <w:rPr>
          <w:rFonts w:ascii="Arial" w:hAnsi="Arial"/>
          <w:color w:val="auto"/>
        </w:rPr>
        <w:t xml:space="preserve">he robustness of the exposure index in a given jurisdiction </w:t>
      </w:r>
      <w:r w:rsidR="00E06B7E" w:rsidRPr="007428E2">
        <w:rPr>
          <w:rFonts w:ascii="Arial" w:hAnsi="Arial"/>
          <w:color w:val="auto"/>
        </w:rPr>
        <w:t xml:space="preserve">will </w:t>
      </w:r>
      <w:r w:rsidR="00CC725A" w:rsidRPr="007428E2">
        <w:rPr>
          <w:rFonts w:ascii="Arial" w:hAnsi="Arial"/>
          <w:color w:val="auto"/>
        </w:rPr>
        <w:t xml:space="preserve">increase </w:t>
      </w:r>
      <w:r w:rsidR="00E06B7E" w:rsidRPr="007428E2">
        <w:rPr>
          <w:rFonts w:ascii="Arial" w:hAnsi="Arial"/>
          <w:color w:val="auto"/>
        </w:rPr>
        <w:t xml:space="preserve">as </w:t>
      </w:r>
      <w:r w:rsidR="00CC725A" w:rsidRPr="007428E2">
        <w:rPr>
          <w:rFonts w:ascii="Arial" w:hAnsi="Arial"/>
          <w:color w:val="auto"/>
        </w:rPr>
        <w:t>jurisdiction</w:t>
      </w:r>
      <w:r w:rsidR="00E06B7E" w:rsidRPr="007428E2">
        <w:rPr>
          <w:rFonts w:ascii="Arial" w:hAnsi="Arial"/>
          <w:color w:val="auto"/>
        </w:rPr>
        <w:t>s</w:t>
      </w:r>
      <w:r w:rsidR="00CC725A" w:rsidRPr="007428E2">
        <w:rPr>
          <w:rFonts w:ascii="Arial" w:hAnsi="Arial"/>
          <w:color w:val="auto"/>
        </w:rPr>
        <w:t xml:space="preserve"> monitor PM</w:t>
      </w:r>
      <w:r w:rsidR="00CC725A" w:rsidRPr="007428E2">
        <w:rPr>
          <w:rFonts w:ascii="Arial" w:hAnsi="Arial"/>
          <w:color w:val="auto"/>
          <w:vertAlign w:val="subscript"/>
        </w:rPr>
        <w:t>2.5</w:t>
      </w:r>
      <w:r w:rsidR="00CC725A" w:rsidRPr="007428E2">
        <w:rPr>
          <w:rFonts w:ascii="Arial" w:hAnsi="Arial"/>
          <w:color w:val="auto"/>
        </w:rPr>
        <w:t xml:space="preserve"> at more sites</w:t>
      </w:r>
      <w:r w:rsidR="002F0C15" w:rsidRPr="007428E2">
        <w:rPr>
          <w:rFonts w:ascii="Arial" w:hAnsi="Arial"/>
          <w:color w:val="auto"/>
        </w:rPr>
        <w:t>.</w:t>
      </w:r>
    </w:p>
    <w:p w:rsidR="007366ED" w:rsidRPr="007428E2" w:rsidRDefault="007366ED" w:rsidP="00AA0C0D">
      <w:pPr>
        <w:pStyle w:val="ES1"/>
        <w:pageBreakBefore/>
        <w:spacing w:after="200"/>
        <w:rPr>
          <w:rFonts w:ascii="Arial" w:hAnsi="Arial" w:cs="Arial"/>
        </w:rPr>
      </w:pPr>
      <w:r w:rsidRPr="007428E2">
        <w:rPr>
          <w:rFonts w:ascii="Arial" w:hAnsi="Arial" w:cs="Arial"/>
        </w:rPr>
        <w:lastRenderedPageBreak/>
        <w:t>Impact analysis</w:t>
      </w:r>
    </w:p>
    <w:p w:rsidR="002F0C15" w:rsidRPr="006574FD" w:rsidRDefault="002F0C15" w:rsidP="00AA0C0D">
      <w:pPr>
        <w:pStyle w:val="ES2"/>
        <w:spacing w:after="120"/>
        <w:rPr>
          <w:rFonts w:ascii="Arial" w:hAnsi="Arial" w:cs="Arial"/>
        </w:rPr>
      </w:pPr>
      <w:r w:rsidRPr="006574FD">
        <w:rPr>
          <w:rFonts w:ascii="Arial" w:hAnsi="Arial" w:cs="Arial"/>
        </w:rPr>
        <w:t>Analysis of monitoring data</w:t>
      </w:r>
    </w:p>
    <w:p w:rsidR="002F0C15" w:rsidRPr="007428E2" w:rsidRDefault="002F0C15" w:rsidP="00AA0C0D">
      <w:pPr>
        <w:pStyle w:val="ES3"/>
        <w:spacing w:after="120"/>
        <w:rPr>
          <w:rFonts w:ascii="Arial" w:hAnsi="Arial" w:cs="Arial"/>
          <w:i w:val="0"/>
        </w:rPr>
      </w:pPr>
      <w:r w:rsidRPr="007428E2">
        <w:rPr>
          <w:rFonts w:ascii="Arial" w:hAnsi="Arial" w:cs="Arial"/>
          <w:i w:val="0"/>
        </w:rPr>
        <w:t>Numerical values of sta</w:t>
      </w:r>
      <w:r w:rsidR="00C12EC2" w:rsidRPr="007428E2">
        <w:rPr>
          <w:rFonts w:ascii="Arial" w:hAnsi="Arial" w:cs="Arial"/>
          <w:i w:val="0"/>
        </w:rPr>
        <w:t>n</w:t>
      </w:r>
      <w:r w:rsidRPr="007428E2">
        <w:rPr>
          <w:rFonts w:ascii="Arial" w:hAnsi="Arial" w:cs="Arial"/>
          <w:i w:val="0"/>
        </w:rPr>
        <w:t>dards</w:t>
      </w:r>
    </w:p>
    <w:p w:rsidR="002F0C15" w:rsidRPr="007428E2" w:rsidRDefault="00753818" w:rsidP="007C48C4">
      <w:pPr>
        <w:rPr>
          <w:rFonts w:ascii="Arial" w:hAnsi="Arial" w:cs="Arial"/>
        </w:rPr>
      </w:pPr>
      <w:r w:rsidRPr="007428E2">
        <w:rPr>
          <w:rFonts w:ascii="Arial" w:hAnsi="Arial" w:cs="Arial"/>
        </w:rPr>
        <w:t>I</w:t>
      </w:r>
      <w:r w:rsidR="00C12EC2" w:rsidRPr="007428E2">
        <w:rPr>
          <w:rFonts w:ascii="Arial" w:hAnsi="Arial" w:cs="Arial"/>
        </w:rPr>
        <w:t xml:space="preserve">t </w:t>
      </w:r>
      <w:r w:rsidRPr="007428E2">
        <w:rPr>
          <w:rFonts w:ascii="Arial" w:hAnsi="Arial" w:cs="Arial"/>
        </w:rPr>
        <w:t xml:space="preserve">is </w:t>
      </w:r>
      <w:r w:rsidR="00C12EC2" w:rsidRPr="007428E2">
        <w:rPr>
          <w:rFonts w:ascii="Arial" w:hAnsi="Arial" w:cs="Arial"/>
        </w:rPr>
        <w:t xml:space="preserve">important to </w:t>
      </w:r>
      <w:r w:rsidRPr="007428E2">
        <w:rPr>
          <w:rFonts w:ascii="Arial" w:hAnsi="Arial" w:cs="Arial"/>
        </w:rPr>
        <w:t xml:space="preserve">consider </w:t>
      </w:r>
      <w:r w:rsidR="00C12EC2" w:rsidRPr="007428E2">
        <w:rPr>
          <w:rFonts w:ascii="Arial" w:hAnsi="Arial" w:cs="Arial"/>
        </w:rPr>
        <w:t xml:space="preserve">the achievability of the various options for varying the </w:t>
      </w:r>
      <w:r w:rsidR="00EF24F8" w:rsidRPr="007428E2">
        <w:rPr>
          <w:rFonts w:ascii="Arial" w:hAnsi="Arial" w:cs="Arial"/>
        </w:rPr>
        <w:t>AAQ NEPM</w:t>
      </w:r>
      <w:r w:rsidR="00C12EC2" w:rsidRPr="007428E2">
        <w:rPr>
          <w:rFonts w:ascii="Arial" w:hAnsi="Arial" w:cs="Arial"/>
        </w:rPr>
        <w:t>. The impact analysis</w:t>
      </w:r>
      <w:r w:rsidR="002F0C15" w:rsidRPr="007428E2">
        <w:rPr>
          <w:rFonts w:ascii="Arial" w:hAnsi="Arial" w:cs="Arial"/>
        </w:rPr>
        <w:t xml:space="preserve"> explore</w:t>
      </w:r>
      <w:r w:rsidR="006B0EAA" w:rsidRPr="007428E2">
        <w:rPr>
          <w:rFonts w:ascii="Arial" w:hAnsi="Arial" w:cs="Arial"/>
        </w:rPr>
        <w:t>s</w:t>
      </w:r>
      <w:r w:rsidR="002F0C15" w:rsidRPr="007428E2">
        <w:rPr>
          <w:rFonts w:ascii="Arial" w:hAnsi="Arial" w:cs="Arial"/>
        </w:rPr>
        <w:t xml:space="preserve"> the achievability of the different options and sub-options across</w:t>
      </w:r>
      <w:r w:rsidR="00C12EC2" w:rsidRPr="007428E2">
        <w:rPr>
          <w:rFonts w:ascii="Arial" w:hAnsi="Arial" w:cs="Arial"/>
        </w:rPr>
        <w:t xml:space="preserve"> Australia with respect to the historical data </w:t>
      </w:r>
      <w:r w:rsidR="00B3354B" w:rsidRPr="007428E2">
        <w:rPr>
          <w:rFonts w:ascii="Arial" w:hAnsi="Arial" w:cs="Arial"/>
        </w:rPr>
        <w:t>(for 2003</w:t>
      </w:r>
      <w:r w:rsidR="00DD7753" w:rsidRPr="007428E2">
        <w:rPr>
          <w:rFonts w:ascii="Arial" w:hAnsi="Arial" w:cs="Arial"/>
        </w:rPr>
        <w:t>–</w:t>
      </w:r>
      <w:r w:rsidR="00B3354B" w:rsidRPr="007428E2">
        <w:rPr>
          <w:rFonts w:ascii="Arial" w:hAnsi="Arial" w:cs="Arial"/>
        </w:rPr>
        <w:t xml:space="preserve">2012) </w:t>
      </w:r>
      <w:r w:rsidR="00C12EC2" w:rsidRPr="007428E2">
        <w:rPr>
          <w:rFonts w:ascii="Arial" w:hAnsi="Arial" w:cs="Arial"/>
        </w:rPr>
        <w:t xml:space="preserve">and trends. </w:t>
      </w:r>
      <w:r w:rsidR="002F0C15" w:rsidRPr="007428E2">
        <w:rPr>
          <w:rFonts w:ascii="Arial" w:hAnsi="Arial" w:cs="Arial"/>
        </w:rPr>
        <w:t>Achi</w:t>
      </w:r>
      <w:r w:rsidR="00C12EC2" w:rsidRPr="007428E2">
        <w:rPr>
          <w:rFonts w:ascii="Arial" w:hAnsi="Arial" w:cs="Arial"/>
        </w:rPr>
        <w:t xml:space="preserve">evability was </w:t>
      </w:r>
      <w:r w:rsidR="002F0C15" w:rsidRPr="007428E2">
        <w:rPr>
          <w:rFonts w:ascii="Arial" w:hAnsi="Arial" w:cs="Arial"/>
        </w:rPr>
        <w:t>judged in terms of the likelihood that concentrations will meet a given standard/goal within a reasonable time period, based on th</w:t>
      </w:r>
      <w:r w:rsidR="00C12EC2" w:rsidRPr="007428E2">
        <w:rPr>
          <w:rFonts w:ascii="Arial" w:hAnsi="Arial" w:cs="Arial"/>
        </w:rPr>
        <w:t>e historical trends. This work wa</w:t>
      </w:r>
      <w:r w:rsidR="002F0C15" w:rsidRPr="007428E2">
        <w:rPr>
          <w:rFonts w:ascii="Arial" w:hAnsi="Arial" w:cs="Arial"/>
        </w:rPr>
        <w:t>s complementary to the assessment that was conducted for future concentrations in the Economic Analysis project.</w:t>
      </w:r>
    </w:p>
    <w:p w:rsidR="002F0C15" w:rsidRPr="007428E2" w:rsidRDefault="00C12EC2" w:rsidP="007C48C4">
      <w:pPr>
        <w:rPr>
          <w:rFonts w:ascii="Arial" w:hAnsi="Arial" w:cs="Arial"/>
        </w:rPr>
      </w:pPr>
      <w:r w:rsidRPr="007428E2">
        <w:rPr>
          <w:rFonts w:ascii="Arial" w:hAnsi="Arial" w:cs="Arial"/>
        </w:rPr>
        <w:t xml:space="preserve">In the Economic Analysis </w:t>
      </w:r>
      <w:r w:rsidR="002F0C15" w:rsidRPr="007428E2">
        <w:rPr>
          <w:rFonts w:ascii="Arial" w:hAnsi="Arial" w:cs="Arial"/>
        </w:rPr>
        <w:t>some options were found to be unfeasible in most jurisdictions because the standard was very close to, or below, the regional background concentration. Such conclusions were based on broad generalisations about PM composition which were made to ensure a consistent approach across jurisdictions. The distinction between different PM com</w:t>
      </w:r>
      <w:r w:rsidRPr="007428E2">
        <w:rPr>
          <w:rFonts w:ascii="Arial" w:hAnsi="Arial" w:cs="Arial"/>
        </w:rPr>
        <w:t>ponents w</w:t>
      </w:r>
      <w:r w:rsidR="007A0626" w:rsidRPr="007428E2">
        <w:rPr>
          <w:rFonts w:ascii="Arial" w:hAnsi="Arial" w:cs="Arial"/>
        </w:rPr>
        <w:t xml:space="preserve">as not </w:t>
      </w:r>
      <w:r w:rsidR="002F0C15" w:rsidRPr="007428E2">
        <w:rPr>
          <w:rFonts w:ascii="Arial" w:hAnsi="Arial" w:cs="Arial"/>
        </w:rPr>
        <w:t xml:space="preserve">explicitly considered in the </w:t>
      </w:r>
      <w:r w:rsidRPr="007428E2">
        <w:rPr>
          <w:rFonts w:ascii="Arial" w:hAnsi="Arial" w:cs="Arial"/>
        </w:rPr>
        <w:t xml:space="preserve">impact </w:t>
      </w:r>
      <w:r w:rsidR="002F0C15" w:rsidRPr="007428E2">
        <w:rPr>
          <w:rFonts w:ascii="Arial" w:hAnsi="Arial" w:cs="Arial"/>
        </w:rPr>
        <w:t>analys</w:t>
      </w:r>
      <w:r w:rsidRPr="007428E2">
        <w:rPr>
          <w:rFonts w:ascii="Arial" w:hAnsi="Arial" w:cs="Arial"/>
        </w:rPr>
        <w:t>is</w:t>
      </w:r>
      <w:r w:rsidR="002F0C15" w:rsidRPr="007428E2">
        <w:rPr>
          <w:rFonts w:ascii="Arial" w:hAnsi="Arial" w:cs="Arial"/>
        </w:rPr>
        <w:t>, as insufficient local data on PM composition were available in all jurisdictions. Howeve</w:t>
      </w:r>
      <w:r w:rsidRPr="007428E2">
        <w:rPr>
          <w:rFonts w:ascii="Arial" w:hAnsi="Arial" w:cs="Arial"/>
        </w:rPr>
        <w:t>r, the different PM components we</w:t>
      </w:r>
      <w:r w:rsidR="007A0626" w:rsidRPr="007428E2">
        <w:rPr>
          <w:rFonts w:ascii="Arial" w:hAnsi="Arial" w:cs="Arial"/>
        </w:rPr>
        <w:t>re impli</w:t>
      </w:r>
      <w:r w:rsidR="002F0C15" w:rsidRPr="007428E2">
        <w:rPr>
          <w:rFonts w:ascii="Arial" w:hAnsi="Arial" w:cs="Arial"/>
        </w:rPr>
        <w:t>citly included in the measurements.</w:t>
      </w:r>
    </w:p>
    <w:p w:rsidR="007366ED" w:rsidRPr="007428E2" w:rsidRDefault="000301E8" w:rsidP="007C48C4">
      <w:pPr>
        <w:pStyle w:val="BulletArrows"/>
        <w:spacing w:after="240"/>
        <w:rPr>
          <w:rFonts w:ascii="Arial" w:hAnsi="Arial"/>
          <w:color w:val="auto"/>
          <w:szCs w:val="18"/>
        </w:rPr>
      </w:pPr>
      <w:r w:rsidRPr="007428E2">
        <w:rPr>
          <w:rFonts w:ascii="Arial" w:hAnsi="Arial"/>
          <w:color w:val="auto"/>
          <w:szCs w:val="18"/>
        </w:rPr>
        <w:t xml:space="preserve">The literature on health suggests </w:t>
      </w:r>
      <w:r w:rsidR="00C12EC2" w:rsidRPr="007428E2">
        <w:rPr>
          <w:rFonts w:ascii="Arial" w:hAnsi="Arial"/>
          <w:color w:val="auto"/>
          <w:szCs w:val="18"/>
        </w:rPr>
        <w:t>that it</w:t>
      </w:r>
      <w:r w:rsidR="007366ED" w:rsidRPr="007428E2">
        <w:rPr>
          <w:rFonts w:ascii="Arial" w:hAnsi="Arial"/>
          <w:color w:val="auto"/>
          <w:szCs w:val="18"/>
        </w:rPr>
        <w:t xml:space="preserve"> would be advisable to include an annual mean standard for PM</w:t>
      </w:r>
      <w:r w:rsidR="007366ED" w:rsidRPr="007428E2">
        <w:rPr>
          <w:rFonts w:ascii="Arial" w:hAnsi="Arial"/>
          <w:color w:val="auto"/>
          <w:szCs w:val="18"/>
          <w:vertAlign w:val="subscript"/>
        </w:rPr>
        <w:t>10</w:t>
      </w:r>
      <w:r w:rsidR="007366ED" w:rsidRPr="007428E2">
        <w:rPr>
          <w:rFonts w:ascii="Arial" w:hAnsi="Arial"/>
          <w:color w:val="auto"/>
          <w:szCs w:val="18"/>
        </w:rPr>
        <w:t xml:space="preserve"> in the </w:t>
      </w:r>
      <w:r w:rsidR="00EF24F8" w:rsidRPr="007428E2">
        <w:rPr>
          <w:rFonts w:ascii="Arial" w:hAnsi="Arial"/>
          <w:color w:val="auto"/>
          <w:szCs w:val="18"/>
        </w:rPr>
        <w:t>AAQ NEPM</w:t>
      </w:r>
      <w:r w:rsidR="007366ED" w:rsidRPr="007428E2">
        <w:rPr>
          <w:rFonts w:ascii="Arial" w:hAnsi="Arial"/>
          <w:color w:val="auto"/>
          <w:szCs w:val="18"/>
        </w:rPr>
        <w:t xml:space="preserve">. The monitoring data and the future projections from the Economic Analysis indicate that a value for the standard of 20 </w:t>
      </w:r>
      <w:proofErr w:type="spellStart"/>
      <w:r w:rsidR="007366ED" w:rsidRPr="007428E2">
        <w:rPr>
          <w:rFonts w:ascii="Arial" w:hAnsi="Arial"/>
          <w:color w:val="auto"/>
          <w:szCs w:val="18"/>
        </w:rPr>
        <w:t>μg</w:t>
      </w:r>
      <w:proofErr w:type="spellEnd"/>
      <w:r w:rsidR="007366ED" w:rsidRPr="007428E2">
        <w:rPr>
          <w:rFonts w:ascii="Arial" w:hAnsi="Arial"/>
          <w:color w:val="auto"/>
          <w:szCs w:val="18"/>
        </w:rPr>
        <w:t>/m</w:t>
      </w:r>
      <w:r w:rsidR="007366ED" w:rsidRPr="007428E2">
        <w:rPr>
          <w:rFonts w:ascii="Arial" w:hAnsi="Arial"/>
          <w:color w:val="auto"/>
          <w:szCs w:val="18"/>
          <w:vertAlign w:val="superscript"/>
        </w:rPr>
        <w:t>3</w:t>
      </w:r>
      <w:r w:rsidR="007366ED" w:rsidRPr="007428E2">
        <w:rPr>
          <w:rFonts w:ascii="Arial" w:hAnsi="Arial"/>
          <w:color w:val="auto"/>
          <w:szCs w:val="18"/>
        </w:rPr>
        <w:t xml:space="preserve"> </w:t>
      </w:r>
      <w:r w:rsidR="00C03CF3" w:rsidRPr="007428E2">
        <w:rPr>
          <w:rFonts w:ascii="Arial" w:hAnsi="Arial"/>
          <w:color w:val="auto"/>
          <w:szCs w:val="18"/>
        </w:rPr>
        <w:t xml:space="preserve">could </w:t>
      </w:r>
      <w:r w:rsidR="007366ED" w:rsidRPr="007428E2">
        <w:rPr>
          <w:rFonts w:ascii="Arial" w:hAnsi="Arial"/>
          <w:color w:val="auto"/>
          <w:szCs w:val="18"/>
        </w:rPr>
        <w:t xml:space="preserve">be </w:t>
      </w:r>
      <w:r w:rsidR="00753818" w:rsidRPr="007428E2">
        <w:rPr>
          <w:rFonts w:ascii="Arial" w:hAnsi="Arial"/>
          <w:color w:val="auto"/>
          <w:szCs w:val="18"/>
        </w:rPr>
        <w:t>achievable and economic</w:t>
      </w:r>
      <w:r w:rsidR="006B0EAA" w:rsidRPr="007428E2">
        <w:rPr>
          <w:rFonts w:ascii="Arial" w:hAnsi="Arial"/>
          <w:color w:val="auto"/>
          <w:szCs w:val="18"/>
        </w:rPr>
        <w:t>ally beneficial</w:t>
      </w:r>
      <w:r w:rsidR="007366ED" w:rsidRPr="007428E2">
        <w:rPr>
          <w:rFonts w:ascii="Arial" w:hAnsi="Arial"/>
          <w:color w:val="auto"/>
          <w:szCs w:val="18"/>
        </w:rPr>
        <w:t>.</w:t>
      </w:r>
    </w:p>
    <w:p w:rsidR="007366ED" w:rsidRPr="007428E2" w:rsidRDefault="007366ED" w:rsidP="007C48C4">
      <w:pPr>
        <w:pStyle w:val="BulletArrows"/>
        <w:spacing w:after="240"/>
        <w:rPr>
          <w:rFonts w:ascii="Arial" w:hAnsi="Arial"/>
          <w:color w:val="auto"/>
          <w:szCs w:val="18"/>
        </w:rPr>
      </w:pPr>
      <w:r w:rsidRPr="007428E2">
        <w:rPr>
          <w:rFonts w:ascii="Arial" w:hAnsi="Arial"/>
          <w:color w:val="auto"/>
          <w:szCs w:val="18"/>
        </w:rPr>
        <w:t>The PM</w:t>
      </w:r>
      <w:r w:rsidRPr="007428E2">
        <w:rPr>
          <w:rFonts w:ascii="Arial" w:hAnsi="Arial"/>
          <w:color w:val="auto"/>
          <w:szCs w:val="18"/>
          <w:vertAlign w:val="subscript"/>
        </w:rPr>
        <w:t>10</w:t>
      </w:r>
      <w:r w:rsidRPr="007428E2">
        <w:rPr>
          <w:rFonts w:ascii="Arial" w:hAnsi="Arial"/>
          <w:color w:val="auto"/>
          <w:szCs w:val="18"/>
        </w:rPr>
        <w:t xml:space="preserve"> monitoring data </w:t>
      </w:r>
      <w:r w:rsidR="007831E5" w:rsidRPr="007428E2">
        <w:rPr>
          <w:rFonts w:ascii="Arial" w:hAnsi="Arial"/>
          <w:color w:val="auto"/>
          <w:szCs w:val="18"/>
        </w:rPr>
        <w:t>(</w:t>
      </w:r>
      <w:r w:rsidRPr="007428E2">
        <w:rPr>
          <w:rFonts w:ascii="Arial" w:hAnsi="Arial"/>
          <w:color w:val="auto"/>
          <w:szCs w:val="18"/>
        </w:rPr>
        <w:t>and the Economic Analysis</w:t>
      </w:r>
      <w:r w:rsidR="007831E5" w:rsidRPr="007428E2">
        <w:rPr>
          <w:rFonts w:ascii="Arial" w:hAnsi="Arial"/>
          <w:color w:val="auto"/>
          <w:szCs w:val="18"/>
        </w:rPr>
        <w:t>)</w:t>
      </w:r>
      <w:r w:rsidRPr="007428E2">
        <w:rPr>
          <w:rFonts w:ascii="Arial" w:hAnsi="Arial"/>
          <w:color w:val="auto"/>
          <w:szCs w:val="18"/>
        </w:rPr>
        <w:t xml:space="preserve"> indicate that a tightening of the 24-hour standard for PM</w:t>
      </w:r>
      <w:r w:rsidRPr="007428E2">
        <w:rPr>
          <w:rFonts w:ascii="Arial" w:hAnsi="Arial"/>
          <w:color w:val="auto"/>
          <w:szCs w:val="18"/>
          <w:vertAlign w:val="subscript"/>
        </w:rPr>
        <w:t>10</w:t>
      </w:r>
      <w:r w:rsidRPr="007428E2">
        <w:rPr>
          <w:rFonts w:ascii="Arial" w:hAnsi="Arial"/>
          <w:color w:val="auto"/>
          <w:szCs w:val="18"/>
        </w:rPr>
        <w:t xml:space="preserve"> (currently 50 </w:t>
      </w:r>
      <w:proofErr w:type="spellStart"/>
      <w:r w:rsidRPr="007428E2">
        <w:rPr>
          <w:rFonts w:ascii="Arial" w:hAnsi="Arial"/>
          <w:color w:val="auto"/>
          <w:szCs w:val="18"/>
        </w:rPr>
        <w:t>μg</w:t>
      </w:r>
      <w:proofErr w:type="spellEnd"/>
      <w:r w:rsidRPr="007428E2">
        <w:rPr>
          <w:rFonts w:ascii="Arial" w:hAnsi="Arial"/>
          <w:color w:val="auto"/>
          <w:szCs w:val="18"/>
        </w:rPr>
        <w:t>/m</w:t>
      </w:r>
      <w:r w:rsidRPr="007428E2">
        <w:rPr>
          <w:rFonts w:ascii="Arial" w:hAnsi="Arial"/>
          <w:color w:val="auto"/>
          <w:szCs w:val="18"/>
          <w:vertAlign w:val="superscript"/>
        </w:rPr>
        <w:t>3</w:t>
      </w:r>
      <w:r w:rsidRPr="007428E2">
        <w:rPr>
          <w:rFonts w:ascii="Arial" w:hAnsi="Arial"/>
          <w:color w:val="auto"/>
          <w:szCs w:val="18"/>
        </w:rPr>
        <w:t xml:space="preserve">) </w:t>
      </w:r>
      <w:r w:rsidR="00753818" w:rsidRPr="007428E2">
        <w:rPr>
          <w:rFonts w:ascii="Arial" w:hAnsi="Arial"/>
          <w:color w:val="auto"/>
          <w:szCs w:val="18"/>
        </w:rPr>
        <w:t xml:space="preserve">could </w:t>
      </w:r>
      <w:r w:rsidRPr="007428E2">
        <w:rPr>
          <w:rFonts w:ascii="Arial" w:hAnsi="Arial"/>
          <w:color w:val="auto"/>
          <w:szCs w:val="18"/>
        </w:rPr>
        <w:t>encourage future improvements in air quality.</w:t>
      </w:r>
    </w:p>
    <w:p w:rsidR="007366ED" w:rsidRPr="007428E2" w:rsidRDefault="007366ED" w:rsidP="007C48C4">
      <w:pPr>
        <w:pStyle w:val="BulletArrows"/>
        <w:spacing w:after="240"/>
        <w:rPr>
          <w:rFonts w:ascii="Arial" w:hAnsi="Arial"/>
          <w:color w:val="auto"/>
          <w:szCs w:val="18"/>
        </w:rPr>
      </w:pPr>
      <w:r w:rsidRPr="007428E2">
        <w:rPr>
          <w:rFonts w:ascii="Arial" w:hAnsi="Arial"/>
          <w:color w:val="auto"/>
          <w:szCs w:val="18"/>
        </w:rPr>
        <w:t>For annual mean PM</w:t>
      </w:r>
      <w:r w:rsidRPr="007428E2">
        <w:rPr>
          <w:rFonts w:ascii="Arial" w:hAnsi="Arial"/>
          <w:color w:val="auto"/>
          <w:szCs w:val="18"/>
          <w:vertAlign w:val="subscript"/>
        </w:rPr>
        <w:t>2.5</w:t>
      </w:r>
      <w:r w:rsidRPr="007428E2">
        <w:rPr>
          <w:rFonts w:ascii="Arial" w:hAnsi="Arial"/>
          <w:color w:val="auto"/>
          <w:szCs w:val="18"/>
        </w:rPr>
        <w:t xml:space="preserve"> the monitoring data </w:t>
      </w:r>
      <w:r w:rsidR="007831E5" w:rsidRPr="007428E2">
        <w:rPr>
          <w:rFonts w:ascii="Arial" w:hAnsi="Arial"/>
          <w:color w:val="auto"/>
          <w:szCs w:val="18"/>
        </w:rPr>
        <w:t>(</w:t>
      </w:r>
      <w:r w:rsidRPr="007428E2">
        <w:rPr>
          <w:rFonts w:ascii="Arial" w:hAnsi="Arial"/>
          <w:color w:val="auto"/>
          <w:szCs w:val="18"/>
        </w:rPr>
        <w:t>and the Economic Analysis</w:t>
      </w:r>
      <w:r w:rsidR="007831E5" w:rsidRPr="007428E2">
        <w:rPr>
          <w:rFonts w:ascii="Arial" w:hAnsi="Arial"/>
          <w:color w:val="auto"/>
          <w:szCs w:val="18"/>
        </w:rPr>
        <w:t>)</w:t>
      </w:r>
      <w:r w:rsidRPr="007428E2">
        <w:rPr>
          <w:rFonts w:ascii="Arial" w:hAnsi="Arial"/>
          <w:color w:val="auto"/>
          <w:szCs w:val="18"/>
        </w:rPr>
        <w:t xml:space="preserve"> indicate that a value for the standard of 8 </w:t>
      </w:r>
      <w:proofErr w:type="spellStart"/>
      <w:r w:rsidRPr="007428E2">
        <w:rPr>
          <w:rFonts w:ascii="Arial" w:hAnsi="Arial"/>
          <w:color w:val="auto"/>
          <w:szCs w:val="18"/>
        </w:rPr>
        <w:t>μg</w:t>
      </w:r>
      <w:proofErr w:type="spellEnd"/>
      <w:r w:rsidRPr="007428E2">
        <w:rPr>
          <w:rFonts w:ascii="Arial" w:hAnsi="Arial"/>
          <w:color w:val="auto"/>
          <w:szCs w:val="18"/>
        </w:rPr>
        <w:t>/m</w:t>
      </w:r>
      <w:r w:rsidRPr="007428E2">
        <w:rPr>
          <w:rFonts w:ascii="Arial" w:hAnsi="Arial"/>
          <w:color w:val="auto"/>
          <w:szCs w:val="18"/>
          <w:vertAlign w:val="superscript"/>
        </w:rPr>
        <w:t>3</w:t>
      </w:r>
      <w:r w:rsidRPr="007428E2">
        <w:rPr>
          <w:rFonts w:ascii="Arial" w:hAnsi="Arial"/>
          <w:color w:val="auto"/>
          <w:szCs w:val="18"/>
        </w:rPr>
        <w:t xml:space="preserve"> would be </w:t>
      </w:r>
      <w:r w:rsidR="00753818" w:rsidRPr="007428E2">
        <w:rPr>
          <w:rFonts w:ascii="Arial" w:hAnsi="Arial"/>
          <w:color w:val="auto"/>
          <w:szCs w:val="18"/>
        </w:rPr>
        <w:t>achievable and economic</w:t>
      </w:r>
      <w:r w:rsidR="006B0EAA" w:rsidRPr="007428E2">
        <w:rPr>
          <w:rFonts w:ascii="Arial" w:hAnsi="Arial"/>
          <w:color w:val="auto"/>
          <w:szCs w:val="18"/>
        </w:rPr>
        <w:t>ally beneficial</w:t>
      </w:r>
      <w:r w:rsidRPr="007428E2">
        <w:rPr>
          <w:rFonts w:ascii="Arial" w:hAnsi="Arial"/>
          <w:color w:val="auto"/>
          <w:szCs w:val="18"/>
        </w:rPr>
        <w:t>. Most jurisdictions are already complying with this on an average basis</w:t>
      </w:r>
      <w:r w:rsidR="00046416" w:rsidRPr="007428E2">
        <w:rPr>
          <w:rFonts w:ascii="Arial" w:hAnsi="Arial"/>
          <w:color w:val="auto"/>
          <w:szCs w:val="18"/>
        </w:rPr>
        <w:t>.</w:t>
      </w:r>
      <w:r w:rsidR="006B0EAA" w:rsidRPr="007428E2">
        <w:rPr>
          <w:rFonts w:ascii="Arial" w:hAnsi="Arial"/>
          <w:color w:val="auto"/>
          <w:szCs w:val="18"/>
        </w:rPr>
        <w:t xml:space="preserve"> </w:t>
      </w:r>
      <w:r w:rsidR="00046416" w:rsidRPr="007428E2">
        <w:rPr>
          <w:rFonts w:ascii="Arial" w:hAnsi="Arial"/>
          <w:color w:val="auto"/>
          <w:szCs w:val="18"/>
        </w:rPr>
        <w:t>A</w:t>
      </w:r>
      <w:r w:rsidRPr="007428E2">
        <w:rPr>
          <w:rFonts w:ascii="Arial" w:hAnsi="Arial"/>
          <w:color w:val="auto"/>
          <w:szCs w:val="18"/>
        </w:rPr>
        <w:t xml:space="preserve"> move to a standard of 6 </w:t>
      </w:r>
      <w:proofErr w:type="spellStart"/>
      <w:r w:rsidRPr="007428E2">
        <w:rPr>
          <w:rFonts w:ascii="Arial" w:hAnsi="Arial"/>
          <w:color w:val="auto"/>
          <w:szCs w:val="18"/>
        </w:rPr>
        <w:t>μg</w:t>
      </w:r>
      <w:proofErr w:type="spellEnd"/>
      <w:r w:rsidRPr="007428E2">
        <w:rPr>
          <w:rFonts w:ascii="Arial" w:hAnsi="Arial"/>
          <w:color w:val="auto"/>
          <w:szCs w:val="18"/>
        </w:rPr>
        <w:t>/m</w:t>
      </w:r>
      <w:r w:rsidRPr="007428E2">
        <w:rPr>
          <w:rFonts w:ascii="Arial" w:hAnsi="Arial"/>
          <w:color w:val="auto"/>
          <w:szCs w:val="18"/>
          <w:vertAlign w:val="superscript"/>
        </w:rPr>
        <w:t>3</w:t>
      </w:r>
      <w:r w:rsidRPr="007428E2">
        <w:rPr>
          <w:rFonts w:ascii="Arial" w:hAnsi="Arial"/>
          <w:color w:val="auto"/>
          <w:szCs w:val="18"/>
        </w:rPr>
        <w:t xml:space="preserve"> </w:t>
      </w:r>
      <w:r w:rsidR="00046416" w:rsidRPr="007428E2">
        <w:rPr>
          <w:rFonts w:ascii="Arial" w:hAnsi="Arial"/>
          <w:color w:val="auto"/>
          <w:szCs w:val="18"/>
        </w:rPr>
        <w:t xml:space="preserve">however, </w:t>
      </w:r>
      <w:r w:rsidRPr="007428E2">
        <w:rPr>
          <w:rFonts w:ascii="Arial" w:hAnsi="Arial"/>
          <w:color w:val="auto"/>
          <w:szCs w:val="18"/>
        </w:rPr>
        <w:t xml:space="preserve">would </w:t>
      </w:r>
      <w:r w:rsidR="006B0EAA" w:rsidRPr="007428E2">
        <w:rPr>
          <w:rFonts w:ascii="Arial" w:hAnsi="Arial"/>
          <w:color w:val="auto"/>
          <w:szCs w:val="18"/>
        </w:rPr>
        <w:t xml:space="preserve">appear unrealistic </w:t>
      </w:r>
      <w:r w:rsidR="00D15494" w:rsidRPr="007428E2">
        <w:rPr>
          <w:rFonts w:ascii="Arial" w:hAnsi="Arial"/>
          <w:color w:val="auto"/>
          <w:szCs w:val="18"/>
        </w:rPr>
        <w:t xml:space="preserve">given </w:t>
      </w:r>
      <w:r w:rsidR="00EC4D16" w:rsidRPr="007428E2">
        <w:rPr>
          <w:rFonts w:ascii="Arial" w:hAnsi="Arial"/>
          <w:color w:val="auto"/>
          <w:szCs w:val="18"/>
        </w:rPr>
        <w:t xml:space="preserve">the </w:t>
      </w:r>
      <w:r w:rsidR="000303A2" w:rsidRPr="007428E2">
        <w:rPr>
          <w:rFonts w:ascii="Arial" w:hAnsi="Arial"/>
          <w:color w:val="auto"/>
          <w:szCs w:val="18"/>
        </w:rPr>
        <w:t xml:space="preserve">background levels of air pollution, and the </w:t>
      </w:r>
      <w:r w:rsidR="00EC4D16" w:rsidRPr="007428E2">
        <w:rPr>
          <w:rFonts w:ascii="Arial" w:hAnsi="Arial"/>
          <w:color w:val="auto"/>
          <w:szCs w:val="18"/>
        </w:rPr>
        <w:t xml:space="preserve">projected growth in </w:t>
      </w:r>
      <w:r w:rsidR="00D15494" w:rsidRPr="007428E2">
        <w:rPr>
          <w:rFonts w:ascii="Arial" w:hAnsi="Arial"/>
          <w:color w:val="auto"/>
          <w:szCs w:val="18"/>
        </w:rPr>
        <w:t xml:space="preserve">population </w:t>
      </w:r>
      <w:r w:rsidR="00EC4D16" w:rsidRPr="007428E2">
        <w:rPr>
          <w:rFonts w:ascii="Arial" w:hAnsi="Arial"/>
          <w:color w:val="auto"/>
          <w:szCs w:val="18"/>
        </w:rPr>
        <w:t xml:space="preserve">and </w:t>
      </w:r>
      <w:r w:rsidR="00D15494" w:rsidRPr="007428E2">
        <w:rPr>
          <w:rFonts w:ascii="Arial" w:hAnsi="Arial"/>
          <w:color w:val="auto"/>
          <w:szCs w:val="18"/>
        </w:rPr>
        <w:t>emissions</w:t>
      </w:r>
      <w:r w:rsidRPr="007428E2">
        <w:rPr>
          <w:rFonts w:ascii="Arial" w:hAnsi="Arial"/>
          <w:color w:val="auto"/>
          <w:szCs w:val="18"/>
        </w:rPr>
        <w:t>.</w:t>
      </w:r>
    </w:p>
    <w:p w:rsidR="007366ED" w:rsidRPr="007428E2" w:rsidRDefault="007366ED" w:rsidP="00361D8C">
      <w:pPr>
        <w:pStyle w:val="BulletArrows"/>
        <w:spacing w:after="240"/>
        <w:rPr>
          <w:rFonts w:ascii="Arial" w:hAnsi="Arial"/>
          <w:color w:val="auto"/>
          <w:szCs w:val="18"/>
        </w:rPr>
      </w:pPr>
      <w:r w:rsidRPr="007428E2">
        <w:rPr>
          <w:rFonts w:ascii="Arial" w:hAnsi="Arial"/>
          <w:color w:val="auto"/>
          <w:szCs w:val="18"/>
        </w:rPr>
        <w:t>The PM</w:t>
      </w:r>
      <w:r w:rsidRPr="007428E2">
        <w:rPr>
          <w:rFonts w:ascii="Arial" w:hAnsi="Arial"/>
          <w:color w:val="auto"/>
          <w:szCs w:val="18"/>
          <w:vertAlign w:val="subscript"/>
        </w:rPr>
        <w:t>2.5</w:t>
      </w:r>
      <w:r w:rsidRPr="007428E2">
        <w:rPr>
          <w:rFonts w:ascii="Arial" w:hAnsi="Arial"/>
          <w:color w:val="auto"/>
          <w:szCs w:val="18"/>
        </w:rPr>
        <w:t xml:space="preserve"> monitoring data indicate that of the options for a 24-hour standard, the most realistic</w:t>
      </w:r>
      <w:r w:rsidR="00610BA8" w:rsidRPr="007428E2">
        <w:rPr>
          <w:rFonts w:ascii="Arial" w:hAnsi="Arial"/>
          <w:color w:val="auto"/>
          <w:szCs w:val="18"/>
        </w:rPr>
        <w:t>ally achievable</w:t>
      </w:r>
      <w:r w:rsidRPr="007428E2">
        <w:rPr>
          <w:rFonts w:ascii="Arial" w:hAnsi="Arial"/>
          <w:color w:val="auto"/>
          <w:szCs w:val="18"/>
        </w:rPr>
        <w:t xml:space="preserve"> approach would be to retain the 25 </w:t>
      </w:r>
      <w:proofErr w:type="spellStart"/>
      <w:r w:rsidRPr="007428E2">
        <w:rPr>
          <w:rFonts w:ascii="Arial" w:hAnsi="Arial"/>
          <w:color w:val="auto"/>
          <w:szCs w:val="18"/>
        </w:rPr>
        <w:t>μg</w:t>
      </w:r>
      <w:proofErr w:type="spellEnd"/>
      <w:r w:rsidRPr="007428E2">
        <w:rPr>
          <w:rFonts w:ascii="Arial" w:hAnsi="Arial"/>
          <w:color w:val="auto"/>
          <w:szCs w:val="18"/>
        </w:rPr>
        <w:t>/m</w:t>
      </w:r>
      <w:r w:rsidRPr="007428E2">
        <w:rPr>
          <w:rFonts w:ascii="Arial" w:hAnsi="Arial"/>
          <w:color w:val="auto"/>
          <w:szCs w:val="18"/>
          <w:vertAlign w:val="superscript"/>
        </w:rPr>
        <w:t>3</w:t>
      </w:r>
      <w:r w:rsidRPr="007428E2">
        <w:rPr>
          <w:rFonts w:ascii="Arial" w:hAnsi="Arial"/>
          <w:color w:val="auto"/>
          <w:szCs w:val="18"/>
        </w:rPr>
        <w:t xml:space="preserve"> standard.</w:t>
      </w:r>
    </w:p>
    <w:p w:rsidR="002F0C15" w:rsidRPr="006574FD" w:rsidRDefault="002F0C15" w:rsidP="002F0C15">
      <w:pPr>
        <w:pStyle w:val="ES3"/>
        <w:rPr>
          <w:rFonts w:ascii="Arial" w:hAnsi="Arial" w:cs="Arial"/>
        </w:rPr>
      </w:pPr>
      <w:r w:rsidRPr="006574FD">
        <w:rPr>
          <w:rFonts w:ascii="Arial" w:hAnsi="Arial" w:cs="Arial"/>
        </w:rPr>
        <w:t>Form of 24-hour standards</w:t>
      </w:r>
    </w:p>
    <w:p w:rsidR="0032203C" w:rsidRPr="007428E2" w:rsidRDefault="002F0C15" w:rsidP="00B3354B">
      <w:pPr>
        <w:pStyle w:val="BulletArrows"/>
        <w:spacing w:after="240"/>
        <w:rPr>
          <w:rFonts w:ascii="Arial" w:hAnsi="Arial"/>
          <w:color w:val="auto"/>
          <w:szCs w:val="18"/>
        </w:rPr>
      </w:pPr>
      <w:r w:rsidRPr="007428E2">
        <w:rPr>
          <w:rFonts w:ascii="Arial" w:hAnsi="Arial"/>
          <w:color w:val="auto"/>
        </w:rPr>
        <w:t xml:space="preserve">There is no </w:t>
      </w:r>
      <w:r w:rsidR="00595075" w:rsidRPr="007428E2">
        <w:rPr>
          <w:rFonts w:ascii="Arial" w:hAnsi="Arial"/>
          <w:color w:val="auto"/>
        </w:rPr>
        <w:t xml:space="preserve">single </w:t>
      </w:r>
      <w:r w:rsidRPr="007428E2">
        <w:rPr>
          <w:rFonts w:ascii="Arial" w:hAnsi="Arial"/>
          <w:color w:val="auto"/>
        </w:rPr>
        <w:t>analysis that can be done to confirm whether any one form of a 24-hour standard is systematically ‘better’ than any other form of the standard. The most suitable form depends on the objective of the monitoring and the required level of stringency.</w:t>
      </w:r>
      <w:r w:rsidR="007A0626" w:rsidRPr="007428E2">
        <w:rPr>
          <w:rFonts w:ascii="Arial" w:hAnsi="Arial"/>
          <w:color w:val="auto"/>
          <w:szCs w:val="18"/>
        </w:rPr>
        <w:t xml:space="preserve"> </w:t>
      </w:r>
      <w:r w:rsidR="00325FBD" w:rsidRPr="007428E2">
        <w:rPr>
          <w:rFonts w:ascii="Arial" w:hAnsi="Arial"/>
          <w:color w:val="auto"/>
          <w:szCs w:val="18"/>
        </w:rPr>
        <w:t>It is likely that the jurisdictions will want to identify local issues that affect the form of the standards, and therefore this issue has been left for the consultation phase.</w:t>
      </w:r>
    </w:p>
    <w:p w:rsidR="00B3354B" w:rsidRPr="007428E2" w:rsidRDefault="00B3354B" w:rsidP="00B3354B">
      <w:pPr>
        <w:rPr>
          <w:rFonts w:ascii="Arial" w:hAnsi="Arial" w:cs="Arial"/>
        </w:rPr>
      </w:pPr>
      <w:r w:rsidRPr="007428E2">
        <w:rPr>
          <w:rFonts w:ascii="Arial" w:hAnsi="Arial" w:cs="Arial"/>
        </w:rPr>
        <w:t xml:space="preserve">The current approach used in the AAQ NEPM – a fixed number of allowed exceedances per year – is straightforward in terms of definition and application, but is arbitrary in nature. It is also difficult to compare results across jurisdictions. For example, the geographical size of Australia means that there are very different climatic influences on PM concentrations in different jurisdictions, and the scale of human activity is vastly different in say, Sydney and Darwin. </w:t>
      </w:r>
      <w:r w:rsidR="00342A0E" w:rsidRPr="007428E2">
        <w:rPr>
          <w:rFonts w:ascii="Arial" w:hAnsi="Arial" w:cs="Arial"/>
        </w:rPr>
        <w:t>T</w:t>
      </w:r>
      <w:r w:rsidRPr="007428E2">
        <w:rPr>
          <w:rFonts w:ascii="Arial" w:hAnsi="Arial" w:cs="Arial"/>
        </w:rPr>
        <w:t xml:space="preserve">here can be more than the permitted number </w:t>
      </w:r>
      <w:r w:rsidR="00046416" w:rsidRPr="007428E2">
        <w:rPr>
          <w:rFonts w:ascii="Arial" w:hAnsi="Arial" w:cs="Arial"/>
        </w:rPr>
        <w:t xml:space="preserve">of </w:t>
      </w:r>
      <w:r w:rsidRPr="007428E2">
        <w:rPr>
          <w:rFonts w:ascii="Arial" w:hAnsi="Arial" w:cs="Arial"/>
        </w:rPr>
        <w:t>exceedances in one year due to natural events alone. A percentile rule is simple to apply, and the Australian jurisdictions are already calculating percentile values in their AAQ NEPM submissions. Percentiles provide stable and practical reference points for tracking trends in air quality, although they do not aid the understanding of the causes of high-pollution events. A natural or exceptional events rule can overcome some of the confusion concerning the concept of allowable exceedances (either in terms of a fixed number of days or through a percentile) by identifying the real-world causes of pollution events.</w:t>
      </w:r>
    </w:p>
    <w:p w:rsidR="0032203C" w:rsidRPr="007428E2" w:rsidRDefault="0032203C" w:rsidP="007C48C4">
      <w:pPr>
        <w:pStyle w:val="BulletArrows"/>
        <w:spacing w:after="300"/>
        <w:rPr>
          <w:rFonts w:ascii="Arial" w:hAnsi="Arial"/>
        </w:rPr>
      </w:pPr>
      <w:r w:rsidRPr="007428E2">
        <w:rPr>
          <w:rFonts w:ascii="Arial" w:hAnsi="Arial"/>
        </w:rPr>
        <w:t xml:space="preserve">The </w:t>
      </w:r>
      <w:r w:rsidR="00B05D93" w:rsidRPr="007428E2">
        <w:rPr>
          <w:rFonts w:ascii="Arial" w:hAnsi="Arial"/>
        </w:rPr>
        <w:t>Impact Statement</w:t>
      </w:r>
      <w:r w:rsidRPr="007428E2">
        <w:rPr>
          <w:rFonts w:ascii="Arial" w:hAnsi="Arial"/>
        </w:rPr>
        <w:t xml:space="preserve"> examined specific combinations of stand</w:t>
      </w:r>
      <w:r w:rsidR="00B3354B" w:rsidRPr="007428E2">
        <w:rPr>
          <w:rFonts w:ascii="Arial" w:hAnsi="Arial"/>
        </w:rPr>
        <w:t>ard and allowed exceedance days. This indicated which forms of the standards would be likely to be achievable, but</w:t>
      </w:r>
      <w:r w:rsidRPr="007428E2">
        <w:rPr>
          <w:rFonts w:ascii="Arial" w:hAnsi="Arial"/>
        </w:rPr>
        <w:t xml:space="preserve"> provided no information on the division between those exceedances resulting from human activity and those resulting from natural events.</w:t>
      </w:r>
      <w:r w:rsidR="00325FBD" w:rsidRPr="007428E2">
        <w:rPr>
          <w:rFonts w:ascii="Arial" w:hAnsi="Arial"/>
        </w:rPr>
        <w:t xml:space="preserve"> Whilst the jurisdictions already provide basic information on the reasons for exceedances, the formal inclusion of a natural/exceptional events rule in the air quality standards would require the development of a consistent and more advanced approach. A trial could be conducted to test such an approach.</w:t>
      </w:r>
    </w:p>
    <w:p w:rsidR="002F0C15" w:rsidRPr="006574FD" w:rsidRDefault="002F0C15" w:rsidP="002F0C15">
      <w:pPr>
        <w:pStyle w:val="ES2"/>
        <w:rPr>
          <w:rFonts w:ascii="Arial" w:hAnsi="Arial" w:cs="Arial"/>
        </w:rPr>
      </w:pPr>
      <w:r w:rsidRPr="006574FD">
        <w:rPr>
          <w:rFonts w:ascii="Arial" w:hAnsi="Arial" w:cs="Arial"/>
        </w:rPr>
        <w:lastRenderedPageBreak/>
        <w:t>HRA project</w:t>
      </w:r>
    </w:p>
    <w:p w:rsidR="00397389" w:rsidRPr="007428E2" w:rsidRDefault="002F0C15" w:rsidP="008377C9">
      <w:pPr>
        <w:rPr>
          <w:rFonts w:ascii="Arial" w:hAnsi="Arial" w:cs="Arial"/>
        </w:rPr>
      </w:pPr>
      <w:r w:rsidRPr="007428E2">
        <w:rPr>
          <w:rFonts w:ascii="Arial" w:hAnsi="Arial" w:cs="Arial"/>
        </w:rPr>
        <w:t>The HRA project addressed the period 2006</w:t>
      </w:r>
      <w:r w:rsidR="00DD7753" w:rsidRPr="007428E2">
        <w:rPr>
          <w:rFonts w:ascii="Arial" w:hAnsi="Arial" w:cs="Arial"/>
        </w:rPr>
        <w:t>–</w:t>
      </w:r>
      <w:r w:rsidRPr="007428E2">
        <w:rPr>
          <w:rFonts w:ascii="Arial" w:hAnsi="Arial" w:cs="Arial"/>
        </w:rPr>
        <w:t>2010, and can therefore be said to have characterised current exposure to PM, and the effects of the air quality standard options in relation to this current exposure</w:t>
      </w:r>
      <w:r w:rsidR="00397389" w:rsidRPr="007428E2">
        <w:rPr>
          <w:rFonts w:ascii="Arial" w:hAnsi="Arial" w:cs="Arial"/>
        </w:rPr>
        <w:t>.</w:t>
      </w:r>
    </w:p>
    <w:p w:rsidR="002F0C15" w:rsidRPr="007428E2" w:rsidRDefault="002F0C15" w:rsidP="008377C9">
      <w:pPr>
        <w:rPr>
          <w:rFonts w:ascii="Arial" w:hAnsi="Arial" w:cs="Arial"/>
        </w:rPr>
      </w:pPr>
      <w:r w:rsidRPr="007428E2">
        <w:rPr>
          <w:rFonts w:ascii="Arial" w:hAnsi="Arial" w:cs="Arial"/>
        </w:rPr>
        <w:t>The key elements o</w:t>
      </w:r>
      <w:r w:rsidR="00C12EC2" w:rsidRPr="007428E2">
        <w:rPr>
          <w:rFonts w:ascii="Arial" w:hAnsi="Arial" w:cs="Arial"/>
        </w:rPr>
        <w:t>f the HRA were</w:t>
      </w:r>
      <w:r w:rsidR="000301E8" w:rsidRPr="007428E2">
        <w:rPr>
          <w:rFonts w:ascii="Arial" w:hAnsi="Arial" w:cs="Arial"/>
        </w:rPr>
        <w:t xml:space="preserve"> as follows</w:t>
      </w:r>
      <w:r w:rsidRPr="007428E2">
        <w:rPr>
          <w:rFonts w:ascii="Arial" w:hAnsi="Arial" w:cs="Arial"/>
        </w:rPr>
        <w:t xml:space="preserve">: </w:t>
      </w:r>
    </w:p>
    <w:p w:rsidR="002F0C15" w:rsidRPr="007428E2" w:rsidRDefault="00DD7753" w:rsidP="00553B34">
      <w:pPr>
        <w:pStyle w:val="BulletArrows"/>
        <w:numPr>
          <w:ilvl w:val="0"/>
          <w:numId w:val="66"/>
        </w:numPr>
        <w:spacing w:after="240"/>
        <w:rPr>
          <w:rFonts w:ascii="Arial" w:hAnsi="Arial"/>
          <w:color w:val="auto"/>
        </w:rPr>
      </w:pPr>
      <w:r w:rsidRPr="007428E2">
        <w:rPr>
          <w:rFonts w:ascii="Arial" w:hAnsi="Arial"/>
          <w:color w:val="auto"/>
        </w:rPr>
        <w:t>H</w:t>
      </w:r>
      <w:r w:rsidR="002F0C15" w:rsidRPr="007428E2">
        <w:rPr>
          <w:rFonts w:ascii="Arial" w:hAnsi="Arial"/>
          <w:color w:val="auto"/>
        </w:rPr>
        <w:t xml:space="preserve">azard assessment which involved a review of the literature on the </w:t>
      </w:r>
      <w:r w:rsidR="00C12EC2" w:rsidRPr="007428E2">
        <w:rPr>
          <w:rFonts w:ascii="Arial" w:hAnsi="Arial"/>
          <w:color w:val="auto"/>
        </w:rPr>
        <w:t>health effects of air pollution</w:t>
      </w:r>
      <w:r w:rsidR="002F0C15" w:rsidRPr="007428E2">
        <w:rPr>
          <w:rFonts w:ascii="Arial" w:hAnsi="Arial"/>
          <w:color w:val="auto"/>
        </w:rPr>
        <w:t>.</w:t>
      </w:r>
    </w:p>
    <w:p w:rsidR="002F0C15" w:rsidRPr="007428E2" w:rsidRDefault="00DD7753" w:rsidP="00553B34">
      <w:pPr>
        <w:pStyle w:val="BulletArrows"/>
        <w:numPr>
          <w:ilvl w:val="0"/>
          <w:numId w:val="66"/>
        </w:numPr>
        <w:spacing w:after="240"/>
        <w:rPr>
          <w:rFonts w:ascii="Arial" w:hAnsi="Arial"/>
        </w:rPr>
      </w:pPr>
      <w:r w:rsidRPr="007428E2">
        <w:rPr>
          <w:rFonts w:ascii="Arial" w:hAnsi="Arial"/>
        </w:rPr>
        <w:t>E</w:t>
      </w:r>
      <w:r w:rsidR="002F0C15" w:rsidRPr="007428E2">
        <w:rPr>
          <w:rFonts w:ascii="Arial" w:hAnsi="Arial"/>
        </w:rPr>
        <w:t>xposure assessment.</w:t>
      </w:r>
      <w:r w:rsidR="00EC4D16" w:rsidRPr="007428E2">
        <w:rPr>
          <w:rFonts w:ascii="Arial" w:hAnsi="Arial"/>
        </w:rPr>
        <w:t xml:space="preserve"> </w:t>
      </w:r>
      <w:r w:rsidR="00727A35" w:rsidRPr="007428E2">
        <w:rPr>
          <w:rFonts w:ascii="Arial" w:hAnsi="Arial"/>
        </w:rPr>
        <w:t>B</w:t>
      </w:r>
      <w:r w:rsidR="002F0C15" w:rsidRPr="007428E2">
        <w:rPr>
          <w:rFonts w:ascii="Arial" w:hAnsi="Arial"/>
        </w:rPr>
        <w:t xml:space="preserve">aseline (current) exposures and exposures for each </w:t>
      </w:r>
      <w:r w:rsidR="00AD0899" w:rsidRPr="007428E2">
        <w:rPr>
          <w:rFonts w:ascii="Arial" w:hAnsi="Arial"/>
        </w:rPr>
        <w:t xml:space="preserve">air quality standard </w:t>
      </w:r>
      <w:r w:rsidR="002F0C15" w:rsidRPr="007428E2">
        <w:rPr>
          <w:rFonts w:ascii="Arial" w:hAnsi="Arial"/>
        </w:rPr>
        <w:t xml:space="preserve">sub-option were calculated </w:t>
      </w:r>
      <w:r w:rsidR="00727A35" w:rsidRPr="007428E2">
        <w:rPr>
          <w:rFonts w:ascii="Arial" w:hAnsi="Arial"/>
          <w:color w:val="auto"/>
        </w:rPr>
        <w:t xml:space="preserve">from measured PM </w:t>
      </w:r>
      <w:r w:rsidR="002F0C15" w:rsidRPr="007428E2">
        <w:rPr>
          <w:rFonts w:ascii="Arial" w:hAnsi="Arial"/>
        </w:rPr>
        <w:t xml:space="preserve">concentrations. </w:t>
      </w:r>
      <w:r w:rsidR="00727A35" w:rsidRPr="007428E2">
        <w:rPr>
          <w:rFonts w:ascii="Arial" w:hAnsi="Arial"/>
        </w:rPr>
        <w:t>Calculations were done with and without the influence of extreme pollution events such as bush</w:t>
      </w:r>
      <w:r w:rsidR="00E724B2" w:rsidRPr="007428E2">
        <w:rPr>
          <w:rFonts w:ascii="Arial" w:hAnsi="Arial"/>
        </w:rPr>
        <w:t xml:space="preserve"> </w:t>
      </w:r>
      <w:r w:rsidR="00727A35" w:rsidRPr="007428E2">
        <w:rPr>
          <w:rFonts w:ascii="Arial" w:hAnsi="Arial"/>
        </w:rPr>
        <w:t xml:space="preserve">fires. </w:t>
      </w:r>
      <w:r w:rsidR="002F0C15" w:rsidRPr="007428E2">
        <w:rPr>
          <w:rFonts w:ascii="Arial" w:hAnsi="Arial"/>
        </w:rPr>
        <w:t xml:space="preserve">The HRA estimated exposure in 32 Australian </w:t>
      </w:r>
      <w:r w:rsidR="008441E4" w:rsidRPr="007428E2">
        <w:rPr>
          <w:rFonts w:ascii="Arial" w:hAnsi="Arial"/>
        </w:rPr>
        <w:t>conurbations</w:t>
      </w:r>
      <w:r w:rsidR="002F0C15" w:rsidRPr="007428E2">
        <w:rPr>
          <w:rFonts w:ascii="Arial" w:hAnsi="Arial"/>
        </w:rPr>
        <w:t>, includi</w:t>
      </w:r>
      <w:r w:rsidR="00C12EC2" w:rsidRPr="007428E2">
        <w:rPr>
          <w:rFonts w:ascii="Arial" w:hAnsi="Arial"/>
        </w:rPr>
        <w:t>ng the major metropolitan areas</w:t>
      </w:r>
      <w:r w:rsidR="002F0C15" w:rsidRPr="007428E2">
        <w:rPr>
          <w:rFonts w:ascii="Arial" w:hAnsi="Arial"/>
        </w:rPr>
        <w:t xml:space="preserve">. </w:t>
      </w:r>
      <w:r w:rsidR="00397389" w:rsidRPr="007428E2">
        <w:rPr>
          <w:rFonts w:ascii="Arial" w:hAnsi="Arial"/>
        </w:rPr>
        <w:t>It should be noted that the results of the HRA do not actually reflect the real-world impacts of setting standards. Rather, they reflect the impact of different exposure scenarios in which the ambient concentrations are set at the values of the options for the standards. However, the HRA assessment does provide a useful indication of what might happen in the future should projected increases in emissions lead to an increase in the PM</w:t>
      </w:r>
      <w:r w:rsidR="00397389" w:rsidRPr="007428E2">
        <w:rPr>
          <w:rFonts w:ascii="Arial" w:hAnsi="Arial"/>
          <w:vertAlign w:val="subscript"/>
        </w:rPr>
        <w:t>2.5</w:t>
      </w:r>
      <w:r w:rsidR="00397389" w:rsidRPr="007428E2">
        <w:rPr>
          <w:rFonts w:ascii="Arial" w:hAnsi="Arial"/>
        </w:rPr>
        <w:t xml:space="preserve"> concentration.</w:t>
      </w:r>
    </w:p>
    <w:p w:rsidR="002F0C15" w:rsidRPr="007428E2" w:rsidRDefault="00DD7753" w:rsidP="00553B34">
      <w:pPr>
        <w:pStyle w:val="BulletArrows"/>
        <w:numPr>
          <w:ilvl w:val="0"/>
          <w:numId w:val="66"/>
        </w:numPr>
        <w:spacing w:after="240"/>
        <w:rPr>
          <w:rFonts w:ascii="Arial" w:hAnsi="Arial"/>
        </w:rPr>
      </w:pPr>
      <w:r w:rsidRPr="007428E2">
        <w:rPr>
          <w:rFonts w:ascii="Arial" w:hAnsi="Arial"/>
        </w:rPr>
        <w:t>R</w:t>
      </w:r>
      <w:r w:rsidR="002F0C15" w:rsidRPr="007428E2">
        <w:rPr>
          <w:rFonts w:ascii="Arial" w:hAnsi="Arial"/>
        </w:rPr>
        <w:t>isk characterisation. Population data, mortality data and hospit</w:t>
      </w:r>
      <w:r w:rsidR="008441E4" w:rsidRPr="007428E2">
        <w:rPr>
          <w:rFonts w:ascii="Arial" w:hAnsi="Arial"/>
        </w:rPr>
        <w:t>alisation data for the 32 conurbations</w:t>
      </w:r>
      <w:r w:rsidR="002F0C15" w:rsidRPr="007428E2">
        <w:rPr>
          <w:rFonts w:ascii="Arial" w:hAnsi="Arial"/>
        </w:rPr>
        <w:t xml:space="preserve"> </w:t>
      </w:r>
      <w:r w:rsidR="00727A35" w:rsidRPr="007428E2">
        <w:rPr>
          <w:rFonts w:ascii="Arial" w:hAnsi="Arial"/>
          <w:color w:val="auto"/>
        </w:rPr>
        <w:t xml:space="preserve">were combined with exposure data </w:t>
      </w:r>
      <w:r w:rsidR="002F0C15" w:rsidRPr="007428E2">
        <w:rPr>
          <w:rFonts w:ascii="Arial" w:hAnsi="Arial"/>
        </w:rPr>
        <w:t>to estimate city-specific deaths and hospitalisations attributable to the exposures for the baseline and the sub-options.</w:t>
      </w:r>
      <w:r w:rsidR="00727A35" w:rsidRPr="007428E2">
        <w:rPr>
          <w:rFonts w:ascii="Arial" w:hAnsi="Arial"/>
        </w:rPr>
        <w:t xml:space="preserve"> Natural background concentrations were subtracted from the exposure data in order to determine the health effects attributable to human activity.</w:t>
      </w:r>
    </w:p>
    <w:p w:rsidR="00232472" w:rsidRPr="007428E2" w:rsidRDefault="00232472" w:rsidP="008377C9">
      <w:pPr>
        <w:rPr>
          <w:rFonts w:ascii="Arial" w:hAnsi="Arial" w:cs="Arial"/>
        </w:rPr>
      </w:pPr>
      <w:r w:rsidRPr="007428E2">
        <w:rPr>
          <w:rFonts w:ascii="Arial" w:hAnsi="Arial" w:cs="Arial"/>
        </w:rPr>
        <w:t>It was found that decreasing short-term exposure to PM</w:t>
      </w:r>
      <w:r w:rsidRPr="007428E2">
        <w:rPr>
          <w:rFonts w:ascii="Arial" w:hAnsi="Arial" w:cs="Arial"/>
          <w:vertAlign w:val="subscript"/>
        </w:rPr>
        <w:t>10</w:t>
      </w:r>
      <w:r w:rsidRPr="007428E2">
        <w:rPr>
          <w:rFonts w:ascii="Arial" w:hAnsi="Arial" w:cs="Arial"/>
        </w:rPr>
        <w:t xml:space="preserve"> </w:t>
      </w:r>
      <w:r w:rsidR="00372D16" w:rsidRPr="007428E2">
        <w:rPr>
          <w:rFonts w:ascii="Arial" w:hAnsi="Arial" w:cs="Arial"/>
        </w:rPr>
        <w:t>would reduce attributable hospital admissions for childhood respiratory disease and pneumonia/bronchitis in people aged 65 and above. For</w:t>
      </w:r>
      <w:r w:rsidRPr="007428E2">
        <w:rPr>
          <w:rFonts w:ascii="Arial" w:hAnsi="Arial" w:cs="Arial"/>
        </w:rPr>
        <w:t xml:space="preserve"> the </w:t>
      </w:r>
      <w:r w:rsidR="00C520BB" w:rsidRPr="007428E2">
        <w:rPr>
          <w:rFonts w:ascii="Arial" w:hAnsi="Arial" w:cs="Arial"/>
        </w:rPr>
        <w:t xml:space="preserve">short term (daily) </w:t>
      </w:r>
      <w:r w:rsidRPr="007428E2">
        <w:rPr>
          <w:rFonts w:ascii="Arial" w:hAnsi="Arial" w:cs="Arial"/>
        </w:rPr>
        <w:t>sub-options 50PM</w:t>
      </w:r>
      <w:r w:rsidRPr="007428E2">
        <w:rPr>
          <w:rFonts w:ascii="Arial" w:hAnsi="Arial" w:cs="Arial"/>
          <w:vertAlign w:val="subscript"/>
        </w:rPr>
        <w:t>10</w:t>
      </w:r>
      <w:r w:rsidRPr="007428E2">
        <w:rPr>
          <w:rFonts w:ascii="Arial" w:hAnsi="Arial" w:cs="Arial"/>
        </w:rPr>
        <w:t>, 40PM</w:t>
      </w:r>
      <w:r w:rsidRPr="007428E2">
        <w:rPr>
          <w:rFonts w:ascii="Arial" w:hAnsi="Arial" w:cs="Arial"/>
          <w:vertAlign w:val="subscript"/>
        </w:rPr>
        <w:t>10</w:t>
      </w:r>
      <w:r w:rsidRPr="007428E2">
        <w:rPr>
          <w:rFonts w:ascii="Arial" w:hAnsi="Arial" w:cs="Arial"/>
        </w:rPr>
        <w:t xml:space="preserve"> and 30PM</w:t>
      </w:r>
      <w:r w:rsidRPr="007428E2">
        <w:rPr>
          <w:rFonts w:ascii="Arial" w:hAnsi="Arial" w:cs="Arial"/>
          <w:vertAlign w:val="subscript"/>
        </w:rPr>
        <w:t>10</w:t>
      </w:r>
      <w:r w:rsidR="00372D16" w:rsidRPr="007428E2">
        <w:rPr>
          <w:rFonts w:ascii="Arial" w:hAnsi="Arial" w:cs="Arial"/>
        </w:rPr>
        <w:t xml:space="preserve"> these health outcomes would be reduced </w:t>
      </w:r>
      <w:r w:rsidRPr="007428E2">
        <w:rPr>
          <w:rFonts w:ascii="Arial" w:hAnsi="Arial" w:cs="Arial"/>
        </w:rPr>
        <w:t xml:space="preserve">by around 30%, 50% and 65% respectively over the four cities of Sydney, Melbourne, Brisbane and Perth </w:t>
      </w:r>
      <w:r w:rsidRPr="007428E2">
        <w:rPr>
          <w:rFonts w:ascii="Arial" w:hAnsi="Arial" w:cs="Arial"/>
          <w:b/>
        </w:rPr>
        <w:t xml:space="preserve">Morgan </w:t>
      </w:r>
      <w:r w:rsidR="009334F4" w:rsidRPr="007428E2">
        <w:rPr>
          <w:rFonts w:ascii="Arial" w:hAnsi="Arial" w:cs="Arial"/>
          <w:b/>
        </w:rPr>
        <w:t>et al.</w:t>
      </w:r>
      <w:r w:rsidRPr="007428E2">
        <w:rPr>
          <w:rFonts w:ascii="Arial" w:hAnsi="Arial" w:cs="Arial"/>
          <w:b/>
        </w:rPr>
        <w:t xml:space="preserve"> (2013)</w:t>
      </w:r>
      <w:r w:rsidRPr="007428E2">
        <w:rPr>
          <w:rFonts w:ascii="Arial" w:hAnsi="Arial" w:cs="Arial"/>
        </w:rPr>
        <w:t>.</w:t>
      </w:r>
      <w:r w:rsidR="00727A35" w:rsidRPr="007428E2">
        <w:rPr>
          <w:rFonts w:ascii="Arial" w:hAnsi="Arial" w:cs="Arial"/>
        </w:rPr>
        <w:t xml:space="preserve"> </w:t>
      </w:r>
    </w:p>
    <w:p w:rsidR="002F0C15" w:rsidRPr="007428E2" w:rsidRDefault="002F0C15" w:rsidP="008377C9">
      <w:pPr>
        <w:rPr>
          <w:rFonts w:ascii="Arial" w:hAnsi="Arial" w:cs="Arial"/>
        </w:rPr>
      </w:pPr>
      <w:r w:rsidRPr="007428E2">
        <w:rPr>
          <w:rFonts w:ascii="Arial" w:hAnsi="Arial" w:cs="Arial"/>
          <w:b/>
        </w:rPr>
        <w:t xml:space="preserve">Morgan </w:t>
      </w:r>
      <w:r w:rsidR="009334F4" w:rsidRPr="007428E2">
        <w:rPr>
          <w:rFonts w:ascii="Arial" w:hAnsi="Arial" w:cs="Arial"/>
          <w:b/>
        </w:rPr>
        <w:t>et al.</w:t>
      </w:r>
      <w:r w:rsidRPr="007428E2">
        <w:rPr>
          <w:rFonts w:ascii="Arial" w:hAnsi="Arial" w:cs="Arial"/>
          <w:b/>
        </w:rPr>
        <w:t xml:space="preserve"> (2013) </w:t>
      </w:r>
      <w:r w:rsidRPr="007428E2">
        <w:rPr>
          <w:rFonts w:ascii="Arial" w:hAnsi="Arial" w:cs="Arial"/>
        </w:rPr>
        <w:t>commented that for long-term exposure to PM</w:t>
      </w:r>
      <w:r w:rsidRPr="007428E2">
        <w:rPr>
          <w:rFonts w:ascii="Arial" w:hAnsi="Arial" w:cs="Arial"/>
          <w:vertAlign w:val="subscript"/>
        </w:rPr>
        <w:t>2.5</w:t>
      </w:r>
      <w:r w:rsidRPr="007428E2">
        <w:rPr>
          <w:rFonts w:ascii="Arial" w:hAnsi="Arial" w:cs="Arial"/>
        </w:rPr>
        <w:t xml:space="preserve"> the HRA results are generally consistent with previous Australian and </w:t>
      </w:r>
      <w:r w:rsidR="00DD7753" w:rsidRPr="007428E2">
        <w:rPr>
          <w:rFonts w:ascii="Arial" w:hAnsi="Arial" w:cs="Arial"/>
        </w:rPr>
        <w:t>US</w:t>
      </w:r>
      <w:r w:rsidRPr="007428E2">
        <w:rPr>
          <w:rFonts w:ascii="Arial" w:hAnsi="Arial" w:cs="Arial"/>
        </w:rPr>
        <w:t xml:space="preserve"> estimates. Annual mortality attributable to baseline long-term exposure to PM</w:t>
      </w:r>
      <w:r w:rsidRPr="007428E2">
        <w:rPr>
          <w:rFonts w:ascii="Arial" w:hAnsi="Arial" w:cs="Arial"/>
          <w:vertAlign w:val="subscript"/>
        </w:rPr>
        <w:t>2.5</w:t>
      </w:r>
      <w:r w:rsidRPr="007428E2">
        <w:rPr>
          <w:rFonts w:ascii="Arial" w:hAnsi="Arial" w:cs="Arial"/>
        </w:rPr>
        <w:t xml:space="preserve"> is estimated to be equivale</w:t>
      </w:r>
      <w:r w:rsidR="000D0BB5" w:rsidRPr="007428E2">
        <w:rPr>
          <w:rFonts w:ascii="Arial" w:hAnsi="Arial" w:cs="Arial"/>
        </w:rPr>
        <w:t>nt to</w:t>
      </w:r>
      <w:r w:rsidR="00092966" w:rsidRPr="007428E2">
        <w:rPr>
          <w:rFonts w:ascii="Arial" w:hAnsi="Arial" w:cs="Arial"/>
        </w:rPr>
        <w:t xml:space="preserve"> approximately</w:t>
      </w:r>
      <w:r w:rsidR="000D0BB5" w:rsidRPr="007428E2">
        <w:rPr>
          <w:rFonts w:ascii="Arial" w:hAnsi="Arial" w:cs="Arial"/>
        </w:rPr>
        <w:t xml:space="preserve"> 15</w:t>
      </w:r>
      <w:r w:rsidR="00092966" w:rsidRPr="007428E2">
        <w:rPr>
          <w:rFonts w:ascii="Arial" w:hAnsi="Arial" w:cs="Arial"/>
        </w:rPr>
        <w:t>90</w:t>
      </w:r>
      <w:r w:rsidR="000D0BB5" w:rsidRPr="007428E2">
        <w:rPr>
          <w:rFonts w:ascii="Arial" w:hAnsi="Arial" w:cs="Arial"/>
        </w:rPr>
        <w:t xml:space="preserve"> deaths, or 2.2%</w:t>
      </w:r>
      <w:r w:rsidR="008441E4" w:rsidRPr="007428E2">
        <w:rPr>
          <w:rFonts w:ascii="Arial" w:hAnsi="Arial" w:cs="Arial"/>
        </w:rPr>
        <w:t>, in the four cities</w:t>
      </w:r>
      <w:r w:rsidRPr="007428E2">
        <w:rPr>
          <w:rFonts w:ascii="Arial" w:hAnsi="Arial" w:cs="Arial"/>
        </w:rPr>
        <w:t>. Only the sub-option 6PM</w:t>
      </w:r>
      <w:r w:rsidRPr="007428E2">
        <w:rPr>
          <w:rFonts w:ascii="Arial" w:hAnsi="Arial" w:cs="Arial"/>
          <w:vertAlign w:val="subscript"/>
        </w:rPr>
        <w:t>2.5</w:t>
      </w:r>
      <w:r w:rsidRPr="007428E2">
        <w:rPr>
          <w:rFonts w:ascii="Arial" w:hAnsi="Arial" w:cs="Arial"/>
        </w:rPr>
        <w:t xml:space="preserve"> would produce meaningful reductions in long-term mortality relating to PM</w:t>
      </w:r>
      <w:r w:rsidRPr="007428E2">
        <w:rPr>
          <w:rFonts w:ascii="Arial" w:hAnsi="Arial" w:cs="Arial"/>
          <w:vertAlign w:val="subscript"/>
        </w:rPr>
        <w:t>2.5</w:t>
      </w:r>
      <w:r w:rsidRPr="007428E2">
        <w:rPr>
          <w:rFonts w:ascii="Arial" w:hAnsi="Arial" w:cs="Arial"/>
        </w:rPr>
        <w:t xml:space="preserve"> compared with baseline exposures (equivalent to a reduction of </w:t>
      </w:r>
      <w:r w:rsidR="00092966" w:rsidRPr="007428E2">
        <w:rPr>
          <w:rFonts w:ascii="Arial" w:hAnsi="Arial" w:cs="Arial"/>
        </w:rPr>
        <w:t xml:space="preserve">approximately </w:t>
      </w:r>
      <w:r w:rsidRPr="007428E2">
        <w:rPr>
          <w:rFonts w:ascii="Arial" w:hAnsi="Arial" w:cs="Arial"/>
        </w:rPr>
        <w:t>53</w:t>
      </w:r>
      <w:r w:rsidR="00092966" w:rsidRPr="007428E2">
        <w:rPr>
          <w:rFonts w:ascii="Arial" w:hAnsi="Arial" w:cs="Arial"/>
        </w:rPr>
        <w:t>0</w:t>
      </w:r>
      <w:r w:rsidRPr="007428E2">
        <w:rPr>
          <w:rFonts w:ascii="Arial" w:hAnsi="Arial" w:cs="Arial"/>
        </w:rPr>
        <w:t xml:space="preserve"> deaths </w:t>
      </w:r>
      <w:r w:rsidR="000D0BB5" w:rsidRPr="007428E2">
        <w:rPr>
          <w:rFonts w:ascii="Arial" w:hAnsi="Arial" w:cs="Arial"/>
        </w:rPr>
        <w:t>or 34%</w:t>
      </w:r>
      <w:r w:rsidRPr="007428E2">
        <w:rPr>
          <w:rFonts w:ascii="Arial" w:hAnsi="Arial" w:cs="Arial"/>
        </w:rPr>
        <w:t>).</w:t>
      </w:r>
    </w:p>
    <w:p w:rsidR="000457D9" w:rsidRPr="007428E2" w:rsidRDefault="001F07D9" w:rsidP="008377C9">
      <w:pPr>
        <w:rPr>
          <w:rFonts w:ascii="Arial" w:hAnsi="Arial" w:cs="Arial"/>
        </w:rPr>
      </w:pPr>
      <w:r w:rsidRPr="007428E2">
        <w:rPr>
          <w:rFonts w:ascii="Arial" w:hAnsi="Arial" w:cs="Arial"/>
        </w:rPr>
        <w:t xml:space="preserve">The </w:t>
      </w:r>
      <w:r w:rsidR="00C520BB" w:rsidRPr="007428E2">
        <w:rPr>
          <w:rFonts w:ascii="Arial" w:hAnsi="Arial" w:cs="Arial"/>
        </w:rPr>
        <w:t>long</w:t>
      </w:r>
      <w:r w:rsidR="00DD7753" w:rsidRPr="007428E2">
        <w:rPr>
          <w:rFonts w:ascii="Arial" w:hAnsi="Arial" w:cs="Arial"/>
        </w:rPr>
        <w:t>-</w:t>
      </w:r>
      <w:r w:rsidR="00C520BB" w:rsidRPr="007428E2">
        <w:rPr>
          <w:rFonts w:ascii="Arial" w:hAnsi="Arial" w:cs="Arial"/>
        </w:rPr>
        <w:t xml:space="preserve">term (annual) </w:t>
      </w:r>
      <w:r w:rsidRPr="007428E2">
        <w:rPr>
          <w:rFonts w:ascii="Arial" w:hAnsi="Arial" w:cs="Arial"/>
        </w:rPr>
        <w:t>sub-option 8PM</w:t>
      </w:r>
      <w:r w:rsidRPr="007428E2">
        <w:rPr>
          <w:rFonts w:ascii="Arial" w:hAnsi="Arial" w:cs="Arial"/>
          <w:vertAlign w:val="subscript"/>
        </w:rPr>
        <w:t>2.5</w:t>
      </w:r>
      <w:r w:rsidR="005C3863" w:rsidRPr="007428E2">
        <w:rPr>
          <w:rFonts w:ascii="Arial" w:hAnsi="Arial" w:cs="Arial"/>
        </w:rPr>
        <w:t xml:space="preserve"> </w:t>
      </w:r>
      <w:r w:rsidR="000457D9" w:rsidRPr="007428E2">
        <w:rPr>
          <w:rFonts w:ascii="Arial" w:hAnsi="Arial" w:cs="Arial"/>
        </w:rPr>
        <w:t>(and also 10PM</w:t>
      </w:r>
      <w:r w:rsidR="000457D9" w:rsidRPr="007428E2">
        <w:rPr>
          <w:rFonts w:ascii="Arial" w:hAnsi="Arial" w:cs="Arial"/>
          <w:vertAlign w:val="subscript"/>
        </w:rPr>
        <w:t>2.5</w:t>
      </w:r>
      <w:r w:rsidR="000457D9" w:rsidRPr="007428E2">
        <w:rPr>
          <w:rFonts w:ascii="Arial" w:hAnsi="Arial" w:cs="Arial"/>
        </w:rPr>
        <w:t xml:space="preserve">) </w:t>
      </w:r>
      <w:r w:rsidRPr="007428E2">
        <w:rPr>
          <w:rFonts w:ascii="Arial" w:hAnsi="Arial" w:cs="Arial"/>
        </w:rPr>
        <w:t>w</w:t>
      </w:r>
      <w:r w:rsidR="002F0C15" w:rsidRPr="007428E2">
        <w:rPr>
          <w:rFonts w:ascii="Arial" w:hAnsi="Arial" w:cs="Arial"/>
        </w:rPr>
        <w:t>ould</w:t>
      </w:r>
      <w:r w:rsidRPr="007428E2">
        <w:rPr>
          <w:rFonts w:ascii="Arial" w:hAnsi="Arial" w:cs="Arial"/>
        </w:rPr>
        <w:t xml:space="preserve"> equate to an increase in exposure based on current PM</w:t>
      </w:r>
      <w:r w:rsidRPr="007428E2">
        <w:rPr>
          <w:rFonts w:ascii="Arial" w:hAnsi="Arial" w:cs="Arial"/>
          <w:vertAlign w:val="subscript"/>
        </w:rPr>
        <w:t>2.5</w:t>
      </w:r>
      <w:r w:rsidRPr="007428E2">
        <w:rPr>
          <w:rFonts w:ascii="Arial" w:hAnsi="Arial" w:cs="Arial"/>
        </w:rPr>
        <w:t xml:space="preserve"> concentrations.</w:t>
      </w:r>
      <w:r w:rsidR="002F0C15" w:rsidRPr="007428E2">
        <w:rPr>
          <w:rFonts w:ascii="Arial" w:hAnsi="Arial" w:cs="Arial"/>
        </w:rPr>
        <w:t xml:space="preserve"> </w:t>
      </w:r>
      <w:r w:rsidR="009C0C08" w:rsidRPr="007428E2">
        <w:rPr>
          <w:rFonts w:ascii="Arial" w:hAnsi="Arial" w:cs="Arial"/>
        </w:rPr>
        <w:t>T</w:t>
      </w:r>
      <w:r w:rsidR="002F0C15" w:rsidRPr="007428E2">
        <w:rPr>
          <w:rFonts w:ascii="Arial" w:hAnsi="Arial" w:cs="Arial"/>
        </w:rPr>
        <w:t>his is because annual mean PM</w:t>
      </w:r>
      <w:r w:rsidR="002F0C15" w:rsidRPr="007428E2">
        <w:rPr>
          <w:rFonts w:ascii="Arial" w:hAnsi="Arial" w:cs="Arial"/>
          <w:vertAlign w:val="subscript"/>
        </w:rPr>
        <w:t>2.5</w:t>
      </w:r>
      <w:r w:rsidR="002F0C15" w:rsidRPr="007428E2">
        <w:rPr>
          <w:rFonts w:ascii="Arial" w:hAnsi="Arial" w:cs="Arial"/>
        </w:rPr>
        <w:t xml:space="preserve"> concentrations at most monitoring sites are </w:t>
      </w:r>
      <w:r w:rsidR="009C0C08" w:rsidRPr="007428E2">
        <w:rPr>
          <w:rFonts w:ascii="Arial" w:hAnsi="Arial" w:cs="Arial"/>
        </w:rPr>
        <w:t xml:space="preserve">currently </w:t>
      </w:r>
      <w:r w:rsidR="002F0C15" w:rsidRPr="007428E2">
        <w:rPr>
          <w:rFonts w:ascii="Arial" w:hAnsi="Arial" w:cs="Arial"/>
        </w:rPr>
        <w:t>lower than 8 </w:t>
      </w:r>
      <w:proofErr w:type="spellStart"/>
      <w:r w:rsidR="002F0C15" w:rsidRPr="007428E2">
        <w:rPr>
          <w:rFonts w:ascii="Arial" w:hAnsi="Arial" w:cs="Arial"/>
        </w:rPr>
        <w:t>μg</w:t>
      </w:r>
      <w:proofErr w:type="spellEnd"/>
      <w:r w:rsidR="002F0C15" w:rsidRPr="007428E2">
        <w:rPr>
          <w:rFonts w:ascii="Arial" w:hAnsi="Arial" w:cs="Arial"/>
        </w:rPr>
        <w:t>/m</w:t>
      </w:r>
      <w:r w:rsidR="002F0C15" w:rsidRPr="007428E2">
        <w:rPr>
          <w:rFonts w:ascii="Arial" w:hAnsi="Arial" w:cs="Arial"/>
          <w:vertAlign w:val="superscript"/>
        </w:rPr>
        <w:t>3</w:t>
      </w:r>
      <w:r w:rsidR="000301E8" w:rsidRPr="007428E2">
        <w:rPr>
          <w:rFonts w:ascii="Arial" w:hAnsi="Arial" w:cs="Arial"/>
        </w:rPr>
        <w:t>.</w:t>
      </w:r>
    </w:p>
    <w:p w:rsidR="002F0C15" w:rsidRPr="007428E2" w:rsidRDefault="002F0C15" w:rsidP="008377C9">
      <w:pPr>
        <w:rPr>
          <w:rFonts w:ascii="Arial" w:hAnsi="Arial" w:cs="Arial"/>
        </w:rPr>
      </w:pPr>
      <w:r w:rsidRPr="007428E2">
        <w:rPr>
          <w:rFonts w:ascii="Arial" w:hAnsi="Arial" w:cs="Arial"/>
        </w:rPr>
        <w:t xml:space="preserve">Decreasing short-term </w:t>
      </w:r>
      <w:r w:rsidR="00C520BB" w:rsidRPr="007428E2">
        <w:rPr>
          <w:rFonts w:ascii="Arial" w:hAnsi="Arial" w:cs="Arial"/>
        </w:rPr>
        <w:t xml:space="preserve">(daily) </w:t>
      </w:r>
      <w:r w:rsidRPr="007428E2">
        <w:rPr>
          <w:rFonts w:ascii="Arial" w:hAnsi="Arial" w:cs="Arial"/>
        </w:rPr>
        <w:t>exposure to PM</w:t>
      </w:r>
      <w:r w:rsidRPr="007428E2">
        <w:rPr>
          <w:rFonts w:ascii="Arial" w:hAnsi="Arial" w:cs="Arial"/>
          <w:vertAlign w:val="subscript"/>
        </w:rPr>
        <w:t>2.5</w:t>
      </w:r>
      <w:r w:rsidRPr="007428E2">
        <w:rPr>
          <w:rFonts w:ascii="Arial" w:hAnsi="Arial" w:cs="Arial"/>
        </w:rPr>
        <w:t xml:space="preserve"> </w:t>
      </w:r>
      <w:r w:rsidR="00DD7753" w:rsidRPr="007428E2">
        <w:rPr>
          <w:rFonts w:ascii="Arial" w:hAnsi="Arial" w:cs="Arial"/>
        </w:rPr>
        <w:t>–</w:t>
      </w:r>
      <w:r w:rsidRPr="007428E2">
        <w:rPr>
          <w:rFonts w:ascii="Arial" w:hAnsi="Arial" w:cs="Arial"/>
        </w:rPr>
        <w:t xml:space="preserve"> as per the sub-options 25PM</w:t>
      </w:r>
      <w:r w:rsidRPr="007428E2">
        <w:rPr>
          <w:rFonts w:ascii="Arial" w:hAnsi="Arial" w:cs="Arial"/>
          <w:vertAlign w:val="subscript"/>
        </w:rPr>
        <w:t>2.5</w:t>
      </w:r>
      <w:r w:rsidRPr="007428E2">
        <w:rPr>
          <w:rFonts w:ascii="Arial" w:hAnsi="Arial" w:cs="Arial"/>
        </w:rPr>
        <w:t>, 20PM</w:t>
      </w:r>
      <w:r w:rsidRPr="007428E2">
        <w:rPr>
          <w:rFonts w:ascii="Arial" w:hAnsi="Arial" w:cs="Arial"/>
          <w:vertAlign w:val="subscript"/>
        </w:rPr>
        <w:t>2.5</w:t>
      </w:r>
      <w:r w:rsidRPr="007428E2">
        <w:rPr>
          <w:rFonts w:ascii="Arial" w:hAnsi="Arial" w:cs="Arial"/>
        </w:rPr>
        <w:t xml:space="preserve"> and 15PM</w:t>
      </w:r>
      <w:r w:rsidRPr="007428E2">
        <w:rPr>
          <w:rFonts w:ascii="Arial" w:hAnsi="Arial" w:cs="Arial"/>
          <w:vertAlign w:val="subscript"/>
        </w:rPr>
        <w:t>2.5</w:t>
      </w:r>
      <w:r w:rsidRPr="007428E2">
        <w:rPr>
          <w:rFonts w:ascii="Arial" w:hAnsi="Arial" w:cs="Arial"/>
        </w:rPr>
        <w:t xml:space="preserve"> </w:t>
      </w:r>
      <w:r w:rsidR="00DD7753" w:rsidRPr="007428E2">
        <w:rPr>
          <w:rFonts w:ascii="Arial" w:hAnsi="Arial" w:cs="Arial"/>
        </w:rPr>
        <w:t>–</w:t>
      </w:r>
      <w:r w:rsidRPr="007428E2">
        <w:rPr>
          <w:rFonts w:ascii="Arial" w:hAnsi="Arial" w:cs="Arial"/>
        </w:rPr>
        <w:t xml:space="preserve"> would reduce attributable cardiovascular hospital admissions and attributable childhood asthma hospital emergency department attendance by around 30%, 45% and 60% res</w:t>
      </w:r>
      <w:r w:rsidR="005C3863" w:rsidRPr="007428E2">
        <w:rPr>
          <w:rFonts w:ascii="Arial" w:hAnsi="Arial" w:cs="Arial"/>
        </w:rPr>
        <w:t xml:space="preserve">pectively over the four cities </w:t>
      </w:r>
      <w:r w:rsidRPr="007428E2">
        <w:rPr>
          <w:rFonts w:ascii="Arial" w:hAnsi="Arial" w:cs="Arial"/>
          <w:b/>
        </w:rPr>
        <w:t xml:space="preserve">(Morgan </w:t>
      </w:r>
      <w:r w:rsidR="009334F4" w:rsidRPr="007428E2">
        <w:rPr>
          <w:rFonts w:ascii="Arial" w:hAnsi="Arial" w:cs="Arial"/>
          <w:b/>
        </w:rPr>
        <w:t>et al</w:t>
      </w:r>
      <w:r w:rsidRPr="007428E2">
        <w:rPr>
          <w:rFonts w:ascii="Arial" w:hAnsi="Arial" w:cs="Arial"/>
          <w:b/>
        </w:rPr>
        <w:t>. 2013)</w:t>
      </w:r>
      <w:r w:rsidRPr="007428E2">
        <w:rPr>
          <w:rFonts w:ascii="Arial" w:hAnsi="Arial" w:cs="Arial"/>
        </w:rPr>
        <w:t xml:space="preserve">. </w:t>
      </w:r>
    </w:p>
    <w:p w:rsidR="002F0C15" w:rsidRPr="007428E2" w:rsidRDefault="002F0C15" w:rsidP="00DE4099">
      <w:pPr>
        <w:spacing w:after="300"/>
        <w:rPr>
          <w:rFonts w:ascii="Arial" w:hAnsi="Arial" w:cs="Arial"/>
        </w:rPr>
      </w:pPr>
      <w:r w:rsidRPr="007428E2">
        <w:rPr>
          <w:rFonts w:ascii="Arial" w:hAnsi="Arial" w:cs="Arial"/>
        </w:rPr>
        <w:t>It was also noted</w:t>
      </w:r>
      <w:r w:rsidR="00515E2D" w:rsidRPr="007428E2">
        <w:rPr>
          <w:rFonts w:ascii="Arial" w:hAnsi="Arial" w:cs="Arial"/>
        </w:rPr>
        <w:t xml:space="preserve"> in the HRA Summary for Policy Makers</w:t>
      </w:r>
      <w:r w:rsidRPr="007428E2">
        <w:rPr>
          <w:rFonts w:ascii="Arial" w:hAnsi="Arial" w:cs="Arial"/>
        </w:rPr>
        <w:t xml:space="preserve"> that the health effects of short-term exposure to PM</w:t>
      </w:r>
      <w:r w:rsidRPr="007428E2">
        <w:rPr>
          <w:rFonts w:ascii="Arial" w:hAnsi="Arial" w:cs="Arial"/>
          <w:vertAlign w:val="subscript"/>
        </w:rPr>
        <w:t>2.5</w:t>
      </w:r>
      <w:r w:rsidRPr="007428E2">
        <w:rPr>
          <w:rFonts w:ascii="Arial" w:hAnsi="Arial" w:cs="Arial"/>
        </w:rPr>
        <w:t xml:space="preserve"> are driven primarily by the numerous mid-range values within the concentration distribution, an</w:t>
      </w:r>
      <w:r w:rsidR="00C12EC2" w:rsidRPr="007428E2">
        <w:rPr>
          <w:rFonts w:ascii="Arial" w:hAnsi="Arial" w:cs="Arial"/>
        </w:rPr>
        <w:t>d not by the peak exposure days</w:t>
      </w:r>
      <w:r w:rsidRPr="007428E2">
        <w:rPr>
          <w:rFonts w:ascii="Arial" w:hAnsi="Arial" w:cs="Arial"/>
        </w:rPr>
        <w:t>. Therefore, control strategies that focus primarily on reducing extreme days are less likely to achieve reductions in PM</w:t>
      </w:r>
      <w:r w:rsidRPr="007428E2">
        <w:rPr>
          <w:rFonts w:ascii="Arial" w:hAnsi="Arial" w:cs="Arial"/>
          <w:vertAlign w:val="subscript"/>
        </w:rPr>
        <w:t>2.5</w:t>
      </w:r>
      <w:r w:rsidRPr="007428E2">
        <w:rPr>
          <w:rFonts w:ascii="Arial" w:hAnsi="Arial" w:cs="Arial"/>
        </w:rPr>
        <w:t xml:space="preserve"> exposures that most contribut</w:t>
      </w:r>
      <w:r w:rsidR="00961D14" w:rsidRPr="007428E2">
        <w:rPr>
          <w:rFonts w:ascii="Arial" w:hAnsi="Arial" w:cs="Arial"/>
        </w:rPr>
        <w:t>e to health effects</w:t>
      </w:r>
      <w:r w:rsidR="00FA636C" w:rsidRPr="007428E2">
        <w:rPr>
          <w:rFonts w:ascii="Arial" w:hAnsi="Arial" w:cs="Arial"/>
        </w:rPr>
        <w:t>,</w:t>
      </w:r>
      <w:r w:rsidR="00961D14" w:rsidRPr="007428E2">
        <w:rPr>
          <w:rFonts w:ascii="Arial" w:hAnsi="Arial" w:cs="Arial"/>
        </w:rPr>
        <w:t xml:space="preserve"> compared with </w:t>
      </w:r>
      <w:r w:rsidRPr="007428E2">
        <w:rPr>
          <w:rFonts w:ascii="Arial" w:hAnsi="Arial" w:cs="Arial"/>
        </w:rPr>
        <w:t>an approach that focuses on reducing the middle range of the PM</w:t>
      </w:r>
      <w:r w:rsidRPr="007428E2">
        <w:rPr>
          <w:rFonts w:ascii="Arial" w:hAnsi="Arial" w:cs="Arial"/>
          <w:vertAlign w:val="subscript"/>
        </w:rPr>
        <w:t>2.5</w:t>
      </w:r>
      <w:r w:rsidRPr="007428E2">
        <w:rPr>
          <w:rFonts w:ascii="Arial" w:hAnsi="Arial" w:cs="Arial"/>
        </w:rPr>
        <w:t xml:space="preserve"> exposure distribution.</w:t>
      </w:r>
    </w:p>
    <w:p w:rsidR="002F0C15" w:rsidRPr="006574FD" w:rsidRDefault="002F0C15" w:rsidP="002F0C15">
      <w:pPr>
        <w:pStyle w:val="ES2"/>
        <w:rPr>
          <w:rFonts w:ascii="Arial" w:hAnsi="Arial" w:cs="Arial"/>
        </w:rPr>
      </w:pPr>
      <w:r w:rsidRPr="006574FD">
        <w:rPr>
          <w:rFonts w:ascii="Arial" w:hAnsi="Arial" w:cs="Arial"/>
        </w:rPr>
        <w:t xml:space="preserve">Economic </w:t>
      </w:r>
      <w:r w:rsidR="00B13CFD" w:rsidRPr="006574FD">
        <w:rPr>
          <w:rFonts w:ascii="Arial" w:hAnsi="Arial" w:cs="Arial"/>
        </w:rPr>
        <w:t>A</w:t>
      </w:r>
      <w:r w:rsidRPr="006574FD">
        <w:rPr>
          <w:rFonts w:ascii="Arial" w:hAnsi="Arial" w:cs="Arial"/>
        </w:rPr>
        <w:t>nalysis</w:t>
      </w:r>
    </w:p>
    <w:p w:rsidR="002F0C15" w:rsidRPr="00AA0C0D" w:rsidRDefault="009C0C08" w:rsidP="008377C9">
      <w:pPr>
        <w:pStyle w:val="BulletArrows"/>
        <w:spacing w:after="240"/>
      </w:pPr>
      <w:r w:rsidRPr="007428E2">
        <w:rPr>
          <w:rFonts w:ascii="Arial" w:hAnsi="Arial"/>
          <w:color w:val="auto"/>
        </w:rPr>
        <w:t>The Economic Analysis project addressed the period 2011</w:t>
      </w:r>
      <w:r w:rsidR="00FA636C" w:rsidRPr="007428E2">
        <w:rPr>
          <w:rFonts w:ascii="Arial" w:hAnsi="Arial"/>
          <w:color w:val="auto"/>
        </w:rPr>
        <w:t>–</w:t>
      </w:r>
      <w:r w:rsidRPr="007428E2">
        <w:rPr>
          <w:rFonts w:ascii="Arial" w:hAnsi="Arial"/>
          <w:color w:val="auto"/>
        </w:rPr>
        <w:t>2036, and therefore characterised potential future exposure. The project examined the costs and benefits of introducing a package of potentially feasible national abatement measures over the 25-year period r</w:t>
      </w:r>
      <w:r w:rsidR="007C48C4" w:rsidRPr="007428E2">
        <w:rPr>
          <w:rFonts w:ascii="Arial" w:hAnsi="Arial"/>
          <w:color w:val="auto"/>
        </w:rPr>
        <w:t>elative to a BAU</w:t>
      </w:r>
      <w:r w:rsidRPr="007428E2">
        <w:rPr>
          <w:rFonts w:ascii="Arial" w:hAnsi="Arial"/>
          <w:color w:val="auto"/>
        </w:rPr>
        <w:t xml:space="preserve"> scenario. The actual air quality standard sub-options in </w:t>
      </w:r>
      <w:r w:rsidRPr="007428E2">
        <w:rPr>
          <w:rFonts w:ascii="Arial" w:hAnsi="Arial"/>
          <w:b/>
          <w:color w:val="auto"/>
        </w:rPr>
        <w:t>Table ES2</w:t>
      </w:r>
      <w:r w:rsidRPr="007428E2">
        <w:rPr>
          <w:rFonts w:ascii="Arial" w:hAnsi="Arial"/>
          <w:color w:val="auto"/>
        </w:rPr>
        <w:t xml:space="preserve"> were incidental to this process in the </w:t>
      </w:r>
      <w:r w:rsidR="00372D16" w:rsidRPr="007428E2">
        <w:rPr>
          <w:rFonts w:ascii="Arial" w:hAnsi="Arial"/>
          <w:color w:val="auto"/>
        </w:rPr>
        <w:t xml:space="preserve">sense that there was no requirement for ambient concentrations to be the same as the standards, </w:t>
      </w:r>
      <w:r w:rsidRPr="007428E2">
        <w:rPr>
          <w:rFonts w:ascii="Arial" w:hAnsi="Arial"/>
          <w:color w:val="auto"/>
        </w:rPr>
        <w:t>as in the HRA project. Rather, the project assessed the likely achievability of the sub-options by 2036 given the trends in emissions and the implementation of the abatement measures. The exposure-reduction target (option ER1) was assessed in a similar way, except for the period 2015</w:t>
      </w:r>
      <w:r w:rsidR="00FA636C" w:rsidRPr="007428E2">
        <w:rPr>
          <w:rFonts w:ascii="Arial" w:hAnsi="Arial"/>
          <w:color w:val="auto"/>
        </w:rPr>
        <w:t>–</w:t>
      </w:r>
      <w:r w:rsidRPr="007428E2">
        <w:rPr>
          <w:rFonts w:ascii="Arial" w:hAnsi="Arial"/>
          <w:color w:val="auto"/>
        </w:rPr>
        <w:t>2025.</w:t>
      </w:r>
    </w:p>
    <w:p w:rsidR="002F0C15" w:rsidRPr="007428E2" w:rsidRDefault="005C3863" w:rsidP="008377C9">
      <w:pPr>
        <w:pStyle w:val="BulletArrows"/>
        <w:spacing w:after="240"/>
        <w:rPr>
          <w:rFonts w:ascii="Arial" w:hAnsi="Arial"/>
          <w:color w:val="auto"/>
        </w:rPr>
      </w:pPr>
      <w:r w:rsidRPr="007428E2">
        <w:rPr>
          <w:rFonts w:ascii="Arial" w:hAnsi="Arial"/>
          <w:color w:val="auto"/>
        </w:rPr>
        <w:lastRenderedPageBreak/>
        <w:t>N</w:t>
      </w:r>
      <w:r w:rsidR="002F0C15" w:rsidRPr="007428E2">
        <w:rPr>
          <w:rFonts w:ascii="Arial" w:hAnsi="Arial"/>
          <w:color w:val="auto"/>
        </w:rPr>
        <w:t xml:space="preserve">ot all possible national and state-based abatement measures were considered in the Economic Analysis. The potential benefits would be greater if all possible abatement measures could be assessed. In other words, the benefits identified in the </w:t>
      </w:r>
      <w:r w:rsidR="00136447" w:rsidRPr="007428E2">
        <w:rPr>
          <w:rFonts w:ascii="Arial" w:hAnsi="Arial"/>
          <w:color w:val="auto"/>
        </w:rPr>
        <w:t>E</w:t>
      </w:r>
      <w:r w:rsidR="002F0C15" w:rsidRPr="007428E2">
        <w:rPr>
          <w:rFonts w:ascii="Arial" w:hAnsi="Arial"/>
          <w:color w:val="auto"/>
        </w:rPr>
        <w:t xml:space="preserve">conomic </w:t>
      </w:r>
      <w:r w:rsidR="00136447" w:rsidRPr="007428E2">
        <w:rPr>
          <w:rFonts w:ascii="Arial" w:hAnsi="Arial"/>
          <w:color w:val="auto"/>
        </w:rPr>
        <w:t>A</w:t>
      </w:r>
      <w:r w:rsidR="002F0C15" w:rsidRPr="007428E2">
        <w:rPr>
          <w:rFonts w:ascii="Arial" w:hAnsi="Arial"/>
          <w:color w:val="auto"/>
        </w:rPr>
        <w:t>nalysis are likely to be representative but are probably conservative.</w:t>
      </w:r>
    </w:p>
    <w:p w:rsidR="00C12EC2" w:rsidRPr="007428E2" w:rsidRDefault="009C0C08" w:rsidP="008377C9">
      <w:pPr>
        <w:rPr>
          <w:rFonts w:ascii="Arial" w:hAnsi="Arial" w:cs="Arial"/>
        </w:rPr>
      </w:pPr>
      <w:r w:rsidRPr="007428E2">
        <w:rPr>
          <w:rFonts w:ascii="Arial" w:hAnsi="Arial" w:cs="Arial"/>
        </w:rPr>
        <w:t>Under the BAU scenario it was estimated that there would be overall increases in the population-weighted PM concentrations over the perio</w:t>
      </w:r>
      <w:r w:rsidR="00E95684" w:rsidRPr="007428E2">
        <w:rPr>
          <w:rFonts w:ascii="Arial" w:hAnsi="Arial" w:cs="Arial"/>
        </w:rPr>
        <w:t>d 2011</w:t>
      </w:r>
      <w:r w:rsidR="00FA636C" w:rsidRPr="007428E2">
        <w:rPr>
          <w:rFonts w:ascii="Arial" w:hAnsi="Arial" w:cs="Arial"/>
        </w:rPr>
        <w:t>–</w:t>
      </w:r>
      <w:r w:rsidR="00E95684" w:rsidRPr="007428E2">
        <w:rPr>
          <w:rFonts w:ascii="Arial" w:hAnsi="Arial" w:cs="Arial"/>
        </w:rPr>
        <w:t>2036 due to increases in emissions</w:t>
      </w:r>
      <w:r w:rsidRPr="007428E2">
        <w:rPr>
          <w:rFonts w:ascii="Arial" w:hAnsi="Arial" w:cs="Arial"/>
        </w:rPr>
        <w:t xml:space="preserve">. </w:t>
      </w:r>
      <w:r w:rsidR="007C48C4" w:rsidRPr="007428E2">
        <w:rPr>
          <w:rFonts w:ascii="Arial" w:hAnsi="Arial" w:cs="Arial"/>
        </w:rPr>
        <w:t>For</w:t>
      </w:r>
      <w:r w:rsidRPr="007428E2">
        <w:rPr>
          <w:rFonts w:ascii="Arial" w:hAnsi="Arial" w:cs="Arial"/>
        </w:rPr>
        <w:t xml:space="preserve"> PM</w:t>
      </w:r>
      <w:r w:rsidRPr="007428E2">
        <w:rPr>
          <w:rFonts w:ascii="Arial" w:hAnsi="Arial" w:cs="Arial"/>
          <w:vertAlign w:val="subscript"/>
        </w:rPr>
        <w:t>10</w:t>
      </w:r>
      <w:r w:rsidR="007C48C4" w:rsidRPr="007428E2">
        <w:rPr>
          <w:rFonts w:ascii="Arial" w:hAnsi="Arial" w:cs="Arial"/>
        </w:rPr>
        <w:t xml:space="preserve"> the </w:t>
      </w:r>
      <w:r w:rsidRPr="007428E2">
        <w:rPr>
          <w:rFonts w:ascii="Arial" w:hAnsi="Arial" w:cs="Arial"/>
        </w:rPr>
        <w:t>increase</w:t>
      </w:r>
      <w:r w:rsidR="007C48C4" w:rsidRPr="007428E2">
        <w:rPr>
          <w:rFonts w:ascii="Arial" w:hAnsi="Arial" w:cs="Arial"/>
        </w:rPr>
        <w:t xml:space="preserve"> would be </w:t>
      </w:r>
      <w:r w:rsidRPr="007428E2">
        <w:rPr>
          <w:rFonts w:ascii="Arial" w:hAnsi="Arial" w:cs="Arial"/>
        </w:rPr>
        <w:t xml:space="preserve">between 0.2 </w:t>
      </w:r>
      <w:proofErr w:type="spellStart"/>
      <w:r w:rsidRPr="007428E2">
        <w:rPr>
          <w:rFonts w:ascii="Arial" w:hAnsi="Arial" w:cs="Arial"/>
        </w:rPr>
        <w:t>μg</w:t>
      </w:r>
      <w:proofErr w:type="spellEnd"/>
      <w:r w:rsidRPr="007428E2">
        <w:rPr>
          <w:rFonts w:ascii="Arial" w:hAnsi="Arial" w:cs="Arial"/>
        </w:rPr>
        <w:t>/m</w:t>
      </w:r>
      <w:r w:rsidRPr="007428E2">
        <w:rPr>
          <w:rFonts w:ascii="Arial" w:hAnsi="Arial" w:cs="Arial"/>
          <w:vertAlign w:val="superscript"/>
        </w:rPr>
        <w:t>3</w:t>
      </w:r>
      <w:r w:rsidRPr="007428E2">
        <w:rPr>
          <w:rFonts w:ascii="Arial" w:hAnsi="Arial" w:cs="Arial"/>
        </w:rPr>
        <w:t xml:space="preserve"> and 2.4 </w:t>
      </w:r>
      <w:proofErr w:type="spellStart"/>
      <w:r w:rsidRPr="007428E2">
        <w:rPr>
          <w:rFonts w:ascii="Arial" w:hAnsi="Arial" w:cs="Arial"/>
        </w:rPr>
        <w:t>μg</w:t>
      </w:r>
      <w:proofErr w:type="spellEnd"/>
      <w:r w:rsidRPr="007428E2">
        <w:rPr>
          <w:rFonts w:ascii="Arial" w:hAnsi="Arial" w:cs="Arial"/>
        </w:rPr>
        <w:t>/m</w:t>
      </w:r>
      <w:r w:rsidRPr="007428E2">
        <w:rPr>
          <w:rFonts w:ascii="Arial" w:hAnsi="Arial" w:cs="Arial"/>
          <w:vertAlign w:val="superscript"/>
        </w:rPr>
        <w:t>3</w:t>
      </w:r>
      <w:r w:rsidRPr="007428E2">
        <w:rPr>
          <w:rFonts w:ascii="Arial" w:hAnsi="Arial" w:cs="Arial"/>
        </w:rPr>
        <w:t>, depending on the jurisdiction. PM</w:t>
      </w:r>
      <w:r w:rsidRPr="007428E2">
        <w:rPr>
          <w:rFonts w:ascii="Arial" w:hAnsi="Arial" w:cs="Arial"/>
          <w:vertAlign w:val="subscript"/>
        </w:rPr>
        <w:t>2.5</w:t>
      </w:r>
      <w:r w:rsidRPr="007428E2">
        <w:rPr>
          <w:rFonts w:ascii="Arial" w:hAnsi="Arial" w:cs="Arial"/>
        </w:rPr>
        <w:t xml:space="preserve"> would increase by up to 1.5 </w:t>
      </w:r>
      <w:proofErr w:type="spellStart"/>
      <w:r w:rsidRPr="007428E2">
        <w:rPr>
          <w:rFonts w:ascii="Arial" w:hAnsi="Arial" w:cs="Arial"/>
        </w:rPr>
        <w:t>μg</w:t>
      </w:r>
      <w:proofErr w:type="spellEnd"/>
      <w:r w:rsidRPr="007428E2">
        <w:rPr>
          <w:rFonts w:ascii="Arial" w:hAnsi="Arial" w:cs="Arial"/>
        </w:rPr>
        <w:t>/m</w:t>
      </w:r>
      <w:r w:rsidRPr="007428E2">
        <w:rPr>
          <w:rFonts w:ascii="Arial" w:hAnsi="Arial" w:cs="Arial"/>
          <w:vertAlign w:val="superscript"/>
        </w:rPr>
        <w:t>3</w:t>
      </w:r>
      <w:r w:rsidRPr="007428E2">
        <w:rPr>
          <w:rFonts w:ascii="Arial" w:hAnsi="Arial" w:cs="Arial"/>
        </w:rPr>
        <w:t>, depending on the jurisdiction; the exception was Victoria, where there would be a slight reduction in the PM</w:t>
      </w:r>
      <w:r w:rsidRPr="007428E2">
        <w:rPr>
          <w:rFonts w:ascii="Arial" w:hAnsi="Arial" w:cs="Arial"/>
          <w:vertAlign w:val="subscript"/>
        </w:rPr>
        <w:t>2.5</w:t>
      </w:r>
      <w:r w:rsidRPr="007428E2">
        <w:rPr>
          <w:rFonts w:ascii="Arial" w:hAnsi="Arial" w:cs="Arial"/>
        </w:rPr>
        <w:t xml:space="preserve"> concentration.</w:t>
      </w:r>
      <w:r w:rsidR="00397389" w:rsidRPr="007428E2">
        <w:rPr>
          <w:rFonts w:ascii="Arial" w:hAnsi="Arial" w:cs="Arial"/>
        </w:rPr>
        <w:t xml:space="preserve"> As emissions increased slightly during the period 2011</w:t>
      </w:r>
      <w:r w:rsidR="00FA636C" w:rsidRPr="007428E2">
        <w:rPr>
          <w:rFonts w:ascii="Arial" w:hAnsi="Arial" w:cs="Arial"/>
        </w:rPr>
        <w:t>–</w:t>
      </w:r>
      <w:r w:rsidR="00397389" w:rsidRPr="007428E2">
        <w:rPr>
          <w:rFonts w:ascii="Arial" w:hAnsi="Arial" w:cs="Arial"/>
        </w:rPr>
        <w:t>2036, this reduction must be due to a change in the spatial distribution of the population (i.e. people moving away from areas with higher concentrations to areas with lower concentrations).</w:t>
      </w:r>
    </w:p>
    <w:p w:rsidR="002F0C15" w:rsidRPr="007428E2" w:rsidRDefault="002F0C15" w:rsidP="008377C9">
      <w:pPr>
        <w:rPr>
          <w:rFonts w:ascii="Arial" w:hAnsi="Arial" w:cs="Arial"/>
        </w:rPr>
      </w:pPr>
      <w:r w:rsidRPr="007428E2">
        <w:rPr>
          <w:rFonts w:ascii="Arial" w:hAnsi="Arial" w:cs="Arial"/>
        </w:rPr>
        <w:t>The increases in concentrat</w:t>
      </w:r>
      <w:r w:rsidR="00910908" w:rsidRPr="007428E2">
        <w:rPr>
          <w:rFonts w:ascii="Arial" w:hAnsi="Arial" w:cs="Arial"/>
        </w:rPr>
        <w:t>ion</w:t>
      </w:r>
      <w:r w:rsidR="009B0937" w:rsidRPr="007428E2">
        <w:rPr>
          <w:rFonts w:ascii="Arial" w:hAnsi="Arial" w:cs="Arial"/>
        </w:rPr>
        <w:t xml:space="preserve"> </w:t>
      </w:r>
      <w:r w:rsidRPr="007428E2">
        <w:rPr>
          <w:rFonts w:ascii="Arial" w:hAnsi="Arial" w:cs="Arial"/>
        </w:rPr>
        <w:t xml:space="preserve">under the BAU scenario would be offset in some jurisdictions by the introduction of </w:t>
      </w:r>
      <w:r w:rsidR="00726CCB" w:rsidRPr="007428E2">
        <w:rPr>
          <w:rFonts w:ascii="Arial" w:hAnsi="Arial" w:cs="Arial"/>
        </w:rPr>
        <w:t xml:space="preserve">any </w:t>
      </w:r>
      <w:r w:rsidRPr="007428E2">
        <w:rPr>
          <w:rFonts w:ascii="Arial" w:hAnsi="Arial" w:cs="Arial"/>
        </w:rPr>
        <w:t>national abatement measures to reduce primary anthropogenic PM emissions.</w:t>
      </w:r>
      <w:r w:rsidR="00E95684" w:rsidRPr="007428E2">
        <w:rPr>
          <w:rFonts w:ascii="Arial" w:hAnsi="Arial" w:cs="Arial"/>
        </w:rPr>
        <w:t xml:space="preserve"> T</w:t>
      </w:r>
      <w:r w:rsidR="00C12EC2" w:rsidRPr="007428E2">
        <w:rPr>
          <w:rFonts w:ascii="Arial" w:hAnsi="Arial" w:cs="Arial"/>
        </w:rPr>
        <w:t xml:space="preserve">he scale of the </w:t>
      </w:r>
      <w:r w:rsidR="00E95684" w:rsidRPr="007428E2">
        <w:rPr>
          <w:rFonts w:ascii="Arial" w:hAnsi="Arial" w:cs="Arial"/>
        </w:rPr>
        <w:t xml:space="preserve">concentration </w:t>
      </w:r>
      <w:r w:rsidR="00C12EC2" w:rsidRPr="007428E2">
        <w:rPr>
          <w:rFonts w:ascii="Arial" w:hAnsi="Arial" w:cs="Arial"/>
        </w:rPr>
        <w:t xml:space="preserve">reductions was </w:t>
      </w:r>
      <w:r w:rsidRPr="007428E2">
        <w:rPr>
          <w:rFonts w:ascii="Arial" w:hAnsi="Arial" w:cs="Arial"/>
        </w:rPr>
        <w:t xml:space="preserve">modest, </w:t>
      </w:r>
      <w:r w:rsidR="00E95684" w:rsidRPr="007428E2">
        <w:rPr>
          <w:rFonts w:ascii="Arial" w:hAnsi="Arial" w:cs="Arial"/>
        </w:rPr>
        <w:t>but the</w:t>
      </w:r>
      <w:r w:rsidR="00DC050D" w:rsidRPr="007428E2">
        <w:rPr>
          <w:rFonts w:ascii="Arial" w:hAnsi="Arial" w:cs="Arial"/>
        </w:rPr>
        <w:t xml:space="preserve"> monetised health benefits in the </w:t>
      </w:r>
      <w:proofErr w:type="spellStart"/>
      <w:r w:rsidR="00DC050D" w:rsidRPr="007428E2">
        <w:rPr>
          <w:rFonts w:ascii="Arial" w:hAnsi="Arial" w:cs="Arial"/>
        </w:rPr>
        <w:t>airsheds</w:t>
      </w:r>
      <w:proofErr w:type="spellEnd"/>
      <w:r w:rsidR="00DC050D" w:rsidRPr="007428E2">
        <w:rPr>
          <w:rFonts w:ascii="Arial" w:hAnsi="Arial" w:cs="Arial"/>
        </w:rPr>
        <w:t xml:space="preserve"> considered in the analysis</w:t>
      </w:r>
      <w:r w:rsidR="00E95684" w:rsidRPr="007428E2">
        <w:rPr>
          <w:rFonts w:ascii="Arial" w:hAnsi="Arial" w:cs="Arial"/>
        </w:rPr>
        <w:t xml:space="preserve"> were substantial. </w:t>
      </w:r>
      <w:r w:rsidR="00E339A1" w:rsidRPr="007428E2">
        <w:rPr>
          <w:rFonts w:ascii="Arial" w:hAnsi="Arial" w:cs="Arial"/>
        </w:rPr>
        <w:t xml:space="preserve">The scale of </w:t>
      </w:r>
      <w:r w:rsidR="00D0297B" w:rsidRPr="007428E2">
        <w:rPr>
          <w:rFonts w:ascii="Arial" w:hAnsi="Arial" w:cs="Arial"/>
        </w:rPr>
        <w:t xml:space="preserve">concentration </w:t>
      </w:r>
      <w:r w:rsidR="00E339A1" w:rsidRPr="007428E2">
        <w:rPr>
          <w:rFonts w:ascii="Arial" w:hAnsi="Arial" w:cs="Arial"/>
        </w:rPr>
        <w:t xml:space="preserve">reductions </w:t>
      </w:r>
      <w:r w:rsidR="005C3863" w:rsidRPr="007428E2">
        <w:rPr>
          <w:rFonts w:ascii="Arial" w:hAnsi="Arial" w:cs="Arial"/>
        </w:rPr>
        <w:t>wa</w:t>
      </w:r>
      <w:r w:rsidRPr="007428E2">
        <w:rPr>
          <w:rFonts w:ascii="Arial" w:hAnsi="Arial" w:cs="Arial"/>
        </w:rPr>
        <w:t xml:space="preserve">s </w:t>
      </w:r>
      <w:r w:rsidR="00E95684" w:rsidRPr="007428E2">
        <w:rPr>
          <w:rFonts w:ascii="Arial" w:hAnsi="Arial" w:cs="Arial"/>
        </w:rPr>
        <w:t xml:space="preserve">limited </w:t>
      </w:r>
      <w:r w:rsidR="005C3863" w:rsidRPr="007428E2">
        <w:rPr>
          <w:rFonts w:ascii="Arial" w:hAnsi="Arial" w:cs="Arial"/>
        </w:rPr>
        <w:t xml:space="preserve">by the </w:t>
      </w:r>
      <w:r w:rsidRPr="007428E2">
        <w:rPr>
          <w:rFonts w:ascii="Arial" w:hAnsi="Arial" w:cs="Arial"/>
        </w:rPr>
        <w:t>contribution of natural and secondary particles to PM</w:t>
      </w:r>
      <w:r w:rsidRPr="007428E2">
        <w:rPr>
          <w:rFonts w:ascii="Arial" w:hAnsi="Arial" w:cs="Arial"/>
          <w:vertAlign w:val="subscript"/>
        </w:rPr>
        <w:t>2.5</w:t>
      </w:r>
      <w:r w:rsidR="00E95684" w:rsidRPr="007428E2">
        <w:rPr>
          <w:rFonts w:ascii="Arial" w:hAnsi="Arial" w:cs="Arial"/>
        </w:rPr>
        <w:t>.</w:t>
      </w:r>
      <w:r w:rsidR="00DC050D" w:rsidRPr="007428E2">
        <w:rPr>
          <w:rFonts w:ascii="Arial" w:hAnsi="Arial" w:cs="Arial"/>
        </w:rPr>
        <w:t xml:space="preserve"> However, reductions </w:t>
      </w:r>
      <w:r w:rsidRPr="007428E2">
        <w:rPr>
          <w:rFonts w:ascii="Arial" w:hAnsi="Arial" w:cs="Arial"/>
        </w:rPr>
        <w:t xml:space="preserve">in primary anthropogenic PM emissions are also likely to be associated with reductions in the emissions of secondary PM precursors, whereas in the Economic Analysis it was assumed (because of the absence of a suitable model) that the secondary PM contribution would be constant with time. </w:t>
      </w:r>
      <w:r w:rsidR="00537E28" w:rsidRPr="007428E2">
        <w:rPr>
          <w:rFonts w:ascii="Arial" w:hAnsi="Arial" w:cs="Arial"/>
        </w:rPr>
        <w:t>T</w:t>
      </w:r>
      <w:r w:rsidRPr="007428E2">
        <w:rPr>
          <w:rFonts w:ascii="Arial" w:hAnsi="Arial" w:cs="Arial"/>
        </w:rPr>
        <w:t xml:space="preserve">his means that the benefits calculated in the Economic Analysis </w:t>
      </w:r>
      <w:r w:rsidR="00E95684" w:rsidRPr="007428E2">
        <w:rPr>
          <w:rFonts w:ascii="Arial" w:hAnsi="Arial" w:cs="Arial"/>
        </w:rPr>
        <w:t>represent</w:t>
      </w:r>
      <w:r w:rsidR="00E339A1" w:rsidRPr="007428E2">
        <w:rPr>
          <w:rFonts w:ascii="Arial" w:hAnsi="Arial" w:cs="Arial"/>
        </w:rPr>
        <w:t xml:space="preserve"> a conservative estimate</w:t>
      </w:r>
      <w:r w:rsidRPr="007428E2">
        <w:rPr>
          <w:rFonts w:ascii="Arial" w:hAnsi="Arial" w:cs="Arial"/>
        </w:rPr>
        <w:t>.</w:t>
      </w:r>
    </w:p>
    <w:p w:rsidR="005A3A9F" w:rsidRPr="007428E2" w:rsidRDefault="005A3A9F" w:rsidP="008377C9">
      <w:pPr>
        <w:rPr>
          <w:rFonts w:ascii="Arial" w:hAnsi="Arial" w:cs="Arial"/>
        </w:rPr>
      </w:pPr>
      <w:r w:rsidRPr="007428E2">
        <w:rPr>
          <w:rFonts w:ascii="Arial" w:hAnsi="Arial" w:cs="Arial"/>
        </w:rPr>
        <w:t xml:space="preserve">By 2036 the health benefit of </w:t>
      </w:r>
      <w:r w:rsidR="00CF151E" w:rsidRPr="007428E2">
        <w:rPr>
          <w:rFonts w:ascii="Arial" w:hAnsi="Arial" w:cs="Arial"/>
        </w:rPr>
        <w:t xml:space="preserve">meeting </w:t>
      </w:r>
      <w:r w:rsidRPr="007428E2">
        <w:rPr>
          <w:rFonts w:ascii="Arial" w:hAnsi="Arial" w:cs="Arial"/>
        </w:rPr>
        <w:t xml:space="preserve">each standard was </w:t>
      </w:r>
      <w:r w:rsidR="00D0297B" w:rsidRPr="007428E2">
        <w:rPr>
          <w:rFonts w:ascii="Arial" w:hAnsi="Arial" w:cs="Arial"/>
        </w:rPr>
        <w:t xml:space="preserve">estimated at </w:t>
      </w:r>
      <w:r w:rsidRPr="007428E2">
        <w:rPr>
          <w:rFonts w:ascii="Arial" w:hAnsi="Arial" w:cs="Arial"/>
        </w:rPr>
        <w:t xml:space="preserve">around $20.7 </w:t>
      </w:r>
      <w:r w:rsidR="00910908" w:rsidRPr="007428E2">
        <w:rPr>
          <w:rFonts w:ascii="Arial" w:hAnsi="Arial" w:cs="Arial"/>
        </w:rPr>
        <w:t>billion to $21.7 b</w:t>
      </w:r>
      <w:r w:rsidRPr="007428E2">
        <w:rPr>
          <w:rFonts w:ascii="Arial" w:hAnsi="Arial" w:cs="Arial"/>
        </w:rPr>
        <w:t>illion</w:t>
      </w:r>
      <w:r w:rsidR="00910908" w:rsidRPr="007428E2">
        <w:rPr>
          <w:rFonts w:ascii="Arial" w:hAnsi="Arial" w:cs="Arial"/>
        </w:rPr>
        <w:t>,</w:t>
      </w:r>
      <w:r w:rsidRPr="007428E2">
        <w:rPr>
          <w:rFonts w:ascii="Arial" w:hAnsi="Arial" w:cs="Arial"/>
        </w:rPr>
        <w:t xml:space="preserve"> and the net benefit after the cost</w:t>
      </w:r>
      <w:r w:rsidR="00910908" w:rsidRPr="007428E2">
        <w:rPr>
          <w:rFonts w:ascii="Arial" w:hAnsi="Arial" w:cs="Arial"/>
        </w:rPr>
        <w:t>s of</w:t>
      </w:r>
      <w:r w:rsidRPr="007428E2">
        <w:rPr>
          <w:rFonts w:ascii="Arial" w:hAnsi="Arial" w:cs="Arial"/>
        </w:rPr>
        <w:t xml:space="preserve"> abatement measures </w:t>
      </w:r>
      <w:r w:rsidR="00910908" w:rsidRPr="007428E2">
        <w:rPr>
          <w:rFonts w:ascii="Arial" w:hAnsi="Arial" w:cs="Arial"/>
        </w:rPr>
        <w:t>we</w:t>
      </w:r>
      <w:r w:rsidR="00D0297B" w:rsidRPr="007428E2">
        <w:rPr>
          <w:rFonts w:ascii="Arial" w:hAnsi="Arial" w:cs="Arial"/>
        </w:rPr>
        <w:t>re</w:t>
      </w:r>
      <w:r w:rsidRPr="007428E2">
        <w:rPr>
          <w:rFonts w:ascii="Arial" w:hAnsi="Arial" w:cs="Arial"/>
        </w:rPr>
        <w:t xml:space="preserve"> included w</w:t>
      </w:r>
      <w:r w:rsidR="00E95684" w:rsidRPr="007428E2">
        <w:rPr>
          <w:rFonts w:ascii="Arial" w:hAnsi="Arial" w:cs="Arial"/>
        </w:rPr>
        <w:t>as around $6.4</w:t>
      </w:r>
      <w:r w:rsidR="00910908" w:rsidRPr="007428E2">
        <w:rPr>
          <w:rFonts w:ascii="Arial" w:hAnsi="Arial" w:cs="Arial"/>
        </w:rPr>
        <w:t xml:space="preserve"> billion</w:t>
      </w:r>
      <w:r w:rsidR="00E95684" w:rsidRPr="007428E2">
        <w:rPr>
          <w:rFonts w:ascii="Arial" w:hAnsi="Arial" w:cs="Arial"/>
        </w:rPr>
        <w:t xml:space="preserve"> to $7 billion). It should be n</w:t>
      </w:r>
      <w:r w:rsidRPr="007428E2">
        <w:rPr>
          <w:rFonts w:ascii="Arial" w:hAnsi="Arial" w:cs="Arial"/>
        </w:rPr>
        <w:t>ote</w:t>
      </w:r>
      <w:r w:rsidR="00E95684" w:rsidRPr="007428E2">
        <w:rPr>
          <w:rFonts w:ascii="Arial" w:hAnsi="Arial" w:cs="Arial"/>
        </w:rPr>
        <w:t>d</w:t>
      </w:r>
      <w:r w:rsidRPr="007428E2">
        <w:rPr>
          <w:rFonts w:ascii="Arial" w:hAnsi="Arial" w:cs="Arial"/>
        </w:rPr>
        <w:t xml:space="preserve"> that </w:t>
      </w:r>
      <w:r w:rsidR="00E95684" w:rsidRPr="007428E2">
        <w:rPr>
          <w:rFonts w:ascii="Arial" w:hAnsi="Arial" w:cs="Arial"/>
        </w:rPr>
        <w:t xml:space="preserve">the </w:t>
      </w:r>
      <w:r w:rsidRPr="007428E2">
        <w:rPr>
          <w:rFonts w:ascii="Arial" w:hAnsi="Arial" w:cs="Arial"/>
        </w:rPr>
        <w:t>health benefits for</w:t>
      </w:r>
      <w:r w:rsidR="00E95684" w:rsidRPr="007428E2">
        <w:rPr>
          <w:rFonts w:ascii="Arial" w:hAnsi="Arial" w:cs="Arial"/>
        </w:rPr>
        <w:t xml:space="preserve"> the</w:t>
      </w:r>
      <w:r w:rsidRPr="007428E2">
        <w:rPr>
          <w:rFonts w:ascii="Arial" w:hAnsi="Arial" w:cs="Arial"/>
        </w:rPr>
        <w:t xml:space="preserve"> individual standards are not additive.</w:t>
      </w:r>
    </w:p>
    <w:p w:rsidR="00A017A8" w:rsidRPr="007428E2" w:rsidRDefault="002F0C15" w:rsidP="000D0BB5">
      <w:pPr>
        <w:spacing w:after="300"/>
        <w:rPr>
          <w:rFonts w:ascii="Arial" w:hAnsi="Arial" w:cs="Arial"/>
        </w:rPr>
      </w:pPr>
      <w:r w:rsidRPr="007428E2">
        <w:rPr>
          <w:rFonts w:ascii="Arial" w:hAnsi="Arial" w:cs="Arial"/>
        </w:rPr>
        <w:t>Meeting the target of a 10% reduction in the annual mean PM</w:t>
      </w:r>
      <w:r w:rsidRPr="007428E2">
        <w:rPr>
          <w:rFonts w:ascii="Arial" w:hAnsi="Arial" w:cs="Arial"/>
          <w:vertAlign w:val="subscript"/>
        </w:rPr>
        <w:t>2.5</w:t>
      </w:r>
      <w:r w:rsidRPr="007428E2">
        <w:rPr>
          <w:rFonts w:ascii="Arial" w:hAnsi="Arial" w:cs="Arial"/>
        </w:rPr>
        <w:t xml:space="preserve"> concentration</w:t>
      </w:r>
      <w:r w:rsidRPr="007428E2">
        <w:rPr>
          <w:rFonts w:ascii="Arial" w:hAnsi="Arial" w:cs="Arial"/>
          <w:sz w:val="24"/>
          <w:szCs w:val="24"/>
        </w:rPr>
        <w:t xml:space="preserve"> </w:t>
      </w:r>
      <w:r w:rsidRPr="007428E2">
        <w:rPr>
          <w:rFonts w:ascii="Arial" w:hAnsi="Arial" w:cs="Arial"/>
        </w:rPr>
        <w:t xml:space="preserve">between 2015 and 2025 </w:t>
      </w:r>
      <w:r w:rsidR="00C12EC2" w:rsidRPr="007428E2">
        <w:rPr>
          <w:rFonts w:ascii="Arial" w:hAnsi="Arial" w:cs="Arial"/>
        </w:rPr>
        <w:t xml:space="preserve">(option ER1) </w:t>
      </w:r>
      <w:r w:rsidRPr="007428E2">
        <w:rPr>
          <w:rFonts w:ascii="Arial" w:hAnsi="Arial" w:cs="Arial"/>
        </w:rPr>
        <w:t>would require very significant additional abatement measures in most jur</w:t>
      </w:r>
      <w:r w:rsidR="000303A2" w:rsidRPr="007428E2">
        <w:rPr>
          <w:rFonts w:ascii="Arial" w:hAnsi="Arial" w:cs="Arial"/>
        </w:rPr>
        <w:t xml:space="preserve">isdictions. It is </w:t>
      </w:r>
      <w:r w:rsidRPr="007428E2">
        <w:rPr>
          <w:rFonts w:ascii="Arial" w:hAnsi="Arial" w:cs="Arial"/>
        </w:rPr>
        <w:t xml:space="preserve">concluded that the proposed exposure-reduction target is </w:t>
      </w:r>
      <w:r w:rsidR="00537E28" w:rsidRPr="007428E2">
        <w:rPr>
          <w:rFonts w:ascii="Arial" w:hAnsi="Arial" w:cs="Arial"/>
        </w:rPr>
        <w:t xml:space="preserve">currently </w:t>
      </w:r>
      <w:r w:rsidRPr="007428E2">
        <w:rPr>
          <w:rFonts w:ascii="Arial" w:hAnsi="Arial" w:cs="Arial"/>
        </w:rPr>
        <w:t>unlikely to be feasible in practice.</w:t>
      </w:r>
      <w:r w:rsidR="00C12EC2" w:rsidRPr="007428E2">
        <w:rPr>
          <w:rFonts w:ascii="Arial" w:hAnsi="Arial" w:cs="Arial"/>
        </w:rPr>
        <w:t xml:space="preserve"> </w:t>
      </w:r>
      <w:r w:rsidRPr="007428E2">
        <w:rPr>
          <w:rFonts w:ascii="Arial" w:hAnsi="Arial" w:cs="Arial"/>
        </w:rPr>
        <w:t>Nevertheless, it is important to emphasise the likely benefits of an exposure-reduction framework. Even where a</w:t>
      </w:r>
      <w:r w:rsidR="00FE5898" w:rsidRPr="007428E2">
        <w:rPr>
          <w:rFonts w:ascii="Arial" w:hAnsi="Arial" w:cs="Arial"/>
        </w:rPr>
        <w:t xml:space="preserve">n </w:t>
      </w:r>
      <w:r w:rsidR="00EF24F8" w:rsidRPr="007428E2">
        <w:rPr>
          <w:rFonts w:ascii="Arial" w:hAnsi="Arial" w:cs="Arial"/>
        </w:rPr>
        <w:t>AAQ NEPM</w:t>
      </w:r>
      <w:r w:rsidRPr="007428E2">
        <w:rPr>
          <w:rFonts w:ascii="Arial" w:hAnsi="Arial" w:cs="Arial"/>
        </w:rPr>
        <w:t xml:space="preserve"> standard is not exceeded there is a health benefit associated with reducing concentrations, and an exposure-reduction framework provides an appropriate mechanism for this. Therefore</w:t>
      </w:r>
      <w:r w:rsidR="005C3863" w:rsidRPr="007428E2">
        <w:rPr>
          <w:rFonts w:ascii="Arial" w:hAnsi="Arial" w:cs="Arial"/>
        </w:rPr>
        <w:t>,</w:t>
      </w:r>
      <w:r w:rsidRPr="007428E2">
        <w:rPr>
          <w:rFonts w:ascii="Arial" w:hAnsi="Arial" w:cs="Arial"/>
        </w:rPr>
        <w:t xml:space="preserve"> the incorporation of option ER2 into the </w:t>
      </w:r>
      <w:r w:rsidR="00EF24F8" w:rsidRPr="007428E2">
        <w:rPr>
          <w:rFonts w:ascii="Arial" w:hAnsi="Arial" w:cs="Arial"/>
        </w:rPr>
        <w:t>AAQ NEPM</w:t>
      </w:r>
      <w:r w:rsidRPr="007428E2">
        <w:rPr>
          <w:rFonts w:ascii="Arial" w:hAnsi="Arial" w:cs="Arial"/>
        </w:rPr>
        <w:t xml:space="preserve"> </w:t>
      </w:r>
      <w:r w:rsidR="00C520BB" w:rsidRPr="007428E2">
        <w:rPr>
          <w:rFonts w:ascii="Arial" w:hAnsi="Arial" w:cs="Arial"/>
        </w:rPr>
        <w:t>should</w:t>
      </w:r>
      <w:r w:rsidRPr="007428E2">
        <w:rPr>
          <w:rFonts w:ascii="Arial" w:hAnsi="Arial" w:cs="Arial"/>
        </w:rPr>
        <w:t xml:space="preserve"> be considered. This would involve the development of an exposure index for PM</w:t>
      </w:r>
      <w:r w:rsidRPr="007428E2">
        <w:rPr>
          <w:rFonts w:ascii="Arial" w:hAnsi="Arial" w:cs="Arial"/>
          <w:vertAlign w:val="subscript"/>
        </w:rPr>
        <w:t>2.5</w:t>
      </w:r>
      <w:r w:rsidRPr="007428E2">
        <w:rPr>
          <w:rFonts w:ascii="Arial" w:hAnsi="Arial" w:cs="Arial"/>
        </w:rPr>
        <w:t xml:space="preserve"> for assessing progress</w:t>
      </w:r>
      <w:r w:rsidR="00907961" w:rsidRPr="007428E2">
        <w:rPr>
          <w:rFonts w:ascii="Arial" w:hAnsi="Arial" w:cs="Arial"/>
        </w:rPr>
        <w:t xml:space="preserve"> against an implicit aim of continual improvement and/or no deterioration of air quality</w:t>
      </w:r>
      <w:r w:rsidR="005C3863" w:rsidRPr="007428E2">
        <w:rPr>
          <w:rFonts w:ascii="Arial" w:hAnsi="Arial" w:cs="Arial"/>
        </w:rPr>
        <w:t>. Option ER2 could be adopted at</w:t>
      </w:r>
      <w:r w:rsidRPr="007428E2">
        <w:rPr>
          <w:rFonts w:ascii="Arial" w:hAnsi="Arial" w:cs="Arial"/>
        </w:rPr>
        <w:t xml:space="preserve"> little </w:t>
      </w:r>
      <w:r w:rsidR="00E95684" w:rsidRPr="007428E2">
        <w:rPr>
          <w:rFonts w:ascii="Arial" w:hAnsi="Arial" w:cs="Arial"/>
        </w:rPr>
        <w:t>or</w:t>
      </w:r>
      <w:r w:rsidR="00537E28" w:rsidRPr="007428E2">
        <w:rPr>
          <w:rFonts w:ascii="Arial" w:hAnsi="Arial" w:cs="Arial"/>
        </w:rPr>
        <w:t xml:space="preserve"> no </w:t>
      </w:r>
      <w:r w:rsidRPr="007428E2">
        <w:rPr>
          <w:rFonts w:ascii="Arial" w:hAnsi="Arial" w:cs="Arial"/>
        </w:rPr>
        <w:t>additional cost to the jurisdictions.</w:t>
      </w:r>
    </w:p>
    <w:p w:rsidR="00DC11E8" w:rsidRPr="006574FD" w:rsidRDefault="00DC11E8" w:rsidP="00DC11E8">
      <w:pPr>
        <w:pStyle w:val="ES2"/>
        <w:rPr>
          <w:rFonts w:ascii="Arial" w:hAnsi="Arial" w:cs="Arial"/>
        </w:rPr>
      </w:pPr>
      <w:r w:rsidRPr="006574FD">
        <w:rPr>
          <w:rFonts w:ascii="Arial" w:hAnsi="Arial" w:cs="Arial"/>
        </w:rPr>
        <w:t>Summary of information for each sub-option</w:t>
      </w:r>
    </w:p>
    <w:p w:rsidR="00DC11E8" w:rsidRPr="007428E2" w:rsidRDefault="00DC11E8" w:rsidP="008377C9">
      <w:pPr>
        <w:rPr>
          <w:rFonts w:ascii="Arial" w:hAnsi="Arial" w:cs="Arial"/>
        </w:rPr>
      </w:pPr>
      <w:r w:rsidRPr="007428E2">
        <w:rPr>
          <w:rFonts w:ascii="Arial" w:hAnsi="Arial" w:cs="Arial"/>
        </w:rPr>
        <w:t>The informati</w:t>
      </w:r>
      <w:r w:rsidR="005C3863" w:rsidRPr="007428E2">
        <w:rPr>
          <w:rFonts w:ascii="Arial" w:hAnsi="Arial" w:cs="Arial"/>
        </w:rPr>
        <w:t xml:space="preserve">on obtained for each of the </w:t>
      </w:r>
      <w:r w:rsidRPr="007428E2">
        <w:rPr>
          <w:rFonts w:ascii="Arial" w:hAnsi="Arial" w:cs="Arial"/>
        </w:rPr>
        <w:t>opt</w:t>
      </w:r>
      <w:r w:rsidR="005C3863" w:rsidRPr="007428E2">
        <w:rPr>
          <w:rFonts w:ascii="Arial" w:hAnsi="Arial" w:cs="Arial"/>
        </w:rPr>
        <w:t xml:space="preserve">ions for </w:t>
      </w:r>
      <w:r w:rsidRPr="007428E2">
        <w:rPr>
          <w:rFonts w:ascii="Arial" w:hAnsi="Arial" w:cs="Arial"/>
        </w:rPr>
        <w:t>the PM</w:t>
      </w:r>
      <w:r w:rsidRPr="007428E2">
        <w:rPr>
          <w:rFonts w:ascii="Arial" w:hAnsi="Arial" w:cs="Arial"/>
          <w:vertAlign w:val="subscript"/>
        </w:rPr>
        <w:t>10</w:t>
      </w:r>
      <w:r w:rsidRPr="007428E2">
        <w:rPr>
          <w:rFonts w:ascii="Arial" w:hAnsi="Arial" w:cs="Arial"/>
        </w:rPr>
        <w:t xml:space="preserve"> and PM</w:t>
      </w:r>
      <w:r w:rsidRPr="007428E2">
        <w:rPr>
          <w:rFonts w:ascii="Arial" w:hAnsi="Arial" w:cs="Arial"/>
          <w:vertAlign w:val="subscript"/>
        </w:rPr>
        <w:t>2.5</w:t>
      </w:r>
      <w:r w:rsidRPr="007428E2">
        <w:rPr>
          <w:rFonts w:ascii="Arial" w:hAnsi="Arial" w:cs="Arial"/>
        </w:rPr>
        <w:t xml:space="preserve"> standards is summarised in</w:t>
      </w:r>
      <w:r w:rsidRPr="007428E2">
        <w:rPr>
          <w:rFonts w:ascii="Arial" w:hAnsi="Arial" w:cs="Arial"/>
          <w:b/>
        </w:rPr>
        <w:t xml:space="preserve"> Table ES</w:t>
      </w:r>
      <w:r w:rsidR="00AA0CD0">
        <w:rPr>
          <w:rFonts w:ascii="Arial" w:hAnsi="Arial" w:cs="Arial"/>
          <w:b/>
        </w:rPr>
        <w:t>5</w:t>
      </w:r>
      <w:r w:rsidRPr="007428E2">
        <w:rPr>
          <w:rFonts w:ascii="Arial" w:hAnsi="Arial" w:cs="Arial"/>
        </w:rPr>
        <w:t>. The main aspects to note are</w:t>
      </w:r>
      <w:r w:rsidR="00880811" w:rsidRPr="007428E2">
        <w:rPr>
          <w:rFonts w:ascii="Arial" w:hAnsi="Arial" w:cs="Arial"/>
        </w:rPr>
        <w:t xml:space="preserve"> as follows</w:t>
      </w:r>
      <w:r w:rsidRPr="007428E2">
        <w:rPr>
          <w:rFonts w:ascii="Arial" w:hAnsi="Arial" w:cs="Arial"/>
        </w:rPr>
        <w:t>:</w:t>
      </w:r>
    </w:p>
    <w:p w:rsidR="00DC11E8" w:rsidRPr="007428E2" w:rsidRDefault="00DC11E8" w:rsidP="008377C9">
      <w:pPr>
        <w:pStyle w:val="BulletArrows"/>
        <w:numPr>
          <w:ilvl w:val="0"/>
          <w:numId w:val="1"/>
        </w:numPr>
        <w:spacing w:after="240"/>
        <w:ind w:left="568" w:hanging="284"/>
        <w:rPr>
          <w:rFonts w:ascii="Arial" w:hAnsi="Arial"/>
        </w:rPr>
      </w:pPr>
      <w:r w:rsidRPr="007428E2">
        <w:rPr>
          <w:rFonts w:ascii="Arial" w:hAnsi="Arial"/>
        </w:rPr>
        <w:t>The latest health findings indicate that it would be advisable to include an annual mean standard for PM</w:t>
      </w:r>
      <w:r w:rsidRPr="007428E2">
        <w:rPr>
          <w:rFonts w:ascii="Arial" w:hAnsi="Arial"/>
          <w:vertAlign w:val="subscript"/>
        </w:rPr>
        <w:t>10</w:t>
      </w:r>
      <w:r w:rsidRPr="007428E2">
        <w:rPr>
          <w:rFonts w:ascii="Arial" w:hAnsi="Arial"/>
        </w:rPr>
        <w:t xml:space="preserve"> in the </w:t>
      </w:r>
      <w:r w:rsidR="00EF24F8" w:rsidRPr="007428E2">
        <w:rPr>
          <w:rFonts w:ascii="Arial" w:hAnsi="Arial"/>
        </w:rPr>
        <w:t>AAQ NEPM</w:t>
      </w:r>
      <w:r w:rsidRPr="007428E2">
        <w:rPr>
          <w:rFonts w:ascii="Arial" w:hAnsi="Arial"/>
        </w:rPr>
        <w:t xml:space="preserve">. This is supported by </w:t>
      </w:r>
      <w:proofErr w:type="spellStart"/>
      <w:r w:rsidRPr="007428E2">
        <w:rPr>
          <w:rFonts w:ascii="Arial" w:hAnsi="Arial"/>
        </w:rPr>
        <w:t>enHealth</w:t>
      </w:r>
      <w:proofErr w:type="spellEnd"/>
      <w:r w:rsidRPr="007428E2">
        <w:rPr>
          <w:rFonts w:ascii="Arial" w:hAnsi="Arial"/>
        </w:rPr>
        <w:t>. The historical PM</w:t>
      </w:r>
      <w:r w:rsidRPr="007428E2">
        <w:rPr>
          <w:rFonts w:ascii="Arial" w:hAnsi="Arial"/>
          <w:vertAlign w:val="subscript"/>
        </w:rPr>
        <w:t>10</w:t>
      </w:r>
      <w:r w:rsidRPr="007428E2">
        <w:rPr>
          <w:rFonts w:ascii="Arial" w:hAnsi="Arial"/>
        </w:rPr>
        <w:t xml:space="preserve"> monitoring data and the future projections from the Economic Analysis indicate that a value for the standard of 20 </w:t>
      </w:r>
      <w:proofErr w:type="spellStart"/>
      <w:r w:rsidRPr="007428E2">
        <w:rPr>
          <w:rFonts w:ascii="Arial" w:hAnsi="Arial"/>
        </w:rPr>
        <w:t>μg</w:t>
      </w:r>
      <w:proofErr w:type="spellEnd"/>
      <w:r w:rsidRPr="007428E2">
        <w:rPr>
          <w:rFonts w:ascii="Arial" w:hAnsi="Arial"/>
        </w:rPr>
        <w:t>/m</w:t>
      </w:r>
      <w:r w:rsidRPr="007428E2">
        <w:rPr>
          <w:rFonts w:ascii="Arial" w:hAnsi="Arial"/>
          <w:vertAlign w:val="superscript"/>
        </w:rPr>
        <w:t>3</w:t>
      </w:r>
      <w:r w:rsidRPr="007428E2">
        <w:rPr>
          <w:rFonts w:ascii="Arial" w:hAnsi="Arial"/>
        </w:rPr>
        <w:t xml:space="preserve"> would be </w:t>
      </w:r>
      <w:r w:rsidR="000F096F" w:rsidRPr="007428E2">
        <w:rPr>
          <w:rFonts w:ascii="Arial" w:hAnsi="Arial"/>
        </w:rPr>
        <w:t xml:space="preserve">practicable and </w:t>
      </w:r>
      <w:r w:rsidRPr="007428E2">
        <w:rPr>
          <w:rFonts w:ascii="Arial" w:hAnsi="Arial"/>
        </w:rPr>
        <w:t>appropriate.</w:t>
      </w:r>
    </w:p>
    <w:p w:rsidR="00DC11E8" w:rsidRPr="007428E2" w:rsidRDefault="00DC11E8" w:rsidP="008377C9">
      <w:pPr>
        <w:pStyle w:val="BulletArrows"/>
        <w:numPr>
          <w:ilvl w:val="0"/>
          <w:numId w:val="1"/>
        </w:numPr>
        <w:spacing w:after="240"/>
        <w:ind w:left="568" w:hanging="284"/>
        <w:rPr>
          <w:rFonts w:ascii="Arial" w:hAnsi="Arial"/>
        </w:rPr>
      </w:pPr>
      <w:r w:rsidRPr="007428E2">
        <w:rPr>
          <w:rFonts w:ascii="Arial" w:hAnsi="Arial"/>
        </w:rPr>
        <w:t>The PM</w:t>
      </w:r>
      <w:r w:rsidRPr="007428E2">
        <w:rPr>
          <w:rFonts w:ascii="Arial" w:hAnsi="Arial"/>
          <w:vertAlign w:val="subscript"/>
        </w:rPr>
        <w:t>10</w:t>
      </w:r>
      <w:r w:rsidR="00F40168" w:rsidRPr="007428E2">
        <w:rPr>
          <w:rFonts w:ascii="Arial" w:hAnsi="Arial"/>
        </w:rPr>
        <w:t xml:space="preserve"> monitoring data and </w:t>
      </w:r>
      <w:r w:rsidRPr="007428E2">
        <w:rPr>
          <w:rFonts w:ascii="Arial" w:hAnsi="Arial"/>
        </w:rPr>
        <w:t>Economic Analysis indicate that a tightening of the 24-hour standard for PM</w:t>
      </w:r>
      <w:r w:rsidRPr="007428E2">
        <w:rPr>
          <w:rFonts w:ascii="Arial" w:hAnsi="Arial"/>
          <w:vertAlign w:val="subscript"/>
        </w:rPr>
        <w:t>10</w:t>
      </w:r>
      <w:r w:rsidRPr="007428E2">
        <w:rPr>
          <w:rFonts w:ascii="Arial" w:hAnsi="Arial"/>
        </w:rPr>
        <w:t xml:space="preserve"> (currently 50 </w:t>
      </w:r>
      <w:proofErr w:type="spellStart"/>
      <w:r w:rsidRPr="007428E2">
        <w:rPr>
          <w:rFonts w:ascii="Arial" w:hAnsi="Arial"/>
        </w:rPr>
        <w:t>μg</w:t>
      </w:r>
      <w:proofErr w:type="spellEnd"/>
      <w:r w:rsidRPr="007428E2">
        <w:rPr>
          <w:rFonts w:ascii="Arial" w:hAnsi="Arial"/>
        </w:rPr>
        <w:t>/m</w:t>
      </w:r>
      <w:r w:rsidRPr="007428E2">
        <w:rPr>
          <w:rFonts w:ascii="Arial" w:hAnsi="Arial"/>
          <w:vertAlign w:val="superscript"/>
        </w:rPr>
        <w:t>3</w:t>
      </w:r>
      <w:r w:rsidR="000303A2" w:rsidRPr="007428E2">
        <w:rPr>
          <w:rFonts w:ascii="Arial" w:hAnsi="Arial"/>
        </w:rPr>
        <w:t>) c</w:t>
      </w:r>
      <w:r w:rsidRPr="007428E2">
        <w:rPr>
          <w:rFonts w:ascii="Arial" w:hAnsi="Arial"/>
        </w:rPr>
        <w:t xml:space="preserve">ould encourage future improvements in air quality. A change to a standard of 40 </w:t>
      </w:r>
      <w:proofErr w:type="spellStart"/>
      <w:r w:rsidRPr="007428E2">
        <w:rPr>
          <w:rFonts w:ascii="Arial" w:hAnsi="Arial"/>
        </w:rPr>
        <w:t>μg</w:t>
      </w:r>
      <w:proofErr w:type="spellEnd"/>
      <w:r w:rsidRPr="007428E2">
        <w:rPr>
          <w:rFonts w:ascii="Arial" w:hAnsi="Arial"/>
        </w:rPr>
        <w:t>/m</w:t>
      </w:r>
      <w:r w:rsidRPr="007428E2">
        <w:rPr>
          <w:rFonts w:ascii="Arial" w:hAnsi="Arial"/>
          <w:vertAlign w:val="superscript"/>
        </w:rPr>
        <w:t>3</w:t>
      </w:r>
      <w:r w:rsidRPr="007428E2">
        <w:rPr>
          <w:rFonts w:ascii="Arial" w:hAnsi="Arial"/>
        </w:rPr>
        <w:t xml:space="preserve"> would be possible</w:t>
      </w:r>
      <w:r w:rsidR="00213383" w:rsidRPr="007428E2">
        <w:rPr>
          <w:rFonts w:ascii="Arial" w:hAnsi="Arial"/>
        </w:rPr>
        <w:t>, particularly in most urban areas</w:t>
      </w:r>
      <w:r w:rsidRPr="007428E2">
        <w:rPr>
          <w:rFonts w:ascii="Arial" w:hAnsi="Arial"/>
        </w:rPr>
        <w:t>. However, it would be advisable to retain the 50 </w:t>
      </w:r>
      <w:proofErr w:type="spellStart"/>
      <w:r w:rsidRPr="007428E2">
        <w:rPr>
          <w:rFonts w:ascii="Arial" w:hAnsi="Arial"/>
        </w:rPr>
        <w:t>μg</w:t>
      </w:r>
      <w:proofErr w:type="spellEnd"/>
      <w:r w:rsidRPr="007428E2">
        <w:rPr>
          <w:rFonts w:ascii="Arial" w:hAnsi="Arial"/>
        </w:rPr>
        <w:t>/m</w:t>
      </w:r>
      <w:r w:rsidRPr="007428E2">
        <w:rPr>
          <w:rFonts w:ascii="Arial" w:hAnsi="Arial"/>
          <w:vertAlign w:val="superscript"/>
        </w:rPr>
        <w:t>3</w:t>
      </w:r>
      <w:r w:rsidRPr="007428E2">
        <w:rPr>
          <w:rFonts w:ascii="Arial" w:hAnsi="Arial"/>
        </w:rPr>
        <w:t xml:space="preserve"> standard as an option</w:t>
      </w:r>
      <w:r w:rsidR="00642327" w:rsidRPr="007428E2">
        <w:rPr>
          <w:rFonts w:ascii="Arial" w:hAnsi="Arial"/>
        </w:rPr>
        <w:t xml:space="preserve"> to be considered during consultation</w:t>
      </w:r>
      <w:r w:rsidRPr="007428E2">
        <w:rPr>
          <w:rFonts w:ascii="Arial" w:hAnsi="Arial"/>
        </w:rPr>
        <w:t xml:space="preserve">. </w:t>
      </w:r>
      <w:r w:rsidR="00F96E3B" w:rsidRPr="007428E2">
        <w:rPr>
          <w:rFonts w:ascii="Arial" w:hAnsi="Arial"/>
        </w:rPr>
        <w:t xml:space="preserve">As </w:t>
      </w:r>
      <w:r w:rsidRPr="007428E2">
        <w:rPr>
          <w:rFonts w:ascii="Arial" w:hAnsi="Arial"/>
        </w:rPr>
        <w:t>moving to the lower value could present some difficulties in certain jurisdictions, an alternative would be to consider an intermediate option of 45 </w:t>
      </w:r>
      <w:proofErr w:type="spellStart"/>
      <w:r w:rsidRPr="007428E2">
        <w:rPr>
          <w:rFonts w:ascii="Arial" w:hAnsi="Arial"/>
        </w:rPr>
        <w:t>μg</w:t>
      </w:r>
      <w:proofErr w:type="spellEnd"/>
      <w:r w:rsidRPr="007428E2">
        <w:rPr>
          <w:rFonts w:ascii="Arial" w:hAnsi="Arial"/>
        </w:rPr>
        <w:t>/m</w:t>
      </w:r>
      <w:r w:rsidRPr="007428E2">
        <w:rPr>
          <w:rFonts w:ascii="Arial" w:hAnsi="Arial"/>
          <w:vertAlign w:val="superscript"/>
        </w:rPr>
        <w:t>3</w:t>
      </w:r>
      <w:r w:rsidRPr="007428E2">
        <w:rPr>
          <w:rFonts w:ascii="Arial" w:hAnsi="Arial"/>
        </w:rPr>
        <w:t>.</w:t>
      </w:r>
      <w:r w:rsidR="00880811" w:rsidRPr="007428E2">
        <w:rPr>
          <w:rFonts w:ascii="Arial" w:hAnsi="Arial"/>
        </w:rPr>
        <w:t xml:space="preserve"> </w:t>
      </w:r>
      <w:r w:rsidR="0008728B" w:rsidRPr="007428E2">
        <w:rPr>
          <w:rFonts w:ascii="Arial" w:hAnsi="Arial"/>
        </w:rPr>
        <w:t>A</w:t>
      </w:r>
      <w:r w:rsidR="00880811" w:rsidRPr="007428E2">
        <w:rPr>
          <w:rFonts w:ascii="Arial" w:hAnsi="Arial"/>
        </w:rPr>
        <w:t>ddi</w:t>
      </w:r>
      <w:r w:rsidR="0008728B" w:rsidRPr="007428E2">
        <w:rPr>
          <w:rFonts w:ascii="Arial" w:hAnsi="Arial"/>
        </w:rPr>
        <w:t xml:space="preserve">tionally </w:t>
      </w:r>
      <w:r w:rsidR="00880811" w:rsidRPr="007428E2">
        <w:rPr>
          <w:rFonts w:ascii="Arial" w:hAnsi="Arial"/>
        </w:rPr>
        <w:t>a move to a lower standard could mean that the 24-hour standard is exceeded more frequently than the annual mean standard</w:t>
      </w:r>
      <w:r w:rsidR="0008728B" w:rsidRPr="007428E2">
        <w:rPr>
          <w:rFonts w:ascii="Arial" w:hAnsi="Arial"/>
        </w:rPr>
        <w:t xml:space="preserve">, and therefore </w:t>
      </w:r>
      <w:r w:rsidR="00FA636C" w:rsidRPr="007428E2">
        <w:rPr>
          <w:rFonts w:ascii="Arial" w:hAnsi="Arial"/>
        </w:rPr>
        <w:t xml:space="preserve">becomes </w:t>
      </w:r>
      <w:r w:rsidR="0008728B" w:rsidRPr="007428E2">
        <w:rPr>
          <w:rFonts w:ascii="Arial" w:hAnsi="Arial"/>
        </w:rPr>
        <w:t>the controlling standard</w:t>
      </w:r>
      <w:r w:rsidR="00880811" w:rsidRPr="007428E2">
        <w:rPr>
          <w:rFonts w:ascii="Arial" w:hAnsi="Arial"/>
        </w:rPr>
        <w:t>.</w:t>
      </w:r>
    </w:p>
    <w:p w:rsidR="00DC11E8" w:rsidRPr="007428E2" w:rsidRDefault="00DC11E8" w:rsidP="008377C9">
      <w:pPr>
        <w:pStyle w:val="BulletArrows"/>
        <w:numPr>
          <w:ilvl w:val="0"/>
          <w:numId w:val="1"/>
        </w:numPr>
        <w:spacing w:after="240"/>
        <w:ind w:left="568" w:hanging="284"/>
        <w:rPr>
          <w:rFonts w:ascii="Arial" w:hAnsi="Arial"/>
        </w:rPr>
      </w:pPr>
      <w:r w:rsidRPr="007428E2">
        <w:rPr>
          <w:rFonts w:ascii="Arial" w:hAnsi="Arial"/>
        </w:rPr>
        <w:t>For annual mean PM</w:t>
      </w:r>
      <w:r w:rsidRPr="007428E2">
        <w:rPr>
          <w:rFonts w:ascii="Arial" w:hAnsi="Arial"/>
          <w:vertAlign w:val="subscript"/>
        </w:rPr>
        <w:t>2.5</w:t>
      </w:r>
      <w:r w:rsidRPr="007428E2">
        <w:rPr>
          <w:rFonts w:ascii="Arial" w:hAnsi="Arial"/>
        </w:rPr>
        <w:t xml:space="preserve"> the monitoring data and the Economic Analysis indicate that a value for the standard of 8 </w:t>
      </w:r>
      <w:proofErr w:type="spellStart"/>
      <w:r w:rsidRPr="007428E2">
        <w:rPr>
          <w:rFonts w:ascii="Arial" w:hAnsi="Arial"/>
        </w:rPr>
        <w:t>μg</w:t>
      </w:r>
      <w:proofErr w:type="spellEnd"/>
      <w:r w:rsidRPr="007428E2">
        <w:rPr>
          <w:rFonts w:ascii="Arial" w:hAnsi="Arial"/>
        </w:rPr>
        <w:t>/m</w:t>
      </w:r>
      <w:r w:rsidRPr="007428E2">
        <w:rPr>
          <w:rFonts w:ascii="Arial" w:hAnsi="Arial"/>
          <w:vertAlign w:val="superscript"/>
        </w:rPr>
        <w:t>3</w:t>
      </w:r>
      <w:r w:rsidRPr="007428E2">
        <w:rPr>
          <w:rFonts w:ascii="Arial" w:hAnsi="Arial"/>
        </w:rPr>
        <w:t xml:space="preserve"> would be appropriate. Most jurisdictions are already complying with this on an average basis. A move to a standard of 6 </w:t>
      </w:r>
      <w:proofErr w:type="spellStart"/>
      <w:r w:rsidRPr="007428E2">
        <w:rPr>
          <w:rFonts w:ascii="Arial" w:hAnsi="Arial"/>
        </w:rPr>
        <w:t>μg</w:t>
      </w:r>
      <w:proofErr w:type="spellEnd"/>
      <w:r w:rsidRPr="007428E2">
        <w:rPr>
          <w:rFonts w:ascii="Arial" w:hAnsi="Arial"/>
        </w:rPr>
        <w:t>/m</w:t>
      </w:r>
      <w:r w:rsidRPr="007428E2">
        <w:rPr>
          <w:rFonts w:ascii="Arial" w:hAnsi="Arial"/>
          <w:vertAlign w:val="superscript"/>
        </w:rPr>
        <w:t>3</w:t>
      </w:r>
      <w:r w:rsidRPr="007428E2">
        <w:rPr>
          <w:rFonts w:ascii="Arial" w:hAnsi="Arial"/>
        </w:rPr>
        <w:t xml:space="preserve"> would </w:t>
      </w:r>
      <w:r w:rsidR="0008728B" w:rsidRPr="007428E2">
        <w:rPr>
          <w:rFonts w:ascii="Arial" w:hAnsi="Arial"/>
        </w:rPr>
        <w:t xml:space="preserve">be unrealistic </w:t>
      </w:r>
      <w:r w:rsidR="00C74851" w:rsidRPr="007428E2">
        <w:rPr>
          <w:rFonts w:ascii="Arial" w:hAnsi="Arial"/>
        </w:rPr>
        <w:t xml:space="preserve">given </w:t>
      </w:r>
      <w:r w:rsidR="000303A2" w:rsidRPr="007428E2">
        <w:rPr>
          <w:rFonts w:ascii="Arial" w:hAnsi="Arial"/>
        </w:rPr>
        <w:t xml:space="preserve">background levels of air pollution and </w:t>
      </w:r>
      <w:r w:rsidR="00C74851" w:rsidRPr="007428E2">
        <w:rPr>
          <w:rFonts w:ascii="Arial" w:hAnsi="Arial"/>
        </w:rPr>
        <w:t xml:space="preserve">the </w:t>
      </w:r>
      <w:r w:rsidR="00E95684" w:rsidRPr="007428E2">
        <w:rPr>
          <w:rFonts w:ascii="Arial" w:hAnsi="Arial"/>
        </w:rPr>
        <w:t>projected increases in</w:t>
      </w:r>
      <w:r w:rsidR="000303A2" w:rsidRPr="007428E2">
        <w:rPr>
          <w:rFonts w:ascii="Arial" w:hAnsi="Arial"/>
        </w:rPr>
        <w:t xml:space="preserve"> population and </w:t>
      </w:r>
      <w:r w:rsidR="00C74851" w:rsidRPr="007428E2">
        <w:rPr>
          <w:rFonts w:ascii="Arial" w:hAnsi="Arial"/>
        </w:rPr>
        <w:t>emissions.</w:t>
      </w:r>
    </w:p>
    <w:p w:rsidR="00DC11E8" w:rsidRPr="007428E2" w:rsidRDefault="00DC11E8" w:rsidP="008377C9">
      <w:pPr>
        <w:pStyle w:val="BulletArrows"/>
        <w:numPr>
          <w:ilvl w:val="0"/>
          <w:numId w:val="1"/>
        </w:numPr>
        <w:spacing w:after="240"/>
        <w:ind w:left="568" w:hanging="284"/>
        <w:rPr>
          <w:rFonts w:ascii="Arial" w:hAnsi="Arial"/>
        </w:rPr>
      </w:pPr>
      <w:r w:rsidRPr="007428E2">
        <w:rPr>
          <w:rFonts w:ascii="Arial" w:hAnsi="Arial"/>
          <w:szCs w:val="18"/>
        </w:rPr>
        <w:lastRenderedPageBreak/>
        <w:t>The PM</w:t>
      </w:r>
      <w:r w:rsidRPr="007428E2">
        <w:rPr>
          <w:rFonts w:ascii="Arial" w:hAnsi="Arial"/>
          <w:szCs w:val="18"/>
          <w:vertAlign w:val="subscript"/>
        </w:rPr>
        <w:t>2.5</w:t>
      </w:r>
      <w:r w:rsidRPr="007428E2">
        <w:rPr>
          <w:rFonts w:ascii="Arial" w:hAnsi="Arial"/>
          <w:szCs w:val="18"/>
        </w:rPr>
        <w:t xml:space="preserve"> monitoring data indicate that the options for a 24-hour standard of 20 </w:t>
      </w:r>
      <w:proofErr w:type="spellStart"/>
      <w:r w:rsidR="008441E4" w:rsidRPr="007428E2">
        <w:rPr>
          <w:rFonts w:ascii="Arial" w:hAnsi="Arial"/>
          <w:szCs w:val="18"/>
        </w:rPr>
        <w:t>μg</w:t>
      </w:r>
      <w:proofErr w:type="spellEnd"/>
      <w:r w:rsidR="008441E4" w:rsidRPr="007428E2">
        <w:rPr>
          <w:rFonts w:ascii="Arial" w:hAnsi="Arial"/>
          <w:szCs w:val="18"/>
        </w:rPr>
        <w:t>/m</w:t>
      </w:r>
      <w:r w:rsidR="008441E4" w:rsidRPr="007428E2">
        <w:rPr>
          <w:rFonts w:ascii="Arial" w:hAnsi="Arial"/>
          <w:szCs w:val="18"/>
          <w:vertAlign w:val="superscript"/>
        </w:rPr>
        <w:t>3</w:t>
      </w:r>
      <w:r w:rsidR="008441E4" w:rsidRPr="007428E2">
        <w:rPr>
          <w:rFonts w:ascii="Arial" w:hAnsi="Arial"/>
          <w:szCs w:val="18"/>
        </w:rPr>
        <w:t xml:space="preserve"> </w:t>
      </w:r>
      <w:r w:rsidRPr="007428E2">
        <w:rPr>
          <w:rFonts w:ascii="Arial" w:hAnsi="Arial"/>
          <w:szCs w:val="18"/>
        </w:rPr>
        <w:t xml:space="preserve">and </w:t>
      </w:r>
      <w:r w:rsidR="00537E28" w:rsidRPr="007428E2">
        <w:rPr>
          <w:rFonts w:ascii="Arial" w:hAnsi="Arial"/>
          <w:szCs w:val="18"/>
        </w:rPr>
        <w:t>25 </w:t>
      </w:r>
      <w:proofErr w:type="spellStart"/>
      <w:r w:rsidRPr="007428E2">
        <w:rPr>
          <w:rFonts w:ascii="Arial" w:hAnsi="Arial"/>
          <w:szCs w:val="18"/>
        </w:rPr>
        <w:t>μg</w:t>
      </w:r>
      <w:proofErr w:type="spellEnd"/>
      <w:r w:rsidRPr="007428E2">
        <w:rPr>
          <w:rFonts w:ascii="Arial" w:hAnsi="Arial"/>
          <w:szCs w:val="18"/>
        </w:rPr>
        <w:t>/m</w:t>
      </w:r>
      <w:r w:rsidRPr="007428E2">
        <w:rPr>
          <w:rFonts w:ascii="Arial" w:hAnsi="Arial"/>
          <w:szCs w:val="18"/>
          <w:vertAlign w:val="superscript"/>
        </w:rPr>
        <w:t>3</w:t>
      </w:r>
      <w:r w:rsidRPr="007428E2">
        <w:rPr>
          <w:rFonts w:ascii="Arial" w:hAnsi="Arial"/>
          <w:szCs w:val="18"/>
        </w:rPr>
        <w:t xml:space="preserve"> would be feasible. However, if the zero-exceedance rule is retained it would be more realistic to retain the 25 </w:t>
      </w:r>
      <w:proofErr w:type="spellStart"/>
      <w:r w:rsidRPr="007428E2">
        <w:rPr>
          <w:rFonts w:ascii="Arial" w:hAnsi="Arial"/>
          <w:szCs w:val="18"/>
        </w:rPr>
        <w:t>μg</w:t>
      </w:r>
      <w:proofErr w:type="spellEnd"/>
      <w:r w:rsidRPr="007428E2">
        <w:rPr>
          <w:rFonts w:ascii="Arial" w:hAnsi="Arial"/>
          <w:szCs w:val="18"/>
        </w:rPr>
        <w:t>/m</w:t>
      </w:r>
      <w:r w:rsidRPr="007428E2">
        <w:rPr>
          <w:rFonts w:ascii="Arial" w:hAnsi="Arial"/>
          <w:szCs w:val="18"/>
          <w:vertAlign w:val="superscript"/>
        </w:rPr>
        <w:t>3</w:t>
      </w:r>
      <w:r w:rsidRPr="007428E2">
        <w:rPr>
          <w:rFonts w:ascii="Arial" w:hAnsi="Arial"/>
          <w:szCs w:val="18"/>
        </w:rPr>
        <w:t xml:space="preserve"> standard. </w:t>
      </w:r>
      <w:r w:rsidR="00342A0E" w:rsidRPr="007428E2">
        <w:rPr>
          <w:rFonts w:ascii="Arial" w:hAnsi="Arial"/>
          <w:szCs w:val="18"/>
        </w:rPr>
        <w:t>I</w:t>
      </w:r>
      <w:r w:rsidRPr="007428E2">
        <w:rPr>
          <w:rFonts w:ascii="Arial" w:hAnsi="Arial"/>
          <w:szCs w:val="18"/>
        </w:rPr>
        <w:t xml:space="preserve">n the Economic Analysis it was concluded that meeting a standard of 20 </w:t>
      </w:r>
      <w:proofErr w:type="spellStart"/>
      <w:r w:rsidRPr="007428E2">
        <w:rPr>
          <w:rFonts w:ascii="Arial" w:hAnsi="Arial"/>
          <w:szCs w:val="18"/>
        </w:rPr>
        <w:t>μg</w:t>
      </w:r>
      <w:proofErr w:type="spellEnd"/>
      <w:r w:rsidRPr="007428E2">
        <w:rPr>
          <w:rFonts w:ascii="Arial" w:hAnsi="Arial"/>
          <w:szCs w:val="18"/>
        </w:rPr>
        <w:t>/m</w:t>
      </w:r>
      <w:r w:rsidRPr="007428E2">
        <w:rPr>
          <w:rFonts w:ascii="Arial" w:hAnsi="Arial"/>
          <w:szCs w:val="18"/>
          <w:vertAlign w:val="superscript"/>
        </w:rPr>
        <w:t>3</w:t>
      </w:r>
      <w:r w:rsidRPr="007428E2">
        <w:rPr>
          <w:rFonts w:ascii="Arial" w:hAnsi="Arial"/>
          <w:szCs w:val="18"/>
        </w:rPr>
        <w:t xml:space="preserve"> would be unlikely to be feasible given the large reductions in primary emissions that would be required in several jurisdictions.</w:t>
      </w:r>
    </w:p>
    <w:p w:rsidR="001F07D9" w:rsidRPr="007428E2" w:rsidRDefault="001F07D9" w:rsidP="00DE4099">
      <w:pPr>
        <w:pStyle w:val="BulletArrows"/>
        <w:spacing w:after="360"/>
        <w:rPr>
          <w:rFonts w:ascii="Arial" w:hAnsi="Arial"/>
        </w:rPr>
      </w:pPr>
      <w:r w:rsidRPr="007428E2">
        <w:rPr>
          <w:rFonts w:ascii="Arial" w:hAnsi="Arial"/>
        </w:rPr>
        <w:t>The findings for the exposure-reduction options are also summarised in</w:t>
      </w:r>
      <w:r w:rsidRPr="007428E2">
        <w:rPr>
          <w:rFonts w:ascii="Arial" w:hAnsi="Arial"/>
          <w:b/>
        </w:rPr>
        <w:t xml:space="preserve"> Table ES</w:t>
      </w:r>
      <w:r w:rsidR="00953222">
        <w:rPr>
          <w:rFonts w:ascii="Arial" w:hAnsi="Arial"/>
          <w:b/>
        </w:rPr>
        <w:t>5</w:t>
      </w:r>
      <w:r w:rsidRPr="007428E2">
        <w:rPr>
          <w:rFonts w:ascii="Arial" w:hAnsi="Arial"/>
        </w:rPr>
        <w:t xml:space="preserve">. </w:t>
      </w:r>
      <w:r w:rsidR="005C3863" w:rsidRPr="007428E2">
        <w:rPr>
          <w:rFonts w:ascii="Arial" w:hAnsi="Arial"/>
        </w:rPr>
        <w:t>Option ER1</w:t>
      </w:r>
      <w:r w:rsidRPr="007428E2">
        <w:rPr>
          <w:rFonts w:ascii="Arial" w:hAnsi="Arial"/>
        </w:rPr>
        <w:t xml:space="preserve"> is unli</w:t>
      </w:r>
      <w:r w:rsidR="005C3863" w:rsidRPr="007428E2">
        <w:rPr>
          <w:rFonts w:ascii="Arial" w:hAnsi="Arial"/>
        </w:rPr>
        <w:t xml:space="preserve">kely to be feasible in practice, and option ER2 </w:t>
      </w:r>
      <w:r w:rsidR="00C520BB" w:rsidRPr="007428E2">
        <w:rPr>
          <w:rFonts w:ascii="Arial" w:hAnsi="Arial"/>
        </w:rPr>
        <w:t>should</w:t>
      </w:r>
      <w:r w:rsidR="005C3863" w:rsidRPr="007428E2">
        <w:rPr>
          <w:rFonts w:ascii="Arial" w:hAnsi="Arial"/>
        </w:rPr>
        <w:t xml:space="preserve"> be considered</w:t>
      </w:r>
      <w:r w:rsidRPr="007428E2">
        <w:rPr>
          <w:rFonts w:ascii="Arial" w:hAnsi="Arial"/>
        </w:rPr>
        <w:t>.</w:t>
      </w:r>
    </w:p>
    <w:p w:rsidR="007C48C4" w:rsidRPr="006574FD" w:rsidRDefault="007C48C4" w:rsidP="007C48C4">
      <w:pPr>
        <w:pStyle w:val="ES2"/>
        <w:rPr>
          <w:rFonts w:ascii="Arial" w:hAnsi="Arial" w:cs="Arial"/>
        </w:rPr>
      </w:pPr>
      <w:r w:rsidRPr="006574FD">
        <w:rPr>
          <w:rFonts w:ascii="Arial" w:hAnsi="Arial" w:cs="Arial"/>
        </w:rPr>
        <w:t>Other considerations</w:t>
      </w:r>
    </w:p>
    <w:p w:rsidR="007C48C4" w:rsidRPr="006574FD" w:rsidRDefault="007C48C4" w:rsidP="008377C9">
      <w:pPr>
        <w:pStyle w:val="ES3"/>
        <w:spacing w:after="240"/>
        <w:rPr>
          <w:rFonts w:ascii="Arial" w:hAnsi="Arial" w:cs="Arial"/>
        </w:rPr>
      </w:pPr>
      <w:r w:rsidRPr="006574FD">
        <w:rPr>
          <w:rFonts w:ascii="Arial" w:hAnsi="Arial" w:cs="Arial"/>
        </w:rPr>
        <w:t>Resourcing implications for jurisdictions</w:t>
      </w:r>
    </w:p>
    <w:p w:rsidR="007C48C4" w:rsidRPr="007428E2" w:rsidRDefault="007C48C4" w:rsidP="008377C9">
      <w:pPr>
        <w:rPr>
          <w:rFonts w:ascii="Arial" w:hAnsi="Arial" w:cs="Arial"/>
        </w:rPr>
      </w:pPr>
      <w:r w:rsidRPr="007428E2">
        <w:rPr>
          <w:rFonts w:ascii="Arial" w:hAnsi="Arial" w:cs="Arial"/>
        </w:rPr>
        <w:t xml:space="preserve">The resourcing obligations imposed on the jurisdictions by varying the AAQ NEPM PM standards </w:t>
      </w:r>
      <w:r w:rsidR="002334F0" w:rsidRPr="007428E2">
        <w:rPr>
          <w:rFonts w:ascii="Arial" w:hAnsi="Arial" w:cs="Arial"/>
        </w:rPr>
        <w:t xml:space="preserve">predominantly </w:t>
      </w:r>
      <w:r w:rsidRPr="007428E2">
        <w:rPr>
          <w:rFonts w:ascii="Arial" w:hAnsi="Arial" w:cs="Arial"/>
        </w:rPr>
        <w:t>relate to monitoring and reporting requirements (as currently exist). Monitoring and reporting costs are currently being incurred by jurisdictions and would not be expected to change simply by changing the numerical value of the standards, except perhaps if an annual average PM</w:t>
      </w:r>
      <w:r w:rsidRPr="007428E2">
        <w:rPr>
          <w:rFonts w:ascii="Arial" w:hAnsi="Arial" w:cs="Arial"/>
          <w:vertAlign w:val="subscript"/>
        </w:rPr>
        <w:t>10</w:t>
      </w:r>
      <w:r w:rsidRPr="007428E2">
        <w:rPr>
          <w:rFonts w:ascii="Arial" w:hAnsi="Arial" w:cs="Arial"/>
        </w:rPr>
        <w:t xml:space="preserve"> standard is introduced. As PM</w:t>
      </w:r>
      <w:r w:rsidRPr="007428E2">
        <w:rPr>
          <w:rFonts w:ascii="Arial" w:hAnsi="Arial" w:cs="Arial"/>
          <w:vertAlign w:val="subscript"/>
        </w:rPr>
        <w:t>10</w:t>
      </w:r>
      <w:r w:rsidRPr="007428E2">
        <w:rPr>
          <w:rFonts w:ascii="Arial" w:hAnsi="Arial" w:cs="Arial"/>
        </w:rPr>
        <w:t xml:space="preserve"> is already being measured under the AAQ NEPM, any such increase </w:t>
      </w:r>
      <w:r w:rsidR="00046416" w:rsidRPr="007428E2">
        <w:rPr>
          <w:rFonts w:ascii="Arial" w:hAnsi="Arial" w:cs="Arial"/>
        </w:rPr>
        <w:t>should</w:t>
      </w:r>
      <w:r w:rsidRPr="007428E2">
        <w:rPr>
          <w:rFonts w:ascii="Arial" w:hAnsi="Arial" w:cs="Arial"/>
        </w:rPr>
        <w:t xml:space="preserve"> be small.</w:t>
      </w:r>
      <w:r w:rsidR="00AD0899" w:rsidRPr="007428E2">
        <w:rPr>
          <w:rFonts w:ascii="Arial" w:hAnsi="Arial" w:cs="Arial"/>
        </w:rPr>
        <w:t xml:space="preserve"> An expansion of the PM</w:t>
      </w:r>
      <w:r w:rsidR="00AD0899" w:rsidRPr="007428E2">
        <w:rPr>
          <w:rFonts w:ascii="Arial" w:hAnsi="Arial" w:cs="Arial"/>
          <w:vertAlign w:val="subscript"/>
        </w:rPr>
        <w:t>2.5</w:t>
      </w:r>
      <w:r w:rsidR="00AD0899" w:rsidRPr="007428E2">
        <w:rPr>
          <w:rFonts w:ascii="Arial" w:hAnsi="Arial" w:cs="Arial"/>
        </w:rPr>
        <w:t xml:space="preserve"> monitoring network</w:t>
      </w:r>
      <w:r w:rsidR="002334F0" w:rsidRPr="007428E2">
        <w:rPr>
          <w:rFonts w:ascii="Arial" w:hAnsi="Arial" w:cs="Arial"/>
        </w:rPr>
        <w:t>,</w:t>
      </w:r>
      <w:r w:rsidR="00AD0899" w:rsidRPr="007428E2">
        <w:rPr>
          <w:rFonts w:ascii="Arial" w:hAnsi="Arial" w:cs="Arial"/>
        </w:rPr>
        <w:t xml:space="preserve"> commensurate with </w:t>
      </w:r>
      <w:r w:rsidR="0008728B" w:rsidRPr="007428E2">
        <w:rPr>
          <w:rFonts w:ascii="Arial" w:hAnsi="Arial" w:cs="Arial"/>
        </w:rPr>
        <w:t xml:space="preserve">adoption of </w:t>
      </w:r>
      <w:r w:rsidR="00AD0899" w:rsidRPr="007428E2">
        <w:rPr>
          <w:rFonts w:ascii="Arial" w:hAnsi="Arial" w:cs="Arial"/>
        </w:rPr>
        <w:t>formal standards should these be introduced</w:t>
      </w:r>
      <w:r w:rsidR="002334F0" w:rsidRPr="007428E2">
        <w:rPr>
          <w:rFonts w:ascii="Arial" w:hAnsi="Arial" w:cs="Arial"/>
        </w:rPr>
        <w:t>,</w:t>
      </w:r>
      <w:r w:rsidR="00AD0899" w:rsidRPr="007428E2">
        <w:rPr>
          <w:rFonts w:ascii="Arial" w:hAnsi="Arial" w:cs="Arial"/>
        </w:rPr>
        <w:t xml:space="preserve"> would be expected</w:t>
      </w:r>
      <w:r w:rsidR="00C520BB" w:rsidRPr="007428E2">
        <w:rPr>
          <w:rFonts w:ascii="Arial" w:hAnsi="Arial" w:cs="Arial"/>
        </w:rPr>
        <w:t xml:space="preserve"> over time</w:t>
      </w:r>
      <w:r w:rsidR="00AD0899" w:rsidRPr="007428E2">
        <w:rPr>
          <w:rFonts w:ascii="Arial" w:hAnsi="Arial" w:cs="Arial"/>
        </w:rPr>
        <w:t xml:space="preserve">. </w:t>
      </w:r>
      <w:r w:rsidR="002334F0" w:rsidRPr="007428E2">
        <w:rPr>
          <w:rFonts w:ascii="Arial" w:hAnsi="Arial" w:cs="Arial"/>
        </w:rPr>
        <w:t>C</w:t>
      </w:r>
      <w:r w:rsidR="00AD0899" w:rsidRPr="007428E2">
        <w:rPr>
          <w:rFonts w:ascii="Arial" w:hAnsi="Arial" w:cs="Arial"/>
        </w:rPr>
        <w:t xml:space="preserve">osts associated with </w:t>
      </w:r>
      <w:r w:rsidR="002334F0" w:rsidRPr="007428E2">
        <w:rPr>
          <w:rFonts w:ascii="Arial" w:hAnsi="Arial" w:cs="Arial"/>
        </w:rPr>
        <w:t xml:space="preserve">the </w:t>
      </w:r>
      <w:r w:rsidR="0066620A" w:rsidRPr="007428E2">
        <w:rPr>
          <w:rFonts w:ascii="Arial" w:hAnsi="Arial" w:cs="Arial"/>
        </w:rPr>
        <w:t>phas</w:t>
      </w:r>
      <w:r w:rsidR="002334F0" w:rsidRPr="007428E2">
        <w:rPr>
          <w:rFonts w:ascii="Arial" w:hAnsi="Arial" w:cs="Arial"/>
        </w:rPr>
        <w:t xml:space="preserve">e-in of </w:t>
      </w:r>
      <w:r w:rsidR="00AD0899" w:rsidRPr="007428E2">
        <w:rPr>
          <w:rFonts w:ascii="Arial" w:hAnsi="Arial" w:cs="Arial"/>
        </w:rPr>
        <w:t>PM</w:t>
      </w:r>
      <w:r w:rsidR="00AD0899" w:rsidRPr="007428E2">
        <w:rPr>
          <w:rFonts w:ascii="Arial" w:hAnsi="Arial" w:cs="Arial"/>
          <w:vertAlign w:val="subscript"/>
        </w:rPr>
        <w:t>2.5</w:t>
      </w:r>
      <w:r w:rsidR="00AD0899" w:rsidRPr="007428E2">
        <w:rPr>
          <w:rFonts w:ascii="Arial" w:hAnsi="Arial" w:cs="Arial"/>
        </w:rPr>
        <w:t xml:space="preserve"> instrument</w:t>
      </w:r>
      <w:r w:rsidR="002334F0" w:rsidRPr="007428E2">
        <w:rPr>
          <w:rFonts w:ascii="Arial" w:hAnsi="Arial" w:cs="Arial"/>
        </w:rPr>
        <w:t>ation, where it currently don’t exist, would be managed over time with planned instrument upgrades and monitoring site refurbishment.</w:t>
      </w:r>
    </w:p>
    <w:p w:rsidR="007C48C4" w:rsidRPr="007428E2" w:rsidRDefault="007C48C4" w:rsidP="008377C9">
      <w:pPr>
        <w:spacing w:after="360"/>
        <w:rPr>
          <w:rFonts w:ascii="Arial" w:hAnsi="Arial" w:cs="Arial"/>
        </w:rPr>
      </w:pPr>
      <w:r w:rsidRPr="007428E2">
        <w:rPr>
          <w:rFonts w:ascii="Arial" w:hAnsi="Arial" w:cs="Arial"/>
        </w:rPr>
        <w:t xml:space="preserve">The establishment and management of an exposure-reduction framework according to the options defined in </w:t>
      </w:r>
      <w:r w:rsidRPr="007428E2">
        <w:rPr>
          <w:rFonts w:ascii="Arial" w:hAnsi="Arial" w:cs="Arial"/>
          <w:b/>
        </w:rPr>
        <w:t>Table ES</w:t>
      </w:r>
      <w:r w:rsidR="00AA0CD0">
        <w:rPr>
          <w:rFonts w:ascii="Arial" w:hAnsi="Arial" w:cs="Arial"/>
          <w:b/>
        </w:rPr>
        <w:t>4</w:t>
      </w:r>
      <w:r w:rsidRPr="007428E2">
        <w:rPr>
          <w:rFonts w:ascii="Arial" w:hAnsi="Arial" w:cs="Arial"/>
        </w:rPr>
        <w:t xml:space="preserve"> would entail little or no extra cost. If the jurisdictions choose to assess population exposure in detail through an EU-style exposure-reduction framework, then the costs associated with setting up </w:t>
      </w:r>
      <w:r w:rsidR="00B44448" w:rsidRPr="007428E2">
        <w:rPr>
          <w:rFonts w:ascii="Arial" w:hAnsi="Arial" w:cs="Arial"/>
        </w:rPr>
        <w:t xml:space="preserve">emissions </w:t>
      </w:r>
      <w:r w:rsidRPr="007428E2">
        <w:rPr>
          <w:rFonts w:ascii="Arial" w:hAnsi="Arial" w:cs="Arial"/>
        </w:rPr>
        <w:t>inventories, regional dispersion models and additional monitoring stations would become more significant.</w:t>
      </w:r>
    </w:p>
    <w:p w:rsidR="007C48C4" w:rsidRPr="006574FD" w:rsidRDefault="00926E15" w:rsidP="008377C9">
      <w:pPr>
        <w:pStyle w:val="ES3"/>
        <w:spacing w:after="240"/>
        <w:rPr>
          <w:rFonts w:ascii="Arial" w:hAnsi="Arial" w:cs="Arial"/>
        </w:rPr>
      </w:pPr>
      <w:r w:rsidRPr="006574FD">
        <w:rPr>
          <w:rFonts w:ascii="Arial" w:hAnsi="Arial" w:cs="Arial"/>
        </w:rPr>
        <w:t xml:space="preserve">Costs </w:t>
      </w:r>
      <w:r w:rsidR="007C48C4" w:rsidRPr="006574FD">
        <w:rPr>
          <w:rFonts w:ascii="Arial" w:hAnsi="Arial" w:cs="Arial"/>
        </w:rPr>
        <w:t>to industry and business</w:t>
      </w:r>
    </w:p>
    <w:p w:rsidR="00A556C7" w:rsidRPr="007428E2" w:rsidRDefault="00A556C7" w:rsidP="00926E15">
      <w:pPr>
        <w:rPr>
          <w:rFonts w:ascii="Arial" w:hAnsi="Arial" w:cs="Arial"/>
        </w:rPr>
      </w:pPr>
      <w:r w:rsidRPr="007428E2">
        <w:rPr>
          <w:rFonts w:ascii="Arial" w:hAnsi="Arial" w:cs="Arial"/>
        </w:rPr>
        <w:t>O</w:t>
      </w:r>
      <w:r w:rsidR="00926E15" w:rsidRPr="007428E2">
        <w:rPr>
          <w:rFonts w:ascii="Arial" w:hAnsi="Arial" w:cs="Arial"/>
        </w:rPr>
        <w:t>ptions for tighter AAQ NEPM monitoring and reporting standards for ambient particle emissions</w:t>
      </w:r>
      <w:r w:rsidRPr="007428E2">
        <w:rPr>
          <w:rFonts w:ascii="Arial" w:hAnsi="Arial" w:cs="Arial"/>
        </w:rPr>
        <w:t xml:space="preserve"> are presented</w:t>
      </w:r>
      <w:r w:rsidR="00926E15" w:rsidRPr="007428E2">
        <w:rPr>
          <w:rFonts w:ascii="Arial" w:hAnsi="Arial" w:cs="Arial"/>
        </w:rPr>
        <w:t>. The AAQ NEPM itself does not compel or direct pollution control measures. The application of AAQ NEPM standards is at the discretion of individual jurisdictions, and subject to jurisdiction’s review processes.</w:t>
      </w:r>
    </w:p>
    <w:p w:rsidR="00926E15" w:rsidRPr="007428E2" w:rsidRDefault="00926E15" w:rsidP="00926E15">
      <w:pPr>
        <w:rPr>
          <w:rFonts w:ascii="Arial" w:hAnsi="Arial" w:cs="Arial"/>
        </w:rPr>
      </w:pPr>
      <w:r w:rsidRPr="007428E2">
        <w:rPr>
          <w:rFonts w:ascii="Arial" w:hAnsi="Arial" w:cs="Arial"/>
        </w:rPr>
        <w:t>Direct costs associated with the AAQ NEPM standards relate to monitoring and reporting levels of air pollution.</w:t>
      </w:r>
    </w:p>
    <w:p w:rsidR="00926E15" w:rsidRPr="007428E2" w:rsidRDefault="00926E15" w:rsidP="00926E15">
      <w:pPr>
        <w:rPr>
          <w:rFonts w:ascii="Arial" w:hAnsi="Arial" w:cs="Arial"/>
        </w:rPr>
      </w:pPr>
      <w:r w:rsidRPr="007428E2">
        <w:rPr>
          <w:rFonts w:ascii="Arial" w:hAnsi="Arial" w:cs="Arial"/>
        </w:rPr>
        <w:t>Meeting proposed monitoring and reporting standards for particles would result in significantly improved net economic benefits compared to current standards in terms of improved health outcomes. The proposals include a number of options. If the tightest annual PM</w:t>
      </w:r>
      <w:r w:rsidRPr="007428E2">
        <w:rPr>
          <w:rFonts w:ascii="Arial" w:hAnsi="Arial" w:cs="Arial"/>
          <w:vertAlign w:val="subscript"/>
        </w:rPr>
        <w:t>10</w:t>
      </w:r>
      <w:r w:rsidRPr="007428E2">
        <w:rPr>
          <w:rFonts w:ascii="Arial" w:hAnsi="Arial" w:cs="Arial"/>
        </w:rPr>
        <w:t xml:space="preserve"> option were supported in the consultation process, this could have implications for the way jurisdictions choose to manage future </w:t>
      </w:r>
      <w:r w:rsidR="00671D83" w:rsidRPr="007428E2">
        <w:rPr>
          <w:rFonts w:ascii="Arial" w:hAnsi="Arial" w:cs="Arial"/>
        </w:rPr>
        <w:t xml:space="preserve">licence </w:t>
      </w:r>
      <w:r w:rsidRPr="007428E2">
        <w:rPr>
          <w:rFonts w:ascii="Arial" w:hAnsi="Arial" w:cs="Arial"/>
        </w:rPr>
        <w:t>conditions for some industries.</w:t>
      </w:r>
    </w:p>
    <w:p w:rsidR="00557FE2" w:rsidRPr="006574FD" w:rsidRDefault="00557FE2" w:rsidP="008377C9">
      <w:pPr>
        <w:rPr>
          <w:rFonts w:ascii="Arial" w:hAnsi="Arial" w:cs="Arial"/>
          <w:i/>
          <w:color w:val="0070C0"/>
          <w:sz w:val="20"/>
          <w:szCs w:val="20"/>
        </w:rPr>
      </w:pPr>
      <w:r w:rsidRPr="006574FD">
        <w:rPr>
          <w:rFonts w:ascii="Arial" w:hAnsi="Arial" w:cs="Arial"/>
          <w:i/>
          <w:color w:val="0070C0"/>
          <w:sz w:val="20"/>
          <w:szCs w:val="20"/>
        </w:rPr>
        <w:t>Social impacts</w:t>
      </w:r>
    </w:p>
    <w:p w:rsidR="00926E15" w:rsidRPr="007428E2" w:rsidRDefault="00926E15" w:rsidP="00C12EC2">
      <w:pPr>
        <w:rPr>
          <w:rFonts w:ascii="Arial" w:hAnsi="Arial" w:cs="Arial"/>
        </w:rPr>
      </w:pPr>
      <w:r w:rsidRPr="007428E2">
        <w:rPr>
          <w:rFonts w:ascii="Arial" w:hAnsi="Arial" w:cs="Arial"/>
        </w:rPr>
        <w:t xml:space="preserve">The AAQ NEPM aims to guide policy formulation for the adequate protection of human health and wellbeing. The AAQ NEPM itself does not compel or direct pollution control measures </w:t>
      </w:r>
      <w:r w:rsidR="00671D83" w:rsidRPr="007428E2">
        <w:rPr>
          <w:rFonts w:ascii="Arial" w:hAnsi="Arial" w:cs="Arial"/>
        </w:rPr>
        <w:t xml:space="preserve">and </w:t>
      </w:r>
      <w:r w:rsidRPr="007428E2">
        <w:rPr>
          <w:rFonts w:ascii="Arial" w:hAnsi="Arial" w:cs="Arial"/>
        </w:rPr>
        <w:t>accordingly</w:t>
      </w:r>
      <w:r w:rsidR="00671D83" w:rsidRPr="007428E2">
        <w:rPr>
          <w:rFonts w:ascii="Arial" w:hAnsi="Arial" w:cs="Arial"/>
        </w:rPr>
        <w:t>,</w:t>
      </w:r>
      <w:r w:rsidRPr="007428E2">
        <w:rPr>
          <w:rFonts w:ascii="Arial" w:hAnsi="Arial" w:cs="Arial"/>
        </w:rPr>
        <w:t xml:space="preserve"> there are no direct social impacts associated with the variation.</w:t>
      </w:r>
    </w:p>
    <w:p w:rsidR="00DC11E8" w:rsidRDefault="00926E15" w:rsidP="00C12EC2">
      <w:pPr>
        <w:rPr>
          <w:rFonts w:ascii="Arial" w:hAnsi="Arial" w:cs="Arial"/>
        </w:rPr>
      </w:pPr>
      <w:r w:rsidRPr="007428E2">
        <w:rPr>
          <w:rFonts w:ascii="Arial" w:hAnsi="Arial" w:cs="Arial"/>
        </w:rPr>
        <w:t>The application of AAQ NEPM standards is at the discretion of individual jurisdictions, and subject to jurisdiction’s review processes. Meeting proposed monitoring and reporting standards for particles would result in significantly improved net economic benefits compared to current standards in terms of improved health outcomes.</w:t>
      </w:r>
    </w:p>
    <w:p w:rsidR="00160CF6" w:rsidRPr="007428E2" w:rsidRDefault="00160CF6" w:rsidP="00C12EC2">
      <w:pPr>
        <w:rPr>
          <w:rFonts w:ascii="Arial" w:hAnsi="Arial" w:cs="Arial"/>
        </w:rPr>
        <w:sectPr w:rsidR="00160CF6" w:rsidRPr="007428E2" w:rsidSect="006A5626">
          <w:headerReference w:type="even" r:id="rId23"/>
          <w:headerReference w:type="default" r:id="rId24"/>
          <w:footerReference w:type="default" r:id="rId25"/>
          <w:headerReference w:type="first" r:id="rId26"/>
          <w:type w:val="oddPage"/>
          <w:pgSz w:w="11906" w:h="16838" w:code="9"/>
          <w:pgMar w:top="1440" w:right="1440" w:bottom="1440" w:left="1440" w:header="284" w:footer="244" w:gutter="0"/>
          <w:pgNumType w:fmt="lowerRoman"/>
          <w:cols w:space="255"/>
          <w:docGrid w:linePitch="360"/>
        </w:sectPr>
      </w:pPr>
    </w:p>
    <w:p w:rsidR="00DC11E8" w:rsidRPr="006574FD" w:rsidRDefault="00DC11E8" w:rsidP="00C12EC2">
      <w:pPr>
        <w:rPr>
          <w:rFonts w:ascii="Arial" w:hAnsi="Arial" w:cs="Arial"/>
          <w:i/>
        </w:rPr>
      </w:pPr>
    </w:p>
    <w:p w:rsidR="00DC11E8" w:rsidRPr="007428E2" w:rsidRDefault="00DC11E8" w:rsidP="00DC11E8">
      <w:pPr>
        <w:pStyle w:val="Caption"/>
        <w:rPr>
          <w:rFonts w:ascii="Arial" w:hAnsi="Arial" w:cs="Arial"/>
        </w:rPr>
      </w:pPr>
      <w:r w:rsidRPr="007428E2">
        <w:rPr>
          <w:rFonts w:ascii="Arial" w:hAnsi="Arial" w:cs="Arial"/>
        </w:rPr>
        <w:t>Table ES</w:t>
      </w:r>
      <w:r w:rsidR="00953222">
        <w:rPr>
          <w:rFonts w:ascii="Arial" w:hAnsi="Arial" w:cs="Arial"/>
        </w:rPr>
        <w:t>5</w:t>
      </w:r>
      <w:r w:rsidRPr="007428E2">
        <w:rPr>
          <w:rFonts w:ascii="Arial" w:hAnsi="Arial" w:cs="Arial"/>
        </w:rPr>
        <w:t>: Summary of information for each sub-option</w:t>
      </w:r>
    </w:p>
    <w:tbl>
      <w:tblPr>
        <w:tblW w:w="0" w:type="auto"/>
        <w:tblCellMar>
          <w:left w:w="28" w:type="dxa"/>
          <w:right w:w="28" w:type="dxa"/>
        </w:tblCellMar>
        <w:tblLook w:val="00A0"/>
      </w:tblPr>
      <w:tblGrid>
        <w:gridCol w:w="958"/>
        <w:gridCol w:w="808"/>
        <w:gridCol w:w="690"/>
        <w:gridCol w:w="1258"/>
        <w:gridCol w:w="1276"/>
        <w:gridCol w:w="1275"/>
        <w:gridCol w:w="1418"/>
        <w:gridCol w:w="2551"/>
        <w:gridCol w:w="2127"/>
        <w:gridCol w:w="1417"/>
      </w:tblGrid>
      <w:tr w:rsidR="00DC11E8" w:rsidRPr="007428E2" w:rsidTr="00836A68">
        <w:trPr>
          <w:trHeight w:val="274"/>
        </w:trPr>
        <w:tc>
          <w:tcPr>
            <w:tcW w:w="958" w:type="dxa"/>
            <w:vMerge w:val="restart"/>
            <w:tcBorders>
              <w:top w:val="single" w:sz="4" w:space="0" w:color="0070C0"/>
              <w:left w:val="single" w:sz="4" w:space="0" w:color="0070C0"/>
              <w:bottom w:val="single" w:sz="4" w:space="0" w:color="0070C0"/>
              <w:right w:val="single" w:sz="4" w:space="0" w:color="0070C0"/>
            </w:tcBorders>
            <w:shd w:val="clear" w:color="auto" w:fill="0070C0"/>
            <w:vAlign w:val="center"/>
          </w:tcPr>
          <w:p w:rsidR="00DC11E8" w:rsidRPr="007428E2" w:rsidRDefault="00DC11E8" w:rsidP="00836A68">
            <w:pPr>
              <w:spacing w:after="0" w:line="240" w:lineRule="auto"/>
              <w:jc w:val="center"/>
              <w:rPr>
                <w:rFonts w:ascii="Arial" w:hAnsi="Arial" w:cs="Arial"/>
                <w:b/>
                <w:color w:val="FFFFFF"/>
                <w:sz w:val="14"/>
                <w:szCs w:val="14"/>
              </w:rPr>
            </w:pPr>
            <w:r w:rsidRPr="007428E2">
              <w:rPr>
                <w:rFonts w:ascii="Arial" w:hAnsi="Arial" w:cs="Arial"/>
                <w:b/>
                <w:color w:val="FFFFFF"/>
                <w:sz w:val="14"/>
                <w:szCs w:val="14"/>
              </w:rPr>
              <w:t>Action</w:t>
            </w:r>
          </w:p>
        </w:tc>
        <w:tc>
          <w:tcPr>
            <w:tcW w:w="808" w:type="dxa"/>
            <w:vMerge w:val="restart"/>
            <w:tcBorders>
              <w:top w:val="single" w:sz="4" w:space="0" w:color="0070C0"/>
              <w:left w:val="single" w:sz="4" w:space="0" w:color="0070C0"/>
              <w:bottom w:val="single" w:sz="4" w:space="0" w:color="0070C0"/>
              <w:right w:val="single" w:sz="4" w:space="0" w:color="0070C0"/>
            </w:tcBorders>
            <w:shd w:val="clear" w:color="auto" w:fill="0070C0"/>
            <w:vAlign w:val="center"/>
          </w:tcPr>
          <w:p w:rsidR="00DC11E8" w:rsidRPr="007428E2" w:rsidRDefault="00DC11E8" w:rsidP="00836A68">
            <w:pPr>
              <w:spacing w:after="0" w:line="240" w:lineRule="auto"/>
              <w:jc w:val="center"/>
              <w:rPr>
                <w:rFonts w:ascii="Arial" w:hAnsi="Arial" w:cs="Arial"/>
                <w:b/>
                <w:color w:val="FFFFFF"/>
                <w:sz w:val="14"/>
                <w:szCs w:val="14"/>
              </w:rPr>
            </w:pPr>
            <w:r w:rsidRPr="007428E2">
              <w:rPr>
                <w:rFonts w:ascii="Arial" w:hAnsi="Arial" w:cs="Arial"/>
                <w:b/>
                <w:color w:val="FFFFFF"/>
                <w:sz w:val="14"/>
                <w:szCs w:val="14"/>
              </w:rPr>
              <w:t>Option</w:t>
            </w:r>
          </w:p>
        </w:tc>
        <w:tc>
          <w:tcPr>
            <w:tcW w:w="690" w:type="dxa"/>
            <w:vMerge w:val="restart"/>
            <w:tcBorders>
              <w:top w:val="single" w:sz="4" w:space="0" w:color="0070C0"/>
              <w:left w:val="single" w:sz="4" w:space="0" w:color="0070C0"/>
              <w:bottom w:val="single" w:sz="4" w:space="0" w:color="0070C0"/>
              <w:right w:val="single" w:sz="4" w:space="0" w:color="0070C0"/>
            </w:tcBorders>
            <w:shd w:val="clear" w:color="auto" w:fill="0070C0"/>
            <w:vAlign w:val="center"/>
          </w:tcPr>
          <w:p w:rsidR="00DC11E8" w:rsidRPr="007428E2" w:rsidRDefault="00DC11E8" w:rsidP="00836A68">
            <w:pPr>
              <w:spacing w:after="0" w:line="240" w:lineRule="auto"/>
              <w:jc w:val="center"/>
              <w:rPr>
                <w:rFonts w:ascii="Arial" w:hAnsi="Arial" w:cs="Arial"/>
                <w:b/>
                <w:color w:val="FFFFFF"/>
                <w:sz w:val="14"/>
                <w:szCs w:val="14"/>
              </w:rPr>
            </w:pPr>
            <w:r w:rsidRPr="007428E2">
              <w:rPr>
                <w:rFonts w:ascii="Arial" w:hAnsi="Arial" w:cs="Arial"/>
                <w:b/>
                <w:color w:val="FFFFFF"/>
                <w:sz w:val="14"/>
                <w:szCs w:val="14"/>
              </w:rPr>
              <w:t>Sub-option</w:t>
            </w:r>
          </w:p>
        </w:tc>
        <w:tc>
          <w:tcPr>
            <w:tcW w:w="1258" w:type="dxa"/>
            <w:vMerge w:val="restart"/>
            <w:tcBorders>
              <w:top w:val="single" w:sz="4" w:space="0" w:color="0070C0"/>
              <w:left w:val="single" w:sz="4" w:space="0" w:color="0070C0"/>
              <w:bottom w:val="single" w:sz="4" w:space="0" w:color="0070C0"/>
              <w:right w:val="single" w:sz="4" w:space="0" w:color="0070C0"/>
            </w:tcBorders>
            <w:shd w:val="clear" w:color="auto" w:fill="0070C0"/>
            <w:vAlign w:val="center"/>
          </w:tcPr>
          <w:p w:rsidR="00DC11E8" w:rsidRPr="007428E2" w:rsidRDefault="00DC11E8" w:rsidP="00836A68">
            <w:pPr>
              <w:spacing w:after="0" w:line="240" w:lineRule="auto"/>
              <w:jc w:val="center"/>
              <w:rPr>
                <w:rFonts w:ascii="Arial" w:hAnsi="Arial" w:cs="Arial"/>
                <w:b/>
                <w:color w:val="FFFFFF"/>
                <w:sz w:val="14"/>
                <w:szCs w:val="14"/>
              </w:rPr>
            </w:pPr>
            <w:r w:rsidRPr="007428E2">
              <w:rPr>
                <w:rFonts w:ascii="Arial" w:hAnsi="Arial" w:cs="Arial"/>
                <w:b/>
                <w:color w:val="FFFFFF"/>
                <w:sz w:val="14"/>
                <w:szCs w:val="14"/>
              </w:rPr>
              <w:t>Standard</w:t>
            </w:r>
            <w:r w:rsidRPr="007428E2">
              <w:rPr>
                <w:rFonts w:ascii="Arial" w:hAnsi="Arial" w:cs="Arial"/>
                <w:b/>
                <w:color w:val="FFFFFF"/>
                <w:sz w:val="14"/>
                <w:szCs w:val="14"/>
                <w:vertAlign w:val="superscript"/>
              </w:rPr>
              <w:t>(a)</w:t>
            </w:r>
          </w:p>
        </w:tc>
        <w:tc>
          <w:tcPr>
            <w:tcW w:w="1276" w:type="dxa"/>
            <w:vMerge w:val="restart"/>
            <w:tcBorders>
              <w:top w:val="single" w:sz="4" w:space="0" w:color="0070C0"/>
              <w:left w:val="single" w:sz="4" w:space="0" w:color="0070C0"/>
              <w:bottom w:val="single" w:sz="4" w:space="0" w:color="0070C0"/>
              <w:right w:val="single" w:sz="4" w:space="0" w:color="0070C0"/>
            </w:tcBorders>
            <w:shd w:val="clear" w:color="auto" w:fill="0070C0"/>
            <w:vAlign w:val="center"/>
          </w:tcPr>
          <w:p w:rsidR="00DC11E8" w:rsidRPr="007428E2" w:rsidRDefault="0016244D" w:rsidP="00836A68">
            <w:pPr>
              <w:spacing w:after="0" w:line="240" w:lineRule="auto"/>
              <w:jc w:val="center"/>
              <w:rPr>
                <w:rFonts w:ascii="Arial" w:hAnsi="Arial" w:cs="Arial"/>
                <w:b/>
                <w:color w:val="FFFFFF"/>
                <w:sz w:val="14"/>
                <w:szCs w:val="14"/>
              </w:rPr>
            </w:pPr>
            <w:r w:rsidRPr="007428E2">
              <w:rPr>
                <w:rFonts w:ascii="Arial" w:hAnsi="Arial" w:cs="Arial"/>
                <w:b/>
                <w:color w:val="FFFFFF"/>
                <w:sz w:val="14"/>
                <w:szCs w:val="14"/>
              </w:rPr>
              <w:t>Achievability</w:t>
            </w:r>
            <w:r w:rsidR="00DC11E8" w:rsidRPr="007428E2">
              <w:rPr>
                <w:rFonts w:ascii="Arial" w:hAnsi="Arial" w:cs="Arial"/>
                <w:b/>
                <w:color w:val="FFFFFF"/>
                <w:sz w:val="14"/>
                <w:szCs w:val="14"/>
              </w:rPr>
              <w:t xml:space="preserve"> based on analysis of ambient PM data</w:t>
            </w:r>
            <w:r w:rsidR="00DC11E8" w:rsidRPr="007428E2">
              <w:rPr>
                <w:rFonts w:ascii="Arial" w:hAnsi="Arial" w:cs="Arial"/>
                <w:b/>
                <w:color w:val="FFFFFF"/>
                <w:sz w:val="14"/>
                <w:szCs w:val="14"/>
                <w:vertAlign w:val="superscript"/>
              </w:rPr>
              <w:t>(b)</w:t>
            </w:r>
          </w:p>
        </w:tc>
        <w:tc>
          <w:tcPr>
            <w:tcW w:w="1275" w:type="dxa"/>
            <w:vMerge w:val="restart"/>
            <w:tcBorders>
              <w:top w:val="single" w:sz="4" w:space="0" w:color="0070C0"/>
              <w:left w:val="single" w:sz="4" w:space="0" w:color="0070C0"/>
              <w:bottom w:val="single" w:sz="4" w:space="0" w:color="0070C0"/>
              <w:right w:val="single" w:sz="4" w:space="0" w:color="0070C0"/>
            </w:tcBorders>
            <w:shd w:val="clear" w:color="auto" w:fill="0070C0"/>
            <w:vAlign w:val="center"/>
          </w:tcPr>
          <w:p w:rsidR="00DC11E8" w:rsidRPr="007428E2" w:rsidRDefault="00DC11E8" w:rsidP="00836A68">
            <w:pPr>
              <w:keepNext/>
              <w:spacing w:after="0" w:line="240" w:lineRule="auto"/>
              <w:jc w:val="center"/>
              <w:rPr>
                <w:rFonts w:ascii="Arial" w:hAnsi="Arial" w:cs="Arial"/>
                <w:b/>
                <w:color w:val="FFFFFF"/>
                <w:sz w:val="14"/>
                <w:szCs w:val="14"/>
              </w:rPr>
            </w:pPr>
            <w:r w:rsidRPr="007428E2">
              <w:rPr>
                <w:rFonts w:ascii="Arial" w:hAnsi="Arial" w:cs="Arial"/>
                <w:b/>
                <w:color w:val="FFFFFF"/>
                <w:sz w:val="14"/>
                <w:szCs w:val="14"/>
              </w:rPr>
              <w:t xml:space="preserve">Conclusions from HRA (change in current exposure)  </w:t>
            </w:r>
          </w:p>
        </w:tc>
        <w:tc>
          <w:tcPr>
            <w:tcW w:w="6096" w:type="dxa"/>
            <w:gridSpan w:val="3"/>
            <w:tcBorders>
              <w:top w:val="single" w:sz="4" w:space="0" w:color="0070C0"/>
              <w:left w:val="single" w:sz="4" w:space="0" w:color="0070C0"/>
              <w:bottom w:val="single" w:sz="4" w:space="0" w:color="0070C0"/>
              <w:right w:val="single" w:sz="4" w:space="0" w:color="0070C0"/>
            </w:tcBorders>
            <w:shd w:val="clear" w:color="auto" w:fill="0070C0"/>
            <w:vAlign w:val="center"/>
          </w:tcPr>
          <w:p w:rsidR="00DC11E8" w:rsidRPr="007428E2" w:rsidRDefault="00DC11E8" w:rsidP="00836A68">
            <w:pPr>
              <w:keepNext/>
              <w:spacing w:after="0" w:line="240" w:lineRule="auto"/>
              <w:ind w:left="256"/>
              <w:rPr>
                <w:rFonts w:ascii="Arial" w:hAnsi="Arial" w:cs="Arial"/>
                <w:b/>
                <w:color w:val="FFFFFF"/>
                <w:sz w:val="14"/>
                <w:szCs w:val="14"/>
              </w:rPr>
            </w:pPr>
            <w:r w:rsidRPr="007428E2">
              <w:rPr>
                <w:rFonts w:ascii="Arial" w:hAnsi="Arial" w:cs="Arial"/>
                <w:b/>
                <w:color w:val="FFFFFF"/>
                <w:sz w:val="14"/>
                <w:szCs w:val="14"/>
              </w:rPr>
              <w:t>Conclusions from Economic Analysis (2036)</w:t>
            </w:r>
          </w:p>
        </w:tc>
        <w:tc>
          <w:tcPr>
            <w:tcW w:w="1417" w:type="dxa"/>
            <w:tcBorders>
              <w:top w:val="single" w:sz="4" w:space="0" w:color="0070C0"/>
              <w:left w:val="single" w:sz="4" w:space="0" w:color="0070C0"/>
              <w:bottom w:val="single" w:sz="4" w:space="0" w:color="0070C0"/>
              <w:right w:val="single" w:sz="4" w:space="0" w:color="0070C0"/>
            </w:tcBorders>
            <w:shd w:val="clear" w:color="auto" w:fill="0070C0"/>
          </w:tcPr>
          <w:p w:rsidR="00DC11E8" w:rsidRPr="007428E2" w:rsidRDefault="00DC11E8" w:rsidP="00836A68">
            <w:pPr>
              <w:spacing w:after="0" w:line="240" w:lineRule="auto"/>
              <w:jc w:val="center"/>
              <w:rPr>
                <w:rFonts w:ascii="Arial" w:hAnsi="Arial" w:cs="Arial"/>
                <w:b/>
                <w:color w:val="FFFFFF"/>
                <w:sz w:val="14"/>
                <w:szCs w:val="14"/>
              </w:rPr>
            </w:pPr>
          </w:p>
        </w:tc>
      </w:tr>
      <w:tr w:rsidR="00DC11E8" w:rsidRPr="007428E2" w:rsidTr="00836A68">
        <w:trPr>
          <w:trHeight w:val="637"/>
        </w:trPr>
        <w:tc>
          <w:tcPr>
            <w:tcW w:w="958" w:type="dxa"/>
            <w:vMerge/>
            <w:tcBorders>
              <w:top w:val="single" w:sz="4" w:space="0" w:color="0070C0"/>
              <w:left w:val="single" w:sz="4" w:space="0" w:color="0070C0"/>
              <w:bottom w:val="single" w:sz="4" w:space="0" w:color="0070C0"/>
              <w:right w:val="single" w:sz="4" w:space="0" w:color="0070C0"/>
            </w:tcBorders>
            <w:shd w:val="clear" w:color="auto" w:fill="0070C0"/>
            <w:vAlign w:val="center"/>
          </w:tcPr>
          <w:p w:rsidR="00DC11E8" w:rsidRPr="007428E2" w:rsidRDefault="00DC11E8" w:rsidP="00836A68">
            <w:pPr>
              <w:spacing w:after="0" w:line="240" w:lineRule="auto"/>
              <w:jc w:val="center"/>
              <w:rPr>
                <w:rFonts w:ascii="Arial" w:hAnsi="Arial" w:cs="Arial"/>
                <w:b/>
                <w:color w:val="FFFFFF"/>
                <w:sz w:val="14"/>
                <w:szCs w:val="14"/>
              </w:rPr>
            </w:pPr>
          </w:p>
        </w:tc>
        <w:tc>
          <w:tcPr>
            <w:tcW w:w="808" w:type="dxa"/>
            <w:vMerge/>
            <w:tcBorders>
              <w:top w:val="single" w:sz="4" w:space="0" w:color="0070C0"/>
              <w:left w:val="single" w:sz="4" w:space="0" w:color="0070C0"/>
              <w:bottom w:val="single" w:sz="4" w:space="0" w:color="0070C0"/>
              <w:right w:val="single" w:sz="4" w:space="0" w:color="0070C0"/>
            </w:tcBorders>
            <w:shd w:val="clear" w:color="auto" w:fill="0070C0"/>
            <w:vAlign w:val="center"/>
          </w:tcPr>
          <w:p w:rsidR="00DC11E8" w:rsidRPr="007428E2" w:rsidRDefault="00DC11E8" w:rsidP="00836A68">
            <w:pPr>
              <w:spacing w:after="0" w:line="240" w:lineRule="auto"/>
              <w:jc w:val="center"/>
              <w:rPr>
                <w:rFonts w:ascii="Arial" w:hAnsi="Arial" w:cs="Arial"/>
                <w:b/>
                <w:color w:val="FFFFFF"/>
                <w:sz w:val="14"/>
                <w:szCs w:val="14"/>
              </w:rPr>
            </w:pPr>
          </w:p>
        </w:tc>
        <w:tc>
          <w:tcPr>
            <w:tcW w:w="690" w:type="dxa"/>
            <w:vMerge/>
            <w:tcBorders>
              <w:top w:val="single" w:sz="4" w:space="0" w:color="0070C0"/>
              <w:left w:val="single" w:sz="4" w:space="0" w:color="0070C0"/>
              <w:bottom w:val="single" w:sz="4" w:space="0" w:color="0070C0"/>
              <w:right w:val="single" w:sz="4" w:space="0" w:color="0070C0"/>
            </w:tcBorders>
            <w:shd w:val="clear" w:color="auto" w:fill="0070C0"/>
            <w:vAlign w:val="center"/>
          </w:tcPr>
          <w:p w:rsidR="00DC11E8" w:rsidRPr="007428E2" w:rsidRDefault="00DC11E8" w:rsidP="00836A68">
            <w:pPr>
              <w:spacing w:after="0" w:line="240" w:lineRule="auto"/>
              <w:jc w:val="center"/>
              <w:rPr>
                <w:rFonts w:ascii="Arial" w:hAnsi="Arial" w:cs="Arial"/>
                <w:b/>
                <w:color w:val="FFFFFF"/>
                <w:sz w:val="14"/>
                <w:szCs w:val="14"/>
              </w:rPr>
            </w:pPr>
          </w:p>
        </w:tc>
        <w:tc>
          <w:tcPr>
            <w:tcW w:w="1258" w:type="dxa"/>
            <w:vMerge/>
            <w:tcBorders>
              <w:top w:val="single" w:sz="4" w:space="0" w:color="0070C0"/>
              <w:left w:val="single" w:sz="4" w:space="0" w:color="0070C0"/>
              <w:bottom w:val="single" w:sz="4" w:space="0" w:color="0070C0"/>
              <w:right w:val="single" w:sz="4" w:space="0" w:color="0070C0"/>
            </w:tcBorders>
            <w:shd w:val="clear" w:color="auto" w:fill="0070C0"/>
            <w:vAlign w:val="center"/>
          </w:tcPr>
          <w:p w:rsidR="00DC11E8" w:rsidRPr="007428E2" w:rsidRDefault="00DC11E8" w:rsidP="00836A68">
            <w:pPr>
              <w:spacing w:after="0" w:line="240" w:lineRule="auto"/>
              <w:jc w:val="center"/>
              <w:rPr>
                <w:rFonts w:ascii="Arial" w:hAnsi="Arial" w:cs="Arial"/>
                <w:b/>
                <w:color w:val="FFFFFF"/>
                <w:sz w:val="14"/>
                <w:szCs w:val="14"/>
              </w:rPr>
            </w:pPr>
          </w:p>
        </w:tc>
        <w:tc>
          <w:tcPr>
            <w:tcW w:w="1276" w:type="dxa"/>
            <w:vMerge/>
            <w:tcBorders>
              <w:top w:val="single" w:sz="4" w:space="0" w:color="0070C0"/>
              <w:left w:val="single" w:sz="4" w:space="0" w:color="0070C0"/>
              <w:bottom w:val="single" w:sz="4" w:space="0" w:color="0070C0"/>
              <w:right w:val="single" w:sz="4" w:space="0" w:color="0070C0"/>
            </w:tcBorders>
            <w:shd w:val="clear" w:color="auto" w:fill="0070C0"/>
            <w:vAlign w:val="center"/>
          </w:tcPr>
          <w:p w:rsidR="00DC11E8" w:rsidRPr="007428E2" w:rsidRDefault="00DC11E8" w:rsidP="00836A68">
            <w:pPr>
              <w:spacing w:after="0" w:line="240" w:lineRule="auto"/>
              <w:jc w:val="center"/>
              <w:rPr>
                <w:rFonts w:ascii="Arial" w:hAnsi="Arial" w:cs="Arial"/>
                <w:b/>
                <w:color w:val="FFFFFF"/>
                <w:sz w:val="14"/>
                <w:szCs w:val="14"/>
              </w:rPr>
            </w:pPr>
          </w:p>
        </w:tc>
        <w:tc>
          <w:tcPr>
            <w:tcW w:w="1275" w:type="dxa"/>
            <w:vMerge/>
            <w:tcBorders>
              <w:top w:val="single" w:sz="4" w:space="0" w:color="0070C0"/>
              <w:left w:val="single" w:sz="4" w:space="0" w:color="0070C0"/>
              <w:bottom w:val="single" w:sz="4" w:space="0" w:color="0070C0"/>
              <w:right w:val="single" w:sz="4" w:space="0" w:color="0070C0"/>
            </w:tcBorders>
            <w:shd w:val="clear" w:color="auto" w:fill="0070C0"/>
            <w:vAlign w:val="center"/>
          </w:tcPr>
          <w:p w:rsidR="00DC11E8" w:rsidRPr="007428E2" w:rsidRDefault="00DC11E8" w:rsidP="00836A68">
            <w:pPr>
              <w:keepNext/>
              <w:spacing w:after="0" w:line="240" w:lineRule="auto"/>
              <w:jc w:val="center"/>
              <w:rPr>
                <w:rFonts w:ascii="Arial" w:hAnsi="Arial" w:cs="Arial"/>
                <w:b/>
                <w:color w:val="FFFFFF"/>
                <w:sz w:val="14"/>
                <w:szCs w:val="14"/>
              </w:rPr>
            </w:pPr>
          </w:p>
        </w:tc>
        <w:tc>
          <w:tcPr>
            <w:tcW w:w="1418"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DC11E8" w:rsidRPr="007428E2" w:rsidRDefault="00DC11E8" w:rsidP="00836A68">
            <w:pPr>
              <w:keepNext/>
              <w:spacing w:after="0" w:line="240" w:lineRule="auto"/>
              <w:jc w:val="center"/>
              <w:rPr>
                <w:rFonts w:ascii="Arial" w:hAnsi="Arial" w:cs="Arial"/>
                <w:b/>
                <w:color w:val="FFFFFF"/>
                <w:sz w:val="14"/>
                <w:szCs w:val="14"/>
              </w:rPr>
            </w:pPr>
            <w:r w:rsidRPr="007428E2">
              <w:rPr>
                <w:rFonts w:ascii="Arial" w:hAnsi="Arial" w:cs="Arial"/>
                <w:b/>
                <w:color w:val="FFFFFF"/>
                <w:sz w:val="14"/>
                <w:szCs w:val="14"/>
              </w:rPr>
              <w:t>Feasible in principle?</w:t>
            </w:r>
            <w:r w:rsidRPr="007428E2">
              <w:rPr>
                <w:rFonts w:ascii="Arial" w:hAnsi="Arial" w:cs="Arial"/>
                <w:b/>
                <w:color w:val="FFFFFF"/>
                <w:sz w:val="14"/>
                <w:szCs w:val="14"/>
                <w:vertAlign w:val="superscript"/>
              </w:rPr>
              <w:t>(b)</w:t>
            </w:r>
          </w:p>
        </w:tc>
        <w:tc>
          <w:tcPr>
            <w:tcW w:w="2551"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DC11E8" w:rsidRPr="007428E2" w:rsidRDefault="00DC11E8" w:rsidP="00836A68">
            <w:pPr>
              <w:keepNext/>
              <w:spacing w:after="0" w:line="240" w:lineRule="auto"/>
              <w:jc w:val="center"/>
              <w:rPr>
                <w:rFonts w:ascii="Arial" w:hAnsi="Arial" w:cs="Arial"/>
                <w:b/>
                <w:color w:val="FFFFFF"/>
                <w:sz w:val="14"/>
                <w:szCs w:val="14"/>
              </w:rPr>
            </w:pPr>
            <w:r w:rsidRPr="007428E2">
              <w:rPr>
                <w:rFonts w:ascii="Arial" w:hAnsi="Arial" w:cs="Arial"/>
                <w:b/>
                <w:color w:val="FFFFFF"/>
                <w:sz w:val="14"/>
                <w:szCs w:val="14"/>
              </w:rPr>
              <w:t>Further emission reduction required (by state)?</w:t>
            </w:r>
            <w:r w:rsidRPr="007428E2">
              <w:rPr>
                <w:rFonts w:ascii="Arial" w:hAnsi="Arial" w:cs="Arial"/>
                <w:b/>
                <w:color w:val="FFFFFF"/>
                <w:sz w:val="14"/>
                <w:szCs w:val="14"/>
                <w:vertAlign w:val="superscript"/>
              </w:rPr>
              <w:t>(c)</w:t>
            </w:r>
          </w:p>
        </w:tc>
        <w:tc>
          <w:tcPr>
            <w:tcW w:w="2127"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DC11E8" w:rsidRPr="007428E2" w:rsidRDefault="00DC11E8" w:rsidP="00836A68">
            <w:pPr>
              <w:keepNext/>
              <w:spacing w:after="0" w:line="240" w:lineRule="auto"/>
              <w:jc w:val="center"/>
              <w:rPr>
                <w:rFonts w:ascii="Arial" w:hAnsi="Arial" w:cs="Arial"/>
                <w:b/>
                <w:color w:val="FFFFFF"/>
                <w:sz w:val="14"/>
                <w:szCs w:val="14"/>
              </w:rPr>
            </w:pPr>
            <w:r w:rsidRPr="007428E2">
              <w:rPr>
                <w:rFonts w:ascii="Arial" w:hAnsi="Arial" w:cs="Arial"/>
                <w:b/>
                <w:color w:val="FFFFFF"/>
                <w:sz w:val="14"/>
                <w:szCs w:val="14"/>
              </w:rPr>
              <w:t>Emission reductions likely to be achievable?</w:t>
            </w:r>
          </w:p>
        </w:tc>
        <w:tc>
          <w:tcPr>
            <w:tcW w:w="1417"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DC11E8" w:rsidRPr="007428E2" w:rsidRDefault="00DC11E8" w:rsidP="00836A68">
            <w:pPr>
              <w:spacing w:after="0" w:line="240" w:lineRule="auto"/>
              <w:jc w:val="center"/>
              <w:rPr>
                <w:rFonts w:ascii="Arial" w:hAnsi="Arial" w:cs="Arial"/>
                <w:b/>
                <w:color w:val="FFFFFF"/>
                <w:sz w:val="14"/>
                <w:szCs w:val="14"/>
              </w:rPr>
            </w:pPr>
            <w:r w:rsidRPr="007428E2">
              <w:rPr>
                <w:rFonts w:ascii="Arial" w:hAnsi="Arial" w:cs="Arial"/>
                <w:b/>
                <w:color w:val="FFFFFF"/>
                <w:sz w:val="14"/>
                <w:szCs w:val="14"/>
              </w:rPr>
              <w:t xml:space="preserve">Net benefit </w:t>
            </w:r>
            <w:r w:rsidR="00FA636C" w:rsidRPr="007428E2">
              <w:rPr>
                <w:rFonts w:ascii="Arial" w:hAnsi="Arial" w:cs="Arial"/>
                <w:b/>
                <w:color w:val="FFFFFF"/>
                <w:sz w:val="14"/>
                <w:szCs w:val="14"/>
              </w:rPr>
              <w:br/>
            </w:r>
            <w:r w:rsidRPr="007428E2">
              <w:rPr>
                <w:rFonts w:ascii="Arial" w:hAnsi="Arial" w:cs="Arial"/>
                <w:b/>
                <w:color w:val="FFFFFF"/>
                <w:sz w:val="14"/>
                <w:szCs w:val="14"/>
              </w:rPr>
              <w:t>($, 2011 prices)</w:t>
            </w:r>
          </w:p>
        </w:tc>
      </w:tr>
      <w:tr w:rsidR="00DC11E8" w:rsidRPr="007428E2" w:rsidTr="00836A68">
        <w:trPr>
          <w:trHeight w:hRule="exact" w:val="340"/>
        </w:trPr>
        <w:tc>
          <w:tcPr>
            <w:tcW w:w="958" w:type="dxa"/>
            <w:vMerge w:val="restart"/>
            <w:tcBorders>
              <w:top w:val="single" w:sz="4" w:space="0" w:color="0070C0"/>
              <w:left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Air quality standards</w:t>
            </w:r>
          </w:p>
        </w:tc>
        <w:tc>
          <w:tcPr>
            <w:tcW w:w="808" w:type="dxa"/>
            <w:vMerge w:val="restart"/>
            <w:tcBorders>
              <w:top w:val="single" w:sz="4" w:space="0" w:color="0070C0"/>
              <w:left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PM</w:t>
            </w:r>
            <w:r w:rsidRPr="007428E2">
              <w:rPr>
                <w:rFonts w:ascii="Arial" w:hAnsi="Arial" w:cs="Arial"/>
                <w:sz w:val="14"/>
                <w:szCs w:val="14"/>
                <w:vertAlign w:val="subscript"/>
              </w:rPr>
              <w:t>10</w:t>
            </w:r>
          </w:p>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annual mean</w:t>
            </w:r>
          </w:p>
        </w:tc>
        <w:tc>
          <w:tcPr>
            <w:tcW w:w="690"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A20PM</w:t>
            </w:r>
            <w:r w:rsidRPr="007428E2">
              <w:rPr>
                <w:rFonts w:ascii="Arial" w:hAnsi="Arial" w:cs="Arial"/>
                <w:sz w:val="14"/>
                <w:szCs w:val="14"/>
                <w:vertAlign w:val="subscript"/>
              </w:rPr>
              <w:t>10</w:t>
            </w:r>
          </w:p>
        </w:tc>
        <w:tc>
          <w:tcPr>
            <w:tcW w:w="1258"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 xml:space="preserve">20 </w:t>
            </w:r>
            <w:proofErr w:type="spellStart"/>
            <w:r w:rsidRPr="007428E2">
              <w:rPr>
                <w:rFonts w:ascii="Arial" w:hAnsi="Arial" w:cs="Arial"/>
                <w:sz w:val="14"/>
                <w:szCs w:val="14"/>
              </w:rPr>
              <w:t>μg</w:t>
            </w:r>
            <w:proofErr w:type="spellEnd"/>
            <w:r w:rsidRPr="007428E2">
              <w:rPr>
                <w:rFonts w:ascii="Arial" w:hAnsi="Arial" w:cs="Arial"/>
                <w:sz w:val="14"/>
                <w:szCs w:val="14"/>
              </w:rPr>
              <w:t>/m</w:t>
            </w:r>
            <w:r w:rsidRPr="007428E2">
              <w:rPr>
                <w:rFonts w:ascii="Arial" w:hAnsi="Arial" w:cs="Arial"/>
                <w:sz w:val="14"/>
                <w:szCs w:val="14"/>
                <w:vertAlign w:val="superscript"/>
              </w:rPr>
              <w:t>3</w:t>
            </w:r>
          </w:p>
        </w:tc>
        <w:tc>
          <w:tcPr>
            <w:tcW w:w="1276"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b/>
                <w:color w:val="00B050"/>
                <w:sz w:val="14"/>
                <w:szCs w:val="14"/>
              </w:rPr>
            </w:pPr>
            <w:r w:rsidRPr="007428E2">
              <w:rPr>
                <w:rFonts w:ascii="Arial" w:hAnsi="Arial" w:cs="Arial"/>
                <w:b/>
                <w:color w:val="00B050"/>
                <w:sz w:val="14"/>
                <w:szCs w:val="14"/>
              </w:rPr>
              <w:t>Likely</w:t>
            </w:r>
          </w:p>
        </w:tc>
        <w:tc>
          <w:tcPr>
            <w:tcW w:w="1275"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sz w:val="14"/>
                <w:szCs w:val="14"/>
              </w:rPr>
            </w:pPr>
            <w:r w:rsidRPr="007428E2">
              <w:rPr>
                <w:rFonts w:ascii="Arial" w:hAnsi="Arial" w:cs="Arial"/>
                <w:sz w:val="14"/>
                <w:szCs w:val="14"/>
              </w:rPr>
              <w:t>N/A</w:t>
            </w:r>
          </w:p>
        </w:tc>
        <w:tc>
          <w:tcPr>
            <w:tcW w:w="1418"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b/>
                <w:color w:val="00B050"/>
                <w:sz w:val="14"/>
                <w:szCs w:val="14"/>
              </w:rPr>
            </w:pPr>
            <w:r w:rsidRPr="007428E2">
              <w:rPr>
                <w:rFonts w:ascii="Arial" w:hAnsi="Arial" w:cs="Arial"/>
                <w:b/>
                <w:color w:val="00B050"/>
                <w:sz w:val="14"/>
                <w:szCs w:val="14"/>
              </w:rPr>
              <w:t>Yes</w:t>
            </w:r>
          </w:p>
        </w:tc>
        <w:tc>
          <w:tcPr>
            <w:tcW w:w="2551"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color w:val="000000"/>
                <w:sz w:val="14"/>
                <w:szCs w:val="14"/>
              </w:rPr>
            </w:pPr>
            <w:r w:rsidRPr="007428E2">
              <w:rPr>
                <w:rFonts w:ascii="Arial" w:hAnsi="Arial" w:cs="Arial"/>
                <w:color w:val="000000"/>
                <w:sz w:val="14"/>
                <w:szCs w:val="14"/>
              </w:rPr>
              <w:t>WA</w:t>
            </w:r>
          </w:p>
        </w:tc>
        <w:tc>
          <w:tcPr>
            <w:tcW w:w="2127"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color w:val="000000"/>
                <w:sz w:val="14"/>
                <w:szCs w:val="14"/>
              </w:rPr>
            </w:pPr>
            <w:r w:rsidRPr="007428E2">
              <w:rPr>
                <w:rFonts w:ascii="Arial" w:hAnsi="Arial" w:cs="Arial"/>
                <w:b/>
                <w:color w:val="00B050"/>
                <w:sz w:val="14"/>
                <w:szCs w:val="14"/>
              </w:rPr>
              <w:t>Yes</w:t>
            </w:r>
          </w:p>
        </w:tc>
        <w:tc>
          <w:tcPr>
            <w:tcW w:w="1417"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$6.4 billion</w:t>
            </w:r>
          </w:p>
        </w:tc>
      </w:tr>
      <w:tr w:rsidR="00DC11E8" w:rsidRPr="007428E2" w:rsidTr="00836A68">
        <w:trPr>
          <w:trHeight w:hRule="exact" w:val="340"/>
        </w:trPr>
        <w:tc>
          <w:tcPr>
            <w:tcW w:w="958" w:type="dxa"/>
            <w:vMerge/>
            <w:tcBorders>
              <w:left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p>
        </w:tc>
        <w:tc>
          <w:tcPr>
            <w:tcW w:w="808" w:type="dxa"/>
            <w:vMerge/>
            <w:tcBorders>
              <w:left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p>
        </w:tc>
        <w:tc>
          <w:tcPr>
            <w:tcW w:w="690"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A16PM</w:t>
            </w:r>
            <w:r w:rsidRPr="007428E2">
              <w:rPr>
                <w:rFonts w:ascii="Arial" w:hAnsi="Arial" w:cs="Arial"/>
                <w:sz w:val="14"/>
                <w:szCs w:val="14"/>
                <w:vertAlign w:val="subscript"/>
              </w:rPr>
              <w:t>10</w:t>
            </w:r>
          </w:p>
        </w:tc>
        <w:tc>
          <w:tcPr>
            <w:tcW w:w="1258"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 xml:space="preserve">16 </w:t>
            </w:r>
            <w:proofErr w:type="spellStart"/>
            <w:r w:rsidRPr="007428E2">
              <w:rPr>
                <w:rFonts w:ascii="Arial" w:hAnsi="Arial" w:cs="Arial"/>
                <w:sz w:val="14"/>
                <w:szCs w:val="14"/>
              </w:rPr>
              <w:t>μg</w:t>
            </w:r>
            <w:proofErr w:type="spellEnd"/>
            <w:r w:rsidRPr="007428E2">
              <w:rPr>
                <w:rFonts w:ascii="Arial" w:hAnsi="Arial" w:cs="Arial"/>
                <w:sz w:val="14"/>
                <w:szCs w:val="14"/>
              </w:rPr>
              <w:t>/m</w:t>
            </w:r>
            <w:r w:rsidRPr="007428E2">
              <w:rPr>
                <w:rFonts w:ascii="Arial" w:hAnsi="Arial" w:cs="Arial"/>
                <w:sz w:val="14"/>
                <w:szCs w:val="14"/>
                <w:vertAlign w:val="superscript"/>
              </w:rPr>
              <w:t>3</w:t>
            </w:r>
          </w:p>
        </w:tc>
        <w:tc>
          <w:tcPr>
            <w:tcW w:w="1276"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b/>
                <w:color w:val="FF0000"/>
                <w:sz w:val="14"/>
                <w:szCs w:val="14"/>
              </w:rPr>
            </w:pPr>
            <w:r w:rsidRPr="007428E2">
              <w:rPr>
                <w:rFonts w:ascii="Arial" w:hAnsi="Arial" w:cs="Arial"/>
                <w:b/>
                <w:color w:val="FF0000"/>
                <w:sz w:val="14"/>
                <w:szCs w:val="14"/>
              </w:rPr>
              <w:t>Unlikely</w:t>
            </w:r>
          </w:p>
        </w:tc>
        <w:tc>
          <w:tcPr>
            <w:tcW w:w="1275"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b/>
                <w:color w:val="00B050"/>
                <w:sz w:val="14"/>
                <w:szCs w:val="14"/>
              </w:rPr>
            </w:pPr>
            <w:r w:rsidRPr="007428E2">
              <w:rPr>
                <w:rFonts w:ascii="Arial" w:hAnsi="Arial" w:cs="Arial"/>
                <w:sz w:val="14"/>
                <w:szCs w:val="14"/>
              </w:rPr>
              <w:t>N/A</w:t>
            </w:r>
          </w:p>
        </w:tc>
        <w:tc>
          <w:tcPr>
            <w:tcW w:w="1418"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b/>
                <w:color w:val="00B050"/>
                <w:sz w:val="14"/>
                <w:szCs w:val="14"/>
              </w:rPr>
            </w:pPr>
            <w:r w:rsidRPr="007428E2">
              <w:rPr>
                <w:rFonts w:ascii="Arial" w:hAnsi="Arial" w:cs="Arial"/>
                <w:b/>
                <w:color w:val="00B050"/>
                <w:sz w:val="14"/>
                <w:szCs w:val="14"/>
              </w:rPr>
              <w:t>Yes</w:t>
            </w:r>
          </w:p>
        </w:tc>
        <w:tc>
          <w:tcPr>
            <w:tcW w:w="2551"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color w:val="000000"/>
                <w:sz w:val="14"/>
                <w:szCs w:val="14"/>
              </w:rPr>
            </w:pPr>
            <w:r w:rsidRPr="007428E2">
              <w:rPr>
                <w:rFonts w:ascii="Arial" w:hAnsi="Arial" w:cs="Arial"/>
                <w:color w:val="000000"/>
                <w:sz w:val="14"/>
                <w:szCs w:val="14"/>
              </w:rPr>
              <w:t>NSW, VIC, QLD, WA, NT</w:t>
            </w:r>
          </w:p>
        </w:tc>
        <w:tc>
          <w:tcPr>
            <w:tcW w:w="2127"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color w:val="000000"/>
                <w:sz w:val="14"/>
                <w:szCs w:val="14"/>
              </w:rPr>
            </w:pPr>
            <w:r w:rsidRPr="007428E2">
              <w:rPr>
                <w:rFonts w:ascii="Arial" w:hAnsi="Arial" w:cs="Arial"/>
                <w:b/>
                <w:color w:val="FF0000"/>
                <w:sz w:val="14"/>
                <w:szCs w:val="14"/>
              </w:rPr>
              <w:t>No</w:t>
            </w:r>
          </w:p>
        </w:tc>
        <w:tc>
          <w:tcPr>
            <w:tcW w:w="1417"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2F21A3" w:rsidP="00836A68">
            <w:pPr>
              <w:spacing w:after="0" w:line="240" w:lineRule="auto"/>
              <w:jc w:val="center"/>
              <w:rPr>
                <w:rFonts w:ascii="Arial" w:hAnsi="Arial" w:cs="Arial"/>
                <w:sz w:val="14"/>
                <w:szCs w:val="14"/>
              </w:rPr>
            </w:pPr>
            <w:r w:rsidRPr="007428E2">
              <w:rPr>
                <w:rFonts w:ascii="Arial" w:hAnsi="Arial" w:cs="Arial"/>
                <w:sz w:val="14"/>
                <w:szCs w:val="14"/>
              </w:rPr>
              <w:t>–</w:t>
            </w:r>
          </w:p>
        </w:tc>
      </w:tr>
      <w:tr w:rsidR="00DC11E8" w:rsidRPr="007428E2" w:rsidTr="00836A68">
        <w:trPr>
          <w:trHeight w:hRule="exact" w:val="340"/>
        </w:trPr>
        <w:tc>
          <w:tcPr>
            <w:tcW w:w="958" w:type="dxa"/>
            <w:vMerge/>
            <w:tcBorders>
              <w:left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p>
        </w:tc>
        <w:tc>
          <w:tcPr>
            <w:tcW w:w="808" w:type="dxa"/>
            <w:vMerge/>
            <w:tcBorders>
              <w:left w:val="single" w:sz="4" w:space="0" w:color="0070C0"/>
              <w:bottom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p>
        </w:tc>
        <w:tc>
          <w:tcPr>
            <w:tcW w:w="690"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A12PM</w:t>
            </w:r>
            <w:r w:rsidRPr="007428E2">
              <w:rPr>
                <w:rFonts w:ascii="Arial" w:hAnsi="Arial" w:cs="Arial"/>
                <w:sz w:val="14"/>
                <w:szCs w:val="14"/>
                <w:vertAlign w:val="subscript"/>
              </w:rPr>
              <w:t>10</w:t>
            </w:r>
          </w:p>
        </w:tc>
        <w:tc>
          <w:tcPr>
            <w:tcW w:w="1258"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 xml:space="preserve">12 </w:t>
            </w:r>
            <w:proofErr w:type="spellStart"/>
            <w:r w:rsidRPr="007428E2">
              <w:rPr>
                <w:rFonts w:ascii="Arial" w:hAnsi="Arial" w:cs="Arial"/>
                <w:sz w:val="14"/>
                <w:szCs w:val="14"/>
              </w:rPr>
              <w:t>μg</w:t>
            </w:r>
            <w:proofErr w:type="spellEnd"/>
            <w:r w:rsidRPr="007428E2">
              <w:rPr>
                <w:rFonts w:ascii="Arial" w:hAnsi="Arial" w:cs="Arial"/>
                <w:sz w:val="14"/>
                <w:szCs w:val="14"/>
              </w:rPr>
              <w:t>/m</w:t>
            </w:r>
            <w:r w:rsidRPr="007428E2">
              <w:rPr>
                <w:rFonts w:ascii="Arial" w:hAnsi="Arial" w:cs="Arial"/>
                <w:sz w:val="14"/>
                <w:szCs w:val="14"/>
                <w:vertAlign w:val="superscript"/>
              </w:rPr>
              <w:t>3</w:t>
            </w:r>
          </w:p>
        </w:tc>
        <w:tc>
          <w:tcPr>
            <w:tcW w:w="1276"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b/>
                <w:color w:val="FF0000"/>
                <w:sz w:val="14"/>
                <w:szCs w:val="14"/>
              </w:rPr>
              <w:t>Very unlikely</w:t>
            </w:r>
          </w:p>
        </w:tc>
        <w:tc>
          <w:tcPr>
            <w:tcW w:w="1275"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b/>
                <w:color w:val="FF0000"/>
                <w:sz w:val="14"/>
                <w:szCs w:val="14"/>
              </w:rPr>
            </w:pPr>
            <w:r w:rsidRPr="007428E2">
              <w:rPr>
                <w:rFonts w:ascii="Arial" w:hAnsi="Arial" w:cs="Arial"/>
                <w:sz w:val="14"/>
                <w:szCs w:val="14"/>
              </w:rPr>
              <w:t>N/A</w:t>
            </w:r>
          </w:p>
        </w:tc>
        <w:tc>
          <w:tcPr>
            <w:tcW w:w="1418"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b/>
                <w:color w:val="FF0000"/>
                <w:sz w:val="14"/>
                <w:szCs w:val="14"/>
              </w:rPr>
            </w:pPr>
            <w:r w:rsidRPr="007428E2">
              <w:rPr>
                <w:rFonts w:ascii="Arial" w:hAnsi="Arial" w:cs="Arial"/>
                <w:b/>
                <w:color w:val="FF0000"/>
                <w:sz w:val="14"/>
                <w:szCs w:val="14"/>
              </w:rPr>
              <w:t>No</w:t>
            </w:r>
          </w:p>
        </w:tc>
        <w:tc>
          <w:tcPr>
            <w:tcW w:w="2551"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2F21A3" w:rsidP="00836A68">
            <w:pPr>
              <w:keepNext/>
              <w:spacing w:after="0" w:line="240" w:lineRule="auto"/>
              <w:jc w:val="center"/>
              <w:rPr>
                <w:rFonts w:ascii="Arial" w:hAnsi="Arial" w:cs="Arial"/>
                <w:color w:val="000000"/>
                <w:sz w:val="14"/>
                <w:szCs w:val="14"/>
              </w:rPr>
            </w:pPr>
            <w:r w:rsidRPr="007428E2">
              <w:rPr>
                <w:rFonts w:ascii="Arial" w:hAnsi="Arial" w:cs="Arial"/>
                <w:sz w:val="14"/>
                <w:szCs w:val="14"/>
              </w:rPr>
              <w:t>–</w:t>
            </w:r>
          </w:p>
        </w:tc>
        <w:tc>
          <w:tcPr>
            <w:tcW w:w="2127"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2F21A3" w:rsidP="00836A68">
            <w:pPr>
              <w:keepNext/>
              <w:spacing w:after="0" w:line="240" w:lineRule="auto"/>
              <w:jc w:val="center"/>
              <w:rPr>
                <w:rFonts w:ascii="Arial" w:hAnsi="Arial" w:cs="Arial"/>
                <w:color w:val="000000"/>
                <w:sz w:val="14"/>
                <w:szCs w:val="14"/>
              </w:rPr>
            </w:pPr>
            <w:r w:rsidRPr="007428E2">
              <w:rPr>
                <w:rFonts w:ascii="Arial" w:hAnsi="Arial" w:cs="Arial"/>
                <w:sz w:val="14"/>
                <w:szCs w:val="14"/>
              </w:rPr>
              <w:t>–</w:t>
            </w:r>
          </w:p>
        </w:tc>
        <w:tc>
          <w:tcPr>
            <w:tcW w:w="1417"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2F21A3" w:rsidP="00836A68">
            <w:pPr>
              <w:spacing w:after="0" w:line="240" w:lineRule="auto"/>
              <w:jc w:val="center"/>
              <w:rPr>
                <w:rFonts w:ascii="Arial" w:hAnsi="Arial" w:cs="Arial"/>
                <w:sz w:val="14"/>
                <w:szCs w:val="14"/>
              </w:rPr>
            </w:pPr>
            <w:r w:rsidRPr="007428E2">
              <w:rPr>
                <w:rFonts w:ascii="Arial" w:hAnsi="Arial" w:cs="Arial"/>
                <w:sz w:val="14"/>
                <w:szCs w:val="14"/>
              </w:rPr>
              <w:t>–</w:t>
            </w:r>
          </w:p>
        </w:tc>
      </w:tr>
      <w:tr w:rsidR="00DC11E8" w:rsidRPr="007428E2" w:rsidTr="00836A68">
        <w:trPr>
          <w:trHeight w:hRule="exact" w:val="340"/>
        </w:trPr>
        <w:tc>
          <w:tcPr>
            <w:tcW w:w="958" w:type="dxa"/>
            <w:vMerge/>
            <w:tcBorders>
              <w:left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p>
        </w:tc>
        <w:tc>
          <w:tcPr>
            <w:tcW w:w="808" w:type="dxa"/>
            <w:vMerge w:val="restart"/>
            <w:tcBorders>
              <w:top w:val="single" w:sz="4" w:space="0" w:color="0070C0"/>
              <w:left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PM</w:t>
            </w:r>
            <w:r w:rsidRPr="007428E2">
              <w:rPr>
                <w:rFonts w:ascii="Arial" w:hAnsi="Arial" w:cs="Arial"/>
                <w:sz w:val="14"/>
                <w:szCs w:val="14"/>
                <w:vertAlign w:val="subscript"/>
              </w:rPr>
              <w:t>10</w:t>
            </w:r>
          </w:p>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24-hour mean</w:t>
            </w:r>
          </w:p>
        </w:tc>
        <w:tc>
          <w:tcPr>
            <w:tcW w:w="690"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D50PM</w:t>
            </w:r>
            <w:r w:rsidRPr="007428E2">
              <w:rPr>
                <w:rFonts w:ascii="Arial" w:hAnsi="Arial" w:cs="Arial"/>
                <w:sz w:val="14"/>
                <w:szCs w:val="14"/>
                <w:vertAlign w:val="subscript"/>
              </w:rPr>
              <w:t>10</w:t>
            </w:r>
          </w:p>
        </w:tc>
        <w:tc>
          <w:tcPr>
            <w:tcW w:w="1258"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b/>
                <w:sz w:val="14"/>
                <w:szCs w:val="14"/>
              </w:rPr>
            </w:pPr>
            <w:r w:rsidRPr="007428E2">
              <w:rPr>
                <w:rFonts w:ascii="Arial" w:hAnsi="Arial" w:cs="Arial"/>
                <w:b/>
                <w:sz w:val="14"/>
                <w:szCs w:val="14"/>
              </w:rPr>
              <w:t>50</w:t>
            </w:r>
            <w:r w:rsidRPr="007428E2">
              <w:rPr>
                <w:rFonts w:ascii="Arial" w:hAnsi="Arial" w:cs="Arial"/>
                <w:sz w:val="14"/>
                <w:szCs w:val="14"/>
              </w:rPr>
              <w:t xml:space="preserve"> </w:t>
            </w:r>
            <w:proofErr w:type="spellStart"/>
            <w:r w:rsidRPr="007428E2">
              <w:rPr>
                <w:rFonts w:ascii="Arial" w:hAnsi="Arial" w:cs="Arial"/>
                <w:sz w:val="14"/>
                <w:szCs w:val="14"/>
              </w:rPr>
              <w:t>μg</w:t>
            </w:r>
            <w:proofErr w:type="spellEnd"/>
            <w:r w:rsidRPr="007428E2">
              <w:rPr>
                <w:rFonts w:ascii="Arial" w:hAnsi="Arial" w:cs="Arial"/>
                <w:sz w:val="14"/>
                <w:szCs w:val="14"/>
              </w:rPr>
              <w:t>/m</w:t>
            </w:r>
            <w:r w:rsidRPr="007428E2">
              <w:rPr>
                <w:rFonts w:ascii="Arial" w:hAnsi="Arial" w:cs="Arial"/>
                <w:sz w:val="14"/>
                <w:szCs w:val="14"/>
                <w:vertAlign w:val="superscript"/>
              </w:rPr>
              <w:t>3</w:t>
            </w:r>
          </w:p>
        </w:tc>
        <w:tc>
          <w:tcPr>
            <w:tcW w:w="1276"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b/>
                <w:color w:val="FF0000"/>
                <w:sz w:val="14"/>
                <w:szCs w:val="14"/>
              </w:rPr>
            </w:pPr>
            <w:r w:rsidRPr="007428E2">
              <w:rPr>
                <w:rFonts w:ascii="Arial" w:hAnsi="Arial" w:cs="Arial"/>
                <w:b/>
                <w:color w:val="00B050"/>
                <w:sz w:val="14"/>
                <w:szCs w:val="14"/>
              </w:rPr>
              <w:t>Likely</w:t>
            </w:r>
          </w:p>
        </w:tc>
        <w:tc>
          <w:tcPr>
            <w:tcW w:w="1275"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b/>
                <w:color w:val="00B050"/>
                <w:sz w:val="14"/>
                <w:szCs w:val="14"/>
              </w:rPr>
            </w:pPr>
            <w:r w:rsidRPr="007428E2">
              <w:rPr>
                <w:rFonts w:ascii="Arial" w:hAnsi="Arial" w:cs="Arial"/>
                <w:b/>
                <w:color w:val="00B050"/>
                <w:sz w:val="14"/>
                <w:szCs w:val="14"/>
              </w:rPr>
              <w:t>Decrease</w:t>
            </w:r>
          </w:p>
        </w:tc>
        <w:tc>
          <w:tcPr>
            <w:tcW w:w="1418"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b/>
                <w:color w:val="000000"/>
                <w:sz w:val="14"/>
                <w:szCs w:val="14"/>
              </w:rPr>
            </w:pPr>
            <w:r w:rsidRPr="007428E2">
              <w:rPr>
                <w:rFonts w:ascii="Arial" w:hAnsi="Arial" w:cs="Arial"/>
                <w:b/>
                <w:color w:val="00B050"/>
                <w:sz w:val="14"/>
                <w:szCs w:val="14"/>
              </w:rPr>
              <w:t>Yes</w:t>
            </w:r>
          </w:p>
        </w:tc>
        <w:tc>
          <w:tcPr>
            <w:tcW w:w="2551"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color w:val="000000"/>
                <w:sz w:val="14"/>
                <w:szCs w:val="14"/>
              </w:rPr>
            </w:pPr>
            <w:r w:rsidRPr="007428E2">
              <w:rPr>
                <w:rFonts w:ascii="Arial" w:hAnsi="Arial" w:cs="Arial"/>
                <w:color w:val="000000"/>
                <w:sz w:val="14"/>
                <w:szCs w:val="14"/>
              </w:rPr>
              <w:t>None</w:t>
            </w:r>
          </w:p>
        </w:tc>
        <w:tc>
          <w:tcPr>
            <w:tcW w:w="2127"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color w:val="000000"/>
                <w:sz w:val="14"/>
                <w:szCs w:val="14"/>
              </w:rPr>
            </w:pPr>
            <w:r w:rsidRPr="007428E2">
              <w:rPr>
                <w:rFonts w:ascii="Arial" w:hAnsi="Arial" w:cs="Arial"/>
                <w:color w:val="000000"/>
                <w:sz w:val="14"/>
                <w:szCs w:val="14"/>
              </w:rPr>
              <w:t>No reduction required</w:t>
            </w:r>
          </w:p>
        </w:tc>
        <w:tc>
          <w:tcPr>
            <w:tcW w:w="1417"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2F21A3" w:rsidP="00836A68">
            <w:pPr>
              <w:spacing w:after="0" w:line="240" w:lineRule="auto"/>
              <w:jc w:val="center"/>
              <w:rPr>
                <w:rFonts w:ascii="Arial" w:hAnsi="Arial" w:cs="Arial"/>
                <w:b/>
                <w:sz w:val="14"/>
                <w:szCs w:val="14"/>
              </w:rPr>
            </w:pPr>
            <w:r w:rsidRPr="007428E2">
              <w:rPr>
                <w:rFonts w:ascii="Arial" w:hAnsi="Arial" w:cs="Arial"/>
                <w:sz w:val="14"/>
                <w:szCs w:val="14"/>
              </w:rPr>
              <w:t>–</w:t>
            </w:r>
          </w:p>
        </w:tc>
      </w:tr>
      <w:tr w:rsidR="00DC11E8" w:rsidRPr="007428E2" w:rsidTr="00836A68">
        <w:trPr>
          <w:trHeight w:hRule="exact" w:val="340"/>
        </w:trPr>
        <w:tc>
          <w:tcPr>
            <w:tcW w:w="958" w:type="dxa"/>
            <w:vMerge/>
            <w:tcBorders>
              <w:left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p>
        </w:tc>
        <w:tc>
          <w:tcPr>
            <w:tcW w:w="808" w:type="dxa"/>
            <w:vMerge/>
            <w:tcBorders>
              <w:left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p>
        </w:tc>
        <w:tc>
          <w:tcPr>
            <w:tcW w:w="690"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D40PM</w:t>
            </w:r>
            <w:r w:rsidRPr="007428E2">
              <w:rPr>
                <w:rFonts w:ascii="Arial" w:hAnsi="Arial" w:cs="Arial"/>
                <w:sz w:val="14"/>
                <w:szCs w:val="14"/>
                <w:vertAlign w:val="subscript"/>
              </w:rPr>
              <w:t>10</w:t>
            </w:r>
          </w:p>
        </w:tc>
        <w:tc>
          <w:tcPr>
            <w:tcW w:w="1258"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 xml:space="preserve">40 </w:t>
            </w:r>
            <w:proofErr w:type="spellStart"/>
            <w:r w:rsidRPr="007428E2">
              <w:rPr>
                <w:rFonts w:ascii="Arial" w:hAnsi="Arial" w:cs="Arial"/>
                <w:sz w:val="14"/>
                <w:szCs w:val="14"/>
              </w:rPr>
              <w:t>μg</w:t>
            </w:r>
            <w:proofErr w:type="spellEnd"/>
            <w:r w:rsidRPr="007428E2">
              <w:rPr>
                <w:rFonts w:ascii="Arial" w:hAnsi="Arial" w:cs="Arial"/>
                <w:sz w:val="14"/>
                <w:szCs w:val="14"/>
              </w:rPr>
              <w:t>/m</w:t>
            </w:r>
            <w:r w:rsidRPr="007428E2">
              <w:rPr>
                <w:rFonts w:ascii="Arial" w:hAnsi="Arial" w:cs="Arial"/>
                <w:sz w:val="14"/>
                <w:szCs w:val="14"/>
                <w:vertAlign w:val="superscript"/>
              </w:rPr>
              <w:t>3</w:t>
            </w:r>
          </w:p>
        </w:tc>
        <w:tc>
          <w:tcPr>
            <w:tcW w:w="1276"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b/>
                <w:color w:val="00B050"/>
                <w:sz w:val="14"/>
                <w:szCs w:val="14"/>
              </w:rPr>
              <w:t>Likely</w:t>
            </w:r>
          </w:p>
        </w:tc>
        <w:tc>
          <w:tcPr>
            <w:tcW w:w="1275"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b/>
                <w:color w:val="00B050"/>
                <w:sz w:val="14"/>
                <w:szCs w:val="14"/>
              </w:rPr>
            </w:pPr>
            <w:r w:rsidRPr="007428E2">
              <w:rPr>
                <w:rFonts w:ascii="Arial" w:hAnsi="Arial" w:cs="Arial"/>
                <w:b/>
                <w:color w:val="00B050"/>
                <w:sz w:val="14"/>
                <w:szCs w:val="14"/>
              </w:rPr>
              <w:t>Decrease</w:t>
            </w:r>
          </w:p>
        </w:tc>
        <w:tc>
          <w:tcPr>
            <w:tcW w:w="1418"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color w:val="000000"/>
                <w:sz w:val="14"/>
                <w:szCs w:val="14"/>
              </w:rPr>
            </w:pPr>
            <w:r w:rsidRPr="007428E2">
              <w:rPr>
                <w:rFonts w:ascii="Arial" w:hAnsi="Arial" w:cs="Arial"/>
                <w:b/>
                <w:color w:val="00B050"/>
                <w:sz w:val="14"/>
                <w:szCs w:val="14"/>
              </w:rPr>
              <w:t>Yes</w:t>
            </w:r>
          </w:p>
        </w:tc>
        <w:tc>
          <w:tcPr>
            <w:tcW w:w="2551"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color w:val="000000"/>
                <w:sz w:val="14"/>
                <w:szCs w:val="14"/>
              </w:rPr>
            </w:pPr>
            <w:r w:rsidRPr="007428E2">
              <w:rPr>
                <w:rFonts w:ascii="Arial" w:hAnsi="Arial" w:cs="Arial"/>
                <w:color w:val="000000"/>
                <w:sz w:val="14"/>
                <w:szCs w:val="14"/>
              </w:rPr>
              <w:t>TAS</w:t>
            </w:r>
          </w:p>
        </w:tc>
        <w:tc>
          <w:tcPr>
            <w:tcW w:w="2127"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color w:val="000000"/>
                <w:sz w:val="14"/>
                <w:szCs w:val="14"/>
              </w:rPr>
            </w:pPr>
            <w:r w:rsidRPr="007428E2">
              <w:rPr>
                <w:rFonts w:ascii="Arial" w:hAnsi="Arial" w:cs="Arial"/>
                <w:b/>
                <w:color w:val="00B050"/>
                <w:sz w:val="14"/>
                <w:szCs w:val="14"/>
              </w:rPr>
              <w:t>Yes</w:t>
            </w:r>
          </w:p>
        </w:tc>
        <w:tc>
          <w:tcPr>
            <w:tcW w:w="1417"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$6.6 billion</w:t>
            </w:r>
          </w:p>
        </w:tc>
      </w:tr>
      <w:tr w:rsidR="00DC11E8" w:rsidRPr="007428E2" w:rsidTr="00836A68">
        <w:trPr>
          <w:trHeight w:hRule="exact" w:val="340"/>
        </w:trPr>
        <w:tc>
          <w:tcPr>
            <w:tcW w:w="958" w:type="dxa"/>
            <w:vMerge/>
            <w:tcBorders>
              <w:left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p>
        </w:tc>
        <w:tc>
          <w:tcPr>
            <w:tcW w:w="808" w:type="dxa"/>
            <w:vMerge/>
            <w:tcBorders>
              <w:left w:val="single" w:sz="4" w:space="0" w:color="0070C0"/>
              <w:bottom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p>
        </w:tc>
        <w:tc>
          <w:tcPr>
            <w:tcW w:w="690"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D30PM</w:t>
            </w:r>
            <w:r w:rsidRPr="007428E2">
              <w:rPr>
                <w:rFonts w:ascii="Arial" w:hAnsi="Arial" w:cs="Arial"/>
                <w:sz w:val="14"/>
                <w:szCs w:val="14"/>
                <w:vertAlign w:val="subscript"/>
              </w:rPr>
              <w:t>10</w:t>
            </w:r>
          </w:p>
        </w:tc>
        <w:tc>
          <w:tcPr>
            <w:tcW w:w="1258"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 xml:space="preserve">30 </w:t>
            </w:r>
            <w:proofErr w:type="spellStart"/>
            <w:r w:rsidRPr="007428E2">
              <w:rPr>
                <w:rFonts w:ascii="Arial" w:hAnsi="Arial" w:cs="Arial"/>
                <w:sz w:val="14"/>
                <w:szCs w:val="14"/>
              </w:rPr>
              <w:t>μg</w:t>
            </w:r>
            <w:proofErr w:type="spellEnd"/>
            <w:r w:rsidRPr="007428E2">
              <w:rPr>
                <w:rFonts w:ascii="Arial" w:hAnsi="Arial" w:cs="Arial"/>
                <w:sz w:val="14"/>
                <w:szCs w:val="14"/>
              </w:rPr>
              <w:t>/m</w:t>
            </w:r>
            <w:r w:rsidRPr="007428E2">
              <w:rPr>
                <w:rFonts w:ascii="Arial" w:hAnsi="Arial" w:cs="Arial"/>
                <w:sz w:val="14"/>
                <w:szCs w:val="14"/>
                <w:vertAlign w:val="superscript"/>
              </w:rPr>
              <w:t>3</w:t>
            </w:r>
          </w:p>
        </w:tc>
        <w:tc>
          <w:tcPr>
            <w:tcW w:w="1276"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b/>
                <w:color w:val="FF0000"/>
                <w:sz w:val="14"/>
                <w:szCs w:val="14"/>
              </w:rPr>
              <w:t>Unlikely</w:t>
            </w:r>
          </w:p>
        </w:tc>
        <w:tc>
          <w:tcPr>
            <w:tcW w:w="1275"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b/>
                <w:color w:val="00B050"/>
                <w:sz w:val="14"/>
                <w:szCs w:val="14"/>
              </w:rPr>
            </w:pPr>
            <w:r w:rsidRPr="007428E2">
              <w:rPr>
                <w:rFonts w:ascii="Arial" w:hAnsi="Arial" w:cs="Arial"/>
                <w:b/>
                <w:color w:val="00B050"/>
                <w:sz w:val="14"/>
                <w:szCs w:val="14"/>
              </w:rPr>
              <w:t>Decrease</w:t>
            </w:r>
          </w:p>
        </w:tc>
        <w:tc>
          <w:tcPr>
            <w:tcW w:w="1418"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color w:val="000000"/>
                <w:sz w:val="14"/>
                <w:szCs w:val="14"/>
              </w:rPr>
            </w:pPr>
            <w:r w:rsidRPr="007428E2">
              <w:rPr>
                <w:rFonts w:ascii="Arial" w:hAnsi="Arial" w:cs="Arial"/>
                <w:b/>
                <w:color w:val="FF0000"/>
                <w:sz w:val="14"/>
                <w:szCs w:val="14"/>
              </w:rPr>
              <w:t>No</w:t>
            </w:r>
          </w:p>
        </w:tc>
        <w:tc>
          <w:tcPr>
            <w:tcW w:w="2551"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2F21A3" w:rsidP="00836A68">
            <w:pPr>
              <w:keepNext/>
              <w:spacing w:after="0" w:line="240" w:lineRule="auto"/>
              <w:jc w:val="center"/>
              <w:rPr>
                <w:rFonts w:ascii="Arial" w:hAnsi="Arial" w:cs="Arial"/>
                <w:color w:val="000000"/>
                <w:sz w:val="14"/>
                <w:szCs w:val="14"/>
              </w:rPr>
            </w:pPr>
            <w:r w:rsidRPr="007428E2">
              <w:rPr>
                <w:rFonts w:ascii="Arial" w:hAnsi="Arial" w:cs="Arial"/>
                <w:sz w:val="14"/>
                <w:szCs w:val="14"/>
              </w:rPr>
              <w:t>–</w:t>
            </w:r>
          </w:p>
        </w:tc>
        <w:tc>
          <w:tcPr>
            <w:tcW w:w="2127"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2F21A3" w:rsidP="00836A68">
            <w:pPr>
              <w:keepNext/>
              <w:spacing w:after="0" w:line="240" w:lineRule="auto"/>
              <w:jc w:val="center"/>
              <w:rPr>
                <w:rFonts w:ascii="Arial" w:hAnsi="Arial" w:cs="Arial"/>
                <w:color w:val="000000"/>
                <w:sz w:val="14"/>
                <w:szCs w:val="14"/>
              </w:rPr>
            </w:pPr>
            <w:r w:rsidRPr="007428E2">
              <w:rPr>
                <w:rFonts w:ascii="Arial" w:hAnsi="Arial" w:cs="Arial"/>
                <w:sz w:val="14"/>
                <w:szCs w:val="14"/>
              </w:rPr>
              <w:t>–</w:t>
            </w:r>
          </w:p>
        </w:tc>
        <w:tc>
          <w:tcPr>
            <w:tcW w:w="1417"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2F21A3" w:rsidP="00836A68">
            <w:pPr>
              <w:spacing w:after="0" w:line="240" w:lineRule="auto"/>
              <w:jc w:val="center"/>
              <w:rPr>
                <w:rFonts w:ascii="Arial" w:hAnsi="Arial" w:cs="Arial"/>
                <w:sz w:val="14"/>
                <w:szCs w:val="14"/>
              </w:rPr>
            </w:pPr>
            <w:r w:rsidRPr="007428E2">
              <w:rPr>
                <w:rFonts w:ascii="Arial" w:hAnsi="Arial" w:cs="Arial"/>
                <w:sz w:val="14"/>
                <w:szCs w:val="14"/>
              </w:rPr>
              <w:t>–</w:t>
            </w:r>
          </w:p>
        </w:tc>
      </w:tr>
      <w:tr w:rsidR="00DC11E8" w:rsidRPr="007428E2" w:rsidTr="00836A68">
        <w:trPr>
          <w:trHeight w:hRule="exact" w:val="340"/>
        </w:trPr>
        <w:tc>
          <w:tcPr>
            <w:tcW w:w="958" w:type="dxa"/>
            <w:vMerge/>
            <w:tcBorders>
              <w:left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p>
        </w:tc>
        <w:tc>
          <w:tcPr>
            <w:tcW w:w="808" w:type="dxa"/>
            <w:vMerge w:val="restart"/>
            <w:tcBorders>
              <w:top w:val="single" w:sz="4" w:space="0" w:color="0070C0"/>
              <w:left w:val="single" w:sz="4" w:space="0" w:color="0070C0"/>
              <w:bottom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PM</w:t>
            </w:r>
            <w:r w:rsidRPr="007428E2">
              <w:rPr>
                <w:rFonts w:ascii="Arial" w:hAnsi="Arial" w:cs="Arial"/>
                <w:sz w:val="14"/>
                <w:szCs w:val="14"/>
                <w:vertAlign w:val="subscript"/>
              </w:rPr>
              <w:t>2.5</w:t>
            </w:r>
          </w:p>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annual mean</w:t>
            </w:r>
          </w:p>
        </w:tc>
        <w:tc>
          <w:tcPr>
            <w:tcW w:w="690"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A10PM</w:t>
            </w:r>
            <w:r w:rsidRPr="007428E2">
              <w:rPr>
                <w:rFonts w:ascii="Arial" w:hAnsi="Arial" w:cs="Arial"/>
                <w:sz w:val="14"/>
                <w:szCs w:val="14"/>
                <w:vertAlign w:val="subscript"/>
              </w:rPr>
              <w:t>2.5</w:t>
            </w:r>
          </w:p>
        </w:tc>
        <w:tc>
          <w:tcPr>
            <w:tcW w:w="1258"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 xml:space="preserve">10 </w:t>
            </w:r>
            <w:proofErr w:type="spellStart"/>
            <w:r w:rsidRPr="007428E2">
              <w:rPr>
                <w:rFonts w:ascii="Arial" w:hAnsi="Arial" w:cs="Arial"/>
                <w:sz w:val="14"/>
                <w:szCs w:val="14"/>
              </w:rPr>
              <w:t>μg</w:t>
            </w:r>
            <w:proofErr w:type="spellEnd"/>
            <w:r w:rsidRPr="007428E2">
              <w:rPr>
                <w:rFonts w:ascii="Arial" w:hAnsi="Arial" w:cs="Arial"/>
                <w:sz w:val="14"/>
                <w:szCs w:val="14"/>
              </w:rPr>
              <w:t>/m</w:t>
            </w:r>
            <w:r w:rsidRPr="007428E2">
              <w:rPr>
                <w:rFonts w:ascii="Arial" w:hAnsi="Arial" w:cs="Arial"/>
                <w:sz w:val="14"/>
                <w:szCs w:val="14"/>
                <w:vertAlign w:val="superscript"/>
              </w:rPr>
              <w:t>3</w:t>
            </w:r>
          </w:p>
        </w:tc>
        <w:tc>
          <w:tcPr>
            <w:tcW w:w="1276"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b/>
                <w:color w:val="00B050"/>
                <w:sz w:val="14"/>
                <w:szCs w:val="14"/>
              </w:rPr>
              <w:t>Likely</w:t>
            </w:r>
          </w:p>
        </w:tc>
        <w:tc>
          <w:tcPr>
            <w:tcW w:w="1275"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b/>
                <w:color w:val="FF0000"/>
                <w:sz w:val="14"/>
                <w:szCs w:val="14"/>
              </w:rPr>
            </w:pPr>
            <w:r w:rsidRPr="007428E2">
              <w:rPr>
                <w:rFonts w:ascii="Arial" w:hAnsi="Arial" w:cs="Arial"/>
                <w:b/>
                <w:color w:val="FF0000"/>
                <w:sz w:val="14"/>
                <w:szCs w:val="14"/>
              </w:rPr>
              <w:t>Increase</w:t>
            </w:r>
            <w:r w:rsidR="00277FA9" w:rsidRPr="007428E2">
              <w:rPr>
                <w:rFonts w:ascii="Arial" w:hAnsi="Arial" w:cs="Arial"/>
                <w:color w:val="000000"/>
                <w:sz w:val="14"/>
                <w:szCs w:val="14"/>
                <w:vertAlign w:val="superscript"/>
              </w:rPr>
              <w:t>(d)</w:t>
            </w:r>
          </w:p>
        </w:tc>
        <w:tc>
          <w:tcPr>
            <w:tcW w:w="1418"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color w:val="000000"/>
                <w:sz w:val="14"/>
                <w:szCs w:val="14"/>
              </w:rPr>
            </w:pPr>
            <w:r w:rsidRPr="007428E2">
              <w:rPr>
                <w:rFonts w:ascii="Arial" w:hAnsi="Arial" w:cs="Arial"/>
                <w:b/>
                <w:color w:val="00B050"/>
                <w:sz w:val="14"/>
                <w:szCs w:val="14"/>
              </w:rPr>
              <w:t>Yes</w:t>
            </w:r>
          </w:p>
        </w:tc>
        <w:tc>
          <w:tcPr>
            <w:tcW w:w="2551"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color w:val="000000"/>
                <w:sz w:val="14"/>
                <w:szCs w:val="14"/>
              </w:rPr>
            </w:pPr>
            <w:r w:rsidRPr="007428E2">
              <w:rPr>
                <w:rFonts w:ascii="Arial" w:hAnsi="Arial" w:cs="Arial"/>
                <w:color w:val="000000"/>
                <w:sz w:val="14"/>
                <w:szCs w:val="14"/>
              </w:rPr>
              <w:t>None</w:t>
            </w:r>
          </w:p>
        </w:tc>
        <w:tc>
          <w:tcPr>
            <w:tcW w:w="2127"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color w:val="000000"/>
                <w:sz w:val="14"/>
                <w:szCs w:val="14"/>
              </w:rPr>
            </w:pPr>
            <w:r w:rsidRPr="007428E2">
              <w:rPr>
                <w:rFonts w:ascii="Arial" w:hAnsi="Arial" w:cs="Arial"/>
                <w:color w:val="000000"/>
                <w:sz w:val="14"/>
                <w:szCs w:val="14"/>
              </w:rPr>
              <w:t>No reduction required</w:t>
            </w:r>
          </w:p>
        </w:tc>
        <w:tc>
          <w:tcPr>
            <w:tcW w:w="1417"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2F21A3" w:rsidP="00836A68">
            <w:pPr>
              <w:spacing w:after="0" w:line="240" w:lineRule="auto"/>
              <w:jc w:val="center"/>
              <w:rPr>
                <w:rFonts w:ascii="Arial" w:hAnsi="Arial" w:cs="Arial"/>
                <w:sz w:val="14"/>
                <w:szCs w:val="14"/>
              </w:rPr>
            </w:pPr>
            <w:r w:rsidRPr="007428E2">
              <w:rPr>
                <w:rFonts w:ascii="Arial" w:hAnsi="Arial" w:cs="Arial"/>
                <w:sz w:val="14"/>
                <w:szCs w:val="14"/>
              </w:rPr>
              <w:t>–</w:t>
            </w:r>
          </w:p>
        </w:tc>
      </w:tr>
      <w:tr w:rsidR="00DC11E8" w:rsidRPr="007428E2" w:rsidTr="00836A68">
        <w:trPr>
          <w:trHeight w:hRule="exact" w:val="340"/>
        </w:trPr>
        <w:tc>
          <w:tcPr>
            <w:tcW w:w="958" w:type="dxa"/>
            <w:vMerge/>
            <w:tcBorders>
              <w:left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p>
        </w:tc>
        <w:tc>
          <w:tcPr>
            <w:tcW w:w="808" w:type="dxa"/>
            <w:vMerge/>
            <w:tcBorders>
              <w:top w:val="single" w:sz="4" w:space="0" w:color="0070C0"/>
              <w:left w:val="single" w:sz="4" w:space="0" w:color="0070C0"/>
              <w:bottom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p>
        </w:tc>
        <w:tc>
          <w:tcPr>
            <w:tcW w:w="690"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A08PM</w:t>
            </w:r>
            <w:r w:rsidRPr="007428E2">
              <w:rPr>
                <w:rFonts w:ascii="Arial" w:hAnsi="Arial" w:cs="Arial"/>
                <w:sz w:val="14"/>
                <w:szCs w:val="14"/>
                <w:vertAlign w:val="subscript"/>
              </w:rPr>
              <w:t>2.5</w:t>
            </w:r>
          </w:p>
        </w:tc>
        <w:tc>
          <w:tcPr>
            <w:tcW w:w="1258"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b/>
                <w:sz w:val="14"/>
                <w:szCs w:val="14"/>
              </w:rPr>
            </w:pPr>
            <w:r w:rsidRPr="007428E2">
              <w:rPr>
                <w:rFonts w:ascii="Arial" w:hAnsi="Arial" w:cs="Arial"/>
                <w:b/>
                <w:sz w:val="14"/>
                <w:szCs w:val="14"/>
              </w:rPr>
              <w:t>8</w:t>
            </w:r>
            <w:r w:rsidRPr="007428E2">
              <w:rPr>
                <w:rFonts w:ascii="Arial" w:hAnsi="Arial" w:cs="Arial"/>
                <w:sz w:val="14"/>
                <w:szCs w:val="14"/>
              </w:rPr>
              <w:t xml:space="preserve"> </w:t>
            </w:r>
            <w:proofErr w:type="spellStart"/>
            <w:r w:rsidRPr="007428E2">
              <w:rPr>
                <w:rFonts w:ascii="Arial" w:hAnsi="Arial" w:cs="Arial"/>
                <w:sz w:val="14"/>
                <w:szCs w:val="14"/>
              </w:rPr>
              <w:t>μg</w:t>
            </w:r>
            <w:proofErr w:type="spellEnd"/>
            <w:r w:rsidRPr="007428E2">
              <w:rPr>
                <w:rFonts w:ascii="Arial" w:hAnsi="Arial" w:cs="Arial"/>
                <w:sz w:val="14"/>
                <w:szCs w:val="14"/>
              </w:rPr>
              <w:t>/m</w:t>
            </w:r>
            <w:r w:rsidRPr="007428E2">
              <w:rPr>
                <w:rFonts w:ascii="Arial" w:hAnsi="Arial" w:cs="Arial"/>
                <w:sz w:val="14"/>
                <w:szCs w:val="14"/>
                <w:vertAlign w:val="superscript"/>
              </w:rPr>
              <w:t>3</w:t>
            </w:r>
          </w:p>
        </w:tc>
        <w:tc>
          <w:tcPr>
            <w:tcW w:w="1276"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b/>
                <w:sz w:val="14"/>
                <w:szCs w:val="14"/>
              </w:rPr>
            </w:pPr>
            <w:r w:rsidRPr="007428E2">
              <w:rPr>
                <w:rFonts w:ascii="Arial" w:hAnsi="Arial" w:cs="Arial"/>
                <w:b/>
                <w:color w:val="00B050"/>
                <w:sz w:val="14"/>
                <w:szCs w:val="14"/>
              </w:rPr>
              <w:t>Likely</w:t>
            </w:r>
          </w:p>
        </w:tc>
        <w:tc>
          <w:tcPr>
            <w:tcW w:w="1275"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b/>
                <w:color w:val="FF0000"/>
                <w:sz w:val="14"/>
                <w:szCs w:val="14"/>
              </w:rPr>
            </w:pPr>
            <w:r w:rsidRPr="007428E2">
              <w:rPr>
                <w:rFonts w:ascii="Arial" w:hAnsi="Arial" w:cs="Arial"/>
                <w:b/>
                <w:color w:val="FF0000"/>
                <w:sz w:val="14"/>
                <w:szCs w:val="14"/>
              </w:rPr>
              <w:t>Increase</w:t>
            </w:r>
            <w:r w:rsidR="00277FA9" w:rsidRPr="007428E2">
              <w:rPr>
                <w:rFonts w:ascii="Arial" w:hAnsi="Arial" w:cs="Arial"/>
                <w:color w:val="000000"/>
                <w:sz w:val="14"/>
                <w:szCs w:val="14"/>
                <w:vertAlign w:val="superscript"/>
              </w:rPr>
              <w:t>(d)</w:t>
            </w:r>
          </w:p>
        </w:tc>
        <w:tc>
          <w:tcPr>
            <w:tcW w:w="1418"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b/>
                <w:color w:val="000000"/>
                <w:sz w:val="14"/>
                <w:szCs w:val="14"/>
              </w:rPr>
            </w:pPr>
            <w:r w:rsidRPr="007428E2">
              <w:rPr>
                <w:rFonts w:ascii="Arial" w:hAnsi="Arial" w:cs="Arial"/>
                <w:b/>
                <w:color w:val="00B050"/>
                <w:sz w:val="14"/>
                <w:szCs w:val="14"/>
              </w:rPr>
              <w:t>Yes</w:t>
            </w:r>
          </w:p>
        </w:tc>
        <w:tc>
          <w:tcPr>
            <w:tcW w:w="2551"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color w:val="000000"/>
                <w:sz w:val="14"/>
                <w:szCs w:val="14"/>
              </w:rPr>
            </w:pPr>
            <w:r w:rsidRPr="007428E2">
              <w:rPr>
                <w:rFonts w:ascii="Arial" w:hAnsi="Arial" w:cs="Arial"/>
                <w:color w:val="000000"/>
                <w:sz w:val="14"/>
                <w:szCs w:val="14"/>
              </w:rPr>
              <w:t>TAS</w:t>
            </w:r>
          </w:p>
        </w:tc>
        <w:tc>
          <w:tcPr>
            <w:tcW w:w="2127"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b/>
                <w:color w:val="00B050"/>
                <w:sz w:val="14"/>
                <w:szCs w:val="14"/>
              </w:rPr>
            </w:pPr>
            <w:r w:rsidRPr="007428E2">
              <w:rPr>
                <w:rFonts w:ascii="Arial" w:hAnsi="Arial" w:cs="Arial"/>
                <w:b/>
                <w:color w:val="00B050"/>
                <w:sz w:val="14"/>
                <w:szCs w:val="14"/>
              </w:rPr>
              <w:t>Yes</w:t>
            </w:r>
          </w:p>
        </w:tc>
        <w:tc>
          <w:tcPr>
            <w:tcW w:w="1417"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b/>
                <w:sz w:val="14"/>
                <w:szCs w:val="14"/>
              </w:rPr>
            </w:pPr>
            <w:r w:rsidRPr="007428E2">
              <w:rPr>
                <w:rFonts w:ascii="Arial" w:hAnsi="Arial" w:cs="Arial"/>
                <w:sz w:val="14"/>
                <w:szCs w:val="14"/>
              </w:rPr>
              <w:t>$6.5 billion</w:t>
            </w:r>
          </w:p>
        </w:tc>
      </w:tr>
      <w:tr w:rsidR="00DC11E8" w:rsidRPr="007428E2" w:rsidTr="00836A68">
        <w:trPr>
          <w:trHeight w:hRule="exact" w:val="340"/>
        </w:trPr>
        <w:tc>
          <w:tcPr>
            <w:tcW w:w="958" w:type="dxa"/>
            <w:vMerge/>
            <w:tcBorders>
              <w:left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p>
        </w:tc>
        <w:tc>
          <w:tcPr>
            <w:tcW w:w="808" w:type="dxa"/>
            <w:vMerge/>
            <w:tcBorders>
              <w:top w:val="single" w:sz="4" w:space="0" w:color="0070C0"/>
              <w:left w:val="single" w:sz="4" w:space="0" w:color="0070C0"/>
              <w:bottom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p>
        </w:tc>
        <w:tc>
          <w:tcPr>
            <w:tcW w:w="690"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A06PM</w:t>
            </w:r>
            <w:r w:rsidRPr="007428E2">
              <w:rPr>
                <w:rFonts w:ascii="Arial" w:hAnsi="Arial" w:cs="Arial"/>
                <w:sz w:val="14"/>
                <w:szCs w:val="14"/>
                <w:vertAlign w:val="subscript"/>
              </w:rPr>
              <w:t>2.5</w:t>
            </w:r>
          </w:p>
        </w:tc>
        <w:tc>
          <w:tcPr>
            <w:tcW w:w="1258"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 xml:space="preserve">6 </w:t>
            </w:r>
            <w:proofErr w:type="spellStart"/>
            <w:r w:rsidRPr="007428E2">
              <w:rPr>
                <w:rFonts w:ascii="Arial" w:hAnsi="Arial" w:cs="Arial"/>
                <w:sz w:val="14"/>
                <w:szCs w:val="14"/>
              </w:rPr>
              <w:t>μg</w:t>
            </w:r>
            <w:proofErr w:type="spellEnd"/>
            <w:r w:rsidRPr="007428E2">
              <w:rPr>
                <w:rFonts w:ascii="Arial" w:hAnsi="Arial" w:cs="Arial"/>
                <w:sz w:val="14"/>
                <w:szCs w:val="14"/>
              </w:rPr>
              <w:t>/m</w:t>
            </w:r>
            <w:r w:rsidRPr="007428E2">
              <w:rPr>
                <w:rFonts w:ascii="Arial" w:hAnsi="Arial" w:cs="Arial"/>
                <w:sz w:val="14"/>
                <w:szCs w:val="14"/>
                <w:vertAlign w:val="superscript"/>
              </w:rPr>
              <w:t>3</w:t>
            </w:r>
          </w:p>
        </w:tc>
        <w:tc>
          <w:tcPr>
            <w:tcW w:w="1276"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b/>
                <w:color w:val="FF0000"/>
                <w:sz w:val="14"/>
                <w:szCs w:val="14"/>
              </w:rPr>
              <w:t>Unlikely</w:t>
            </w:r>
          </w:p>
        </w:tc>
        <w:tc>
          <w:tcPr>
            <w:tcW w:w="1275"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b/>
                <w:color w:val="00B050"/>
                <w:sz w:val="14"/>
                <w:szCs w:val="14"/>
              </w:rPr>
            </w:pPr>
            <w:r w:rsidRPr="007428E2">
              <w:rPr>
                <w:rFonts w:ascii="Arial" w:hAnsi="Arial" w:cs="Arial"/>
                <w:b/>
                <w:color w:val="00B050"/>
                <w:sz w:val="14"/>
                <w:szCs w:val="14"/>
              </w:rPr>
              <w:t>Decrease</w:t>
            </w:r>
          </w:p>
        </w:tc>
        <w:tc>
          <w:tcPr>
            <w:tcW w:w="1418"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color w:val="000000"/>
                <w:sz w:val="14"/>
                <w:szCs w:val="14"/>
              </w:rPr>
            </w:pPr>
            <w:r w:rsidRPr="007428E2">
              <w:rPr>
                <w:rFonts w:ascii="Arial" w:hAnsi="Arial" w:cs="Arial"/>
                <w:b/>
                <w:color w:val="00B050"/>
                <w:sz w:val="14"/>
                <w:szCs w:val="14"/>
              </w:rPr>
              <w:t>Yes</w:t>
            </w:r>
          </w:p>
        </w:tc>
        <w:tc>
          <w:tcPr>
            <w:tcW w:w="2551"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color w:val="000000"/>
                <w:sz w:val="14"/>
                <w:szCs w:val="14"/>
              </w:rPr>
            </w:pPr>
            <w:r w:rsidRPr="007428E2">
              <w:rPr>
                <w:rFonts w:ascii="Arial" w:hAnsi="Arial" w:cs="Arial"/>
                <w:color w:val="000000"/>
                <w:sz w:val="14"/>
                <w:szCs w:val="14"/>
              </w:rPr>
              <w:t>NSW, QLD, SA, WA, TAS, NT, ACT</w:t>
            </w:r>
          </w:p>
        </w:tc>
        <w:tc>
          <w:tcPr>
            <w:tcW w:w="2127"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color w:val="000000"/>
                <w:sz w:val="14"/>
                <w:szCs w:val="14"/>
              </w:rPr>
            </w:pPr>
            <w:r w:rsidRPr="007428E2">
              <w:rPr>
                <w:rFonts w:ascii="Arial" w:hAnsi="Arial" w:cs="Arial"/>
                <w:b/>
                <w:color w:val="FF0000"/>
                <w:sz w:val="14"/>
                <w:szCs w:val="14"/>
              </w:rPr>
              <w:t>No</w:t>
            </w:r>
          </w:p>
        </w:tc>
        <w:tc>
          <w:tcPr>
            <w:tcW w:w="1417"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2F21A3" w:rsidP="00836A68">
            <w:pPr>
              <w:spacing w:after="0" w:line="240" w:lineRule="auto"/>
              <w:jc w:val="center"/>
              <w:rPr>
                <w:rFonts w:ascii="Arial" w:hAnsi="Arial" w:cs="Arial"/>
                <w:sz w:val="14"/>
                <w:szCs w:val="14"/>
              </w:rPr>
            </w:pPr>
            <w:r w:rsidRPr="007428E2">
              <w:rPr>
                <w:rFonts w:ascii="Arial" w:hAnsi="Arial" w:cs="Arial"/>
                <w:sz w:val="14"/>
                <w:szCs w:val="14"/>
              </w:rPr>
              <w:t>–</w:t>
            </w:r>
          </w:p>
        </w:tc>
      </w:tr>
      <w:tr w:rsidR="00DC11E8" w:rsidRPr="007428E2" w:rsidTr="00836A68">
        <w:trPr>
          <w:trHeight w:hRule="exact" w:val="340"/>
        </w:trPr>
        <w:tc>
          <w:tcPr>
            <w:tcW w:w="958" w:type="dxa"/>
            <w:vMerge/>
            <w:tcBorders>
              <w:left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p>
        </w:tc>
        <w:tc>
          <w:tcPr>
            <w:tcW w:w="808" w:type="dxa"/>
            <w:vMerge w:val="restart"/>
            <w:tcBorders>
              <w:top w:val="single" w:sz="4" w:space="0" w:color="0070C0"/>
              <w:left w:val="single" w:sz="4" w:space="0" w:color="0070C0"/>
              <w:bottom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PM</w:t>
            </w:r>
            <w:r w:rsidRPr="007428E2">
              <w:rPr>
                <w:rFonts w:ascii="Arial" w:hAnsi="Arial" w:cs="Arial"/>
                <w:sz w:val="14"/>
                <w:szCs w:val="14"/>
                <w:vertAlign w:val="subscript"/>
              </w:rPr>
              <w:t>2.5</w:t>
            </w:r>
          </w:p>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24-hour mean</w:t>
            </w:r>
          </w:p>
        </w:tc>
        <w:tc>
          <w:tcPr>
            <w:tcW w:w="690"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D25PM</w:t>
            </w:r>
            <w:r w:rsidRPr="007428E2">
              <w:rPr>
                <w:rFonts w:ascii="Arial" w:hAnsi="Arial" w:cs="Arial"/>
                <w:sz w:val="14"/>
                <w:szCs w:val="14"/>
                <w:vertAlign w:val="subscript"/>
              </w:rPr>
              <w:t>2.5</w:t>
            </w:r>
          </w:p>
        </w:tc>
        <w:tc>
          <w:tcPr>
            <w:tcW w:w="1258"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b/>
                <w:sz w:val="14"/>
                <w:szCs w:val="14"/>
              </w:rPr>
            </w:pPr>
            <w:r w:rsidRPr="007428E2">
              <w:rPr>
                <w:rFonts w:ascii="Arial" w:hAnsi="Arial" w:cs="Arial"/>
                <w:b/>
                <w:sz w:val="14"/>
                <w:szCs w:val="14"/>
              </w:rPr>
              <w:t>25</w:t>
            </w:r>
            <w:r w:rsidRPr="007428E2">
              <w:rPr>
                <w:rFonts w:ascii="Arial" w:hAnsi="Arial" w:cs="Arial"/>
                <w:sz w:val="14"/>
                <w:szCs w:val="14"/>
              </w:rPr>
              <w:t xml:space="preserve"> </w:t>
            </w:r>
            <w:proofErr w:type="spellStart"/>
            <w:r w:rsidRPr="007428E2">
              <w:rPr>
                <w:rFonts w:ascii="Arial" w:hAnsi="Arial" w:cs="Arial"/>
                <w:sz w:val="14"/>
                <w:szCs w:val="14"/>
              </w:rPr>
              <w:t>μg</w:t>
            </w:r>
            <w:proofErr w:type="spellEnd"/>
            <w:r w:rsidRPr="007428E2">
              <w:rPr>
                <w:rFonts w:ascii="Arial" w:hAnsi="Arial" w:cs="Arial"/>
                <w:sz w:val="14"/>
                <w:szCs w:val="14"/>
              </w:rPr>
              <w:t>/m</w:t>
            </w:r>
            <w:r w:rsidRPr="007428E2">
              <w:rPr>
                <w:rFonts w:ascii="Arial" w:hAnsi="Arial" w:cs="Arial"/>
                <w:sz w:val="14"/>
                <w:szCs w:val="14"/>
                <w:vertAlign w:val="superscript"/>
              </w:rPr>
              <w:t>3</w:t>
            </w:r>
          </w:p>
        </w:tc>
        <w:tc>
          <w:tcPr>
            <w:tcW w:w="1276"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b/>
                <w:color w:val="000000"/>
                <w:sz w:val="14"/>
                <w:szCs w:val="14"/>
              </w:rPr>
            </w:pPr>
            <w:r w:rsidRPr="007428E2">
              <w:rPr>
                <w:rFonts w:ascii="Arial" w:hAnsi="Arial" w:cs="Arial"/>
                <w:b/>
                <w:color w:val="00B050"/>
                <w:sz w:val="14"/>
                <w:szCs w:val="14"/>
              </w:rPr>
              <w:t>Likely</w:t>
            </w:r>
          </w:p>
        </w:tc>
        <w:tc>
          <w:tcPr>
            <w:tcW w:w="1275"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b/>
                <w:color w:val="00B050"/>
                <w:sz w:val="14"/>
                <w:szCs w:val="14"/>
              </w:rPr>
            </w:pPr>
            <w:r w:rsidRPr="007428E2">
              <w:rPr>
                <w:rFonts w:ascii="Arial" w:hAnsi="Arial" w:cs="Arial"/>
                <w:b/>
                <w:color w:val="00B050"/>
                <w:sz w:val="14"/>
                <w:szCs w:val="14"/>
              </w:rPr>
              <w:t>Decrease</w:t>
            </w:r>
          </w:p>
        </w:tc>
        <w:tc>
          <w:tcPr>
            <w:tcW w:w="1418"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b/>
                <w:color w:val="000000"/>
                <w:sz w:val="14"/>
                <w:szCs w:val="14"/>
              </w:rPr>
            </w:pPr>
            <w:r w:rsidRPr="007428E2">
              <w:rPr>
                <w:rFonts w:ascii="Arial" w:hAnsi="Arial" w:cs="Arial"/>
                <w:b/>
                <w:color w:val="00B050"/>
                <w:sz w:val="14"/>
                <w:szCs w:val="14"/>
              </w:rPr>
              <w:t>Yes</w:t>
            </w:r>
          </w:p>
        </w:tc>
        <w:tc>
          <w:tcPr>
            <w:tcW w:w="2551"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color w:val="000000"/>
                <w:sz w:val="14"/>
                <w:szCs w:val="14"/>
              </w:rPr>
            </w:pPr>
            <w:r w:rsidRPr="007428E2">
              <w:rPr>
                <w:rFonts w:ascii="Arial" w:hAnsi="Arial" w:cs="Arial"/>
                <w:color w:val="000000"/>
                <w:sz w:val="14"/>
                <w:szCs w:val="14"/>
              </w:rPr>
              <w:t>TAS, ACT</w:t>
            </w:r>
          </w:p>
        </w:tc>
        <w:tc>
          <w:tcPr>
            <w:tcW w:w="2127"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b/>
                <w:color w:val="00B050"/>
                <w:sz w:val="14"/>
                <w:szCs w:val="14"/>
              </w:rPr>
            </w:pPr>
            <w:r w:rsidRPr="007428E2">
              <w:rPr>
                <w:rFonts w:ascii="Arial" w:hAnsi="Arial" w:cs="Arial"/>
                <w:b/>
                <w:color w:val="00B050"/>
                <w:sz w:val="14"/>
                <w:szCs w:val="14"/>
              </w:rPr>
              <w:t>Possible</w:t>
            </w:r>
          </w:p>
        </w:tc>
        <w:tc>
          <w:tcPr>
            <w:tcW w:w="1417"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b/>
                <w:sz w:val="14"/>
                <w:szCs w:val="14"/>
              </w:rPr>
            </w:pPr>
            <w:r w:rsidRPr="007428E2">
              <w:rPr>
                <w:rFonts w:ascii="Arial" w:hAnsi="Arial" w:cs="Arial"/>
                <w:sz w:val="14"/>
                <w:szCs w:val="14"/>
              </w:rPr>
              <w:t>$6.9 billion</w:t>
            </w:r>
          </w:p>
        </w:tc>
      </w:tr>
      <w:tr w:rsidR="00DC11E8" w:rsidRPr="007428E2" w:rsidTr="00836A68">
        <w:trPr>
          <w:trHeight w:hRule="exact" w:val="340"/>
        </w:trPr>
        <w:tc>
          <w:tcPr>
            <w:tcW w:w="958" w:type="dxa"/>
            <w:vMerge/>
            <w:tcBorders>
              <w:left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p>
        </w:tc>
        <w:tc>
          <w:tcPr>
            <w:tcW w:w="808" w:type="dxa"/>
            <w:vMerge/>
            <w:tcBorders>
              <w:top w:val="single" w:sz="4" w:space="0" w:color="0070C0"/>
              <w:left w:val="single" w:sz="4" w:space="0" w:color="0070C0"/>
              <w:bottom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p>
        </w:tc>
        <w:tc>
          <w:tcPr>
            <w:tcW w:w="690"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D20PM</w:t>
            </w:r>
            <w:r w:rsidRPr="007428E2">
              <w:rPr>
                <w:rFonts w:ascii="Arial" w:hAnsi="Arial" w:cs="Arial"/>
                <w:sz w:val="14"/>
                <w:szCs w:val="14"/>
                <w:vertAlign w:val="subscript"/>
              </w:rPr>
              <w:t>2.5</w:t>
            </w:r>
          </w:p>
        </w:tc>
        <w:tc>
          <w:tcPr>
            <w:tcW w:w="1258"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 xml:space="preserve">20 </w:t>
            </w:r>
            <w:proofErr w:type="spellStart"/>
            <w:r w:rsidRPr="007428E2">
              <w:rPr>
                <w:rFonts w:ascii="Arial" w:hAnsi="Arial" w:cs="Arial"/>
                <w:sz w:val="14"/>
                <w:szCs w:val="14"/>
              </w:rPr>
              <w:t>μg</w:t>
            </w:r>
            <w:proofErr w:type="spellEnd"/>
            <w:r w:rsidRPr="007428E2">
              <w:rPr>
                <w:rFonts w:ascii="Arial" w:hAnsi="Arial" w:cs="Arial"/>
                <w:sz w:val="14"/>
                <w:szCs w:val="14"/>
              </w:rPr>
              <w:t>/m</w:t>
            </w:r>
            <w:r w:rsidRPr="007428E2">
              <w:rPr>
                <w:rFonts w:ascii="Arial" w:hAnsi="Arial" w:cs="Arial"/>
                <w:sz w:val="14"/>
                <w:szCs w:val="14"/>
                <w:vertAlign w:val="superscript"/>
              </w:rPr>
              <w:t>3</w:t>
            </w:r>
          </w:p>
        </w:tc>
        <w:tc>
          <w:tcPr>
            <w:tcW w:w="1276"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color w:val="000000"/>
                <w:sz w:val="14"/>
                <w:szCs w:val="14"/>
              </w:rPr>
            </w:pPr>
            <w:r w:rsidRPr="007428E2">
              <w:rPr>
                <w:rFonts w:ascii="Arial" w:hAnsi="Arial" w:cs="Arial"/>
                <w:b/>
                <w:color w:val="00B050"/>
                <w:sz w:val="14"/>
                <w:szCs w:val="14"/>
              </w:rPr>
              <w:t>Likely</w:t>
            </w:r>
          </w:p>
        </w:tc>
        <w:tc>
          <w:tcPr>
            <w:tcW w:w="1275"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b/>
                <w:color w:val="00B050"/>
                <w:sz w:val="14"/>
                <w:szCs w:val="14"/>
              </w:rPr>
            </w:pPr>
            <w:r w:rsidRPr="007428E2">
              <w:rPr>
                <w:rFonts w:ascii="Arial" w:hAnsi="Arial" w:cs="Arial"/>
                <w:b/>
                <w:color w:val="00B050"/>
                <w:sz w:val="14"/>
                <w:szCs w:val="14"/>
              </w:rPr>
              <w:t>Decrease</w:t>
            </w:r>
          </w:p>
        </w:tc>
        <w:tc>
          <w:tcPr>
            <w:tcW w:w="1418"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color w:val="000000"/>
                <w:sz w:val="14"/>
                <w:szCs w:val="14"/>
              </w:rPr>
            </w:pPr>
            <w:r w:rsidRPr="007428E2">
              <w:rPr>
                <w:rFonts w:ascii="Arial" w:hAnsi="Arial" w:cs="Arial"/>
                <w:b/>
                <w:color w:val="00B050"/>
                <w:sz w:val="14"/>
                <w:szCs w:val="14"/>
              </w:rPr>
              <w:t>Yes</w:t>
            </w:r>
          </w:p>
        </w:tc>
        <w:tc>
          <w:tcPr>
            <w:tcW w:w="2551"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color w:val="000000"/>
                <w:sz w:val="14"/>
                <w:szCs w:val="14"/>
              </w:rPr>
            </w:pPr>
            <w:r w:rsidRPr="007428E2">
              <w:rPr>
                <w:rFonts w:ascii="Arial" w:hAnsi="Arial" w:cs="Arial"/>
                <w:color w:val="000000"/>
                <w:sz w:val="14"/>
                <w:szCs w:val="14"/>
              </w:rPr>
              <w:t>TAS, ACT</w:t>
            </w:r>
          </w:p>
        </w:tc>
        <w:tc>
          <w:tcPr>
            <w:tcW w:w="2127"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color w:val="000000"/>
                <w:sz w:val="14"/>
                <w:szCs w:val="14"/>
              </w:rPr>
            </w:pPr>
            <w:r w:rsidRPr="007428E2">
              <w:rPr>
                <w:rFonts w:ascii="Arial" w:hAnsi="Arial" w:cs="Arial"/>
                <w:b/>
                <w:color w:val="FF0000"/>
                <w:sz w:val="14"/>
                <w:szCs w:val="14"/>
              </w:rPr>
              <w:t>No</w:t>
            </w:r>
          </w:p>
        </w:tc>
        <w:tc>
          <w:tcPr>
            <w:tcW w:w="1417" w:type="dxa"/>
            <w:tcBorders>
              <w:top w:val="dotted" w:sz="4" w:space="0" w:color="0070C0"/>
              <w:left w:val="single" w:sz="4" w:space="0" w:color="0070C0"/>
              <w:bottom w:val="dotted" w:sz="4" w:space="0" w:color="0070C0"/>
              <w:right w:val="single" w:sz="4" w:space="0" w:color="0070C0"/>
            </w:tcBorders>
            <w:vAlign w:val="center"/>
          </w:tcPr>
          <w:p w:rsidR="00DC11E8" w:rsidRPr="007428E2" w:rsidRDefault="002F21A3" w:rsidP="00836A68">
            <w:pPr>
              <w:spacing w:after="0" w:line="240" w:lineRule="auto"/>
              <w:jc w:val="center"/>
              <w:rPr>
                <w:rFonts w:ascii="Arial" w:hAnsi="Arial" w:cs="Arial"/>
                <w:sz w:val="14"/>
                <w:szCs w:val="14"/>
              </w:rPr>
            </w:pPr>
            <w:r w:rsidRPr="007428E2">
              <w:rPr>
                <w:rFonts w:ascii="Arial" w:hAnsi="Arial" w:cs="Arial"/>
                <w:sz w:val="14"/>
                <w:szCs w:val="14"/>
              </w:rPr>
              <w:t>–</w:t>
            </w:r>
          </w:p>
        </w:tc>
      </w:tr>
      <w:tr w:rsidR="00DC11E8" w:rsidRPr="007428E2" w:rsidTr="00836A68">
        <w:trPr>
          <w:trHeight w:hRule="exact" w:val="340"/>
        </w:trPr>
        <w:tc>
          <w:tcPr>
            <w:tcW w:w="958" w:type="dxa"/>
            <w:vMerge/>
            <w:tcBorders>
              <w:left w:val="single" w:sz="4" w:space="0" w:color="0070C0"/>
              <w:bottom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p>
        </w:tc>
        <w:tc>
          <w:tcPr>
            <w:tcW w:w="808" w:type="dxa"/>
            <w:vMerge/>
            <w:tcBorders>
              <w:top w:val="single" w:sz="4" w:space="0" w:color="0070C0"/>
              <w:left w:val="single" w:sz="4" w:space="0" w:color="0070C0"/>
              <w:bottom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p>
        </w:tc>
        <w:tc>
          <w:tcPr>
            <w:tcW w:w="690"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D15PM</w:t>
            </w:r>
            <w:r w:rsidRPr="007428E2">
              <w:rPr>
                <w:rFonts w:ascii="Arial" w:hAnsi="Arial" w:cs="Arial"/>
                <w:sz w:val="14"/>
                <w:szCs w:val="14"/>
                <w:vertAlign w:val="subscript"/>
              </w:rPr>
              <w:t>2.5</w:t>
            </w:r>
          </w:p>
        </w:tc>
        <w:tc>
          <w:tcPr>
            <w:tcW w:w="1258"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 xml:space="preserve">15 </w:t>
            </w:r>
            <w:proofErr w:type="spellStart"/>
            <w:r w:rsidRPr="007428E2">
              <w:rPr>
                <w:rFonts w:ascii="Arial" w:hAnsi="Arial" w:cs="Arial"/>
                <w:sz w:val="14"/>
                <w:szCs w:val="14"/>
              </w:rPr>
              <w:t>μg</w:t>
            </w:r>
            <w:proofErr w:type="spellEnd"/>
            <w:r w:rsidRPr="007428E2">
              <w:rPr>
                <w:rFonts w:ascii="Arial" w:hAnsi="Arial" w:cs="Arial"/>
                <w:sz w:val="14"/>
                <w:szCs w:val="14"/>
              </w:rPr>
              <w:t>/m</w:t>
            </w:r>
            <w:r w:rsidRPr="007428E2">
              <w:rPr>
                <w:rFonts w:ascii="Arial" w:hAnsi="Arial" w:cs="Arial"/>
                <w:sz w:val="14"/>
                <w:szCs w:val="14"/>
                <w:vertAlign w:val="superscript"/>
              </w:rPr>
              <w:t>3</w:t>
            </w:r>
          </w:p>
        </w:tc>
        <w:tc>
          <w:tcPr>
            <w:tcW w:w="1276"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color w:val="000000"/>
                <w:sz w:val="14"/>
                <w:szCs w:val="14"/>
              </w:rPr>
            </w:pPr>
            <w:r w:rsidRPr="007428E2">
              <w:rPr>
                <w:rFonts w:ascii="Arial" w:hAnsi="Arial" w:cs="Arial"/>
                <w:b/>
                <w:color w:val="FF0000"/>
                <w:sz w:val="14"/>
                <w:szCs w:val="14"/>
              </w:rPr>
              <w:t>Unlikely</w:t>
            </w:r>
          </w:p>
        </w:tc>
        <w:tc>
          <w:tcPr>
            <w:tcW w:w="1275"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b/>
                <w:color w:val="00B050"/>
                <w:sz w:val="14"/>
                <w:szCs w:val="14"/>
              </w:rPr>
            </w:pPr>
            <w:r w:rsidRPr="007428E2">
              <w:rPr>
                <w:rFonts w:ascii="Arial" w:hAnsi="Arial" w:cs="Arial"/>
                <w:b/>
                <w:color w:val="00B050"/>
                <w:sz w:val="14"/>
                <w:szCs w:val="14"/>
              </w:rPr>
              <w:t>Decrease</w:t>
            </w:r>
          </w:p>
        </w:tc>
        <w:tc>
          <w:tcPr>
            <w:tcW w:w="1418"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DC11E8" w:rsidP="00836A68">
            <w:pPr>
              <w:keepNext/>
              <w:spacing w:after="0" w:line="240" w:lineRule="auto"/>
              <w:jc w:val="center"/>
              <w:rPr>
                <w:rFonts w:ascii="Arial" w:hAnsi="Arial" w:cs="Arial"/>
                <w:color w:val="000000"/>
                <w:sz w:val="14"/>
                <w:szCs w:val="14"/>
              </w:rPr>
            </w:pPr>
            <w:r w:rsidRPr="007428E2">
              <w:rPr>
                <w:rFonts w:ascii="Arial" w:hAnsi="Arial" w:cs="Arial"/>
                <w:b/>
                <w:color w:val="FF0000"/>
                <w:sz w:val="14"/>
                <w:szCs w:val="14"/>
              </w:rPr>
              <w:t>No</w:t>
            </w:r>
          </w:p>
        </w:tc>
        <w:tc>
          <w:tcPr>
            <w:tcW w:w="2551"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2F21A3" w:rsidP="00836A68">
            <w:pPr>
              <w:keepNext/>
              <w:spacing w:after="0" w:line="240" w:lineRule="auto"/>
              <w:jc w:val="center"/>
              <w:rPr>
                <w:rFonts w:ascii="Arial" w:hAnsi="Arial" w:cs="Arial"/>
                <w:color w:val="000000"/>
                <w:sz w:val="14"/>
                <w:szCs w:val="14"/>
              </w:rPr>
            </w:pPr>
            <w:r w:rsidRPr="007428E2">
              <w:rPr>
                <w:rFonts w:ascii="Arial" w:hAnsi="Arial" w:cs="Arial"/>
                <w:sz w:val="14"/>
                <w:szCs w:val="14"/>
              </w:rPr>
              <w:t>–</w:t>
            </w:r>
          </w:p>
        </w:tc>
        <w:tc>
          <w:tcPr>
            <w:tcW w:w="2127"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2F21A3" w:rsidP="00836A68">
            <w:pPr>
              <w:keepNext/>
              <w:spacing w:after="0" w:line="240" w:lineRule="auto"/>
              <w:jc w:val="center"/>
              <w:rPr>
                <w:rFonts w:ascii="Arial" w:hAnsi="Arial" w:cs="Arial"/>
                <w:color w:val="000000"/>
                <w:sz w:val="14"/>
                <w:szCs w:val="14"/>
              </w:rPr>
            </w:pPr>
            <w:r w:rsidRPr="007428E2">
              <w:rPr>
                <w:rFonts w:ascii="Arial" w:hAnsi="Arial" w:cs="Arial"/>
                <w:sz w:val="14"/>
                <w:szCs w:val="14"/>
              </w:rPr>
              <w:t>–</w:t>
            </w:r>
          </w:p>
        </w:tc>
        <w:tc>
          <w:tcPr>
            <w:tcW w:w="1417"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2F21A3" w:rsidP="00836A68">
            <w:pPr>
              <w:spacing w:after="0" w:line="240" w:lineRule="auto"/>
              <w:jc w:val="center"/>
              <w:rPr>
                <w:rFonts w:ascii="Arial" w:hAnsi="Arial" w:cs="Arial"/>
                <w:sz w:val="14"/>
                <w:szCs w:val="14"/>
              </w:rPr>
            </w:pPr>
            <w:r w:rsidRPr="007428E2">
              <w:rPr>
                <w:rFonts w:ascii="Arial" w:hAnsi="Arial" w:cs="Arial"/>
                <w:sz w:val="14"/>
                <w:szCs w:val="14"/>
              </w:rPr>
              <w:t>–</w:t>
            </w:r>
          </w:p>
        </w:tc>
      </w:tr>
      <w:tr w:rsidR="00DC11E8" w:rsidRPr="007428E2" w:rsidTr="00836A68">
        <w:trPr>
          <w:trHeight w:val="1015"/>
        </w:trPr>
        <w:tc>
          <w:tcPr>
            <w:tcW w:w="958" w:type="dxa"/>
            <w:vMerge w:val="restart"/>
            <w:tcBorders>
              <w:top w:val="single" w:sz="4" w:space="0" w:color="0070C0"/>
              <w:left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Exposure-reduction framework</w:t>
            </w:r>
          </w:p>
        </w:tc>
        <w:tc>
          <w:tcPr>
            <w:tcW w:w="808" w:type="dxa"/>
            <w:vMerge w:val="restart"/>
            <w:tcBorders>
              <w:top w:val="single" w:sz="4" w:space="0" w:color="0070C0"/>
              <w:left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Co-option</w:t>
            </w:r>
          </w:p>
        </w:tc>
        <w:tc>
          <w:tcPr>
            <w:tcW w:w="690"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ER1</w:t>
            </w:r>
          </w:p>
        </w:tc>
        <w:tc>
          <w:tcPr>
            <w:tcW w:w="1258"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10% reduction in exposure to PM</w:t>
            </w:r>
            <w:r w:rsidRPr="007428E2">
              <w:rPr>
                <w:rFonts w:ascii="Arial" w:hAnsi="Arial" w:cs="Arial"/>
                <w:sz w:val="14"/>
                <w:szCs w:val="14"/>
                <w:vertAlign w:val="subscript"/>
              </w:rPr>
              <w:t>2.5</w:t>
            </w:r>
            <w:r w:rsidRPr="007428E2">
              <w:rPr>
                <w:rFonts w:ascii="Arial" w:hAnsi="Arial" w:cs="Arial"/>
                <w:sz w:val="14"/>
                <w:szCs w:val="14"/>
              </w:rPr>
              <w:t xml:space="preserve"> between 2015 and 2025, based on monitoring</w:t>
            </w:r>
          </w:p>
        </w:tc>
        <w:tc>
          <w:tcPr>
            <w:tcW w:w="1276"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b/>
                <w:color w:val="FF0000"/>
                <w:sz w:val="14"/>
                <w:szCs w:val="14"/>
              </w:rPr>
            </w:pPr>
            <w:r w:rsidRPr="007428E2">
              <w:rPr>
                <w:rFonts w:ascii="Arial" w:hAnsi="Arial" w:cs="Arial"/>
                <w:sz w:val="14"/>
                <w:szCs w:val="14"/>
              </w:rPr>
              <w:t>N/A</w:t>
            </w:r>
          </w:p>
        </w:tc>
        <w:tc>
          <w:tcPr>
            <w:tcW w:w="1275"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N/A</w:t>
            </w:r>
          </w:p>
        </w:tc>
        <w:tc>
          <w:tcPr>
            <w:tcW w:w="1418"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b/>
                <w:color w:val="FF0000"/>
                <w:sz w:val="14"/>
                <w:szCs w:val="14"/>
              </w:rPr>
              <w:t>No</w:t>
            </w:r>
          </w:p>
        </w:tc>
        <w:tc>
          <w:tcPr>
            <w:tcW w:w="2551"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All except NT</w:t>
            </w:r>
          </w:p>
        </w:tc>
        <w:tc>
          <w:tcPr>
            <w:tcW w:w="2127"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b/>
                <w:color w:val="FF0000"/>
                <w:sz w:val="14"/>
                <w:szCs w:val="14"/>
              </w:rPr>
              <w:t>No</w:t>
            </w:r>
          </w:p>
        </w:tc>
        <w:tc>
          <w:tcPr>
            <w:tcW w:w="1417" w:type="dxa"/>
            <w:tcBorders>
              <w:top w:val="single" w:sz="4" w:space="0" w:color="0070C0"/>
              <w:left w:val="single" w:sz="4" w:space="0" w:color="0070C0"/>
              <w:bottom w:val="dotted"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N/A</w:t>
            </w:r>
          </w:p>
        </w:tc>
      </w:tr>
      <w:tr w:rsidR="00DC11E8" w:rsidRPr="007428E2" w:rsidTr="00836A68">
        <w:trPr>
          <w:trHeight w:val="874"/>
        </w:trPr>
        <w:tc>
          <w:tcPr>
            <w:tcW w:w="958" w:type="dxa"/>
            <w:vMerge/>
            <w:tcBorders>
              <w:left w:val="single" w:sz="4" w:space="0" w:color="0070C0"/>
              <w:bottom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p>
        </w:tc>
        <w:tc>
          <w:tcPr>
            <w:tcW w:w="808" w:type="dxa"/>
            <w:vMerge/>
            <w:tcBorders>
              <w:left w:val="single" w:sz="4" w:space="0" w:color="0070C0"/>
              <w:bottom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p>
        </w:tc>
        <w:tc>
          <w:tcPr>
            <w:tcW w:w="690"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ER2</w:t>
            </w:r>
          </w:p>
        </w:tc>
        <w:tc>
          <w:tcPr>
            <w:tcW w:w="1258"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A556C7" w:rsidP="00D7103E">
            <w:pPr>
              <w:spacing w:after="0" w:line="240" w:lineRule="auto"/>
              <w:jc w:val="center"/>
              <w:rPr>
                <w:rFonts w:ascii="Arial" w:hAnsi="Arial" w:cs="Arial"/>
                <w:sz w:val="14"/>
                <w:szCs w:val="14"/>
              </w:rPr>
            </w:pPr>
            <w:r w:rsidRPr="007428E2">
              <w:rPr>
                <w:rFonts w:ascii="Arial" w:hAnsi="Arial" w:cs="Arial"/>
                <w:sz w:val="14"/>
                <w:szCs w:val="14"/>
              </w:rPr>
              <w:t>Continual improvement and/or no deterioration</w:t>
            </w:r>
            <w:r w:rsidR="00DC11E8" w:rsidRPr="007428E2">
              <w:rPr>
                <w:rFonts w:ascii="Arial" w:hAnsi="Arial" w:cs="Arial"/>
                <w:sz w:val="14"/>
                <w:szCs w:val="14"/>
              </w:rPr>
              <w:t>. Exposure index, based on monitoring</w:t>
            </w:r>
          </w:p>
        </w:tc>
        <w:tc>
          <w:tcPr>
            <w:tcW w:w="1276"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b/>
                <w:color w:val="FF0000"/>
                <w:sz w:val="14"/>
                <w:szCs w:val="14"/>
              </w:rPr>
            </w:pPr>
            <w:r w:rsidRPr="007428E2">
              <w:rPr>
                <w:rFonts w:ascii="Arial" w:hAnsi="Arial" w:cs="Arial"/>
                <w:sz w:val="14"/>
                <w:szCs w:val="14"/>
              </w:rPr>
              <w:t>N/A</w:t>
            </w:r>
          </w:p>
        </w:tc>
        <w:tc>
          <w:tcPr>
            <w:tcW w:w="1275"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N/A</w:t>
            </w:r>
          </w:p>
        </w:tc>
        <w:tc>
          <w:tcPr>
            <w:tcW w:w="1418"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b/>
                <w:color w:val="00B050"/>
                <w:sz w:val="14"/>
                <w:szCs w:val="14"/>
              </w:rPr>
              <w:t>Yes</w:t>
            </w:r>
          </w:p>
        </w:tc>
        <w:tc>
          <w:tcPr>
            <w:tcW w:w="2551"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N/A</w:t>
            </w:r>
          </w:p>
        </w:tc>
        <w:tc>
          <w:tcPr>
            <w:tcW w:w="2127"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N/A</w:t>
            </w:r>
          </w:p>
        </w:tc>
        <w:tc>
          <w:tcPr>
            <w:tcW w:w="1417" w:type="dxa"/>
            <w:tcBorders>
              <w:top w:val="dotted" w:sz="4" w:space="0" w:color="0070C0"/>
              <w:left w:val="single" w:sz="4" w:space="0" w:color="0070C0"/>
              <w:bottom w:val="single" w:sz="4" w:space="0" w:color="0070C0"/>
              <w:right w:val="single" w:sz="4" w:space="0" w:color="0070C0"/>
            </w:tcBorders>
            <w:vAlign w:val="center"/>
          </w:tcPr>
          <w:p w:rsidR="00DC11E8" w:rsidRPr="007428E2" w:rsidRDefault="00DC11E8" w:rsidP="00836A68">
            <w:pPr>
              <w:spacing w:after="0" w:line="240" w:lineRule="auto"/>
              <w:jc w:val="center"/>
              <w:rPr>
                <w:rFonts w:ascii="Arial" w:hAnsi="Arial" w:cs="Arial"/>
                <w:sz w:val="14"/>
                <w:szCs w:val="14"/>
              </w:rPr>
            </w:pPr>
            <w:r w:rsidRPr="007428E2">
              <w:rPr>
                <w:rFonts w:ascii="Arial" w:hAnsi="Arial" w:cs="Arial"/>
                <w:sz w:val="14"/>
                <w:szCs w:val="14"/>
              </w:rPr>
              <w:t>N/A</w:t>
            </w:r>
          </w:p>
        </w:tc>
      </w:tr>
    </w:tbl>
    <w:p w:rsidR="00DC11E8" w:rsidRPr="007428E2" w:rsidRDefault="00DC11E8" w:rsidP="00DC11E8">
      <w:pPr>
        <w:pStyle w:val="ListParagraph"/>
        <w:numPr>
          <w:ilvl w:val="0"/>
          <w:numId w:val="18"/>
        </w:numPr>
        <w:spacing w:before="120" w:after="0" w:line="240" w:lineRule="auto"/>
        <w:ind w:left="567"/>
        <w:rPr>
          <w:rFonts w:ascii="Arial" w:hAnsi="Arial" w:cs="Arial"/>
          <w:sz w:val="14"/>
          <w:szCs w:val="14"/>
        </w:rPr>
      </w:pPr>
      <w:r w:rsidRPr="007428E2">
        <w:rPr>
          <w:rFonts w:ascii="Arial" w:hAnsi="Arial" w:cs="Arial"/>
          <w:sz w:val="14"/>
          <w:szCs w:val="14"/>
        </w:rPr>
        <w:t>Current standards are shown in bold.</w:t>
      </w:r>
    </w:p>
    <w:p w:rsidR="00DC11E8" w:rsidRPr="007428E2" w:rsidRDefault="00DC11E8" w:rsidP="00DC11E8">
      <w:pPr>
        <w:pStyle w:val="ListParagraph"/>
        <w:numPr>
          <w:ilvl w:val="0"/>
          <w:numId w:val="18"/>
        </w:numPr>
        <w:spacing w:before="120" w:after="0" w:line="240" w:lineRule="auto"/>
        <w:ind w:left="567"/>
        <w:rPr>
          <w:rFonts w:ascii="Arial" w:hAnsi="Arial" w:cs="Arial"/>
          <w:sz w:val="14"/>
          <w:szCs w:val="14"/>
        </w:rPr>
      </w:pPr>
      <w:r w:rsidRPr="007428E2">
        <w:rPr>
          <w:rFonts w:ascii="Arial" w:hAnsi="Arial" w:cs="Arial"/>
          <w:sz w:val="14"/>
          <w:szCs w:val="14"/>
        </w:rPr>
        <w:t>On average for Australia (does not apply to individual sites)</w:t>
      </w:r>
      <w:r w:rsidR="002F21A3" w:rsidRPr="007428E2">
        <w:rPr>
          <w:rFonts w:ascii="Arial" w:hAnsi="Arial" w:cs="Arial"/>
          <w:sz w:val="14"/>
          <w:szCs w:val="14"/>
        </w:rPr>
        <w:t>.</w:t>
      </w:r>
    </w:p>
    <w:p w:rsidR="00DC11E8" w:rsidRPr="007428E2" w:rsidRDefault="00DC11E8" w:rsidP="00DC11E8">
      <w:pPr>
        <w:pStyle w:val="ListParagraph"/>
        <w:numPr>
          <w:ilvl w:val="0"/>
          <w:numId w:val="18"/>
        </w:numPr>
        <w:spacing w:before="120" w:after="0" w:line="240" w:lineRule="auto"/>
        <w:ind w:left="567"/>
        <w:rPr>
          <w:rFonts w:ascii="Arial" w:hAnsi="Arial" w:cs="Arial"/>
          <w:sz w:val="14"/>
          <w:szCs w:val="14"/>
        </w:rPr>
      </w:pPr>
      <w:r w:rsidRPr="007428E2">
        <w:rPr>
          <w:rFonts w:ascii="Arial" w:hAnsi="Arial" w:cs="Arial"/>
          <w:sz w:val="14"/>
          <w:szCs w:val="14"/>
        </w:rPr>
        <w:t xml:space="preserve">In addition to the reductions that could be achieved by implementation </w:t>
      </w:r>
      <w:r w:rsidR="00642327" w:rsidRPr="007428E2">
        <w:rPr>
          <w:rFonts w:ascii="Arial" w:hAnsi="Arial" w:cs="Arial"/>
          <w:sz w:val="14"/>
          <w:szCs w:val="14"/>
        </w:rPr>
        <w:t>of a</w:t>
      </w:r>
      <w:r w:rsidRPr="007428E2">
        <w:rPr>
          <w:rFonts w:ascii="Arial" w:hAnsi="Arial" w:cs="Arial"/>
          <w:sz w:val="14"/>
          <w:szCs w:val="14"/>
        </w:rPr>
        <w:t xml:space="preserve"> package of all feasible of national measures.</w:t>
      </w:r>
    </w:p>
    <w:p w:rsidR="00277FA9" w:rsidRPr="007428E2" w:rsidRDefault="00277FA9" w:rsidP="00DC11E8">
      <w:pPr>
        <w:pStyle w:val="ListParagraph"/>
        <w:numPr>
          <w:ilvl w:val="0"/>
          <w:numId w:val="18"/>
        </w:numPr>
        <w:spacing w:before="120" w:after="0" w:line="240" w:lineRule="auto"/>
        <w:ind w:left="567"/>
        <w:rPr>
          <w:rFonts w:ascii="Arial" w:hAnsi="Arial" w:cs="Arial"/>
          <w:sz w:val="14"/>
          <w:szCs w:val="14"/>
        </w:rPr>
      </w:pPr>
      <w:r w:rsidRPr="007428E2">
        <w:rPr>
          <w:rFonts w:ascii="Arial" w:hAnsi="Arial" w:cs="Arial"/>
          <w:sz w:val="14"/>
          <w:szCs w:val="14"/>
        </w:rPr>
        <w:t>Equates to an increase in exposure based on current PM</w:t>
      </w:r>
      <w:r w:rsidRPr="007428E2">
        <w:rPr>
          <w:rFonts w:ascii="Arial" w:hAnsi="Arial" w:cs="Arial"/>
          <w:sz w:val="14"/>
          <w:szCs w:val="14"/>
          <w:vertAlign w:val="subscript"/>
        </w:rPr>
        <w:t>2.5</w:t>
      </w:r>
      <w:r w:rsidRPr="007428E2">
        <w:rPr>
          <w:rFonts w:ascii="Arial" w:hAnsi="Arial" w:cs="Arial"/>
          <w:sz w:val="14"/>
          <w:szCs w:val="14"/>
        </w:rPr>
        <w:t xml:space="preserve"> concentrations because annual mean PM</w:t>
      </w:r>
      <w:r w:rsidRPr="007428E2">
        <w:rPr>
          <w:rFonts w:ascii="Arial" w:hAnsi="Arial" w:cs="Arial"/>
          <w:sz w:val="14"/>
          <w:szCs w:val="14"/>
          <w:vertAlign w:val="subscript"/>
        </w:rPr>
        <w:t>2.5</w:t>
      </w:r>
      <w:r w:rsidRPr="007428E2">
        <w:rPr>
          <w:rFonts w:ascii="Arial" w:hAnsi="Arial" w:cs="Arial"/>
          <w:sz w:val="14"/>
          <w:szCs w:val="14"/>
        </w:rPr>
        <w:t xml:space="preserve"> concentrations at most monitoring sites are currently lower than 8 </w:t>
      </w:r>
      <w:proofErr w:type="spellStart"/>
      <w:r w:rsidRPr="007428E2">
        <w:rPr>
          <w:rFonts w:ascii="Arial" w:hAnsi="Arial" w:cs="Arial"/>
          <w:sz w:val="14"/>
          <w:szCs w:val="14"/>
        </w:rPr>
        <w:t>μg</w:t>
      </w:r>
      <w:proofErr w:type="spellEnd"/>
      <w:r w:rsidRPr="007428E2">
        <w:rPr>
          <w:rFonts w:ascii="Arial" w:hAnsi="Arial" w:cs="Arial"/>
          <w:sz w:val="14"/>
          <w:szCs w:val="14"/>
        </w:rPr>
        <w:t>/m</w:t>
      </w:r>
      <w:r w:rsidRPr="007428E2">
        <w:rPr>
          <w:rFonts w:ascii="Arial" w:hAnsi="Arial" w:cs="Arial"/>
          <w:sz w:val="14"/>
          <w:szCs w:val="14"/>
          <w:vertAlign w:val="superscript"/>
        </w:rPr>
        <w:t>3</w:t>
      </w:r>
      <w:r w:rsidRPr="007428E2">
        <w:rPr>
          <w:rFonts w:ascii="Arial" w:hAnsi="Arial" w:cs="Arial"/>
          <w:sz w:val="14"/>
          <w:szCs w:val="14"/>
        </w:rPr>
        <w:t>.</w:t>
      </w:r>
    </w:p>
    <w:p w:rsidR="00DC11E8" w:rsidRPr="007428E2" w:rsidRDefault="00DC11E8" w:rsidP="00DC11E8">
      <w:pPr>
        <w:pStyle w:val="ListParagraph"/>
        <w:spacing w:before="120" w:after="0" w:line="240" w:lineRule="auto"/>
        <w:ind w:left="207"/>
        <w:rPr>
          <w:rFonts w:ascii="Arial" w:hAnsi="Arial" w:cs="Arial"/>
          <w:sz w:val="14"/>
          <w:szCs w:val="14"/>
        </w:rPr>
      </w:pPr>
      <w:r w:rsidRPr="007428E2">
        <w:rPr>
          <w:rFonts w:ascii="Arial" w:hAnsi="Arial" w:cs="Arial"/>
          <w:sz w:val="14"/>
          <w:szCs w:val="14"/>
        </w:rPr>
        <w:t xml:space="preserve"> </w:t>
      </w:r>
    </w:p>
    <w:p w:rsidR="00DC11E8" w:rsidRPr="006574FD" w:rsidRDefault="00DC11E8" w:rsidP="00C12EC2">
      <w:pPr>
        <w:rPr>
          <w:rFonts w:ascii="Arial" w:hAnsi="Arial" w:cs="Arial"/>
          <w:i/>
        </w:rPr>
        <w:sectPr w:rsidR="00DC11E8" w:rsidRPr="006574FD" w:rsidSect="006A5626">
          <w:headerReference w:type="even" r:id="rId27"/>
          <w:headerReference w:type="default" r:id="rId28"/>
          <w:footerReference w:type="even" r:id="rId29"/>
          <w:footerReference w:type="default" r:id="rId30"/>
          <w:headerReference w:type="first" r:id="rId31"/>
          <w:pgSz w:w="16838" w:h="11906" w:orient="landscape" w:code="9"/>
          <w:pgMar w:top="1440" w:right="1440" w:bottom="1440" w:left="1440" w:header="284" w:footer="246" w:gutter="0"/>
          <w:pgNumType w:fmt="lowerRoman"/>
          <w:cols w:space="255"/>
          <w:docGrid w:linePitch="360"/>
        </w:sectPr>
      </w:pPr>
    </w:p>
    <w:p w:rsidR="000D1B22" w:rsidRPr="007428E2" w:rsidRDefault="00002132" w:rsidP="002440F9">
      <w:pPr>
        <w:pStyle w:val="Heading1"/>
        <w:rPr>
          <w:rFonts w:ascii="Arial" w:hAnsi="Arial"/>
        </w:rPr>
      </w:pPr>
      <w:bookmarkStart w:id="1" w:name="_Toc340058261"/>
      <w:bookmarkStart w:id="2" w:name="_Toc394011067"/>
      <w:r w:rsidRPr="007428E2">
        <w:rPr>
          <w:rFonts w:ascii="Arial" w:hAnsi="Arial"/>
        </w:rPr>
        <w:lastRenderedPageBreak/>
        <w:t>Introduction</w:t>
      </w:r>
      <w:bookmarkEnd w:id="1"/>
      <w:bookmarkEnd w:id="2"/>
    </w:p>
    <w:p w:rsidR="00F052DA" w:rsidRPr="007428E2" w:rsidRDefault="00AE4FA6" w:rsidP="00FA4C0F">
      <w:pPr>
        <w:pStyle w:val="Heading2"/>
        <w:rPr>
          <w:rFonts w:ascii="Arial" w:hAnsi="Arial"/>
        </w:rPr>
      </w:pPr>
      <w:bookmarkStart w:id="3" w:name="_Ref371509933"/>
      <w:bookmarkStart w:id="4" w:name="_Toc394011068"/>
      <w:bookmarkStart w:id="5" w:name="_Toc340058266"/>
      <w:bookmarkStart w:id="6" w:name="_Toc128455976"/>
      <w:r w:rsidRPr="007428E2">
        <w:rPr>
          <w:rFonts w:ascii="Arial" w:hAnsi="Arial"/>
        </w:rPr>
        <w:t>O</w:t>
      </w:r>
      <w:r w:rsidR="00F052DA" w:rsidRPr="007428E2">
        <w:rPr>
          <w:rFonts w:ascii="Arial" w:hAnsi="Arial"/>
        </w:rPr>
        <w:t>verview</w:t>
      </w:r>
      <w:bookmarkEnd w:id="3"/>
      <w:bookmarkEnd w:id="4"/>
    </w:p>
    <w:p w:rsidR="0090265D" w:rsidRPr="007428E2" w:rsidRDefault="008631BE" w:rsidP="0090265D">
      <w:pPr>
        <w:rPr>
          <w:rFonts w:ascii="Arial" w:hAnsi="Arial" w:cs="Arial"/>
        </w:rPr>
      </w:pPr>
      <w:r w:rsidRPr="007428E2">
        <w:rPr>
          <w:rFonts w:ascii="Arial" w:hAnsi="Arial" w:cs="Arial"/>
        </w:rPr>
        <w:t xml:space="preserve">In 1998 the </w:t>
      </w:r>
      <w:r w:rsidRPr="007428E2">
        <w:rPr>
          <w:rFonts w:ascii="Arial" w:hAnsi="Arial" w:cs="Arial"/>
          <w:i/>
        </w:rPr>
        <w:t>National Environment Protection (Ambient Air Quality) Measure</w:t>
      </w:r>
      <w:r w:rsidR="002D7D5E" w:rsidRPr="007428E2">
        <w:rPr>
          <w:rFonts w:ascii="Arial" w:hAnsi="Arial" w:cs="Arial"/>
        </w:rPr>
        <w:t xml:space="preserve"> (</w:t>
      </w:r>
      <w:r w:rsidR="00EF24F8" w:rsidRPr="007428E2">
        <w:rPr>
          <w:rFonts w:ascii="Arial" w:hAnsi="Arial" w:cs="Arial"/>
        </w:rPr>
        <w:t>AAQ NEPM</w:t>
      </w:r>
      <w:r w:rsidR="002D7D5E" w:rsidRPr="007428E2">
        <w:rPr>
          <w:rFonts w:ascii="Arial" w:hAnsi="Arial" w:cs="Arial"/>
        </w:rPr>
        <w:t>)</w:t>
      </w:r>
      <w:r w:rsidR="004B4989" w:rsidRPr="007428E2">
        <w:rPr>
          <w:rFonts w:ascii="Arial" w:hAnsi="Arial" w:cs="Arial"/>
        </w:rPr>
        <w:t xml:space="preserve"> </w:t>
      </w:r>
      <w:r w:rsidRPr="007428E2">
        <w:rPr>
          <w:rFonts w:ascii="Arial" w:hAnsi="Arial" w:cs="Arial"/>
        </w:rPr>
        <w:t>established national standards for six</w:t>
      </w:r>
      <w:r w:rsidR="002D7D5E" w:rsidRPr="007428E2">
        <w:rPr>
          <w:rFonts w:ascii="Arial" w:hAnsi="Arial" w:cs="Arial"/>
        </w:rPr>
        <w:t xml:space="preserve"> common air pollutants known as</w:t>
      </w:r>
      <w:r w:rsidRPr="007428E2">
        <w:rPr>
          <w:rFonts w:ascii="Arial" w:hAnsi="Arial" w:cs="Arial"/>
        </w:rPr>
        <w:t xml:space="preserve"> ‘criter</w:t>
      </w:r>
      <w:r w:rsidR="00AC6943" w:rsidRPr="007428E2">
        <w:rPr>
          <w:rFonts w:ascii="Arial" w:hAnsi="Arial" w:cs="Arial"/>
        </w:rPr>
        <w:t>ia</w:t>
      </w:r>
      <w:r w:rsidRPr="007428E2">
        <w:rPr>
          <w:rFonts w:ascii="Arial" w:hAnsi="Arial" w:cs="Arial"/>
        </w:rPr>
        <w:t xml:space="preserve"> pollutants</w:t>
      </w:r>
      <w:r w:rsidR="00AC6943" w:rsidRPr="007428E2">
        <w:rPr>
          <w:rFonts w:ascii="Arial" w:hAnsi="Arial" w:cs="Arial"/>
        </w:rPr>
        <w:t>’</w:t>
      </w:r>
      <w:r w:rsidRPr="007428E2">
        <w:rPr>
          <w:rFonts w:ascii="Arial" w:hAnsi="Arial" w:cs="Arial"/>
        </w:rPr>
        <w:t>, and provided a consistent framework for the monitoring and reporting of ambient air quality</w:t>
      </w:r>
      <w:r w:rsidR="004E5382" w:rsidRPr="007428E2">
        <w:rPr>
          <w:rStyle w:val="FootnoteReference"/>
          <w:rFonts w:ascii="Arial" w:hAnsi="Arial" w:cs="Arial"/>
        </w:rPr>
        <w:footnoteReference w:id="1"/>
      </w:r>
      <w:r w:rsidR="004E5382" w:rsidRPr="007428E2">
        <w:rPr>
          <w:rFonts w:ascii="Arial" w:hAnsi="Arial" w:cs="Arial"/>
          <w:vertAlign w:val="superscript"/>
        </w:rPr>
        <w:t>,</w:t>
      </w:r>
      <w:r w:rsidR="00AC6943" w:rsidRPr="007428E2">
        <w:rPr>
          <w:rStyle w:val="FootnoteReference"/>
          <w:rFonts w:ascii="Arial" w:hAnsi="Arial" w:cs="Arial"/>
        </w:rPr>
        <w:footnoteReference w:id="2"/>
      </w:r>
      <w:r w:rsidRPr="007428E2">
        <w:rPr>
          <w:rFonts w:ascii="Arial" w:hAnsi="Arial" w:cs="Arial"/>
        </w:rPr>
        <w:t>.</w:t>
      </w:r>
      <w:r w:rsidR="0090265D" w:rsidRPr="007428E2">
        <w:rPr>
          <w:rFonts w:ascii="Arial" w:hAnsi="Arial" w:cs="Arial"/>
        </w:rPr>
        <w:t xml:space="preserve"> The criteria pollutants are:</w:t>
      </w:r>
    </w:p>
    <w:tbl>
      <w:tblPr>
        <w:tblW w:w="0" w:type="auto"/>
        <w:tblInd w:w="108" w:type="dxa"/>
        <w:tblLook w:val="04A0"/>
      </w:tblPr>
      <w:tblGrid>
        <w:gridCol w:w="2835"/>
        <w:gridCol w:w="5529"/>
      </w:tblGrid>
      <w:tr w:rsidR="0090265D" w:rsidRPr="007428E2" w:rsidTr="00422A50">
        <w:trPr>
          <w:trHeight w:val="1285"/>
        </w:trPr>
        <w:tc>
          <w:tcPr>
            <w:tcW w:w="2835" w:type="dxa"/>
            <w:shd w:val="clear" w:color="auto" w:fill="auto"/>
          </w:tcPr>
          <w:p w:rsidR="0090265D" w:rsidRPr="007428E2" w:rsidRDefault="00873F52" w:rsidP="002A2116">
            <w:pPr>
              <w:pStyle w:val="BulletCubes"/>
              <w:numPr>
                <w:ilvl w:val="0"/>
                <w:numId w:val="1"/>
              </w:numPr>
              <w:tabs>
                <w:tab w:val="clear" w:pos="3060"/>
                <w:tab w:val="left" w:pos="459"/>
              </w:tabs>
              <w:spacing w:before="0" w:after="180" w:line="240" w:lineRule="auto"/>
              <w:ind w:left="459" w:right="0" w:hanging="283"/>
              <w:jc w:val="left"/>
              <w:rPr>
                <w:rFonts w:ascii="Arial" w:hAnsi="Arial" w:cs="Arial"/>
                <w:color w:val="auto"/>
                <w:lang w:val="en-AU"/>
              </w:rPr>
            </w:pPr>
            <w:r w:rsidRPr="007428E2">
              <w:rPr>
                <w:rFonts w:ascii="Arial" w:hAnsi="Arial" w:cs="Arial"/>
                <w:color w:val="auto"/>
                <w:lang w:val="en-AU"/>
              </w:rPr>
              <w:t>c</w:t>
            </w:r>
            <w:r w:rsidR="0090265D" w:rsidRPr="007428E2">
              <w:rPr>
                <w:rFonts w:ascii="Arial" w:hAnsi="Arial" w:cs="Arial"/>
                <w:color w:val="auto"/>
                <w:lang w:val="en-AU"/>
              </w:rPr>
              <w:t>arbon monoxide (CO)</w:t>
            </w:r>
          </w:p>
          <w:p w:rsidR="0090265D" w:rsidRPr="007428E2" w:rsidRDefault="00873F52" w:rsidP="002A2116">
            <w:pPr>
              <w:pStyle w:val="BulletCubes"/>
              <w:numPr>
                <w:ilvl w:val="0"/>
                <w:numId w:val="1"/>
              </w:numPr>
              <w:tabs>
                <w:tab w:val="clear" w:pos="3060"/>
                <w:tab w:val="left" w:pos="459"/>
              </w:tabs>
              <w:spacing w:before="0" w:after="180" w:line="240" w:lineRule="auto"/>
              <w:ind w:left="459" w:right="0" w:hanging="283"/>
              <w:jc w:val="left"/>
              <w:rPr>
                <w:rFonts w:ascii="Arial" w:hAnsi="Arial" w:cs="Arial"/>
                <w:color w:val="auto"/>
                <w:lang w:val="en-AU"/>
              </w:rPr>
            </w:pPr>
            <w:r w:rsidRPr="007428E2">
              <w:rPr>
                <w:rFonts w:ascii="Arial" w:hAnsi="Arial" w:cs="Arial"/>
                <w:color w:val="auto"/>
                <w:lang w:val="en-AU"/>
              </w:rPr>
              <w:t>n</w:t>
            </w:r>
            <w:r w:rsidR="0090265D" w:rsidRPr="007428E2">
              <w:rPr>
                <w:rFonts w:ascii="Arial" w:hAnsi="Arial" w:cs="Arial"/>
                <w:color w:val="auto"/>
                <w:lang w:val="en-AU"/>
              </w:rPr>
              <w:t>itrogen dioxide (NO</w:t>
            </w:r>
            <w:r w:rsidR="0090265D" w:rsidRPr="007428E2">
              <w:rPr>
                <w:rFonts w:ascii="Arial" w:hAnsi="Arial" w:cs="Arial"/>
                <w:color w:val="auto"/>
                <w:vertAlign w:val="subscript"/>
                <w:lang w:val="en-AU"/>
              </w:rPr>
              <w:t>2</w:t>
            </w:r>
            <w:r w:rsidR="0090265D" w:rsidRPr="007428E2">
              <w:rPr>
                <w:rFonts w:ascii="Arial" w:hAnsi="Arial" w:cs="Arial"/>
                <w:color w:val="auto"/>
                <w:lang w:val="en-AU"/>
              </w:rPr>
              <w:t>)</w:t>
            </w:r>
          </w:p>
          <w:p w:rsidR="0090265D" w:rsidRPr="007428E2" w:rsidRDefault="00873F52" w:rsidP="002A2116">
            <w:pPr>
              <w:pStyle w:val="BulletCubes"/>
              <w:numPr>
                <w:ilvl w:val="0"/>
                <w:numId w:val="1"/>
              </w:numPr>
              <w:tabs>
                <w:tab w:val="clear" w:pos="3060"/>
                <w:tab w:val="left" w:pos="459"/>
              </w:tabs>
              <w:spacing w:before="0" w:after="180" w:line="240" w:lineRule="auto"/>
              <w:ind w:left="459" w:right="0" w:hanging="283"/>
              <w:jc w:val="left"/>
              <w:rPr>
                <w:rFonts w:ascii="Arial" w:hAnsi="Arial" w:cs="Arial"/>
                <w:color w:val="auto"/>
                <w:lang w:val="en-AU"/>
              </w:rPr>
            </w:pPr>
            <w:r w:rsidRPr="007428E2">
              <w:rPr>
                <w:rFonts w:ascii="Arial" w:hAnsi="Arial" w:cs="Arial"/>
                <w:color w:val="auto"/>
                <w:lang w:val="en-AU"/>
              </w:rPr>
              <w:t>s</w:t>
            </w:r>
            <w:r w:rsidR="0090265D" w:rsidRPr="007428E2">
              <w:rPr>
                <w:rFonts w:ascii="Arial" w:hAnsi="Arial" w:cs="Arial"/>
                <w:color w:val="auto"/>
                <w:lang w:val="en-AU"/>
              </w:rPr>
              <w:t>ulfur dioxide (SO</w:t>
            </w:r>
            <w:r w:rsidR="0090265D" w:rsidRPr="007428E2">
              <w:rPr>
                <w:rFonts w:ascii="Arial" w:hAnsi="Arial" w:cs="Arial"/>
                <w:color w:val="auto"/>
                <w:vertAlign w:val="subscript"/>
                <w:lang w:val="en-AU"/>
              </w:rPr>
              <w:t>2</w:t>
            </w:r>
            <w:r w:rsidR="0090265D" w:rsidRPr="007428E2">
              <w:rPr>
                <w:rFonts w:ascii="Arial" w:hAnsi="Arial" w:cs="Arial"/>
                <w:color w:val="auto"/>
                <w:lang w:val="en-AU"/>
              </w:rPr>
              <w:t>)</w:t>
            </w:r>
          </w:p>
        </w:tc>
        <w:tc>
          <w:tcPr>
            <w:tcW w:w="5529" w:type="dxa"/>
            <w:shd w:val="clear" w:color="auto" w:fill="auto"/>
          </w:tcPr>
          <w:p w:rsidR="0090265D" w:rsidRPr="007428E2" w:rsidRDefault="00873F52" w:rsidP="002A2116">
            <w:pPr>
              <w:pStyle w:val="BulletCubes"/>
              <w:numPr>
                <w:ilvl w:val="0"/>
                <w:numId w:val="1"/>
              </w:numPr>
              <w:tabs>
                <w:tab w:val="clear" w:pos="3060"/>
                <w:tab w:val="left" w:pos="459"/>
              </w:tabs>
              <w:spacing w:before="0" w:after="180" w:line="240" w:lineRule="auto"/>
              <w:ind w:left="459" w:right="0" w:hanging="283"/>
              <w:jc w:val="left"/>
              <w:rPr>
                <w:rFonts w:ascii="Arial" w:hAnsi="Arial" w:cs="Arial"/>
                <w:color w:val="auto"/>
                <w:lang w:val="en-AU"/>
              </w:rPr>
            </w:pPr>
            <w:r w:rsidRPr="007428E2">
              <w:rPr>
                <w:rFonts w:ascii="Arial" w:hAnsi="Arial" w:cs="Arial"/>
                <w:color w:val="auto"/>
                <w:lang w:val="en-AU"/>
              </w:rPr>
              <w:t>l</w:t>
            </w:r>
            <w:r w:rsidR="0090265D" w:rsidRPr="007428E2">
              <w:rPr>
                <w:rFonts w:ascii="Arial" w:hAnsi="Arial" w:cs="Arial"/>
                <w:color w:val="auto"/>
                <w:lang w:val="en-AU"/>
              </w:rPr>
              <w:t>ead (</w:t>
            </w:r>
            <w:proofErr w:type="spellStart"/>
            <w:r w:rsidR="0090265D" w:rsidRPr="007428E2">
              <w:rPr>
                <w:rFonts w:ascii="Arial" w:hAnsi="Arial" w:cs="Arial"/>
                <w:color w:val="auto"/>
                <w:lang w:val="en-AU"/>
              </w:rPr>
              <w:t>Pb</w:t>
            </w:r>
            <w:proofErr w:type="spellEnd"/>
            <w:r w:rsidR="0090265D" w:rsidRPr="007428E2">
              <w:rPr>
                <w:rFonts w:ascii="Arial" w:hAnsi="Arial" w:cs="Arial"/>
                <w:color w:val="auto"/>
                <w:lang w:val="en-AU"/>
              </w:rPr>
              <w:t>)</w:t>
            </w:r>
          </w:p>
          <w:p w:rsidR="0090265D" w:rsidRPr="007428E2" w:rsidRDefault="00873F52" w:rsidP="002A2116">
            <w:pPr>
              <w:pStyle w:val="BulletCubes"/>
              <w:numPr>
                <w:ilvl w:val="0"/>
                <w:numId w:val="1"/>
              </w:numPr>
              <w:tabs>
                <w:tab w:val="clear" w:pos="3060"/>
                <w:tab w:val="left" w:pos="459"/>
              </w:tabs>
              <w:spacing w:before="0" w:after="180" w:line="240" w:lineRule="auto"/>
              <w:ind w:left="459" w:right="0" w:hanging="283"/>
              <w:jc w:val="left"/>
              <w:rPr>
                <w:rFonts w:ascii="Arial" w:hAnsi="Arial" w:cs="Arial"/>
                <w:color w:val="auto"/>
                <w:lang w:val="en-AU"/>
              </w:rPr>
            </w:pPr>
            <w:r w:rsidRPr="007428E2">
              <w:rPr>
                <w:rFonts w:ascii="Arial" w:hAnsi="Arial" w:cs="Arial"/>
                <w:color w:val="auto"/>
                <w:lang w:val="en-AU"/>
              </w:rPr>
              <w:t>p</w:t>
            </w:r>
            <w:r w:rsidR="0090265D" w:rsidRPr="007428E2">
              <w:rPr>
                <w:rFonts w:ascii="Arial" w:hAnsi="Arial" w:cs="Arial"/>
                <w:color w:val="auto"/>
                <w:lang w:val="en-AU"/>
              </w:rPr>
              <w:t>hotochemical oxidants as ozone (O</w:t>
            </w:r>
            <w:r w:rsidR="0090265D" w:rsidRPr="007428E2">
              <w:rPr>
                <w:rFonts w:ascii="Arial" w:hAnsi="Arial" w:cs="Arial"/>
                <w:color w:val="auto"/>
                <w:vertAlign w:val="subscript"/>
                <w:lang w:val="en-AU"/>
              </w:rPr>
              <w:t>3</w:t>
            </w:r>
            <w:r w:rsidR="0090265D" w:rsidRPr="007428E2">
              <w:rPr>
                <w:rFonts w:ascii="Arial" w:hAnsi="Arial" w:cs="Arial"/>
                <w:color w:val="auto"/>
                <w:lang w:val="en-AU"/>
              </w:rPr>
              <w:t>)</w:t>
            </w:r>
          </w:p>
          <w:p w:rsidR="0090265D" w:rsidRPr="007428E2" w:rsidRDefault="00873F52" w:rsidP="002A2116">
            <w:pPr>
              <w:pStyle w:val="BulletCubes"/>
              <w:numPr>
                <w:ilvl w:val="0"/>
                <w:numId w:val="1"/>
              </w:numPr>
              <w:tabs>
                <w:tab w:val="clear" w:pos="3060"/>
                <w:tab w:val="left" w:pos="459"/>
              </w:tabs>
              <w:spacing w:before="0" w:after="240" w:line="240" w:lineRule="auto"/>
              <w:ind w:left="460" w:right="0" w:hanging="284"/>
              <w:jc w:val="left"/>
              <w:rPr>
                <w:rFonts w:ascii="Arial" w:hAnsi="Arial" w:cs="Arial"/>
                <w:color w:val="auto"/>
                <w:lang w:val="en-AU"/>
              </w:rPr>
            </w:pPr>
            <w:proofErr w:type="gramStart"/>
            <w:r w:rsidRPr="007428E2">
              <w:rPr>
                <w:rFonts w:ascii="Arial" w:hAnsi="Arial" w:cs="Arial"/>
                <w:color w:val="auto"/>
                <w:lang w:val="en-AU"/>
              </w:rPr>
              <w:t>p</w:t>
            </w:r>
            <w:r w:rsidR="0090265D" w:rsidRPr="007428E2">
              <w:rPr>
                <w:rFonts w:ascii="Arial" w:hAnsi="Arial" w:cs="Arial"/>
                <w:color w:val="auto"/>
                <w:lang w:val="en-AU"/>
              </w:rPr>
              <w:t>articulate</w:t>
            </w:r>
            <w:proofErr w:type="gramEnd"/>
            <w:r w:rsidR="0090265D" w:rsidRPr="007428E2">
              <w:rPr>
                <w:rFonts w:ascii="Arial" w:hAnsi="Arial" w:cs="Arial"/>
                <w:color w:val="auto"/>
                <w:lang w:val="en-AU"/>
              </w:rPr>
              <w:t xml:space="preserve"> matter (PM) with an aerodynamic diameter of less than 10 </w:t>
            </w:r>
            <w:r w:rsidR="00B97CB8" w:rsidRPr="007428E2">
              <w:rPr>
                <w:rFonts w:ascii="Arial" w:hAnsi="Arial" w:cs="Arial"/>
                <w:color w:val="auto"/>
                <w:lang w:val="en-AU"/>
              </w:rPr>
              <w:t>micrometres (</w:t>
            </w:r>
            <w:r w:rsidR="0090265D" w:rsidRPr="007428E2">
              <w:rPr>
                <w:rFonts w:ascii="Arial" w:hAnsi="Arial" w:cs="Arial"/>
                <w:color w:val="auto"/>
                <w:lang w:val="en-AU"/>
              </w:rPr>
              <w:t>µm</w:t>
            </w:r>
            <w:r w:rsidR="00B97CB8" w:rsidRPr="007428E2">
              <w:rPr>
                <w:rFonts w:ascii="Arial" w:hAnsi="Arial" w:cs="Arial"/>
                <w:color w:val="auto"/>
                <w:lang w:val="en-AU"/>
              </w:rPr>
              <w:t>)</w:t>
            </w:r>
            <w:r w:rsidR="0090265D" w:rsidRPr="007428E2">
              <w:rPr>
                <w:rFonts w:ascii="Arial" w:hAnsi="Arial" w:cs="Arial"/>
                <w:color w:val="auto"/>
                <w:lang w:val="en-AU"/>
              </w:rPr>
              <w:t xml:space="preserve"> (known as PM</w:t>
            </w:r>
            <w:r w:rsidR="0090265D" w:rsidRPr="007428E2">
              <w:rPr>
                <w:rFonts w:ascii="Arial" w:hAnsi="Arial" w:cs="Arial"/>
                <w:color w:val="auto"/>
                <w:vertAlign w:val="subscript"/>
                <w:lang w:val="en-AU"/>
              </w:rPr>
              <w:t>10</w:t>
            </w:r>
            <w:r w:rsidR="0090265D" w:rsidRPr="007428E2">
              <w:rPr>
                <w:rFonts w:ascii="Arial" w:hAnsi="Arial" w:cs="Arial"/>
                <w:color w:val="auto"/>
                <w:lang w:val="en-AU"/>
              </w:rPr>
              <w:t>)</w:t>
            </w:r>
            <w:r w:rsidRPr="007428E2">
              <w:rPr>
                <w:rFonts w:ascii="Arial" w:hAnsi="Arial" w:cs="Arial"/>
                <w:color w:val="auto"/>
                <w:lang w:val="en-AU"/>
              </w:rPr>
              <w:t>.</w:t>
            </w:r>
          </w:p>
        </w:tc>
      </w:tr>
    </w:tbl>
    <w:p w:rsidR="00B13108" w:rsidRPr="007428E2" w:rsidRDefault="008631BE" w:rsidP="00D7103E">
      <w:pPr>
        <w:rPr>
          <w:rFonts w:ascii="Arial" w:hAnsi="Arial" w:cs="Arial"/>
        </w:rPr>
      </w:pPr>
      <w:r w:rsidRPr="007428E2">
        <w:rPr>
          <w:rFonts w:ascii="Arial" w:hAnsi="Arial" w:cs="Arial"/>
        </w:rPr>
        <w:t xml:space="preserve">The </w:t>
      </w:r>
      <w:r w:rsidR="00EF24F8" w:rsidRPr="007428E2">
        <w:rPr>
          <w:rFonts w:ascii="Arial" w:hAnsi="Arial" w:cs="Arial"/>
        </w:rPr>
        <w:t>AAQ NEPM</w:t>
      </w:r>
      <w:r w:rsidR="00740E73" w:rsidRPr="007428E2">
        <w:rPr>
          <w:rFonts w:ascii="Arial" w:hAnsi="Arial" w:cs="Arial"/>
        </w:rPr>
        <w:t xml:space="preserve"> was vari</w:t>
      </w:r>
      <w:r w:rsidRPr="007428E2">
        <w:rPr>
          <w:rFonts w:ascii="Arial" w:hAnsi="Arial" w:cs="Arial"/>
        </w:rPr>
        <w:t>ed</w:t>
      </w:r>
      <w:r w:rsidRPr="007428E2">
        <w:rPr>
          <w:rStyle w:val="FootnoteReference"/>
          <w:rFonts w:ascii="Arial" w:hAnsi="Arial" w:cs="Arial"/>
        </w:rPr>
        <w:footnoteReference w:id="3"/>
      </w:r>
      <w:r w:rsidRPr="007428E2">
        <w:rPr>
          <w:rFonts w:ascii="Arial" w:hAnsi="Arial" w:cs="Arial"/>
        </w:rPr>
        <w:t xml:space="preserve"> in 2003 to include </w:t>
      </w:r>
      <w:r w:rsidR="002D7D5E" w:rsidRPr="007428E2">
        <w:rPr>
          <w:rFonts w:ascii="Arial" w:hAnsi="Arial" w:cs="Arial"/>
        </w:rPr>
        <w:t xml:space="preserve">monitoring and reporting protocols and </w:t>
      </w:r>
      <w:r w:rsidRPr="007428E2">
        <w:rPr>
          <w:rFonts w:ascii="Arial" w:hAnsi="Arial" w:cs="Arial"/>
        </w:rPr>
        <w:t>advisory reporting standards for particles with a</w:t>
      </w:r>
      <w:r w:rsidR="00740E73" w:rsidRPr="007428E2">
        <w:rPr>
          <w:rFonts w:ascii="Arial" w:hAnsi="Arial" w:cs="Arial"/>
        </w:rPr>
        <w:t>n aerodynamic</w:t>
      </w:r>
      <w:r w:rsidRPr="007428E2">
        <w:rPr>
          <w:rFonts w:ascii="Arial" w:hAnsi="Arial" w:cs="Arial"/>
        </w:rPr>
        <w:t xml:space="preserve"> diamete</w:t>
      </w:r>
      <w:r w:rsidR="004E5382" w:rsidRPr="007428E2">
        <w:rPr>
          <w:rFonts w:ascii="Arial" w:hAnsi="Arial" w:cs="Arial"/>
        </w:rPr>
        <w:t>r of less than 2.5</w:t>
      </w:r>
      <w:r w:rsidR="00B97CB8" w:rsidRPr="007428E2">
        <w:rPr>
          <w:rFonts w:ascii="Arial" w:hAnsi="Arial" w:cs="Arial"/>
        </w:rPr>
        <w:t xml:space="preserve"> µm</w:t>
      </w:r>
      <w:r w:rsidR="004E5382" w:rsidRPr="007428E2">
        <w:rPr>
          <w:rFonts w:ascii="Arial" w:hAnsi="Arial" w:cs="Arial"/>
        </w:rPr>
        <w:t xml:space="preserve">, known as </w:t>
      </w:r>
      <w:r w:rsidRPr="007428E2">
        <w:rPr>
          <w:rFonts w:ascii="Arial" w:hAnsi="Arial" w:cs="Arial"/>
        </w:rPr>
        <w:t>PM</w:t>
      </w:r>
      <w:r w:rsidRPr="007428E2">
        <w:rPr>
          <w:rFonts w:ascii="Arial" w:hAnsi="Arial" w:cs="Arial"/>
          <w:vertAlign w:val="subscript"/>
        </w:rPr>
        <w:t>2.5</w:t>
      </w:r>
      <w:r w:rsidRPr="007428E2">
        <w:rPr>
          <w:rFonts w:ascii="Arial" w:hAnsi="Arial" w:cs="Arial"/>
        </w:rPr>
        <w:t>.</w:t>
      </w:r>
      <w:r w:rsidR="002D7D5E" w:rsidRPr="007428E2">
        <w:rPr>
          <w:rFonts w:ascii="Arial" w:hAnsi="Arial" w:cs="Arial"/>
        </w:rPr>
        <w:t xml:space="preserve"> The rationale for including PM</w:t>
      </w:r>
      <w:r w:rsidR="002D7D5E" w:rsidRPr="007428E2">
        <w:rPr>
          <w:rFonts w:ascii="Arial" w:hAnsi="Arial" w:cs="Arial"/>
          <w:vertAlign w:val="subscript"/>
        </w:rPr>
        <w:t>2.5</w:t>
      </w:r>
      <w:r w:rsidR="002D7D5E" w:rsidRPr="007428E2">
        <w:rPr>
          <w:rFonts w:ascii="Arial" w:hAnsi="Arial" w:cs="Arial"/>
        </w:rPr>
        <w:t xml:space="preserve"> in the AAQ NEPM is described in the associated impact statement </w:t>
      </w:r>
      <w:r w:rsidR="002D7D5E" w:rsidRPr="007428E2">
        <w:rPr>
          <w:rFonts w:ascii="Arial" w:hAnsi="Arial" w:cs="Arial"/>
          <w:b/>
        </w:rPr>
        <w:t>(NEPC 2002)</w:t>
      </w:r>
      <w:r w:rsidR="002D7D5E" w:rsidRPr="007428E2">
        <w:rPr>
          <w:rFonts w:ascii="Arial" w:hAnsi="Arial" w:cs="Arial"/>
        </w:rPr>
        <w:t>.</w:t>
      </w:r>
    </w:p>
    <w:p w:rsidR="002D7D5E" w:rsidRPr="007428E2" w:rsidRDefault="00DF6368" w:rsidP="002D7D5E">
      <w:pPr>
        <w:spacing w:after="140"/>
        <w:rPr>
          <w:rFonts w:ascii="Arial" w:hAnsi="Arial" w:cs="Arial"/>
        </w:rPr>
      </w:pPr>
      <w:r w:rsidRPr="007428E2">
        <w:rPr>
          <w:rFonts w:ascii="Arial" w:hAnsi="Arial" w:cs="Arial"/>
        </w:rPr>
        <w:t xml:space="preserve">An initial </w:t>
      </w:r>
      <w:r w:rsidR="002D7D5E" w:rsidRPr="007428E2">
        <w:rPr>
          <w:rFonts w:ascii="Arial" w:hAnsi="Arial"/>
        </w:rPr>
        <w:t>review of the AAQ NEPM</w:t>
      </w:r>
      <w:r w:rsidRPr="007428E2">
        <w:rPr>
          <w:rFonts w:ascii="Arial" w:hAnsi="Arial"/>
        </w:rPr>
        <w:t xml:space="preserve"> was </w:t>
      </w:r>
      <w:r w:rsidR="002D7D5E" w:rsidRPr="007428E2">
        <w:rPr>
          <w:rFonts w:ascii="Arial" w:hAnsi="Arial"/>
        </w:rPr>
        <w:t xml:space="preserve">completed in 2011 </w:t>
      </w:r>
      <w:r w:rsidR="002D7D5E" w:rsidRPr="007428E2">
        <w:rPr>
          <w:rFonts w:ascii="Arial" w:hAnsi="Arial"/>
          <w:b/>
        </w:rPr>
        <w:t>(NEPC 2011</w:t>
      </w:r>
      <w:r w:rsidR="00B97CB8" w:rsidRPr="007428E2">
        <w:rPr>
          <w:rFonts w:ascii="Arial" w:hAnsi="Arial"/>
          <w:b/>
        </w:rPr>
        <w:t>a</w:t>
      </w:r>
      <w:r w:rsidR="002D7D5E" w:rsidRPr="007428E2">
        <w:rPr>
          <w:rFonts w:ascii="Arial" w:hAnsi="Arial"/>
          <w:b/>
        </w:rPr>
        <w:t>)</w:t>
      </w:r>
      <w:r w:rsidRPr="007428E2">
        <w:rPr>
          <w:rFonts w:ascii="Arial" w:hAnsi="Arial"/>
        </w:rPr>
        <w:t>.</w:t>
      </w:r>
      <w:r w:rsidRPr="007428E2">
        <w:rPr>
          <w:rFonts w:ascii="Arial" w:hAnsi="Arial"/>
          <w:b/>
        </w:rPr>
        <w:t xml:space="preserve">  </w:t>
      </w:r>
      <w:r w:rsidR="002D7D5E" w:rsidRPr="007428E2">
        <w:rPr>
          <w:rFonts w:ascii="Arial" w:hAnsi="Arial" w:cs="Arial"/>
        </w:rPr>
        <w:t xml:space="preserve">In 2012 COAG agreed </w:t>
      </w:r>
      <w:r w:rsidRPr="007428E2">
        <w:rPr>
          <w:rFonts w:ascii="Arial" w:hAnsi="Arial" w:cs="Arial"/>
        </w:rPr>
        <w:t xml:space="preserve">to </w:t>
      </w:r>
      <w:r w:rsidR="002D7D5E" w:rsidRPr="007428E2">
        <w:rPr>
          <w:rFonts w:ascii="Arial" w:hAnsi="Arial" w:cs="Arial"/>
        </w:rPr>
        <w:t>prioritise work on particles for the following reasons:</w:t>
      </w:r>
    </w:p>
    <w:p w:rsidR="002D7D5E" w:rsidRPr="007428E2" w:rsidRDefault="002D7D5E" w:rsidP="006A5626">
      <w:pPr>
        <w:pStyle w:val="BulletArrows"/>
        <w:numPr>
          <w:ilvl w:val="0"/>
          <w:numId w:val="53"/>
        </w:numPr>
        <w:spacing w:after="140"/>
        <w:rPr>
          <w:rFonts w:ascii="Arial" w:hAnsi="Arial"/>
        </w:rPr>
      </w:pPr>
      <w:r w:rsidRPr="007428E2">
        <w:rPr>
          <w:rFonts w:ascii="Arial" w:hAnsi="Arial"/>
        </w:rPr>
        <w:t>There is strong evidence that exposure to PM has adverse effects on human health, and a lack of e</w:t>
      </w:r>
      <w:r w:rsidRPr="007428E2">
        <w:rPr>
          <w:rFonts w:ascii="Arial" w:hAnsi="Arial"/>
          <w:color w:val="auto"/>
        </w:rPr>
        <w:t xml:space="preserve">vidence for a concentration threshold below which health effects do not occur. This means that there are likely to be adverse health effects at the concentrations currently experienced in Australian cities, even where these are below the current standards and goals </w:t>
      </w:r>
      <w:r w:rsidRPr="007428E2">
        <w:rPr>
          <w:rFonts w:ascii="Arial" w:hAnsi="Arial"/>
        </w:rPr>
        <w:t xml:space="preserve">(see </w:t>
      </w:r>
      <w:r w:rsidRPr="007428E2">
        <w:rPr>
          <w:rFonts w:ascii="Arial" w:hAnsi="Arial"/>
          <w:b/>
        </w:rPr>
        <w:t xml:space="preserve">Section </w:t>
      </w:r>
      <w:fldSimple w:instr=" REF _Ref371500049 \n \h  \* MERGEFORMAT ">
        <w:r w:rsidR="0085182E">
          <w:rPr>
            <w:rFonts w:ascii="Arial" w:hAnsi="Arial"/>
            <w:b/>
          </w:rPr>
          <w:t>4.1.2.3</w:t>
        </w:r>
      </w:fldSimple>
      <w:r w:rsidRPr="007428E2">
        <w:rPr>
          <w:rFonts w:ascii="Arial" w:hAnsi="Arial"/>
        </w:rPr>
        <w:t>)</w:t>
      </w:r>
      <w:r w:rsidRPr="007428E2">
        <w:rPr>
          <w:rFonts w:ascii="Arial" w:hAnsi="Arial"/>
          <w:color w:val="auto"/>
        </w:rPr>
        <w:t>.</w:t>
      </w:r>
    </w:p>
    <w:p w:rsidR="002D7D5E" w:rsidRPr="007428E2" w:rsidRDefault="002D7D5E" w:rsidP="006A5626">
      <w:pPr>
        <w:pStyle w:val="BulletArrows"/>
        <w:numPr>
          <w:ilvl w:val="0"/>
          <w:numId w:val="53"/>
        </w:numPr>
        <w:spacing w:after="140"/>
        <w:rPr>
          <w:rFonts w:ascii="Arial" w:hAnsi="Arial"/>
        </w:rPr>
      </w:pPr>
      <w:r w:rsidRPr="007428E2">
        <w:rPr>
          <w:rFonts w:ascii="Arial" w:hAnsi="Arial"/>
        </w:rPr>
        <w:t>PM</w:t>
      </w:r>
      <w:r w:rsidRPr="007428E2">
        <w:rPr>
          <w:rFonts w:ascii="Arial" w:hAnsi="Arial"/>
          <w:vertAlign w:val="subscript"/>
        </w:rPr>
        <w:t>10</w:t>
      </w:r>
      <w:r w:rsidRPr="007428E2">
        <w:rPr>
          <w:rFonts w:ascii="Arial" w:hAnsi="Arial"/>
        </w:rPr>
        <w:t xml:space="preserve"> concentrations frequently exceed the current national 24-hour standard and goal in nearly all regions of Australia </w:t>
      </w:r>
      <w:r w:rsidRPr="007428E2">
        <w:rPr>
          <w:rFonts w:ascii="Arial" w:hAnsi="Arial"/>
          <w:b/>
        </w:rPr>
        <w:t>(DSEWPC 2011)</w:t>
      </w:r>
      <w:r w:rsidRPr="007428E2">
        <w:rPr>
          <w:rFonts w:ascii="Arial" w:hAnsi="Arial"/>
        </w:rPr>
        <w:t>. However, such exceedances can occur as a result of uncontrollable natural events.</w:t>
      </w:r>
    </w:p>
    <w:p w:rsidR="002D7D5E" w:rsidRPr="007428E2" w:rsidRDefault="002D7D5E" w:rsidP="006A5626">
      <w:pPr>
        <w:pStyle w:val="BulletArrows"/>
        <w:numPr>
          <w:ilvl w:val="0"/>
          <w:numId w:val="53"/>
        </w:numPr>
        <w:spacing w:after="140"/>
        <w:rPr>
          <w:rFonts w:ascii="Arial" w:hAnsi="Arial"/>
        </w:rPr>
      </w:pPr>
      <w:r w:rsidRPr="007428E2">
        <w:rPr>
          <w:rFonts w:ascii="Arial" w:hAnsi="Arial"/>
        </w:rPr>
        <w:t xml:space="preserve">The potential health benefits of reducing population exposure to PM </w:t>
      </w:r>
      <w:r w:rsidR="00873F52" w:rsidRPr="007428E2">
        <w:rPr>
          <w:rFonts w:ascii="Arial" w:hAnsi="Arial"/>
        </w:rPr>
        <w:t xml:space="preserve">– </w:t>
      </w:r>
      <w:r w:rsidRPr="007428E2">
        <w:rPr>
          <w:rFonts w:ascii="Arial" w:hAnsi="Arial"/>
        </w:rPr>
        <w:t xml:space="preserve">and the associated monetary savings for society </w:t>
      </w:r>
      <w:r w:rsidR="00873F52" w:rsidRPr="007428E2">
        <w:rPr>
          <w:rFonts w:ascii="Arial" w:hAnsi="Arial"/>
        </w:rPr>
        <w:t>–</w:t>
      </w:r>
      <w:r w:rsidRPr="007428E2">
        <w:rPr>
          <w:rFonts w:ascii="Arial" w:hAnsi="Arial"/>
        </w:rPr>
        <w:t xml:space="preserve"> are larger than those for other air pollutants. </w:t>
      </w:r>
    </w:p>
    <w:p w:rsidR="002D7D5E" w:rsidRPr="007428E2" w:rsidRDefault="002D7D5E" w:rsidP="006A5626">
      <w:pPr>
        <w:pStyle w:val="BulletArrows"/>
        <w:numPr>
          <w:ilvl w:val="0"/>
          <w:numId w:val="53"/>
        </w:numPr>
        <w:spacing w:after="240"/>
        <w:rPr>
          <w:rFonts w:ascii="Arial" w:hAnsi="Arial"/>
        </w:rPr>
      </w:pPr>
      <w:r w:rsidRPr="007428E2">
        <w:rPr>
          <w:rFonts w:ascii="Arial" w:hAnsi="Arial"/>
        </w:rPr>
        <w:t xml:space="preserve">The range of cost-effective abatement policies and actions available for PM is larger than that for other pollutants. </w:t>
      </w:r>
    </w:p>
    <w:p w:rsidR="001A4DE5" w:rsidRPr="007428E2" w:rsidRDefault="002D7D5E" w:rsidP="002D7D5E">
      <w:pPr>
        <w:pStyle w:val="BulletArrows"/>
        <w:spacing w:after="240"/>
        <w:rPr>
          <w:rFonts w:ascii="Arial" w:hAnsi="Arial"/>
        </w:rPr>
      </w:pPr>
      <w:r w:rsidRPr="007428E2">
        <w:rPr>
          <w:rFonts w:ascii="Arial" w:hAnsi="Arial"/>
        </w:rPr>
        <w:t>In the decade since the AAQ NEPM was varied, there have been significant developments in the understanding of the effects of PM on health and the environment, as well as improvements in monitoring methods.</w:t>
      </w:r>
    </w:p>
    <w:p w:rsidR="008631BE" w:rsidRPr="007428E2" w:rsidRDefault="00DF6368" w:rsidP="008631BE">
      <w:pPr>
        <w:rPr>
          <w:rFonts w:ascii="Arial" w:hAnsi="Arial" w:cs="Arial"/>
        </w:rPr>
      </w:pPr>
      <w:r w:rsidRPr="007428E2">
        <w:rPr>
          <w:rFonts w:ascii="Arial" w:hAnsi="Arial" w:cs="Arial"/>
        </w:rPr>
        <w:t xml:space="preserve">This Impact Statement </w:t>
      </w:r>
      <w:r w:rsidR="00F45024" w:rsidRPr="007428E2">
        <w:rPr>
          <w:rFonts w:ascii="Arial" w:hAnsi="Arial" w:cs="Arial"/>
        </w:rPr>
        <w:t xml:space="preserve">collates and analyses available information about PM in Australia. It </w:t>
      </w:r>
      <w:r w:rsidR="00834633" w:rsidRPr="007428E2">
        <w:rPr>
          <w:rFonts w:ascii="Arial" w:hAnsi="Arial" w:cs="Arial"/>
        </w:rPr>
        <w:t xml:space="preserve">considers the feasibility, costs and benefits </w:t>
      </w:r>
      <w:r w:rsidR="008631BE" w:rsidRPr="007428E2">
        <w:rPr>
          <w:rFonts w:ascii="Arial" w:hAnsi="Arial" w:cs="Arial"/>
        </w:rPr>
        <w:t>of amending the standards and goal</w:t>
      </w:r>
      <w:r w:rsidR="008A053E" w:rsidRPr="007428E2">
        <w:rPr>
          <w:rFonts w:ascii="Arial" w:hAnsi="Arial" w:cs="Arial"/>
        </w:rPr>
        <w:t>s</w:t>
      </w:r>
      <w:r w:rsidR="00834633" w:rsidRPr="007428E2">
        <w:rPr>
          <w:rFonts w:ascii="Arial" w:hAnsi="Arial" w:cs="Arial"/>
        </w:rPr>
        <w:t xml:space="preserve"> relating to</w:t>
      </w:r>
      <w:r w:rsidR="008631BE" w:rsidRPr="007428E2">
        <w:rPr>
          <w:rFonts w:ascii="Arial" w:hAnsi="Arial" w:cs="Arial"/>
        </w:rPr>
        <w:t xml:space="preserve"> PM</w:t>
      </w:r>
      <w:r w:rsidR="00F45024" w:rsidRPr="007428E2">
        <w:rPr>
          <w:rFonts w:ascii="Arial" w:hAnsi="Arial" w:cs="Arial"/>
        </w:rPr>
        <w:t xml:space="preserve">, </w:t>
      </w:r>
      <w:r w:rsidR="008631BE" w:rsidRPr="007428E2">
        <w:rPr>
          <w:rFonts w:ascii="Arial" w:hAnsi="Arial" w:cs="Arial"/>
        </w:rPr>
        <w:t xml:space="preserve">as currently defined in the </w:t>
      </w:r>
      <w:r w:rsidR="00EF24F8" w:rsidRPr="007428E2">
        <w:rPr>
          <w:rFonts w:ascii="Arial" w:hAnsi="Arial" w:cs="Arial"/>
        </w:rPr>
        <w:t>AAQ NEPM</w:t>
      </w:r>
      <w:r w:rsidR="00F45024" w:rsidRPr="007428E2">
        <w:rPr>
          <w:rFonts w:ascii="Arial" w:hAnsi="Arial" w:cs="Arial"/>
        </w:rPr>
        <w:t xml:space="preserve">, </w:t>
      </w:r>
      <w:r w:rsidR="00834633" w:rsidRPr="007428E2">
        <w:rPr>
          <w:rFonts w:ascii="Arial" w:hAnsi="Arial" w:cs="Arial"/>
        </w:rPr>
        <w:t xml:space="preserve">and </w:t>
      </w:r>
      <w:r w:rsidR="008631BE" w:rsidRPr="007428E2">
        <w:rPr>
          <w:rFonts w:ascii="Arial" w:hAnsi="Arial" w:cs="Arial"/>
        </w:rPr>
        <w:t>t</w:t>
      </w:r>
      <w:r w:rsidR="008441E4" w:rsidRPr="007428E2">
        <w:rPr>
          <w:rFonts w:ascii="Arial" w:hAnsi="Arial" w:cs="Arial"/>
        </w:rPr>
        <w:t xml:space="preserve">he </w:t>
      </w:r>
      <w:r w:rsidR="008A053E" w:rsidRPr="007428E2">
        <w:rPr>
          <w:rFonts w:ascii="Arial" w:hAnsi="Arial" w:cs="Arial"/>
        </w:rPr>
        <w:t>prospect</w:t>
      </w:r>
      <w:r w:rsidR="008631BE" w:rsidRPr="007428E2">
        <w:rPr>
          <w:rFonts w:ascii="Arial" w:hAnsi="Arial" w:cs="Arial"/>
        </w:rPr>
        <w:t xml:space="preserve"> of introducing a framework for reducing popula</w:t>
      </w:r>
      <w:r w:rsidR="00C46484" w:rsidRPr="007428E2">
        <w:rPr>
          <w:rFonts w:ascii="Arial" w:hAnsi="Arial" w:cs="Arial"/>
        </w:rPr>
        <w:t>tion exposure to PM</w:t>
      </w:r>
      <w:r w:rsidR="008631BE" w:rsidRPr="007428E2">
        <w:rPr>
          <w:rFonts w:ascii="Arial" w:hAnsi="Arial" w:cs="Arial"/>
        </w:rPr>
        <w:t>.</w:t>
      </w:r>
    </w:p>
    <w:p w:rsidR="00DF6368" w:rsidRPr="007428E2" w:rsidRDefault="00DF6368" w:rsidP="00DF6368">
      <w:pPr>
        <w:spacing w:after="200"/>
        <w:rPr>
          <w:rFonts w:ascii="Arial" w:hAnsi="Arial" w:cs="Arial"/>
        </w:rPr>
      </w:pPr>
      <w:r w:rsidRPr="007428E2">
        <w:rPr>
          <w:rFonts w:ascii="Arial" w:hAnsi="Arial" w:cs="Arial"/>
        </w:rPr>
        <w:t>This Impact Statement has been prepared for the National Environment Protection Council (NEPC) with reference to the requirements of the NEPC Act.</w:t>
      </w:r>
      <w:r w:rsidR="00F45024" w:rsidRPr="007428E2">
        <w:rPr>
          <w:rFonts w:ascii="Arial" w:hAnsi="Arial" w:cs="Arial"/>
        </w:rPr>
        <w:t xml:space="preserve"> It </w:t>
      </w:r>
      <w:r w:rsidRPr="007428E2">
        <w:rPr>
          <w:rFonts w:ascii="Arial" w:hAnsi="Arial" w:cs="Arial"/>
        </w:rPr>
        <w:t>outlines the basis for options being considered by government.</w:t>
      </w:r>
    </w:p>
    <w:p w:rsidR="00AE4FA6" w:rsidRPr="007428E2" w:rsidRDefault="009723A4" w:rsidP="008D0059">
      <w:pPr>
        <w:pStyle w:val="Heading2"/>
        <w:rPr>
          <w:rFonts w:ascii="Arial" w:hAnsi="Arial"/>
        </w:rPr>
      </w:pPr>
      <w:bookmarkStart w:id="8" w:name="_Toc394011069"/>
      <w:r w:rsidRPr="007428E2">
        <w:rPr>
          <w:rFonts w:ascii="Arial" w:hAnsi="Arial"/>
        </w:rPr>
        <w:t xml:space="preserve">Compliance with </w:t>
      </w:r>
      <w:r w:rsidR="00A07FE0" w:rsidRPr="007428E2">
        <w:rPr>
          <w:rFonts w:ascii="Arial" w:hAnsi="Arial"/>
        </w:rPr>
        <w:t xml:space="preserve">NEPC </w:t>
      </w:r>
      <w:r w:rsidRPr="007428E2">
        <w:rPr>
          <w:rFonts w:ascii="Arial" w:hAnsi="Arial"/>
        </w:rPr>
        <w:t>requirements</w:t>
      </w:r>
      <w:bookmarkEnd w:id="8"/>
    </w:p>
    <w:p w:rsidR="003E67EB" w:rsidRPr="007428E2" w:rsidRDefault="003E67EB" w:rsidP="003B3998">
      <w:pPr>
        <w:pStyle w:val="BulletArrows"/>
        <w:rPr>
          <w:rFonts w:ascii="Arial" w:hAnsi="Arial"/>
        </w:rPr>
      </w:pPr>
      <w:r w:rsidRPr="007428E2">
        <w:rPr>
          <w:rFonts w:ascii="Arial" w:hAnsi="Arial"/>
        </w:rPr>
        <w:t xml:space="preserve">The </w:t>
      </w:r>
      <w:r w:rsidR="00F45024" w:rsidRPr="007428E2">
        <w:rPr>
          <w:rFonts w:ascii="Arial" w:hAnsi="Arial"/>
        </w:rPr>
        <w:t xml:space="preserve">Impact Statement </w:t>
      </w:r>
      <w:r w:rsidRPr="007428E2">
        <w:rPr>
          <w:rFonts w:ascii="Arial" w:hAnsi="Arial"/>
        </w:rPr>
        <w:t xml:space="preserve">has been compiled in accordance with </w:t>
      </w:r>
      <w:r w:rsidR="00A07FE0" w:rsidRPr="007428E2">
        <w:rPr>
          <w:rFonts w:ascii="Arial" w:hAnsi="Arial"/>
        </w:rPr>
        <w:t xml:space="preserve">NEPC </w:t>
      </w:r>
      <w:r w:rsidRPr="007428E2">
        <w:rPr>
          <w:rFonts w:ascii="Arial" w:hAnsi="Arial"/>
        </w:rPr>
        <w:t>requiremen</w:t>
      </w:r>
      <w:r w:rsidR="00E344DB" w:rsidRPr="007428E2">
        <w:rPr>
          <w:rFonts w:ascii="Arial" w:hAnsi="Arial"/>
        </w:rPr>
        <w:t xml:space="preserve">ts, as </w:t>
      </w:r>
      <w:r w:rsidR="00173AB1">
        <w:rPr>
          <w:rFonts w:ascii="Arial" w:hAnsi="Arial"/>
        </w:rPr>
        <w:t>follows</w:t>
      </w:r>
      <w:r w:rsidRPr="007428E2">
        <w:rPr>
          <w:rFonts w:ascii="Arial" w:hAnsi="Arial"/>
        </w:rPr>
        <w:t>:</w:t>
      </w:r>
    </w:p>
    <w:p w:rsidR="00366E75" w:rsidRPr="00173AB1" w:rsidRDefault="009A6BC0" w:rsidP="00173AB1">
      <w:pPr>
        <w:pStyle w:val="BulletArrows"/>
        <w:numPr>
          <w:ilvl w:val="0"/>
          <w:numId w:val="56"/>
        </w:numPr>
        <w:spacing w:after="180"/>
        <w:rPr>
          <w:rFonts w:ascii="Arial" w:hAnsi="Arial"/>
          <w:color w:val="auto"/>
        </w:rPr>
      </w:pPr>
      <w:r w:rsidRPr="00173AB1">
        <w:rPr>
          <w:rFonts w:ascii="Arial" w:hAnsi="Arial"/>
          <w:i/>
          <w:color w:val="auto"/>
        </w:rPr>
        <w:lastRenderedPageBreak/>
        <w:t>National Envi</w:t>
      </w:r>
      <w:r w:rsidR="00173AB1" w:rsidRPr="00173AB1">
        <w:rPr>
          <w:rFonts w:ascii="Arial" w:hAnsi="Arial"/>
          <w:i/>
          <w:color w:val="auto"/>
        </w:rPr>
        <w:t xml:space="preserve">ronment Protection Council Act </w:t>
      </w:r>
      <w:r w:rsidRPr="00173AB1">
        <w:rPr>
          <w:rFonts w:ascii="Arial" w:hAnsi="Arial"/>
          <w:i/>
          <w:color w:val="auto"/>
        </w:rPr>
        <w:t>1994</w:t>
      </w:r>
      <w:r w:rsidR="00173AB1">
        <w:rPr>
          <w:rFonts w:ascii="Arial" w:hAnsi="Arial"/>
          <w:color w:val="auto"/>
        </w:rPr>
        <w:t xml:space="preserve"> –</w:t>
      </w:r>
      <w:r w:rsidRPr="00173AB1">
        <w:rPr>
          <w:rFonts w:ascii="Arial" w:hAnsi="Arial"/>
          <w:color w:val="auto"/>
        </w:rPr>
        <w:t xml:space="preserve"> </w:t>
      </w:r>
      <w:r w:rsidR="00173AB1">
        <w:rPr>
          <w:rFonts w:ascii="Arial" w:hAnsi="Arial"/>
          <w:color w:val="auto"/>
        </w:rPr>
        <w:t>u</w:t>
      </w:r>
      <w:r w:rsidRPr="00173AB1">
        <w:rPr>
          <w:rFonts w:ascii="Arial" w:hAnsi="Arial"/>
          <w:color w:val="auto"/>
        </w:rPr>
        <w:t>nder the NEPC Act the NEPC may introduce, vary or revoke any</w:t>
      </w:r>
      <w:r w:rsidR="00616E3B" w:rsidRPr="00173AB1">
        <w:rPr>
          <w:rFonts w:ascii="Arial" w:hAnsi="Arial"/>
          <w:color w:val="auto"/>
        </w:rPr>
        <w:t xml:space="preserve"> </w:t>
      </w:r>
      <w:r w:rsidR="00EF24F8" w:rsidRPr="00173AB1">
        <w:rPr>
          <w:rFonts w:ascii="Arial" w:hAnsi="Arial"/>
          <w:color w:val="auto"/>
        </w:rPr>
        <w:t>AAQ NEPM</w:t>
      </w:r>
      <w:r w:rsidR="00616E3B" w:rsidRPr="00173AB1">
        <w:rPr>
          <w:rFonts w:ascii="Arial" w:hAnsi="Arial"/>
          <w:color w:val="auto"/>
        </w:rPr>
        <w:t xml:space="preserve">, and </w:t>
      </w:r>
      <w:r w:rsidR="00873F52" w:rsidRPr="00173AB1">
        <w:rPr>
          <w:rFonts w:ascii="Arial" w:hAnsi="Arial"/>
          <w:color w:val="auto"/>
        </w:rPr>
        <w:t xml:space="preserve">section </w:t>
      </w:r>
      <w:r w:rsidR="00616E3B" w:rsidRPr="00173AB1">
        <w:rPr>
          <w:rFonts w:ascii="Arial" w:hAnsi="Arial"/>
          <w:color w:val="auto"/>
        </w:rPr>
        <w:t>17 requires the Council to prepare the following for the proposed measure (in this case a change to the standards for PM)</w:t>
      </w:r>
      <w:r w:rsidRPr="00173AB1">
        <w:rPr>
          <w:rFonts w:ascii="Arial" w:hAnsi="Arial"/>
          <w:color w:val="auto"/>
        </w:rPr>
        <w:t>:</w:t>
      </w:r>
    </w:p>
    <w:p w:rsidR="00616E3B" w:rsidRPr="007428E2" w:rsidRDefault="00173AB1" w:rsidP="002A2116">
      <w:pPr>
        <w:numPr>
          <w:ilvl w:val="0"/>
          <w:numId w:val="29"/>
        </w:numPr>
        <w:autoSpaceDE w:val="0"/>
        <w:autoSpaceDN w:val="0"/>
        <w:adjustRightInd w:val="0"/>
        <w:spacing w:after="120"/>
        <w:ind w:left="1134" w:hanging="425"/>
        <w:rPr>
          <w:rFonts w:ascii="Arial" w:hAnsi="Arial" w:cs="Arial"/>
          <w:color w:val="000000"/>
        </w:rPr>
      </w:pPr>
      <w:r>
        <w:rPr>
          <w:rFonts w:ascii="Arial" w:hAnsi="Arial" w:cs="Arial"/>
          <w:color w:val="000000"/>
        </w:rPr>
        <w:t>a draft of the proposed measure</w:t>
      </w:r>
    </w:p>
    <w:p w:rsidR="00616E3B" w:rsidRPr="007428E2" w:rsidRDefault="00173AB1" w:rsidP="002A2116">
      <w:pPr>
        <w:numPr>
          <w:ilvl w:val="0"/>
          <w:numId w:val="29"/>
        </w:numPr>
        <w:autoSpaceDE w:val="0"/>
        <w:autoSpaceDN w:val="0"/>
        <w:adjustRightInd w:val="0"/>
        <w:spacing w:after="120"/>
        <w:ind w:left="1134" w:hanging="425"/>
        <w:rPr>
          <w:rFonts w:ascii="Arial" w:hAnsi="Arial" w:cs="Arial"/>
          <w:color w:val="000000"/>
        </w:rPr>
      </w:pPr>
      <w:r>
        <w:rPr>
          <w:rFonts w:ascii="Arial" w:hAnsi="Arial" w:cs="Arial"/>
          <w:color w:val="000000"/>
        </w:rPr>
        <w:t>a</w:t>
      </w:r>
      <w:r w:rsidR="00616E3B" w:rsidRPr="007428E2">
        <w:rPr>
          <w:rFonts w:ascii="Arial" w:hAnsi="Arial" w:cs="Arial"/>
          <w:color w:val="000000"/>
        </w:rPr>
        <w:t xml:space="preserve">n impact statement relating to the proposed measure that includes: </w:t>
      </w:r>
    </w:p>
    <w:p w:rsidR="00616E3B" w:rsidRPr="007428E2" w:rsidRDefault="00173AB1" w:rsidP="002A2116">
      <w:pPr>
        <w:numPr>
          <w:ilvl w:val="1"/>
          <w:numId w:val="30"/>
        </w:numPr>
        <w:tabs>
          <w:tab w:val="left" w:pos="1843"/>
        </w:tabs>
        <w:autoSpaceDE w:val="0"/>
        <w:autoSpaceDN w:val="0"/>
        <w:adjustRightInd w:val="0"/>
        <w:spacing w:after="120"/>
        <w:ind w:left="1843" w:hanging="567"/>
        <w:rPr>
          <w:rFonts w:ascii="Arial" w:hAnsi="Arial" w:cs="Arial"/>
          <w:color w:val="000000"/>
        </w:rPr>
      </w:pPr>
      <w:r>
        <w:rPr>
          <w:rFonts w:ascii="Arial" w:hAnsi="Arial" w:cs="Arial"/>
          <w:color w:val="000000"/>
        </w:rPr>
        <w:t>t</w:t>
      </w:r>
      <w:r w:rsidR="00616E3B" w:rsidRPr="007428E2">
        <w:rPr>
          <w:rFonts w:ascii="Arial" w:hAnsi="Arial" w:cs="Arial"/>
          <w:color w:val="000000"/>
        </w:rPr>
        <w:t>he desired</w:t>
      </w:r>
      <w:r>
        <w:rPr>
          <w:rFonts w:ascii="Arial" w:hAnsi="Arial" w:cs="Arial"/>
          <w:color w:val="000000"/>
        </w:rPr>
        <w:t xml:space="preserve"> environmental outcomes</w:t>
      </w:r>
    </w:p>
    <w:p w:rsidR="00616E3B" w:rsidRPr="007428E2" w:rsidRDefault="00173AB1" w:rsidP="002A2116">
      <w:pPr>
        <w:numPr>
          <w:ilvl w:val="1"/>
          <w:numId w:val="30"/>
        </w:numPr>
        <w:tabs>
          <w:tab w:val="left" w:pos="1843"/>
        </w:tabs>
        <w:autoSpaceDE w:val="0"/>
        <w:autoSpaceDN w:val="0"/>
        <w:adjustRightInd w:val="0"/>
        <w:spacing w:after="120"/>
        <w:ind w:left="1843" w:hanging="567"/>
        <w:rPr>
          <w:rFonts w:ascii="Arial" w:hAnsi="Arial" w:cs="Arial"/>
          <w:color w:val="000000"/>
        </w:rPr>
      </w:pPr>
      <w:r>
        <w:rPr>
          <w:rFonts w:ascii="Arial" w:hAnsi="Arial" w:cs="Arial"/>
          <w:color w:val="000000"/>
        </w:rPr>
        <w:t>t</w:t>
      </w:r>
      <w:r w:rsidR="00616E3B" w:rsidRPr="007428E2">
        <w:rPr>
          <w:rFonts w:ascii="Arial" w:hAnsi="Arial" w:cs="Arial"/>
          <w:color w:val="000000"/>
        </w:rPr>
        <w:t>he reasons for the proposed measure, and the environmental i</w:t>
      </w:r>
      <w:r>
        <w:rPr>
          <w:rFonts w:ascii="Arial" w:hAnsi="Arial" w:cs="Arial"/>
          <w:color w:val="000000"/>
        </w:rPr>
        <w:t>mpact of not making the measure</w:t>
      </w:r>
    </w:p>
    <w:p w:rsidR="00616E3B" w:rsidRPr="007428E2" w:rsidRDefault="00173AB1" w:rsidP="002A2116">
      <w:pPr>
        <w:numPr>
          <w:ilvl w:val="1"/>
          <w:numId w:val="30"/>
        </w:numPr>
        <w:tabs>
          <w:tab w:val="left" w:pos="1843"/>
        </w:tabs>
        <w:autoSpaceDE w:val="0"/>
        <w:autoSpaceDN w:val="0"/>
        <w:adjustRightInd w:val="0"/>
        <w:spacing w:after="120"/>
        <w:ind w:left="1843" w:hanging="567"/>
        <w:rPr>
          <w:rFonts w:ascii="Arial" w:hAnsi="Arial" w:cs="Arial"/>
          <w:color w:val="000000"/>
        </w:rPr>
      </w:pPr>
      <w:r>
        <w:rPr>
          <w:rFonts w:ascii="Arial" w:hAnsi="Arial" w:cs="Arial"/>
          <w:color w:val="000000"/>
        </w:rPr>
        <w:t>a</w:t>
      </w:r>
      <w:r w:rsidR="00616E3B" w:rsidRPr="007428E2">
        <w:rPr>
          <w:rFonts w:ascii="Arial" w:hAnsi="Arial" w:cs="Arial"/>
          <w:color w:val="000000"/>
        </w:rPr>
        <w:t xml:space="preserve"> statement of the alternative methods of achieving the desired environmental outcomes, and the reasons why those alternatives have not b</w:t>
      </w:r>
      <w:r>
        <w:rPr>
          <w:rFonts w:ascii="Arial" w:hAnsi="Arial" w:cs="Arial"/>
          <w:color w:val="000000"/>
        </w:rPr>
        <w:t>een adopted</w:t>
      </w:r>
    </w:p>
    <w:p w:rsidR="00616E3B" w:rsidRPr="007428E2" w:rsidRDefault="00173AB1" w:rsidP="002A2116">
      <w:pPr>
        <w:numPr>
          <w:ilvl w:val="1"/>
          <w:numId w:val="30"/>
        </w:numPr>
        <w:tabs>
          <w:tab w:val="left" w:pos="1843"/>
        </w:tabs>
        <w:autoSpaceDE w:val="0"/>
        <w:autoSpaceDN w:val="0"/>
        <w:adjustRightInd w:val="0"/>
        <w:spacing w:after="120"/>
        <w:ind w:left="1843" w:hanging="567"/>
        <w:rPr>
          <w:rFonts w:ascii="Arial" w:hAnsi="Arial" w:cs="Arial"/>
          <w:color w:val="000000"/>
        </w:rPr>
      </w:pPr>
      <w:r>
        <w:rPr>
          <w:rFonts w:ascii="Arial" w:hAnsi="Arial" w:cs="Arial"/>
          <w:color w:val="000000"/>
        </w:rPr>
        <w:t>a</w:t>
      </w:r>
      <w:r w:rsidR="00616E3B" w:rsidRPr="007428E2">
        <w:rPr>
          <w:rFonts w:ascii="Arial" w:hAnsi="Arial" w:cs="Arial"/>
          <w:color w:val="000000"/>
        </w:rPr>
        <w:t>n identification and assessment of the economic and social impact on the community (including industry)</w:t>
      </w:r>
      <w:r>
        <w:rPr>
          <w:rFonts w:ascii="Arial" w:hAnsi="Arial" w:cs="Arial"/>
          <w:color w:val="000000"/>
        </w:rPr>
        <w:t xml:space="preserve"> of making the proposed measure</w:t>
      </w:r>
    </w:p>
    <w:p w:rsidR="00616E3B" w:rsidRPr="007428E2" w:rsidRDefault="00173AB1" w:rsidP="002A2116">
      <w:pPr>
        <w:numPr>
          <w:ilvl w:val="1"/>
          <w:numId w:val="30"/>
        </w:numPr>
        <w:tabs>
          <w:tab w:val="left" w:pos="1843"/>
        </w:tabs>
        <w:autoSpaceDE w:val="0"/>
        <w:autoSpaceDN w:val="0"/>
        <w:adjustRightInd w:val="0"/>
        <w:spacing w:after="120"/>
        <w:ind w:left="1843" w:hanging="567"/>
        <w:rPr>
          <w:rFonts w:ascii="Arial" w:hAnsi="Arial" w:cs="Arial"/>
          <w:color w:val="000000"/>
        </w:rPr>
      </w:pPr>
      <w:r>
        <w:rPr>
          <w:rFonts w:ascii="Arial" w:hAnsi="Arial" w:cs="Arial"/>
          <w:color w:val="000000"/>
        </w:rPr>
        <w:t>a</w:t>
      </w:r>
      <w:r w:rsidR="00616E3B" w:rsidRPr="007428E2">
        <w:rPr>
          <w:rFonts w:ascii="Arial" w:hAnsi="Arial" w:cs="Arial"/>
          <w:color w:val="000000"/>
        </w:rPr>
        <w:t xml:space="preserve"> statement of the manner in which any regional environmental differences in Australia have been addressed in the deve</w:t>
      </w:r>
      <w:r>
        <w:rPr>
          <w:rFonts w:ascii="Arial" w:hAnsi="Arial" w:cs="Arial"/>
          <w:color w:val="000000"/>
        </w:rPr>
        <w:t>lopment of the proposed measure</w:t>
      </w:r>
    </w:p>
    <w:p w:rsidR="00616E3B" w:rsidRPr="007428E2" w:rsidRDefault="00173AB1" w:rsidP="002A2116">
      <w:pPr>
        <w:numPr>
          <w:ilvl w:val="1"/>
          <w:numId w:val="30"/>
        </w:numPr>
        <w:tabs>
          <w:tab w:val="left" w:pos="1843"/>
        </w:tabs>
        <w:autoSpaceDE w:val="0"/>
        <w:autoSpaceDN w:val="0"/>
        <w:adjustRightInd w:val="0"/>
        <w:spacing w:after="120"/>
        <w:ind w:left="1843" w:hanging="567"/>
        <w:rPr>
          <w:rFonts w:ascii="Arial" w:hAnsi="Arial" w:cs="Arial"/>
          <w:color w:val="000000"/>
        </w:rPr>
      </w:pPr>
      <w:r>
        <w:rPr>
          <w:rFonts w:ascii="Arial" w:hAnsi="Arial" w:cs="Arial"/>
          <w:color w:val="000000"/>
        </w:rPr>
        <w:t>t</w:t>
      </w:r>
      <w:r w:rsidR="00616E3B" w:rsidRPr="007428E2">
        <w:rPr>
          <w:rFonts w:ascii="Arial" w:hAnsi="Arial" w:cs="Arial"/>
          <w:color w:val="000000"/>
        </w:rPr>
        <w:t xml:space="preserve">he intended date </w:t>
      </w:r>
      <w:r>
        <w:rPr>
          <w:rFonts w:ascii="Arial" w:hAnsi="Arial" w:cs="Arial"/>
          <w:color w:val="000000"/>
        </w:rPr>
        <w:t>for making the proposed measure</w:t>
      </w:r>
    </w:p>
    <w:p w:rsidR="00616E3B" w:rsidRPr="007428E2" w:rsidRDefault="00173AB1" w:rsidP="002A2116">
      <w:pPr>
        <w:numPr>
          <w:ilvl w:val="1"/>
          <w:numId w:val="30"/>
        </w:numPr>
        <w:tabs>
          <w:tab w:val="left" w:pos="1843"/>
        </w:tabs>
        <w:autoSpaceDE w:val="0"/>
        <w:autoSpaceDN w:val="0"/>
        <w:adjustRightInd w:val="0"/>
        <w:spacing w:after="120"/>
        <w:ind w:left="1843" w:hanging="567"/>
        <w:rPr>
          <w:rFonts w:ascii="Arial" w:hAnsi="Arial" w:cs="Arial"/>
          <w:color w:val="000000"/>
        </w:rPr>
      </w:pPr>
      <w:r>
        <w:rPr>
          <w:rFonts w:ascii="Arial" w:hAnsi="Arial" w:cs="Arial"/>
          <w:color w:val="000000"/>
        </w:rPr>
        <w:t>t</w:t>
      </w:r>
      <w:r w:rsidR="00616E3B" w:rsidRPr="007428E2">
        <w:rPr>
          <w:rFonts w:ascii="Arial" w:hAnsi="Arial" w:cs="Arial"/>
          <w:color w:val="000000"/>
        </w:rPr>
        <w:t>he timetable (if any) for the impleme</w:t>
      </w:r>
      <w:r>
        <w:rPr>
          <w:rFonts w:ascii="Arial" w:hAnsi="Arial" w:cs="Arial"/>
          <w:color w:val="000000"/>
        </w:rPr>
        <w:t>ntation of the proposed measure</w:t>
      </w:r>
    </w:p>
    <w:p w:rsidR="00E5456D" w:rsidRPr="007428E2" w:rsidRDefault="00173AB1" w:rsidP="002A2116">
      <w:pPr>
        <w:pStyle w:val="BulletArrows"/>
        <w:numPr>
          <w:ilvl w:val="1"/>
          <w:numId w:val="30"/>
        </w:numPr>
        <w:tabs>
          <w:tab w:val="left" w:pos="1843"/>
        </w:tabs>
        <w:spacing w:after="240"/>
        <w:ind w:left="1843" w:hanging="567"/>
        <w:rPr>
          <w:rFonts w:ascii="Arial" w:hAnsi="Arial"/>
          <w:color w:val="auto"/>
          <w:szCs w:val="18"/>
        </w:rPr>
      </w:pPr>
      <w:proofErr w:type="gramStart"/>
      <w:r>
        <w:rPr>
          <w:rFonts w:ascii="Arial" w:hAnsi="Arial"/>
          <w:bCs w:val="0"/>
          <w:kern w:val="0"/>
          <w:szCs w:val="18"/>
          <w:lang w:eastAsia="en-AU"/>
        </w:rPr>
        <w:t>t</w:t>
      </w:r>
      <w:r w:rsidR="00616E3B" w:rsidRPr="007428E2">
        <w:rPr>
          <w:rFonts w:ascii="Arial" w:hAnsi="Arial"/>
          <w:bCs w:val="0"/>
          <w:kern w:val="0"/>
          <w:szCs w:val="18"/>
          <w:lang w:eastAsia="en-AU"/>
        </w:rPr>
        <w:t>he</w:t>
      </w:r>
      <w:proofErr w:type="gramEnd"/>
      <w:r w:rsidR="00616E3B" w:rsidRPr="007428E2">
        <w:rPr>
          <w:rFonts w:ascii="Arial" w:hAnsi="Arial"/>
          <w:bCs w:val="0"/>
          <w:kern w:val="0"/>
          <w:szCs w:val="18"/>
          <w:lang w:eastAsia="en-AU"/>
        </w:rPr>
        <w:t xml:space="preserve"> transitional arrangements (if any) in relation to the proposed measure.</w:t>
      </w:r>
    </w:p>
    <w:p w:rsidR="00AE4FA6" w:rsidRPr="00173AB1" w:rsidRDefault="00AE4FA6" w:rsidP="00173AB1">
      <w:pPr>
        <w:pStyle w:val="BulletArrows"/>
        <w:numPr>
          <w:ilvl w:val="0"/>
          <w:numId w:val="56"/>
        </w:numPr>
        <w:spacing w:after="180"/>
        <w:rPr>
          <w:rFonts w:ascii="Arial" w:hAnsi="Arial"/>
          <w:color w:val="auto"/>
        </w:rPr>
      </w:pPr>
      <w:r w:rsidRPr="00173AB1">
        <w:rPr>
          <w:rFonts w:ascii="Arial" w:hAnsi="Arial"/>
          <w:i/>
          <w:color w:val="auto"/>
        </w:rPr>
        <w:t>COAG Best Practice Regulation: A Guide for Ministerial Councils and National Standard Setting Bodies</w:t>
      </w:r>
      <w:r w:rsidR="00F91F63" w:rsidRPr="00173AB1">
        <w:rPr>
          <w:rFonts w:ascii="Arial" w:hAnsi="Arial"/>
          <w:color w:val="auto"/>
        </w:rPr>
        <w:t xml:space="preserve"> </w:t>
      </w:r>
      <w:r w:rsidR="00F91F63" w:rsidRPr="00173AB1">
        <w:rPr>
          <w:rFonts w:ascii="Arial" w:hAnsi="Arial"/>
          <w:b/>
          <w:color w:val="auto"/>
        </w:rPr>
        <w:t xml:space="preserve">(COAG </w:t>
      </w:r>
      <w:r w:rsidRPr="00173AB1">
        <w:rPr>
          <w:rFonts w:ascii="Arial" w:hAnsi="Arial"/>
          <w:b/>
          <w:color w:val="auto"/>
        </w:rPr>
        <w:t>2007)</w:t>
      </w:r>
      <w:r w:rsidRPr="00173AB1">
        <w:rPr>
          <w:rFonts w:ascii="Arial" w:hAnsi="Arial"/>
          <w:color w:val="auto"/>
        </w:rPr>
        <w:t>.</w:t>
      </w:r>
    </w:p>
    <w:p w:rsidR="00774347" w:rsidRPr="007428E2" w:rsidRDefault="009B2AF9" w:rsidP="00A9249D">
      <w:pPr>
        <w:pStyle w:val="BulletArrows"/>
        <w:spacing w:after="180"/>
        <w:rPr>
          <w:rFonts w:ascii="Arial" w:hAnsi="Arial"/>
          <w:color w:val="auto"/>
        </w:rPr>
      </w:pPr>
      <w:r w:rsidRPr="007428E2">
        <w:rPr>
          <w:rFonts w:ascii="Arial" w:hAnsi="Arial"/>
        </w:rPr>
        <w:t>The following document</w:t>
      </w:r>
      <w:r w:rsidRPr="007428E2">
        <w:rPr>
          <w:rFonts w:ascii="Arial" w:hAnsi="Arial"/>
          <w:color w:val="auto"/>
        </w:rPr>
        <w:t xml:space="preserve">s </w:t>
      </w:r>
      <w:r w:rsidR="00F45024" w:rsidRPr="007428E2">
        <w:rPr>
          <w:rFonts w:ascii="Arial" w:hAnsi="Arial"/>
          <w:color w:val="auto"/>
        </w:rPr>
        <w:t xml:space="preserve">are foundation references of </w:t>
      </w:r>
      <w:r w:rsidR="00774347" w:rsidRPr="007428E2">
        <w:rPr>
          <w:rFonts w:ascii="Arial" w:hAnsi="Arial"/>
          <w:color w:val="auto"/>
        </w:rPr>
        <w:t xml:space="preserve">the </w:t>
      </w:r>
      <w:r w:rsidR="00F45024" w:rsidRPr="007428E2">
        <w:rPr>
          <w:rFonts w:ascii="Arial" w:hAnsi="Arial"/>
          <w:color w:val="auto"/>
        </w:rPr>
        <w:t>Impact Statement</w:t>
      </w:r>
      <w:r w:rsidR="00774347" w:rsidRPr="007428E2">
        <w:rPr>
          <w:rFonts w:ascii="Arial" w:hAnsi="Arial"/>
          <w:color w:val="auto"/>
        </w:rPr>
        <w:t>:</w:t>
      </w:r>
    </w:p>
    <w:p w:rsidR="00774347" w:rsidRPr="007428E2" w:rsidRDefault="00873F52" w:rsidP="006A5626">
      <w:pPr>
        <w:pStyle w:val="BulletArrows"/>
        <w:numPr>
          <w:ilvl w:val="0"/>
          <w:numId w:val="56"/>
        </w:numPr>
        <w:spacing w:after="180"/>
        <w:rPr>
          <w:rFonts w:ascii="Arial" w:hAnsi="Arial"/>
          <w:color w:val="auto"/>
        </w:rPr>
      </w:pPr>
      <w:r w:rsidRPr="007428E2">
        <w:rPr>
          <w:rFonts w:ascii="Arial" w:hAnsi="Arial"/>
          <w:color w:val="auto"/>
        </w:rPr>
        <w:t>t</w:t>
      </w:r>
      <w:r w:rsidR="00774347" w:rsidRPr="007428E2">
        <w:rPr>
          <w:rFonts w:ascii="Arial" w:hAnsi="Arial"/>
          <w:color w:val="auto"/>
        </w:rPr>
        <w:t xml:space="preserve">he </w:t>
      </w:r>
      <w:r w:rsidR="00EF24F8" w:rsidRPr="007428E2">
        <w:rPr>
          <w:rFonts w:ascii="Arial" w:hAnsi="Arial"/>
          <w:color w:val="auto"/>
        </w:rPr>
        <w:t>AAQ NEPM</w:t>
      </w:r>
      <w:r w:rsidR="00774347" w:rsidRPr="007428E2">
        <w:rPr>
          <w:rFonts w:ascii="Arial" w:hAnsi="Arial"/>
          <w:color w:val="auto"/>
        </w:rPr>
        <w:t xml:space="preserve"> Review </w:t>
      </w:r>
      <w:r w:rsidR="00774347" w:rsidRPr="007428E2">
        <w:rPr>
          <w:rFonts w:ascii="Arial" w:hAnsi="Arial"/>
          <w:b/>
          <w:color w:val="auto"/>
        </w:rPr>
        <w:t>(NEPC 2011a)</w:t>
      </w:r>
    </w:p>
    <w:p w:rsidR="00774347" w:rsidRPr="007428E2" w:rsidRDefault="00873F52" w:rsidP="006A5626">
      <w:pPr>
        <w:pStyle w:val="BulletArrows"/>
        <w:numPr>
          <w:ilvl w:val="0"/>
          <w:numId w:val="56"/>
        </w:numPr>
        <w:spacing w:after="180"/>
        <w:rPr>
          <w:rFonts w:ascii="Arial" w:hAnsi="Arial"/>
        </w:rPr>
      </w:pPr>
      <w:r w:rsidRPr="007428E2">
        <w:rPr>
          <w:rFonts w:ascii="Arial" w:hAnsi="Arial"/>
        </w:rPr>
        <w:t>t</w:t>
      </w:r>
      <w:r w:rsidR="00774347" w:rsidRPr="007428E2">
        <w:rPr>
          <w:rFonts w:ascii="Arial" w:hAnsi="Arial"/>
        </w:rPr>
        <w:t xml:space="preserve">he </w:t>
      </w:r>
      <w:r w:rsidR="00774347" w:rsidRPr="00C80641">
        <w:rPr>
          <w:rFonts w:ascii="Arial" w:hAnsi="Arial"/>
          <w:i/>
        </w:rPr>
        <w:t>Methodology for Setting Air Qu</w:t>
      </w:r>
      <w:r w:rsidR="00774347" w:rsidRPr="00C80641">
        <w:rPr>
          <w:rFonts w:ascii="Arial" w:hAnsi="Arial"/>
          <w:i/>
          <w:color w:val="auto"/>
        </w:rPr>
        <w:t>ality Standards in Australia</w:t>
      </w:r>
      <w:r w:rsidR="00774347" w:rsidRPr="007428E2">
        <w:rPr>
          <w:rFonts w:ascii="Arial" w:hAnsi="Arial"/>
          <w:color w:val="auto"/>
        </w:rPr>
        <w:t xml:space="preserve"> </w:t>
      </w:r>
      <w:r w:rsidR="00774347" w:rsidRPr="007428E2">
        <w:rPr>
          <w:rFonts w:ascii="Arial" w:hAnsi="Arial"/>
          <w:b/>
          <w:color w:val="auto"/>
        </w:rPr>
        <w:t>(NEPC 2011b)</w:t>
      </w:r>
      <w:r w:rsidR="00774347" w:rsidRPr="007428E2">
        <w:rPr>
          <w:rFonts w:ascii="Arial" w:hAnsi="Arial"/>
          <w:color w:val="auto"/>
        </w:rPr>
        <w:t>, whi</w:t>
      </w:r>
      <w:r w:rsidR="00774347" w:rsidRPr="007428E2">
        <w:rPr>
          <w:rFonts w:ascii="Arial" w:hAnsi="Arial"/>
        </w:rPr>
        <w:t>ch provides a clearly defined (but not prescriptive) framework and establishes approaches to assessment</w:t>
      </w:r>
    </w:p>
    <w:p w:rsidR="00CA0D37" w:rsidRPr="007428E2" w:rsidRDefault="00CA0D37" w:rsidP="006A5626">
      <w:pPr>
        <w:pStyle w:val="BulletArrows"/>
        <w:numPr>
          <w:ilvl w:val="0"/>
          <w:numId w:val="56"/>
        </w:numPr>
        <w:rPr>
          <w:rFonts w:ascii="Arial" w:hAnsi="Arial"/>
        </w:rPr>
      </w:pPr>
      <w:r w:rsidRPr="007428E2">
        <w:rPr>
          <w:rFonts w:ascii="Arial" w:hAnsi="Arial"/>
        </w:rPr>
        <w:t>work support</w:t>
      </w:r>
      <w:r w:rsidR="00E829FE">
        <w:rPr>
          <w:rFonts w:ascii="Arial" w:hAnsi="Arial"/>
        </w:rPr>
        <w:t>ing</w:t>
      </w:r>
      <w:r w:rsidRPr="007428E2">
        <w:rPr>
          <w:rFonts w:ascii="Arial" w:hAnsi="Arial"/>
        </w:rPr>
        <w:t xml:space="preserve"> the </w:t>
      </w:r>
      <w:r w:rsidR="008B3A16" w:rsidRPr="007428E2">
        <w:rPr>
          <w:rFonts w:ascii="Arial" w:hAnsi="Arial"/>
        </w:rPr>
        <w:t>review of PM standards</w:t>
      </w:r>
      <w:r w:rsidR="00E829FE">
        <w:rPr>
          <w:rFonts w:ascii="Arial" w:hAnsi="Arial"/>
        </w:rPr>
        <w:t>:</w:t>
      </w:r>
      <w:r w:rsidRPr="007428E2">
        <w:rPr>
          <w:rFonts w:ascii="Arial" w:hAnsi="Arial"/>
        </w:rPr>
        <w:t xml:space="preserve"> </w:t>
      </w:r>
    </w:p>
    <w:p w:rsidR="00CA0D37" w:rsidRPr="007428E2" w:rsidRDefault="00873F52" w:rsidP="00CA0D37">
      <w:pPr>
        <w:pStyle w:val="BulletArrows"/>
        <w:numPr>
          <w:ilvl w:val="1"/>
          <w:numId w:val="3"/>
        </w:numPr>
        <w:tabs>
          <w:tab w:val="clear" w:pos="1800"/>
          <w:tab w:val="num" w:pos="993"/>
        </w:tabs>
        <w:ind w:left="993" w:hanging="284"/>
        <w:rPr>
          <w:rFonts w:ascii="Arial" w:hAnsi="Arial"/>
          <w:color w:val="auto"/>
        </w:rPr>
      </w:pPr>
      <w:r w:rsidRPr="007428E2">
        <w:rPr>
          <w:rFonts w:ascii="Arial" w:hAnsi="Arial"/>
          <w:color w:val="auto"/>
        </w:rPr>
        <w:t>a</w:t>
      </w:r>
      <w:r w:rsidR="00CA0D37" w:rsidRPr="007428E2">
        <w:rPr>
          <w:rFonts w:ascii="Arial" w:hAnsi="Arial"/>
          <w:color w:val="auto"/>
        </w:rPr>
        <w:t xml:space="preserve">n assessment of the options for an exposure-reduction framework for PM in Australia (referred to hereafter as the ‘Exposure Reduction project’) </w:t>
      </w:r>
      <w:r w:rsidR="00CA0D37" w:rsidRPr="007428E2">
        <w:rPr>
          <w:rFonts w:ascii="Arial" w:hAnsi="Arial"/>
          <w:b/>
          <w:color w:val="auto"/>
        </w:rPr>
        <w:t>(</w:t>
      </w:r>
      <w:proofErr w:type="spellStart"/>
      <w:r w:rsidR="00CA0D37" w:rsidRPr="007428E2">
        <w:rPr>
          <w:rFonts w:ascii="Arial" w:hAnsi="Arial"/>
          <w:b/>
          <w:color w:val="auto"/>
        </w:rPr>
        <w:t>Bawden</w:t>
      </w:r>
      <w:proofErr w:type="spellEnd"/>
      <w:r w:rsidR="00CA0D37" w:rsidRPr="007428E2">
        <w:rPr>
          <w:rFonts w:ascii="Arial" w:hAnsi="Arial"/>
          <w:b/>
          <w:color w:val="auto"/>
        </w:rPr>
        <w:t xml:space="preserve"> et al. 2012)</w:t>
      </w:r>
    </w:p>
    <w:p w:rsidR="00CA0D37" w:rsidRPr="007428E2" w:rsidRDefault="00873F52" w:rsidP="00CA0D37">
      <w:pPr>
        <w:pStyle w:val="BulletArrows"/>
        <w:numPr>
          <w:ilvl w:val="1"/>
          <w:numId w:val="3"/>
        </w:numPr>
        <w:tabs>
          <w:tab w:val="clear" w:pos="1800"/>
          <w:tab w:val="num" w:pos="993"/>
        </w:tabs>
        <w:ind w:left="993" w:hanging="284"/>
        <w:rPr>
          <w:rFonts w:ascii="Arial" w:hAnsi="Arial"/>
          <w:color w:val="auto"/>
        </w:rPr>
      </w:pPr>
      <w:r w:rsidRPr="007428E2">
        <w:rPr>
          <w:rFonts w:ascii="Arial" w:hAnsi="Arial"/>
          <w:color w:val="auto"/>
        </w:rPr>
        <w:t>a</w:t>
      </w:r>
      <w:r w:rsidR="00CA0D37" w:rsidRPr="007428E2">
        <w:rPr>
          <w:rFonts w:ascii="Arial" w:hAnsi="Arial"/>
          <w:color w:val="auto"/>
        </w:rPr>
        <w:t xml:space="preserve"> methodology for valuing the health impacts of changes in PM emissions (referred to hereafter as the ‘PM Valuation project’) </w:t>
      </w:r>
      <w:r w:rsidR="00CA0D37" w:rsidRPr="007428E2">
        <w:rPr>
          <w:rFonts w:ascii="Arial" w:hAnsi="Arial"/>
          <w:b/>
          <w:color w:val="auto"/>
        </w:rPr>
        <w:t>(Aust et al. 2013)</w:t>
      </w:r>
    </w:p>
    <w:p w:rsidR="00CA0D37" w:rsidRPr="007428E2" w:rsidRDefault="00873F52" w:rsidP="00CA0D37">
      <w:pPr>
        <w:pStyle w:val="BulletArrows"/>
        <w:numPr>
          <w:ilvl w:val="1"/>
          <w:numId w:val="3"/>
        </w:numPr>
        <w:tabs>
          <w:tab w:val="clear" w:pos="1800"/>
          <w:tab w:val="num" w:pos="993"/>
        </w:tabs>
        <w:ind w:left="993" w:hanging="284"/>
        <w:rPr>
          <w:rFonts w:ascii="Arial" w:hAnsi="Arial"/>
          <w:color w:val="auto"/>
        </w:rPr>
      </w:pPr>
      <w:proofErr w:type="gramStart"/>
      <w:r w:rsidRPr="007428E2">
        <w:rPr>
          <w:rFonts w:ascii="Arial" w:hAnsi="Arial"/>
          <w:color w:val="auto"/>
        </w:rPr>
        <w:t>a</w:t>
      </w:r>
      <w:proofErr w:type="gramEnd"/>
      <w:r w:rsidR="00CA0D37" w:rsidRPr="007428E2">
        <w:rPr>
          <w:rFonts w:ascii="Arial" w:hAnsi="Arial"/>
          <w:color w:val="auto"/>
        </w:rPr>
        <w:t xml:space="preserve"> health risk assessment of PM, O</w:t>
      </w:r>
      <w:r w:rsidR="00E41941" w:rsidRPr="007428E2">
        <w:rPr>
          <w:rFonts w:ascii="Arial" w:hAnsi="Arial"/>
          <w:color w:val="auto"/>
          <w:vertAlign w:val="subscript"/>
        </w:rPr>
        <w:t>3</w:t>
      </w:r>
      <w:r w:rsidR="00CA0D37" w:rsidRPr="007428E2">
        <w:rPr>
          <w:rFonts w:ascii="Arial" w:hAnsi="Arial"/>
          <w:color w:val="auto"/>
        </w:rPr>
        <w:t>, NO</w:t>
      </w:r>
      <w:r w:rsidR="00CA0D37" w:rsidRPr="007428E2">
        <w:rPr>
          <w:rFonts w:ascii="Arial" w:hAnsi="Arial"/>
          <w:color w:val="auto"/>
          <w:vertAlign w:val="subscript"/>
        </w:rPr>
        <w:t>2</w:t>
      </w:r>
      <w:r w:rsidR="00CB13ED" w:rsidRPr="007428E2">
        <w:rPr>
          <w:rFonts w:ascii="Arial" w:hAnsi="Arial"/>
          <w:color w:val="auto"/>
        </w:rPr>
        <w:t xml:space="preserve"> </w:t>
      </w:r>
      <w:r w:rsidR="00CA0D37" w:rsidRPr="007428E2">
        <w:rPr>
          <w:rFonts w:ascii="Arial" w:hAnsi="Arial"/>
          <w:color w:val="auto"/>
        </w:rPr>
        <w:t>and SO</w:t>
      </w:r>
      <w:r w:rsidR="00CA0D37" w:rsidRPr="007428E2">
        <w:rPr>
          <w:rFonts w:ascii="Arial" w:hAnsi="Arial"/>
          <w:color w:val="auto"/>
          <w:vertAlign w:val="subscript"/>
        </w:rPr>
        <w:t xml:space="preserve">2 </w:t>
      </w:r>
      <w:r w:rsidR="00CA0D37" w:rsidRPr="007428E2">
        <w:rPr>
          <w:rFonts w:ascii="Arial" w:hAnsi="Arial"/>
          <w:color w:val="auto"/>
        </w:rPr>
        <w:t>(referred to hereafter as the ‘HRA project’)</w:t>
      </w:r>
      <w:r w:rsidR="00CA0D37" w:rsidRPr="007428E2">
        <w:rPr>
          <w:rFonts w:ascii="Arial" w:hAnsi="Arial"/>
          <w:b/>
          <w:color w:val="auto"/>
        </w:rPr>
        <w:t xml:space="preserve"> (</w:t>
      </w:r>
      <w:proofErr w:type="spellStart"/>
      <w:r w:rsidR="00CA0D37" w:rsidRPr="007428E2">
        <w:rPr>
          <w:rFonts w:ascii="Arial" w:hAnsi="Arial"/>
          <w:b/>
          <w:color w:val="auto"/>
        </w:rPr>
        <w:t>Frangos</w:t>
      </w:r>
      <w:proofErr w:type="spellEnd"/>
      <w:r w:rsidR="00CA0D37" w:rsidRPr="007428E2">
        <w:rPr>
          <w:rFonts w:ascii="Arial" w:hAnsi="Arial"/>
          <w:b/>
          <w:color w:val="auto"/>
        </w:rPr>
        <w:t xml:space="preserve"> </w:t>
      </w:r>
      <w:r w:rsidRPr="007428E2">
        <w:rPr>
          <w:rFonts w:ascii="Arial" w:hAnsi="Arial"/>
          <w:b/>
          <w:color w:val="auto"/>
        </w:rPr>
        <w:t xml:space="preserve">&amp; </w:t>
      </w:r>
      <w:proofErr w:type="spellStart"/>
      <w:r w:rsidR="00CA0D37" w:rsidRPr="007428E2">
        <w:rPr>
          <w:rFonts w:ascii="Arial" w:hAnsi="Arial"/>
          <w:b/>
          <w:color w:val="auto"/>
        </w:rPr>
        <w:t>DiMarco</w:t>
      </w:r>
      <w:proofErr w:type="spellEnd"/>
      <w:r w:rsidR="00CA0D37" w:rsidRPr="007428E2">
        <w:rPr>
          <w:rFonts w:ascii="Arial" w:hAnsi="Arial"/>
          <w:b/>
          <w:color w:val="auto"/>
        </w:rPr>
        <w:t xml:space="preserve"> 201</w:t>
      </w:r>
      <w:r w:rsidR="00F767DE" w:rsidRPr="007428E2">
        <w:rPr>
          <w:rFonts w:ascii="Arial" w:hAnsi="Arial"/>
          <w:b/>
          <w:color w:val="auto"/>
        </w:rPr>
        <w:t>3</w:t>
      </w:r>
      <w:r w:rsidR="00CA0D37" w:rsidRPr="007428E2">
        <w:rPr>
          <w:rFonts w:ascii="Arial" w:hAnsi="Arial"/>
          <w:b/>
          <w:color w:val="auto"/>
        </w:rPr>
        <w:t>)</w:t>
      </w:r>
      <w:r w:rsidR="00515E2D" w:rsidRPr="007428E2">
        <w:rPr>
          <w:rFonts w:ascii="Arial" w:hAnsi="Arial"/>
          <w:color w:val="auto"/>
        </w:rPr>
        <w:t xml:space="preserve">. A </w:t>
      </w:r>
      <w:r w:rsidR="00515E2D" w:rsidRPr="00C80641">
        <w:rPr>
          <w:rFonts w:ascii="Arial" w:hAnsi="Arial"/>
          <w:i/>
          <w:color w:val="auto"/>
        </w:rPr>
        <w:t>Summary for Policy Makers</w:t>
      </w:r>
      <w:r w:rsidR="00B97CB8" w:rsidRPr="00C80641">
        <w:rPr>
          <w:rFonts w:ascii="Arial" w:hAnsi="Arial"/>
          <w:i/>
          <w:color w:val="auto"/>
        </w:rPr>
        <w:t xml:space="preserve"> of the Health Risk Assessment on Air Pollution in Australia</w:t>
      </w:r>
      <w:r w:rsidR="00CA0D37" w:rsidRPr="007428E2">
        <w:rPr>
          <w:rFonts w:ascii="Arial" w:hAnsi="Arial"/>
          <w:color w:val="auto"/>
        </w:rPr>
        <w:t xml:space="preserve"> has also been produced to assist in the communication of the technical content of the HRA project for the purpose of policy development</w:t>
      </w:r>
      <w:r w:rsidR="00B97CB8" w:rsidRPr="007428E2">
        <w:rPr>
          <w:rFonts w:ascii="Arial" w:hAnsi="Arial"/>
          <w:color w:val="auto"/>
        </w:rPr>
        <w:t xml:space="preserve"> (referred to hereafter as the ‘Summary for Policy Makers’)</w:t>
      </w:r>
      <w:r w:rsidR="00CA0D37" w:rsidRPr="007428E2">
        <w:rPr>
          <w:rFonts w:ascii="Arial" w:hAnsi="Arial"/>
          <w:color w:val="auto"/>
        </w:rPr>
        <w:t xml:space="preserve"> </w:t>
      </w:r>
      <w:r w:rsidR="00CA0D37" w:rsidRPr="007428E2">
        <w:rPr>
          <w:rFonts w:ascii="Arial" w:hAnsi="Arial"/>
          <w:b/>
          <w:color w:val="auto"/>
        </w:rPr>
        <w:t>(Morgan et al. 2013)</w:t>
      </w:r>
    </w:p>
    <w:p w:rsidR="00CA0D37" w:rsidRPr="007428E2" w:rsidRDefault="00873F52" w:rsidP="005E134D">
      <w:pPr>
        <w:pStyle w:val="BulletArrows"/>
        <w:numPr>
          <w:ilvl w:val="1"/>
          <w:numId w:val="3"/>
        </w:numPr>
        <w:tabs>
          <w:tab w:val="clear" w:pos="1800"/>
          <w:tab w:val="num" w:pos="993"/>
        </w:tabs>
        <w:spacing w:after="240"/>
        <w:ind w:left="993" w:hanging="284"/>
        <w:rPr>
          <w:rFonts w:ascii="Arial" w:hAnsi="Arial"/>
        </w:rPr>
      </w:pPr>
      <w:proofErr w:type="gramStart"/>
      <w:r w:rsidRPr="007428E2">
        <w:rPr>
          <w:rFonts w:ascii="Arial" w:hAnsi="Arial"/>
          <w:color w:val="auto"/>
        </w:rPr>
        <w:t>a</w:t>
      </w:r>
      <w:r w:rsidR="00CA0D37" w:rsidRPr="007428E2">
        <w:rPr>
          <w:rFonts w:ascii="Arial" w:hAnsi="Arial"/>
          <w:color w:val="auto"/>
        </w:rPr>
        <w:t>n</w:t>
      </w:r>
      <w:proofErr w:type="gramEnd"/>
      <w:r w:rsidR="00CA0D37" w:rsidRPr="007428E2">
        <w:rPr>
          <w:rFonts w:ascii="Arial" w:hAnsi="Arial"/>
          <w:color w:val="auto"/>
        </w:rPr>
        <w:t xml:space="preserve"> economic analysis of a range of potential air quality standards for PM</w:t>
      </w:r>
      <w:r w:rsidR="00CA0D37" w:rsidRPr="007428E2">
        <w:rPr>
          <w:rFonts w:ascii="Arial" w:hAnsi="Arial"/>
          <w:color w:val="auto"/>
          <w:vertAlign w:val="subscript"/>
        </w:rPr>
        <w:t>2.5</w:t>
      </w:r>
      <w:r w:rsidR="00CA0D37" w:rsidRPr="007428E2">
        <w:rPr>
          <w:rFonts w:ascii="Arial" w:hAnsi="Arial"/>
          <w:color w:val="auto"/>
        </w:rPr>
        <w:t xml:space="preserve"> and PM</w:t>
      </w:r>
      <w:r w:rsidR="00CA0D37" w:rsidRPr="007428E2">
        <w:rPr>
          <w:rFonts w:ascii="Arial" w:hAnsi="Arial"/>
          <w:color w:val="auto"/>
          <w:vertAlign w:val="subscript"/>
        </w:rPr>
        <w:t>10</w:t>
      </w:r>
      <w:r w:rsidR="00CA0D37" w:rsidRPr="007428E2">
        <w:rPr>
          <w:rFonts w:ascii="Arial" w:hAnsi="Arial"/>
          <w:color w:val="auto"/>
        </w:rPr>
        <w:t xml:space="preserve">, with consideration of an exposure-reduction framework and PM-abatement measures (referred to hereafter as the ‘Economic Analysis project’) </w:t>
      </w:r>
      <w:r w:rsidR="00CA0D37" w:rsidRPr="007428E2">
        <w:rPr>
          <w:rFonts w:ascii="Arial" w:hAnsi="Arial"/>
          <w:b/>
          <w:color w:val="auto"/>
        </w:rPr>
        <w:t xml:space="preserve">(Boulter </w:t>
      </w:r>
      <w:r w:rsidRPr="007428E2">
        <w:rPr>
          <w:rFonts w:ascii="Arial" w:hAnsi="Arial"/>
          <w:b/>
          <w:color w:val="auto"/>
        </w:rPr>
        <w:t xml:space="preserve">&amp; </w:t>
      </w:r>
      <w:r w:rsidR="00CA0D37" w:rsidRPr="007428E2">
        <w:rPr>
          <w:rFonts w:ascii="Arial" w:hAnsi="Arial"/>
          <w:b/>
          <w:color w:val="auto"/>
        </w:rPr>
        <w:t>Kulkarni 2013)</w:t>
      </w:r>
      <w:r w:rsidR="00CA0D37" w:rsidRPr="007428E2">
        <w:rPr>
          <w:rFonts w:ascii="Arial" w:hAnsi="Arial"/>
          <w:color w:val="auto"/>
        </w:rPr>
        <w:t xml:space="preserve">. </w:t>
      </w:r>
    </w:p>
    <w:p w:rsidR="00DA611D" w:rsidRPr="007428E2" w:rsidRDefault="00DA611D" w:rsidP="003B3998">
      <w:pPr>
        <w:pStyle w:val="BulletArrows"/>
        <w:rPr>
          <w:rFonts w:ascii="Arial" w:hAnsi="Arial"/>
        </w:rPr>
      </w:pPr>
      <w:r w:rsidRPr="007428E2">
        <w:rPr>
          <w:rFonts w:ascii="Arial" w:hAnsi="Arial"/>
        </w:rPr>
        <w:t>A wide range of additional material was also considered, including work undertaken to support air quality management policy</w:t>
      </w:r>
      <w:r w:rsidR="00F45024" w:rsidRPr="007428E2">
        <w:rPr>
          <w:rFonts w:ascii="Arial" w:hAnsi="Arial"/>
        </w:rPr>
        <w:t>,</w:t>
      </w:r>
      <w:r w:rsidRPr="007428E2">
        <w:rPr>
          <w:rFonts w:ascii="Arial" w:hAnsi="Arial"/>
        </w:rPr>
        <w:t xml:space="preserve"> both in </w:t>
      </w:r>
      <w:r w:rsidR="008A053E" w:rsidRPr="007428E2">
        <w:rPr>
          <w:rFonts w:ascii="Arial" w:hAnsi="Arial"/>
        </w:rPr>
        <w:t>Australia and overseas</w:t>
      </w:r>
      <w:r w:rsidR="00F45024" w:rsidRPr="007428E2">
        <w:rPr>
          <w:rFonts w:ascii="Arial" w:hAnsi="Arial"/>
        </w:rPr>
        <w:t>,</w:t>
      </w:r>
      <w:r w:rsidR="008A053E" w:rsidRPr="007428E2">
        <w:rPr>
          <w:rFonts w:ascii="Arial" w:hAnsi="Arial"/>
        </w:rPr>
        <w:t xml:space="preserve"> and</w:t>
      </w:r>
      <w:r w:rsidRPr="007428E2">
        <w:rPr>
          <w:rFonts w:ascii="Arial" w:hAnsi="Arial"/>
        </w:rPr>
        <w:t xml:space="preserve"> the peer-reviewed</w:t>
      </w:r>
      <w:r w:rsidR="00E551FE" w:rsidRPr="007428E2">
        <w:rPr>
          <w:rFonts w:ascii="Arial" w:hAnsi="Arial"/>
        </w:rPr>
        <w:t xml:space="preserve"> scientific literature.</w:t>
      </w:r>
    </w:p>
    <w:p w:rsidR="00F052DA" w:rsidRPr="007428E2" w:rsidRDefault="00FA4C0F" w:rsidP="00FA4C0F">
      <w:pPr>
        <w:pStyle w:val="Heading2"/>
        <w:rPr>
          <w:rFonts w:ascii="Arial" w:hAnsi="Arial"/>
        </w:rPr>
      </w:pPr>
      <w:bookmarkStart w:id="9" w:name="_Toc394011070"/>
      <w:r w:rsidRPr="007428E2">
        <w:rPr>
          <w:rFonts w:ascii="Arial" w:hAnsi="Arial"/>
        </w:rPr>
        <w:t xml:space="preserve">Scope and </w:t>
      </w:r>
      <w:r w:rsidR="00F052DA" w:rsidRPr="007428E2">
        <w:rPr>
          <w:rFonts w:ascii="Arial" w:hAnsi="Arial"/>
        </w:rPr>
        <w:t>structure</w:t>
      </w:r>
      <w:r w:rsidRPr="007428E2">
        <w:rPr>
          <w:rFonts w:ascii="Arial" w:hAnsi="Arial"/>
        </w:rPr>
        <w:t xml:space="preserve"> of </w:t>
      </w:r>
      <w:r w:rsidR="00873F52" w:rsidRPr="007428E2">
        <w:rPr>
          <w:rFonts w:ascii="Arial" w:hAnsi="Arial"/>
        </w:rPr>
        <w:t xml:space="preserve">the </w:t>
      </w:r>
      <w:r w:rsidR="00B05D93" w:rsidRPr="007428E2">
        <w:rPr>
          <w:rFonts w:ascii="Arial" w:hAnsi="Arial"/>
        </w:rPr>
        <w:t>Impact Statement</w:t>
      </w:r>
      <w:bookmarkEnd w:id="9"/>
    </w:p>
    <w:p w:rsidR="006C1023" w:rsidRPr="007428E2" w:rsidRDefault="00B13108" w:rsidP="009B4764">
      <w:pPr>
        <w:spacing w:after="220"/>
        <w:rPr>
          <w:rFonts w:ascii="Arial" w:hAnsi="Arial" w:cs="Arial"/>
        </w:rPr>
      </w:pPr>
      <w:r w:rsidRPr="007428E2">
        <w:rPr>
          <w:rFonts w:ascii="Arial" w:hAnsi="Arial" w:cs="Arial"/>
        </w:rPr>
        <w:t xml:space="preserve">When developing air quality standards a ‘weight-of-evidence’ approach is typically used. Health studies play a central role, but the NEPC Act also requires an analysis of </w:t>
      </w:r>
      <w:r w:rsidR="004044AF" w:rsidRPr="007428E2">
        <w:rPr>
          <w:rFonts w:ascii="Arial" w:hAnsi="Arial" w:cs="Arial"/>
        </w:rPr>
        <w:t xml:space="preserve">environmental, </w:t>
      </w:r>
      <w:r w:rsidRPr="007428E2">
        <w:rPr>
          <w:rFonts w:ascii="Arial" w:hAnsi="Arial" w:cs="Arial"/>
        </w:rPr>
        <w:t xml:space="preserve">economic </w:t>
      </w:r>
      <w:r w:rsidR="004044AF" w:rsidRPr="007428E2">
        <w:rPr>
          <w:rFonts w:ascii="Arial" w:hAnsi="Arial" w:cs="Arial"/>
        </w:rPr>
        <w:t xml:space="preserve">and social </w:t>
      </w:r>
      <w:r w:rsidRPr="007428E2">
        <w:rPr>
          <w:rFonts w:ascii="Arial" w:hAnsi="Arial" w:cs="Arial"/>
        </w:rPr>
        <w:t xml:space="preserve">factors </w:t>
      </w:r>
      <w:r w:rsidRPr="007428E2">
        <w:rPr>
          <w:rFonts w:ascii="Arial" w:hAnsi="Arial" w:cs="Arial"/>
          <w:b/>
        </w:rPr>
        <w:t>(NEPC 2011b)</w:t>
      </w:r>
      <w:r w:rsidR="006D793D" w:rsidRPr="007428E2">
        <w:rPr>
          <w:rFonts w:ascii="Arial" w:hAnsi="Arial" w:cs="Arial"/>
        </w:rPr>
        <w:t xml:space="preserve">. </w:t>
      </w:r>
      <w:r w:rsidR="00366E75" w:rsidRPr="007428E2">
        <w:rPr>
          <w:rFonts w:ascii="Arial" w:hAnsi="Arial" w:cs="Arial"/>
        </w:rPr>
        <w:t xml:space="preserve">The </w:t>
      </w:r>
      <w:r w:rsidR="00B05D93" w:rsidRPr="007428E2">
        <w:rPr>
          <w:rFonts w:ascii="Arial" w:hAnsi="Arial"/>
        </w:rPr>
        <w:t>Impact Statement</w:t>
      </w:r>
      <w:r w:rsidR="00874AA3" w:rsidRPr="007428E2">
        <w:rPr>
          <w:rFonts w:ascii="Arial" w:hAnsi="Arial" w:cs="Arial"/>
        </w:rPr>
        <w:t xml:space="preserve"> </w:t>
      </w:r>
      <w:r w:rsidR="006D793D" w:rsidRPr="007428E2">
        <w:rPr>
          <w:rFonts w:ascii="Arial" w:hAnsi="Arial" w:cs="Arial"/>
        </w:rPr>
        <w:t xml:space="preserve">therefore </w:t>
      </w:r>
      <w:r w:rsidR="006C5768" w:rsidRPr="007428E2">
        <w:rPr>
          <w:rFonts w:ascii="Arial" w:hAnsi="Arial" w:cs="Arial"/>
        </w:rPr>
        <w:t>presents the available information</w:t>
      </w:r>
      <w:r w:rsidR="00DE792D" w:rsidRPr="007428E2">
        <w:rPr>
          <w:rFonts w:ascii="Arial" w:hAnsi="Arial" w:cs="Arial"/>
        </w:rPr>
        <w:t xml:space="preserve"> </w:t>
      </w:r>
      <w:r w:rsidR="006C5768" w:rsidRPr="007428E2">
        <w:rPr>
          <w:rFonts w:ascii="Arial" w:hAnsi="Arial" w:cs="Arial"/>
        </w:rPr>
        <w:t xml:space="preserve">on </w:t>
      </w:r>
      <w:r w:rsidR="006D793D" w:rsidRPr="007428E2">
        <w:rPr>
          <w:rFonts w:ascii="Arial" w:hAnsi="Arial" w:cs="Arial"/>
        </w:rPr>
        <w:t xml:space="preserve">each of these aspects in relation to </w:t>
      </w:r>
      <w:r w:rsidRPr="007428E2">
        <w:rPr>
          <w:rFonts w:ascii="Arial" w:hAnsi="Arial" w:cs="Arial"/>
        </w:rPr>
        <w:t>specific</w:t>
      </w:r>
      <w:r w:rsidR="00D5282A" w:rsidRPr="007428E2">
        <w:rPr>
          <w:rFonts w:ascii="Arial" w:hAnsi="Arial" w:cs="Arial"/>
        </w:rPr>
        <w:t xml:space="preserve"> </w:t>
      </w:r>
      <w:r w:rsidR="00DE792D" w:rsidRPr="007428E2">
        <w:rPr>
          <w:rFonts w:ascii="Arial" w:hAnsi="Arial" w:cs="Arial"/>
        </w:rPr>
        <w:t xml:space="preserve">options for varying the </w:t>
      </w:r>
      <w:r w:rsidR="00EF24F8" w:rsidRPr="007428E2">
        <w:rPr>
          <w:rFonts w:ascii="Arial" w:hAnsi="Arial" w:cs="Arial"/>
        </w:rPr>
        <w:t>AAQ NEPM</w:t>
      </w:r>
      <w:r w:rsidR="00DE792D" w:rsidRPr="007428E2">
        <w:rPr>
          <w:rFonts w:ascii="Arial" w:hAnsi="Arial" w:cs="Arial"/>
        </w:rPr>
        <w:t xml:space="preserve"> standards for PM.</w:t>
      </w:r>
      <w:r w:rsidR="00874AA3" w:rsidRPr="007428E2">
        <w:rPr>
          <w:rFonts w:ascii="Arial" w:hAnsi="Arial" w:cs="Arial"/>
        </w:rPr>
        <w:t xml:space="preserve"> </w:t>
      </w:r>
    </w:p>
    <w:p w:rsidR="00853FD4" w:rsidRPr="007428E2" w:rsidRDefault="000B44D2" w:rsidP="004A3842">
      <w:pPr>
        <w:spacing w:after="160"/>
        <w:rPr>
          <w:rFonts w:ascii="Arial" w:hAnsi="Arial" w:cs="Arial"/>
        </w:rPr>
      </w:pPr>
      <w:r w:rsidRPr="007428E2">
        <w:rPr>
          <w:rFonts w:ascii="Arial" w:hAnsi="Arial" w:cs="Arial"/>
        </w:rPr>
        <w:lastRenderedPageBreak/>
        <w:t>The</w:t>
      </w:r>
      <w:r w:rsidR="009B4764" w:rsidRPr="007428E2">
        <w:rPr>
          <w:rFonts w:ascii="Arial" w:hAnsi="Arial" w:cs="Arial"/>
        </w:rPr>
        <w:t xml:space="preserve"> analy</w:t>
      </w:r>
      <w:r w:rsidR="00B13108" w:rsidRPr="007428E2">
        <w:rPr>
          <w:rFonts w:ascii="Arial" w:hAnsi="Arial" w:cs="Arial"/>
        </w:rPr>
        <w:t xml:space="preserve">sis </w:t>
      </w:r>
      <w:r w:rsidRPr="007428E2">
        <w:rPr>
          <w:rFonts w:ascii="Arial" w:hAnsi="Arial" w:cs="Arial"/>
        </w:rPr>
        <w:t>takes into account</w:t>
      </w:r>
      <w:r w:rsidR="009B4764" w:rsidRPr="007428E2">
        <w:rPr>
          <w:rFonts w:ascii="Arial" w:hAnsi="Arial" w:cs="Arial"/>
        </w:rPr>
        <w:t xml:space="preserve"> some, but</w:t>
      </w:r>
      <w:r w:rsidR="003F55FC" w:rsidRPr="007428E2">
        <w:rPr>
          <w:rFonts w:ascii="Arial" w:hAnsi="Arial" w:cs="Arial"/>
        </w:rPr>
        <w:t xml:space="preserve"> not all, of the </w:t>
      </w:r>
      <w:r w:rsidR="005E134D" w:rsidRPr="007428E2">
        <w:rPr>
          <w:rFonts w:ascii="Arial" w:hAnsi="Arial" w:cs="Arial"/>
        </w:rPr>
        <w:t>recommendations</w:t>
      </w:r>
      <w:r w:rsidR="009B4764" w:rsidRPr="007428E2">
        <w:rPr>
          <w:rFonts w:ascii="Arial" w:hAnsi="Arial" w:cs="Arial"/>
        </w:rPr>
        <w:t xml:space="preserve"> of the </w:t>
      </w:r>
      <w:r w:rsidR="00EF24F8" w:rsidRPr="007428E2">
        <w:rPr>
          <w:rFonts w:ascii="Arial" w:hAnsi="Arial" w:cs="Arial"/>
        </w:rPr>
        <w:t>AAQ NEPM</w:t>
      </w:r>
      <w:r w:rsidR="009B4764" w:rsidRPr="007428E2">
        <w:rPr>
          <w:rFonts w:ascii="Arial" w:hAnsi="Arial" w:cs="Arial"/>
        </w:rPr>
        <w:t xml:space="preserve"> review</w:t>
      </w:r>
      <w:r w:rsidR="005E134D" w:rsidRPr="007428E2">
        <w:rPr>
          <w:rFonts w:ascii="Arial" w:hAnsi="Arial" w:cs="Arial"/>
        </w:rPr>
        <w:t xml:space="preserve">. The scope of the </w:t>
      </w:r>
      <w:r w:rsidR="00B05D93" w:rsidRPr="007428E2">
        <w:rPr>
          <w:rFonts w:ascii="Arial" w:hAnsi="Arial"/>
        </w:rPr>
        <w:t>Impact Statement</w:t>
      </w:r>
      <w:r w:rsidR="005E134D" w:rsidRPr="007428E2">
        <w:rPr>
          <w:rFonts w:ascii="Arial" w:hAnsi="Arial" w:cs="Arial"/>
        </w:rPr>
        <w:t xml:space="preserve"> is defined in terms of the </w:t>
      </w:r>
      <w:r w:rsidR="00EF24F8" w:rsidRPr="007428E2">
        <w:rPr>
          <w:rFonts w:ascii="Arial" w:hAnsi="Arial" w:cs="Arial"/>
        </w:rPr>
        <w:t>AAQ NEPM</w:t>
      </w:r>
      <w:r w:rsidR="005E134D" w:rsidRPr="007428E2">
        <w:rPr>
          <w:rFonts w:ascii="Arial" w:hAnsi="Arial" w:cs="Arial"/>
        </w:rPr>
        <w:t xml:space="preserve"> </w:t>
      </w:r>
      <w:r w:rsidR="00463854" w:rsidRPr="007428E2">
        <w:rPr>
          <w:rFonts w:ascii="Arial" w:hAnsi="Arial" w:cs="Arial"/>
        </w:rPr>
        <w:t xml:space="preserve">review </w:t>
      </w:r>
      <w:r w:rsidR="005E134D" w:rsidRPr="007428E2">
        <w:rPr>
          <w:rFonts w:ascii="Arial" w:hAnsi="Arial" w:cs="Arial"/>
        </w:rPr>
        <w:t xml:space="preserve">recommendations in </w:t>
      </w:r>
      <w:r w:rsidR="009B4764" w:rsidRPr="007428E2">
        <w:rPr>
          <w:rFonts w:ascii="Arial" w:hAnsi="Arial" w:cs="Arial"/>
          <w:b/>
        </w:rPr>
        <w:t>Appendix A</w:t>
      </w:r>
      <w:r w:rsidR="00D76611" w:rsidRPr="007428E2">
        <w:rPr>
          <w:rFonts w:ascii="Arial" w:hAnsi="Arial" w:cs="Arial"/>
        </w:rPr>
        <w:t xml:space="preserve">, which summarises how each recommendation has been considered in the </w:t>
      </w:r>
      <w:r w:rsidR="00B05D93" w:rsidRPr="007428E2">
        <w:rPr>
          <w:rFonts w:ascii="Arial" w:hAnsi="Arial"/>
        </w:rPr>
        <w:t>Impact Statement</w:t>
      </w:r>
      <w:r w:rsidR="009B4764" w:rsidRPr="007428E2">
        <w:rPr>
          <w:rFonts w:ascii="Arial" w:hAnsi="Arial" w:cs="Arial"/>
        </w:rPr>
        <w:t>.</w:t>
      </w:r>
    </w:p>
    <w:p w:rsidR="00853FD4" w:rsidRPr="007428E2" w:rsidRDefault="00853FD4" w:rsidP="00853FD4">
      <w:pPr>
        <w:spacing w:after="140"/>
        <w:rPr>
          <w:rFonts w:ascii="Arial" w:hAnsi="Arial" w:cs="Arial"/>
        </w:rPr>
      </w:pPr>
      <w:r w:rsidRPr="007428E2">
        <w:rPr>
          <w:rFonts w:ascii="Arial" w:hAnsi="Arial" w:cs="Arial"/>
        </w:rPr>
        <w:t xml:space="preserve">Key issues addressed by this </w:t>
      </w:r>
      <w:r w:rsidR="00F45024" w:rsidRPr="007428E2">
        <w:rPr>
          <w:rFonts w:ascii="Arial" w:hAnsi="Arial" w:cs="Arial"/>
        </w:rPr>
        <w:t xml:space="preserve">Impact Statement </w:t>
      </w:r>
      <w:r w:rsidRPr="007428E2">
        <w:rPr>
          <w:rFonts w:ascii="Arial" w:hAnsi="Arial" w:cs="Arial"/>
        </w:rPr>
        <w:t>include:</w:t>
      </w:r>
    </w:p>
    <w:p w:rsidR="004A3842" w:rsidRPr="007428E2" w:rsidRDefault="00873F52" w:rsidP="006A5626">
      <w:pPr>
        <w:pStyle w:val="BulletArrows"/>
        <w:numPr>
          <w:ilvl w:val="0"/>
          <w:numId w:val="50"/>
        </w:numPr>
        <w:spacing w:after="180"/>
        <w:rPr>
          <w:rFonts w:ascii="Arial" w:hAnsi="Arial"/>
        </w:rPr>
      </w:pPr>
      <w:r w:rsidRPr="007428E2">
        <w:rPr>
          <w:rFonts w:ascii="Arial" w:hAnsi="Arial"/>
        </w:rPr>
        <w:t>t</w:t>
      </w:r>
      <w:r w:rsidR="004A3842" w:rsidRPr="007428E2">
        <w:rPr>
          <w:rFonts w:ascii="Arial" w:hAnsi="Arial"/>
        </w:rPr>
        <w:t>he metrics used to quantify PM in the AAQ NEPM</w:t>
      </w:r>
    </w:p>
    <w:p w:rsidR="004A3842" w:rsidRPr="007428E2" w:rsidRDefault="00873F52" w:rsidP="006A5626">
      <w:pPr>
        <w:pStyle w:val="BulletArrows"/>
        <w:numPr>
          <w:ilvl w:val="0"/>
          <w:numId w:val="50"/>
        </w:numPr>
        <w:spacing w:after="180"/>
        <w:rPr>
          <w:rFonts w:ascii="Arial" w:hAnsi="Arial"/>
        </w:rPr>
      </w:pPr>
      <w:r w:rsidRPr="007428E2">
        <w:rPr>
          <w:rFonts w:ascii="Arial" w:hAnsi="Arial"/>
        </w:rPr>
        <w:t>t</w:t>
      </w:r>
      <w:r w:rsidR="004A3842" w:rsidRPr="007428E2">
        <w:rPr>
          <w:rFonts w:ascii="Arial" w:hAnsi="Arial"/>
        </w:rPr>
        <w:t>he numerical values of the PM standards</w:t>
      </w:r>
    </w:p>
    <w:p w:rsidR="004A3842" w:rsidRPr="007428E2" w:rsidRDefault="00873F52" w:rsidP="006A5626">
      <w:pPr>
        <w:pStyle w:val="BulletArrows"/>
        <w:numPr>
          <w:ilvl w:val="0"/>
          <w:numId w:val="50"/>
        </w:numPr>
        <w:spacing w:after="180"/>
        <w:rPr>
          <w:rFonts w:ascii="Arial" w:hAnsi="Arial"/>
        </w:rPr>
      </w:pPr>
      <w:r w:rsidRPr="007428E2">
        <w:rPr>
          <w:rFonts w:ascii="Arial" w:hAnsi="Arial"/>
        </w:rPr>
        <w:t>t</w:t>
      </w:r>
      <w:r w:rsidR="004A3842" w:rsidRPr="007428E2">
        <w:rPr>
          <w:rFonts w:ascii="Arial" w:hAnsi="Arial"/>
        </w:rPr>
        <w:t>he form of the PM standards (e.g. allowed exceedances)</w:t>
      </w:r>
    </w:p>
    <w:p w:rsidR="004A3842" w:rsidRPr="007428E2" w:rsidRDefault="00873F52" w:rsidP="006A5626">
      <w:pPr>
        <w:pStyle w:val="BulletArrows"/>
        <w:numPr>
          <w:ilvl w:val="0"/>
          <w:numId w:val="50"/>
        </w:numPr>
        <w:spacing w:after="240"/>
        <w:rPr>
          <w:rFonts w:ascii="Arial" w:hAnsi="Arial"/>
        </w:rPr>
      </w:pPr>
      <w:proofErr w:type="gramStart"/>
      <w:r w:rsidRPr="007428E2">
        <w:rPr>
          <w:rFonts w:ascii="Arial" w:hAnsi="Arial"/>
        </w:rPr>
        <w:t>t</w:t>
      </w:r>
      <w:r w:rsidR="004A3842" w:rsidRPr="007428E2">
        <w:rPr>
          <w:rFonts w:ascii="Arial" w:hAnsi="Arial"/>
        </w:rPr>
        <w:t>he</w:t>
      </w:r>
      <w:proofErr w:type="gramEnd"/>
      <w:r w:rsidR="004A3842" w:rsidRPr="007428E2">
        <w:rPr>
          <w:rFonts w:ascii="Arial" w:hAnsi="Arial"/>
        </w:rPr>
        <w:t xml:space="preserve"> options for an exposure-reduction framework for PM.</w:t>
      </w:r>
    </w:p>
    <w:p w:rsidR="00853FD4" w:rsidRPr="007428E2" w:rsidRDefault="00853FD4" w:rsidP="00853FD4">
      <w:pPr>
        <w:pStyle w:val="BulletArrows"/>
        <w:rPr>
          <w:rFonts w:ascii="Arial" w:hAnsi="Arial"/>
        </w:rPr>
      </w:pPr>
      <w:r w:rsidRPr="007428E2">
        <w:rPr>
          <w:rFonts w:ascii="Arial" w:hAnsi="Arial"/>
        </w:rPr>
        <w:t xml:space="preserve">Other recommendations concerning specific technical matters (e.g. monitoring methods and protocols, site locations) are being considered through existing processes, and are outside the scope of this </w:t>
      </w:r>
      <w:r w:rsidR="00B05D93" w:rsidRPr="007428E2">
        <w:rPr>
          <w:rFonts w:ascii="Arial" w:hAnsi="Arial"/>
        </w:rPr>
        <w:t>Impact Statement</w:t>
      </w:r>
      <w:r w:rsidRPr="007428E2">
        <w:rPr>
          <w:rFonts w:ascii="Arial" w:hAnsi="Arial"/>
        </w:rPr>
        <w:t>.</w:t>
      </w:r>
    </w:p>
    <w:p w:rsidR="00DE792D" w:rsidRPr="007428E2" w:rsidRDefault="00874AA3" w:rsidP="00B13108">
      <w:pPr>
        <w:spacing w:after="160"/>
        <w:rPr>
          <w:rFonts w:ascii="Arial" w:hAnsi="Arial" w:cs="Arial"/>
        </w:rPr>
      </w:pPr>
      <w:r w:rsidRPr="007428E2">
        <w:rPr>
          <w:rFonts w:ascii="Arial" w:hAnsi="Arial" w:cs="Arial"/>
        </w:rPr>
        <w:t>The r</w:t>
      </w:r>
      <w:r w:rsidR="00366E75" w:rsidRPr="007428E2">
        <w:rPr>
          <w:rFonts w:ascii="Arial" w:hAnsi="Arial" w:cs="Arial"/>
        </w:rPr>
        <w:t xml:space="preserve">emaining </w:t>
      </w:r>
      <w:r w:rsidR="00873F52" w:rsidRPr="007428E2">
        <w:rPr>
          <w:rFonts w:ascii="Arial" w:hAnsi="Arial" w:cs="Arial"/>
        </w:rPr>
        <w:t>c</w:t>
      </w:r>
      <w:r w:rsidR="00366E75" w:rsidRPr="007428E2">
        <w:rPr>
          <w:rFonts w:ascii="Arial" w:hAnsi="Arial" w:cs="Arial"/>
        </w:rPr>
        <w:t xml:space="preserve">hapters </w:t>
      </w:r>
      <w:r w:rsidR="009B4764" w:rsidRPr="007428E2">
        <w:rPr>
          <w:rFonts w:ascii="Arial" w:hAnsi="Arial" w:cs="Arial"/>
        </w:rPr>
        <w:t xml:space="preserve">of the </w:t>
      </w:r>
      <w:r w:rsidR="00F45024" w:rsidRPr="007428E2">
        <w:rPr>
          <w:rFonts w:ascii="Arial" w:hAnsi="Arial" w:cs="Arial"/>
        </w:rPr>
        <w:t>Impact Statement</w:t>
      </w:r>
      <w:r w:rsidR="009B4764" w:rsidRPr="007428E2">
        <w:rPr>
          <w:rFonts w:ascii="Arial" w:hAnsi="Arial" w:cs="Arial"/>
        </w:rPr>
        <w:t xml:space="preserve"> </w:t>
      </w:r>
      <w:r w:rsidRPr="007428E2">
        <w:rPr>
          <w:rFonts w:ascii="Arial" w:hAnsi="Arial" w:cs="Arial"/>
        </w:rPr>
        <w:t>address the following aspects:</w:t>
      </w:r>
    </w:p>
    <w:p w:rsidR="006662E3" w:rsidRPr="007428E2" w:rsidRDefault="00873F52" w:rsidP="006A5626">
      <w:pPr>
        <w:pStyle w:val="BulletArrows"/>
        <w:numPr>
          <w:ilvl w:val="0"/>
          <w:numId w:val="57"/>
        </w:numPr>
        <w:spacing w:after="160"/>
        <w:rPr>
          <w:rFonts w:ascii="Arial" w:hAnsi="Arial"/>
        </w:rPr>
      </w:pPr>
      <w:proofErr w:type="gramStart"/>
      <w:r w:rsidRPr="007428E2">
        <w:rPr>
          <w:rFonts w:ascii="Arial" w:hAnsi="Arial"/>
        </w:rPr>
        <w:t>t</w:t>
      </w:r>
      <w:r w:rsidR="00AC5957" w:rsidRPr="007428E2">
        <w:rPr>
          <w:rFonts w:ascii="Arial" w:hAnsi="Arial"/>
        </w:rPr>
        <w:t>he</w:t>
      </w:r>
      <w:proofErr w:type="gramEnd"/>
      <w:r w:rsidR="00AC5957" w:rsidRPr="007428E2">
        <w:rPr>
          <w:rFonts w:ascii="Arial" w:hAnsi="Arial"/>
        </w:rPr>
        <w:t xml:space="preserve"> characteristics and measuremen</w:t>
      </w:r>
      <w:r w:rsidR="00B13108" w:rsidRPr="007428E2">
        <w:rPr>
          <w:rFonts w:ascii="Arial" w:hAnsi="Arial"/>
        </w:rPr>
        <w:t>t of airborne PM</w:t>
      </w:r>
      <w:r w:rsidR="006662E3" w:rsidRPr="007428E2">
        <w:rPr>
          <w:rFonts w:ascii="Arial" w:hAnsi="Arial"/>
        </w:rPr>
        <w:t xml:space="preserve"> (</w:t>
      </w:r>
      <w:r w:rsidR="006662E3" w:rsidRPr="007428E2">
        <w:rPr>
          <w:rFonts w:ascii="Arial" w:hAnsi="Arial"/>
          <w:b/>
        </w:rPr>
        <w:t>Chapter 2</w:t>
      </w:r>
      <w:r w:rsidR="006662E3" w:rsidRPr="007428E2">
        <w:rPr>
          <w:rFonts w:ascii="Arial" w:hAnsi="Arial"/>
        </w:rPr>
        <w:t>).</w:t>
      </w:r>
      <w:r w:rsidR="00B13108" w:rsidRPr="007428E2">
        <w:rPr>
          <w:rFonts w:ascii="Arial" w:hAnsi="Arial"/>
        </w:rPr>
        <w:t xml:space="preserve"> This </w:t>
      </w:r>
      <w:r w:rsidR="00986F8E" w:rsidRPr="007428E2">
        <w:rPr>
          <w:rFonts w:ascii="Arial" w:hAnsi="Arial"/>
        </w:rPr>
        <w:t>c</w:t>
      </w:r>
      <w:r w:rsidR="00B13108" w:rsidRPr="007428E2">
        <w:rPr>
          <w:rFonts w:ascii="Arial" w:hAnsi="Arial"/>
        </w:rPr>
        <w:t>hapter summarises the current understanding of the nature of PM, and raises some important issues</w:t>
      </w:r>
    </w:p>
    <w:p w:rsidR="00AC5957" w:rsidRPr="007428E2" w:rsidRDefault="00986F8E" w:rsidP="006A5626">
      <w:pPr>
        <w:pStyle w:val="BulletArrows"/>
        <w:numPr>
          <w:ilvl w:val="0"/>
          <w:numId w:val="57"/>
        </w:numPr>
        <w:spacing w:after="160"/>
        <w:rPr>
          <w:rFonts w:ascii="Arial" w:hAnsi="Arial"/>
        </w:rPr>
      </w:pPr>
      <w:proofErr w:type="gramStart"/>
      <w:r w:rsidRPr="007428E2">
        <w:rPr>
          <w:rFonts w:ascii="Arial" w:hAnsi="Arial"/>
        </w:rPr>
        <w:t>t</w:t>
      </w:r>
      <w:r w:rsidR="00AC5957" w:rsidRPr="007428E2">
        <w:rPr>
          <w:rFonts w:ascii="Arial" w:hAnsi="Arial"/>
        </w:rPr>
        <w:t>he</w:t>
      </w:r>
      <w:proofErr w:type="gramEnd"/>
      <w:r w:rsidR="00AC5957" w:rsidRPr="007428E2">
        <w:rPr>
          <w:rFonts w:ascii="Arial" w:hAnsi="Arial"/>
        </w:rPr>
        <w:t xml:space="preserve"> effects </w:t>
      </w:r>
      <w:r w:rsidR="00D5282A" w:rsidRPr="007428E2">
        <w:rPr>
          <w:rFonts w:ascii="Arial" w:hAnsi="Arial"/>
        </w:rPr>
        <w:t xml:space="preserve">and monetary costs </w:t>
      </w:r>
      <w:r w:rsidR="00B13108" w:rsidRPr="007428E2">
        <w:rPr>
          <w:rFonts w:ascii="Arial" w:hAnsi="Arial"/>
        </w:rPr>
        <w:t>of airborne PM</w:t>
      </w:r>
      <w:r w:rsidR="00AC5957" w:rsidRPr="007428E2">
        <w:rPr>
          <w:rFonts w:ascii="Arial" w:hAnsi="Arial"/>
        </w:rPr>
        <w:t xml:space="preserve"> (</w:t>
      </w:r>
      <w:r w:rsidR="00AC5957" w:rsidRPr="007428E2">
        <w:rPr>
          <w:rFonts w:ascii="Arial" w:hAnsi="Arial"/>
          <w:b/>
        </w:rPr>
        <w:t>Chapter 3</w:t>
      </w:r>
      <w:r w:rsidR="00AC5957" w:rsidRPr="007428E2">
        <w:rPr>
          <w:rFonts w:ascii="Arial" w:hAnsi="Arial"/>
        </w:rPr>
        <w:t>).</w:t>
      </w:r>
      <w:r w:rsidR="0055402B" w:rsidRPr="007428E2">
        <w:rPr>
          <w:rFonts w:ascii="Arial" w:hAnsi="Arial"/>
        </w:rPr>
        <w:t xml:space="preserve"> This </w:t>
      </w:r>
      <w:r w:rsidRPr="007428E2">
        <w:rPr>
          <w:rFonts w:ascii="Arial" w:hAnsi="Arial"/>
        </w:rPr>
        <w:t>c</w:t>
      </w:r>
      <w:r w:rsidR="0055402B" w:rsidRPr="007428E2">
        <w:rPr>
          <w:rFonts w:ascii="Arial" w:hAnsi="Arial"/>
        </w:rPr>
        <w:t xml:space="preserve">hapter </w:t>
      </w:r>
      <w:r w:rsidR="00B13108" w:rsidRPr="007428E2">
        <w:rPr>
          <w:rFonts w:ascii="Arial" w:hAnsi="Arial"/>
        </w:rPr>
        <w:t xml:space="preserve">focuses </w:t>
      </w:r>
      <w:r w:rsidR="0055402B" w:rsidRPr="007428E2">
        <w:rPr>
          <w:rFonts w:ascii="Arial" w:hAnsi="Arial"/>
        </w:rPr>
        <w:t xml:space="preserve">mainly </w:t>
      </w:r>
      <w:r w:rsidR="00B13108" w:rsidRPr="007428E2">
        <w:rPr>
          <w:rFonts w:ascii="Arial" w:hAnsi="Arial"/>
        </w:rPr>
        <w:t>on the health effects of particles, and includes some general cost information based on Australian studies</w:t>
      </w:r>
    </w:p>
    <w:p w:rsidR="00D61B97" w:rsidRPr="007428E2" w:rsidRDefault="00986F8E" w:rsidP="006A5626">
      <w:pPr>
        <w:pStyle w:val="BulletArrows"/>
        <w:numPr>
          <w:ilvl w:val="0"/>
          <w:numId w:val="57"/>
        </w:numPr>
        <w:spacing w:after="160"/>
        <w:rPr>
          <w:rFonts w:ascii="Arial" w:hAnsi="Arial"/>
        </w:rPr>
      </w:pPr>
      <w:r w:rsidRPr="007428E2">
        <w:rPr>
          <w:rFonts w:ascii="Arial" w:hAnsi="Arial"/>
        </w:rPr>
        <w:t>t</w:t>
      </w:r>
      <w:r w:rsidR="00D5282A" w:rsidRPr="007428E2">
        <w:rPr>
          <w:rFonts w:ascii="Arial" w:hAnsi="Arial"/>
        </w:rPr>
        <w:t>he p</w:t>
      </w:r>
      <w:r w:rsidR="00D61B97" w:rsidRPr="007428E2">
        <w:rPr>
          <w:rFonts w:ascii="Arial" w:hAnsi="Arial"/>
        </w:rPr>
        <w:t>olicy context and legislation</w:t>
      </w:r>
      <w:r w:rsidR="00D5282A" w:rsidRPr="007428E2">
        <w:rPr>
          <w:rFonts w:ascii="Arial" w:hAnsi="Arial"/>
        </w:rPr>
        <w:t>, both in Australia and internationally</w:t>
      </w:r>
      <w:r w:rsidR="00D61B97" w:rsidRPr="007428E2">
        <w:rPr>
          <w:rFonts w:ascii="Arial" w:hAnsi="Arial"/>
        </w:rPr>
        <w:t xml:space="preserve"> (</w:t>
      </w:r>
      <w:r w:rsidR="00D61B97" w:rsidRPr="007428E2">
        <w:rPr>
          <w:rFonts w:ascii="Arial" w:hAnsi="Arial"/>
          <w:b/>
        </w:rPr>
        <w:t>Chapter 4</w:t>
      </w:r>
      <w:r w:rsidR="00D61B97" w:rsidRPr="007428E2">
        <w:rPr>
          <w:rFonts w:ascii="Arial" w:hAnsi="Arial"/>
        </w:rPr>
        <w:t>)</w:t>
      </w:r>
    </w:p>
    <w:p w:rsidR="006662E3" w:rsidRPr="007428E2" w:rsidRDefault="00986F8E" w:rsidP="006A5626">
      <w:pPr>
        <w:pStyle w:val="BulletArrows"/>
        <w:numPr>
          <w:ilvl w:val="0"/>
          <w:numId w:val="57"/>
        </w:numPr>
        <w:spacing w:after="160"/>
        <w:rPr>
          <w:rFonts w:ascii="Arial" w:hAnsi="Arial"/>
        </w:rPr>
      </w:pPr>
      <w:proofErr w:type="gramStart"/>
      <w:r w:rsidRPr="007428E2">
        <w:rPr>
          <w:rFonts w:ascii="Arial" w:hAnsi="Arial"/>
        </w:rPr>
        <w:t>a</w:t>
      </w:r>
      <w:r w:rsidR="006662E3" w:rsidRPr="007428E2">
        <w:rPr>
          <w:rFonts w:ascii="Arial" w:hAnsi="Arial"/>
        </w:rPr>
        <w:t>irborne</w:t>
      </w:r>
      <w:proofErr w:type="gramEnd"/>
      <w:r w:rsidR="00B13108" w:rsidRPr="007428E2">
        <w:rPr>
          <w:rFonts w:ascii="Arial" w:hAnsi="Arial"/>
        </w:rPr>
        <w:t xml:space="preserve"> PM</w:t>
      </w:r>
      <w:r w:rsidR="006662E3" w:rsidRPr="007428E2">
        <w:rPr>
          <w:rFonts w:ascii="Arial" w:hAnsi="Arial"/>
        </w:rPr>
        <w:t xml:space="preserve"> in Australia (</w:t>
      </w:r>
      <w:r w:rsidR="00D61B97" w:rsidRPr="007428E2">
        <w:rPr>
          <w:rFonts w:ascii="Arial" w:hAnsi="Arial"/>
          <w:b/>
        </w:rPr>
        <w:t>Chapter 5</w:t>
      </w:r>
      <w:r w:rsidR="006662E3" w:rsidRPr="007428E2">
        <w:rPr>
          <w:rFonts w:ascii="Arial" w:hAnsi="Arial"/>
        </w:rPr>
        <w:t>).</w:t>
      </w:r>
      <w:r w:rsidR="00B13108" w:rsidRPr="007428E2">
        <w:rPr>
          <w:rFonts w:ascii="Arial" w:hAnsi="Arial"/>
        </w:rPr>
        <w:t xml:space="preserve"> This </w:t>
      </w:r>
      <w:r w:rsidRPr="007428E2">
        <w:rPr>
          <w:rFonts w:ascii="Arial" w:hAnsi="Arial"/>
        </w:rPr>
        <w:t>c</w:t>
      </w:r>
      <w:r w:rsidR="00B13108" w:rsidRPr="007428E2">
        <w:rPr>
          <w:rFonts w:ascii="Arial" w:hAnsi="Arial"/>
        </w:rPr>
        <w:t xml:space="preserve">hapter summarises the </w:t>
      </w:r>
      <w:r w:rsidR="00B44448" w:rsidRPr="007428E2">
        <w:rPr>
          <w:rFonts w:ascii="Arial" w:hAnsi="Arial"/>
        </w:rPr>
        <w:t xml:space="preserve">emissions </w:t>
      </w:r>
      <w:r w:rsidR="00B13108" w:rsidRPr="007428E2">
        <w:rPr>
          <w:rFonts w:ascii="Arial" w:hAnsi="Arial"/>
        </w:rPr>
        <w:t>inventories and projections in each Australia</w:t>
      </w:r>
      <w:r w:rsidR="0055402B" w:rsidRPr="007428E2">
        <w:rPr>
          <w:rFonts w:ascii="Arial" w:hAnsi="Arial"/>
        </w:rPr>
        <w:t>n jurisdiction, and includes an</w:t>
      </w:r>
      <w:r w:rsidR="00B13108" w:rsidRPr="007428E2">
        <w:rPr>
          <w:rFonts w:ascii="Arial" w:hAnsi="Arial"/>
        </w:rPr>
        <w:t xml:space="preserve"> analysis of PM</w:t>
      </w:r>
      <w:r w:rsidR="00B13108" w:rsidRPr="007428E2">
        <w:rPr>
          <w:rFonts w:ascii="Arial" w:hAnsi="Arial"/>
          <w:vertAlign w:val="subscript"/>
        </w:rPr>
        <w:t>10</w:t>
      </w:r>
      <w:r w:rsidR="00B13108" w:rsidRPr="007428E2">
        <w:rPr>
          <w:rFonts w:ascii="Arial" w:hAnsi="Arial"/>
        </w:rPr>
        <w:t xml:space="preserve"> and PM</w:t>
      </w:r>
      <w:r w:rsidR="00B13108" w:rsidRPr="007428E2">
        <w:rPr>
          <w:rFonts w:ascii="Arial" w:hAnsi="Arial"/>
          <w:vertAlign w:val="subscript"/>
        </w:rPr>
        <w:t>2.5</w:t>
      </w:r>
      <w:r w:rsidR="00B13108" w:rsidRPr="007428E2">
        <w:rPr>
          <w:rFonts w:ascii="Arial" w:hAnsi="Arial"/>
        </w:rPr>
        <w:t xml:space="preserve"> data from air pollution monitoring sites across the country</w:t>
      </w:r>
    </w:p>
    <w:p w:rsidR="00874AA3" w:rsidRPr="007428E2" w:rsidRDefault="00986F8E" w:rsidP="006A5626">
      <w:pPr>
        <w:pStyle w:val="BulletArrows"/>
        <w:numPr>
          <w:ilvl w:val="0"/>
          <w:numId w:val="57"/>
        </w:numPr>
        <w:spacing w:after="160"/>
        <w:rPr>
          <w:rFonts w:ascii="Arial" w:hAnsi="Arial"/>
        </w:rPr>
      </w:pPr>
      <w:r w:rsidRPr="007428E2">
        <w:rPr>
          <w:rFonts w:ascii="Arial" w:hAnsi="Arial"/>
        </w:rPr>
        <w:t>a</w:t>
      </w:r>
      <w:r w:rsidR="00D5282A" w:rsidRPr="007428E2">
        <w:rPr>
          <w:rFonts w:ascii="Arial" w:hAnsi="Arial"/>
        </w:rPr>
        <w:t xml:space="preserve"> s</w:t>
      </w:r>
      <w:r w:rsidR="00874AA3" w:rsidRPr="007428E2">
        <w:rPr>
          <w:rFonts w:ascii="Arial" w:hAnsi="Arial"/>
        </w:rPr>
        <w:t>tatement of the problem and the case for government intervention (</w:t>
      </w:r>
      <w:r w:rsidR="00AC5957" w:rsidRPr="007428E2">
        <w:rPr>
          <w:rFonts w:ascii="Arial" w:hAnsi="Arial"/>
          <w:b/>
        </w:rPr>
        <w:t>Chapter 6</w:t>
      </w:r>
      <w:r w:rsidR="00874AA3" w:rsidRPr="007428E2">
        <w:rPr>
          <w:rFonts w:ascii="Arial" w:hAnsi="Arial"/>
        </w:rPr>
        <w:t>)</w:t>
      </w:r>
    </w:p>
    <w:p w:rsidR="00874AA3" w:rsidRPr="007428E2" w:rsidRDefault="00986F8E" w:rsidP="006A5626">
      <w:pPr>
        <w:pStyle w:val="BulletArrows"/>
        <w:numPr>
          <w:ilvl w:val="0"/>
          <w:numId w:val="57"/>
        </w:numPr>
        <w:spacing w:after="160"/>
        <w:rPr>
          <w:rFonts w:ascii="Arial" w:hAnsi="Arial"/>
        </w:rPr>
      </w:pPr>
      <w:proofErr w:type="gramStart"/>
      <w:r w:rsidRPr="007428E2">
        <w:rPr>
          <w:rFonts w:ascii="Arial" w:hAnsi="Arial"/>
        </w:rPr>
        <w:t>a</w:t>
      </w:r>
      <w:proofErr w:type="gramEnd"/>
      <w:r w:rsidR="0055402B" w:rsidRPr="007428E2">
        <w:rPr>
          <w:rFonts w:ascii="Arial" w:hAnsi="Arial"/>
        </w:rPr>
        <w:t xml:space="preserve"> discussion of the possible approaches and </w:t>
      </w:r>
      <w:r w:rsidR="00874AA3" w:rsidRPr="007428E2">
        <w:rPr>
          <w:rFonts w:ascii="Arial" w:hAnsi="Arial"/>
        </w:rPr>
        <w:t>options (</w:t>
      </w:r>
      <w:r w:rsidR="00AC5957" w:rsidRPr="007428E2">
        <w:rPr>
          <w:rFonts w:ascii="Arial" w:hAnsi="Arial"/>
          <w:b/>
        </w:rPr>
        <w:t>Chapter 7</w:t>
      </w:r>
      <w:r w:rsidR="00874AA3" w:rsidRPr="007428E2">
        <w:rPr>
          <w:rFonts w:ascii="Arial" w:hAnsi="Arial"/>
        </w:rPr>
        <w:t>).</w:t>
      </w:r>
      <w:r w:rsidR="00B13108" w:rsidRPr="007428E2">
        <w:rPr>
          <w:rFonts w:ascii="Arial" w:hAnsi="Arial"/>
        </w:rPr>
        <w:t xml:space="preserve"> This includes the alternative standards for PM</w:t>
      </w:r>
      <w:r w:rsidR="00B13108" w:rsidRPr="007428E2">
        <w:rPr>
          <w:rFonts w:ascii="Arial" w:hAnsi="Arial"/>
          <w:vertAlign w:val="subscript"/>
        </w:rPr>
        <w:t>10</w:t>
      </w:r>
      <w:r w:rsidR="00B13108" w:rsidRPr="007428E2">
        <w:rPr>
          <w:rFonts w:ascii="Arial" w:hAnsi="Arial"/>
        </w:rPr>
        <w:t xml:space="preserve"> and PM</w:t>
      </w:r>
      <w:r w:rsidR="00B13108" w:rsidRPr="007428E2">
        <w:rPr>
          <w:rFonts w:ascii="Arial" w:hAnsi="Arial"/>
          <w:vertAlign w:val="subscript"/>
        </w:rPr>
        <w:t>2.5</w:t>
      </w:r>
      <w:r w:rsidR="00B13108" w:rsidRPr="007428E2">
        <w:rPr>
          <w:rFonts w:ascii="Arial" w:hAnsi="Arial"/>
        </w:rPr>
        <w:t xml:space="preserve"> that are being considered</w:t>
      </w:r>
      <w:r w:rsidR="008B3A16" w:rsidRPr="007428E2">
        <w:rPr>
          <w:rFonts w:ascii="Arial" w:hAnsi="Arial"/>
        </w:rPr>
        <w:t>.</w:t>
      </w:r>
      <w:r w:rsidR="00B13108" w:rsidRPr="007428E2">
        <w:rPr>
          <w:rFonts w:ascii="Arial" w:hAnsi="Arial"/>
        </w:rPr>
        <w:t xml:space="preserve"> </w:t>
      </w:r>
    </w:p>
    <w:p w:rsidR="00874AA3" w:rsidRPr="007428E2" w:rsidRDefault="00986F8E" w:rsidP="006A5626">
      <w:pPr>
        <w:pStyle w:val="BulletArrows"/>
        <w:numPr>
          <w:ilvl w:val="0"/>
          <w:numId w:val="57"/>
        </w:numPr>
        <w:spacing w:after="160"/>
        <w:rPr>
          <w:rFonts w:ascii="Arial" w:hAnsi="Arial"/>
        </w:rPr>
      </w:pPr>
      <w:r w:rsidRPr="007428E2">
        <w:rPr>
          <w:rFonts w:ascii="Arial" w:hAnsi="Arial"/>
        </w:rPr>
        <w:t>a</w:t>
      </w:r>
      <w:r w:rsidR="00D5282A" w:rsidRPr="007428E2">
        <w:rPr>
          <w:rFonts w:ascii="Arial" w:hAnsi="Arial"/>
        </w:rPr>
        <w:t>n i</w:t>
      </w:r>
      <w:r w:rsidR="00874AA3" w:rsidRPr="007428E2">
        <w:rPr>
          <w:rFonts w:ascii="Arial" w:hAnsi="Arial"/>
        </w:rPr>
        <w:t xml:space="preserve">mpact analysis of </w:t>
      </w:r>
      <w:r w:rsidR="0055402B" w:rsidRPr="007428E2">
        <w:rPr>
          <w:rFonts w:ascii="Arial" w:hAnsi="Arial"/>
        </w:rPr>
        <w:t>the</w:t>
      </w:r>
      <w:r w:rsidR="00112DCD" w:rsidRPr="007428E2">
        <w:rPr>
          <w:rFonts w:ascii="Arial" w:hAnsi="Arial"/>
        </w:rPr>
        <w:t xml:space="preserve"> </w:t>
      </w:r>
      <w:r w:rsidR="00874AA3" w:rsidRPr="007428E2">
        <w:rPr>
          <w:rFonts w:ascii="Arial" w:hAnsi="Arial"/>
        </w:rPr>
        <w:t>options (</w:t>
      </w:r>
      <w:r w:rsidR="00AC5957" w:rsidRPr="007428E2">
        <w:rPr>
          <w:rFonts w:ascii="Arial" w:hAnsi="Arial"/>
          <w:b/>
        </w:rPr>
        <w:t>Chapter 8</w:t>
      </w:r>
      <w:r w:rsidR="00874AA3" w:rsidRPr="007428E2">
        <w:rPr>
          <w:rFonts w:ascii="Arial" w:hAnsi="Arial"/>
        </w:rPr>
        <w:t>)</w:t>
      </w:r>
    </w:p>
    <w:p w:rsidR="00874AA3" w:rsidRPr="007428E2" w:rsidRDefault="00986F8E" w:rsidP="006A5626">
      <w:pPr>
        <w:pStyle w:val="BulletArrows"/>
        <w:numPr>
          <w:ilvl w:val="0"/>
          <w:numId w:val="57"/>
        </w:numPr>
        <w:spacing w:after="160"/>
        <w:rPr>
          <w:rFonts w:ascii="Arial" w:hAnsi="Arial"/>
        </w:rPr>
      </w:pPr>
      <w:proofErr w:type="gramStart"/>
      <w:r w:rsidRPr="007428E2">
        <w:rPr>
          <w:rFonts w:ascii="Arial" w:hAnsi="Arial"/>
        </w:rPr>
        <w:t>a</w:t>
      </w:r>
      <w:proofErr w:type="gramEnd"/>
      <w:r w:rsidR="00B13108" w:rsidRPr="007428E2">
        <w:rPr>
          <w:rFonts w:ascii="Arial" w:hAnsi="Arial"/>
        </w:rPr>
        <w:t xml:space="preserve"> summary of the </w:t>
      </w:r>
      <w:r w:rsidR="00493178" w:rsidRPr="007428E2">
        <w:rPr>
          <w:rFonts w:ascii="Arial" w:hAnsi="Arial"/>
        </w:rPr>
        <w:t xml:space="preserve">preferred </w:t>
      </w:r>
      <w:r w:rsidR="00B13108" w:rsidRPr="007428E2">
        <w:rPr>
          <w:rFonts w:ascii="Arial" w:hAnsi="Arial"/>
        </w:rPr>
        <w:t xml:space="preserve">options for further consideration </w:t>
      </w:r>
      <w:r w:rsidR="00874AA3" w:rsidRPr="007428E2">
        <w:rPr>
          <w:rFonts w:ascii="Arial" w:hAnsi="Arial"/>
        </w:rPr>
        <w:t>(</w:t>
      </w:r>
      <w:r w:rsidR="00AC5957" w:rsidRPr="007428E2">
        <w:rPr>
          <w:rFonts w:ascii="Arial" w:hAnsi="Arial"/>
          <w:b/>
        </w:rPr>
        <w:t>Chapter 9</w:t>
      </w:r>
      <w:r w:rsidR="00874AA3" w:rsidRPr="007428E2">
        <w:rPr>
          <w:rFonts w:ascii="Arial" w:hAnsi="Arial"/>
        </w:rPr>
        <w:t>).</w:t>
      </w:r>
      <w:r w:rsidR="00493178" w:rsidRPr="007428E2">
        <w:rPr>
          <w:rFonts w:ascii="Arial" w:hAnsi="Arial"/>
        </w:rPr>
        <w:t xml:space="preserve"> The identification of the preferred options is based on the available evidence</w:t>
      </w:r>
    </w:p>
    <w:p w:rsidR="00F26FF2" w:rsidRPr="007428E2" w:rsidRDefault="00986F8E" w:rsidP="006A5626">
      <w:pPr>
        <w:pStyle w:val="BulletArrows"/>
        <w:numPr>
          <w:ilvl w:val="0"/>
          <w:numId w:val="57"/>
        </w:numPr>
        <w:spacing w:after="240"/>
        <w:rPr>
          <w:rFonts w:ascii="Arial" w:hAnsi="Arial"/>
        </w:rPr>
      </w:pPr>
      <w:proofErr w:type="gramStart"/>
      <w:r w:rsidRPr="007428E2">
        <w:rPr>
          <w:rFonts w:ascii="Arial" w:hAnsi="Arial"/>
        </w:rPr>
        <w:t>r</w:t>
      </w:r>
      <w:r w:rsidR="00D5282A" w:rsidRPr="007428E2">
        <w:rPr>
          <w:rFonts w:ascii="Arial" w:hAnsi="Arial"/>
        </w:rPr>
        <w:t>ecommendations</w:t>
      </w:r>
      <w:proofErr w:type="gramEnd"/>
      <w:r w:rsidR="00D5282A" w:rsidRPr="007428E2">
        <w:rPr>
          <w:rFonts w:ascii="Arial" w:hAnsi="Arial"/>
        </w:rPr>
        <w:t xml:space="preserve"> for c</w:t>
      </w:r>
      <w:r w:rsidR="00874AA3" w:rsidRPr="007428E2">
        <w:rPr>
          <w:rFonts w:ascii="Arial" w:hAnsi="Arial"/>
        </w:rPr>
        <w:t>onsultation (</w:t>
      </w:r>
      <w:r w:rsidR="00AC5957" w:rsidRPr="007428E2">
        <w:rPr>
          <w:rFonts w:ascii="Arial" w:hAnsi="Arial"/>
          <w:b/>
        </w:rPr>
        <w:t>Chapter 10</w:t>
      </w:r>
      <w:r w:rsidR="00874AA3" w:rsidRPr="007428E2">
        <w:rPr>
          <w:rFonts w:ascii="Arial" w:hAnsi="Arial"/>
        </w:rPr>
        <w:t>).</w:t>
      </w:r>
      <w:bookmarkEnd w:id="5"/>
    </w:p>
    <w:p w:rsidR="00CD2AEC" w:rsidRPr="007428E2" w:rsidRDefault="00112DCD" w:rsidP="00CD2AEC">
      <w:pPr>
        <w:rPr>
          <w:rFonts w:ascii="Arial" w:hAnsi="Arial" w:cs="Arial"/>
        </w:rPr>
      </w:pPr>
      <w:r w:rsidRPr="007428E2">
        <w:rPr>
          <w:rFonts w:ascii="Arial" w:hAnsi="Arial" w:cs="Arial"/>
        </w:rPr>
        <w:t>A summary of the key points, and p</w:t>
      </w:r>
      <w:r w:rsidR="00B13108" w:rsidRPr="007428E2">
        <w:rPr>
          <w:rFonts w:ascii="Arial" w:hAnsi="Arial" w:cs="Arial"/>
        </w:rPr>
        <w:t xml:space="preserve">otential questions for the </w:t>
      </w:r>
      <w:r w:rsidR="00C03E4E" w:rsidRPr="007428E2">
        <w:rPr>
          <w:rFonts w:ascii="Arial" w:hAnsi="Arial" w:cs="Arial"/>
        </w:rPr>
        <w:t xml:space="preserve">public </w:t>
      </w:r>
      <w:r w:rsidR="00B13108" w:rsidRPr="007428E2">
        <w:rPr>
          <w:rFonts w:ascii="Arial" w:hAnsi="Arial" w:cs="Arial"/>
        </w:rPr>
        <w:t>consultation phase</w:t>
      </w:r>
      <w:r w:rsidRPr="007428E2">
        <w:rPr>
          <w:rFonts w:ascii="Arial" w:hAnsi="Arial" w:cs="Arial"/>
        </w:rPr>
        <w:t>,</w:t>
      </w:r>
      <w:r w:rsidR="00B13108" w:rsidRPr="007428E2">
        <w:rPr>
          <w:rFonts w:ascii="Arial" w:hAnsi="Arial" w:cs="Arial"/>
        </w:rPr>
        <w:t xml:space="preserve"> are provide</w:t>
      </w:r>
      <w:r w:rsidRPr="007428E2">
        <w:rPr>
          <w:rFonts w:ascii="Arial" w:hAnsi="Arial" w:cs="Arial"/>
        </w:rPr>
        <w:t xml:space="preserve">d at the end of each </w:t>
      </w:r>
      <w:r w:rsidR="00986F8E" w:rsidRPr="007428E2">
        <w:rPr>
          <w:rFonts w:ascii="Arial" w:hAnsi="Arial" w:cs="Arial"/>
        </w:rPr>
        <w:t>c</w:t>
      </w:r>
      <w:r w:rsidRPr="007428E2">
        <w:rPr>
          <w:rFonts w:ascii="Arial" w:hAnsi="Arial" w:cs="Arial"/>
        </w:rPr>
        <w:t>hapter.</w:t>
      </w:r>
      <w:r w:rsidR="0053199F" w:rsidRPr="007428E2">
        <w:rPr>
          <w:rFonts w:ascii="Arial" w:hAnsi="Arial" w:cs="Arial"/>
        </w:rPr>
        <w:t xml:space="preserve"> The consultation questions are also listed in </w:t>
      </w:r>
      <w:r w:rsidR="0053199F" w:rsidRPr="007428E2">
        <w:rPr>
          <w:rFonts w:ascii="Arial" w:hAnsi="Arial" w:cs="Arial"/>
          <w:b/>
        </w:rPr>
        <w:t>Appendix F</w:t>
      </w:r>
      <w:r w:rsidR="0053199F" w:rsidRPr="007428E2">
        <w:rPr>
          <w:rFonts w:ascii="Arial" w:hAnsi="Arial" w:cs="Arial"/>
        </w:rPr>
        <w:t>.</w:t>
      </w:r>
    </w:p>
    <w:p w:rsidR="00B13108" w:rsidRPr="007428E2" w:rsidRDefault="00B13108" w:rsidP="00CD2AEC">
      <w:pPr>
        <w:rPr>
          <w:rFonts w:ascii="Arial" w:hAnsi="Arial" w:cs="Arial"/>
        </w:rPr>
      </w:pPr>
    </w:p>
    <w:p w:rsidR="00467ED4" w:rsidRPr="006574FD" w:rsidRDefault="00467ED4" w:rsidP="002C6E3A">
      <w:pPr>
        <w:rPr>
          <w:rFonts w:ascii="Arial" w:hAnsi="Arial" w:cs="Arial"/>
          <w:i/>
        </w:rPr>
        <w:sectPr w:rsidR="00467ED4" w:rsidRPr="006574FD" w:rsidSect="006A5626">
          <w:headerReference w:type="even" r:id="rId32"/>
          <w:headerReference w:type="default" r:id="rId33"/>
          <w:footerReference w:type="even" r:id="rId34"/>
          <w:footerReference w:type="default" r:id="rId35"/>
          <w:headerReference w:type="first" r:id="rId36"/>
          <w:pgSz w:w="11906" w:h="16838" w:code="9"/>
          <w:pgMar w:top="1440" w:right="1440" w:bottom="1440" w:left="1440" w:header="284" w:footer="244" w:gutter="0"/>
          <w:pgNumType w:start="1"/>
          <w:cols w:space="255"/>
          <w:docGrid w:linePitch="360"/>
        </w:sectPr>
      </w:pPr>
    </w:p>
    <w:p w:rsidR="00692CDC" w:rsidRPr="00C80641" w:rsidRDefault="00A43E8E" w:rsidP="002440F9">
      <w:pPr>
        <w:pStyle w:val="Heading1"/>
        <w:rPr>
          <w:rFonts w:ascii="Arial" w:hAnsi="Arial"/>
        </w:rPr>
      </w:pPr>
      <w:bookmarkStart w:id="10" w:name="_Toc394011071"/>
      <w:r w:rsidRPr="00C80641">
        <w:rPr>
          <w:rFonts w:ascii="Arial" w:hAnsi="Arial"/>
        </w:rPr>
        <w:lastRenderedPageBreak/>
        <w:t>characteristics</w:t>
      </w:r>
      <w:r w:rsidR="00D27EA1" w:rsidRPr="00C80641">
        <w:rPr>
          <w:rFonts w:ascii="Arial" w:hAnsi="Arial"/>
        </w:rPr>
        <w:t xml:space="preserve"> </w:t>
      </w:r>
      <w:r w:rsidR="00366E75" w:rsidRPr="00C80641">
        <w:rPr>
          <w:rFonts w:ascii="Arial" w:hAnsi="Arial"/>
        </w:rPr>
        <w:t xml:space="preserve">and measurement </w:t>
      </w:r>
      <w:r w:rsidR="00D27EA1" w:rsidRPr="00C80641">
        <w:rPr>
          <w:rFonts w:ascii="Arial" w:hAnsi="Arial"/>
        </w:rPr>
        <w:t>of airborne partic</w:t>
      </w:r>
      <w:r w:rsidR="006662E3" w:rsidRPr="00C80641">
        <w:rPr>
          <w:rFonts w:ascii="Arial" w:hAnsi="Arial"/>
        </w:rPr>
        <w:t>ulate matter</w:t>
      </w:r>
      <w:bookmarkEnd w:id="10"/>
    </w:p>
    <w:p w:rsidR="00F052DA" w:rsidRPr="00C80641" w:rsidRDefault="00E3576C" w:rsidP="00FA4C0F">
      <w:pPr>
        <w:pStyle w:val="Heading2"/>
        <w:rPr>
          <w:rFonts w:ascii="Arial" w:hAnsi="Arial"/>
        </w:rPr>
      </w:pPr>
      <w:bookmarkStart w:id="11" w:name="_Toc394011072"/>
      <w:r w:rsidRPr="00C80641">
        <w:rPr>
          <w:rFonts w:ascii="Arial" w:hAnsi="Arial"/>
        </w:rPr>
        <w:t>Characteristics</w:t>
      </w:r>
      <w:bookmarkEnd w:id="11"/>
    </w:p>
    <w:p w:rsidR="00874AA3" w:rsidRPr="00C80641" w:rsidRDefault="00874AA3" w:rsidP="000F787E">
      <w:pPr>
        <w:pStyle w:val="Heading3"/>
        <w:rPr>
          <w:rFonts w:ascii="Arial" w:hAnsi="Arial"/>
        </w:rPr>
      </w:pPr>
      <w:bookmarkStart w:id="12" w:name="_Toc394011073"/>
      <w:r w:rsidRPr="00C80641">
        <w:rPr>
          <w:rFonts w:ascii="Arial" w:hAnsi="Arial"/>
        </w:rPr>
        <w:t>Overview</w:t>
      </w:r>
      <w:bookmarkEnd w:id="12"/>
    </w:p>
    <w:p w:rsidR="00E551FE" w:rsidRPr="00C80641" w:rsidRDefault="00642492" w:rsidP="00177B50">
      <w:pPr>
        <w:rPr>
          <w:rFonts w:ascii="Arial" w:hAnsi="Arial" w:cs="Arial"/>
          <w:szCs w:val="20"/>
        </w:rPr>
      </w:pPr>
      <w:r w:rsidRPr="00C80641">
        <w:rPr>
          <w:rFonts w:ascii="Arial" w:hAnsi="Arial" w:cs="Arial"/>
        </w:rPr>
        <w:t>Airborne PM</w:t>
      </w:r>
      <w:r w:rsidR="00476CCD" w:rsidRPr="00C80641">
        <w:rPr>
          <w:rFonts w:ascii="Arial" w:hAnsi="Arial" w:cs="Arial"/>
        </w:rPr>
        <w:t xml:space="preserve"> </w:t>
      </w:r>
      <w:r w:rsidR="00E3576C" w:rsidRPr="00C80641">
        <w:rPr>
          <w:rFonts w:ascii="Arial" w:hAnsi="Arial" w:cs="Arial"/>
        </w:rPr>
        <w:t>is a complex mixture of substances that are derived from a range of sources and processes.</w:t>
      </w:r>
      <w:r w:rsidR="00E3576C" w:rsidRPr="00C80641">
        <w:rPr>
          <w:rFonts w:ascii="Arial" w:hAnsi="Arial" w:cs="Arial"/>
          <w:szCs w:val="20"/>
        </w:rPr>
        <w:t xml:space="preserve"> The contributions of these sources and processes, and hence the physical and chemical propertie</w:t>
      </w:r>
      <w:r w:rsidR="00397389" w:rsidRPr="00C80641">
        <w:rPr>
          <w:rFonts w:ascii="Arial" w:hAnsi="Arial" w:cs="Arial"/>
          <w:szCs w:val="20"/>
        </w:rPr>
        <w:t>s of PM, vary according to</w:t>
      </w:r>
      <w:r w:rsidR="00102FA9" w:rsidRPr="00C80641">
        <w:rPr>
          <w:rFonts w:ascii="Arial" w:hAnsi="Arial" w:cs="Arial"/>
          <w:szCs w:val="20"/>
        </w:rPr>
        <w:t xml:space="preserve"> many factors</w:t>
      </w:r>
      <w:r w:rsidR="00E3576C" w:rsidRPr="00C80641">
        <w:rPr>
          <w:rFonts w:ascii="Arial" w:hAnsi="Arial" w:cs="Arial"/>
          <w:szCs w:val="20"/>
        </w:rPr>
        <w:t xml:space="preserve"> including location, season, time of day, and both local and regional weather conditions. </w:t>
      </w:r>
    </w:p>
    <w:p w:rsidR="003C532F" w:rsidRPr="00C80641" w:rsidRDefault="00E3576C" w:rsidP="00023A10">
      <w:pPr>
        <w:spacing w:after="300"/>
        <w:rPr>
          <w:rFonts w:ascii="Arial" w:hAnsi="Arial" w:cs="Arial"/>
        </w:rPr>
      </w:pPr>
      <w:r w:rsidRPr="00C80641">
        <w:rPr>
          <w:rFonts w:ascii="Arial" w:hAnsi="Arial" w:cs="Arial"/>
        </w:rPr>
        <w:t>The phrase ‘airborne particulate matte</w:t>
      </w:r>
      <w:r w:rsidR="00E551FE" w:rsidRPr="00C80641">
        <w:rPr>
          <w:rFonts w:ascii="Arial" w:hAnsi="Arial" w:cs="Arial"/>
        </w:rPr>
        <w:t>r’ is</w:t>
      </w:r>
      <w:r w:rsidRPr="00C80641">
        <w:rPr>
          <w:rFonts w:ascii="Arial" w:hAnsi="Arial" w:cs="Arial"/>
        </w:rPr>
        <w:t xml:space="preserve"> subject to interpretation on a number of different levels. </w:t>
      </w:r>
      <w:r w:rsidR="00366E75" w:rsidRPr="00C80641">
        <w:rPr>
          <w:rFonts w:ascii="Arial" w:hAnsi="Arial" w:cs="Arial"/>
        </w:rPr>
        <w:t xml:space="preserve">Various </w:t>
      </w:r>
      <w:r w:rsidR="00397389" w:rsidRPr="00C80641">
        <w:rPr>
          <w:rFonts w:ascii="Arial" w:hAnsi="Arial" w:cs="Arial"/>
        </w:rPr>
        <w:t xml:space="preserve">historical </w:t>
      </w:r>
      <w:r w:rsidR="00B70EF1" w:rsidRPr="00C80641">
        <w:rPr>
          <w:rFonts w:ascii="Arial" w:hAnsi="Arial" w:cs="Arial"/>
        </w:rPr>
        <w:t xml:space="preserve">designations </w:t>
      </w:r>
      <w:r w:rsidR="003C532F" w:rsidRPr="00C80641">
        <w:rPr>
          <w:rFonts w:ascii="Arial" w:hAnsi="Arial" w:cs="Arial"/>
        </w:rPr>
        <w:t>such as ‘dust’, ‘smo</w:t>
      </w:r>
      <w:r w:rsidRPr="00C80641">
        <w:rPr>
          <w:rFonts w:ascii="Arial" w:hAnsi="Arial" w:cs="Arial"/>
        </w:rPr>
        <w:t xml:space="preserve">ke’ and ‘soot’ now compete with </w:t>
      </w:r>
      <w:r w:rsidR="003C532F" w:rsidRPr="00C80641">
        <w:rPr>
          <w:rFonts w:ascii="Arial" w:hAnsi="Arial" w:cs="Arial"/>
        </w:rPr>
        <w:t xml:space="preserve">stricter scientific </w:t>
      </w:r>
      <w:r w:rsidRPr="00C80641">
        <w:rPr>
          <w:rFonts w:ascii="Arial" w:hAnsi="Arial" w:cs="Arial"/>
        </w:rPr>
        <w:t xml:space="preserve">descriptions, </w:t>
      </w:r>
      <w:r w:rsidR="003C532F" w:rsidRPr="00C80641">
        <w:rPr>
          <w:rFonts w:ascii="Arial" w:hAnsi="Arial" w:cs="Arial"/>
        </w:rPr>
        <w:t>definitions and metrics</w:t>
      </w:r>
      <w:r w:rsidR="0044643F" w:rsidRPr="00C80641">
        <w:rPr>
          <w:rFonts w:ascii="Arial" w:hAnsi="Arial" w:cs="Arial"/>
        </w:rPr>
        <w:t xml:space="preserve"> that relate </w:t>
      </w:r>
      <w:r w:rsidRPr="00C80641">
        <w:rPr>
          <w:rFonts w:ascii="Arial" w:hAnsi="Arial" w:cs="Arial"/>
        </w:rPr>
        <w:t xml:space="preserve">to </w:t>
      </w:r>
      <w:r w:rsidR="0060719A" w:rsidRPr="00C80641">
        <w:rPr>
          <w:rFonts w:ascii="Arial" w:hAnsi="Arial" w:cs="Arial"/>
        </w:rPr>
        <w:t>the</w:t>
      </w:r>
      <w:r w:rsidRPr="00C80641">
        <w:rPr>
          <w:rFonts w:ascii="Arial" w:hAnsi="Arial" w:cs="Arial"/>
        </w:rPr>
        <w:t xml:space="preserve"> chemical and physical properties of particles</w:t>
      </w:r>
      <w:r w:rsidR="003C532F" w:rsidRPr="00C80641">
        <w:rPr>
          <w:rFonts w:ascii="Arial" w:hAnsi="Arial" w:cs="Arial"/>
        </w:rPr>
        <w:t xml:space="preserve">. </w:t>
      </w:r>
      <w:r w:rsidR="00E551FE" w:rsidRPr="00C80641">
        <w:rPr>
          <w:rFonts w:ascii="Arial" w:hAnsi="Arial" w:cs="Arial"/>
        </w:rPr>
        <w:t>F</w:t>
      </w:r>
      <w:r w:rsidR="00177B50" w:rsidRPr="00C80641">
        <w:rPr>
          <w:rFonts w:ascii="Arial" w:hAnsi="Arial" w:cs="Arial"/>
        </w:rPr>
        <w:t>or example, particles are termed either ‘primary’ or ‘secondary’ d</w:t>
      </w:r>
      <w:r w:rsidRPr="00C80641">
        <w:rPr>
          <w:rFonts w:ascii="Arial" w:hAnsi="Arial" w:cs="Arial"/>
        </w:rPr>
        <w:t>epending on how they are formed, and either ‘</w:t>
      </w:r>
      <w:r w:rsidR="00177B50" w:rsidRPr="00C80641">
        <w:rPr>
          <w:rFonts w:ascii="Arial" w:hAnsi="Arial" w:cs="Arial"/>
        </w:rPr>
        <w:t>natural</w:t>
      </w:r>
      <w:r w:rsidRPr="00C80641">
        <w:rPr>
          <w:rFonts w:ascii="Arial" w:hAnsi="Arial" w:cs="Arial"/>
        </w:rPr>
        <w:t>’</w:t>
      </w:r>
      <w:r w:rsidR="00177B50" w:rsidRPr="00C80641">
        <w:rPr>
          <w:rFonts w:ascii="Arial" w:hAnsi="Arial" w:cs="Arial"/>
        </w:rPr>
        <w:t xml:space="preserve"> </w:t>
      </w:r>
      <w:r w:rsidRPr="00C80641">
        <w:rPr>
          <w:rFonts w:ascii="Arial" w:hAnsi="Arial" w:cs="Arial"/>
        </w:rPr>
        <w:t>or ‘</w:t>
      </w:r>
      <w:r w:rsidR="00177B50" w:rsidRPr="00C80641">
        <w:rPr>
          <w:rFonts w:ascii="Arial" w:hAnsi="Arial" w:cs="Arial"/>
        </w:rPr>
        <w:t>anthropogenic</w:t>
      </w:r>
      <w:r w:rsidRPr="00C80641">
        <w:rPr>
          <w:rFonts w:ascii="Arial" w:hAnsi="Arial" w:cs="Arial"/>
        </w:rPr>
        <w:t xml:space="preserve">’ </w:t>
      </w:r>
      <w:r w:rsidR="008441E4" w:rsidRPr="00C80641">
        <w:rPr>
          <w:rFonts w:ascii="Arial" w:hAnsi="Arial" w:cs="Arial"/>
        </w:rPr>
        <w:t>(</w:t>
      </w:r>
      <w:r w:rsidR="009334F4" w:rsidRPr="00C80641">
        <w:rPr>
          <w:rFonts w:ascii="Arial" w:hAnsi="Arial" w:cs="Arial"/>
        </w:rPr>
        <w:t>human</w:t>
      </w:r>
      <w:r w:rsidR="008441E4" w:rsidRPr="00C80641">
        <w:rPr>
          <w:rFonts w:ascii="Arial" w:hAnsi="Arial" w:cs="Arial"/>
        </w:rPr>
        <w:t xml:space="preserve">-made) </w:t>
      </w:r>
      <w:r w:rsidRPr="00C80641">
        <w:rPr>
          <w:rFonts w:ascii="Arial" w:hAnsi="Arial" w:cs="Arial"/>
        </w:rPr>
        <w:t>with respect to their original source</w:t>
      </w:r>
      <w:r w:rsidR="00B70EF1" w:rsidRPr="00C80641">
        <w:rPr>
          <w:rFonts w:ascii="Arial" w:hAnsi="Arial" w:cs="Arial"/>
        </w:rPr>
        <w:t xml:space="preserve">. </w:t>
      </w:r>
      <w:r w:rsidR="00177B50" w:rsidRPr="00C80641">
        <w:rPr>
          <w:rFonts w:ascii="Arial" w:hAnsi="Arial" w:cs="Arial"/>
        </w:rPr>
        <w:t xml:space="preserve">One of the </w:t>
      </w:r>
      <w:r w:rsidR="00874AA3" w:rsidRPr="00C80641">
        <w:rPr>
          <w:rFonts w:ascii="Arial" w:hAnsi="Arial" w:cs="Arial"/>
        </w:rPr>
        <w:t>most important considerations is</w:t>
      </w:r>
      <w:r w:rsidR="00177B50" w:rsidRPr="00C80641">
        <w:rPr>
          <w:rFonts w:ascii="Arial" w:hAnsi="Arial" w:cs="Arial"/>
        </w:rPr>
        <w:t xml:space="preserve"> particle size</w:t>
      </w:r>
      <w:r w:rsidR="00874AA3" w:rsidRPr="00C80641">
        <w:rPr>
          <w:rFonts w:ascii="Arial" w:hAnsi="Arial" w:cs="Arial"/>
        </w:rPr>
        <w:t>, with research, legislation and policy ofte</w:t>
      </w:r>
      <w:r w:rsidR="0060719A" w:rsidRPr="00C80641">
        <w:rPr>
          <w:rFonts w:ascii="Arial" w:hAnsi="Arial" w:cs="Arial"/>
        </w:rPr>
        <w:t xml:space="preserve">n </w:t>
      </w:r>
      <w:r w:rsidR="009334F4" w:rsidRPr="00C80641">
        <w:rPr>
          <w:rFonts w:ascii="Arial" w:hAnsi="Arial" w:cs="Arial"/>
        </w:rPr>
        <w:t xml:space="preserve">focusing </w:t>
      </w:r>
      <w:r w:rsidR="0060719A" w:rsidRPr="00C80641">
        <w:rPr>
          <w:rFonts w:ascii="Arial" w:hAnsi="Arial" w:cs="Arial"/>
        </w:rPr>
        <w:t>on specific</w:t>
      </w:r>
      <w:r w:rsidR="00874AA3" w:rsidRPr="00C80641">
        <w:rPr>
          <w:rFonts w:ascii="Arial" w:hAnsi="Arial" w:cs="Arial"/>
        </w:rPr>
        <w:t xml:space="preserve"> size metrics</w:t>
      </w:r>
      <w:r w:rsidR="00177B50" w:rsidRPr="00C80641">
        <w:rPr>
          <w:rFonts w:ascii="Arial" w:hAnsi="Arial" w:cs="Arial"/>
        </w:rPr>
        <w:t xml:space="preserve">. These distinctions are described below. </w:t>
      </w:r>
      <w:r w:rsidR="003C532F" w:rsidRPr="00C80641">
        <w:rPr>
          <w:rFonts w:ascii="Arial" w:hAnsi="Arial" w:cs="Arial"/>
        </w:rPr>
        <w:t xml:space="preserve">Readers seeking a </w:t>
      </w:r>
      <w:r w:rsidR="00177B50" w:rsidRPr="00C80641">
        <w:rPr>
          <w:rFonts w:ascii="Arial" w:hAnsi="Arial" w:cs="Arial"/>
        </w:rPr>
        <w:t xml:space="preserve">more </w:t>
      </w:r>
      <w:r w:rsidR="0060719A" w:rsidRPr="00C80641">
        <w:rPr>
          <w:rFonts w:ascii="Arial" w:hAnsi="Arial" w:cs="Arial"/>
        </w:rPr>
        <w:t>comprehensive treatment</w:t>
      </w:r>
      <w:r w:rsidR="003C532F" w:rsidRPr="00C80641">
        <w:rPr>
          <w:rFonts w:ascii="Arial" w:hAnsi="Arial" w:cs="Arial"/>
        </w:rPr>
        <w:t xml:space="preserve"> are directed to</w:t>
      </w:r>
      <w:r w:rsidR="00177B50" w:rsidRPr="00C80641">
        <w:rPr>
          <w:rFonts w:ascii="Arial" w:hAnsi="Arial" w:cs="Arial"/>
        </w:rPr>
        <w:t xml:space="preserve">, for example, the reports of </w:t>
      </w:r>
      <w:r w:rsidR="00177B50" w:rsidRPr="00C80641">
        <w:rPr>
          <w:rFonts w:ascii="Arial" w:hAnsi="Arial" w:cs="Arial"/>
          <w:b/>
        </w:rPr>
        <w:t>AQEG (2005, 2012</w:t>
      </w:r>
      <w:r w:rsidR="003C532F" w:rsidRPr="00C80641">
        <w:rPr>
          <w:rFonts w:ascii="Arial" w:hAnsi="Arial" w:cs="Arial"/>
          <w:b/>
        </w:rPr>
        <w:t>)</w:t>
      </w:r>
      <w:r w:rsidR="00177B50" w:rsidRPr="00C80641">
        <w:rPr>
          <w:rFonts w:ascii="Arial" w:hAnsi="Arial" w:cs="Arial"/>
        </w:rPr>
        <w:t xml:space="preserve"> and </w:t>
      </w:r>
      <w:r w:rsidR="00177B50" w:rsidRPr="00C80641">
        <w:rPr>
          <w:rFonts w:ascii="Arial" w:hAnsi="Arial" w:cs="Arial"/>
          <w:b/>
        </w:rPr>
        <w:t>USEPA (2009)</w:t>
      </w:r>
      <w:r w:rsidR="003C532F" w:rsidRPr="00C80641">
        <w:rPr>
          <w:rFonts w:ascii="Arial" w:hAnsi="Arial" w:cs="Arial"/>
        </w:rPr>
        <w:t>.</w:t>
      </w:r>
    </w:p>
    <w:p w:rsidR="00923596" w:rsidRPr="00C80641" w:rsidRDefault="00E3576C" w:rsidP="000F787E">
      <w:pPr>
        <w:pStyle w:val="Heading3"/>
        <w:rPr>
          <w:rFonts w:ascii="Arial" w:hAnsi="Arial"/>
        </w:rPr>
      </w:pPr>
      <w:bookmarkStart w:id="13" w:name="_Toc394011074"/>
      <w:r w:rsidRPr="00C80641">
        <w:rPr>
          <w:rFonts w:ascii="Arial" w:hAnsi="Arial"/>
        </w:rPr>
        <w:t xml:space="preserve">Formation </w:t>
      </w:r>
      <w:r w:rsidR="00AD5738" w:rsidRPr="00C80641">
        <w:rPr>
          <w:rFonts w:ascii="Arial" w:hAnsi="Arial"/>
        </w:rPr>
        <w:t xml:space="preserve">mechanisms </w:t>
      </w:r>
      <w:r w:rsidRPr="00C80641">
        <w:rPr>
          <w:rFonts w:ascii="Arial" w:hAnsi="Arial"/>
        </w:rPr>
        <w:t>an</w:t>
      </w:r>
      <w:r w:rsidR="00AD5738" w:rsidRPr="00C80641">
        <w:rPr>
          <w:rFonts w:ascii="Arial" w:hAnsi="Arial"/>
        </w:rPr>
        <w:t>d constituents</w:t>
      </w:r>
      <w:bookmarkEnd w:id="13"/>
    </w:p>
    <w:p w:rsidR="00013908" w:rsidRPr="00C80641" w:rsidRDefault="00013908" w:rsidP="00DB5D5F">
      <w:pPr>
        <w:pStyle w:val="Level4PB2"/>
        <w:rPr>
          <w:rFonts w:ascii="Arial" w:hAnsi="Arial" w:cs="Arial"/>
          <w:lang w:val="en-AU"/>
        </w:rPr>
      </w:pPr>
      <w:r w:rsidRPr="00C80641">
        <w:rPr>
          <w:rFonts w:ascii="Arial" w:hAnsi="Arial" w:cs="Arial"/>
          <w:lang w:val="en-AU"/>
        </w:rPr>
        <w:t>Primary particles</w:t>
      </w:r>
    </w:p>
    <w:p w:rsidR="0044643F" w:rsidRPr="00C80641" w:rsidRDefault="007455EB" w:rsidP="00023A10">
      <w:pPr>
        <w:rPr>
          <w:rFonts w:ascii="Arial" w:hAnsi="Arial" w:cs="Arial"/>
        </w:rPr>
      </w:pPr>
      <w:r w:rsidRPr="00C80641">
        <w:rPr>
          <w:rFonts w:ascii="Arial" w:hAnsi="Arial" w:cs="Arial"/>
        </w:rPr>
        <w:t>Primary particles are emitted directly into the atmosphere</w:t>
      </w:r>
      <w:r w:rsidR="00177B50" w:rsidRPr="00C80641">
        <w:rPr>
          <w:rFonts w:ascii="Arial" w:hAnsi="Arial" w:cs="Arial"/>
        </w:rPr>
        <w:t>. N</w:t>
      </w:r>
      <w:r w:rsidR="0044643F" w:rsidRPr="00C80641">
        <w:rPr>
          <w:rFonts w:ascii="Arial" w:hAnsi="Arial" w:cs="Arial"/>
        </w:rPr>
        <w:t xml:space="preserve">atural </w:t>
      </w:r>
      <w:r w:rsidR="003A01AF" w:rsidRPr="00C80641">
        <w:rPr>
          <w:rFonts w:ascii="Arial" w:hAnsi="Arial" w:cs="Arial"/>
        </w:rPr>
        <w:t>sources</w:t>
      </w:r>
      <w:r w:rsidR="00177B50" w:rsidRPr="00C80641">
        <w:rPr>
          <w:rFonts w:ascii="Arial" w:hAnsi="Arial" w:cs="Arial"/>
        </w:rPr>
        <w:t xml:space="preserve"> </w:t>
      </w:r>
      <w:r w:rsidR="00102FA9" w:rsidRPr="00C80641">
        <w:rPr>
          <w:rFonts w:ascii="Arial" w:hAnsi="Arial" w:cs="Arial"/>
        </w:rPr>
        <w:t xml:space="preserve">of primary particles </w:t>
      </w:r>
      <w:r w:rsidR="00177B50" w:rsidRPr="00C80641">
        <w:rPr>
          <w:rFonts w:ascii="Arial" w:hAnsi="Arial" w:cs="Arial"/>
        </w:rPr>
        <w:t>include</w:t>
      </w:r>
      <w:r w:rsidR="00E551FE" w:rsidRPr="00C80641">
        <w:rPr>
          <w:rFonts w:ascii="Arial" w:hAnsi="Arial" w:cs="Arial"/>
        </w:rPr>
        <w:t xml:space="preserve"> </w:t>
      </w:r>
      <w:r w:rsidR="00102FA9" w:rsidRPr="00C80641">
        <w:rPr>
          <w:rFonts w:ascii="Arial" w:hAnsi="Arial" w:cs="Arial"/>
        </w:rPr>
        <w:t xml:space="preserve">wind erosion, </w:t>
      </w:r>
      <w:r w:rsidR="00EE2471" w:rsidRPr="00C80641">
        <w:rPr>
          <w:rFonts w:ascii="Arial" w:hAnsi="Arial" w:cs="Arial"/>
        </w:rPr>
        <w:t xml:space="preserve">some </w:t>
      </w:r>
      <w:r w:rsidR="00102FA9" w:rsidRPr="00C80641">
        <w:rPr>
          <w:rFonts w:ascii="Arial" w:hAnsi="Arial" w:cs="Arial"/>
        </w:rPr>
        <w:t>bush fires</w:t>
      </w:r>
      <w:r w:rsidR="00EE2471" w:rsidRPr="00C80641">
        <w:rPr>
          <w:rFonts w:ascii="Arial" w:hAnsi="Arial" w:cs="Arial"/>
        </w:rPr>
        <w:t>,</w:t>
      </w:r>
      <w:r w:rsidR="00923596" w:rsidRPr="00C80641">
        <w:rPr>
          <w:rFonts w:ascii="Arial" w:hAnsi="Arial" w:cs="Arial"/>
        </w:rPr>
        <w:t xml:space="preserve"> and the product</w:t>
      </w:r>
      <w:r w:rsidR="00102FA9" w:rsidRPr="00C80641">
        <w:rPr>
          <w:rFonts w:ascii="Arial" w:hAnsi="Arial" w:cs="Arial"/>
        </w:rPr>
        <w:t>ion of marine aerosol</w:t>
      </w:r>
      <w:r w:rsidR="00923596" w:rsidRPr="00C80641">
        <w:rPr>
          <w:rFonts w:ascii="Arial" w:hAnsi="Arial" w:cs="Arial"/>
        </w:rPr>
        <w:t xml:space="preserve">. </w:t>
      </w:r>
      <w:r w:rsidR="00177B50" w:rsidRPr="00C80641">
        <w:rPr>
          <w:rFonts w:ascii="Arial" w:hAnsi="Arial" w:cs="Arial"/>
        </w:rPr>
        <w:t>A</w:t>
      </w:r>
      <w:r w:rsidR="00923596" w:rsidRPr="00C80641">
        <w:rPr>
          <w:rFonts w:ascii="Arial" w:hAnsi="Arial" w:cs="Arial"/>
        </w:rPr>
        <w:t>nth</w:t>
      </w:r>
      <w:r w:rsidR="003A01AF" w:rsidRPr="00C80641">
        <w:rPr>
          <w:rFonts w:ascii="Arial" w:hAnsi="Arial" w:cs="Arial"/>
        </w:rPr>
        <w:t xml:space="preserve">ropogenic sources </w:t>
      </w:r>
      <w:r w:rsidR="00177B50" w:rsidRPr="00C80641">
        <w:rPr>
          <w:rFonts w:ascii="Arial" w:hAnsi="Arial" w:cs="Arial"/>
        </w:rPr>
        <w:t>involve</w:t>
      </w:r>
      <w:r w:rsidR="009846AC" w:rsidRPr="00C80641">
        <w:rPr>
          <w:rFonts w:ascii="Arial" w:hAnsi="Arial" w:cs="Arial"/>
        </w:rPr>
        <w:t xml:space="preserve"> </w:t>
      </w:r>
      <w:r w:rsidR="00476CCD" w:rsidRPr="00C80641">
        <w:rPr>
          <w:rFonts w:ascii="Arial" w:hAnsi="Arial" w:cs="Arial"/>
        </w:rPr>
        <w:t xml:space="preserve">fuel </w:t>
      </w:r>
      <w:r w:rsidR="00923596" w:rsidRPr="00C80641">
        <w:rPr>
          <w:rFonts w:ascii="Arial" w:hAnsi="Arial" w:cs="Arial"/>
        </w:rPr>
        <w:t>combustion (</w:t>
      </w:r>
      <w:r w:rsidR="009334F4" w:rsidRPr="00C80641">
        <w:rPr>
          <w:rFonts w:ascii="Arial" w:hAnsi="Arial" w:cs="Arial"/>
        </w:rPr>
        <w:t>e.g.</w:t>
      </w:r>
      <w:r w:rsidR="007852FE" w:rsidRPr="00C80641">
        <w:rPr>
          <w:rFonts w:ascii="Arial" w:hAnsi="Arial" w:cs="Arial"/>
        </w:rPr>
        <w:t xml:space="preserve"> power g</w:t>
      </w:r>
      <w:r w:rsidR="00476CCD" w:rsidRPr="00C80641">
        <w:rPr>
          <w:rFonts w:ascii="Arial" w:hAnsi="Arial" w:cs="Arial"/>
        </w:rPr>
        <w:t xml:space="preserve">eneration, </w:t>
      </w:r>
      <w:r w:rsidR="00923596" w:rsidRPr="00C80641">
        <w:rPr>
          <w:rFonts w:ascii="Arial" w:hAnsi="Arial" w:cs="Arial"/>
        </w:rPr>
        <w:t xml:space="preserve">domestic wood heaters, </w:t>
      </w:r>
      <w:r w:rsidR="007852FE" w:rsidRPr="00C80641">
        <w:rPr>
          <w:rFonts w:ascii="Arial" w:hAnsi="Arial" w:cs="Arial"/>
        </w:rPr>
        <w:t>vehicles</w:t>
      </w:r>
      <w:r w:rsidR="009846AC" w:rsidRPr="00C80641">
        <w:rPr>
          <w:rFonts w:ascii="Arial" w:hAnsi="Arial" w:cs="Arial"/>
        </w:rPr>
        <w:t xml:space="preserve">), mechanical </w:t>
      </w:r>
      <w:r w:rsidR="00923596" w:rsidRPr="00C80641">
        <w:rPr>
          <w:rFonts w:ascii="Arial" w:hAnsi="Arial" w:cs="Arial"/>
        </w:rPr>
        <w:t>s</w:t>
      </w:r>
      <w:r w:rsidR="009846AC" w:rsidRPr="00C80641">
        <w:rPr>
          <w:rFonts w:ascii="Arial" w:hAnsi="Arial" w:cs="Arial"/>
        </w:rPr>
        <w:t>uspension (</w:t>
      </w:r>
      <w:r w:rsidR="009334F4" w:rsidRPr="00C80641">
        <w:rPr>
          <w:rFonts w:ascii="Arial" w:hAnsi="Arial" w:cs="Arial"/>
        </w:rPr>
        <w:t>e.g.</w:t>
      </w:r>
      <w:r w:rsidR="009846AC" w:rsidRPr="00C80641">
        <w:rPr>
          <w:rFonts w:ascii="Arial" w:hAnsi="Arial" w:cs="Arial"/>
        </w:rPr>
        <w:t xml:space="preserve"> entrainment</w:t>
      </w:r>
      <w:r w:rsidR="00102FA9" w:rsidRPr="00C80641">
        <w:rPr>
          <w:rFonts w:ascii="Arial" w:hAnsi="Arial" w:cs="Arial"/>
        </w:rPr>
        <w:t xml:space="preserve"> of dust from </w:t>
      </w:r>
      <w:r w:rsidR="00923596" w:rsidRPr="00C80641">
        <w:rPr>
          <w:rFonts w:ascii="Arial" w:hAnsi="Arial" w:cs="Arial"/>
        </w:rPr>
        <w:t>roads at coal mines)</w:t>
      </w:r>
      <w:r w:rsidR="00102FA9" w:rsidRPr="00C80641">
        <w:rPr>
          <w:rFonts w:ascii="Arial" w:hAnsi="Arial" w:cs="Arial"/>
        </w:rPr>
        <w:t>,</w:t>
      </w:r>
      <w:r w:rsidR="00923596" w:rsidRPr="00C80641">
        <w:rPr>
          <w:rFonts w:ascii="Arial" w:hAnsi="Arial" w:cs="Arial"/>
        </w:rPr>
        <w:t xml:space="preserve"> or abrasion</w:t>
      </w:r>
      <w:r w:rsidR="00102FA9" w:rsidRPr="00C80641">
        <w:rPr>
          <w:rFonts w:ascii="Arial" w:hAnsi="Arial" w:cs="Arial"/>
        </w:rPr>
        <w:t>/</w:t>
      </w:r>
      <w:r w:rsidR="003A01AF" w:rsidRPr="00C80641">
        <w:rPr>
          <w:rFonts w:ascii="Arial" w:hAnsi="Arial" w:cs="Arial"/>
        </w:rPr>
        <w:t>fragmentation</w:t>
      </w:r>
      <w:r w:rsidR="00923596" w:rsidRPr="00C80641">
        <w:rPr>
          <w:rFonts w:ascii="Arial" w:hAnsi="Arial" w:cs="Arial"/>
        </w:rPr>
        <w:t xml:space="preserve"> (</w:t>
      </w:r>
      <w:r w:rsidR="009334F4" w:rsidRPr="00C80641">
        <w:rPr>
          <w:rFonts w:ascii="Arial" w:hAnsi="Arial" w:cs="Arial"/>
        </w:rPr>
        <w:t>e.g.</w:t>
      </w:r>
      <w:r w:rsidR="00102FA9" w:rsidRPr="00C80641">
        <w:rPr>
          <w:rFonts w:ascii="Arial" w:hAnsi="Arial" w:cs="Arial"/>
        </w:rPr>
        <w:t xml:space="preserve"> </w:t>
      </w:r>
      <w:r w:rsidR="00923596" w:rsidRPr="00C80641">
        <w:rPr>
          <w:rFonts w:ascii="Arial" w:hAnsi="Arial" w:cs="Arial"/>
        </w:rPr>
        <w:t>tyre w</w:t>
      </w:r>
      <w:r w:rsidR="0044643F" w:rsidRPr="00C80641">
        <w:rPr>
          <w:rFonts w:ascii="Arial" w:hAnsi="Arial" w:cs="Arial"/>
        </w:rPr>
        <w:t xml:space="preserve">ear). </w:t>
      </w:r>
      <w:r w:rsidR="00476CCD" w:rsidRPr="00C80641">
        <w:rPr>
          <w:rFonts w:ascii="Arial" w:hAnsi="Arial" w:cs="Arial"/>
        </w:rPr>
        <w:t xml:space="preserve">Industrial activities may involve combustion processes, mechanical processes or chemical processes. </w:t>
      </w:r>
      <w:r w:rsidR="0044643F" w:rsidRPr="00C80641">
        <w:rPr>
          <w:rFonts w:ascii="Arial" w:hAnsi="Arial" w:cs="Arial"/>
        </w:rPr>
        <w:t xml:space="preserve">The main constituents of primary particles are </w:t>
      </w:r>
      <w:r w:rsidR="00102FA9" w:rsidRPr="00C80641">
        <w:rPr>
          <w:rFonts w:ascii="Arial" w:hAnsi="Arial" w:cs="Arial"/>
        </w:rPr>
        <w:t xml:space="preserve">elemental carbon, organic compounds, and crustal elements such as </w:t>
      </w:r>
      <w:r w:rsidR="006D2BFC" w:rsidRPr="00C80641">
        <w:rPr>
          <w:rFonts w:ascii="Arial" w:hAnsi="Arial" w:cs="Arial"/>
        </w:rPr>
        <w:t>s</w:t>
      </w:r>
      <w:r w:rsidR="0044643F" w:rsidRPr="00C80641">
        <w:rPr>
          <w:rFonts w:ascii="Arial" w:hAnsi="Arial" w:cs="Arial"/>
        </w:rPr>
        <w:t>i</w:t>
      </w:r>
      <w:r w:rsidR="006D2BFC" w:rsidRPr="00C80641">
        <w:rPr>
          <w:rFonts w:ascii="Arial" w:hAnsi="Arial" w:cs="Arial"/>
        </w:rPr>
        <w:t>licon (Si), a</w:t>
      </w:r>
      <w:r w:rsidR="0044643F" w:rsidRPr="00C80641">
        <w:rPr>
          <w:rFonts w:ascii="Arial" w:hAnsi="Arial" w:cs="Arial"/>
        </w:rPr>
        <w:t>l</w:t>
      </w:r>
      <w:r w:rsidR="006D2BFC" w:rsidRPr="00C80641">
        <w:rPr>
          <w:rFonts w:ascii="Arial" w:hAnsi="Arial" w:cs="Arial"/>
        </w:rPr>
        <w:t>uminium (Al), c</w:t>
      </w:r>
      <w:r w:rsidR="0044643F" w:rsidRPr="00C80641">
        <w:rPr>
          <w:rFonts w:ascii="Arial" w:hAnsi="Arial" w:cs="Arial"/>
        </w:rPr>
        <w:t>a</w:t>
      </w:r>
      <w:r w:rsidR="006D2BFC" w:rsidRPr="00C80641">
        <w:rPr>
          <w:rFonts w:ascii="Arial" w:hAnsi="Arial" w:cs="Arial"/>
        </w:rPr>
        <w:t>lcium (Ca) and iron</w:t>
      </w:r>
      <w:r w:rsidR="0044643F" w:rsidRPr="00C80641">
        <w:rPr>
          <w:rFonts w:ascii="Arial" w:hAnsi="Arial" w:cs="Arial"/>
        </w:rPr>
        <w:t xml:space="preserve"> </w:t>
      </w:r>
      <w:r w:rsidR="006D2BFC" w:rsidRPr="00C80641">
        <w:rPr>
          <w:rFonts w:ascii="Arial" w:hAnsi="Arial" w:cs="Arial"/>
        </w:rPr>
        <w:t>(</w:t>
      </w:r>
      <w:r w:rsidR="0044643F" w:rsidRPr="00C80641">
        <w:rPr>
          <w:rFonts w:ascii="Arial" w:hAnsi="Arial" w:cs="Arial"/>
        </w:rPr>
        <w:t>Fe</w:t>
      </w:r>
      <w:r w:rsidR="006D2BFC" w:rsidRPr="00C80641">
        <w:rPr>
          <w:rFonts w:ascii="Arial" w:hAnsi="Arial" w:cs="Arial"/>
        </w:rPr>
        <w:t>)</w:t>
      </w:r>
      <w:r w:rsidR="00102FA9" w:rsidRPr="00C80641">
        <w:rPr>
          <w:rFonts w:ascii="Arial" w:hAnsi="Arial" w:cs="Arial"/>
        </w:rPr>
        <w:t xml:space="preserve">. </w:t>
      </w:r>
    </w:p>
    <w:p w:rsidR="007852FE" w:rsidRPr="00C80641" w:rsidRDefault="007852FE" w:rsidP="00923596">
      <w:pPr>
        <w:spacing w:after="200"/>
        <w:rPr>
          <w:rFonts w:ascii="Arial" w:hAnsi="Arial" w:cs="Arial"/>
        </w:rPr>
      </w:pPr>
      <w:r w:rsidRPr="00C80641">
        <w:rPr>
          <w:rFonts w:ascii="Arial" w:hAnsi="Arial" w:cs="Arial"/>
        </w:rPr>
        <w:t xml:space="preserve">The amount (in tonnes per year) of primary particles emitted from each source in </w:t>
      </w:r>
      <w:r w:rsidR="003403DA" w:rsidRPr="00C80641">
        <w:rPr>
          <w:rFonts w:ascii="Arial" w:hAnsi="Arial" w:cs="Arial"/>
        </w:rPr>
        <w:t xml:space="preserve">a </w:t>
      </w:r>
      <w:r w:rsidRPr="00C80641">
        <w:rPr>
          <w:rFonts w:ascii="Arial" w:hAnsi="Arial" w:cs="Arial"/>
        </w:rPr>
        <w:t xml:space="preserve">given area is quantified in an </w:t>
      </w:r>
      <w:r w:rsidR="00642492" w:rsidRPr="00C80641">
        <w:rPr>
          <w:rFonts w:ascii="Arial" w:hAnsi="Arial" w:cs="Arial"/>
        </w:rPr>
        <w:t>‘emissions</w:t>
      </w:r>
      <w:r w:rsidRPr="00C80641">
        <w:rPr>
          <w:rFonts w:ascii="Arial" w:hAnsi="Arial" w:cs="Arial"/>
        </w:rPr>
        <w:t xml:space="preserve"> inventory</w:t>
      </w:r>
      <w:r w:rsidR="00642492" w:rsidRPr="00C80641">
        <w:rPr>
          <w:rFonts w:ascii="Arial" w:hAnsi="Arial" w:cs="Arial"/>
        </w:rPr>
        <w:t>’</w:t>
      </w:r>
      <w:r w:rsidRPr="00C80641">
        <w:rPr>
          <w:rFonts w:ascii="Arial" w:hAnsi="Arial" w:cs="Arial"/>
        </w:rPr>
        <w:t xml:space="preserve">. </w:t>
      </w:r>
      <w:r w:rsidR="003A01AF" w:rsidRPr="00C80641">
        <w:rPr>
          <w:rFonts w:ascii="Arial" w:hAnsi="Arial" w:cs="Arial"/>
        </w:rPr>
        <w:t>In Australia the m</w:t>
      </w:r>
      <w:r w:rsidR="00BB224F" w:rsidRPr="00C80641">
        <w:rPr>
          <w:rFonts w:ascii="Arial" w:hAnsi="Arial" w:cs="Arial"/>
        </w:rPr>
        <w:t xml:space="preserve">ajor </w:t>
      </w:r>
      <w:r w:rsidR="00E551FE" w:rsidRPr="00C80641">
        <w:rPr>
          <w:rFonts w:ascii="Arial" w:hAnsi="Arial" w:cs="Arial"/>
        </w:rPr>
        <w:t xml:space="preserve">anthropogenic </w:t>
      </w:r>
      <w:r w:rsidR="00BB224F" w:rsidRPr="00C80641">
        <w:rPr>
          <w:rFonts w:ascii="Arial" w:hAnsi="Arial" w:cs="Arial"/>
        </w:rPr>
        <w:t>sources</w:t>
      </w:r>
      <w:r w:rsidR="00E551FE" w:rsidRPr="00C80641">
        <w:rPr>
          <w:rFonts w:ascii="Arial" w:hAnsi="Arial" w:cs="Arial"/>
        </w:rPr>
        <w:t xml:space="preserve"> of PM</w:t>
      </w:r>
      <w:r w:rsidR="00BB224F" w:rsidRPr="00C80641">
        <w:rPr>
          <w:rFonts w:ascii="Arial" w:hAnsi="Arial" w:cs="Arial"/>
        </w:rPr>
        <w:t xml:space="preserve"> include mining, transport, industry, domestic solid fuel combustion (wood heaters) and planned </w:t>
      </w:r>
      <w:r w:rsidR="00EE2471" w:rsidRPr="00C80641">
        <w:rPr>
          <w:rFonts w:ascii="Arial" w:hAnsi="Arial" w:cs="Arial"/>
        </w:rPr>
        <w:t>(hazard</w:t>
      </w:r>
      <w:r w:rsidR="00E724B2" w:rsidRPr="00C80641">
        <w:rPr>
          <w:rFonts w:ascii="Arial" w:hAnsi="Arial" w:cs="Arial"/>
        </w:rPr>
        <w:t>-</w:t>
      </w:r>
      <w:r w:rsidR="00EE2471" w:rsidRPr="00C80641">
        <w:rPr>
          <w:rFonts w:ascii="Arial" w:hAnsi="Arial" w:cs="Arial"/>
        </w:rPr>
        <w:t xml:space="preserve">reduction) </w:t>
      </w:r>
      <w:r w:rsidR="00BB224F" w:rsidRPr="00C80641">
        <w:rPr>
          <w:rFonts w:ascii="Arial" w:hAnsi="Arial" w:cs="Arial"/>
        </w:rPr>
        <w:t xml:space="preserve">burning. </w:t>
      </w:r>
      <w:r w:rsidRPr="00C80641">
        <w:rPr>
          <w:rFonts w:ascii="Arial" w:hAnsi="Arial" w:cs="Arial"/>
        </w:rPr>
        <w:t xml:space="preserve">More information on emissions in Australia is provided in </w:t>
      </w:r>
      <w:r w:rsidR="00BB224F" w:rsidRPr="00C80641">
        <w:rPr>
          <w:rFonts w:ascii="Arial" w:hAnsi="Arial" w:cs="Arial"/>
          <w:b/>
        </w:rPr>
        <w:t xml:space="preserve">Chapter </w:t>
      </w:r>
      <w:r w:rsidR="005E0A39" w:rsidRPr="00C80641">
        <w:rPr>
          <w:rFonts w:ascii="Arial" w:hAnsi="Arial" w:cs="Arial"/>
          <w:b/>
        </w:rPr>
        <w:t>5</w:t>
      </w:r>
      <w:r w:rsidRPr="00C80641">
        <w:rPr>
          <w:rFonts w:ascii="Arial" w:hAnsi="Arial" w:cs="Arial"/>
        </w:rPr>
        <w:t>.</w:t>
      </w:r>
    </w:p>
    <w:p w:rsidR="00013908" w:rsidRPr="00C80641" w:rsidRDefault="00013908" w:rsidP="00DB5D5F">
      <w:pPr>
        <w:pStyle w:val="Level4PB2"/>
        <w:rPr>
          <w:rFonts w:ascii="Arial" w:hAnsi="Arial" w:cs="Arial"/>
          <w:lang w:val="en-AU"/>
        </w:rPr>
      </w:pPr>
      <w:r w:rsidRPr="00C80641">
        <w:rPr>
          <w:rFonts w:ascii="Arial" w:hAnsi="Arial" w:cs="Arial"/>
          <w:lang w:val="en-AU"/>
        </w:rPr>
        <w:t>Secondary particles</w:t>
      </w:r>
    </w:p>
    <w:p w:rsidR="00053AC9" w:rsidRPr="00C80641" w:rsidRDefault="007455EB" w:rsidP="00023A10">
      <w:pPr>
        <w:rPr>
          <w:rFonts w:ascii="Arial" w:hAnsi="Arial" w:cs="Arial"/>
        </w:rPr>
      </w:pPr>
      <w:r w:rsidRPr="00C80641">
        <w:rPr>
          <w:rFonts w:ascii="Arial" w:hAnsi="Arial" w:cs="Arial"/>
        </w:rPr>
        <w:t xml:space="preserve">Secondary particles are </w:t>
      </w:r>
      <w:r w:rsidR="009846AC" w:rsidRPr="00C80641">
        <w:rPr>
          <w:rFonts w:ascii="Arial" w:hAnsi="Arial" w:cs="Arial"/>
        </w:rPr>
        <w:t xml:space="preserve">not emitted directly but are </w:t>
      </w:r>
      <w:r w:rsidRPr="00C80641">
        <w:rPr>
          <w:rFonts w:ascii="Arial" w:hAnsi="Arial" w:cs="Arial"/>
        </w:rPr>
        <w:t xml:space="preserve">formed </w:t>
      </w:r>
      <w:r w:rsidR="009846AC" w:rsidRPr="00C80641">
        <w:rPr>
          <w:rFonts w:ascii="Arial" w:hAnsi="Arial" w:cs="Arial"/>
        </w:rPr>
        <w:t>in the atmosphere th</w:t>
      </w:r>
      <w:r w:rsidR="00102FA9" w:rsidRPr="00C80641">
        <w:rPr>
          <w:rFonts w:ascii="Arial" w:hAnsi="Arial" w:cs="Arial"/>
        </w:rPr>
        <w:t>rough chemical reactions involving</w:t>
      </w:r>
      <w:r w:rsidR="009846AC" w:rsidRPr="00C80641">
        <w:rPr>
          <w:rFonts w:ascii="Arial" w:hAnsi="Arial" w:cs="Arial"/>
        </w:rPr>
        <w:t xml:space="preserve"> </w:t>
      </w:r>
      <w:r w:rsidR="00102FA9" w:rsidRPr="00C80641">
        <w:rPr>
          <w:rFonts w:ascii="Arial" w:hAnsi="Arial" w:cs="Arial"/>
        </w:rPr>
        <w:t xml:space="preserve">inorganic or organic </w:t>
      </w:r>
      <w:r w:rsidR="009846AC" w:rsidRPr="00C80641">
        <w:rPr>
          <w:rFonts w:ascii="Arial" w:hAnsi="Arial" w:cs="Arial"/>
        </w:rPr>
        <w:t>gas-phase components</w:t>
      </w:r>
      <w:r w:rsidR="00102FA9" w:rsidRPr="00C80641">
        <w:rPr>
          <w:rFonts w:ascii="Arial" w:hAnsi="Arial" w:cs="Arial"/>
        </w:rPr>
        <w:t xml:space="preserve">. </w:t>
      </w:r>
      <w:r w:rsidR="00053AC9" w:rsidRPr="00C80641">
        <w:rPr>
          <w:rFonts w:ascii="Arial" w:eastAsia="Century Gothic" w:hAnsi="Arial" w:cs="Arial"/>
        </w:rPr>
        <w:t>The process by which secondary particles are formed is termed ‘nucleation’, whereby molecules of low volatility condense to form solid or liquid matter. There are t</w:t>
      </w:r>
      <w:r w:rsidR="00102FA9" w:rsidRPr="00C80641">
        <w:rPr>
          <w:rFonts w:ascii="Arial" w:eastAsia="Century Gothic" w:hAnsi="Arial" w:cs="Arial"/>
        </w:rPr>
        <w:t xml:space="preserve">wo distinct types of </w:t>
      </w:r>
      <w:r w:rsidR="00053AC9" w:rsidRPr="00C80641">
        <w:rPr>
          <w:rFonts w:ascii="Arial" w:eastAsia="Century Gothic" w:hAnsi="Arial" w:cs="Arial"/>
        </w:rPr>
        <w:t>process. Most seco</w:t>
      </w:r>
      <w:r w:rsidR="00102FA9" w:rsidRPr="00C80641">
        <w:rPr>
          <w:rFonts w:ascii="Arial" w:eastAsia="Century Gothic" w:hAnsi="Arial" w:cs="Arial"/>
        </w:rPr>
        <w:t xml:space="preserve">ndary particles form </w:t>
      </w:r>
      <w:r w:rsidR="00053AC9" w:rsidRPr="00C80641">
        <w:rPr>
          <w:rFonts w:ascii="Arial" w:eastAsia="Century Gothic" w:hAnsi="Arial" w:cs="Arial"/>
        </w:rPr>
        <w:t>by ‘heterogeneous’ nucleation in which newly formed substances condense onto existing particles, thereby causing the</w:t>
      </w:r>
      <w:r w:rsidR="00102FA9" w:rsidRPr="00C80641">
        <w:rPr>
          <w:rFonts w:ascii="Arial" w:eastAsia="Century Gothic" w:hAnsi="Arial" w:cs="Arial"/>
        </w:rPr>
        <w:t>m to grow</w:t>
      </w:r>
      <w:r w:rsidR="00053AC9" w:rsidRPr="00C80641">
        <w:rPr>
          <w:rFonts w:ascii="Arial" w:eastAsia="Century Gothic" w:hAnsi="Arial" w:cs="Arial"/>
        </w:rPr>
        <w:t>. The second process is called ‘homo</w:t>
      </w:r>
      <w:r w:rsidR="00102FA9" w:rsidRPr="00C80641">
        <w:rPr>
          <w:rFonts w:ascii="Arial" w:eastAsia="Century Gothic" w:hAnsi="Arial" w:cs="Arial"/>
        </w:rPr>
        <w:t>geneous’ nucleation. Some newly-</w:t>
      </w:r>
      <w:r w:rsidR="00053AC9" w:rsidRPr="00C80641">
        <w:rPr>
          <w:rFonts w:ascii="Arial" w:eastAsia="Century Gothic" w:hAnsi="Arial" w:cs="Arial"/>
        </w:rPr>
        <w:t>formed molecules have extremely low vapour pressure and, in the absence of an abundance of pre-existing particles (which would favour heterogeneous nucleation),</w:t>
      </w:r>
      <w:r w:rsidR="00AD5738" w:rsidRPr="00C80641">
        <w:rPr>
          <w:rFonts w:ascii="Arial" w:eastAsia="Century Gothic" w:hAnsi="Arial" w:cs="Arial"/>
        </w:rPr>
        <w:t xml:space="preserve"> will condense </w:t>
      </w:r>
      <w:r w:rsidR="00053AC9" w:rsidRPr="00C80641">
        <w:rPr>
          <w:rFonts w:ascii="Arial" w:eastAsia="Century Gothic" w:hAnsi="Arial" w:cs="Arial"/>
        </w:rPr>
        <w:t xml:space="preserve">to form wholly new particles </w:t>
      </w:r>
      <w:r w:rsidR="00053AC9" w:rsidRPr="00C80641">
        <w:rPr>
          <w:rFonts w:ascii="Arial" w:eastAsia="Century Gothic" w:hAnsi="Arial" w:cs="Arial"/>
          <w:b/>
        </w:rPr>
        <w:t>(AQEG 2005)</w:t>
      </w:r>
      <w:r w:rsidR="00053AC9" w:rsidRPr="00C80641">
        <w:rPr>
          <w:rFonts w:ascii="Arial" w:eastAsia="Century Gothic" w:hAnsi="Arial" w:cs="Arial"/>
        </w:rPr>
        <w:t>.</w:t>
      </w:r>
    </w:p>
    <w:p w:rsidR="00053AC9" w:rsidRPr="00C80641" w:rsidRDefault="00053AC9" w:rsidP="00023A10">
      <w:pPr>
        <w:rPr>
          <w:rFonts w:ascii="Arial" w:eastAsia="Century Gothic" w:hAnsi="Arial" w:cs="Arial"/>
        </w:rPr>
      </w:pPr>
      <w:r w:rsidRPr="00C80641">
        <w:rPr>
          <w:rFonts w:ascii="Arial" w:eastAsia="Century Gothic" w:hAnsi="Arial" w:cs="Arial"/>
        </w:rPr>
        <w:t>The formation</w:t>
      </w:r>
      <w:r w:rsidR="00A84BFA" w:rsidRPr="00C80641">
        <w:rPr>
          <w:rFonts w:ascii="Arial" w:eastAsia="Century Gothic" w:hAnsi="Arial" w:cs="Arial"/>
        </w:rPr>
        <w:t xml:space="preserve"> of secondary inorganic aerosol (SIA)</w:t>
      </w:r>
      <w:r w:rsidRPr="00C80641">
        <w:rPr>
          <w:rFonts w:ascii="Arial" w:eastAsia="Century Gothic" w:hAnsi="Arial" w:cs="Arial"/>
        </w:rPr>
        <w:t xml:space="preserve"> is comparatively well </w:t>
      </w:r>
      <w:r w:rsidR="00E551FE" w:rsidRPr="00C80641">
        <w:rPr>
          <w:rFonts w:ascii="Arial" w:eastAsia="Century Gothic" w:hAnsi="Arial" w:cs="Arial"/>
        </w:rPr>
        <w:t>understood, although some</w:t>
      </w:r>
      <w:r w:rsidRPr="00C80641">
        <w:rPr>
          <w:rFonts w:ascii="Arial" w:eastAsia="Century Gothic" w:hAnsi="Arial" w:cs="Arial"/>
        </w:rPr>
        <w:t xml:space="preserve"> mechanistic details still remain to be determined </w:t>
      </w:r>
      <w:r w:rsidRPr="00C80641">
        <w:rPr>
          <w:rFonts w:ascii="Arial" w:eastAsia="Century Gothic" w:hAnsi="Arial" w:cs="Arial"/>
          <w:b/>
        </w:rPr>
        <w:t>(USEPA 2009)</w:t>
      </w:r>
      <w:r w:rsidR="00102FA9" w:rsidRPr="00C80641">
        <w:rPr>
          <w:rFonts w:ascii="Arial" w:eastAsia="Century Gothic" w:hAnsi="Arial" w:cs="Arial"/>
        </w:rPr>
        <w:t>. SIA is</w:t>
      </w:r>
      <w:r w:rsidRPr="00C80641">
        <w:rPr>
          <w:rFonts w:ascii="Arial" w:eastAsia="Century Gothic" w:hAnsi="Arial" w:cs="Arial"/>
        </w:rPr>
        <w:t xml:space="preserve"> c</w:t>
      </w:r>
      <w:r w:rsidR="00E72AA1" w:rsidRPr="00C80641">
        <w:rPr>
          <w:rFonts w:ascii="Arial" w:eastAsia="Century Gothic" w:hAnsi="Arial" w:cs="Arial"/>
        </w:rPr>
        <w:t>omposed mainly of ammonium sulf</w:t>
      </w:r>
      <w:r w:rsidRPr="00C80641">
        <w:rPr>
          <w:rFonts w:ascii="Arial" w:eastAsia="Century Gothic" w:hAnsi="Arial" w:cs="Arial"/>
        </w:rPr>
        <w:t>ate ((NH</w:t>
      </w:r>
      <w:r w:rsidRPr="00C80641">
        <w:rPr>
          <w:rFonts w:ascii="Arial" w:eastAsia="Century Gothic" w:hAnsi="Arial" w:cs="Arial"/>
          <w:vertAlign w:val="subscript"/>
        </w:rPr>
        <w:t>4</w:t>
      </w:r>
      <w:r w:rsidRPr="00C80641">
        <w:rPr>
          <w:rFonts w:ascii="Arial" w:eastAsia="Century Gothic" w:hAnsi="Arial" w:cs="Arial"/>
        </w:rPr>
        <w:t>)</w:t>
      </w:r>
      <w:r w:rsidRPr="00C80641">
        <w:rPr>
          <w:rFonts w:ascii="Arial" w:eastAsia="Century Gothic" w:hAnsi="Arial" w:cs="Arial"/>
          <w:vertAlign w:val="subscript"/>
        </w:rPr>
        <w:t>2</w:t>
      </w:r>
      <w:r w:rsidRPr="00C80641">
        <w:rPr>
          <w:rFonts w:ascii="Arial" w:eastAsia="Century Gothic" w:hAnsi="Arial" w:cs="Arial"/>
        </w:rPr>
        <w:t>SO</w:t>
      </w:r>
      <w:r w:rsidRPr="00C80641">
        <w:rPr>
          <w:rFonts w:ascii="Arial" w:eastAsia="Century Gothic" w:hAnsi="Arial" w:cs="Arial"/>
          <w:vertAlign w:val="subscript"/>
        </w:rPr>
        <w:t>4</w:t>
      </w:r>
      <w:r w:rsidRPr="00C80641">
        <w:rPr>
          <w:rFonts w:ascii="Arial" w:eastAsia="Century Gothic" w:hAnsi="Arial" w:cs="Arial"/>
        </w:rPr>
        <w:t>) and ammonium nitrate (NH</w:t>
      </w:r>
      <w:r w:rsidRPr="00C80641">
        <w:rPr>
          <w:rFonts w:ascii="Arial" w:eastAsia="Century Gothic" w:hAnsi="Arial" w:cs="Arial"/>
          <w:vertAlign w:val="subscript"/>
        </w:rPr>
        <w:t>4</w:t>
      </w:r>
      <w:r w:rsidRPr="00C80641">
        <w:rPr>
          <w:rFonts w:ascii="Arial" w:eastAsia="Century Gothic" w:hAnsi="Arial" w:cs="Arial"/>
        </w:rPr>
        <w:t>NO</w:t>
      </w:r>
      <w:r w:rsidRPr="00C80641">
        <w:rPr>
          <w:rFonts w:ascii="Arial" w:eastAsia="Century Gothic" w:hAnsi="Arial" w:cs="Arial"/>
          <w:vertAlign w:val="subscript"/>
        </w:rPr>
        <w:t>3</w:t>
      </w:r>
      <w:r w:rsidRPr="00C80641">
        <w:rPr>
          <w:rFonts w:ascii="Arial" w:eastAsia="Century Gothic" w:hAnsi="Arial" w:cs="Arial"/>
        </w:rPr>
        <w:t>)</w:t>
      </w:r>
      <w:r w:rsidR="009846AC" w:rsidRPr="00C80641">
        <w:rPr>
          <w:rFonts w:ascii="Arial" w:eastAsia="Century Gothic" w:hAnsi="Arial" w:cs="Arial"/>
        </w:rPr>
        <w:t>, with some sodium nitrate</w:t>
      </w:r>
      <w:r w:rsidRPr="00C80641">
        <w:rPr>
          <w:rFonts w:ascii="Arial" w:eastAsia="Century Gothic" w:hAnsi="Arial" w:cs="Arial"/>
        </w:rPr>
        <w:t>. These</w:t>
      </w:r>
      <w:r w:rsidR="00102FA9" w:rsidRPr="00C80641">
        <w:rPr>
          <w:rFonts w:ascii="Arial" w:eastAsia="Century Gothic" w:hAnsi="Arial" w:cs="Arial"/>
        </w:rPr>
        <w:t xml:space="preserve"> compounds</w:t>
      </w:r>
      <w:r w:rsidRPr="00C80641">
        <w:rPr>
          <w:rFonts w:ascii="Arial" w:eastAsia="Century Gothic" w:hAnsi="Arial" w:cs="Arial"/>
        </w:rPr>
        <w:t xml:space="preserve"> origi</w:t>
      </w:r>
      <w:r w:rsidR="00E72AA1" w:rsidRPr="00C80641">
        <w:rPr>
          <w:rFonts w:ascii="Arial" w:eastAsia="Century Gothic" w:hAnsi="Arial" w:cs="Arial"/>
        </w:rPr>
        <w:t xml:space="preserve">nate from the conversion of </w:t>
      </w:r>
      <w:r w:rsidR="00102FA9" w:rsidRPr="00C80641">
        <w:rPr>
          <w:rFonts w:ascii="Arial" w:eastAsia="Century Gothic" w:hAnsi="Arial" w:cs="Arial"/>
        </w:rPr>
        <w:t xml:space="preserve">precursor </w:t>
      </w:r>
      <w:r w:rsidR="00E72AA1" w:rsidRPr="00C80641">
        <w:rPr>
          <w:rFonts w:ascii="Arial" w:eastAsia="Century Gothic" w:hAnsi="Arial" w:cs="Arial"/>
        </w:rPr>
        <w:t>sulf</w:t>
      </w:r>
      <w:r w:rsidRPr="00C80641">
        <w:rPr>
          <w:rFonts w:ascii="Arial" w:eastAsia="Century Gothic" w:hAnsi="Arial" w:cs="Arial"/>
        </w:rPr>
        <w:t>ur</w:t>
      </w:r>
      <w:r w:rsidR="00102FA9" w:rsidRPr="00C80641">
        <w:rPr>
          <w:rFonts w:ascii="Arial" w:eastAsia="Century Gothic" w:hAnsi="Arial" w:cs="Arial"/>
        </w:rPr>
        <w:t xml:space="preserve"> oxides (SO</w:t>
      </w:r>
      <w:r w:rsidR="00102FA9" w:rsidRPr="00C80641">
        <w:rPr>
          <w:rFonts w:ascii="Arial" w:eastAsia="Century Gothic" w:hAnsi="Arial" w:cs="Arial"/>
          <w:vertAlign w:val="subscript"/>
        </w:rPr>
        <w:t>X</w:t>
      </w:r>
      <w:r w:rsidR="00102FA9" w:rsidRPr="00C80641">
        <w:rPr>
          <w:rFonts w:ascii="Arial" w:eastAsia="Century Gothic" w:hAnsi="Arial" w:cs="Arial"/>
        </w:rPr>
        <w:t>)</w:t>
      </w:r>
      <w:r w:rsidRPr="00C80641">
        <w:rPr>
          <w:rFonts w:ascii="Arial" w:eastAsia="Century Gothic" w:hAnsi="Arial" w:cs="Arial"/>
        </w:rPr>
        <w:t xml:space="preserve"> and nitrogen oxides</w:t>
      </w:r>
      <w:r w:rsidR="00102FA9" w:rsidRPr="00C80641">
        <w:rPr>
          <w:rFonts w:ascii="Arial" w:eastAsia="Century Gothic" w:hAnsi="Arial" w:cs="Arial"/>
        </w:rPr>
        <w:t xml:space="preserve"> (NO</w:t>
      </w:r>
      <w:r w:rsidR="00102FA9" w:rsidRPr="00C80641">
        <w:rPr>
          <w:rFonts w:ascii="Arial" w:eastAsia="Century Gothic" w:hAnsi="Arial" w:cs="Arial"/>
          <w:vertAlign w:val="subscript"/>
        </w:rPr>
        <w:t>X</w:t>
      </w:r>
      <w:r w:rsidR="00102FA9" w:rsidRPr="00C80641">
        <w:rPr>
          <w:rFonts w:ascii="Arial" w:eastAsia="Century Gothic" w:hAnsi="Arial" w:cs="Arial"/>
        </w:rPr>
        <w:t>)</w:t>
      </w:r>
      <w:r w:rsidRPr="00C80641">
        <w:rPr>
          <w:rFonts w:ascii="Arial" w:eastAsia="Century Gothic" w:hAnsi="Arial" w:cs="Arial"/>
        </w:rPr>
        <w:t xml:space="preserve"> in the atmosphere to </w:t>
      </w:r>
      <w:proofErr w:type="spellStart"/>
      <w:r w:rsidR="00E72AA1" w:rsidRPr="00C80641">
        <w:rPr>
          <w:rFonts w:ascii="Arial" w:eastAsia="Century Gothic" w:hAnsi="Arial" w:cs="Arial"/>
        </w:rPr>
        <w:t>sulf</w:t>
      </w:r>
      <w:r w:rsidR="00AD5738" w:rsidRPr="00C80641">
        <w:rPr>
          <w:rFonts w:ascii="Arial" w:eastAsia="Century Gothic" w:hAnsi="Arial" w:cs="Arial"/>
        </w:rPr>
        <w:t>uric</w:t>
      </w:r>
      <w:proofErr w:type="spellEnd"/>
      <w:r w:rsidR="00AD5738" w:rsidRPr="00C80641">
        <w:rPr>
          <w:rFonts w:ascii="Arial" w:eastAsia="Century Gothic" w:hAnsi="Arial" w:cs="Arial"/>
        </w:rPr>
        <w:t xml:space="preserve"> and nitric </w:t>
      </w:r>
      <w:r w:rsidRPr="00C80641">
        <w:rPr>
          <w:rFonts w:ascii="Arial" w:eastAsia="Century Gothic" w:hAnsi="Arial" w:cs="Arial"/>
        </w:rPr>
        <w:t>acids, which are then neutralised by atmospheric ammonium (NH</w:t>
      </w:r>
      <w:r w:rsidRPr="00C80641">
        <w:rPr>
          <w:rFonts w:ascii="Arial" w:eastAsia="Century Gothic" w:hAnsi="Arial" w:cs="Arial"/>
          <w:vertAlign w:val="subscript"/>
        </w:rPr>
        <w:t>4</w:t>
      </w:r>
      <w:r w:rsidRPr="00C80641">
        <w:rPr>
          <w:rFonts w:ascii="Arial" w:eastAsia="Century Gothic" w:hAnsi="Arial" w:cs="Arial"/>
          <w:vertAlign w:val="superscript"/>
        </w:rPr>
        <w:t>+</w:t>
      </w:r>
      <w:r w:rsidRPr="00C80641">
        <w:rPr>
          <w:rFonts w:ascii="Arial" w:eastAsia="Century Gothic" w:hAnsi="Arial" w:cs="Arial"/>
        </w:rPr>
        <w:t>).</w:t>
      </w:r>
      <w:r w:rsidR="009846AC" w:rsidRPr="00C80641">
        <w:rPr>
          <w:rFonts w:ascii="Arial" w:eastAsia="Century Gothic" w:hAnsi="Arial" w:cs="Arial"/>
        </w:rPr>
        <w:t xml:space="preserve"> </w:t>
      </w:r>
      <w:r w:rsidRPr="00C80641">
        <w:rPr>
          <w:rFonts w:ascii="Arial" w:eastAsia="Century Gothic" w:hAnsi="Arial" w:cs="Arial"/>
        </w:rPr>
        <w:t>The precursor to atmospheric ammonium is ammonia (NH</w:t>
      </w:r>
      <w:r w:rsidRPr="00C80641">
        <w:rPr>
          <w:rFonts w:ascii="Arial" w:eastAsia="Century Gothic" w:hAnsi="Arial" w:cs="Arial"/>
          <w:vertAlign w:val="subscript"/>
        </w:rPr>
        <w:t>3</w:t>
      </w:r>
      <w:r w:rsidRPr="00C80641">
        <w:rPr>
          <w:rFonts w:ascii="Arial" w:eastAsia="Century Gothic" w:hAnsi="Arial" w:cs="Arial"/>
        </w:rPr>
        <w:t xml:space="preserve">). </w:t>
      </w:r>
      <w:r w:rsidR="00102FA9" w:rsidRPr="00C80641">
        <w:rPr>
          <w:rFonts w:ascii="Arial" w:eastAsia="Century Gothic" w:hAnsi="Arial" w:cs="Arial"/>
        </w:rPr>
        <w:t>SO</w:t>
      </w:r>
      <w:r w:rsidR="00102FA9" w:rsidRPr="00C80641">
        <w:rPr>
          <w:rFonts w:ascii="Arial" w:eastAsia="Century Gothic" w:hAnsi="Arial" w:cs="Arial"/>
          <w:vertAlign w:val="subscript"/>
        </w:rPr>
        <w:t>X</w:t>
      </w:r>
      <w:r w:rsidR="00102FA9" w:rsidRPr="00C80641">
        <w:rPr>
          <w:rFonts w:ascii="Arial" w:eastAsia="Century Gothic" w:hAnsi="Arial" w:cs="Arial"/>
        </w:rPr>
        <w:t xml:space="preserve"> and NO</w:t>
      </w:r>
      <w:r w:rsidR="00102FA9" w:rsidRPr="00C80641">
        <w:rPr>
          <w:rFonts w:ascii="Arial" w:eastAsia="Century Gothic" w:hAnsi="Arial" w:cs="Arial"/>
          <w:vertAlign w:val="subscript"/>
        </w:rPr>
        <w:t>X</w:t>
      </w:r>
      <w:r w:rsidR="00102FA9" w:rsidRPr="00C80641">
        <w:rPr>
          <w:rFonts w:ascii="Arial" w:eastAsia="Century Gothic" w:hAnsi="Arial" w:cs="Arial"/>
        </w:rPr>
        <w:t xml:space="preserve"> typically arise from combustion sources. </w:t>
      </w:r>
      <w:r w:rsidRPr="00C80641">
        <w:rPr>
          <w:rFonts w:ascii="Arial" w:eastAsia="Century Gothic" w:hAnsi="Arial" w:cs="Arial"/>
        </w:rPr>
        <w:t>NH</w:t>
      </w:r>
      <w:r w:rsidRPr="00C80641">
        <w:rPr>
          <w:rFonts w:ascii="Arial" w:eastAsia="Century Gothic" w:hAnsi="Arial" w:cs="Arial"/>
          <w:vertAlign w:val="subscript"/>
        </w:rPr>
        <w:t>3</w:t>
      </w:r>
      <w:r w:rsidRPr="00C80641">
        <w:rPr>
          <w:rFonts w:ascii="Arial" w:eastAsia="Century Gothic" w:hAnsi="Arial" w:cs="Arial"/>
        </w:rPr>
        <w:t xml:space="preserve"> emissions are dominated by agricultural sourc</w:t>
      </w:r>
      <w:r w:rsidR="008712A6" w:rsidRPr="00C80641">
        <w:rPr>
          <w:rFonts w:ascii="Arial" w:eastAsia="Century Gothic" w:hAnsi="Arial" w:cs="Arial"/>
        </w:rPr>
        <w:t>es, such as</w:t>
      </w:r>
      <w:r w:rsidR="00AD5738" w:rsidRPr="00C80641">
        <w:rPr>
          <w:rFonts w:ascii="Arial" w:eastAsia="Century Gothic" w:hAnsi="Arial" w:cs="Arial"/>
        </w:rPr>
        <w:t xml:space="preserve"> the </w:t>
      </w:r>
      <w:r w:rsidRPr="00C80641">
        <w:rPr>
          <w:rFonts w:ascii="Arial" w:eastAsia="Century Gothic" w:hAnsi="Arial" w:cs="Arial"/>
        </w:rPr>
        <w:t>decomposition of urea a</w:t>
      </w:r>
      <w:r w:rsidR="00AD5738" w:rsidRPr="00C80641">
        <w:rPr>
          <w:rFonts w:ascii="Arial" w:eastAsia="Century Gothic" w:hAnsi="Arial" w:cs="Arial"/>
        </w:rPr>
        <w:t>nd uric acid in livestock waste</w:t>
      </w:r>
      <w:r w:rsidRPr="00C80641">
        <w:rPr>
          <w:rFonts w:ascii="Arial" w:eastAsia="Century Gothic" w:hAnsi="Arial" w:cs="Arial"/>
        </w:rPr>
        <w:t xml:space="preserve"> </w:t>
      </w:r>
      <w:r w:rsidRPr="00C80641">
        <w:rPr>
          <w:rFonts w:ascii="Arial" w:eastAsia="Century Gothic" w:hAnsi="Arial" w:cs="Arial"/>
          <w:b/>
        </w:rPr>
        <w:t>(AQEG 2005)</w:t>
      </w:r>
      <w:r w:rsidRPr="00C80641">
        <w:rPr>
          <w:rFonts w:ascii="Arial" w:eastAsia="Century Gothic" w:hAnsi="Arial" w:cs="Arial"/>
        </w:rPr>
        <w:t>.</w:t>
      </w:r>
    </w:p>
    <w:p w:rsidR="00053AC9" w:rsidRPr="00C80641" w:rsidRDefault="00053AC9" w:rsidP="00023A10">
      <w:pPr>
        <w:rPr>
          <w:rFonts w:ascii="Arial" w:eastAsia="Century Gothic" w:hAnsi="Arial" w:cs="Arial"/>
        </w:rPr>
      </w:pPr>
      <w:r w:rsidRPr="00C80641">
        <w:rPr>
          <w:rFonts w:ascii="Arial" w:eastAsia="Century Gothic" w:hAnsi="Arial" w:cs="Arial"/>
        </w:rPr>
        <w:lastRenderedPageBreak/>
        <w:t>S</w:t>
      </w:r>
      <w:r w:rsidR="00102FA9" w:rsidRPr="00C80641">
        <w:rPr>
          <w:rFonts w:ascii="Arial" w:hAnsi="Arial" w:cs="Arial"/>
        </w:rPr>
        <w:t>econdary organic aerosol (SOA) is</w:t>
      </w:r>
      <w:r w:rsidRPr="00C80641">
        <w:rPr>
          <w:rFonts w:ascii="Arial" w:eastAsia="Century Gothic" w:hAnsi="Arial" w:cs="Arial"/>
        </w:rPr>
        <w:t xml:space="preserve"> linked to the </w:t>
      </w:r>
      <w:r w:rsidRPr="00C80641">
        <w:rPr>
          <w:rFonts w:ascii="Arial" w:hAnsi="Arial" w:cs="Arial"/>
        </w:rPr>
        <w:t>formation and continuing transformation of low-volatility organic compounds in the atmosphere.</w:t>
      </w:r>
      <w:r w:rsidRPr="00C80641">
        <w:rPr>
          <w:rFonts w:ascii="Arial" w:eastAsia="Century Gothic" w:hAnsi="Arial" w:cs="Arial"/>
        </w:rPr>
        <w:t xml:space="preserve"> </w:t>
      </w:r>
      <w:r w:rsidRPr="00C80641">
        <w:rPr>
          <w:rFonts w:ascii="Arial" w:hAnsi="Arial" w:cs="Arial"/>
        </w:rPr>
        <w:t xml:space="preserve">The formation of </w:t>
      </w:r>
      <w:r w:rsidR="0001741B" w:rsidRPr="00C80641">
        <w:rPr>
          <w:rFonts w:ascii="Arial" w:hAnsi="Arial" w:cs="Arial"/>
        </w:rPr>
        <w:t xml:space="preserve">these </w:t>
      </w:r>
      <w:r w:rsidRPr="00C80641">
        <w:rPr>
          <w:rFonts w:ascii="Arial" w:hAnsi="Arial" w:cs="Arial"/>
        </w:rPr>
        <w:t xml:space="preserve">compounds is governed by a complex series of reactions involving a </w:t>
      </w:r>
      <w:r w:rsidR="0001741B" w:rsidRPr="00C80641">
        <w:rPr>
          <w:rFonts w:ascii="Arial" w:hAnsi="Arial" w:cs="Arial"/>
        </w:rPr>
        <w:t>large number of organic species</w:t>
      </w:r>
      <w:r w:rsidRPr="00C80641">
        <w:rPr>
          <w:rFonts w:ascii="Arial" w:hAnsi="Arial" w:cs="Arial"/>
        </w:rPr>
        <w:t xml:space="preserve"> </w:t>
      </w:r>
      <w:r w:rsidR="0001741B" w:rsidRPr="00C80641">
        <w:rPr>
          <w:rFonts w:ascii="Arial" w:hAnsi="Arial" w:cs="Arial"/>
          <w:b/>
        </w:rPr>
        <w:t xml:space="preserve">(Kroll </w:t>
      </w:r>
      <w:r w:rsidR="00A358F2" w:rsidRPr="00C80641">
        <w:rPr>
          <w:rFonts w:ascii="Arial" w:hAnsi="Arial" w:cs="Arial"/>
          <w:b/>
        </w:rPr>
        <w:t xml:space="preserve">&amp; </w:t>
      </w:r>
      <w:r w:rsidR="0001741B" w:rsidRPr="00C80641">
        <w:rPr>
          <w:rFonts w:ascii="Arial" w:hAnsi="Arial" w:cs="Arial"/>
          <w:b/>
        </w:rPr>
        <w:t xml:space="preserve">Seinfeld </w:t>
      </w:r>
      <w:r w:rsidRPr="00C80641">
        <w:rPr>
          <w:rFonts w:ascii="Arial" w:hAnsi="Arial" w:cs="Arial"/>
          <w:b/>
        </w:rPr>
        <w:t>2008)</w:t>
      </w:r>
      <w:r w:rsidR="0001741B" w:rsidRPr="00C80641">
        <w:rPr>
          <w:rFonts w:ascii="Arial" w:hAnsi="Arial" w:cs="Arial"/>
        </w:rPr>
        <w:t>.</w:t>
      </w:r>
      <w:r w:rsidR="0001741B" w:rsidRPr="00C80641">
        <w:rPr>
          <w:rFonts w:ascii="Arial" w:eastAsia="Century Gothic" w:hAnsi="Arial" w:cs="Arial"/>
        </w:rPr>
        <w:t xml:space="preserve"> </w:t>
      </w:r>
      <w:r w:rsidRPr="00C80641">
        <w:rPr>
          <w:rFonts w:ascii="Arial" w:hAnsi="Arial" w:cs="Arial"/>
        </w:rPr>
        <w:t xml:space="preserve">As a result of this complexity </w:t>
      </w:r>
      <w:r w:rsidRPr="00C80641">
        <w:rPr>
          <w:rFonts w:ascii="Arial" w:eastAsia="Century Gothic" w:hAnsi="Arial" w:cs="Arial"/>
        </w:rPr>
        <w:t xml:space="preserve">a great deal of uncertainty exists around the process of SOA formation, </w:t>
      </w:r>
      <w:r w:rsidRPr="00C80641">
        <w:rPr>
          <w:rFonts w:ascii="Arial" w:hAnsi="Arial" w:cs="Arial"/>
        </w:rPr>
        <w:t xml:space="preserve">and </w:t>
      </w:r>
      <w:r w:rsidRPr="00C80641">
        <w:rPr>
          <w:rFonts w:ascii="Arial" w:eastAsia="Century Gothic" w:hAnsi="Arial" w:cs="Arial"/>
        </w:rPr>
        <w:t xml:space="preserve">source identification </w:t>
      </w:r>
      <w:r w:rsidRPr="00C80641">
        <w:rPr>
          <w:rFonts w:ascii="Arial" w:hAnsi="Arial" w:cs="Arial"/>
        </w:rPr>
        <w:t xml:space="preserve">presents a substantial challenge </w:t>
      </w:r>
      <w:r w:rsidRPr="00C80641">
        <w:rPr>
          <w:rFonts w:ascii="Arial" w:hAnsi="Arial" w:cs="Arial"/>
          <w:b/>
        </w:rPr>
        <w:t>(USEPA 2009)</w:t>
      </w:r>
      <w:r w:rsidRPr="00C80641">
        <w:rPr>
          <w:rFonts w:ascii="Arial" w:eastAsia="Century Gothic" w:hAnsi="Arial" w:cs="Arial"/>
        </w:rPr>
        <w:t>.</w:t>
      </w:r>
    </w:p>
    <w:p w:rsidR="00102FA9" w:rsidRPr="00C80641" w:rsidRDefault="00053AC9" w:rsidP="00023A10">
      <w:pPr>
        <w:rPr>
          <w:rFonts w:ascii="Arial" w:eastAsia="Century Gothic" w:hAnsi="Arial" w:cs="Arial"/>
        </w:rPr>
      </w:pPr>
      <w:r w:rsidRPr="00C80641">
        <w:rPr>
          <w:rFonts w:ascii="Arial" w:eastAsia="Century Gothic" w:hAnsi="Arial" w:cs="Arial"/>
        </w:rPr>
        <w:t>The formation of secondary particles happens slowly; the overall oxidation rates of SO</w:t>
      </w:r>
      <w:r w:rsidRPr="00C80641">
        <w:rPr>
          <w:rFonts w:ascii="Arial" w:eastAsia="Century Gothic" w:hAnsi="Arial" w:cs="Arial"/>
          <w:vertAlign w:val="subscript"/>
        </w:rPr>
        <w:t>2</w:t>
      </w:r>
      <w:r w:rsidRPr="00C80641">
        <w:rPr>
          <w:rFonts w:ascii="Arial" w:eastAsia="Century Gothic" w:hAnsi="Arial" w:cs="Arial"/>
        </w:rPr>
        <w:t xml:space="preserve"> and NO</w:t>
      </w:r>
      <w:r w:rsidRPr="00C80641">
        <w:rPr>
          <w:rFonts w:ascii="Arial" w:eastAsia="Century Gothic" w:hAnsi="Arial" w:cs="Arial"/>
          <w:vertAlign w:val="subscript"/>
        </w:rPr>
        <w:t>2</w:t>
      </w:r>
      <w:r w:rsidRPr="00C80641">
        <w:rPr>
          <w:rFonts w:ascii="Arial" w:eastAsia="Century Gothic" w:hAnsi="Arial" w:cs="Arial"/>
        </w:rPr>
        <w:t xml:space="preserve"> are around 1% per hour and 5% per hour respectively. The slowness of these processes </w:t>
      </w:r>
      <w:r w:rsidR="00A358F2" w:rsidRPr="00C80641">
        <w:rPr>
          <w:rFonts w:ascii="Arial" w:eastAsia="Century Gothic" w:hAnsi="Arial" w:cs="Arial"/>
        </w:rPr>
        <w:t>–</w:t>
      </w:r>
      <w:r w:rsidRPr="00C80641">
        <w:rPr>
          <w:rFonts w:ascii="Arial" w:eastAsia="Century Gothic" w:hAnsi="Arial" w:cs="Arial"/>
        </w:rPr>
        <w:t xml:space="preserve"> and the fact that the resulting particles are small and therefore have a relatively long atmospheric lifetime </w:t>
      </w:r>
      <w:r w:rsidR="00A358F2" w:rsidRPr="00C80641">
        <w:rPr>
          <w:rFonts w:ascii="Arial" w:eastAsia="Century Gothic" w:hAnsi="Arial" w:cs="Arial"/>
        </w:rPr>
        <w:t>–</w:t>
      </w:r>
      <w:r w:rsidRPr="00C80641">
        <w:rPr>
          <w:rFonts w:ascii="Arial" w:eastAsia="Century Gothic" w:hAnsi="Arial" w:cs="Arial"/>
        </w:rPr>
        <w:t xml:space="preserve"> means that secondary particles are usually observed many kilometres downwind of the </w:t>
      </w:r>
      <w:r w:rsidR="0001741B" w:rsidRPr="00C80641">
        <w:rPr>
          <w:rFonts w:ascii="Arial" w:eastAsia="Century Gothic" w:hAnsi="Arial" w:cs="Arial"/>
        </w:rPr>
        <w:t>source of the precursor</w:t>
      </w:r>
      <w:r w:rsidRPr="00C80641">
        <w:rPr>
          <w:rFonts w:ascii="Arial" w:eastAsia="Century Gothic" w:hAnsi="Arial" w:cs="Arial"/>
        </w:rPr>
        <w:t xml:space="preserve">s. </w:t>
      </w:r>
      <w:r w:rsidR="0001741B" w:rsidRPr="00C80641">
        <w:rPr>
          <w:rFonts w:ascii="Arial" w:eastAsia="Century Gothic" w:hAnsi="Arial" w:cs="Arial"/>
        </w:rPr>
        <w:t xml:space="preserve">Sources of </w:t>
      </w:r>
      <w:r w:rsidRPr="00C80641">
        <w:rPr>
          <w:rFonts w:ascii="Arial" w:eastAsia="Century Gothic" w:hAnsi="Arial" w:cs="Arial"/>
        </w:rPr>
        <w:t>SO</w:t>
      </w:r>
      <w:r w:rsidRPr="00C80641">
        <w:rPr>
          <w:rFonts w:ascii="Arial" w:eastAsia="Century Gothic" w:hAnsi="Arial" w:cs="Arial"/>
          <w:vertAlign w:val="subscript"/>
        </w:rPr>
        <w:t>2</w:t>
      </w:r>
      <w:r w:rsidR="0001741B" w:rsidRPr="00C80641">
        <w:rPr>
          <w:rFonts w:ascii="Arial" w:eastAsia="Century Gothic" w:hAnsi="Arial" w:cs="Arial"/>
        </w:rPr>
        <w:t xml:space="preserve"> </w:t>
      </w:r>
      <w:r w:rsidR="00E72AA1" w:rsidRPr="00C80641">
        <w:rPr>
          <w:rFonts w:ascii="Arial" w:eastAsia="Century Gothic" w:hAnsi="Arial" w:cs="Arial"/>
        </w:rPr>
        <w:t xml:space="preserve">typically contribute to </w:t>
      </w:r>
      <w:r w:rsidR="00102FA9" w:rsidRPr="00C80641">
        <w:rPr>
          <w:rFonts w:ascii="Arial" w:eastAsia="Century Gothic" w:hAnsi="Arial" w:cs="Arial"/>
        </w:rPr>
        <w:t xml:space="preserve">secondary </w:t>
      </w:r>
      <w:r w:rsidR="00E72AA1" w:rsidRPr="00C80641">
        <w:rPr>
          <w:rFonts w:ascii="Arial" w:eastAsia="Century Gothic" w:hAnsi="Arial" w:cs="Arial"/>
        </w:rPr>
        <w:t>sulf</w:t>
      </w:r>
      <w:r w:rsidRPr="00C80641">
        <w:rPr>
          <w:rFonts w:ascii="Arial" w:eastAsia="Century Gothic" w:hAnsi="Arial" w:cs="Arial"/>
        </w:rPr>
        <w:t>ate hundreds to thousands of kilometres downwind, whereas NO</w:t>
      </w:r>
      <w:r w:rsidRPr="00C80641">
        <w:rPr>
          <w:rFonts w:ascii="Arial" w:eastAsia="Century Gothic" w:hAnsi="Arial" w:cs="Arial"/>
          <w:vertAlign w:val="subscript"/>
        </w:rPr>
        <w:t>X</w:t>
      </w:r>
      <w:r w:rsidRPr="00C80641">
        <w:rPr>
          <w:rFonts w:ascii="Arial" w:eastAsia="Century Gothic" w:hAnsi="Arial" w:cs="Arial"/>
        </w:rPr>
        <w:t xml:space="preserve"> emission sources typically contribute to </w:t>
      </w:r>
      <w:r w:rsidR="00102FA9" w:rsidRPr="00C80641">
        <w:rPr>
          <w:rFonts w:ascii="Arial" w:eastAsia="Century Gothic" w:hAnsi="Arial" w:cs="Arial"/>
        </w:rPr>
        <w:t xml:space="preserve">secondary </w:t>
      </w:r>
      <w:r w:rsidRPr="00C80641">
        <w:rPr>
          <w:rFonts w:ascii="Arial" w:eastAsia="Century Gothic" w:hAnsi="Arial" w:cs="Arial"/>
        </w:rPr>
        <w:t xml:space="preserve">nitrate tens to hundreds of kilometres downwind. </w:t>
      </w:r>
      <w:r w:rsidR="0001741B" w:rsidRPr="00C80641">
        <w:rPr>
          <w:rFonts w:ascii="Arial" w:eastAsia="Century Gothic" w:hAnsi="Arial" w:cs="Arial"/>
        </w:rPr>
        <w:t>Consequently</w:t>
      </w:r>
      <w:r w:rsidRPr="00C80641">
        <w:rPr>
          <w:rFonts w:ascii="Arial" w:eastAsia="Century Gothic" w:hAnsi="Arial" w:cs="Arial"/>
        </w:rPr>
        <w:t xml:space="preserve">, there is a reasonably even distribution of secondary PM on a regional scale, </w:t>
      </w:r>
      <w:r w:rsidR="0001741B" w:rsidRPr="00C80641">
        <w:rPr>
          <w:rFonts w:ascii="Arial" w:eastAsia="Century Gothic" w:hAnsi="Arial" w:cs="Arial"/>
        </w:rPr>
        <w:t>with smaller</w:t>
      </w:r>
      <w:r w:rsidRPr="00C80641">
        <w:rPr>
          <w:rFonts w:ascii="Arial" w:eastAsia="Century Gothic" w:hAnsi="Arial" w:cs="Arial"/>
        </w:rPr>
        <w:t xml:space="preserve"> differences between urban and rural areas than for primary particles</w:t>
      </w:r>
      <w:r w:rsidRPr="00C80641">
        <w:rPr>
          <w:rFonts w:ascii="Arial" w:eastAsia="Century Gothic" w:hAnsi="Arial" w:cs="Arial"/>
          <w:b/>
        </w:rPr>
        <w:t xml:space="preserve"> (</w:t>
      </w:r>
      <w:proofErr w:type="spellStart"/>
      <w:r w:rsidRPr="00C80641">
        <w:rPr>
          <w:rFonts w:ascii="Arial" w:eastAsia="Century Gothic" w:hAnsi="Arial" w:cs="Arial"/>
          <w:b/>
        </w:rPr>
        <w:t>Laxen</w:t>
      </w:r>
      <w:proofErr w:type="spellEnd"/>
      <w:r w:rsidRPr="00C80641">
        <w:rPr>
          <w:rFonts w:ascii="Arial" w:eastAsia="Century Gothic" w:hAnsi="Arial" w:cs="Arial"/>
          <w:b/>
        </w:rPr>
        <w:t xml:space="preserve"> </w:t>
      </w:r>
      <w:r w:rsidR="009334F4" w:rsidRPr="00C80641">
        <w:rPr>
          <w:rFonts w:ascii="Arial" w:eastAsia="Century Gothic" w:hAnsi="Arial" w:cs="Arial"/>
          <w:b/>
        </w:rPr>
        <w:t>et al</w:t>
      </w:r>
      <w:r w:rsidRPr="00C80641">
        <w:rPr>
          <w:rFonts w:ascii="Arial" w:eastAsia="Century Gothic" w:hAnsi="Arial" w:cs="Arial"/>
          <w:b/>
        </w:rPr>
        <w:t>. 2010)</w:t>
      </w:r>
      <w:r w:rsidRPr="00C80641">
        <w:rPr>
          <w:rFonts w:ascii="Arial" w:eastAsia="Century Gothic" w:hAnsi="Arial" w:cs="Arial"/>
        </w:rPr>
        <w:t>.</w:t>
      </w:r>
      <w:r w:rsidR="00102FA9" w:rsidRPr="00C80641">
        <w:rPr>
          <w:rFonts w:ascii="Arial" w:eastAsia="Century Gothic" w:hAnsi="Arial" w:cs="Arial"/>
        </w:rPr>
        <w:t xml:space="preserve"> </w:t>
      </w:r>
      <w:r w:rsidR="00102FA9" w:rsidRPr="00C80641">
        <w:rPr>
          <w:rFonts w:ascii="Arial" w:hAnsi="Arial" w:cs="Arial"/>
        </w:rPr>
        <w:t>Various studies have shown that secondary particles can contribute significantly to PM</w:t>
      </w:r>
      <w:r w:rsidR="00B83363" w:rsidRPr="00C80641">
        <w:rPr>
          <w:rFonts w:ascii="Arial" w:eastAsia="Century Gothic" w:hAnsi="Arial" w:cs="Arial"/>
        </w:rPr>
        <w:t xml:space="preserve"> concentrations,</w:t>
      </w:r>
      <w:r w:rsidR="00102FA9" w:rsidRPr="00C80641">
        <w:rPr>
          <w:rFonts w:ascii="Arial" w:eastAsia="Century Gothic" w:hAnsi="Arial" w:cs="Arial"/>
        </w:rPr>
        <w:t xml:space="preserve"> especially at background sites</w:t>
      </w:r>
      <w:r w:rsidR="00102FA9" w:rsidRPr="00C80641">
        <w:rPr>
          <w:rFonts w:ascii="Arial" w:hAnsi="Arial" w:cs="Arial"/>
        </w:rPr>
        <w:t xml:space="preserve"> (see, for example, the extensive review by the United States Environmental Protection Agency</w:t>
      </w:r>
      <w:r w:rsidR="00860E6F" w:rsidRPr="00C80641">
        <w:rPr>
          <w:rFonts w:ascii="Arial" w:hAnsi="Arial" w:cs="Arial"/>
        </w:rPr>
        <w:t xml:space="preserve"> (USEPA)</w:t>
      </w:r>
      <w:r w:rsidR="00102FA9" w:rsidRPr="00C80641">
        <w:rPr>
          <w:rFonts w:ascii="Arial" w:hAnsi="Arial" w:cs="Arial"/>
        </w:rPr>
        <w:t xml:space="preserve"> </w:t>
      </w:r>
      <w:r w:rsidR="00102FA9" w:rsidRPr="00C80641">
        <w:rPr>
          <w:rFonts w:ascii="Arial" w:hAnsi="Arial" w:cs="Arial"/>
          <w:b/>
        </w:rPr>
        <w:t>(USEPA 2009)</w:t>
      </w:r>
      <w:r w:rsidR="00102FA9" w:rsidRPr="00C80641">
        <w:rPr>
          <w:rFonts w:ascii="Arial" w:hAnsi="Arial" w:cs="Arial"/>
        </w:rPr>
        <w:t>).</w:t>
      </w:r>
    </w:p>
    <w:p w:rsidR="009846AC" w:rsidRPr="00C80641" w:rsidRDefault="009846AC" w:rsidP="00DB5D5F">
      <w:pPr>
        <w:pStyle w:val="Level4PB2"/>
        <w:rPr>
          <w:rFonts w:ascii="Arial" w:eastAsia="Century Gothic" w:hAnsi="Arial" w:cs="Arial"/>
          <w:lang w:val="en-AU"/>
        </w:rPr>
      </w:pPr>
      <w:r w:rsidRPr="00C80641">
        <w:rPr>
          <w:rFonts w:ascii="Arial" w:eastAsia="Century Gothic" w:hAnsi="Arial" w:cs="Arial"/>
          <w:lang w:val="en-AU"/>
        </w:rPr>
        <w:t>Water</w:t>
      </w:r>
    </w:p>
    <w:p w:rsidR="009846AC" w:rsidRPr="00C80641" w:rsidRDefault="009846AC" w:rsidP="00023A10">
      <w:pPr>
        <w:spacing w:after="360"/>
        <w:rPr>
          <w:rFonts w:ascii="Arial" w:eastAsia="Century Gothic" w:hAnsi="Arial" w:cs="Arial"/>
        </w:rPr>
      </w:pPr>
      <w:r w:rsidRPr="00C80641">
        <w:rPr>
          <w:rFonts w:ascii="Arial" w:eastAsia="Century Gothic" w:hAnsi="Arial" w:cs="Arial"/>
        </w:rPr>
        <w:t>Water is a normal component of PM, but the amount present is very variable</w:t>
      </w:r>
      <w:r w:rsidR="005618BC" w:rsidRPr="00C80641">
        <w:rPr>
          <w:rFonts w:ascii="Arial" w:eastAsia="Century Gothic" w:hAnsi="Arial" w:cs="Arial"/>
        </w:rPr>
        <w:t>,</w:t>
      </w:r>
      <w:r w:rsidRPr="00C80641">
        <w:rPr>
          <w:rFonts w:ascii="Arial" w:eastAsia="Century Gothic" w:hAnsi="Arial" w:cs="Arial"/>
        </w:rPr>
        <w:t xml:space="preserve"> and </w:t>
      </w:r>
      <w:r w:rsidR="005618BC" w:rsidRPr="00C80641">
        <w:rPr>
          <w:rFonts w:ascii="Arial" w:eastAsia="Century Gothic" w:hAnsi="Arial" w:cs="Arial"/>
        </w:rPr>
        <w:t xml:space="preserve">the amount detected </w:t>
      </w:r>
      <w:r w:rsidRPr="00C80641">
        <w:rPr>
          <w:rFonts w:ascii="Arial" w:eastAsia="Century Gothic" w:hAnsi="Arial" w:cs="Arial"/>
        </w:rPr>
        <w:t>depends on the measurement method</w:t>
      </w:r>
      <w:r w:rsidR="005618BC" w:rsidRPr="00C80641">
        <w:rPr>
          <w:rFonts w:ascii="Arial" w:eastAsia="Century Gothic" w:hAnsi="Arial" w:cs="Arial"/>
        </w:rPr>
        <w:t xml:space="preserve"> (</w:t>
      </w:r>
      <w:r w:rsidR="009334F4" w:rsidRPr="00C80641">
        <w:rPr>
          <w:rFonts w:ascii="Arial" w:eastAsia="Century Gothic" w:hAnsi="Arial" w:cs="Arial"/>
        </w:rPr>
        <w:t>e.g.</w:t>
      </w:r>
      <w:r w:rsidR="005618BC" w:rsidRPr="00C80641">
        <w:rPr>
          <w:rFonts w:ascii="Arial" w:eastAsia="Century Gothic" w:hAnsi="Arial" w:cs="Arial"/>
        </w:rPr>
        <w:t xml:space="preserve"> whether an instrument inlet is heated or unheated)</w:t>
      </w:r>
      <w:r w:rsidRPr="00C80641">
        <w:rPr>
          <w:rFonts w:ascii="Arial" w:eastAsia="Century Gothic" w:hAnsi="Arial" w:cs="Arial"/>
        </w:rPr>
        <w:t>. Water bi</w:t>
      </w:r>
      <w:r w:rsidR="0001741B" w:rsidRPr="00C80641">
        <w:rPr>
          <w:rFonts w:ascii="Arial" w:eastAsia="Century Gothic" w:hAnsi="Arial" w:cs="Arial"/>
        </w:rPr>
        <w:t>nds to hydrophilic components of</w:t>
      </w:r>
      <w:r w:rsidR="00E72AA1" w:rsidRPr="00C80641">
        <w:rPr>
          <w:rFonts w:ascii="Arial" w:eastAsia="Century Gothic" w:hAnsi="Arial" w:cs="Arial"/>
        </w:rPr>
        <w:t xml:space="preserve"> PM such as sulf</w:t>
      </w:r>
      <w:r w:rsidRPr="00C80641">
        <w:rPr>
          <w:rFonts w:ascii="Arial" w:eastAsia="Century Gothic" w:hAnsi="Arial" w:cs="Arial"/>
        </w:rPr>
        <w:t xml:space="preserve">ate, ammonium, nitrate and sea salt. </w:t>
      </w:r>
      <w:r w:rsidR="0001741B" w:rsidRPr="00C80641">
        <w:rPr>
          <w:rFonts w:ascii="Arial" w:eastAsia="Century Gothic" w:hAnsi="Arial" w:cs="Arial"/>
        </w:rPr>
        <w:t>Therefore, r</w:t>
      </w:r>
      <w:r w:rsidRPr="00C80641">
        <w:rPr>
          <w:rFonts w:ascii="Arial" w:eastAsia="Century Gothic" w:hAnsi="Arial" w:cs="Arial"/>
        </w:rPr>
        <w:t>educing emissions of SO</w:t>
      </w:r>
      <w:r w:rsidRPr="00C80641">
        <w:rPr>
          <w:rFonts w:ascii="Arial" w:eastAsia="Century Gothic" w:hAnsi="Arial" w:cs="Arial"/>
          <w:vertAlign w:val="subscript"/>
        </w:rPr>
        <w:t>2</w:t>
      </w:r>
      <w:r w:rsidRPr="00C80641">
        <w:rPr>
          <w:rFonts w:ascii="Arial" w:eastAsia="Century Gothic" w:hAnsi="Arial" w:cs="Arial"/>
        </w:rPr>
        <w:t>, NO</w:t>
      </w:r>
      <w:r w:rsidRPr="00C80641">
        <w:rPr>
          <w:rFonts w:ascii="Arial" w:eastAsia="Century Gothic" w:hAnsi="Arial" w:cs="Arial"/>
          <w:vertAlign w:val="subscript"/>
        </w:rPr>
        <w:t>X</w:t>
      </w:r>
      <w:r w:rsidRPr="00C80641">
        <w:rPr>
          <w:rFonts w:ascii="Arial" w:eastAsia="Century Gothic" w:hAnsi="Arial" w:cs="Arial"/>
        </w:rPr>
        <w:t xml:space="preserve"> and NH</w:t>
      </w:r>
      <w:r w:rsidRPr="00C80641">
        <w:rPr>
          <w:rFonts w:ascii="Arial" w:eastAsia="Century Gothic" w:hAnsi="Arial" w:cs="Arial"/>
          <w:vertAlign w:val="subscript"/>
        </w:rPr>
        <w:t>3</w:t>
      </w:r>
      <w:r w:rsidR="0001741B" w:rsidRPr="00C80641">
        <w:rPr>
          <w:rFonts w:ascii="Arial" w:eastAsia="Century Gothic" w:hAnsi="Arial" w:cs="Arial"/>
        </w:rPr>
        <w:t xml:space="preserve"> should not </w:t>
      </w:r>
      <w:r w:rsidRPr="00C80641">
        <w:rPr>
          <w:rFonts w:ascii="Arial" w:eastAsia="Century Gothic" w:hAnsi="Arial" w:cs="Arial"/>
        </w:rPr>
        <w:t>o</w:t>
      </w:r>
      <w:r w:rsidR="0001741B" w:rsidRPr="00C80641">
        <w:rPr>
          <w:rFonts w:ascii="Arial" w:eastAsia="Century Gothic" w:hAnsi="Arial" w:cs="Arial"/>
        </w:rPr>
        <w:t>nly lower</w:t>
      </w:r>
      <w:r w:rsidRPr="00C80641">
        <w:rPr>
          <w:rFonts w:ascii="Arial" w:eastAsia="Century Gothic" w:hAnsi="Arial" w:cs="Arial"/>
        </w:rPr>
        <w:t xml:space="preserve"> the concentration</w:t>
      </w:r>
      <w:r w:rsidR="00102FA9" w:rsidRPr="00C80641">
        <w:rPr>
          <w:rFonts w:ascii="Arial" w:eastAsia="Century Gothic" w:hAnsi="Arial" w:cs="Arial"/>
        </w:rPr>
        <w:t>s</w:t>
      </w:r>
      <w:r w:rsidRPr="00C80641">
        <w:rPr>
          <w:rFonts w:ascii="Arial" w:eastAsia="Century Gothic" w:hAnsi="Arial" w:cs="Arial"/>
        </w:rPr>
        <w:t xml:space="preserve"> of their secondary PM components</w:t>
      </w:r>
      <w:r w:rsidR="0001741B" w:rsidRPr="00C80641">
        <w:rPr>
          <w:rFonts w:ascii="Arial" w:eastAsia="Century Gothic" w:hAnsi="Arial" w:cs="Arial"/>
        </w:rPr>
        <w:t xml:space="preserve">, it should also reduce the mass of particle-bound water </w:t>
      </w:r>
      <w:r w:rsidRPr="00C80641">
        <w:rPr>
          <w:rFonts w:ascii="Arial" w:eastAsia="Century Gothic" w:hAnsi="Arial" w:cs="Arial"/>
          <w:b/>
        </w:rPr>
        <w:t>(</w:t>
      </w:r>
      <w:proofErr w:type="spellStart"/>
      <w:r w:rsidRPr="00C80641">
        <w:rPr>
          <w:rFonts w:ascii="Arial" w:eastAsia="Century Gothic" w:hAnsi="Arial" w:cs="Arial"/>
          <w:b/>
        </w:rPr>
        <w:t>Matthijsen</w:t>
      </w:r>
      <w:proofErr w:type="spellEnd"/>
      <w:r w:rsidRPr="00C80641">
        <w:rPr>
          <w:rFonts w:ascii="Arial" w:eastAsia="Century Gothic" w:hAnsi="Arial" w:cs="Arial"/>
          <w:b/>
        </w:rPr>
        <w:t xml:space="preserve"> </w:t>
      </w:r>
      <w:r w:rsidR="00A358F2" w:rsidRPr="00C80641">
        <w:rPr>
          <w:rFonts w:ascii="Arial" w:eastAsia="Century Gothic" w:hAnsi="Arial" w:cs="Arial"/>
          <w:b/>
        </w:rPr>
        <w:t xml:space="preserve">&amp; </w:t>
      </w:r>
      <w:r w:rsidRPr="00C80641">
        <w:rPr>
          <w:rFonts w:ascii="Arial" w:eastAsia="Century Gothic" w:hAnsi="Arial" w:cs="Arial"/>
          <w:b/>
        </w:rPr>
        <w:t>ten Brink 2007)</w:t>
      </w:r>
      <w:r w:rsidRPr="00C80641">
        <w:rPr>
          <w:rFonts w:ascii="Arial" w:eastAsia="Century Gothic" w:hAnsi="Arial" w:cs="Arial"/>
        </w:rPr>
        <w:t>.</w:t>
      </w:r>
    </w:p>
    <w:p w:rsidR="0078071F" w:rsidRPr="00C80641" w:rsidRDefault="00CE4691" w:rsidP="000F787E">
      <w:pPr>
        <w:pStyle w:val="Heading3"/>
        <w:rPr>
          <w:rFonts w:ascii="Arial" w:hAnsi="Arial"/>
        </w:rPr>
      </w:pPr>
      <w:bookmarkStart w:id="14" w:name="_Ref365896116"/>
      <w:bookmarkStart w:id="15" w:name="_Toc394011075"/>
      <w:r w:rsidRPr="00C80641">
        <w:rPr>
          <w:rFonts w:ascii="Arial" w:hAnsi="Arial"/>
        </w:rPr>
        <w:t xml:space="preserve">Particle </w:t>
      </w:r>
      <w:r w:rsidR="0078071F" w:rsidRPr="00C80641">
        <w:rPr>
          <w:rFonts w:ascii="Arial" w:hAnsi="Arial"/>
        </w:rPr>
        <w:t>size</w:t>
      </w:r>
      <w:r w:rsidR="00E551FE" w:rsidRPr="00C80641">
        <w:rPr>
          <w:rFonts w:ascii="Arial" w:hAnsi="Arial"/>
        </w:rPr>
        <w:t xml:space="preserve"> distribution</w:t>
      </w:r>
      <w:bookmarkEnd w:id="14"/>
      <w:bookmarkEnd w:id="15"/>
    </w:p>
    <w:p w:rsidR="00E551FE" w:rsidRPr="00C80641" w:rsidRDefault="00CD11FD" w:rsidP="003C532F">
      <w:pPr>
        <w:rPr>
          <w:rFonts w:ascii="Arial" w:hAnsi="Arial" w:cs="Arial"/>
          <w:lang w:eastAsia="en-US"/>
        </w:rPr>
      </w:pPr>
      <w:r w:rsidRPr="00C80641">
        <w:rPr>
          <w:rFonts w:ascii="Arial" w:hAnsi="Arial" w:cs="Arial"/>
        </w:rPr>
        <w:t>Airborne particles</w:t>
      </w:r>
      <w:r w:rsidR="00102FA9" w:rsidRPr="00C80641">
        <w:rPr>
          <w:rFonts w:ascii="Arial" w:hAnsi="Arial" w:cs="Arial"/>
        </w:rPr>
        <w:t xml:space="preserve"> range in diameter</w:t>
      </w:r>
      <w:r w:rsidR="003C532F" w:rsidRPr="00C80641">
        <w:rPr>
          <w:rFonts w:ascii="Arial" w:hAnsi="Arial" w:cs="Arial"/>
        </w:rPr>
        <w:t xml:space="preserve"> from less than </w:t>
      </w:r>
      <w:r w:rsidR="005618BC" w:rsidRPr="00C80641">
        <w:rPr>
          <w:rFonts w:ascii="Arial" w:hAnsi="Arial" w:cs="Arial"/>
        </w:rPr>
        <w:t xml:space="preserve">0.01 µm </w:t>
      </w:r>
      <w:r w:rsidR="003C532F" w:rsidRPr="00C80641">
        <w:rPr>
          <w:rFonts w:ascii="Arial" w:hAnsi="Arial" w:cs="Arial"/>
        </w:rPr>
        <w:t xml:space="preserve">to </w:t>
      </w:r>
      <w:r w:rsidR="000764F1" w:rsidRPr="00C80641">
        <w:rPr>
          <w:rFonts w:ascii="Arial" w:hAnsi="Arial" w:cs="Arial"/>
        </w:rPr>
        <w:t>around 100</w:t>
      </w:r>
      <w:r w:rsidR="004B6BD1" w:rsidRPr="00C80641">
        <w:rPr>
          <w:rFonts w:ascii="Arial" w:hAnsi="Arial" w:cs="Arial"/>
        </w:rPr>
        <w:t xml:space="preserve"> </w:t>
      </w:r>
      <w:r w:rsidR="000764F1" w:rsidRPr="00C80641">
        <w:rPr>
          <w:rFonts w:ascii="Arial" w:hAnsi="Arial" w:cs="Arial"/>
        </w:rPr>
        <w:t>µm</w:t>
      </w:r>
      <w:r w:rsidR="005618BC" w:rsidRPr="00C80641">
        <w:rPr>
          <w:rFonts w:ascii="Arial" w:hAnsi="Arial" w:cs="Arial"/>
        </w:rPr>
        <w:t xml:space="preserve"> (a micrometre (µm) is one millionth of a metre)</w:t>
      </w:r>
      <w:r w:rsidR="000764F1" w:rsidRPr="00C80641">
        <w:rPr>
          <w:rFonts w:ascii="Arial" w:hAnsi="Arial" w:cs="Arial"/>
        </w:rPr>
        <w:t>.</w:t>
      </w:r>
      <w:r w:rsidRPr="00C80641">
        <w:rPr>
          <w:rFonts w:ascii="Arial" w:hAnsi="Arial" w:cs="Arial"/>
        </w:rPr>
        <w:t xml:space="preserve"> Particles larger than 100 µm, which tend to fall out of the atmosphere within minutes, are commonly termed ‘</w:t>
      </w:r>
      <w:proofErr w:type="spellStart"/>
      <w:r w:rsidRPr="00C80641">
        <w:rPr>
          <w:rFonts w:ascii="Arial" w:hAnsi="Arial" w:cs="Arial"/>
        </w:rPr>
        <w:t>dustfall</w:t>
      </w:r>
      <w:proofErr w:type="spellEnd"/>
      <w:r w:rsidRPr="00C80641">
        <w:rPr>
          <w:rFonts w:ascii="Arial" w:hAnsi="Arial" w:cs="Arial"/>
        </w:rPr>
        <w:t xml:space="preserve">’. </w:t>
      </w:r>
      <w:fldSimple w:instr=" REF _Ref363138841 \h  \* MERGEFORMAT ">
        <w:r w:rsidR="0085182E" w:rsidRPr="0085182E">
          <w:rPr>
            <w:rFonts w:ascii="Arial" w:hAnsi="Arial" w:cs="Arial"/>
            <w:b/>
          </w:rPr>
          <w:t>Figure 2.1</w:t>
        </w:r>
      </w:fldSimple>
      <w:r w:rsidR="00E551FE" w:rsidRPr="00C80641">
        <w:rPr>
          <w:rFonts w:ascii="Arial" w:hAnsi="Arial" w:cs="Arial"/>
        </w:rPr>
        <w:t xml:space="preserve"> shows a typical atmospheric </w:t>
      </w:r>
      <w:r w:rsidR="00102FA9" w:rsidRPr="00C80641">
        <w:rPr>
          <w:rFonts w:ascii="Arial" w:hAnsi="Arial" w:cs="Arial"/>
        </w:rPr>
        <w:t xml:space="preserve">PM </w:t>
      </w:r>
      <w:r w:rsidR="00E551FE" w:rsidRPr="00C80641">
        <w:rPr>
          <w:rFonts w:ascii="Arial" w:hAnsi="Arial" w:cs="Arial"/>
        </w:rPr>
        <w:t xml:space="preserve">size </w:t>
      </w:r>
      <w:r w:rsidR="000764F1" w:rsidRPr="00C80641">
        <w:rPr>
          <w:rFonts w:ascii="Arial" w:hAnsi="Arial" w:cs="Arial"/>
        </w:rPr>
        <w:t>distribution by mass</w:t>
      </w:r>
      <w:r w:rsidR="00E551FE" w:rsidRPr="00C80641">
        <w:rPr>
          <w:rFonts w:ascii="Arial" w:hAnsi="Arial" w:cs="Arial"/>
        </w:rPr>
        <w:t>, as well as formation pathways, elimination (removal) mechanisms and constituents.</w:t>
      </w:r>
      <w:r w:rsidR="003C532F" w:rsidRPr="00C80641">
        <w:rPr>
          <w:rFonts w:ascii="Arial" w:hAnsi="Arial" w:cs="Arial"/>
          <w:lang w:eastAsia="en-US"/>
        </w:rPr>
        <w:t xml:space="preserve"> </w:t>
      </w:r>
    </w:p>
    <w:p w:rsidR="00CD11FD" w:rsidRPr="00C80641" w:rsidRDefault="006E6E56" w:rsidP="00B50BD4">
      <w:pPr>
        <w:rPr>
          <w:rFonts w:ascii="Arial" w:hAnsi="Arial" w:cs="Arial"/>
        </w:rPr>
      </w:pPr>
      <w:r w:rsidRPr="00C80641">
        <w:rPr>
          <w:rFonts w:ascii="Arial" w:hAnsi="Arial" w:cs="Arial"/>
        </w:rPr>
        <w:t>I</w:t>
      </w:r>
      <w:r w:rsidR="000764F1" w:rsidRPr="00C80641">
        <w:rPr>
          <w:rFonts w:ascii="Arial" w:hAnsi="Arial" w:cs="Arial"/>
        </w:rPr>
        <w:t>t is common to see particles</w:t>
      </w:r>
      <w:r w:rsidR="003C532F" w:rsidRPr="00C80641">
        <w:rPr>
          <w:rFonts w:ascii="Arial" w:hAnsi="Arial" w:cs="Arial"/>
        </w:rPr>
        <w:t xml:space="preserve"> described in terms</w:t>
      </w:r>
      <w:r w:rsidR="00E551FE" w:rsidRPr="00C80641">
        <w:rPr>
          <w:rFonts w:ascii="Arial" w:hAnsi="Arial" w:cs="Arial"/>
        </w:rPr>
        <w:t xml:space="preserve"> of three </w:t>
      </w:r>
      <w:r w:rsidR="003C532F" w:rsidRPr="00C80641">
        <w:rPr>
          <w:rFonts w:ascii="Arial" w:hAnsi="Arial" w:cs="Arial"/>
        </w:rPr>
        <w:t>modes r</w:t>
      </w:r>
      <w:r w:rsidR="00E551FE" w:rsidRPr="00C80641">
        <w:rPr>
          <w:rFonts w:ascii="Arial" w:hAnsi="Arial" w:cs="Arial"/>
        </w:rPr>
        <w:t xml:space="preserve">elating to sources and </w:t>
      </w:r>
      <w:r w:rsidR="003C532F" w:rsidRPr="00C80641">
        <w:rPr>
          <w:rFonts w:ascii="Arial" w:hAnsi="Arial" w:cs="Arial"/>
        </w:rPr>
        <w:t>size: the nucleation mode, the accumulation mode, and the coarse particle mode.</w:t>
      </w:r>
      <w:r w:rsidR="00E551FE" w:rsidRPr="00C80641">
        <w:rPr>
          <w:rFonts w:ascii="Arial" w:hAnsi="Arial" w:cs="Arial"/>
        </w:rPr>
        <w:t xml:space="preserve"> </w:t>
      </w:r>
      <w:r w:rsidR="003C532F" w:rsidRPr="00C80641">
        <w:rPr>
          <w:rFonts w:ascii="Arial" w:hAnsi="Arial" w:cs="Arial"/>
        </w:rPr>
        <w:t>The nucleation mode consists of particles emitted directly from combustion sources, such as road vehicle exhaust, was</w:t>
      </w:r>
      <w:r w:rsidR="00E551FE" w:rsidRPr="00C80641">
        <w:rPr>
          <w:rFonts w:ascii="Arial" w:hAnsi="Arial" w:cs="Arial"/>
        </w:rPr>
        <w:t xml:space="preserve">te incineration </w:t>
      </w:r>
      <w:r w:rsidR="003C532F" w:rsidRPr="00C80641">
        <w:rPr>
          <w:rFonts w:ascii="Arial" w:hAnsi="Arial" w:cs="Arial"/>
        </w:rPr>
        <w:t>and d</w:t>
      </w:r>
      <w:r w:rsidR="00102FA9" w:rsidRPr="00C80641">
        <w:rPr>
          <w:rFonts w:ascii="Arial" w:hAnsi="Arial" w:cs="Arial"/>
        </w:rPr>
        <w:t>omestic burning. These</w:t>
      </w:r>
      <w:r w:rsidR="003C532F" w:rsidRPr="00C80641">
        <w:rPr>
          <w:rFonts w:ascii="Arial" w:hAnsi="Arial" w:cs="Arial"/>
        </w:rPr>
        <w:t xml:space="preserve"> particles typically have a diame</w:t>
      </w:r>
      <w:r w:rsidR="00023F7E" w:rsidRPr="00C80641">
        <w:rPr>
          <w:rFonts w:ascii="Arial" w:hAnsi="Arial" w:cs="Arial"/>
        </w:rPr>
        <w:t>ter of less than around 0.05 </w:t>
      </w:r>
      <w:r w:rsidR="00102FA9" w:rsidRPr="00C80641">
        <w:rPr>
          <w:rFonts w:ascii="Arial" w:hAnsi="Arial" w:cs="Arial"/>
        </w:rPr>
        <w:t>µm, so even though they</w:t>
      </w:r>
      <w:r w:rsidR="003C532F" w:rsidRPr="00C80641">
        <w:rPr>
          <w:rFonts w:ascii="Arial" w:hAnsi="Arial" w:cs="Arial"/>
        </w:rPr>
        <w:t xml:space="preserve"> may be present in large numbers, each particle is </w:t>
      </w:r>
      <w:r w:rsidR="00102FA9" w:rsidRPr="00C80641">
        <w:rPr>
          <w:rFonts w:ascii="Arial" w:hAnsi="Arial" w:cs="Arial"/>
        </w:rPr>
        <w:t xml:space="preserve">so small that this mode </w:t>
      </w:r>
      <w:r w:rsidR="003C532F" w:rsidRPr="00C80641">
        <w:rPr>
          <w:rFonts w:ascii="Arial" w:hAnsi="Arial" w:cs="Arial"/>
        </w:rPr>
        <w:t>forms only a small proportion of the total aerosol mass. Nucleation mode particle</w:t>
      </w:r>
      <w:r w:rsidR="00023F7E" w:rsidRPr="00C80641">
        <w:rPr>
          <w:rFonts w:ascii="Arial" w:hAnsi="Arial" w:cs="Arial"/>
        </w:rPr>
        <w:t>s are transformed by coagulation</w:t>
      </w:r>
      <w:r w:rsidR="003C532F" w:rsidRPr="00C80641">
        <w:rPr>
          <w:rFonts w:ascii="Arial" w:hAnsi="Arial" w:cs="Arial"/>
        </w:rPr>
        <w:t xml:space="preserve"> and condensation into larger accumulation mode particles. Accumulation mode particles range between around</w:t>
      </w:r>
      <w:r w:rsidR="004D734D" w:rsidRPr="00C80641">
        <w:rPr>
          <w:rFonts w:ascii="Arial" w:hAnsi="Arial" w:cs="Arial"/>
        </w:rPr>
        <w:t xml:space="preserve"> 0.05 µm and 1 µm in diameter,</w:t>
      </w:r>
      <w:r w:rsidR="003C532F" w:rsidRPr="00C80641">
        <w:rPr>
          <w:rFonts w:ascii="Arial" w:hAnsi="Arial" w:cs="Arial"/>
        </w:rPr>
        <w:t xml:space="preserve"> and usually form a significant fraction of the total aerosol mass. They are also efficient light scatterers, and often dominate optical effects such as visibility. As well as being formed via the coagulation of nucleation mode particles, accumulation mode particles originate from primary emission sources and gas-to-particle transformations in the atmosphere. </w:t>
      </w:r>
      <w:r w:rsidR="00CD11FD" w:rsidRPr="00C80641">
        <w:rPr>
          <w:rFonts w:ascii="Arial" w:hAnsi="Arial" w:cs="Arial"/>
        </w:rPr>
        <w:t>Particles larger than around 1 µm form the coarse particle mode, and typically include wind-blown crustal matter and material released during mechanica</w:t>
      </w:r>
      <w:r w:rsidR="00023F7E" w:rsidRPr="00C80641">
        <w:rPr>
          <w:rFonts w:ascii="Arial" w:hAnsi="Arial" w:cs="Arial"/>
        </w:rPr>
        <w:t>l abrasion processes. These c</w:t>
      </w:r>
      <w:r w:rsidR="00CD11FD" w:rsidRPr="00C80641">
        <w:rPr>
          <w:rFonts w:ascii="Arial" w:hAnsi="Arial" w:cs="Arial"/>
        </w:rPr>
        <w:t xml:space="preserve">oarse particles can </w:t>
      </w:r>
      <w:r w:rsidR="00F51E0F" w:rsidRPr="00C80641">
        <w:rPr>
          <w:rFonts w:ascii="Arial" w:hAnsi="Arial" w:cs="Arial"/>
        </w:rPr>
        <w:t xml:space="preserve">also </w:t>
      </w:r>
      <w:r w:rsidR="00CD11FD" w:rsidRPr="00C80641">
        <w:rPr>
          <w:rFonts w:ascii="Arial" w:hAnsi="Arial" w:cs="Arial"/>
        </w:rPr>
        <w:t>contribute substantially to total aerosol mass.</w:t>
      </w:r>
    </w:p>
    <w:p w:rsidR="00CD2AEC" w:rsidRPr="00C80641" w:rsidRDefault="00CD2AEC" w:rsidP="00E551FE">
      <w:pPr>
        <w:spacing w:after="0"/>
        <w:rPr>
          <w:rFonts w:ascii="Arial" w:hAnsi="Arial" w:cs="Arial"/>
        </w:rPr>
      </w:pPr>
    </w:p>
    <w:p w:rsidR="00F51E0F" w:rsidRPr="00C80641" w:rsidRDefault="006D7F17" w:rsidP="00F51E0F">
      <w:pPr>
        <w:spacing w:after="120"/>
        <w:jc w:val="center"/>
        <w:rPr>
          <w:rFonts w:ascii="Arial" w:hAnsi="Arial" w:cs="Arial"/>
        </w:rPr>
      </w:pPr>
      <w:r w:rsidRPr="00C80641">
        <w:rPr>
          <w:rFonts w:ascii="Arial" w:hAnsi="Arial" w:cs="Arial"/>
          <w:noProof/>
        </w:rPr>
        <w:lastRenderedPageBreak/>
        <w:drawing>
          <wp:inline distT="0" distB="0" distL="0" distR="0">
            <wp:extent cx="5215890" cy="4079240"/>
            <wp:effectExtent l="19050" t="19050" r="22860" b="1651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97" t="1427" r="2313"/>
                    <a:stretch>
                      <a:fillRect/>
                    </a:stretch>
                  </pic:blipFill>
                  <pic:spPr bwMode="auto">
                    <a:xfrm>
                      <a:off x="0" y="0"/>
                      <a:ext cx="5215890" cy="4079240"/>
                    </a:xfrm>
                    <a:prstGeom prst="rect">
                      <a:avLst/>
                    </a:prstGeom>
                    <a:noFill/>
                    <a:ln w="9525" cmpd="sng">
                      <a:solidFill>
                        <a:srgbClr val="0070C0"/>
                      </a:solidFill>
                      <a:miter lim="800000"/>
                      <a:headEnd/>
                      <a:tailEnd/>
                    </a:ln>
                    <a:effectLst/>
                  </pic:spPr>
                </pic:pic>
              </a:graphicData>
            </a:graphic>
          </wp:inline>
        </w:drawing>
      </w:r>
    </w:p>
    <w:p w:rsidR="00F51E0F" w:rsidRPr="00C80641" w:rsidRDefault="00F51E0F" w:rsidP="00F51E0F">
      <w:pPr>
        <w:pStyle w:val="Caption"/>
        <w:spacing w:after="300"/>
        <w:ind w:left="1134" w:right="1089"/>
        <w:rPr>
          <w:rFonts w:ascii="Arial" w:hAnsi="Arial" w:cs="Arial"/>
        </w:rPr>
      </w:pPr>
      <w:bookmarkStart w:id="16" w:name="_Ref363138841"/>
      <w:r w:rsidRPr="00C80641">
        <w:rPr>
          <w:rFonts w:ascii="Arial" w:hAnsi="Arial" w:cs="Arial"/>
        </w:rPr>
        <w:t xml:space="preserve">Figure </w:t>
      </w:r>
      <w:r w:rsidR="00BF6019" w:rsidRPr="00C80641">
        <w:rPr>
          <w:rFonts w:ascii="Arial" w:hAnsi="Arial" w:cs="Arial"/>
        </w:rPr>
        <w:fldChar w:fldCharType="begin"/>
      </w:r>
      <w:r w:rsidRPr="00C80641">
        <w:rPr>
          <w:rFonts w:ascii="Arial" w:hAnsi="Arial" w:cs="Arial"/>
        </w:rPr>
        <w:instrText xml:space="preserve"> STYLEREF 1 \s </w:instrText>
      </w:r>
      <w:r w:rsidR="00BF6019" w:rsidRPr="00C80641">
        <w:rPr>
          <w:rFonts w:ascii="Arial" w:hAnsi="Arial" w:cs="Arial"/>
        </w:rPr>
        <w:fldChar w:fldCharType="separate"/>
      </w:r>
      <w:r w:rsidR="0085182E">
        <w:rPr>
          <w:rFonts w:ascii="Arial" w:hAnsi="Arial" w:cs="Arial"/>
          <w:noProof/>
        </w:rPr>
        <w:t>2</w:t>
      </w:r>
      <w:r w:rsidR="00BF6019" w:rsidRPr="00C80641">
        <w:rPr>
          <w:rFonts w:ascii="Arial" w:hAnsi="Arial" w:cs="Arial"/>
        </w:rPr>
        <w:fldChar w:fldCharType="end"/>
      </w:r>
      <w:r w:rsidRPr="00C80641">
        <w:rPr>
          <w:rFonts w:ascii="Arial" w:hAnsi="Arial" w:cs="Arial"/>
        </w:rPr>
        <w:t>.</w:t>
      </w:r>
      <w:r w:rsidR="00BF6019" w:rsidRPr="00C80641">
        <w:rPr>
          <w:rFonts w:ascii="Arial" w:hAnsi="Arial" w:cs="Arial"/>
        </w:rPr>
        <w:fldChar w:fldCharType="begin"/>
      </w:r>
      <w:r w:rsidRPr="00C80641">
        <w:rPr>
          <w:rFonts w:ascii="Arial" w:hAnsi="Arial" w:cs="Arial"/>
        </w:rPr>
        <w:instrText xml:space="preserve"> SEQ Figure \* ARABIC \s 1 </w:instrText>
      </w:r>
      <w:r w:rsidR="00BF6019" w:rsidRPr="00C80641">
        <w:rPr>
          <w:rFonts w:ascii="Arial" w:hAnsi="Arial" w:cs="Arial"/>
        </w:rPr>
        <w:fldChar w:fldCharType="separate"/>
      </w:r>
      <w:r w:rsidR="0085182E">
        <w:rPr>
          <w:rFonts w:ascii="Arial" w:hAnsi="Arial" w:cs="Arial"/>
          <w:noProof/>
        </w:rPr>
        <w:t>1</w:t>
      </w:r>
      <w:r w:rsidR="00BF6019" w:rsidRPr="00C80641">
        <w:rPr>
          <w:rFonts w:ascii="Arial" w:hAnsi="Arial" w:cs="Arial"/>
        </w:rPr>
        <w:fldChar w:fldCharType="end"/>
      </w:r>
      <w:bookmarkEnd w:id="16"/>
      <w:r w:rsidRPr="00C80641">
        <w:rPr>
          <w:rFonts w:ascii="Arial" w:hAnsi="Arial" w:cs="Arial"/>
        </w:rPr>
        <w:t>: Particle classification, size distribution, formation and elimination processes, modes of distribution and compositi</w:t>
      </w:r>
      <w:r w:rsidRPr="00C80641">
        <w:rPr>
          <w:rFonts w:ascii="Arial" w:hAnsi="Arial" w:cs="Arial"/>
          <w:color w:val="0070C0"/>
        </w:rPr>
        <w:t>on (</w:t>
      </w:r>
      <w:proofErr w:type="spellStart"/>
      <w:r w:rsidRPr="00C80641">
        <w:rPr>
          <w:rFonts w:ascii="Arial" w:hAnsi="Arial" w:cs="Arial"/>
          <w:color w:val="0070C0"/>
        </w:rPr>
        <w:t>Cambra-Lópeza</w:t>
      </w:r>
      <w:proofErr w:type="spellEnd"/>
      <w:r w:rsidRPr="00C80641">
        <w:rPr>
          <w:rFonts w:ascii="Arial" w:hAnsi="Arial" w:cs="Arial"/>
          <w:color w:val="0070C0"/>
        </w:rPr>
        <w:t xml:space="preserve"> </w:t>
      </w:r>
      <w:r w:rsidR="009334F4" w:rsidRPr="00C80641">
        <w:rPr>
          <w:rFonts w:ascii="Arial" w:hAnsi="Arial" w:cs="Arial"/>
          <w:color w:val="0070C0"/>
        </w:rPr>
        <w:t>et al</w:t>
      </w:r>
      <w:r w:rsidRPr="00C80641">
        <w:rPr>
          <w:rFonts w:ascii="Arial" w:hAnsi="Arial" w:cs="Arial"/>
          <w:color w:val="0070C0"/>
        </w:rPr>
        <w:t>. 2010).</w:t>
      </w:r>
    </w:p>
    <w:p w:rsidR="00023A10" w:rsidRPr="00C80641" w:rsidRDefault="00023A10" w:rsidP="00023A10">
      <w:pPr>
        <w:spacing w:after="0"/>
        <w:rPr>
          <w:rFonts w:ascii="Arial" w:hAnsi="Arial" w:cs="Arial"/>
        </w:rPr>
      </w:pPr>
    </w:p>
    <w:p w:rsidR="00621184" w:rsidRPr="00C80641" w:rsidRDefault="00621184" w:rsidP="00023A10">
      <w:pPr>
        <w:rPr>
          <w:rFonts w:ascii="Arial" w:hAnsi="Arial" w:cs="Arial"/>
          <w:lang w:eastAsia="en-US"/>
        </w:rPr>
      </w:pPr>
      <w:r w:rsidRPr="00C80641">
        <w:rPr>
          <w:rFonts w:ascii="Arial" w:hAnsi="Arial" w:cs="Arial"/>
        </w:rPr>
        <w:t>Mass concentration is not the only parameter that is used to de</w:t>
      </w:r>
      <w:r w:rsidR="00730ACE" w:rsidRPr="00C80641">
        <w:rPr>
          <w:rFonts w:ascii="Arial" w:hAnsi="Arial" w:cs="Arial"/>
        </w:rPr>
        <w:t>scribe PM; o</w:t>
      </w:r>
      <w:r w:rsidRPr="00C80641">
        <w:rPr>
          <w:rFonts w:ascii="Arial" w:hAnsi="Arial" w:cs="Arial"/>
        </w:rPr>
        <w:t>ther parameters in</w:t>
      </w:r>
      <w:r w:rsidR="00730ACE" w:rsidRPr="00C80641">
        <w:rPr>
          <w:rFonts w:ascii="Arial" w:hAnsi="Arial" w:cs="Arial"/>
        </w:rPr>
        <w:t xml:space="preserve">clude the number </w:t>
      </w:r>
      <w:r w:rsidR="00A44E15" w:rsidRPr="00C80641">
        <w:rPr>
          <w:rFonts w:ascii="Arial" w:hAnsi="Arial" w:cs="Arial"/>
        </w:rPr>
        <w:t xml:space="preserve">of particles </w:t>
      </w:r>
      <w:r w:rsidRPr="00C80641">
        <w:rPr>
          <w:rFonts w:ascii="Arial" w:hAnsi="Arial" w:cs="Arial"/>
        </w:rPr>
        <w:t>and</w:t>
      </w:r>
      <w:r w:rsidR="00730ACE" w:rsidRPr="00C80641">
        <w:rPr>
          <w:rFonts w:ascii="Arial" w:hAnsi="Arial" w:cs="Arial"/>
        </w:rPr>
        <w:t xml:space="preserve"> </w:t>
      </w:r>
      <w:r w:rsidR="00A44E15" w:rsidRPr="00C80641">
        <w:rPr>
          <w:rFonts w:ascii="Arial" w:hAnsi="Arial" w:cs="Arial"/>
        </w:rPr>
        <w:t xml:space="preserve">their </w:t>
      </w:r>
      <w:r w:rsidR="00730ACE" w:rsidRPr="00C80641">
        <w:rPr>
          <w:rFonts w:ascii="Arial" w:hAnsi="Arial" w:cs="Arial"/>
        </w:rPr>
        <w:t>surface area</w:t>
      </w:r>
      <w:r w:rsidRPr="00C80641">
        <w:rPr>
          <w:rFonts w:ascii="Arial" w:hAnsi="Arial" w:cs="Arial"/>
        </w:rPr>
        <w:t xml:space="preserve">. </w:t>
      </w:r>
      <w:r w:rsidRPr="00C80641">
        <w:rPr>
          <w:rFonts w:ascii="Arial" w:hAnsi="Arial" w:cs="Arial"/>
          <w:lang w:eastAsia="en-US"/>
        </w:rPr>
        <w:t xml:space="preserve">The form of </w:t>
      </w:r>
      <w:r w:rsidR="00730ACE" w:rsidRPr="00C80641">
        <w:rPr>
          <w:rFonts w:ascii="Arial" w:hAnsi="Arial" w:cs="Arial"/>
          <w:lang w:eastAsia="en-US"/>
        </w:rPr>
        <w:t xml:space="preserve">the </w:t>
      </w:r>
      <w:r w:rsidRPr="00C80641">
        <w:rPr>
          <w:rFonts w:ascii="Arial" w:hAnsi="Arial" w:cs="Arial"/>
          <w:lang w:eastAsia="en-US"/>
        </w:rPr>
        <w:t>size distribution is highly dependent upon how it is expressed. For exa</w:t>
      </w:r>
      <w:r w:rsidR="004D734D" w:rsidRPr="00C80641">
        <w:rPr>
          <w:rFonts w:ascii="Arial" w:hAnsi="Arial" w:cs="Arial"/>
          <w:lang w:eastAsia="en-US"/>
        </w:rPr>
        <w:t xml:space="preserve">mple, it takes one billion </w:t>
      </w:r>
      <w:r w:rsidRPr="00C80641">
        <w:rPr>
          <w:rFonts w:ascii="Arial" w:hAnsi="Arial" w:cs="Arial"/>
          <w:lang w:eastAsia="en-US"/>
        </w:rPr>
        <w:t>particles</w:t>
      </w:r>
      <w:r w:rsidR="00023F7E" w:rsidRPr="00C80641">
        <w:rPr>
          <w:rFonts w:ascii="Arial" w:hAnsi="Arial" w:cs="Arial"/>
          <w:lang w:eastAsia="en-US"/>
        </w:rPr>
        <w:t xml:space="preserve"> of diameter</w:t>
      </w:r>
      <w:r w:rsidRPr="00C80641">
        <w:rPr>
          <w:rFonts w:ascii="Arial" w:hAnsi="Arial" w:cs="Arial"/>
          <w:lang w:eastAsia="en-US"/>
        </w:rPr>
        <w:t xml:space="preserve"> </w:t>
      </w:r>
      <w:r w:rsidR="00023F7E" w:rsidRPr="00C80641">
        <w:rPr>
          <w:rFonts w:ascii="Arial" w:hAnsi="Arial" w:cs="Arial"/>
          <w:lang w:eastAsia="en-US"/>
        </w:rPr>
        <w:t>0.01 </w:t>
      </w:r>
      <w:proofErr w:type="spellStart"/>
      <w:r w:rsidR="00023F7E" w:rsidRPr="00C80641">
        <w:rPr>
          <w:rFonts w:ascii="Arial" w:hAnsi="Arial" w:cs="Arial"/>
          <w:lang w:eastAsia="en-US"/>
        </w:rPr>
        <w:t>μm</w:t>
      </w:r>
      <w:proofErr w:type="spellEnd"/>
      <w:r w:rsidR="00023F7E" w:rsidRPr="00C80641">
        <w:rPr>
          <w:rFonts w:ascii="Arial" w:hAnsi="Arial" w:cs="Arial"/>
          <w:lang w:eastAsia="en-US"/>
        </w:rPr>
        <w:t xml:space="preserve"> </w:t>
      </w:r>
      <w:r w:rsidRPr="00C80641">
        <w:rPr>
          <w:rFonts w:ascii="Arial" w:hAnsi="Arial" w:cs="Arial"/>
          <w:lang w:eastAsia="en-US"/>
        </w:rPr>
        <w:t xml:space="preserve">to equal the volume and </w:t>
      </w:r>
      <w:r w:rsidR="004D734D" w:rsidRPr="00C80641">
        <w:rPr>
          <w:rFonts w:ascii="Arial" w:hAnsi="Arial" w:cs="Arial"/>
          <w:lang w:eastAsia="en-US"/>
        </w:rPr>
        <w:t xml:space="preserve">mass of one </w:t>
      </w:r>
      <w:r w:rsidR="00730ACE" w:rsidRPr="00C80641">
        <w:rPr>
          <w:rFonts w:ascii="Arial" w:hAnsi="Arial" w:cs="Arial"/>
          <w:lang w:eastAsia="en-US"/>
        </w:rPr>
        <w:t>particle</w:t>
      </w:r>
      <w:r w:rsidR="00023F7E" w:rsidRPr="00C80641">
        <w:rPr>
          <w:rFonts w:ascii="Arial" w:hAnsi="Arial" w:cs="Arial"/>
          <w:lang w:eastAsia="en-US"/>
        </w:rPr>
        <w:t xml:space="preserve"> of diameter</w:t>
      </w:r>
      <w:r w:rsidR="00577242">
        <w:rPr>
          <w:rFonts w:ascii="Arial" w:hAnsi="Arial" w:cs="Arial"/>
          <w:lang w:eastAsia="en-US"/>
        </w:rPr>
        <w:t xml:space="preserve"> </w:t>
      </w:r>
      <w:r w:rsidR="00023F7E" w:rsidRPr="00C80641">
        <w:rPr>
          <w:rFonts w:ascii="Arial" w:hAnsi="Arial" w:cs="Arial"/>
          <w:lang w:eastAsia="en-US"/>
        </w:rPr>
        <w:t>10 </w:t>
      </w:r>
      <w:proofErr w:type="spellStart"/>
      <w:r w:rsidR="00023F7E" w:rsidRPr="00C80641">
        <w:rPr>
          <w:rFonts w:ascii="Arial" w:hAnsi="Arial" w:cs="Arial"/>
          <w:lang w:eastAsia="en-US"/>
        </w:rPr>
        <w:t>μm</w:t>
      </w:r>
      <w:proofErr w:type="spellEnd"/>
      <w:r w:rsidR="00730ACE" w:rsidRPr="00C80641">
        <w:rPr>
          <w:rFonts w:ascii="Arial" w:hAnsi="Arial" w:cs="Arial"/>
          <w:lang w:eastAsia="en-US"/>
        </w:rPr>
        <w:t xml:space="preserve">. </w:t>
      </w:r>
      <w:r w:rsidRPr="00C80641">
        <w:rPr>
          <w:rFonts w:ascii="Arial" w:hAnsi="Arial" w:cs="Arial"/>
          <w:lang w:eastAsia="en-US"/>
        </w:rPr>
        <w:t>Thus, the number</w:t>
      </w:r>
      <w:r w:rsidR="00023F7E" w:rsidRPr="00C80641">
        <w:rPr>
          <w:rFonts w:ascii="Arial" w:hAnsi="Arial" w:cs="Arial"/>
          <w:lang w:eastAsia="en-US"/>
        </w:rPr>
        <w:t>-weighted</w:t>
      </w:r>
      <w:r w:rsidRPr="00C80641">
        <w:rPr>
          <w:rFonts w:ascii="Arial" w:hAnsi="Arial" w:cs="Arial"/>
          <w:lang w:eastAsia="en-US"/>
        </w:rPr>
        <w:t xml:space="preserve"> size distribution gives great emphasis to the nu</w:t>
      </w:r>
      <w:r w:rsidR="00102FA9" w:rsidRPr="00C80641">
        <w:rPr>
          <w:rFonts w:ascii="Arial" w:hAnsi="Arial" w:cs="Arial"/>
          <w:lang w:eastAsia="en-US"/>
        </w:rPr>
        <w:t>cleation mode; i</w:t>
      </w:r>
      <w:r w:rsidRPr="00C80641">
        <w:rPr>
          <w:rFonts w:ascii="Arial" w:hAnsi="Arial" w:cs="Arial"/>
          <w:lang w:eastAsia="en-US"/>
        </w:rPr>
        <w:t>n a typical sample of airborne par</w:t>
      </w:r>
      <w:r w:rsidR="00730ACE" w:rsidRPr="00C80641">
        <w:rPr>
          <w:rFonts w:ascii="Arial" w:hAnsi="Arial" w:cs="Arial"/>
          <w:lang w:eastAsia="en-US"/>
        </w:rPr>
        <w:t xml:space="preserve">ticles </w:t>
      </w:r>
      <w:r w:rsidRPr="00C80641">
        <w:rPr>
          <w:rFonts w:ascii="Arial" w:hAnsi="Arial" w:cs="Arial"/>
          <w:lang w:eastAsia="en-US"/>
        </w:rPr>
        <w:t>it is usual for 70–80% of the number count of particles to be in the</w:t>
      </w:r>
      <w:r w:rsidR="00EE2471" w:rsidRPr="00C80641">
        <w:rPr>
          <w:rFonts w:ascii="Arial" w:hAnsi="Arial" w:cs="Arial"/>
          <w:lang w:eastAsia="en-US"/>
        </w:rPr>
        <w:t xml:space="preserve"> so-called</w:t>
      </w:r>
      <w:r w:rsidRPr="00C80641">
        <w:rPr>
          <w:rFonts w:ascii="Arial" w:hAnsi="Arial" w:cs="Arial"/>
          <w:lang w:eastAsia="en-US"/>
        </w:rPr>
        <w:t xml:space="preserve"> </w:t>
      </w:r>
      <w:r w:rsidR="00263A56" w:rsidRPr="00C80641">
        <w:rPr>
          <w:rFonts w:ascii="Arial" w:hAnsi="Arial" w:cs="Arial"/>
          <w:lang w:eastAsia="en-US"/>
        </w:rPr>
        <w:t>‘ultrafine’ size range (&lt;0.1</w:t>
      </w:r>
      <w:r w:rsidRPr="00C80641">
        <w:rPr>
          <w:rFonts w:ascii="Arial" w:hAnsi="Arial" w:cs="Arial"/>
          <w:lang w:eastAsia="en-US"/>
        </w:rPr>
        <w:t xml:space="preserve"> </w:t>
      </w:r>
      <w:proofErr w:type="spellStart"/>
      <w:r w:rsidR="00263A56" w:rsidRPr="00C80641">
        <w:rPr>
          <w:rFonts w:ascii="Arial" w:hAnsi="Arial" w:cs="Arial"/>
          <w:lang w:eastAsia="en-US"/>
        </w:rPr>
        <w:t>μ</w:t>
      </w:r>
      <w:r w:rsidRPr="00C80641">
        <w:rPr>
          <w:rFonts w:ascii="Arial" w:hAnsi="Arial" w:cs="Arial"/>
          <w:lang w:eastAsia="en-US"/>
        </w:rPr>
        <w:t>m</w:t>
      </w:r>
      <w:proofErr w:type="spellEnd"/>
      <w:r w:rsidR="00730ACE" w:rsidRPr="00C80641">
        <w:rPr>
          <w:rFonts w:ascii="Arial" w:hAnsi="Arial" w:cs="Arial"/>
          <w:lang w:eastAsia="en-US"/>
        </w:rPr>
        <w:t>)</w:t>
      </w:r>
      <w:r w:rsidRPr="00C80641">
        <w:rPr>
          <w:rFonts w:ascii="Arial" w:hAnsi="Arial" w:cs="Arial"/>
          <w:b/>
          <w:lang w:eastAsia="en-US"/>
        </w:rPr>
        <w:t xml:space="preserve"> (AQEG 2005)</w:t>
      </w:r>
      <w:r w:rsidRPr="00C80641">
        <w:rPr>
          <w:rFonts w:ascii="Arial" w:hAnsi="Arial" w:cs="Arial"/>
          <w:lang w:eastAsia="en-US"/>
        </w:rPr>
        <w:t>.</w:t>
      </w:r>
    </w:p>
    <w:p w:rsidR="008712A6" w:rsidRPr="00C80641" w:rsidRDefault="005F592C" w:rsidP="00023A10">
      <w:pPr>
        <w:rPr>
          <w:rFonts w:ascii="Arial" w:hAnsi="Arial" w:cs="Arial"/>
        </w:rPr>
      </w:pPr>
      <w:r w:rsidRPr="00C80641">
        <w:rPr>
          <w:rFonts w:ascii="Arial" w:hAnsi="Arial" w:cs="Arial"/>
        </w:rPr>
        <w:t>Airborne particles are measured using various metrics which relate to particle size, and s</w:t>
      </w:r>
      <w:r w:rsidR="00463854" w:rsidRPr="00C80641">
        <w:rPr>
          <w:rFonts w:ascii="Arial" w:hAnsi="Arial" w:cs="Arial"/>
        </w:rPr>
        <w:t>ome of the terms and metrics in common use are explained in</w:t>
      </w:r>
      <w:r w:rsidR="00E41941" w:rsidRPr="00C80641">
        <w:rPr>
          <w:rFonts w:ascii="Arial" w:hAnsi="Arial" w:cs="Arial"/>
        </w:rPr>
        <w:t xml:space="preserve"> </w:t>
      </w:r>
      <w:fldSimple w:instr=" REF _Ref371069904 \h  \* MERGEFORMAT ">
        <w:r w:rsidR="0085182E" w:rsidRPr="0085182E">
          <w:rPr>
            <w:rFonts w:ascii="Arial" w:hAnsi="Arial" w:cs="Arial"/>
            <w:b/>
          </w:rPr>
          <w:t>Table 2.1</w:t>
        </w:r>
      </w:fldSimple>
      <w:r w:rsidR="00463854" w:rsidRPr="00C80641">
        <w:rPr>
          <w:rFonts w:ascii="Arial" w:hAnsi="Arial" w:cs="Arial"/>
        </w:rPr>
        <w:t>. The two metrics most widely applied at present are PM</w:t>
      </w:r>
      <w:r w:rsidR="00463854" w:rsidRPr="00C80641">
        <w:rPr>
          <w:rFonts w:ascii="Arial" w:hAnsi="Arial" w:cs="Arial"/>
          <w:vertAlign w:val="subscript"/>
        </w:rPr>
        <w:t>10</w:t>
      </w:r>
      <w:r w:rsidR="00463854" w:rsidRPr="00C80641">
        <w:rPr>
          <w:rFonts w:ascii="Arial" w:hAnsi="Arial" w:cs="Arial"/>
        </w:rPr>
        <w:t xml:space="preserve"> and PM</w:t>
      </w:r>
      <w:r w:rsidR="00463854" w:rsidRPr="00C80641">
        <w:rPr>
          <w:rFonts w:ascii="Arial" w:hAnsi="Arial" w:cs="Arial"/>
          <w:vertAlign w:val="subscript"/>
        </w:rPr>
        <w:t>2.5</w:t>
      </w:r>
      <w:r w:rsidR="00463854" w:rsidRPr="00C80641">
        <w:rPr>
          <w:rFonts w:ascii="Arial" w:hAnsi="Arial" w:cs="Arial"/>
        </w:rPr>
        <w:t xml:space="preserve">. It can be seen from </w:t>
      </w:r>
      <w:fldSimple w:instr=" REF _Ref363138841 \h  \* MERGEFORMAT ">
        <w:r w:rsidR="0085182E" w:rsidRPr="0085182E">
          <w:rPr>
            <w:rFonts w:ascii="Arial" w:hAnsi="Arial" w:cs="Arial"/>
            <w:b/>
          </w:rPr>
          <w:t>Figure 2.1</w:t>
        </w:r>
      </w:fldSimple>
      <w:r w:rsidR="00463854" w:rsidRPr="00C80641">
        <w:rPr>
          <w:rFonts w:ascii="Arial" w:hAnsi="Arial" w:cs="Arial"/>
        </w:rPr>
        <w:t xml:space="preserve"> that PM</w:t>
      </w:r>
      <w:r w:rsidR="00463854" w:rsidRPr="00C80641">
        <w:rPr>
          <w:rFonts w:ascii="Arial" w:hAnsi="Arial" w:cs="Arial"/>
          <w:vertAlign w:val="subscript"/>
        </w:rPr>
        <w:t>10</w:t>
      </w:r>
      <w:r w:rsidR="00463854" w:rsidRPr="00C80641">
        <w:rPr>
          <w:rFonts w:ascii="Arial" w:hAnsi="Arial" w:cs="Arial"/>
        </w:rPr>
        <w:t xml:space="preserve"> contains the nucleation mode, the accumulation mode and most of the coarse mode. PM</w:t>
      </w:r>
      <w:r w:rsidR="00463854" w:rsidRPr="00C80641">
        <w:rPr>
          <w:rFonts w:ascii="Arial" w:hAnsi="Arial" w:cs="Arial"/>
          <w:vertAlign w:val="subscript"/>
        </w:rPr>
        <w:t>2.5</w:t>
      </w:r>
      <w:r w:rsidR="00463854" w:rsidRPr="00C80641">
        <w:rPr>
          <w:rFonts w:ascii="Arial" w:hAnsi="Arial" w:cs="Arial"/>
        </w:rPr>
        <w:t xml:space="preserve"> is a sub-set of PM</w:t>
      </w:r>
      <w:r w:rsidR="00463854" w:rsidRPr="00C80641">
        <w:rPr>
          <w:rFonts w:ascii="Arial" w:hAnsi="Arial" w:cs="Arial"/>
          <w:vertAlign w:val="subscript"/>
        </w:rPr>
        <w:t>10</w:t>
      </w:r>
      <w:r w:rsidR="00463854" w:rsidRPr="00C80641">
        <w:rPr>
          <w:rFonts w:ascii="Arial" w:hAnsi="Arial" w:cs="Arial"/>
        </w:rPr>
        <w:t>; it also contains the nucleation mode and the accumulation mode, but only a small part of the coarse mode.</w:t>
      </w:r>
      <w:r w:rsidR="004B4989" w:rsidRPr="00C80641">
        <w:rPr>
          <w:rFonts w:ascii="Arial" w:hAnsi="Arial" w:cs="Arial"/>
        </w:rPr>
        <w:t xml:space="preserve"> </w:t>
      </w:r>
    </w:p>
    <w:p w:rsidR="00142200" w:rsidRPr="00C80641" w:rsidRDefault="00142200" w:rsidP="00023A10">
      <w:pPr>
        <w:autoSpaceDE w:val="0"/>
        <w:autoSpaceDN w:val="0"/>
        <w:adjustRightInd w:val="0"/>
        <w:rPr>
          <w:rFonts w:ascii="Arial" w:hAnsi="Arial" w:cs="Arial"/>
        </w:rPr>
      </w:pPr>
      <w:r w:rsidRPr="00C80641">
        <w:rPr>
          <w:rFonts w:ascii="Arial" w:hAnsi="Arial" w:cs="Arial"/>
          <w:b/>
        </w:rPr>
        <w:t>AQEG (2012)</w:t>
      </w:r>
      <w:r w:rsidRPr="00C80641">
        <w:rPr>
          <w:rFonts w:ascii="Arial" w:hAnsi="Arial" w:cs="Arial"/>
        </w:rPr>
        <w:t xml:space="preserve"> pointed out that PM</w:t>
      </w:r>
      <w:r w:rsidRPr="00C80641">
        <w:rPr>
          <w:rFonts w:ascii="Arial" w:hAnsi="Arial" w:cs="Arial"/>
          <w:vertAlign w:val="subscript"/>
        </w:rPr>
        <w:t>10</w:t>
      </w:r>
      <w:r w:rsidRPr="00C80641">
        <w:rPr>
          <w:rFonts w:ascii="Arial" w:hAnsi="Arial" w:cs="Arial"/>
        </w:rPr>
        <w:t xml:space="preserve"> and PM</w:t>
      </w:r>
      <w:r w:rsidRPr="00C80641">
        <w:rPr>
          <w:rFonts w:ascii="Arial" w:hAnsi="Arial" w:cs="Arial"/>
          <w:vertAlign w:val="subscript"/>
        </w:rPr>
        <w:t>2.5</w:t>
      </w:r>
      <w:r w:rsidRPr="00C80641">
        <w:rPr>
          <w:rFonts w:ascii="Arial" w:hAnsi="Arial" w:cs="Arial"/>
        </w:rPr>
        <w:t xml:space="preserve"> (and similar) are unusual among air quality metrics in that they are effectively defined by the measurement method rather than as some unambiguous chemical or physical component of the air</w:t>
      </w:r>
      <w:r w:rsidR="008712A6" w:rsidRPr="00C80641">
        <w:rPr>
          <w:rFonts w:ascii="Arial" w:hAnsi="Arial" w:cs="Arial"/>
        </w:rPr>
        <w:t xml:space="preserve"> (such as a gaseous compound)</w:t>
      </w:r>
      <w:r w:rsidRPr="00C80641">
        <w:rPr>
          <w:rFonts w:ascii="Arial" w:hAnsi="Arial" w:cs="Arial"/>
        </w:rPr>
        <w:t>. To a large extent this is the consequence of the metric</w:t>
      </w:r>
      <w:r w:rsidR="008712A6" w:rsidRPr="00C80641">
        <w:rPr>
          <w:rFonts w:ascii="Arial" w:hAnsi="Arial" w:cs="Arial"/>
        </w:rPr>
        <w:t>s</w:t>
      </w:r>
      <w:r w:rsidRPr="00C80641">
        <w:rPr>
          <w:rFonts w:ascii="Arial" w:hAnsi="Arial" w:cs="Arial"/>
        </w:rPr>
        <w:t xml:space="preserve"> featuring in legislation before a good scientific understanding of airborne particles was available. As a better understanding has emerged, it has proved difficult to modify the definitions because of the implications for the legislation.</w:t>
      </w:r>
    </w:p>
    <w:p w:rsidR="00D22885" w:rsidRPr="00C80641" w:rsidRDefault="00D22885" w:rsidP="00023A10">
      <w:pPr>
        <w:autoSpaceDE w:val="0"/>
        <w:autoSpaceDN w:val="0"/>
        <w:adjustRightInd w:val="0"/>
        <w:rPr>
          <w:rFonts w:ascii="Arial" w:hAnsi="Arial" w:cs="Arial"/>
        </w:rPr>
      </w:pPr>
    </w:p>
    <w:p w:rsidR="00D22885" w:rsidRPr="00C80641" w:rsidRDefault="00D22885" w:rsidP="00023A10">
      <w:pPr>
        <w:autoSpaceDE w:val="0"/>
        <w:autoSpaceDN w:val="0"/>
        <w:adjustRightInd w:val="0"/>
        <w:rPr>
          <w:rFonts w:ascii="Arial" w:hAnsi="Arial" w:cs="Arial"/>
          <w:color w:val="FF0000"/>
        </w:rPr>
      </w:pPr>
    </w:p>
    <w:p w:rsidR="00463854" w:rsidRPr="00C80641" w:rsidRDefault="00E41941" w:rsidP="00E41941">
      <w:pPr>
        <w:pStyle w:val="Caption"/>
        <w:rPr>
          <w:rFonts w:ascii="Arial" w:hAnsi="Arial" w:cs="Arial"/>
        </w:rPr>
      </w:pPr>
      <w:bookmarkStart w:id="17" w:name="_Ref371069904"/>
      <w:r w:rsidRPr="00C80641">
        <w:rPr>
          <w:rFonts w:ascii="Arial" w:hAnsi="Arial" w:cs="Arial"/>
        </w:rPr>
        <w:lastRenderedPageBreak/>
        <w:t xml:space="preserve">Table </w:t>
      </w:r>
      <w:r w:rsidR="00BF6019" w:rsidRPr="00C80641">
        <w:rPr>
          <w:rFonts w:ascii="Arial" w:hAnsi="Arial" w:cs="Arial"/>
        </w:rPr>
        <w:fldChar w:fldCharType="begin"/>
      </w:r>
      <w:r w:rsidRPr="00C80641">
        <w:rPr>
          <w:rFonts w:ascii="Arial" w:hAnsi="Arial" w:cs="Arial"/>
        </w:rPr>
        <w:instrText xml:space="preserve"> STYLEREF 1 \s </w:instrText>
      </w:r>
      <w:r w:rsidR="00BF6019" w:rsidRPr="00C80641">
        <w:rPr>
          <w:rFonts w:ascii="Arial" w:hAnsi="Arial" w:cs="Arial"/>
        </w:rPr>
        <w:fldChar w:fldCharType="separate"/>
      </w:r>
      <w:r w:rsidR="0085182E">
        <w:rPr>
          <w:rFonts w:ascii="Arial" w:hAnsi="Arial" w:cs="Arial"/>
          <w:noProof/>
        </w:rPr>
        <w:t>2</w:t>
      </w:r>
      <w:r w:rsidR="00BF6019" w:rsidRPr="00C80641">
        <w:rPr>
          <w:rFonts w:ascii="Arial" w:hAnsi="Arial" w:cs="Arial"/>
        </w:rPr>
        <w:fldChar w:fldCharType="end"/>
      </w:r>
      <w:r w:rsidRPr="00C80641">
        <w:rPr>
          <w:rFonts w:ascii="Arial" w:hAnsi="Arial" w:cs="Arial"/>
        </w:rPr>
        <w:t>.</w:t>
      </w:r>
      <w:r w:rsidR="00BF6019" w:rsidRPr="00C80641">
        <w:rPr>
          <w:rFonts w:ascii="Arial" w:hAnsi="Arial" w:cs="Arial"/>
        </w:rPr>
        <w:fldChar w:fldCharType="begin"/>
      </w:r>
      <w:r w:rsidRPr="00C80641">
        <w:rPr>
          <w:rFonts w:ascii="Arial" w:hAnsi="Arial" w:cs="Arial"/>
        </w:rPr>
        <w:instrText xml:space="preserve"> SEQ Table \* ARABIC \s 1 </w:instrText>
      </w:r>
      <w:r w:rsidR="00BF6019" w:rsidRPr="00C80641">
        <w:rPr>
          <w:rFonts w:ascii="Arial" w:hAnsi="Arial" w:cs="Arial"/>
        </w:rPr>
        <w:fldChar w:fldCharType="separate"/>
      </w:r>
      <w:r w:rsidR="0085182E">
        <w:rPr>
          <w:rFonts w:ascii="Arial" w:hAnsi="Arial" w:cs="Arial"/>
          <w:noProof/>
        </w:rPr>
        <w:t>1</w:t>
      </w:r>
      <w:r w:rsidR="00BF6019" w:rsidRPr="00C80641">
        <w:rPr>
          <w:rFonts w:ascii="Arial" w:hAnsi="Arial" w:cs="Arial"/>
        </w:rPr>
        <w:fldChar w:fldCharType="end"/>
      </w:r>
      <w:bookmarkStart w:id="18" w:name="_Ref363142345"/>
      <w:bookmarkEnd w:id="17"/>
      <w:r w:rsidRPr="00C80641">
        <w:rPr>
          <w:rFonts w:ascii="Arial" w:hAnsi="Arial" w:cs="Arial"/>
        </w:rPr>
        <w:t xml:space="preserve">: </w:t>
      </w:r>
      <w:r w:rsidR="00463854" w:rsidRPr="00C80641">
        <w:rPr>
          <w:rFonts w:ascii="Arial" w:hAnsi="Arial" w:cs="Arial"/>
        </w:rPr>
        <w:t>Metrics used to descr</w:t>
      </w:r>
      <w:r w:rsidRPr="00C80641">
        <w:rPr>
          <w:rFonts w:ascii="Arial" w:hAnsi="Arial" w:cs="Arial"/>
        </w:rPr>
        <w:t>ibe airborne particulate matter</w:t>
      </w:r>
    </w:p>
    <w:tbl>
      <w:tblPr>
        <w:tblW w:w="7808"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1E0"/>
      </w:tblPr>
      <w:tblGrid>
        <w:gridCol w:w="1146"/>
        <w:gridCol w:w="6662"/>
      </w:tblGrid>
      <w:tr w:rsidR="00463854" w:rsidRPr="00C80641" w:rsidTr="00523CEA">
        <w:trPr>
          <w:trHeight w:hRule="exact" w:val="370"/>
          <w:jc w:val="center"/>
        </w:trPr>
        <w:tc>
          <w:tcPr>
            <w:tcW w:w="1146" w:type="dxa"/>
            <w:shd w:val="clear" w:color="auto" w:fill="0070C0"/>
            <w:vAlign w:val="center"/>
          </w:tcPr>
          <w:p w:rsidR="00463854" w:rsidRPr="00C80641" w:rsidRDefault="00463854" w:rsidP="00463854">
            <w:pPr>
              <w:spacing w:before="60" w:after="60" w:line="240" w:lineRule="auto"/>
              <w:rPr>
                <w:rFonts w:ascii="Arial" w:hAnsi="Arial" w:cs="Arial"/>
                <w:b/>
                <w:color w:val="FFFFFF"/>
                <w:sz w:val="16"/>
                <w:szCs w:val="16"/>
                <w:lang w:eastAsia="zh-CN"/>
              </w:rPr>
            </w:pPr>
            <w:r w:rsidRPr="00C80641">
              <w:rPr>
                <w:rFonts w:ascii="Arial" w:hAnsi="Arial" w:cs="Arial"/>
                <w:b/>
                <w:color w:val="FFFFFF"/>
                <w:sz w:val="16"/>
                <w:szCs w:val="16"/>
                <w:lang w:eastAsia="zh-CN"/>
              </w:rPr>
              <w:t>Term</w:t>
            </w:r>
          </w:p>
        </w:tc>
        <w:tc>
          <w:tcPr>
            <w:tcW w:w="6662" w:type="dxa"/>
            <w:shd w:val="clear" w:color="auto" w:fill="0070C0"/>
            <w:vAlign w:val="center"/>
          </w:tcPr>
          <w:p w:rsidR="00463854" w:rsidRPr="00C80641" w:rsidRDefault="00463854" w:rsidP="00463854">
            <w:pPr>
              <w:spacing w:before="60" w:after="60" w:line="240" w:lineRule="auto"/>
              <w:rPr>
                <w:rFonts w:ascii="Arial" w:hAnsi="Arial" w:cs="Arial"/>
                <w:b/>
                <w:color w:val="FFFFFF"/>
                <w:sz w:val="16"/>
                <w:szCs w:val="16"/>
                <w:lang w:eastAsia="zh-CN"/>
              </w:rPr>
            </w:pPr>
            <w:r w:rsidRPr="00C80641">
              <w:rPr>
                <w:rFonts w:ascii="Arial" w:hAnsi="Arial" w:cs="Arial"/>
                <w:b/>
                <w:color w:val="FFFFFF"/>
                <w:sz w:val="16"/>
                <w:szCs w:val="16"/>
                <w:lang w:eastAsia="zh-CN"/>
              </w:rPr>
              <w:t>Definition</w:t>
            </w:r>
          </w:p>
        </w:tc>
      </w:tr>
      <w:tr w:rsidR="00463854" w:rsidRPr="00C80641" w:rsidTr="00463854">
        <w:trPr>
          <w:jc w:val="center"/>
        </w:trPr>
        <w:tc>
          <w:tcPr>
            <w:tcW w:w="1146" w:type="dxa"/>
          </w:tcPr>
          <w:p w:rsidR="00463854" w:rsidRPr="00C80641" w:rsidRDefault="00463854" w:rsidP="00463854">
            <w:pPr>
              <w:spacing w:before="60" w:after="60" w:line="240" w:lineRule="auto"/>
              <w:rPr>
                <w:rFonts w:ascii="Arial" w:hAnsi="Arial" w:cs="Arial"/>
                <w:sz w:val="16"/>
                <w:szCs w:val="16"/>
                <w:lang w:eastAsia="zh-CN"/>
              </w:rPr>
            </w:pPr>
            <w:r w:rsidRPr="00C80641">
              <w:rPr>
                <w:rFonts w:ascii="Arial" w:hAnsi="Arial" w:cs="Arial"/>
                <w:sz w:val="16"/>
                <w:szCs w:val="16"/>
                <w:lang w:eastAsia="zh-CN"/>
              </w:rPr>
              <w:t>TSP</w:t>
            </w:r>
          </w:p>
        </w:tc>
        <w:tc>
          <w:tcPr>
            <w:tcW w:w="6662" w:type="dxa"/>
          </w:tcPr>
          <w:p w:rsidR="00463854" w:rsidRPr="00C80641" w:rsidRDefault="00463854" w:rsidP="00463854">
            <w:pPr>
              <w:spacing w:before="60" w:after="60" w:line="240" w:lineRule="auto"/>
              <w:rPr>
                <w:rFonts w:ascii="Arial" w:hAnsi="Arial" w:cs="Arial"/>
                <w:sz w:val="16"/>
                <w:szCs w:val="16"/>
                <w:lang w:eastAsia="zh-CN"/>
              </w:rPr>
            </w:pPr>
            <w:r w:rsidRPr="00C80641">
              <w:rPr>
                <w:rFonts w:ascii="Arial" w:hAnsi="Arial" w:cs="Arial"/>
                <w:sz w:val="16"/>
                <w:szCs w:val="16"/>
                <w:lang w:eastAsia="zh-CN"/>
              </w:rPr>
              <w:t>Total suspended particulate (matter).</w:t>
            </w:r>
          </w:p>
        </w:tc>
      </w:tr>
      <w:tr w:rsidR="00463854" w:rsidRPr="00C80641" w:rsidTr="00463854">
        <w:trPr>
          <w:trHeight w:hRule="exact" w:val="964"/>
          <w:jc w:val="center"/>
        </w:trPr>
        <w:tc>
          <w:tcPr>
            <w:tcW w:w="1146" w:type="dxa"/>
          </w:tcPr>
          <w:p w:rsidR="00463854" w:rsidRPr="00C80641" w:rsidRDefault="00463854" w:rsidP="00463854">
            <w:pPr>
              <w:spacing w:before="60" w:after="60" w:line="240" w:lineRule="auto"/>
              <w:rPr>
                <w:rFonts w:ascii="Arial" w:hAnsi="Arial" w:cs="Arial"/>
                <w:sz w:val="16"/>
                <w:szCs w:val="16"/>
                <w:lang w:eastAsia="zh-CN"/>
              </w:rPr>
            </w:pPr>
            <w:r w:rsidRPr="00C80641">
              <w:rPr>
                <w:rFonts w:ascii="Arial" w:hAnsi="Arial" w:cs="Arial"/>
                <w:sz w:val="16"/>
                <w:szCs w:val="16"/>
                <w:lang w:eastAsia="zh-CN"/>
              </w:rPr>
              <w:t>PM</w:t>
            </w:r>
            <w:r w:rsidRPr="00C80641">
              <w:rPr>
                <w:rFonts w:ascii="Arial" w:hAnsi="Arial" w:cs="Arial"/>
                <w:sz w:val="16"/>
                <w:szCs w:val="16"/>
                <w:vertAlign w:val="subscript"/>
                <w:lang w:eastAsia="zh-CN"/>
              </w:rPr>
              <w:t>10</w:t>
            </w:r>
          </w:p>
        </w:tc>
        <w:tc>
          <w:tcPr>
            <w:tcW w:w="6662" w:type="dxa"/>
          </w:tcPr>
          <w:p w:rsidR="00463854" w:rsidRPr="00C80641" w:rsidRDefault="00463854" w:rsidP="00463854">
            <w:pPr>
              <w:spacing w:before="60" w:after="60" w:line="240" w:lineRule="auto"/>
              <w:rPr>
                <w:rFonts w:ascii="Arial" w:hAnsi="Arial" w:cs="Arial"/>
                <w:sz w:val="16"/>
                <w:szCs w:val="16"/>
              </w:rPr>
            </w:pPr>
            <w:r w:rsidRPr="00C80641">
              <w:rPr>
                <w:rFonts w:ascii="Arial" w:hAnsi="Arial" w:cs="Arial"/>
                <w:sz w:val="16"/>
                <w:szCs w:val="16"/>
              </w:rPr>
              <w:t xml:space="preserve">Mass concentration of particles passing through a size-selective inlet with a 50% efficiency at 10 </w:t>
            </w:r>
            <w:r w:rsidRPr="00C80641">
              <w:rPr>
                <w:rFonts w:ascii="Arial" w:hAnsi="Arial" w:cs="Arial"/>
                <w:sz w:val="16"/>
                <w:szCs w:val="16"/>
              </w:rPr>
              <w:sym w:font="Symbol" w:char="F06D"/>
            </w:r>
            <w:r w:rsidRPr="00C80641">
              <w:rPr>
                <w:rFonts w:ascii="Arial" w:hAnsi="Arial" w:cs="Arial"/>
                <w:sz w:val="16"/>
                <w:szCs w:val="16"/>
              </w:rPr>
              <w:t xml:space="preserve">m. This means that </w:t>
            </w:r>
            <w:r w:rsidR="00523CEA" w:rsidRPr="00C80641">
              <w:rPr>
                <w:rFonts w:ascii="Arial" w:hAnsi="Arial" w:cs="Arial"/>
                <w:sz w:val="16"/>
                <w:szCs w:val="16"/>
              </w:rPr>
              <w:t xml:space="preserve">almost </w:t>
            </w:r>
            <w:r w:rsidRPr="00C80641">
              <w:rPr>
                <w:rFonts w:ascii="Arial" w:hAnsi="Arial" w:cs="Arial"/>
                <w:sz w:val="16"/>
                <w:szCs w:val="16"/>
              </w:rPr>
              <w:t xml:space="preserve">all the particles in a sample have an aerodynamic diameter of 10 </w:t>
            </w:r>
            <w:r w:rsidRPr="00C80641">
              <w:rPr>
                <w:rFonts w:ascii="Arial" w:hAnsi="Arial" w:cs="Arial"/>
                <w:sz w:val="16"/>
                <w:szCs w:val="16"/>
              </w:rPr>
              <w:sym w:font="Symbol" w:char="F06D"/>
            </w:r>
            <w:r w:rsidRPr="00C80641">
              <w:rPr>
                <w:rFonts w:ascii="Arial" w:hAnsi="Arial" w:cs="Arial"/>
                <w:sz w:val="16"/>
                <w:szCs w:val="16"/>
              </w:rPr>
              <w:t>m or less. These particles are sometimes referred to as ‘inhalable’, in that they are small enough to be breathed in by humans.</w:t>
            </w:r>
          </w:p>
        </w:tc>
      </w:tr>
      <w:tr w:rsidR="00463854" w:rsidRPr="00C80641" w:rsidTr="00463854">
        <w:trPr>
          <w:jc w:val="center"/>
        </w:trPr>
        <w:tc>
          <w:tcPr>
            <w:tcW w:w="1146" w:type="dxa"/>
          </w:tcPr>
          <w:p w:rsidR="00463854" w:rsidRPr="00C80641" w:rsidRDefault="00463854" w:rsidP="00463854">
            <w:pPr>
              <w:spacing w:before="60" w:after="60" w:line="240" w:lineRule="auto"/>
              <w:rPr>
                <w:rFonts w:ascii="Arial" w:hAnsi="Arial" w:cs="Arial"/>
                <w:sz w:val="16"/>
                <w:szCs w:val="16"/>
                <w:lang w:eastAsia="zh-CN"/>
              </w:rPr>
            </w:pPr>
            <w:r w:rsidRPr="00C80641">
              <w:rPr>
                <w:rFonts w:ascii="Arial" w:hAnsi="Arial" w:cs="Arial"/>
                <w:sz w:val="16"/>
                <w:szCs w:val="16"/>
                <w:lang w:eastAsia="zh-CN"/>
              </w:rPr>
              <w:t>PM</w:t>
            </w:r>
            <w:r w:rsidRPr="00C80641">
              <w:rPr>
                <w:rFonts w:ascii="Arial" w:hAnsi="Arial" w:cs="Arial"/>
                <w:sz w:val="16"/>
                <w:szCs w:val="16"/>
                <w:vertAlign w:val="subscript"/>
                <w:lang w:eastAsia="zh-CN"/>
              </w:rPr>
              <w:t>2.5</w:t>
            </w:r>
          </w:p>
        </w:tc>
        <w:tc>
          <w:tcPr>
            <w:tcW w:w="6662" w:type="dxa"/>
          </w:tcPr>
          <w:p w:rsidR="00463854" w:rsidRPr="00C80641" w:rsidRDefault="00463854" w:rsidP="00463854">
            <w:pPr>
              <w:spacing w:before="60" w:after="60" w:line="240" w:lineRule="auto"/>
              <w:rPr>
                <w:rFonts w:ascii="Arial" w:hAnsi="Arial" w:cs="Arial"/>
                <w:sz w:val="16"/>
                <w:szCs w:val="16"/>
                <w:lang w:eastAsia="zh-CN"/>
              </w:rPr>
            </w:pPr>
            <w:r w:rsidRPr="00C80641">
              <w:rPr>
                <w:rFonts w:ascii="Arial" w:hAnsi="Arial" w:cs="Arial"/>
                <w:sz w:val="16"/>
                <w:szCs w:val="16"/>
                <w:lang w:eastAsia="zh-CN"/>
              </w:rPr>
              <w:t>As for PM</w:t>
            </w:r>
            <w:r w:rsidRPr="00C80641">
              <w:rPr>
                <w:rFonts w:ascii="Arial" w:hAnsi="Arial" w:cs="Arial"/>
                <w:sz w:val="16"/>
                <w:szCs w:val="16"/>
                <w:vertAlign w:val="subscript"/>
                <w:lang w:eastAsia="zh-CN"/>
              </w:rPr>
              <w:t>10</w:t>
            </w:r>
            <w:r w:rsidRPr="00C80641">
              <w:rPr>
                <w:rFonts w:ascii="Arial" w:hAnsi="Arial" w:cs="Arial"/>
                <w:sz w:val="16"/>
                <w:szCs w:val="16"/>
                <w:lang w:eastAsia="zh-CN"/>
              </w:rPr>
              <w:t xml:space="preserve">, but with an aerodynamic diameter of 2.5 </w:t>
            </w:r>
            <w:r w:rsidRPr="00C80641">
              <w:rPr>
                <w:rFonts w:ascii="Arial" w:hAnsi="Arial" w:cs="Arial"/>
                <w:sz w:val="16"/>
                <w:szCs w:val="16"/>
                <w:lang w:eastAsia="zh-CN"/>
              </w:rPr>
              <w:sym w:font="Symbol" w:char="F06D"/>
            </w:r>
            <w:r w:rsidRPr="00C80641">
              <w:rPr>
                <w:rFonts w:ascii="Arial" w:hAnsi="Arial" w:cs="Arial"/>
                <w:sz w:val="16"/>
                <w:szCs w:val="16"/>
                <w:lang w:eastAsia="zh-CN"/>
              </w:rPr>
              <w:t>m or less. These particles are sometimes referred to as ‘fine’ or ‘</w:t>
            </w:r>
            <w:proofErr w:type="spellStart"/>
            <w:r w:rsidRPr="00C80641">
              <w:rPr>
                <w:rFonts w:ascii="Arial" w:hAnsi="Arial" w:cs="Arial"/>
                <w:sz w:val="16"/>
                <w:szCs w:val="16"/>
                <w:lang w:eastAsia="zh-CN"/>
              </w:rPr>
              <w:t>respirable</w:t>
            </w:r>
            <w:proofErr w:type="spellEnd"/>
            <w:r w:rsidRPr="00C80641">
              <w:rPr>
                <w:rFonts w:ascii="Arial" w:hAnsi="Arial" w:cs="Arial"/>
                <w:sz w:val="16"/>
                <w:szCs w:val="16"/>
                <w:lang w:eastAsia="zh-CN"/>
              </w:rPr>
              <w:t>’, and can penetrate deeper into the lungs than the larger particles in the PM</w:t>
            </w:r>
            <w:r w:rsidRPr="00C80641">
              <w:rPr>
                <w:rFonts w:ascii="Arial" w:hAnsi="Arial" w:cs="Arial"/>
                <w:sz w:val="16"/>
                <w:szCs w:val="16"/>
                <w:vertAlign w:val="subscript"/>
                <w:lang w:eastAsia="zh-CN"/>
              </w:rPr>
              <w:t>10</w:t>
            </w:r>
            <w:r w:rsidRPr="00C80641">
              <w:rPr>
                <w:rFonts w:ascii="Arial" w:hAnsi="Arial" w:cs="Arial"/>
                <w:sz w:val="16"/>
                <w:szCs w:val="16"/>
                <w:lang w:eastAsia="zh-CN"/>
              </w:rPr>
              <w:t xml:space="preserve"> size fraction.</w:t>
            </w:r>
          </w:p>
        </w:tc>
      </w:tr>
      <w:tr w:rsidR="00463854" w:rsidRPr="00C80641" w:rsidTr="00463854">
        <w:trPr>
          <w:jc w:val="center"/>
        </w:trPr>
        <w:tc>
          <w:tcPr>
            <w:tcW w:w="1146" w:type="dxa"/>
          </w:tcPr>
          <w:p w:rsidR="00463854" w:rsidRPr="00C80641" w:rsidRDefault="00463854" w:rsidP="00463854">
            <w:pPr>
              <w:spacing w:before="60" w:after="60" w:line="240" w:lineRule="auto"/>
              <w:rPr>
                <w:rFonts w:ascii="Arial" w:hAnsi="Arial" w:cs="Arial"/>
                <w:sz w:val="16"/>
                <w:szCs w:val="16"/>
                <w:lang w:eastAsia="zh-CN"/>
              </w:rPr>
            </w:pPr>
            <w:r w:rsidRPr="00C80641">
              <w:rPr>
                <w:rFonts w:ascii="Arial" w:hAnsi="Arial" w:cs="Arial"/>
                <w:sz w:val="16"/>
                <w:szCs w:val="16"/>
                <w:lang w:eastAsia="zh-CN"/>
              </w:rPr>
              <w:t>PM</w:t>
            </w:r>
            <w:r w:rsidRPr="00C80641">
              <w:rPr>
                <w:rFonts w:ascii="Arial" w:hAnsi="Arial" w:cs="Arial"/>
                <w:sz w:val="16"/>
                <w:szCs w:val="16"/>
                <w:vertAlign w:val="subscript"/>
                <w:lang w:eastAsia="zh-CN"/>
              </w:rPr>
              <w:t>2.5</w:t>
            </w:r>
            <w:r w:rsidR="00A44E15" w:rsidRPr="00C80641">
              <w:rPr>
                <w:rFonts w:ascii="Arial" w:hAnsi="Arial" w:cs="Arial"/>
                <w:sz w:val="16"/>
                <w:szCs w:val="16"/>
                <w:vertAlign w:val="subscript"/>
                <w:lang w:eastAsia="zh-CN"/>
              </w:rPr>
              <w:t>–</w:t>
            </w:r>
            <w:r w:rsidRPr="00C80641">
              <w:rPr>
                <w:rFonts w:ascii="Arial" w:hAnsi="Arial" w:cs="Arial"/>
                <w:sz w:val="16"/>
                <w:szCs w:val="16"/>
                <w:vertAlign w:val="subscript"/>
                <w:lang w:eastAsia="zh-CN"/>
              </w:rPr>
              <w:t>10</w:t>
            </w:r>
            <w:r w:rsidR="005E09D0" w:rsidRPr="00C80641">
              <w:rPr>
                <w:rFonts w:ascii="Arial" w:hAnsi="Arial" w:cs="Arial"/>
                <w:sz w:val="16"/>
                <w:szCs w:val="16"/>
                <w:vertAlign w:val="subscript"/>
                <w:lang w:eastAsia="zh-CN"/>
              </w:rPr>
              <w:t xml:space="preserve"> </w:t>
            </w:r>
            <w:r w:rsidRPr="00C80641">
              <w:rPr>
                <w:rFonts w:ascii="Arial" w:hAnsi="Arial" w:cs="Arial"/>
                <w:sz w:val="16"/>
                <w:szCs w:val="16"/>
                <w:lang w:eastAsia="zh-CN"/>
              </w:rPr>
              <w:t>or</w:t>
            </w:r>
            <w:r w:rsidR="005E09D0" w:rsidRPr="00C80641">
              <w:rPr>
                <w:rFonts w:ascii="Arial" w:hAnsi="Arial" w:cs="Arial"/>
                <w:sz w:val="16"/>
                <w:szCs w:val="16"/>
                <w:lang w:eastAsia="zh-CN"/>
              </w:rPr>
              <w:t xml:space="preserve"> </w:t>
            </w:r>
            <w:r w:rsidRPr="00C80641">
              <w:rPr>
                <w:rFonts w:ascii="Arial" w:hAnsi="Arial" w:cs="Arial"/>
                <w:sz w:val="16"/>
                <w:szCs w:val="16"/>
                <w:lang w:eastAsia="zh-CN"/>
              </w:rPr>
              <w:t>PM</w:t>
            </w:r>
            <w:r w:rsidRPr="00C80641">
              <w:rPr>
                <w:rFonts w:ascii="Arial" w:hAnsi="Arial" w:cs="Arial"/>
                <w:sz w:val="16"/>
                <w:szCs w:val="16"/>
                <w:vertAlign w:val="subscript"/>
                <w:lang w:eastAsia="zh-CN"/>
              </w:rPr>
              <w:t>COARSE</w:t>
            </w:r>
          </w:p>
        </w:tc>
        <w:tc>
          <w:tcPr>
            <w:tcW w:w="6662" w:type="dxa"/>
          </w:tcPr>
          <w:p w:rsidR="00463854" w:rsidRPr="00C80641" w:rsidRDefault="00463854" w:rsidP="00463854">
            <w:pPr>
              <w:spacing w:before="60" w:after="60" w:line="240" w:lineRule="auto"/>
              <w:rPr>
                <w:rFonts w:ascii="Arial" w:hAnsi="Arial" w:cs="Arial"/>
                <w:sz w:val="16"/>
                <w:szCs w:val="16"/>
                <w:lang w:eastAsia="zh-CN"/>
              </w:rPr>
            </w:pPr>
            <w:r w:rsidRPr="00C80641">
              <w:rPr>
                <w:rFonts w:ascii="Arial" w:hAnsi="Arial" w:cs="Arial"/>
                <w:sz w:val="16"/>
                <w:szCs w:val="16"/>
                <w:lang w:eastAsia="zh-CN"/>
              </w:rPr>
              <w:t>Mass concentration of ‘coarse’ particles, determined as the difference between PM</w:t>
            </w:r>
            <w:r w:rsidRPr="00C80641">
              <w:rPr>
                <w:rFonts w:ascii="Arial" w:hAnsi="Arial" w:cs="Arial"/>
                <w:sz w:val="16"/>
                <w:szCs w:val="16"/>
                <w:vertAlign w:val="subscript"/>
                <w:lang w:eastAsia="zh-CN"/>
              </w:rPr>
              <w:t>10</w:t>
            </w:r>
            <w:r w:rsidRPr="00C80641">
              <w:rPr>
                <w:rFonts w:ascii="Arial" w:hAnsi="Arial" w:cs="Arial"/>
                <w:sz w:val="16"/>
                <w:szCs w:val="16"/>
                <w:lang w:eastAsia="zh-CN"/>
              </w:rPr>
              <w:t xml:space="preserve"> and PM</w:t>
            </w:r>
            <w:r w:rsidRPr="00C80641">
              <w:rPr>
                <w:rFonts w:ascii="Arial" w:hAnsi="Arial" w:cs="Arial"/>
                <w:sz w:val="16"/>
                <w:szCs w:val="16"/>
                <w:vertAlign w:val="subscript"/>
                <w:lang w:eastAsia="zh-CN"/>
              </w:rPr>
              <w:t>2.5</w:t>
            </w:r>
            <w:r w:rsidRPr="00C80641">
              <w:rPr>
                <w:rFonts w:ascii="Arial" w:hAnsi="Arial" w:cs="Arial"/>
                <w:sz w:val="16"/>
                <w:szCs w:val="16"/>
                <w:lang w:eastAsia="zh-CN"/>
              </w:rPr>
              <w:t xml:space="preserve">. This is not altogether consistent with the definition of the coarse particle mode in the size distribution (see </w:t>
            </w:r>
            <w:fldSimple w:instr=" REF _Ref363138841 \h  \* MERGEFORMAT ">
              <w:r w:rsidR="0085182E" w:rsidRPr="0085182E">
                <w:rPr>
                  <w:rFonts w:ascii="Arial" w:hAnsi="Arial" w:cs="Arial"/>
                  <w:b/>
                  <w:sz w:val="16"/>
                  <w:szCs w:val="16"/>
                  <w:lang w:eastAsia="zh-CN"/>
                </w:rPr>
                <w:t>Figure 2.1</w:t>
              </w:r>
            </w:fldSimple>
            <w:r w:rsidRPr="00C80641">
              <w:rPr>
                <w:rFonts w:ascii="Arial" w:hAnsi="Arial" w:cs="Arial"/>
                <w:sz w:val="16"/>
                <w:szCs w:val="16"/>
                <w:lang w:eastAsia="zh-CN"/>
              </w:rPr>
              <w:t>).</w:t>
            </w:r>
          </w:p>
        </w:tc>
      </w:tr>
      <w:tr w:rsidR="00463854" w:rsidRPr="00C80641" w:rsidTr="00463854">
        <w:trPr>
          <w:jc w:val="center"/>
        </w:trPr>
        <w:tc>
          <w:tcPr>
            <w:tcW w:w="1146" w:type="dxa"/>
          </w:tcPr>
          <w:p w:rsidR="00463854" w:rsidRPr="00C80641" w:rsidRDefault="00463854" w:rsidP="00463854">
            <w:pPr>
              <w:spacing w:before="60" w:after="60" w:line="240" w:lineRule="auto"/>
              <w:rPr>
                <w:rFonts w:ascii="Arial" w:hAnsi="Arial" w:cs="Arial"/>
                <w:sz w:val="16"/>
                <w:szCs w:val="16"/>
                <w:lang w:eastAsia="zh-CN"/>
              </w:rPr>
            </w:pPr>
            <w:r w:rsidRPr="00C80641">
              <w:rPr>
                <w:rFonts w:ascii="Arial" w:hAnsi="Arial" w:cs="Arial"/>
                <w:sz w:val="16"/>
                <w:szCs w:val="16"/>
                <w:lang w:eastAsia="zh-CN"/>
              </w:rPr>
              <w:t>PM</w:t>
            </w:r>
            <w:r w:rsidRPr="00C80641">
              <w:rPr>
                <w:rFonts w:ascii="Arial" w:hAnsi="Arial" w:cs="Arial"/>
                <w:sz w:val="16"/>
                <w:szCs w:val="16"/>
                <w:vertAlign w:val="subscript"/>
                <w:lang w:eastAsia="zh-CN"/>
              </w:rPr>
              <w:t>1</w:t>
            </w:r>
          </w:p>
        </w:tc>
        <w:tc>
          <w:tcPr>
            <w:tcW w:w="6662" w:type="dxa"/>
          </w:tcPr>
          <w:p w:rsidR="00463854" w:rsidRPr="00C80641" w:rsidRDefault="00463854" w:rsidP="00463854">
            <w:pPr>
              <w:spacing w:before="60" w:after="60" w:line="240" w:lineRule="auto"/>
              <w:rPr>
                <w:rFonts w:ascii="Arial" w:hAnsi="Arial" w:cs="Arial"/>
                <w:sz w:val="16"/>
                <w:szCs w:val="16"/>
                <w:lang w:eastAsia="zh-CN"/>
              </w:rPr>
            </w:pPr>
            <w:r w:rsidRPr="00C80641">
              <w:rPr>
                <w:rFonts w:ascii="Arial" w:hAnsi="Arial" w:cs="Arial"/>
                <w:sz w:val="16"/>
                <w:szCs w:val="16"/>
                <w:lang w:eastAsia="zh-CN"/>
              </w:rPr>
              <w:t>As for PM</w:t>
            </w:r>
            <w:r w:rsidRPr="00C80641">
              <w:rPr>
                <w:rFonts w:ascii="Arial" w:hAnsi="Arial" w:cs="Arial"/>
                <w:sz w:val="16"/>
                <w:szCs w:val="16"/>
                <w:vertAlign w:val="subscript"/>
                <w:lang w:eastAsia="zh-CN"/>
              </w:rPr>
              <w:t>10</w:t>
            </w:r>
            <w:r w:rsidRPr="00C80641">
              <w:rPr>
                <w:rFonts w:ascii="Arial" w:hAnsi="Arial" w:cs="Arial"/>
                <w:sz w:val="16"/>
                <w:szCs w:val="16"/>
                <w:lang w:eastAsia="zh-CN"/>
              </w:rPr>
              <w:t xml:space="preserve">, but with an aerodynamic diameter of 1 </w:t>
            </w:r>
            <w:r w:rsidRPr="00C80641">
              <w:rPr>
                <w:rFonts w:ascii="Arial" w:hAnsi="Arial" w:cs="Arial"/>
                <w:sz w:val="16"/>
                <w:szCs w:val="16"/>
                <w:lang w:eastAsia="zh-CN"/>
              </w:rPr>
              <w:sym w:font="Symbol" w:char="F06D"/>
            </w:r>
            <w:r w:rsidRPr="00C80641">
              <w:rPr>
                <w:rFonts w:ascii="Arial" w:hAnsi="Arial" w:cs="Arial"/>
                <w:sz w:val="16"/>
                <w:szCs w:val="16"/>
                <w:lang w:eastAsia="zh-CN"/>
              </w:rPr>
              <w:t>m or less.</w:t>
            </w:r>
          </w:p>
        </w:tc>
      </w:tr>
      <w:tr w:rsidR="00463854" w:rsidRPr="00C80641" w:rsidTr="00463854">
        <w:trPr>
          <w:jc w:val="center"/>
        </w:trPr>
        <w:tc>
          <w:tcPr>
            <w:tcW w:w="1146" w:type="dxa"/>
          </w:tcPr>
          <w:p w:rsidR="00463854" w:rsidRPr="00C80641" w:rsidRDefault="00463854" w:rsidP="00463854">
            <w:pPr>
              <w:spacing w:before="60" w:after="60" w:line="240" w:lineRule="auto"/>
              <w:rPr>
                <w:rFonts w:ascii="Arial" w:hAnsi="Arial" w:cs="Arial"/>
                <w:sz w:val="16"/>
                <w:szCs w:val="16"/>
                <w:lang w:eastAsia="zh-CN"/>
              </w:rPr>
            </w:pPr>
            <w:r w:rsidRPr="00C80641">
              <w:rPr>
                <w:rFonts w:ascii="Arial" w:hAnsi="Arial" w:cs="Arial"/>
                <w:sz w:val="16"/>
                <w:szCs w:val="16"/>
                <w:lang w:eastAsia="zh-CN"/>
              </w:rPr>
              <w:t>PM</w:t>
            </w:r>
            <w:r w:rsidRPr="00C80641">
              <w:rPr>
                <w:rFonts w:ascii="Arial" w:hAnsi="Arial" w:cs="Arial"/>
                <w:sz w:val="16"/>
                <w:szCs w:val="16"/>
                <w:vertAlign w:val="subscript"/>
                <w:lang w:eastAsia="zh-CN"/>
              </w:rPr>
              <w:t>0.1</w:t>
            </w:r>
          </w:p>
        </w:tc>
        <w:tc>
          <w:tcPr>
            <w:tcW w:w="6662" w:type="dxa"/>
          </w:tcPr>
          <w:p w:rsidR="00463854" w:rsidRPr="00C80641" w:rsidRDefault="00463854" w:rsidP="00463854">
            <w:pPr>
              <w:spacing w:before="60" w:after="60" w:line="240" w:lineRule="auto"/>
              <w:rPr>
                <w:rFonts w:ascii="Arial" w:hAnsi="Arial" w:cs="Arial"/>
                <w:sz w:val="16"/>
                <w:szCs w:val="16"/>
                <w:lang w:eastAsia="zh-CN"/>
              </w:rPr>
            </w:pPr>
            <w:r w:rsidRPr="00C80641">
              <w:rPr>
                <w:rFonts w:ascii="Arial" w:hAnsi="Arial" w:cs="Arial"/>
                <w:sz w:val="16"/>
                <w:szCs w:val="16"/>
                <w:lang w:eastAsia="zh-CN"/>
              </w:rPr>
              <w:t>As for PM</w:t>
            </w:r>
            <w:r w:rsidRPr="00C80641">
              <w:rPr>
                <w:rFonts w:ascii="Arial" w:hAnsi="Arial" w:cs="Arial"/>
                <w:sz w:val="16"/>
                <w:szCs w:val="16"/>
                <w:vertAlign w:val="subscript"/>
                <w:lang w:eastAsia="zh-CN"/>
              </w:rPr>
              <w:t>10</w:t>
            </w:r>
            <w:r w:rsidRPr="00C80641">
              <w:rPr>
                <w:rFonts w:ascii="Arial" w:hAnsi="Arial" w:cs="Arial"/>
                <w:sz w:val="16"/>
                <w:szCs w:val="16"/>
                <w:lang w:eastAsia="zh-CN"/>
              </w:rPr>
              <w:t>, but with an aerodynamic diameter 0.1 µm or less. These are referred to as ‘ultrafine’ particles.</w:t>
            </w:r>
          </w:p>
        </w:tc>
      </w:tr>
    </w:tbl>
    <w:p w:rsidR="00463854" w:rsidRPr="00C80641" w:rsidRDefault="00463854" w:rsidP="00463854">
      <w:pPr>
        <w:autoSpaceDE w:val="0"/>
        <w:autoSpaceDN w:val="0"/>
        <w:adjustRightInd w:val="0"/>
        <w:spacing w:after="0"/>
        <w:rPr>
          <w:rFonts w:ascii="Arial" w:hAnsi="Arial" w:cs="Arial"/>
          <w:b/>
        </w:rPr>
      </w:pPr>
    </w:p>
    <w:p w:rsidR="00F36AA8" w:rsidRPr="00C80641" w:rsidRDefault="00F36AA8" w:rsidP="00E12B2B">
      <w:pPr>
        <w:pStyle w:val="Heading3"/>
        <w:spacing w:before="200" w:after="120"/>
        <w:rPr>
          <w:rFonts w:ascii="Arial" w:eastAsia="Century Gothic" w:hAnsi="Arial"/>
        </w:rPr>
      </w:pPr>
      <w:bookmarkStart w:id="19" w:name="_Toc394011076"/>
      <w:bookmarkEnd w:id="18"/>
      <w:r w:rsidRPr="00C80641">
        <w:rPr>
          <w:rFonts w:ascii="Arial" w:eastAsia="Century Gothic" w:hAnsi="Arial"/>
        </w:rPr>
        <w:t xml:space="preserve">Removal </w:t>
      </w:r>
      <w:r w:rsidR="00E3576C" w:rsidRPr="00C80641">
        <w:rPr>
          <w:rFonts w:ascii="Arial" w:eastAsia="Century Gothic" w:hAnsi="Arial"/>
        </w:rPr>
        <w:t>mechanisms</w:t>
      </w:r>
      <w:bookmarkEnd w:id="19"/>
    </w:p>
    <w:p w:rsidR="00730ACE" w:rsidRPr="00C80641" w:rsidRDefault="00F36AA8" w:rsidP="00E12B2B">
      <w:pPr>
        <w:spacing w:after="170"/>
        <w:rPr>
          <w:rFonts w:ascii="Arial" w:eastAsia="Century Gothic" w:hAnsi="Arial" w:cs="Arial"/>
        </w:rPr>
      </w:pPr>
      <w:r w:rsidRPr="00C80641">
        <w:rPr>
          <w:rFonts w:ascii="Arial" w:eastAsia="Century Gothic" w:hAnsi="Arial" w:cs="Arial"/>
        </w:rPr>
        <w:t xml:space="preserve">Particles are removed from </w:t>
      </w:r>
      <w:r w:rsidR="00CD5223" w:rsidRPr="00C80641">
        <w:rPr>
          <w:rFonts w:ascii="Arial" w:eastAsia="Century Gothic" w:hAnsi="Arial" w:cs="Arial"/>
        </w:rPr>
        <w:t xml:space="preserve">the atmosphere by </w:t>
      </w:r>
      <w:r w:rsidR="00E551FE" w:rsidRPr="00C80641">
        <w:rPr>
          <w:rFonts w:ascii="Arial" w:eastAsia="Century Gothic" w:hAnsi="Arial" w:cs="Arial"/>
        </w:rPr>
        <w:t xml:space="preserve">both </w:t>
      </w:r>
      <w:r w:rsidR="00CD5223" w:rsidRPr="00C80641">
        <w:rPr>
          <w:rFonts w:ascii="Arial" w:eastAsia="Century Gothic" w:hAnsi="Arial" w:cs="Arial"/>
        </w:rPr>
        <w:t xml:space="preserve">dry </w:t>
      </w:r>
      <w:r w:rsidR="00E551FE" w:rsidRPr="00C80641">
        <w:rPr>
          <w:rFonts w:ascii="Arial" w:eastAsia="Century Gothic" w:hAnsi="Arial" w:cs="Arial"/>
        </w:rPr>
        <w:t xml:space="preserve">deposition </w:t>
      </w:r>
      <w:r w:rsidR="00CD5223" w:rsidRPr="00C80641">
        <w:rPr>
          <w:rFonts w:ascii="Arial" w:eastAsia="Century Gothic" w:hAnsi="Arial" w:cs="Arial"/>
        </w:rPr>
        <w:t>and wet</w:t>
      </w:r>
      <w:r w:rsidRPr="00C80641">
        <w:rPr>
          <w:rFonts w:ascii="Arial" w:eastAsia="Century Gothic" w:hAnsi="Arial" w:cs="Arial"/>
        </w:rPr>
        <w:t xml:space="preserve"> deposition</w:t>
      </w:r>
      <w:r w:rsidR="008712A6" w:rsidRPr="00C80641">
        <w:rPr>
          <w:rFonts w:ascii="Arial" w:eastAsia="Century Gothic" w:hAnsi="Arial" w:cs="Arial"/>
        </w:rPr>
        <w:t xml:space="preserve"> processes</w:t>
      </w:r>
      <w:r w:rsidRPr="00C80641">
        <w:rPr>
          <w:rFonts w:ascii="Arial" w:eastAsia="Century Gothic" w:hAnsi="Arial" w:cs="Arial"/>
        </w:rPr>
        <w:t>.</w:t>
      </w:r>
      <w:r w:rsidR="00102FA9" w:rsidRPr="00C80641">
        <w:rPr>
          <w:rFonts w:ascii="Arial" w:eastAsia="Century Gothic" w:hAnsi="Arial" w:cs="Arial"/>
        </w:rPr>
        <w:t xml:space="preserve"> Dry deposition is </w:t>
      </w:r>
      <w:r w:rsidR="00CD5223" w:rsidRPr="00C80641">
        <w:rPr>
          <w:rFonts w:ascii="Arial" w:eastAsia="Century Gothic" w:hAnsi="Arial" w:cs="Arial"/>
        </w:rPr>
        <w:t>caused by gravitational sedimentation, in</w:t>
      </w:r>
      <w:r w:rsidR="00E551FE" w:rsidRPr="00C80641">
        <w:rPr>
          <w:rFonts w:ascii="Arial" w:eastAsia="Century Gothic" w:hAnsi="Arial" w:cs="Arial"/>
        </w:rPr>
        <w:t>terception/impaction, diffusion or</w:t>
      </w:r>
      <w:r w:rsidR="00CD5223" w:rsidRPr="00C80641">
        <w:rPr>
          <w:rFonts w:ascii="Arial" w:eastAsia="Century Gothic" w:hAnsi="Arial" w:cs="Arial"/>
        </w:rPr>
        <w:t xml:space="preserve"> turbulence, although other process</w:t>
      </w:r>
      <w:r w:rsidR="000F6528" w:rsidRPr="00C80641">
        <w:rPr>
          <w:rFonts w:ascii="Arial" w:eastAsia="Century Gothic" w:hAnsi="Arial" w:cs="Arial"/>
        </w:rPr>
        <w:t>es</w:t>
      </w:r>
      <w:r w:rsidR="00CD5223" w:rsidRPr="00C80641">
        <w:rPr>
          <w:rFonts w:ascii="Arial" w:eastAsia="Century Gothic" w:hAnsi="Arial" w:cs="Arial"/>
        </w:rPr>
        <w:t xml:space="preserve"> can occur. In wet deposition, atmospheric water (</w:t>
      </w:r>
      <w:r w:rsidR="008712A6" w:rsidRPr="00C80641">
        <w:rPr>
          <w:rFonts w:ascii="Arial" w:eastAsia="Century Gothic" w:hAnsi="Arial" w:cs="Arial"/>
        </w:rPr>
        <w:t>rain</w:t>
      </w:r>
      <w:r w:rsidR="00E551FE" w:rsidRPr="00C80641">
        <w:rPr>
          <w:rFonts w:ascii="Arial" w:eastAsia="Century Gothic" w:hAnsi="Arial" w:cs="Arial"/>
        </w:rPr>
        <w:t xml:space="preserve">drops, snow, </w:t>
      </w:r>
      <w:r w:rsidR="00CD5223" w:rsidRPr="00C80641">
        <w:rPr>
          <w:rFonts w:ascii="Arial" w:eastAsia="Century Gothic" w:hAnsi="Arial" w:cs="Arial"/>
        </w:rPr>
        <w:t>etc.) scavenge</w:t>
      </w:r>
      <w:r w:rsidR="00E551FE" w:rsidRPr="00C80641">
        <w:rPr>
          <w:rFonts w:ascii="Arial" w:eastAsia="Century Gothic" w:hAnsi="Arial" w:cs="Arial"/>
        </w:rPr>
        <w:t xml:space="preserve">s airborne </w:t>
      </w:r>
      <w:r w:rsidR="00CD5223" w:rsidRPr="00C80641">
        <w:rPr>
          <w:rFonts w:ascii="Arial" w:eastAsia="Century Gothic" w:hAnsi="Arial" w:cs="Arial"/>
        </w:rPr>
        <w:t>particles</w:t>
      </w:r>
      <w:r w:rsidR="00E344DB" w:rsidRPr="00C80641">
        <w:rPr>
          <w:rFonts w:ascii="Arial" w:eastAsia="Century Gothic" w:hAnsi="Arial" w:cs="Arial"/>
        </w:rPr>
        <w:t>, with subsequent deposition on the earth’s surface</w:t>
      </w:r>
      <w:r w:rsidR="00CD5223" w:rsidRPr="00C80641">
        <w:rPr>
          <w:rFonts w:ascii="Arial" w:eastAsia="Century Gothic" w:hAnsi="Arial" w:cs="Arial"/>
        </w:rPr>
        <w:t xml:space="preserve">. </w:t>
      </w:r>
      <w:r w:rsidR="004D734D" w:rsidRPr="00C80641">
        <w:rPr>
          <w:rFonts w:ascii="Arial" w:eastAsia="Century Gothic" w:hAnsi="Arial" w:cs="Arial"/>
        </w:rPr>
        <w:t>As noted earlier, nucleation</w:t>
      </w:r>
      <w:r w:rsidR="008712A6" w:rsidRPr="00C80641">
        <w:rPr>
          <w:rFonts w:ascii="Arial" w:eastAsia="Century Gothic" w:hAnsi="Arial" w:cs="Arial"/>
        </w:rPr>
        <w:t xml:space="preserve"> mode particles also coagulate</w:t>
      </w:r>
      <w:r w:rsidR="004D734D" w:rsidRPr="00C80641">
        <w:rPr>
          <w:rFonts w:ascii="Arial" w:eastAsia="Century Gothic" w:hAnsi="Arial" w:cs="Arial"/>
        </w:rPr>
        <w:t xml:space="preserve"> and condense into larger particles.</w:t>
      </w:r>
    </w:p>
    <w:p w:rsidR="00730ACE" w:rsidRPr="00C80641" w:rsidRDefault="0059747B" w:rsidP="00E12B2B">
      <w:pPr>
        <w:spacing w:after="170"/>
        <w:rPr>
          <w:rFonts w:ascii="Arial" w:eastAsia="Century Gothic" w:hAnsi="Arial" w:cs="Arial"/>
        </w:rPr>
      </w:pPr>
      <w:r w:rsidRPr="00C80641">
        <w:rPr>
          <w:rFonts w:ascii="Arial" w:eastAsia="Century Gothic" w:hAnsi="Arial" w:cs="Arial"/>
        </w:rPr>
        <w:t>The efficiency of the above processes depends on particle size, and hence p</w:t>
      </w:r>
      <w:r w:rsidR="004D734D" w:rsidRPr="00C80641">
        <w:rPr>
          <w:rFonts w:ascii="Arial" w:hAnsi="Arial" w:cs="Arial"/>
          <w:lang w:eastAsia="en-US"/>
        </w:rPr>
        <w:t xml:space="preserve">articles in </w:t>
      </w:r>
      <w:r w:rsidRPr="00C80641">
        <w:rPr>
          <w:rFonts w:ascii="Arial" w:hAnsi="Arial" w:cs="Arial"/>
          <w:lang w:eastAsia="en-US"/>
        </w:rPr>
        <w:t xml:space="preserve">the different modes </w:t>
      </w:r>
      <w:r w:rsidR="004D734D" w:rsidRPr="00C80641">
        <w:rPr>
          <w:rFonts w:ascii="Arial" w:hAnsi="Arial" w:cs="Arial"/>
          <w:lang w:eastAsia="en-US"/>
        </w:rPr>
        <w:t>have different atmospheric lifetimes.</w:t>
      </w:r>
      <w:r w:rsidRPr="00C80641">
        <w:rPr>
          <w:rFonts w:ascii="Arial" w:eastAsia="Century Gothic" w:hAnsi="Arial" w:cs="Arial"/>
        </w:rPr>
        <w:t xml:space="preserve"> D</w:t>
      </w:r>
      <w:r w:rsidR="00730ACE" w:rsidRPr="00C80641">
        <w:rPr>
          <w:rFonts w:ascii="Arial" w:eastAsia="Century Gothic" w:hAnsi="Arial" w:cs="Arial"/>
        </w:rPr>
        <w:t xml:space="preserve">eposition </w:t>
      </w:r>
      <w:r w:rsidR="008712A6" w:rsidRPr="00C80641">
        <w:rPr>
          <w:rFonts w:ascii="Arial" w:eastAsia="Century Gothic" w:hAnsi="Arial" w:cs="Arial"/>
        </w:rPr>
        <w:t>and coagulation</w:t>
      </w:r>
      <w:r w:rsidR="004D734D" w:rsidRPr="00C80641">
        <w:rPr>
          <w:rFonts w:ascii="Arial" w:eastAsia="Century Gothic" w:hAnsi="Arial" w:cs="Arial"/>
        </w:rPr>
        <w:t xml:space="preserve"> are effective for </w:t>
      </w:r>
      <w:r w:rsidR="00730ACE" w:rsidRPr="00C80641">
        <w:rPr>
          <w:rFonts w:ascii="Arial" w:eastAsia="Century Gothic" w:hAnsi="Arial" w:cs="Arial"/>
        </w:rPr>
        <w:t xml:space="preserve">very small </w:t>
      </w:r>
      <w:r w:rsidR="004D734D" w:rsidRPr="00C80641">
        <w:rPr>
          <w:rFonts w:ascii="Arial" w:eastAsia="Century Gothic" w:hAnsi="Arial" w:cs="Arial"/>
        </w:rPr>
        <w:t xml:space="preserve">particles due to </w:t>
      </w:r>
      <w:r w:rsidRPr="00C80641">
        <w:rPr>
          <w:rFonts w:ascii="Arial" w:eastAsia="Century Gothic" w:hAnsi="Arial" w:cs="Arial"/>
        </w:rPr>
        <w:t>diffusion</w:t>
      </w:r>
      <w:r w:rsidR="004D734D" w:rsidRPr="00C80641">
        <w:rPr>
          <w:rFonts w:ascii="Arial" w:eastAsia="Century Gothic" w:hAnsi="Arial" w:cs="Arial"/>
        </w:rPr>
        <w:t>. Deposition through settling or impaction is effective for</w:t>
      </w:r>
      <w:r w:rsidR="00730ACE" w:rsidRPr="00C80641">
        <w:rPr>
          <w:rFonts w:ascii="Arial" w:eastAsia="Century Gothic" w:hAnsi="Arial" w:cs="Arial"/>
        </w:rPr>
        <w:t xml:space="preserve"> large particles</w:t>
      </w:r>
      <w:r w:rsidR="004D734D" w:rsidRPr="00C80641">
        <w:rPr>
          <w:rFonts w:ascii="Arial" w:eastAsia="Century Gothic" w:hAnsi="Arial" w:cs="Arial"/>
        </w:rPr>
        <w:t xml:space="preserve">. The removal mechanisms are the </w:t>
      </w:r>
      <w:r w:rsidR="00730ACE" w:rsidRPr="00C80641">
        <w:rPr>
          <w:rFonts w:ascii="Arial" w:eastAsia="Century Gothic" w:hAnsi="Arial" w:cs="Arial"/>
        </w:rPr>
        <w:t>least effective</w:t>
      </w:r>
      <w:r w:rsidRPr="00C80641">
        <w:rPr>
          <w:rFonts w:ascii="Arial" w:eastAsia="Century Gothic" w:hAnsi="Arial" w:cs="Arial"/>
        </w:rPr>
        <w:t xml:space="preserve"> for particles in the</w:t>
      </w:r>
      <w:r w:rsidR="00730ACE" w:rsidRPr="00C80641">
        <w:rPr>
          <w:rFonts w:ascii="Arial" w:eastAsia="Century Gothic" w:hAnsi="Arial" w:cs="Arial"/>
        </w:rPr>
        <w:t xml:space="preserve"> intermediate size</w:t>
      </w:r>
      <w:r w:rsidRPr="00C80641">
        <w:rPr>
          <w:rFonts w:ascii="Arial" w:eastAsia="Century Gothic" w:hAnsi="Arial" w:cs="Arial"/>
        </w:rPr>
        <w:t xml:space="preserve"> range</w:t>
      </w:r>
      <w:r w:rsidR="00730ACE" w:rsidRPr="00C80641">
        <w:rPr>
          <w:rFonts w:ascii="Arial" w:eastAsia="Century Gothic" w:hAnsi="Arial" w:cs="Arial"/>
        </w:rPr>
        <w:t>.</w:t>
      </w:r>
      <w:r w:rsidR="008712A6" w:rsidRPr="00C80641">
        <w:rPr>
          <w:rFonts w:ascii="Arial" w:hAnsi="Arial" w:cs="Arial"/>
          <w:lang w:eastAsia="en-US"/>
        </w:rPr>
        <w:t xml:space="preserve"> Consequently, </w:t>
      </w:r>
      <w:r w:rsidR="004D734D" w:rsidRPr="00C80641">
        <w:rPr>
          <w:rFonts w:ascii="Arial" w:hAnsi="Arial" w:cs="Arial"/>
          <w:lang w:eastAsia="en-US"/>
        </w:rPr>
        <w:t>n</w:t>
      </w:r>
      <w:r w:rsidR="008712A6" w:rsidRPr="00C80641">
        <w:rPr>
          <w:rFonts w:ascii="Arial" w:hAnsi="Arial" w:cs="Arial"/>
        </w:rPr>
        <w:t>ucleation mode</w:t>
      </w:r>
      <w:r w:rsidR="004D734D" w:rsidRPr="00C80641">
        <w:rPr>
          <w:rFonts w:ascii="Arial" w:hAnsi="Arial" w:cs="Arial"/>
        </w:rPr>
        <w:t xml:space="preserve"> particles reside in the atmosp</w:t>
      </w:r>
      <w:r w:rsidR="00102FA9" w:rsidRPr="00C80641">
        <w:rPr>
          <w:rFonts w:ascii="Arial" w:hAnsi="Arial" w:cs="Arial"/>
        </w:rPr>
        <w:t>here for a few hours, whereas a</w:t>
      </w:r>
      <w:r w:rsidR="004D734D" w:rsidRPr="00C80641">
        <w:rPr>
          <w:rFonts w:ascii="Arial" w:hAnsi="Arial" w:cs="Arial"/>
        </w:rPr>
        <w:t>ccumulation mode particles have atmospheric residence times of several weeks,</w:t>
      </w:r>
      <w:r w:rsidR="004D734D" w:rsidRPr="00C80641">
        <w:rPr>
          <w:rFonts w:ascii="Arial" w:hAnsi="Arial" w:cs="Arial"/>
          <w:lang w:eastAsia="en-US"/>
        </w:rPr>
        <w:t xml:space="preserve"> and can</w:t>
      </w:r>
      <w:r w:rsidRPr="00C80641">
        <w:rPr>
          <w:rFonts w:ascii="Arial" w:hAnsi="Arial" w:cs="Arial"/>
          <w:lang w:eastAsia="en-US"/>
        </w:rPr>
        <w:t xml:space="preserve"> </w:t>
      </w:r>
      <w:r w:rsidR="004D734D" w:rsidRPr="00C80641">
        <w:rPr>
          <w:rFonts w:ascii="Arial" w:hAnsi="Arial" w:cs="Arial"/>
          <w:lang w:eastAsia="en-US"/>
        </w:rPr>
        <w:t>be transported for hundreds to thousands of kilometres, potentially crossing regional borders.</w:t>
      </w:r>
      <w:r w:rsidR="00730ACE" w:rsidRPr="00C80641">
        <w:rPr>
          <w:rFonts w:ascii="Arial" w:eastAsia="Century Gothic" w:hAnsi="Arial" w:cs="Arial"/>
        </w:rPr>
        <w:t xml:space="preserve"> </w:t>
      </w:r>
      <w:r w:rsidR="002A5B1A" w:rsidRPr="00C80641">
        <w:rPr>
          <w:rFonts w:ascii="Arial" w:eastAsia="Century Gothic" w:hAnsi="Arial" w:cs="Arial"/>
        </w:rPr>
        <w:t>The dispersion of particles in the PM</w:t>
      </w:r>
      <w:r w:rsidR="002A5B1A" w:rsidRPr="00C80641">
        <w:rPr>
          <w:rFonts w:ascii="Arial" w:eastAsia="Century Gothic" w:hAnsi="Arial" w:cs="Arial"/>
          <w:vertAlign w:val="subscript"/>
        </w:rPr>
        <w:t>2.5</w:t>
      </w:r>
      <w:r w:rsidR="002A5B1A" w:rsidRPr="00C80641">
        <w:rPr>
          <w:rFonts w:ascii="Arial" w:eastAsia="Century Gothic" w:hAnsi="Arial" w:cs="Arial"/>
        </w:rPr>
        <w:t xml:space="preserve"> fraction can therefore effectively be treated like that of a gas</w:t>
      </w:r>
      <w:r w:rsidR="000E6DD0" w:rsidRPr="00C80641">
        <w:rPr>
          <w:rFonts w:ascii="Arial" w:eastAsia="Century Gothic" w:hAnsi="Arial" w:cs="Arial"/>
        </w:rPr>
        <w:t>. This highlights the need to quantify PM</w:t>
      </w:r>
      <w:r w:rsidR="000E6DD0" w:rsidRPr="00C80641">
        <w:rPr>
          <w:rFonts w:ascii="Arial" w:eastAsia="Century Gothic" w:hAnsi="Arial" w:cs="Arial"/>
          <w:vertAlign w:val="subscript"/>
        </w:rPr>
        <w:t>2.5</w:t>
      </w:r>
      <w:r w:rsidR="000E6DD0" w:rsidRPr="00C80641">
        <w:rPr>
          <w:rFonts w:ascii="Arial" w:eastAsia="Century Gothic" w:hAnsi="Arial" w:cs="Arial"/>
        </w:rPr>
        <w:t xml:space="preserve"> at a regional scale, as much of the urban concentration is driven by the regional background</w:t>
      </w:r>
      <w:r w:rsidR="002A5B1A" w:rsidRPr="00C80641">
        <w:rPr>
          <w:rFonts w:ascii="Arial" w:eastAsia="Century Gothic" w:hAnsi="Arial" w:cs="Arial"/>
        </w:rPr>
        <w:t xml:space="preserve"> </w:t>
      </w:r>
      <w:r w:rsidR="002A5B1A" w:rsidRPr="00C80641">
        <w:rPr>
          <w:rFonts w:ascii="Arial" w:eastAsia="Century Gothic" w:hAnsi="Arial" w:cs="Arial"/>
          <w:b/>
        </w:rPr>
        <w:t>(AQEG 2012)</w:t>
      </w:r>
      <w:r w:rsidR="002A5B1A" w:rsidRPr="00C80641">
        <w:rPr>
          <w:rFonts w:ascii="Arial" w:eastAsia="Century Gothic" w:hAnsi="Arial" w:cs="Arial"/>
        </w:rPr>
        <w:t xml:space="preserve">. </w:t>
      </w:r>
      <w:r w:rsidR="00730ACE" w:rsidRPr="00C80641">
        <w:rPr>
          <w:rFonts w:ascii="Arial" w:hAnsi="Arial" w:cs="Arial"/>
          <w:lang w:eastAsia="en-US"/>
        </w:rPr>
        <w:t xml:space="preserve">Coarse </w:t>
      </w:r>
      <w:r w:rsidR="003403DA" w:rsidRPr="00C80641">
        <w:rPr>
          <w:rFonts w:ascii="Arial" w:hAnsi="Arial" w:cs="Arial"/>
          <w:lang w:eastAsia="en-US"/>
        </w:rPr>
        <w:t xml:space="preserve">mode </w:t>
      </w:r>
      <w:r w:rsidR="00730ACE" w:rsidRPr="00C80641">
        <w:rPr>
          <w:rFonts w:ascii="Arial" w:hAnsi="Arial" w:cs="Arial"/>
          <w:lang w:eastAsia="en-US"/>
        </w:rPr>
        <w:t xml:space="preserve">particles tend to remain in the air for minutes to days, typically travelling a distance of less than 10 km. </w:t>
      </w:r>
    </w:p>
    <w:p w:rsidR="00F052DA" w:rsidRPr="00C80641" w:rsidRDefault="00F052DA" w:rsidP="00E12B2B">
      <w:pPr>
        <w:pStyle w:val="Heading2"/>
        <w:spacing w:before="200" w:after="160"/>
        <w:rPr>
          <w:rFonts w:ascii="Arial" w:hAnsi="Arial"/>
        </w:rPr>
      </w:pPr>
      <w:bookmarkStart w:id="20" w:name="_Toc394011077"/>
      <w:r w:rsidRPr="00C80641">
        <w:rPr>
          <w:rFonts w:ascii="Arial" w:hAnsi="Arial"/>
        </w:rPr>
        <w:t>M</w:t>
      </w:r>
      <w:r w:rsidR="000E7083" w:rsidRPr="00C80641">
        <w:rPr>
          <w:rFonts w:ascii="Arial" w:hAnsi="Arial"/>
        </w:rPr>
        <w:t>ethods for m</w:t>
      </w:r>
      <w:r w:rsidRPr="00C80641">
        <w:rPr>
          <w:rFonts w:ascii="Arial" w:hAnsi="Arial"/>
        </w:rPr>
        <w:t>easur</w:t>
      </w:r>
      <w:r w:rsidR="000E7083" w:rsidRPr="00C80641">
        <w:rPr>
          <w:rFonts w:ascii="Arial" w:hAnsi="Arial"/>
        </w:rPr>
        <w:t>ing PM</w:t>
      </w:r>
      <w:bookmarkEnd w:id="20"/>
    </w:p>
    <w:p w:rsidR="00023A10" w:rsidRPr="00C80641" w:rsidRDefault="00023A10" w:rsidP="00E12B2B">
      <w:pPr>
        <w:spacing w:after="170"/>
        <w:rPr>
          <w:rFonts w:ascii="Arial" w:hAnsi="Arial" w:cs="Arial"/>
          <w:lang w:eastAsia="en-US"/>
        </w:rPr>
      </w:pPr>
      <w:r w:rsidRPr="00C80641">
        <w:rPr>
          <w:rFonts w:ascii="Arial" w:hAnsi="Arial" w:cs="Arial"/>
          <w:lang w:eastAsia="en-US"/>
        </w:rPr>
        <w:t xml:space="preserve">Measurements of PM in ambient air are usually made to assess compliance with air quality standards or to understand the chemical and physical processes that affect PM composition and concentrations (and hence to develop better models). </w:t>
      </w:r>
    </w:p>
    <w:p w:rsidR="00023A10" w:rsidRPr="00C80641" w:rsidRDefault="00023A10" w:rsidP="00E12B2B">
      <w:pPr>
        <w:spacing w:after="170"/>
        <w:rPr>
          <w:rFonts w:ascii="Arial" w:hAnsi="Arial" w:cs="Arial"/>
          <w:lang w:eastAsia="en-US"/>
        </w:rPr>
      </w:pPr>
      <w:r w:rsidRPr="00C80641">
        <w:rPr>
          <w:rFonts w:ascii="Arial" w:hAnsi="Arial" w:cs="Arial"/>
          <w:lang w:eastAsia="en-US"/>
        </w:rPr>
        <w:t>A variety of instruments and methods are available, and most of these measure PM</w:t>
      </w:r>
      <w:r w:rsidRPr="00C80641">
        <w:rPr>
          <w:rFonts w:ascii="Arial" w:hAnsi="Arial" w:cs="Arial"/>
          <w:vertAlign w:val="subscript"/>
          <w:lang w:eastAsia="en-US"/>
        </w:rPr>
        <w:t>10</w:t>
      </w:r>
      <w:r w:rsidRPr="00C80641">
        <w:rPr>
          <w:rFonts w:ascii="Arial" w:hAnsi="Arial" w:cs="Arial"/>
          <w:lang w:eastAsia="en-US"/>
        </w:rPr>
        <w:t xml:space="preserve"> and/or PM</w:t>
      </w:r>
      <w:r w:rsidRPr="00C80641">
        <w:rPr>
          <w:rFonts w:ascii="Arial" w:hAnsi="Arial" w:cs="Arial"/>
          <w:vertAlign w:val="subscript"/>
          <w:lang w:eastAsia="en-US"/>
        </w:rPr>
        <w:t>2.5</w:t>
      </w:r>
      <w:r w:rsidRPr="00C80641">
        <w:rPr>
          <w:rFonts w:ascii="Arial" w:hAnsi="Arial" w:cs="Arial"/>
          <w:lang w:eastAsia="en-US"/>
        </w:rPr>
        <w:t>. However, the measurement of PM</w:t>
      </w:r>
      <w:r w:rsidRPr="00C80641">
        <w:rPr>
          <w:rFonts w:ascii="Arial" w:hAnsi="Arial" w:cs="Arial"/>
          <w:vertAlign w:val="subscript"/>
          <w:lang w:eastAsia="en-US"/>
        </w:rPr>
        <w:t>2.5</w:t>
      </w:r>
      <w:r w:rsidRPr="00C80641">
        <w:rPr>
          <w:rFonts w:ascii="Arial" w:hAnsi="Arial" w:cs="Arial"/>
          <w:lang w:eastAsia="en-US"/>
        </w:rPr>
        <w:t xml:space="preserve"> is inherently more difficult, partly because there is a much smaller mass to measure. As noted above, the method of measurement has a substantial impact on what is measured. In Australia and elsewhere, reference methods have been developed to provide standardisation in the measurement of PM and to improve the comparability of data from different sites. The reference method</w:t>
      </w:r>
      <w:r w:rsidR="008712A6" w:rsidRPr="00C80641">
        <w:rPr>
          <w:rFonts w:ascii="Arial" w:hAnsi="Arial" w:cs="Arial"/>
          <w:lang w:eastAsia="en-US"/>
        </w:rPr>
        <w:t xml:space="preserve">s for </w:t>
      </w:r>
      <w:r w:rsidRPr="00C80641">
        <w:rPr>
          <w:rFonts w:ascii="Arial" w:hAnsi="Arial" w:cs="Arial"/>
          <w:lang w:eastAsia="en-US"/>
        </w:rPr>
        <w:t>PM</w:t>
      </w:r>
      <w:r w:rsidRPr="00C80641">
        <w:rPr>
          <w:rFonts w:ascii="Arial" w:hAnsi="Arial" w:cs="Arial"/>
          <w:vertAlign w:val="subscript"/>
          <w:lang w:eastAsia="en-US"/>
        </w:rPr>
        <w:t>10</w:t>
      </w:r>
      <w:r w:rsidRPr="00C80641">
        <w:rPr>
          <w:rFonts w:ascii="Arial" w:hAnsi="Arial" w:cs="Arial"/>
          <w:lang w:eastAsia="en-US"/>
        </w:rPr>
        <w:t xml:space="preserve"> and PM</w:t>
      </w:r>
      <w:r w:rsidRPr="00C80641">
        <w:rPr>
          <w:rFonts w:ascii="Arial" w:hAnsi="Arial" w:cs="Arial"/>
          <w:vertAlign w:val="subscript"/>
          <w:lang w:eastAsia="en-US"/>
        </w:rPr>
        <w:t>2.5</w:t>
      </w:r>
      <w:r w:rsidRPr="00C80641">
        <w:rPr>
          <w:rFonts w:ascii="Arial" w:hAnsi="Arial" w:cs="Arial"/>
          <w:lang w:eastAsia="en-US"/>
        </w:rPr>
        <w:t xml:space="preserve"> in Australia i</w:t>
      </w:r>
      <w:r w:rsidR="008712A6" w:rsidRPr="00C80641">
        <w:rPr>
          <w:rFonts w:ascii="Arial" w:hAnsi="Arial" w:cs="Arial"/>
          <w:lang w:eastAsia="en-US"/>
        </w:rPr>
        <w:t>nvolve a manual gravimetric approach</w:t>
      </w:r>
      <w:r w:rsidRPr="00C80641">
        <w:rPr>
          <w:rFonts w:ascii="Arial" w:hAnsi="Arial" w:cs="Arial"/>
          <w:lang w:eastAsia="en-US"/>
        </w:rPr>
        <w:t>, in which a filter is weighed before and after sampling to determine the PM mass. For a variety of practical reasons, the reference methods have not been widely adopted in Australia</w:t>
      </w:r>
      <w:r w:rsidR="008712A6" w:rsidRPr="00C80641">
        <w:rPr>
          <w:rFonts w:ascii="Arial" w:hAnsi="Arial" w:cs="Arial"/>
          <w:lang w:eastAsia="en-US"/>
        </w:rPr>
        <w:t xml:space="preserve"> and other countries (</w:t>
      </w:r>
      <w:r w:rsidR="009334F4" w:rsidRPr="00C80641">
        <w:rPr>
          <w:rFonts w:ascii="Arial" w:hAnsi="Arial" w:cs="Arial"/>
          <w:lang w:eastAsia="en-US"/>
        </w:rPr>
        <w:t>e.g.</w:t>
      </w:r>
      <w:r w:rsidR="008712A6" w:rsidRPr="00C80641">
        <w:rPr>
          <w:rFonts w:ascii="Arial" w:hAnsi="Arial" w:cs="Arial"/>
          <w:lang w:eastAsia="en-US"/>
        </w:rPr>
        <w:t xml:space="preserve"> the UK)</w:t>
      </w:r>
      <w:r w:rsidRPr="00C80641">
        <w:rPr>
          <w:rFonts w:ascii="Arial" w:hAnsi="Arial" w:cs="Arial"/>
          <w:lang w:eastAsia="en-US"/>
        </w:rPr>
        <w:t>. A number of non-reference instruments are in widespread use, including the Tapered Element Oscillating Microbalance (TEOM), the Filter Dynami</w:t>
      </w:r>
      <w:r w:rsidR="008712A6" w:rsidRPr="00C80641">
        <w:rPr>
          <w:rFonts w:ascii="Arial" w:hAnsi="Arial" w:cs="Arial"/>
          <w:lang w:eastAsia="en-US"/>
        </w:rPr>
        <w:t xml:space="preserve">c Measurement System (FDMS), </w:t>
      </w:r>
      <w:r w:rsidRPr="00C80641">
        <w:rPr>
          <w:rFonts w:ascii="Arial" w:hAnsi="Arial" w:cs="Arial"/>
          <w:lang w:eastAsia="en-US"/>
        </w:rPr>
        <w:t>the Beta-Attenuation Monitor (BAM)</w:t>
      </w:r>
      <w:r w:rsidR="008712A6" w:rsidRPr="00C80641">
        <w:rPr>
          <w:rFonts w:ascii="Arial" w:hAnsi="Arial" w:cs="Arial"/>
          <w:lang w:eastAsia="en-US"/>
        </w:rPr>
        <w:t xml:space="preserve"> and optical systems</w:t>
      </w:r>
      <w:r w:rsidRPr="00C80641">
        <w:rPr>
          <w:rFonts w:ascii="Arial" w:hAnsi="Arial" w:cs="Arial"/>
          <w:lang w:eastAsia="en-US"/>
        </w:rPr>
        <w:t xml:space="preserve">. Not all these </w:t>
      </w:r>
      <w:r w:rsidR="005C198D" w:rsidRPr="00C80641">
        <w:rPr>
          <w:rFonts w:ascii="Arial" w:hAnsi="Arial" w:cs="Arial"/>
          <w:lang w:eastAsia="en-US"/>
        </w:rPr>
        <w:t xml:space="preserve">methods are </w:t>
      </w:r>
      <w:r w:rsidRPr="00C80641">
        <w:rPr>
          <w:rFonts w:ascii="Arial" w:hAnsi="Arial" w:cs="Arial"/>
          <w:lang w:eastAsia="en-US"/>
        </w:rPr>
        <w:t xml:space="preserve">equivalent to the reference methods for </w:t>
      </w:r>
      <w:r w:rsidR="00EF24F8" w:rsidRPr="00C80641">
        <w:rPr>
          <w:rFonts w:ascii="Arial" w:hAnsi="Arial" w:cs="Arial"/>
          <w:lang w:eastAsia="en-US"/>
        </w:rPr>
        <w:t>AAQ NEPM</w:t>
      </w:r>
      <w:r w:rsidRPr="00C80641">
        <w:rPr>
          <w:rFonts w:ascii="Arial" w:hAnsi="Arial" w:cs="Arial"/>
          <w:lang w:eastAsia="en-US"/>
        </w:rPr>
        <w:t xml:space="preserve"> purposes.</w:t>
      </w:r>
    </w:p>
    <w:p w:rsidR="00023A10" w:rsidRPr="00C80641" w:rsidRDefault="00023A10" w:rsidP="00E12B2B">
      <w:pPr>
        <w:spacing w:after="180"/>
        <w:rPr>
          <w:rFonts w:ascii="Arial" w:hAnsi="Arial" w:cs="Arial"/>
          <w:lang w:eastAsia="en-US"/>
        </w:rPr>
      </w:pPr>
      <w:r w:rsidRPr="00C80641">
        <w:rPr>
          <w:rFonts w:ascii="Arial" w:hAnsi="Arial" w:cs="Arial"/>
          <w:b/>
          <w:lang w:eastAsia="en-US"/>
        </w:rPr>
        <w:t>Appendix B</w:t>
      </w:r>
      <w:r w:rsidRPr="00C80641">
        <w:rPr>
          <w:rFonts w:ascii="Arial" w:hAnsi="Arial" w:cs="Arial"/>
          <w:lang w:eastAsia="en-US"/>
        </w:rPr>
        <w:t xml:space="preserve"> summarise</w:t>
      </w:r>
      <w:r w:rsidR="00463854" w:rsidRPr="00C80641">
        <w:rPr>
          <w:rFonts w:ascii="Arial" w:hAnsi="Arial" w:cs="Arial"/>
          <w:lang w:eastAsia="en-US"/>
        </w:rPr>
        <w:t>s</w:t>
      </w:r>
      <w:r w:rsidRPr="00C80641">
        <w:rPr>
          <w:rFonts w:ascii="Arial" w:hAnsi="Arial" w:cs="Arial"/>
          <w:lang w:eastAsia="en-US"/>
        </w:rPr>
        <w:t xml:space="preserve"> the Australian reference methods</w:t>
      </w:r>
      <w:r w:rsidR="008712A6" w:rsidRPr="00C80641">
        <w:rPr>
          <w:rFonts w:ascii="Arial" w:hAnsi="Arial" w:cs="Arial"/>
          <w:lang w:eastAsia="en-US"/>
        </w:rPr>
        <w:t xml:space="preserve"> and the main alternative</w:t>
      </w:r>
      <w:r w:rsidRPr="00C80641">
        <w:rPr>
          <w:rFonts w:ascii="Arial" w:hAnsi="Arial" w:cs="Arial"/>
          <w:lang w:eastAsia="en-US"/>
        </w:rPr>
        <w:t xml:space="preserve">s used in Australia. It is beyond the scope of this </w:t>
      </w:r>
      <w:r w:rsidR="00B05D93" w:rsidRPr="00C80641">
        <w:rPr>
          <w:rFonts w:ascii="Arial" w:hAnsi="Arial"/>
        </w:rPr>
        <w:t>Impact Statement</w:t>
      </w:r>
      <w:r w:rsidRPr="00C80641">
        <w:rPr>
          <w:rFonts w:ascii="Arial" w:hAnsi="Arial" w:cs="Arial"/>
          <w:lang w:eastAsia="en-US"/>
        </w:rPr>
        <w:t xml:space="preserve"> to describe </w:t>
      </w:r>
      <w:r w:rsidR="008712A6" w:rsidRPr="00C80641">
        <w:rPr>
          <w:rFonts w:ascii="Arial" w:hAnsi="Arial" w:cs="Arial"/>
          <w:lang w:eastAsia="en-US"/>
        </w:rPr>
        <w:t>the operational characteristics and advantages/disadvantages of these in detail, or</w:t>
      </w:r>
      <w:r w:rsidRPr="00C80641">
        <w:rPr>
          <w:rFonts w:ascii="Arial" w:hAnsi="Arial" w:cs="Arial"/>
          <w:lang w:eastAsia="en-US"/>
        </w:rPr>
        <w:t xml:space="preserve"> to address the future direction of PM monitoring in Australia.</w:t>
      </w:r>
      <w:r w:rsidR="008712A6" w:rsidRPr="00C80641">
        <w:rPr>
          <w:rFonts w:ascii="Arial" w:hAnsi="Arial" w:cs="Arial"/>
          <w:lang w:eastAsia="en-US"/>
        </w:rPr>
        <w:t xml:space="preserve"> Such issues are being addressed by technical working groups.</w:t>
      </w:r>
    </w:p>
    <w:p w:rsidR="00D22885" w:rsidRPr="00C80641" w:rsidRDefault="00BF6019" w:rsidP="00523CEA">
      <w:pPr>
        <w:jc w:val="center"/>
        <w:rPr>
          <w:rFonts w:ascii="Arial" w:hAnsi="Arial" w:cs="Arial"/>
          <w:color w:val="FF0000"/>
        </w:rPr>
      </w:pPr>
      <w:r>
        <w:rPr>
          <w:rFonts w:ascii="Arial" w:hAnsi="Arial" w:cs="Arial"/>
          <w:noProof/>
          <w:color w:val="FF0000"/>
        </w:rPr>
      </w:r>
      <w:r>
        <w:rPr>
          <w:rFonts w:ascii="Arial" w:hAnsi="Arial" w:cs="Arial"/>
          <w:noProof/>
          <w:color w:val="FF000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5" o:spid="_x0000_s1041" type="#_x0000_t176" style="width:433.7pt;height: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" fillcolor="#b8cce4" strokecolor="#4f81bd" strokeweight="2.5pt">
            <v:fill opacity="13107f"/>
            <v:shadow color="#868686"/>
            <v:textbox>
              <w:txbxContent>
                <w:p w:rsidR="0085182E" w:rsidRPr="0070675D" w:rsidRDefault="0085182E" w:rsidP="007D4F73">
                  <w:pPr>
                    <w:jc w:val="center"/>
                    <w:rPr>
                      <w:b/>
                      <w:color w:val="0070C0"/>
                      <w:sz w:val="24"/>
                      <w:szCs w:val="24"/>
                    </w:rPr>
                  </w:pPr>
                  <w:r w:rsidRPr="0070675D">
                    <w:rPr>
                      <w:b/>
                      <w:color w:val="0070C0"/>
                      <w:sz w:val="24"/>
                      <w:szCs w:val="24"/>
                    </w:rPr>
                    <w:t>Key points from Chapter 2</w:t>
                  </w:r>
                </w:p>
                <w:p w:rsidR="0085182E" w:rsidRPr="008F59D7" w:rsidRDefault="0085182E" w:rsidP="00523CEA">
                  <w:pPr>
                    <w:pStyle w:val="BulletArrows"/>
                    <w:spacing w:after="180"/>
                    <w:rPr>
                      <w:b/>
                      <w:i/>
                    </w:rPr>
                  </w:pPr>
                  <w:r w:rsidRPr="008F59D7">
                    <w:rPr>
                      <w:b/>
                      <w:i/>
                    </w:rPr>
                    <w:t>Characteristics of airborne PM</w:t>
                  </w:r>
                </w:p>
                <w:p w:rsidR="0085182E" w:rsidRDefault="0085182E" w:rsidP="00CD20B5">
                  <w:pPr>
                    <w:pStyle w:val="BulletArrows"/>
                    <w:numPr>
                      <w:ilvl w:val="0"/>
                      <w:numId w:val="74"/>
                    </w:numPr>
                    <w:spacing w:after="100"/>
                  </w:pPr>
                  <w:r>
                    <w:t>PM is</w:t>
                  </w:r>
                  <w:r w:rsidRPr="00AA0B96">
                    <w:t xml:space="preserve"> a complex mixture of substances that are derived from a range of sources and processes. The contributions of these sources and processes, and hence the physical and chem</w:t>
                  </w:r>
                  <w:r>
                    <w:t>ical properties of PM, vary according to</w:t>
                  </w:r>
                  <w:r w:rsidRPr="00AA0B96">
                    <w:t xml:space="preserve"> many factors.</w:t>
                  </w:r>
                </w:p>
                <w:p w:rsidR="0085182E" w:rsidRDefault="0085182E" w:rsidP="00CD20B5">
                  <w:pPr>
                    <w:pStyle w:val="BulletArrows"/>
                    <w:numPr>
                      <w:ilvl w:val="0"/>
                      <w:numId w:val="74"/>
                    </w:numPr>
                    <w:spacing w:after="100"/>
                  </w:pPr>
                  <w:r>
                    <w:t xml:space="preserve">The components of PM are </w:t>
                  </w:r>
                  <w:r w:rsidRPr="009272F2">
                    <w:t>often classified as primary or secondary. Both primary and secondary PM can have na</w:t>
                  </w:r>
                  <w:r>
                    <w:t>tural and anthropogenic sources</w:t>
                  </w:r>
                  <w:r w:rsidRPr="00AA0B96">
                    <w:t>.</w:t>
                  </w:r>
                </w:p>
                <w:p w:rsidR="0085182E" w:rsidRPr="009272F2" w:rsidRDefault="0085182E" w:rsidP="00CD20B5">
                  <w:pPr>
                    <w:pStyle w:val="BulletArrows"/>
                    <w:numPr>
                      <w:ilvl w:val="0"/>
                      <w:numId w:val="74"/>
                    </w:numPr>
                    <w:spacing w:after="240"/>
                  </w:pPr>
                  <w:r w:rsidRPr="00CE64E7">
                    <w:t>It is common to see particles described in terms of three modes relating to sources and size: the nucleation mode, the accumulation mode, and the coarse particle mode.</w:t>
                  </w:r>
                  <w:r>
                    <w:t xml:space="preserve"> Particles in the three modes have different properties.</w:t>
                  </w:r>
                </w:p>
                <w:p w:rsidR="0085182E" w:rsidRPr="008F59D7" w:rsidRDefault="0085182E" w:rsidP="00523CEA">
                  <w:pPr>
                    <w:pStyle w:val="BulletArrows"/>
                    <w:spacing w:after="180"/>
                    <w:rPr>
                      <w:b/>
                      <w:i/>
                      <w:color w:val="auto"/>
                      <w:szCs w:val="18"/>
                    </w:rPr>
                  </w:pPr>
                  <w:r w:rsidRPr="008F59D7">
                    <w:rPr>
                      <w:b/>
                      <w:i/>
                      <w:color w:val="auto"/>
                      <w:szCs w:val="18"/>
                    </w:rPr>
                    <w:t>Measurement of airborne PM</w:t>
                  </w:r>
                </w:p>
                <w:p w:rsidR="0085182E" w:rsidRPr="00AA0B96" w:rsidRDefault="0085182E" w:rsidP="00CD20B5">
                  <w:pPr>
                    <w:pStyle w:val="BulletArrows"/>
                    <w:numPr>
                      <w:ilvl w:val="0"/>
                      <w:numId w:val="75"/>
                    </w:numPr>
                    <w:spacing w:after="100"/>
                    <w:rPr>
                      <w:color w:val="auto"/>
                      <w:szCs w:val="18"/>
                    </w:rPr>
                  </w:pPr>
                  <w:r w:rsidRPr="005F592C">
                    <w:rPr>
                      <w:color w:val="auto"/>
                      <w:szCs w:val="18"/>
                    </w:rPr>
                    <w:t>Airborne particles are measured using various metric</w:t>
                  </w:r>
                  <w:r>
                    <w:rPr>
                      <w:color w:val="auto"/>
                      <w:szCs w:val="18"/>
                    </w:rPr>
                    <w:t>s which relate to particle size, and t</w:t>
                  </w:r>
                  <w:r w:rsidRPr="005F592C">
                    <w:rPr>
                      <w:color w:val="auto"/>
                      <w:szCs w:val="18"/>
                    </w:rPr>
                    <w:t>he two metrics that are used most commonly are PM</w:t>
                  </w:r>
                  <w:r w:rsidRPr="005F592C">
                    <w:rPr>
                      <w:color w:val="auto"/>
                      <w:szCs w:val="18"/>
                      <w:vertAlign w:val="subscript"/>
                    </w:rPr>
                    <w:t>10</w:t>
                  </w:r>
                  <w:r w:rsidRPr="005F592C">
                    <w:rPr>
                      <w:color w:val="auto"/>
                      <w:szCs w:val="18"/>
                    </w:rPr>
                    <w:t xml:space="preserve"> and PM</w:t>
                  </w:r>
                  <w:r w:rsidRPr="005F592C">
                    <w:rPr>
                      <w:color w:val="auto"/>
                      <w:szCs w:val="18"/>
                      <w:vertAlign w:val="subscript"/>
                    </w:rPr>
                    <w:t>2.5</w:t>
                  </w:r>
                  <w:r w:rsidRPr="005F592C">
                    <w:rPr>
                      <w:color w:val="auto"/>
                      <w:szCs w:val="18"/>
                    </w:rPr>
                    <w:t xml:space="preserve">. </w:t>
                  </w:r>
                  <w:r w:rsidRPr="00AA0B96">
                    <w:rPr>
                      <w:color w:val="auto"/>
                      <w:szCs w:val="18"/>
                    </w:rPr>
                    <w:t>PM</w:t>
                  </w:r>
                  <w:r w:rsidRPr="00AA0B96">
                    <w:rPr>
                      <w:color w:val="auto"/>
                      <w:szCs w:val="18"/>
                      <w:vertAlign w:val="subscript"/>
                    </w:rPr>
                    <w:t>10</w:t>
                  </w:r>
                  <w:r w:rsidRPr="00AA0B96">
                    <w:rPr>
                      <w:color w:val="auto"/>
                      <w:szCs w:val="18"/>
                    </w:rPr>
                    <w:t xml:space="preserve"> and PM</w:t>
                  </w:r>
                  <w:r w:rsidRPr="00AA0B96">
                    <w:rPr>
                      <w:color w:val="auto"/>
                      <w:szCs w:val="18"/>
                      <w:vertAlign w:val="subscript"/>
                    </w:rPr>
                    <w:t>2.5</w:t>
                  </w:r>
                  <w:r>
                    <w:rPr>
                      <w:color w:val="auto"/>
                      <w:szCs w:val="18"/>
                    </w:rPr>
                    <w:t xml:space="preserve"> are somewhat ambiguous, being </w:t>
                  </w:r>
                  <w:r w:rsidRPr="00AA0B96">
                    <w:rPr>
                      <w:color w:val="auto"/>
                      <w:szCs w:val="18"/>
                    </w:rPr>
                    <w:t>effectively defined by the measurement method.</w:t>
                  </w:r>
                </w:p>
                <w:p w:rsidR="0085182E" w:rsidRPr="00AA0B96" w:rsidRDefault="0085182E" w:rsidP="00CD20B5">
                  <w:pPr>
                    <w:pStyle w:val="BulletArrows"/>
                    <w:numPr>
                      <w:ilvl w:val="0"/>
                      <w:numId w:val="75"/>
                    </w:numPr>
                    <w:spacing w:after="100"/>
                    <w:rPr>
                      <w:color w:val="auto"/>
                      <w:szCs w:val="18"/>
                    </w:rPr>
                  </w:pPr>
                  <w:r w:rsidRPr="00AA0B96">
                    <w:rPr>
                      <w:color w:val="auto"/>
                      <w:szCs w:val="18"/>
                    </w:rPr>
                    <w:t>A variety of instrum</w:t>
                  </w:r>
                  <w:r>
                    <w:rPr>
                      <w:color w:val="auto"/>
                      <w:szCs w:val="18"/>
                    </w:rPr>
                    <w:t xml:space="preserve">ents and methods are available for measuring </w:t>
                  </w:r>
                  <w:r w:rsidRPr="00AA0B96">
                    <w:rPr>
                      <w:color w:val="auto"/>
                      <w:szCs w:val="18"/>
                    </w:rPr>
                    <w:t>PM</w:t>
                  </w:r>
                  <w:r w:rsidRPr="00AA0B96">
                    <w:rPr>
                      <w:color w:val="auto"/>
                      <w:szCs w:val="18"/>
                      <w:vertAlign w:val="subscript"/>
                    </w:rPr>
                    <w:t>10</w:t>
                  </w:r>
                  <w:r w:rsidRPr="00AA0B96">
                    <w:rPr>
                      <w:color w:val="auto"/>
                      <w:szCs w:val="18"/>
                    </w:rPr>
                    <w:t xml:space="preserve"> and/or PM</w:t>
                  </w:r>
                  <w:r w:rsidRPr="00AA0B96">
                    <w:rPr>
                      <w:color w:val="auto"/>
                      <w:szCs w:val="18"/>
                      <w:vertAlign w:val="subscript"/>
                    </w:rPr>
                    <w:t>2.5</w:t>
                  </w:r>
                  <w:r w:rsidRPr="00AA0B96">
                    <w:rPr>
                      <w:color w:val="auto"/>
                      <w:szCs w:val="18"/>
                    </w:rPr>
                    <w:t xml:space="preserve">. </w:t>
                  </w:r>
                  <w:r>
                    <w:rPr>
                      <w:color w:val="auto"/>
                      <w:szCs w:val="18"/>
                    </w:rPr>
                    <w:t>T</w:t>
                  </w:r>
                  <w:r w:rsidRPr="00AA0B96">
                    <w:rPr>
                      <w:color w:val="auto"/>
                      <w:szCs w:val="18"/>
                    </w:rPr>
                    <w:t>he measurement of PM</w:t>
                  </w:r>
                  <w:r w:rsidRPr="00AA0B96">
                    <w:rPr>
                      <w:color w:val="auto"/>
                      <w:szCs w:val="18"/>
                      <w:vertAlign w:val="subscript"/>
                    </w:rPr>
                    <w:t>2.5</w:t>
                  </w:r>
                  <w:r w:rsidRPr="00AA0B96">
                    <w:rPr>
                      <w:color w:val="auto"/>
                      <w:szCs w:val="18"/>
                    </w:rPr>
                    <w:t xml:space="preserve"> is inherently more difficult</w:t>
                  </w:r>
                  <w:r>
                    <w:rPr>
                      <w:color w:val="auto"/>
                      <w:szCs w:val="18"/>
                    </w:rPr>
                    <w:t>, partly</w:t>
                  </w:r>
                  <w:r w:rsidRPr="00AA0B96">
                    <w:rPr>
                      <w:color w:val="auto"/>
                      <w:szCs w:val="18"/>
                    </w:rPr>
                    <w:t xml:space="preserve"> because there is a much </w:t>
                  </w:r>
                  <w:r>
                    <w:rPr>
                      <w:color w:val="auto"/>
                      <w:szCs w:val="18"/>
                    </w:rPr>
                    <w:t>smaller mass to measure.</w:t>
                  </w:r>
                </w:p>
                <w:p w:rsidR="0085182E" w:rsidRPr="00AA0B96" w:rsidRDefault="0085182E" w:rsidP="00CD20B5">
                  <w:pPr>
                    <w:pStyle w:val="BulletArrows"/>
                    <w:numPr>
                      <w:ilvl w:val="0"/>
                      <w:numId w:val="75"/>
                    </w:numPr>
                    <w:spacing w:after="100"/>
                    <w:rPr>
                      <w:color w:val="auto"/>
                      <w:szCs w:val="18"/>
                    </w:rPr>
                  </w:pPr>
                  <w:r w:rsidRPr="00AA0B96">
                    <w:rPr>
                      <w:color w:val="auto"/>
                      <w:szCs w:val="18"/>
                    </w:rPr>
                    <w:t>The reference method for monitoring PM</w:t>
                  </w:r>
                  <w:r w:rsidRPr="00AA0B96">
                    <w:rPr>
                      <w:color w:val="auto"/>
                      <w:szCs w:val="18"/>
                      <w:vertAlign w:val="subscript"/>
                    </w:rPr>
                    <w:t>10</w:t>
                  </w:r>
                  <w:r w:rsidRPr="00AA0B96">
                    <w:rPr>
                      <w:color w:val="auto"/>
                      <w:szCs w:val="18"/>
                    </w:rPr>
                    <w:t xml:space="preserve"> and PM</w:t>
                  </w:r>
                  <w:r w:rsidRPr="00AA0B96">
                    <w:rPr>
                      <w:color w:val="auto"/>
                      <w:szCs w:val="18"/>
                      <w:vertAlign w:val="subscript"/>
                    </w:rPr>
                    <w:t>2.5</w:t>
                  </w:r>
                  <w:r w:rsidRPr="00AA0B96">
                    <w:rPr>
                      <w:color w:val="auto"/>
                      <w:szCs w:val="18"/>
                    </w:rPr>
                    <w:t xml:space="preserve"> in Australia is the manual gravimetric method.</w:t>
                  </w:r>
                </w:p>
                <w:p w:rsidR="0085182E" w:rsidRPr="00AA0B96" w:rsidRDefault="0085182E" w:rsidP="00CD20B5">
                  <w:pPr>
                    <w:pStyle w:val="BulletArrows"/>
                    <w:numPr>
                      <w:ilvl w:val="0"/>
                      <w:numId w:val="75"/>
                    </w:numPr>
                    <w:spacing w:after="0"/>
                    <w:rPr>
                      <w:color w:val="auto"/>
                      <w:szCs w:val="18"/>
                    </w:rPr>
                  </w:pPr>
                  <w:r>
                    <w:rPr>
                      <w:color w:val="auto"/>
                      <w:szCs w:val="18"/>
                    </w:rPr>
                    <w:t>S</w:t>
                  </w:r>
                  <w:r w:rsidRPr="00AA0B96">
                    <w:rPr>
                      <w:color w:val="auto"/>
                      <w:szCs w:val="18"/>
                    </w:rPr>
                    <w:t>ome automated and continuous methods (TEOM, FDMS, BAM</w:t>
                  </w:r>
                  <w:r>
                    <w:rPr>
                      <w:color w:val="auto"/>
                      <w:szCs w:val="18"/>
                    </w:rPr>
                    <w:t>, optical monitors</w:t>
                  </w:r>
                  <w:r w:rsidRPr="00AA0B96">
                    <w:rPr>
                      <w:color w:val="auto"/>
                      <w:szCs w:val="18"/>
                    </w:rPr>
                    <w:t xml:space="preserve">) can be used as alternatives to the reference methods, but not all these </w:t>
                  </w:r>
                  <w:r>
                    <w:rPr>
                      <w:color w:val="auto"/>
                      <w:szCs w:val="18"/>
                    </w:rPr>
                    <w:t xml:space="preserve">methods are </w:t>
                  </w:r>
                  <w:r w:rsidRPr="00AA0B96">
                    <w:rPr>
                      <w:color w:val="auto"/>
                      <w:szCs w:val="18"/>
                    </w:rPr>
                    <w:t>equ</w:t>
                  </w:r>
                  <w:r>
                    <w:rPr>
                      <w:color w:val="auto"/>
                      <w:szCs w:val="18"/>
                    </w:rPr>
                    <w:t>ivalent to the reference method</w:t>
                  </w:r>
                  <w:r w:rsidRPr="00AA0B96">
                    <w:rPr>
                      <w:color w:val="auto"/>
                      <w:szCs w:val="18"/>
                    </w:rPr>
                    <w:t xml:space="preserve"> for NEPM purposes.</w:t>
                  </w:r>
                </w:p>
              </w:txbxContent>
            </v:textbox>
            <w10:wrap type="none"/>
            <w10:anchorlock/>
          </v:shape>
        </w:pict>
      </w:r>
    </w:p>
    <w:p w:rsidR="00E24051" w:rsidRPr="00C80641" w:rsidRDefault="00BF6019" w:rsidP="00523CEA">
      <w:pPr>
        <w:jc w:val="center"/>
        <w:rPr>
          <w:rFonts w:ascii="Arial" w:hAnsi="Arial" w:cs="Arial"/>
        </w:rPr>
      </w:pPr>
      <w:r w:rsidRPr="00BF6019">
        <w:rPr>
          <w:rFonts w:ascii="Arial" w:hAnsi="Arial" w:cs="Arial"/>
          <w:noProof/>
          <w:color w:val="FF0000"/>
        </w:rPr>
      </w:r>
      <w:r w:rsidRPr="00BF6019">
        <w:rPr>
          <w:rFonts w:ascii="Arial" w:hAnsi="Arial" w:cs="Arial"/>
          <w:noProof/>
          <w:color w:val="FF0000"/>
        </w:rPr>
        <w:pict>
          <v:shape id="AutoShape 22" o:spid="_x0000_s1040" type="#_x0000_t176" style="width:433.7pt;height:1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" fillcolor="#fbd4b4" strokecolor="#f79646" strokeweight="2.5pt">
            <v:fill opacity="13107f"/>
            <v:shadow color="#868686"/>
            <v:textbox>
              <w:txbxContent>
                <w:p w:rsidR="0085182E" w:rsidRPr="0043291D" w:rsidRDefault="0085182E" w:rsidP="007D0A4D">
                  <w:pPr>
                    <w:jc w:val="center"/>
                    <w:rPr>
                      <w:b/>
                      <w:color w:val="E36C0A"/>
                      <w:sz w:val="24"/>
                      <w:szCs w:val="24"/>
                    </w:rPr>
                  </w:pPr>
                  <w:r w:rsidRPr="0043291D">
                    <w:rPr>
                      <w:b/>
                      <w:color w:val="E36C0A"/>
                      <w:sz w:val="24"/>
                      <w:szCs w:val="24"/>
                    </w:rPr>
                    <w:t>Proposed questions for consultation:</w:t>
                  </w:r>
                  <w:r w:rsidRPr="0043291D">
                    <w:rPr>
                      <w:color w:val="E36C0A"/>
                    </w:rPr>
                    <w:t xml:space="preserve"> </w:t>
                  </w:r>
                  <w:r w:rsidRPr="0043291D">
                    <w:rPr>
                      <w:b/>
                      <w:color w:val="E36C0A"/>
                      <w:sz w:val="24"/>
                      <w:szCs w:val="24"/>
                    </w:rPr>
                    <w:t>Characteristics and measurement of airborne PM</w:t>
                  </w:r>
                </w:p>
                <w:p w:rsidR="0085182E" w:rsidRPr="006A5626" w:rsidRDefault="0085182E" w:rsidP="006E11F4">
                  <w:pPr>
                    <w:pStyle w:val="BulletArrows"/>
                    <w:numPr>
                      <w:ilvl w:val="0"/>
                      <w:numId w:val="1"/>
                    </w:numPr>
                  </w:pPr>
                  <w:r w:rsidRPr="006A5626">
                    <w:t>The characteristics of airborne PM are described in some detail. Would any further information on airborne PM characteristics assist in informing action to reduce airborne PM? If so, please provide details.</w:t>
                  </w:r>
                </w:p>
                <w:p w:rsidR="0085182E" w:rsidRPr="006A5626" w:rsidRDefault="0085182E" w:rsidP="006E11F4">
                  <w:pPr>
                    <w:pStyle w:val="BulletArrows"/>
                    <w:numPr>
                      <w:ilvl w:val="0"/>
                      <w:numId w:val="1"/>
                    </w:numPr>
                    <w:spacing w:after="360"/>
                  </w:pPr>
                  <w:r w:rsidRPr="006A5626">
                    <w:t>Please provide any additional Australia-specific aspects of PM measurement that you believe are important to the actions to reduce airborne PM being considered in this Impact Statement.</w:t>
                  </w:r>
                </w:p>
                <w:p w:rsidR="0085182E" w:rsidRPr="001E465B" w:rsidRDefault="0085182E" w:rsidP="006E11F4">
                  <w:pPr>
                    <w:pStyle w:val="BulletArrows"/>
                    <w:numPr>
                      <w:ilvl w:val="0"/>
                      <w:numId w:val="21"/>
                    </w:numPr>
                    <w:ind w:left="567" w:hanging="283"/>
                    <w:rPr>
                      <w:color w:val="auto"/>
                      <w:szCs w:val="18"/>
                    </w:rPr>
                  </w:pPr>
                </w:p>
              </w:txbxContent>
            </v:textbox>
            <w10:wrap type="none"/>
            <w10:anchorlock/>
          </v:shape>
        </w:pict>
      </w:r>
    </w:p>
    <w:p w:rsidR="00422C77" w:rsidRPr="00C80641" w:rsidRDefault="00422C77" w:rsidP="002C6E3A">
      <w:pPr>
        <w:rPr>
          <w:rFonts w:ascii="Arial" w:hAnsi="Arial" w:cs="Arial"/>
        </w:rPr>
        <w:sectPr w:rsidR="00422C77" w:rsidRPr="00C80641" w:rsidSect="006A5626">
          <w:headerReference w:type="even" r:id="rId38"/>
          <w:headerReference w:type="default" r:id="rId39"/>
          <w:footerReference w:type="default" r:id="rId40"/>
          <w:headerReference w:type="first" r:id="rId41"/>
          <w:pgSz w:w="11906" w:h="16838" w:code="9"/>
          <w:pgMar w:top="1440" w:right="1440" w:bottom="1440" w:left="1440" w:header="284" w:footer="244" w:gutter="0"/>
          <w:cols w:space="255"/>
          <w:docGrid w:linePitch="360"/>
        </w:sectPr>
      </w:pPr>
    </w:p>
    <w:p w:rsidR="001469C4" w:rsidRPr="00C80641" w:rsidRDefault="008279FF" w:rsidP="00A43E8E">
      <w:pPr>
        <w:pStyle w:val="Heading1"/>
        <w:rPr>
          <w:rFonts w:ascii="Arial" w:hAnsi="Arial"/>
        </w:rPr>
      </w:pPr>
      <w:bookmarkStart w:id="21" w:name="_Toc394011078"/>
      <w:r w:rsidRPr="00C80641">
        <w:rPr>
          <w:rFonts w:ascii="Arial" w:hAnsi="Arial"/>
        </w:rPr>
        <w:lastRenderedPageBreak/>
        <w:t>E</w:t>
      </w:r>
      <w:r w:rsidR="00885E60" w:rsidRPr="00C80641">
        <w:rPr>
          <w:rFonts w:ascii="Arial" w:hAnsi="Arial"/>
        </w:rPr>
        <w:t>ffects</w:t>
      </w:r>
      <w:r w:rsidRPr="00C80641">
        <w:rPr>
          <w:rFonts w:ascii="Arial" w:hAnsi="Arial"/>
        </w:rPr>
        <w:t xml:space="preserve"> </w:t>
      </w:r>
      <w:r w:rsidR="00BF61A3" w:rsidRPr="00C80641">
        <w:rPr>
          <w:rFonts w:ascii="Arial" w:hAnsi="Arial"/>
        </w:rPr>
        <w:t xml:space="preserve">and </w:t>
      </w:r>
      <w:r w:rsidR="001A0FDD" w:rsidRPr="00C80641">
        <w:rPr>
          <w:rFonts w:ascii="Arial" w:hAnsi="Arial"/>
        </w:rPr>
        <w:t>monetar</w:t>
      </w:r>
      <w:r w:rsidR="00D22885" w:rsidRPr="00C80641">
        <w:rPr>
          <w:rFonts w:ascii="Arial" w:hAnsi="Arial"/>
        </w:rPr>
        <w:t>y</w:t>
      </w:r>
      <w:r w:rsidR="001A0FDD" w:rsidRPr="00C80641">
        <w:rPr>
          <w:rFonts w:ascii="Arial" w:hAnsi="Arial"/>
        </w:rPr>
        <w:t xml:space="preserve"> c</w:t>
      </w:r>
      <w:r w:rsidR="00BF61A3" w:rsidRPr="00C80641">
        <w:rPr>
          <w:rFonts w:ascii="Arial" w:hAnsi="Arial"/>
        </w:rPr>
        <w:t xml:space="preserve">osts </w:t>
      </w:r>
      <w:r w:rsidRPr="00C80641">
        <w:rPr>
          <w:rFonts w:ascii="Arial" w:hAnsi="Arial"/>
        </w:rPr>
        <w:t xml:space="preserve">of </w:t>
      </w:r>
      <w:r w:rsidR="00A43E8E" w:rsidRPr="00C80641">
        <w:rPr>
          <w:rFonts w:ascii="Arial" w:hAnsi="Arial"/>
        </w:rPr>
        <w:t xml:space="preserve">airborne </w:t>
      </w:r>
      <w:r w:rsidRPr="00C80641">
        <w:rPr>
          <w:rFonts w:ascii="Arial" w:hAnsi="Arial"/>
        </w:rPr>
        <w:t>P</w:t>
      </w:r>
      <w:r w:rsidR="00A43E8E" w:rsidRPr="00C80641">
        <w:rPr>
          <w:rFonts w:ascii="Arial" w:hAnsi="Arial"/>
        </w:rPr>
        <w:t>articulate matter</w:t>
      </w:r>
      <w:bookmarkEnd w:id="21"/>
    </w:p>
    <w:p w:rsidR="00EF2E8B" w:rsidRPr="00C80641" w:rsidRDefault="009A32E1" w:rsidP="00693A8D">
      <w:pPr>
        <w:spacing w:after="360"/>
        <w:rPr>
          <w:rFonts w:ascii="Arial" w:hAnsi="Arial" w:cs="Arial"/>
        </w:rPr>
      </w:pPr>
      <w:r w:rsidRPr="00C80641">
        <w:rPr>
          <w:rFonts w:ascii="Arial" w:hAnsi="Arial" w:cs="Arial"/>
        </w:rPr>
        <w:t xml:space="preserve">This </w:t>
      </w:r>
      <w:r w:rsidR="000C7700" w:rsidRPr="00C80641">
        <w:rPr>
          <w:rFonts w:ascii="Arial" w:hAnsi="Arial" w:cs="Arial"/>
        </w:rPr>
        <w:t>c</w:t>
      </w:r>
      <w:r w:rsidRPr="00C80641">
        <w:rPr>
          <w:rFonts w:ascii="Arial" w:hAnsi="Arial" w:cs="Arial"/>
        </w:rPr>
        <w:t xml:space="preserve">hapter of the </w:t>
      </w:r>
      <w:r w:rsidR="00B05D93" w:rsidRPr="00C80641">
        <w:rPr>
          <w:rFonts w:ascii="Arial" w:hAnsi="Arial"/>
        </w:rPr>
        <w:t>Impact Statement</w:t>
      </w:r>
      <w:r w:rsidRPr="00C80641">
        <w:rPr>
          <w:rFonts w:ascii="Arial" w:hAnsi="Arial" w:cs="Arial"/>
        </w:rPr>
        <w:t xml:space="preserve"> summarises the effects of airborne PM and the monetary costs of these effects where they have been quantified in Australia. Airborne PM has adverse impacts on human health, ecosystems, visibility, cultural heritage and climate</w:t>
      </w:r>
      <w:r w:rsidR="008C5FB0" w:rsidRPr="00C80641">
        <w:rPr>
          <w:rFonts w:ascii="Arial" w:hAnsi="Arial" w:cs="Arial"/>
        </w:rPr>
        <w:t xml:space="preserve"> </w:t>
      </w:r>
      <w:r w:rsidR="008C5FB0" w:rsidRPr="00C80641">
        <w:rPr>
          <w:rFonts w:ascii="Arial" w:hAnsi="Arial" w:cs="Arial"/>
          <w:b/>
        </w:rPr>
        <w:t>(USEPA 2009; AQEG 2012)</w:t>
      </w:r>
      <w:r w:rsidRPr="00C80641">
        <w:rPr>
          <w:rFonts w:ascii="Arial" w:hAnsi="Arial" w:cs="Arial"/>
        </w:rPr>
        <w:t>. The main focus of public concern is currently on its direct effects on huma</w:t>
      </w:r>
      <w:r w:rsidR="00B34FA8" w:rsidRPr="00C80641">
        <w:rPr>
          <w:rFonts w:ascii="Arial" w:hAnsi="Arial" w:cs="Arial"/>
        </w:rPr>
        <w:t>n health, which account for the majority of the external costs associated with the impacts of</w:t>
      </w:r>
      <w:r w:rsidRPr="00C80641">
        <w:rPr>
          <w:rFonts w:ascii="Arial" w:hAnsi="Arial" w:cs="Arial"/>
        </w:rPr>
        <w:t xml:space="preserve"> air pollution</w:t>
      </w:r>
      <w:r w:rsidR="00043DE9" w:rsidRPr="00C80641">
        <w:rPr>
          <w:rStyle w:val="FootnoteReference"/>
          <w:rFonts w:ascii="Arial" w:hAnsi="Arial" w:cs="Arial"/>
        </w:rPr>
        <w:footnoteReference w:id="4"/>
      </w:r>
      <w:r w:rsidRPr="00C80641">
        <w:rPr>
          <w:rFonts w:ascii="Arial" w:hAnsi="Arial" w:cs="Arial"/>
        </w:rPr>
        <w:t xml:space="preserve">. Most of the </w:t>
      </w:r>
      <w:r w:rsidR="000C7700" w:rsidRPr="00C80641">
        <w:rPr>
          <w:rFonts w:ascii="Arial" w:hAnsi="Arial" w:cs="Arial"/>
        </w:rPr>
        <w:t>c</w:t>
      </w:r>
      <w:r w:rsidRPr="00C80641">
        <w:rPr>
          <w:rFonts w:ascii="Arial" w:hAnsi="Arial" w:cs="Arial"/>
        </w:rPr>
        <w:t>hapter is therefore devoted to this aspect</w:t>
      </w:r>
      <w:r w:rsidR="000C7700" w:rsidRPr="00C80641">
        <w:rPr>
          <w:rFonts w:ascii="Arial" w:hAnsi="Arial" w:cs="Arial"/>
        </w:rPr>
        <w:t>;</w:t>
      </w:r>
      <w:r w:rsidRPr="00C80641">
        <w:rPr>
          <w:rFonts w:ascii="Arial" w:hAnsi="Arial" w:cs="Arial"/>
        </w:rPr>
        <w:t xml:space="preserve"> </w:t>
      </w:r>
      <w:r w:rsidR="000C7700" w:rsidRPr="00C80641">
        <w:rPr>
          <w:rFonts w:ascii="Arial" w:hAnsi="Arial" w:cs="Arial"/>
        </w:rPr>
        <w:t>h</w:t>
      </w:r>
      <w:r w:rsidRPr="00C80641">
        <w:rPr>
          <w:rFonts w:ascii="Arial" w:hAnsi="Arial" w:cs="Arial"/>
        </w:rPr>
        <w:t>owever, a brief synopsis of each of the other impacts has also been included to demonstrate the importance of reducing levels of PM and the linkages between different impact areas.</w:t>
      </w:r>
    </w:p>
    <w:p w:rsidR="00885E60" w:rsidRPr="00C80641" w:rsidRDefault="001469C4" w:rsidP="00EF2E8B">
      <w:pPr>
        <w:pStyle w:val="Heading2"/>
        <w:rPr>
          <w:rFonts w:ascii="Arial" w:hAnsi="Arial"/>
        </w:rPr>
      </w:pPr>
      <w:bookmarkStart w:id="22" w:name="_Ref367373270"/>
      <w:bookmarkStart w:id="23" w:name="_Toc394011079"/>
      <w:r w:rsidRPr="00C80641">
        <w:rPr>
          <w:rFonts w:ascii="Arial" w:hAnsi="Arial"/>
        </w:rPr>
        <w:t xml:space="preserve">Effects </w:t>
      </w:r>
      <w:r w:rsidR="00245C48" w:rsidRPr="00C80641">
        <w:rPr>
          <w:rFonts w:ascii="Arial" w:hAnsi="Arial"/>
        </w:rPr>
        <w:t xml:space="preserve">of PM </w:t>
      </w:r>
      <w:r w:rsidR="00912C82" w:rsidRPr="00C80641">
        <w:rPr>
          <w:rFonts w:ascii="Arial" w:hAnsi="Arial"/>
        </w:rPr>
        <w:t xml:space="preserve">on </w:t>
      </w:r>
      <w:r w:rsidR="0001457A" w:rsidRPr="00C80641">
        <w:rPr>
          <w:rFonts w:ascii="Arial" w:hAnsi="Arial"/>
        </w:rPr>
        <w:t xml:space="preserve">human </w:t>
      </w:r>
      <w:r w:rsidR="00912C82" w:rsidRPr="00C80641">
        <w:rPr>
          <w:rFonts w:ascii="Arial" w:hAnsi="Arial"/>
        </w:rPr>
        <w:t>health</w:t>
      </w:r>
      <w:bookmarkEnd w:id="22"/>
      <w:bookmarkEnd w:id="23"/>
    </w:p>
    <w:p w:rsidR="007E352C" w:rsidRPr="00C80641" w:rsidRDefault="007E352C" w:rsidP="000F787E">
      <w:pPr>
        <w:pStyle w:val="Heading3"/>
        <w:rPr>
          <w:rFonts w:ascii="Arial" w:hAnsi="Arial"/>
        </w:rPr>
      </w:pPr>
      <w:bookmarkStart w:id="24" w:name="_Toc394011080"/>
      <w:r w:rsidRPr="00C80641">
        <w:rPr>
          <w:rFonts w:ascii="Arial" w:hAnsi="Arial"/>
        </w:rPr>
        <w:t>Overview</w:t>
      </w:r>
      <w:bookmarkEnd w:id="24"/>
    </w:p>
    <w:p w:rsidR="009A32E1" w:rsidRPr="00C80641" w:rsidRDefault="009A32E1" w:rsidP="00CB41AA">
      <w:pPr>
        <w:spacing w:after="200"/>
        <w:rPr>
          <w:rFonts w:ascii="Arial" w:hAnsi="Arial" w:cs="Arial"/>
        </w:rPr>
      </w:pPr>
      <w:r w:rsidRPr="00C80641">
        <w:rPr>
          <w:rFonts w:ascii="Arial" w:hAnsi="Arial" w:cs="Arial"/>
        </w:rPr>
        <w:t xml:space="preserve">Since the establishment of the </w:t>
      </w:r>
      <w:r w:rsidR="00EF24F8" w:rsidRPr="00C80641">
        <w:rPr>
          <w:rFonts w:ascii="Arial" w:hAnsi="Arial" w:cs="Arial"/>
        </w:rPr>
        <w:t>AAQ NEPM</w:t>
      </w:r>
      <w:r w:rsidRPr="00C80641">
        <w:rPr>
          <w:rFonts w:ascii="Arial" w:hAnsi="Arial" w:cs="Arial"/>
        </w:rPr>
        <w:t xml:space="preserve"> in 1998 and the variation in 2003, there have been several significant advances in the understanding of the health impacts of ambient PM. In recent years evidence has accumulated indicating that airborne particles have a range of adverse effects on health. These effects </w:t>
      </w:r>
      <w:r w:rsidR="000607F2" w:rsidRPr="00C80641">
        <w:rPr>
          <w:rFonts w:ascii="Arial" w:hAnsi="Arial" w:cs="Arial"/>
        </w:rPr>
        <w:t xml:space="preserve">– which </w:t>
      </w:r>
      <w:r w:rsidRPr="00C80641">
        <w:rPr>
          <w:rFonts w:ascii="Arial" w:hAnsi="Arial" w:cs="Arial"/>
        </w:rPr>
        <w:t>are diverse i</w:t>
      </w:r>
      <w:r w:rsidR="000607F2" w:rsidRPr="00C80641">
        <w:rPr>
          <w:rFonts w:ascii="Arial" w:hAnsi="Arial" w:cs="Arial"/>
        </w:rPr>
        <w:t xml:space="preserve">n scope, severity and duration </w:t>
      </w:r>
      <w:r w:rsidR="000C7700" w:rsidRPr="00C80641">
        <w:rPr>
          <w:rFonts w:ascii="Arial" w:hAnsi="Arial" w:cs="Arial"/>
        </w:rPr>
        <w:t>–</w:t>
      </w:r>
      <w:r w:rsidR="000607F2" w:rsidRPr="00C80641">
        <w:rPr>
          <w:rFonts w:ascii="Arial" w:hAnsi="Arial" w:cs="Arial"/>
        </w:rPr>
        <w:t xml:space="preserve"> </w:t>
      </w:r>
      <w:r w:rsidRPr="00C80641">
        <w:rPr>
          <w:rFonts w:ascii="Arial" w:hAnsi="Arial" w:cs="Arial"/>
        </w:rPr>
        <w:t>include the following:</w:t>
      </w:r>
    </w:p>
    <w:p w:rsidR="009A32E1" w:rsidRPr="00C80641" w:rsidRDefault="000C7700" w:rsidP="00CB41AA">
      <w:pPr>
        <w:pStyle w:val="BulletArrows"/>
        <w:numPr>
          <w:ilvl w:val="0"/>
          <w:numId w:val="1"/>
        </w:numPr>
        <w:spacing w:after="200"/>
        <w:ind w:left="568" w:hanging="284"/>
        <w:rPr>
          <w:rFonts w:ascii="Arial" w:hAnsi="Arial"/>
        </w:rPr>
      </w:pPr>
      <w:r w:rsidRPr="00C80641">
        <w:rPr>
          <w:rFonts w:ascii="Arial" w:hAnsi="Arial"/>
        </w:rPr>
        <w:t>p</w:t>
      </w:r>
      <w:r w:rsidR="009A32E1" w:rsidRPr="00C80641">
        <w:rPr>
          <w:rFonts w:ascii="Arial" w:hAnsi="Arial"/>
        </w:rPr>
        <w:t>remature mortality</w:t>
      </w:r>
    </w:p>
    <w:p w:rsidR="009A32E1" w:rsidRPr="00C80641" w:rsidRDefault="000C7700" w:rsidP="00CB41AA">
      <w:pPr>
        <w:pStyle w:val="BulletArrows"/>
        <w:numPr>
          <w:ilvl w:val="0"/>
          <w:numId w:val="1"/>
        </w:numPr>
        <w:spacing w:after="200"/>
        <w:ind w:left="568" w:hanging="284"/>
        <w:rPr>
          <w:rFonts w:ascii="Arial" w:hAnsi="Arial"/>
        </w:rPr>
      </w:pPr>
      <w:r w:rsidRPr="00C80641">
        <w:rPr>
          <w:rFonts w:ascii="Arial" w:hAnsi="Arial"/>
        </w:rPr>
        <w:t>a</w:t>
      </w:r>
      <w:r w:rsidR="009A32E1" w:rsidRPr="00C80641">
        <w:rPr>
          <w:rFonts w:ascii="Arial" w:hAnsi="Arial"/>
        </w:rPr>
        <w:t>ggravation of cardiovascular disease such as atherosclerosis</w:t>
      </w:r>
    </w:p>
    <w:p w:rsidR="009A32E1" w:rsidRPr="00C80641" w:rsidRDefault="000C7700" w:rsidP="00CB41AA">
      <w:pPr>
        <w:pStyle w:val="BulletArrows"/>
        <w:numPr>
          <w:ilvl w:val="0"/>
          <w:numId w:val="1"/>
        </w:numPr>
        <w:spacing w:after="200"/>
        <w:ind w:left="568" w:hanging="284"/>
        <w:rPr>
          <w:rFonts w:ascii="Arial" w:hAnsi="Arial"/>
        </w:rPr>
      </w:pPr>
      <w:r w:rsidRPr="00C80641">
        <w:rPr>
          <w:rFonts w:ascii="Arial" w:hAnsi="Arial"/>
        </w:rPr>
        <w:t>a</w:t>
      </w:r>
      <w:r w:rsidR="009A32E1" w:rsidRPr="00C80641">
        <w:rPr>
          <w:rFonts w:ascii="Arial" w:hAnsi="Arial"/>
        </w:rPr>
        <w:t>ggravation of respiratory disease such as asthma</w:t>
      </w:r>
    </w:p>
    <w:p w:rsidR="009A32E1" w:rsidRPr="00C80641" w:rsidRDefault="000C7700" w:rsidP="00CB41AA">
      <w:pPr>
        <w:pStyle w:val="BulletArrows"/>
        <w:numPr>
          <w:ilvl w:val="0"/>
          <w:numId w:val="1"/>
        </w:numPr>
        <w:spacing w:after="200"/>
        <w:ind w:left="568" w:hanging="284"/>
        <w:rPr>
          <w:rFonts w:ascii="Arial" w:hAnsi="Arial"/>
        </w:rPr>
      </w:pPr>
      <w:r w:rsidRPr="00C80641">
        <w:rPr>
          <w:rFonts w:ascii="Arial" w:hAnsi="Arial"/>
        </w:rPr>
        <w:t>c</w:t>
      </w:r>
      <w:r w:rsidR="009A32E1" w:rsidRPr="00C80641">
        <w:rPr>
          <w:rFonts w:ascii="Arial" w:hAnsi="Arial"/>
        </w:rPr>
        <w:t>hanges to lung tissue, structure and function</w:t>
      </w:r>
    </w:p>
    <w:p w:rsidR="009A32E1" w:rsidRPr="00C80641" w:rsidRDefault="000C7700" w:rsidP="00CB41AA">
      <w:pPr>
        <w:pStyle w:val="BulletArrows"/>
        <w:numPr>
          <w:ilvl w:val="0"/>
          <w:numId w:val="1"/>
        </w:numPr>
        <w:spacing w:after="200"/>
        <w:ind w:left="568" w:hanging="284"/>
        <w:rPr>
          <w:rFonts w:ascii="Arial" w:hAnsi="Arial"/>
        </w:rPr>
      </w:pPr>
      <w:r w:rsidRPr="00C80641">
        <w:rPr>
          <w:rFonts w:ascii="Arial" w:hAnsi="Arial"/>
        </w:rPr>
        <w:t>c</w:t>
      </w:r>
      <w:r w:rsidR="009A32E1" w:rsidRPr="00C80641">
        <w:rPr>
          <w:rFonts w:ascii="Arial" w:hAnsi="Arial"/>
        </w:rPr>
        <w:t>ancer</w:t>
      </w:r>
      <w:r w:rsidR="009A32E1" w:rsidRPr="00C80641">
        <w:rPr>
          <w:rStyle w:val="FootnoteReference"/>
          <w:rFonts w:ascii="Arial" w:hAnsi="Arial"/>
        </w:rPr>
        <w:footnoteReference w:id="5"/>
      </w:r>
    </w:p>
    <w:p w:rsidR="009A32E1" w:rsidRPr="00C80641" w:rsidRDefault="000C7700" w:rsidP="00CB41AA">
      <w:pPr>
        <w:pStyle w:val="BulletArrows"/>
        <w:numPr>
          <w:ilvl w:val="0"/>
          <w:numId w:val="1"/>
        </w:numPr>
        <w:spacing w:after="200"/>
        <w:ind w:left="568" w:hanging="284"/>
        <w:rPr>
          <w:rFonts w:ascii="Arial" w:hAnsi="Arial"/>
        </w:rPr>
      </w:pPr>
      <w:r w:rsidRPr="00C80641">
        <w:rPr>
          <w:rFonts w:ascii="Arial" w:hAnsi="Arial"/>
        </w:rPr>
        <w:t>r</w:t>
      </w:r>
      <w:r w:rsidR="009A32E1" w:rsidRPr="00C80641">
        <w:rPr>
          <w:rFonts w:ascii="Arial" w:hAnsi="Arial"/>
        </w:rPr>
        <w:t>eproductive and developmental effects</w:t>
      </w:r>
    </w:p>
    <w:p w:rsidR="009A32E1" w:rsidRPr="00C80641" w:rsidRDefault="000C7700" w:rsidP="00693A8D">
      <w:pPr>
        <w:pStyle w:val="BulletArrows"/>
        <w:numPr>
          <w:ilvl w:val="0"/>
          <w:numId w:val="1"/>
        </w:numPr>
        <w:spacing w:after="300"/>
        <w:ind w:left="568" w:hanging="284"/>
        <w:rPr>
          <w:rFonts w:ascii="Arial" w:hAnsi="Arial"/>
        </w:rPr>
      </w:pPr>
      <w:proofErr w:type="gramStart"/>
      <w:r w:rsidRPr="00C80641">
        <w:rPr>
          <w:rFonts w:ascii="Arial" w:hAnsi="Arial"/>
        </w:rPr>
        <w:t>c</w:t>
      </w:r>
      <w:r w:rsidR="009A32E1" w:rsidRPr="00C80641">
        <w:rPr>
          <w:rFonts w:ascii="Arial" w:hAnsi="Arial"/>
        </w:rPr>
        <w:t>hanges</w:t>
      </w:r>
      <w:proofErr w:type="gramEnd"/>
      <w:r w:rsidR="009A32E1" w:rsidRPr="00C80641">
        <w:rPr>
          <w:rFonts w:ascii="Arial" w:hAnsi="Arial"/>
        </w:rPr>
        <w:t xml:space="preserve"> in the function of the nervous system.</w:t>
      </w:r>
    </w:p>
    <w:p w:rsidR="00E203ED" w:rsidRPr="00C80641" w:rsidRDefault="00E203ED" w:rsidP="00CB41AA">
      <w:pPr>
        <w:pStyle w:val="BulletArrows"/>
        <w:spacing w:after="240"/>
        <w:rPr>
          <w:rFonts w:ascii="Arial" w:hAnsi="Arial"/>
        </w:rPr>
      </w:pPr>
      <w:r w:rsidRPr="00C80641">
        <w:rPr>
          <w:rFonts w:ascii="Arial" w:hAnsi="Arial"/>
        </w:rPr>
        <w:t>Importantly, the International Agen</w:t>
      </w:r>
      <w:r w:rsidR="00043DE9" w:rsidRPr="00C80641">
        <w:rPr>
          <w:rFonts w:ascii="Arial" w:hAnsi="Arial"/>
        </w:rPr>
        <w:t xml:space="preserve">cy for Research on Cancer </w:t>
      </w:r>
      <w:r w:rsidRPr="00C80641">
        <w:rPr>
          <w:rFonts w:ascii="Arial" w:hAnsi="Arial"/>
        </w:rPr>
        <w:t xml:space="preserve">has recently classified outdoor air pollution as carcinogenic to humans, with a specific emphasis on PM and diesel engine exhaust </w:t>
      </w:r>
      <w:r w:rsidRPr="00C80641">
        <w:rPr>
          <w:rFonts w:ascii="Arial" w:hAnsi="Arial"/>
          <w:b/>
        </w:rPr>
        <w:t>(IARC 2012, 2013)</w:t>
      </w:r>
      <w:r w:rsidRPr="00C80641">
        <w:rPr>
          <w:rFonts w:ascii="Arial" w:hAnsi="Arial"/>
        </w:rPr>
        <w:t>.</w:t>
      </w:r>
    </w:p>
    <w:p w:rsidR="009A32E1" w:rsidRPr="00C80641" w:rsidRDefault="009A32E1" w:rsidP="00CB41AA">
      <w:pPr>
        <w:rPr>
          <w:rFonts w:ascii="Arial" w:hAnsi="Arial" w:cs="Arial"/>
        </w:rPr>
      </w:pPr>
      <w:r w:rsidRPr="00C80641">
        <w:rPr>
          <w:rFonts w:ascii="Arial" w:hAnsi="Arial" w:cs="Arial"/>
        </w:rPr>
        <w:t xml:space="preserve">The biological effects of inhaled particles are determined by their physical and chemical properties, by the sites of deposition, and by their mechanisms of action. </w:t>
      </w:r>
      <w:r w:rsidRPr="00C80641">
        <w:rPr>
          <w:rFonts w:ascii="Arial" w:hAnsi="Arial" w:cs="Arial"/>
          <w:lang w:eastAsia="en-US"/>
        </w:rPr>
        <w:t xml:space="preserve">The </w:t>
      </w:r>
      <w:r w:rsidR="000C7700" w:rsidRPr="00C80641">
        <w:rPr>
          <w:rFonts w:ascii="Arial" w:hAnsi="Arial" w:cs="Arial"/>
          <w:lang w:eastAsia="en-US"/>
        </w:rPr>
        <w:t xml:space="preserve">potential </w:t>
      </w:r>
      <w:r w:rsidRPr="00C80641">
        <w:rPr>
          <w:rFonts w:ascii="Arial" w:hAnsi="Arial" w:cs="Arial"/>
          <w:lang w:eastAsia="en-US"/>
        </w:rPr>
        <w:t xml:space="preserve">of particles </w:t>
      </w:r>
      <w:r w:rsidR="000C7700" w:rsidRPr="00C80641">
        <w:rPr>
          <w:rFonts w:ascii="Arial" w:hAnsi="Arial" w:cs="Arial"/>
          <w:lang w:eastAsia="en-US"/>
        </w:rPr>
        <w:t xml:space="preserve">for causing health effects </w:t>
      </w:r>
      <w:r w:rsidRPr="00C80641">
        <w:rPr>
          <w:rFonts w:ascii="Arial" w:hAnsi="Arial" w:cs="Arial"/>
          <w:lang w:eastAsia="en-US"/>
        </w:rPr>
        <w:t xml:space="preserve">is directly linked to their </w:t>
      </w:r>
      <w:r w:rsidR="000C7700" w:rsidRPr="00C80641">
        <w:rPr>
          <w:rFonts w:ascii="Arial" w:hAnsi="Arial" w:cs="Arial"/>
          <w:lang w:eastAsia="en-US"/>
        </w:rPr>
        <w:t>size</w:t>
      </w:r>
      <w:r w:rsidRPr="00C80641">
        <w:rPr>
          <w:rFonts w:ascii="Arial" w:hAnsi="Arial" w:cs="Arial"/>
          <w:lang w:eastAsia="en-US"/>
        </w:rPr>
        <w:t xml:space="preserve"> </w:t>
      </w:r>
      <w:r w:rsidRPr="00C80641">
        <w:rPr>
          <w:rFonts w:ascii="Arial" w:hAnsi="Arial" w:cs="Arial"/>
          <w:b/>
          <w:lang w:eastAsia="en-US"/>
        </w:rPr>
        <w:t xml:space="preserve">(Harrison </w:t>
      </w:r>
      <w:r w:rsidR="009334F4" w:rsidRPr="00C80641">
        <w:rPr>
          <w:rFonts w:ascii="Arial" w:hAnsi="Arial" w:cs="Arial"/>
          <w:b/>
          <w:iCs/>
          <w:lang w:eastAsia="en-US"/>
        </w:rPr>
        <w:t>et al</w:t>
      </w:r>
      <w:r w:rsidRPr="00C80641">
        <w:rPr>
          <w:rFonts w:ascii="Arial" w:hAnsi="Arial" w:cs="Arial"/>
          <w:b/>
          <w:lang w:eastAsia="en-US"/>
        </w:rPr>
        <w:t>. 2010)</w:t>
      </w:r>
      <w:r w:rsidRPr="00C80641">
        <w:rPr>
          <w:rFonts w:ascii="Arial" w:hAnsi="Arial" w:cs="Arial"/>
        </w:rPr>
        <w:t>. With normal nasal breathing larger particles with an aerodynamic diameter between 10 µm and 100</w:t>
      </w:r>
      <w:r w:rsidR="000C7700" w:rsidRPr="00C80641">
        <w:rPr>
          <w:rFonts w:ascii="Arial" w:hAnsi="Arial" w:cs="Arial"/>
        </w:rPr>
        <w:t> </w:t>
      </w:r>
      <w:r w:rsidRPr="00C80641">
        <w:rPr>
          <w:rFonts w:ascii="Arial" w:hAnsi="Arial" w:cs="Arial"/>
        </w:rPr>
        <w:t xml:space="preserve">µm are deposited in the </w:t>
      </w:r>
      <w:proofErr w:type="spellStart"/>
      <w:r w:rsidRPr="00C80641">
        <w:rPr>
          <w:rFonts w:ascii="Arial" w:hAnsi="Arial" w:cs="Arial"/>
        </w:rPr>
        <w:t>extrathoracic</w:t>
      </w:r>
      <w:proofErr w:type="spellEnd"/>
      <w:r w:rsidRPr="00C80641">
        <w:rPr>
          <w:rFonts w:ascii="Arial" w:hAnsi="Arial" w:cs="Arial"/>
        </w:rPr>
        <w:t xml:space="preserve"> part (nose, mouth and throat) of the respiratory tract. These are then usually easily eliminated by the body through expiration or by ingestion. Most of the particles in the 5</w:t>
      </w:r>
      <w:r w:rsidR="000C7700" w:rsidRPr="00C80641">
        <w:rPr>
          <w:rFonts w:ascii="Arial" w:hAnsi="Arial" w:cs="Arial"/>
        </w:rPr>
        <w:t>–</w:t>
      </w:r>
      <w:r w:rsidRPr="00C80641">
        <w:rPr>
          <w:rFonts w:ascii="Arial" w:hAnsi="Arial" w:cs="Arial"/>
        </w:rPr>
        <w:t>10 µm range are deposited in the proximity of the larynx and enter the thoracic re</w:t>
      </w:r>
      <w:r w:rsidR="006E4223" w:rsidRPr="00C80641">
        <w:rPr>
          <w:rFonts w:ascii="Arial" w:hAnsi="Arial" w:cs="Arial"/>
        </w:rPr>
        <w:t>gion. However, particles with a diameter of less</w:t>
      </w:r>
      <w:r w:rsidRPr="00C80641">
        <w:rPr>
          <w:rFonts w:ascii="Arial" w:hAnsi="Arial" w:cs="Arial"/>
        </w:rPr>
        <w:t xml:space="preserve"> than 2.5</w:t>
      </w:r>
      <w:r w:rsidR="006E4223" w:rsidRPr="00C80641">
        <w:rPr>
          <w:rFonts w:ascii="Arial" w:hAnsi="Arial" w:cs="Arial"/>
        </w:rPr>
        <w:t> </w:t>
      </w:r>
      <w:r w:rsidRPr="00C80641">
        <w:rPr>
          <w:rFonts w:ascii="Arial" w:hAnsi="Arial" w:cs="Arial"/>
        </w:rPr>
        <w:t>µm can penetrate deep into the human respiratory system.</w:t>
      </w:r>
      <w:r w:rsidR="00EF686E" w:rsidRPr="00C80641">
        <w:rPr>
          <w:rFonts w:ascii="Arial" w:hAnsi="Arial" w:cs="Arial"/>
        </w:rPr>
        <w:t xml:space="preserve"> PM</w:t>
      </w:r>
      <w:r w:rsidR="00EF686E" w:rsidRPr="00C80641">
        <w:rPr>
          <w:rFonts w:ascii="Arial" w:hAnsi="Arial" w:cs="Arial"/>
          <w:vertAlign w:val="subscript"/>
        </w:rPr>
        <w:t>2.5</w:t>
      </w:r>
      <w:r w:rsidR="00EF686E" w:rsidRPr="00C80641">
        <w:rPr>
          <w:rFonts w:ascii="Arial" w:hAnsi="Arial" w:cs="Arial"/>
        </w:rPr>
        <w:t xml:space="preserve"> and PM</w:t>
      </w:r>
      <w:r w:rsidR="00EF686E" w:rsidRPr="00C80641">
        <w:rPr>
          <w:rFonts w:ascii="Arial" w:hAnsi="Arial" w:cs="Arial"/>
          <w:vertAlign w:val="subscript"/>
        </w:rPr>
        <w:t>10</w:t>
      </w:r>
      <w:r w:rsidR="00EF686E" w:rsidRPr="00C80641">
        <w:rPr>
          <w:rFonts w:ascii="Arial" w:hAnsi="Arial" w:cs="Arial"/>
        </w:rPr>
        <w:t xml:space="preserve"> have been shown in numerous epidemiological studies to be associated with mortality and hospitalisation from cardiovascular and respiratory causes.</w:t>
      </w:r>
      <w:r w:rsidR="008C5FB0" w:rsidRPr="00C80641">
        <w:rPr>
          <w:rFonts w:ascii="Arial" w:hAnsi="Arial" w:cs="Arial"/>
        </w:rPr>
        <w:t xml:space="preserve"> </w:t>
      </w:r>
      <w:r w:rsidRPr="00C80641">
        <w:rPr>
          <w:rFonts w:ascii="Arial" w:hAnsi="Arial" w:cs="Arial"/>
        </w:rPr>
        <w:t>A growing body of research has pointed towards the PM</w:t>
      </w:r>
      <w:r w:rsidRPr="00C80641">
        <w:rPr>
          <w:rFonts w:ascii="Arial" w:hAnsi="Arial" w:cs="Arial"/>
          <w:vertAlign w:val="subscript"/>
        </w:rPr>
        <w:t>2.5</w:t>
      </w:r>
      <w:r w:rsidRPr="00C80641">
        <w:rPr>
          <w:rFonts w:ascii="Arial" w:hAnsi="Arial" w:cs="Arial"/>
        </w:rPr>
        <w:t xml:space="preserve"> fraction as being the most significant </w:t>
      </w:r>
      <w:r w:rsidR="00E203ED" w:rsidRPr="00C80641">
        <w:rPr>
          <w:rFonts w:ascii="Arial" w:hAnsi="Arial" w:cs="Arial"/>
        </w:rPr>
        <w:t>in relation to health outcomes.</w:t>
      </w:r>
    </w:p>
    <w:p w:rsidR="00765802" w:rsidRPr="00C80641" w:rsidRDefault="00CB41AA" w:rsidP="00CB41AA">
      <w:pPr>
        <w:spacing w:after="200"/>
        <w:rPr>
          <w:rFonts w:ascii="Arial" w:hAnsi="Arial" w:cs="Arial"/>
        </w:rPr>
      </w:pPr>
      <w:r w:rsidRPr="00C80641">
        <w:rPr>
          <w:rFonts w:ascii="Arial" w:hAnsi="Arial" w:cs="Arial"/>
        </w:rPr>
        <w:br w:type="page"/>
      </w:r>
      <w:r w:rsidR="00765802" w:rsidRPr="00C80641">
        <w:rPr>
          <w:rFonts w:ascii="Arial" w:hAnsi="Arial" w:cs="Arial"/>
        </w:rPr>
        <w:lastRenderedPageBreak/>
        <w:t>A number of different types of study have been used to investigate the health effects of PM. Broadly, these are:</w:t>
      </w:r>
    </w:p>
    <w:p w:rsidR="00765802" w:rsidRPr="00C80641" w:rsidRDefault="000C7700" w:rsidP="00CB41AA">
      <w:pPr>
        <w:numPr>
          <w:ilvl w:val="0"/>
          <w:numId w:val="27"/>
        </w:numPr>
        <w:spacing w:after="200"/>
        <w:rPr>
          <w:rFonts w:ascii="Arial" w:hAnsi="Arial" w:cs="Arial"/>
        </w:rPr>
      </w:pPr>
      <w:r w:rsidRPr="00C80641">
        <w:rPr>
          <w:rFonts w:ascii="Arial" w:hAnsi="Arial" w:cs="Arial"/>
        </w:rPr>
        <w:t>p</w:t>
      </w:r>
      <w:r w:rsidR="00005956" w:rsidRPr="00C80641">
        <w:rPr>
          <w:rFonts w:ascii="Arial" w:hAnsi="Arial" w:cs="Arial"/>
        </w:rPr>
        <w:t>opulation-</w:t>
      </w:r>
      <w:r w:rsidR="00765802" w:rsidRPr="00C80641">
        <w:rPr>
          <w:rFonts w:ascii="Arial" w:hAnsi="Arial" w:cs="Arial"/>
        </w:rPr>
        <w:t>based epidemiological studies</w:t>
      </w:r>
    </w:p>
    <w:p w:rsidR="00765802" w:rsidRPr="00C80641" w:rsidRDefault="000C7700" w:rsidP="00CB41AA">
      <w:pPr>
        <w:numPr>
          <w:ilvl w:val="0"/>
          <w:numId w:val="27"/>
        </w:numPr>
        <w:spacing w:after="200"/>
        <w:rPr>
          <w:rFonts w:ascii="Arial" w:hAnsi="Arial" w:cs="Arial"/>
        </w:rPr>
      </w:pPr>
      <w:r w:rsidRPr="00C80641">
        <w:rPr>
          <w:rFonts w:ascii="Arial" w:hAnsi="Arial" w:cs="Arial"/>
        </w:rPr>
        <w:t>c</w:t>
      </w:r>
      <w:r w:rsidR="00765802" w:rsidRPr="00C80641">
        <w:rPr>
          <w:rFonts w:ascii="Arial" w:hAnsi="Arial" w:cs="Arial"/>
        </w:rPr>
        <w:t>linical studies in humans</w:t>
      </w:r>
    </w:p>
    <w:p w:rsidR="00765802" w:rsidRPr="00C80641" w:rsidRDefault="000C7700" w:rsidP="002A2116">
      <w:pPr>
        <w:numPr>
          <w:ilvl w:val="0"/>
          <w:numId w:val="27"/>
        </w:numPr>
        <w:spacing w:after="280"/>
        <w:ind w:left="760" w:hanging="357"/>
        <w:rPr>
          <w:rFonts w:ascii="Arial" w:hAnsi="Arial" w:cs="Arial"/>
        </w:rPr>
      </w:pPr>
      <w:proofErr w:type="gramStart"/>
      <w:r w:rsidRPr="00C80641">
        <w:rPr>
          <w:rFonts w:ascii="Arial" w:hAnsi="Arial" w:cs="Arial"/>
        </w:rPr>
        <w:t>t</w:t>
      </w:r>
      <w:r w:rsidR="00765802" w:rsidRPr="00C80641">
        <w:rPr>
          <w:rFonts w:ascii="Arial" w:hAnsi="Arial" w:cs="Arial"/>
        </w:rPr>
        <w:t>oxicological</w:t>
      </w:r>
      <w:proofErr w:type="gramEnd"/>
      <w:r w:rsidR="00765802" w:rsidRPr="00C80641">
        <w:rPr>
          <w:rFonts w:ascii="Arial" w:hAnsi="Arial" w:cs="Arial"/>
        </w:rPr>
        <w:t xml:space="preserve"> studies in animals and in vitro</w:t>
      </w:r>
      <w:r w:rsidR="00C03E4E" w:rsidRPr="00C80641">
        <w:rPr>
          <w:rFonts w:ascii="Arial" w:hAnsi="Arial" w:cs="Arial"/>
        </w:rPr>
        <w:t>.</w:t>
      </w:r>
    </w:p>
    <w:p w:rsidR="004C7D30" w:rsidRPr="00C80641" w:rsidRDefault="004C7D30" w:rsidP="00693A8D">
      <w:pPr>
        <w:spacing w:after="220"/>
        <w:rPr>
          <w:rFonts w:ascii="Arial" w:hAnsi="Arial" w:cs="Arial"/>
        </w:rPr>
      </w:pPr>
      <w:r w:rsidRPr="00C80641">
        <w:rPr>
          <w:rFonts w:ascii="Arial" w:hAnsi="Arial" w:cs="Arial"/>
        </w:rPr>
        <w:t>Epidemiological studies show that real-world exposure to ambient levels of PM is associated with health effects. Because of this, air quality standards are generally based on the results on these studies. Clinical and toxicological studies support the findings of epidemiological studies by showing, for example, that there are biologically plausible mechanisms by which an air pollutan</w:t>
      </w:r>
      <w:r w:rsidR="001B66F6" w:rsidRPr="00C80641">
        <w:rPr>
          <w:rFonts w:ascii="Arial" w:hAnsi="Arial" w:cs="Arial"/>
        </w:rPr>
        <w:t xml:space="preserve">t might cause a health effect. </w:t>
      </w:r>
      <w:r w:rsidRPr="00C80641">
        <w:rPr>
          <w:rFonts w:ascii="Arial" w:hAnsi="Arial" w:cs="Arial"/>
        </w:rPr>
        <w:t>An association observed in a well-designed epidemiological study is more likely to be causal if:</w:t>
      </w:r>
    </w:p>
    <w:p w:rsidR="003672DF" w:rsidRPr="00C80641" w:rsidRDefault="000C7700" w:rsidP="00693A8D">
      <w:pPr>
        <w:pStyle w:val="ListParagraph"/>
        <w:numPr>
          <w:ilvl w:val="0"/>
          <w:numId w:val="28"/>
        </w:numPr>
        <w:spacing w:after="220"/>
        <w:contextualSpacing w:val="0"/>
        <w:rPr>
          <w:rFonts w:ascii="Arial" w:hAnsi="Arial" w:cs="Arial"/>
        </w:rPr>
      </w:pPr>
      <w:r w:rsidRPr="00C80641">
        <w:rPr>
          <w:rFonts w:ascii="Arial" w:hAnsi="Arial" w:cs="Arial"/>
        </w:rPr>
        <w:t>t</w:t>
      </w:r>
      <w:r w:rsidR="003672DF" w:rsidRPr="00C80641">
        <w:rPr>
          <w:rFonts w:ascii="Arial" w:hAnsi="Arial" w:cs="Arial"/>
        </w:rPr>
        <w:t>he association is consistent with the results of other epidemiological studies conducted in different places and by different investigators</w:t>
      </w:r>
    </w:p>
    <w:p w:rsidR="003672DF" w:rsidRPr="00C80641" w:rsidRDefault="000C7700" w:rsidP="00693A8D">
      <w:pPr>
        <w:pStyle w:val="ListParagraph"/>
        <w:numPr>
          <w:ilvl w:val="0"/>
          <w:numId w:val="28"/>
        </w:numPr>
        <w:spacing w:after="220"/>
        <w:contextualSpacing w:val="0"/>
        <w:rPr>
          <w:rFonts w:ascii="Arial" w:hAnsi="Arial" w:cs="Arial"/>
        </w:rPr>
      </w:pPr>
      <w:r w:rsidRPr="00C80641">
        <w:rPr>
          <w:rFonts w:ascii="Arial" w:hAnsi="Arial" w:cs="Arial"/>
        </w:rPr>
        <w:t>t</w:t>
      </w:r>
      <w:r w:rsidR="003672DF" w:rsidRPr="00C80641">
        <w:rPr>
          <w:rFonts w:ascii="Arial" w:hAnsi="Arial" w:cs="Arial"/>
        </w:rPr>
        <w:t>he evidence drawn from different lines of enquiry (for example, clinical and toxicological studies) is coherent with that dra</w:t>
      </w:r>
      <w:r w:rsidR="00005956" w:rsidRPr="00C80641">
        <w:rPr>
          <w:rFonts w:ascii="Arial" w:hAnsi="Arial" w:cs="Arial"/>
        </w:rPr>
        <w:t>wn from epidemiological studies</w:t>
      </w:r>
    </w:p>
    <w:p w:rsidR="003672DF" w:rsidRPr="00C80641" w:rsidRDefault="000C7700" w:rsidP="002A2116">
      <w:pPr>
        <w:pStyle w:val="ListParagraph"/>
        <w:numPr>
          <w:ilvl w:val="0"/>
          <w:numId w:val="28"/>
        </w:numPr>
        <w:spacing w:after="280"/>
        <w:ind w:left="760" w:hanging="357"/>
        <w:rPr>
          <w:rFonts w:ascii="Arial" w:hAnsi="Arial" w:cs="Arial"/>
        </w:rPr>
      </w:pPr>
      <w:proofErr w:type="gramStart"/>
      <w:r w:rsidRPr="00C80641">
        <w:rPr>
          <w:rFonts w:ascii="Arial" w:hAnsi="Arial" w:cs="Arial"/>
        </w:rPr>
        <w:t>t</w:t>
      </w:r>
      <w:r w:rsidR="003672DF" w:rsidRPr="00C80641">
        <w:rPr>
          <w:rFonts w:ascii="Arial" w:hAnsi="Arial" w:cs="Arial"/>
        </w:rPr>
        <w:t>here</w:t>
      </w:r>
      <w:proofErr w:type="gramEnd"/>
      <w:r w:rsidR="003672DF" w:rsidRPr="00C80641">
        <w:rPr>
          <w:rFonts w:ascii="Arial" w:hAnsi="Arial" w:cs="Arial"/>
        </w:rPr>
        <w:t xml:space="preserve"> are biologically plausible mechanisms for the hypothesised health effect.</w:t>
      </w:r>
    </w:p>
    <w:p w:rsidR="003672DF" w:rsidRPr="00C80641" w:rsidRDefault="003672DF" w:rsidP="00693A8D">
      <w:pPr>
        <w:spacing w:after="220"/>
        <w:rPr>
          <w:rFonts w:ascii="Arial" w:hAnsi="Arial" w:cs="Arial"/>
        </w:rPr>
      </w:pPr>
      <w:r w:rsidRPr="00C80641">
        <w:rPr>
          <w:rFonts w:ascii="Arial" w:hAnsi="Arial" w:cs="Arial"/>
        </w:rPr>
        <w:t>The recent advances in the understanding of the health impacts of air pollution, and specifically t</w:t>
      </w:r>
      <w:r w:rsidR="001B66F6" w:rsidRPr="00C80641">
        <w:rPr>
          <w:rFonts w:ascii="Arial" w:hAnsi="Arial" w:cs="Arial"/>
        </w:rPr>
        <w:t>he impacts of PM</w:t>
      </w:r>
      <w:r w:rsidRPr="00C80641">
        <w:rPr>
          <w:rFonts w:ascii="Arial" w:hAnsi="Arial" w:cs="Arial"/>
        </w:rPr>
        <w:t>, have been extensively reviewed and summarised in a number of key documents, including:</w:t>
      </w:r>
    </w:p>
    <w:p w:rsidR="003672DF" w:rsidRPr="00C80641" w:rsidRDefault="003672DF" w:rsidP="00693A8D">
      <w:pPr>
        <w:pStyle w:val="BulletArrows"/>
        <w:numPr>
          <w:ilvl w:val="0"/>
          <w:numId w:val="1"/>
        </w:numPr>
        <w:spacing w:after="220"/>
        <w:ind w:left="568" w:hanging="284"/>
        <w:rPr>
          <w:rFonts w:ascii="Arial" w:hAnsi="Arial"/>
        </w:rPr>
      </w:pPr>
      <w:r w:rsidRPr="006574FD">
        <w:rPr>
          <w:rFonts w:ascii="Arial" w:hAnsi="Arial"/>
          <w:i/>
        </w:rPr>
        <w:t xml:space="preserve">Air quality guidelines </w:t>
      </w:r>
      <w:r w:rsidR="000C7700" w:rsidRPr="006574FD">
        <w:rPr>
          <w:rFonts w:ascii="Arial" w:hAnsi="Arial"/>
          <w:i/>
        </w:rPr>
        <w:t>–</w:t>
      </w:r>
      <w:r w:rsidRPr="006574FD">
        <w:rPr>
          <w:rFonts w:ascii="Arial" w:hAnsi="Arial"/>
          <w:i/>
        </w:rPr>
        <w:t xml:space="preserve"> global update 2005. </w:t>
      </w:r>
      <w:r w:rsidRPr="006574FD">
        <w:rPr>
          <w:rFonts w:ascii="Arial" w:hAnsi="Arial"/>
          <w:i/>
          <w:color w:val="auto"/>
        </w:rPr>
        <w:t>Particulate matter, ozone, nitrogen dioxide and sulfur dioxide</w:t>
      </w:r>
      <w:r w:rsidRPr="006574FD">
        <w:rPr>
          <w:rFonts w:ascii="Arial" w:hAnsi="Arial"/>
          <w:i/>
        </w:rPr>
        <w:t xml:space="preserve"> </w:t>
      </w:r>
      <w:r w:rsidRPr="00C80641">
        <w:rPr>
          <w:rFonts w:ascii="Arial" w:hAnsi="Arial"/>
          <w:b/>
        </w:rPr>
        <w:t>(WHO Regional Office for Europe 2006)</w:t>
      </w:r>
    </w:p>
    <w:p w:rsidR="003672DF" w:rsidRPr="00C80641" w:rsidRDefault="003672DF" w:rsidP="00693A8D">
      <w:pPr>
        <w:pStyle w:val="BulletArrows"/>
        <w:numPr>
          <w:ilvl w:val="0"/>
          <w:numId w:val="1"/>
        </w:numPr>
        <w:spacing w:after="220"/>
        <w:ind w:left="568" w:hanging="284"/>
        <w:rPr>
          <w:rFonts w:ascii="Arial" w:hAnsi="Arial"/>
          <w:color w:val="auto"/>
        </w:rPr>
      </w:pPr>
      <w:r w:rsidRPr="006574FD">
        <w:rPr>
          <w:rFonts w:ascii="Arial" w:hAnsi="Arial"/>
          <w:i/>
          <w:color w:val="auto"/>
        </w:rPr>
        <w:t xml:space="preserve">Integrated Science Assessment for Particulate Matter </w:t>
      </w:r>
      <w:r w:rsidRPr="00C80641">
        <w:rPr>
          <w:rFonts w:ascii="Arial" w:hAnsi="Arial"/>
          <w:b/>
          <w:color w:val="auto"/>
        </w:rPr>
        <w:t>(USEPA 2009)</w:t>
      </w:r>
    </w:p>
    <w:p w:rsidR="003672DF" w:rsidRPr="006574FD" w:rsidRDefault="003672DF" w:rsidP="00693A8D">
      <w:pPr>
        <w:pStyle w:val="BulletArrows"/>
        <w:numPr>
          <w:ilvl w:val="0"/>
          <w:numId w:val="1"/>
        </w:numPr>
        <w:spacing w:after="220"/>
        <w:ind w:left="568" w:hanging="284"/>
        <w:rPr>
          <w:rFonts w:ascii="Arial" w:hAnsi="Arial"/>
          <w:i/>
          <w:color w:val="auto"/>
        </w:rPr>
      </w:pPr>
      <w:r w:rsidRPr="006574FD">
        <w:rPr>
          <w:rFonts w:ascii="Arial" w:hAnsi="Arial"/>
          <w:i/>
          <w:color w:val="auto"/>
        </w:rPr>
        <w:t xml:space="preserve">Long-term exposure to air pollution: effect on mortality </w:t>
      </w:r>
      <w:r w:rsidRPr="00C80641">
        <w:rPr>
          <w:rFonts w:ascii="Arial" w:hAnsi="Arial"/>
          <w:b/>
          <w:color w:val="auto"/>
        </w:rPr>
        <w:t>(COMEAP 2009)</w:t>
      </w:r>
    </w:p>
    <w:p w:rsidR="003672DF" w:rsidRPr="00C80641" w:rsidRDefault="003672DF" w:rsidP="00693A8D">
      <w:pPr>
        <w:pStyle w:val="BulletArrows"/>
        <w:numPr>
          <w:ilvl w:val="0"/>
          <w:numId w:val="1"/>
        </w:numPr>
        <w:spacing w:after="220"/>
        <w:ind w:left="568" w:hanging="284"/>
        <w:rPr>
          <w:rFonts w:ascii="Arial" w:hAnsi="Arial"/>
          <w:color w:val="auto"/>
        </w:rPr>
      </w:pPr>
      <w:r w:rsidRPr="006574FD">
        <w:rPr>
          <w:rFonts w:ascii="Arial" w:hAnsi="Arial"/>
          <w:i/>
          <w:color w:val="auto"/>
        </w:rPr>
        <w:t xml:space="preserve">The mortality effects of long-term exposure to particulate air pollution in the United Kingdom </w:t>
      </w:r>
      <w:r w:rsidRPr="00C80641">
        <w:rPr>
          <w:rFonts w:ascii="Arial" w:hAnsi="Arial"/>
          <w:b/>
          <w:color w:val="auto"/>
        </w:rPr>
        <w:t>(COMEAP 2010)</w:t>
      </w:r>
    </w:p>
    <w:p w:rsidR="003672DF" w:rsidRPr="00C80641" w:rsidRDefault="003672DF" w:rsidP="00CB41AA">
      <w:pPr>
        <w:pStyle w:val="BulletArrows"/>
        <w:numPr>
          <w:ilvl w:val="0"/>
          <w:numId w:val="1"/>
        </w:numPr>
        <w:spacing w:after="280"/>
        <w:ind w:left="568" w:hanging="284"/>
        <w:rPr>
          <w:rFonts w:ascii="Arial" w:hAnsi="Arial"/>
          <w:color w:val="auto"/>
        </w:rPr>
      </w:pPr>
      <w:r w:rsidRPr="006574FD">
        <w:rPr>
          <w:rFonts w:ascii="Arial" w:hAnsi="Arial"/>
          <w:i/>
          <w:color w:val="auto"/>
        </w:rPr>
        <w:t xml:space="preserve">Review of evidence on health aspects of air pollution (REVIHAAP) project </w:t>
      </w:r>
      <w:r w:rsidRPr="00C80641">
        <w:rPr>
          <w:rFonts w:ascii="Arial" w:hAnsi="Arial"/>
          <w:b/>
          <w:color w:val="auto"/>
        </w:rPr>
        <w:t>(WHO Regional Office for Europe 2013)</w:t>
      </w:r>
      <w:r w:rsidR="004C7D30" w:rsidRPr="00C80641">
        <w:rPr>
          <w:rStyle w:val="FootnoteReference"/>
          <w:rFonts w:ascii="Arial" w:hAnsi="Arial"/>
          <w:color w:val="auto"/>
        </w:rPr>
        <w:footnoteReference w:id="6"/>
      </w:r>
      <w:r w:rsidRPr="00C80641">
        <w:rPr>
          <w:rFonts w:ascii="Arial" w:hAnsi="Arial"/>
          <w:color w:val="auto"/>
        </w:rPr>
        <w:t>.</w:t>
      </w:r>
    </w:p>
    <w:p w:rsidR="00E203ED" w:rsidRPr="00C80641" w:rsidRDefault="00E203ED" w:rsidP="00CB41AA">
      <w:pPr>
        <w:spacing w:after="300"/>
        <w:rPr>
          <w:rFonts w:ascii="Arial" w:hAnsi="Arial" w:cs="Arial"/>
        </w:rPr>
      </w:pPr>
      <w:r w:rsidRPr="00C80641">
        <w:rPr>
          <w:rFonts w:ascii="Arial" w:hAnsi="Arial" w:cs="Arial"/>
        </w:rPr>
        <w:t>The following sections consider the health evidence for PM</w:t>
      </w:r>
      <w:r w:rsidRPr="00C80641">
        <w:rPr>
          <w:rFonts w:ascii="Arial" w:hAnsi="Arial" w:cs="Arial"/>
          <w:vertAlign w:val="subscript"/>
        </w:rPr>
        <w:t>10</w:t>
      </w:r>
      <w:r w:rsidRPr="00C80641">
        <w:rPr>
          <w:rFonts w:ascii="Arial" w:hAnsi="Arial" w:cs="Arial"/>
        </w:rPr>
        <w:t>, PM</w:t>
      </w:r>
      <w:r w:rsidRPr="00C80641">
        <w:rPr>
          <w:rFonts w:ascii="Arial" w:hAnsi="Arial" w:cs="Arial"/>
          <w:vertAlign w:val="subscript"/>
        </w:rPr>
        <w:t>2.5</w:t>
      </w:r>
      <w:r w:rsidRPr="00C80641">
        <w:rPr>
          <w:rFonts w:ascii="Arial" w:hAnsi="Arial" w:cs="Arial"/>
        </w:rPr>
        <w:t xml:space="preserve"> and other PM metrics.</w:t>
      </w:r>
    </w:p>
    <w:p w:rsidR="003672DF" w:rsidRPr="00C80641" w:rsidRDefault="00E203ED" w:rsidP="00E203ED">
      <w:pPr>
        <w:pStyle w:val="Heading3"/>
        <w:rPr>
          <w:rFonts w:ascii="Arial" w:hAnsi="Arial"/>
        </w:rPr>
      </w:pPr>
      <w:bookmarkStart w:id="25" w:name="_Toc394011081"/>
      <w:r w:rsidRPr="00C80641">
        <w:rPr>
          <w:rFonts w:ascii="Arial" w:hAnsi="Arial"/>
        </w:rPr>
        <w:t xml:space="preserve">Evidence for </w:t>
      </w:r>
      <w:r w:rsidR="003672DF" w:rsidRPr="00C80641">
        <w:rPr>
          <w:rFonts w:ascii="Arial" w:hAnsi="Arial"/>
        </w:rPr>
        <w:t>PM</w:t>
      </w:r>
      <w:r w:rsidR="003672DF" w:rsidRPr="00C80641">
        <w:rPr>
          <w:rFonts w:ascii="Arial" w:hAnsi="Arial"/>
          <w:vertAlign w:val="subscript"/>
        </w:rPr>
        <w:t>2.5</w:t>
      </w:r>
      <w:bookmarkEnd w:id="25"/>
    </w:p>
    <w:p w:rsidR="004C7D30" w:rsidRPr="00C80641" w:rsidRDefault="004C7D30" w:rsidP="004C7D30">
      <w:pPr>
        <w:rPr>
          <w:rFonts w:ascii="Arial" w:hAnsi="Arial" w:cs="Arial"/>
        </w:rPr>
      </w:pPr>
      <w:r w:rsidRPr="00C80641">
        <w:rPr>
          <w:rFonts w:ascii="Arial" w:hAnsi="Arial" w:cs="Arial"/>
        </w:rPr>
        <w:t>There is sufficient evidence to conclude that long-term and short-term exposure to PM</w:t>
      </w:r>
      <w:r w:rsidRPr="00C80641">
        <w:rPr>
          <w:rFonts w:ascii="Arial" w:hAnsi="Arial" w:cs="Arial"/>
          <w:vertAlign w:val="subscript"/>
        </w:rPr>
        <w:t>2.5</w:t>
      </w:r>
      <w:r w:rsidRPr="00C80641">
        <w:rPr>
          <w:rFonts w:ascii="Arial" w:hAnsi="Arial" w:cs="Arial"/>
        </w:rPr>
        <w:t xml:space="preserve"> causes illness and death from cardiovascular conditions, and is likely to cause respiratory conditions </w:t>
      </w:r>
      <w:r w:rsidRPr="00C80641">
        <w:rPr>
          <w:rFonts w:ascii="Arial" w:hAnsi="Arial" w:cs="Arial"/>
          <w:b/>
        </w:rPr>
        <w:t>(USEPA 2009; WHO Regional Office for Europe 2013)</w:t>
      </w:r>
      <w:r w:rsidRPr="00C80641">
        <w:rPr>
          <w:rFonts w:ascii="Arial" w:hAnsi="Arial" w:cs="Arial"/>
        </w:rPr>
        <w:t>. The effects observed in relation to PM</w:t>
      </w:r>
      <w:r w:rsidRPr="00C80641">
        <w:rPr>
          <w:rFonts w:ascii="Arial" w:hAnsi="Arial" w:cs="Arial"/>
          <w:vertAlign w:val="subscript"/>
        </w:rPr>
        <w:t>2.5</w:t>
      </w:r>
      <w:r w:rsidRPr="00C80641">
        <w:rPr>
          <w:rFonts w:ascii="Arial" w:hAnsi="Arial" w:cs="Arial"/>
        </w:rPr>
        <w:t xml:space="preserve"> from a large study conducted in Australia and New Zealand </w:t>
      </w:r>
      <w:r w:rsidRPr="00C80641">
        <w:rPr>
          <w:rFonts w:ascii="Arial" w:hAnsi="Arial" w:cs="Arial"/>
          <w:b/>
        </w:rPr>
        <w:t xml:space="preserve">(EPHC 2010) </w:t>
      </w:r>
      <w:r w:rsidRPr="00C80641">
        <w:rPr>
          <w:rFonts w:ascii="Arial" w:hAnsi="Arial" w:cs="Arial"/>
        </w:rPr>
        <w:t>are consistent with the effects reported in the international literature</w:t>
      </w:r>
      <w:r w:rsidRPr="00C80641">
        <w:rPr>
          <w:rFonts w:ascii="Arial" w:hAnsi="Arial" w:cs="Arial"/>
          <w:b/>
        </w:rPr>
        <w:t>.</w:t>
      </w:r>
    </w:p>
    <w:p w:rsidR="003672DF" w:rsidRPr="00C80641" w:rsidRDefault="003672DF" w:rsidP="00CB41AA">
      <w:pPr>
        <w:spacing w:after="360"/>
        <w:rPr>
          <w:rFonts w:ascii="Arial" w:hAnsi="Arial" w:cs="Arial"/>
        </w:rPr>
      </w:pPr>
      <w:r w:rsidRPr="00C80641">
        <w:rPr>
          <w:rFonts w:ascii="Arial" w:hAnsi="Arial" w:cs="Arial"/>
        </w:rPr>
        <w:t>Associations have also been observed between exposure to PM</w:t>
      </w:r>
      <w:r w:rsidRPr="00C80641">
        <w:rPr>
          <w:rFonts w:ascii="Arial" w:hAnsi="Arial" w:cs="Arial"/>
          <w:vertAlign w:val="subscript"/>
        </w:rPr>
        <w:t>2.5</w:t>
      </w:r>
      <w:r w:rsidRPr="00C80641">
        <w:rPr>
          <w:rFonts w:ascii="Arial" w:hAnsi="Arial" w:cs="Arial"/>
        </w:rPr>
        <w:t>, reproductive and developmental effect</w:t>
      </w:r>
      <w:r w:rsidR="004C7D30" w:rsidRPr="00C80641">
        <w:rPr>
          <w:rFonts w:ascii="Arial" w:hAnsi="Arial" w:cs="Arial"/>
        </w:rPr>
        <w:t>s</w:t>
      </w:r>
      <w:r w:rsidR="006A50C9" w:rsidRPr="00C80641">
        <w:rPr>
          <w:rFonts w:ascii="Arial" w:hAnsi="Arial" w:cs="Arial"/>
        </w:rPr>
        <w:t>,</w:t>
      </w:r>
      <w:r w:rsidR="004C7D30" w:rsidRPr="00C80641">
        <w:rPr>
          <w:rFonts w:ascii="Arial" w:hAnsi="Arial" w:cs="Arial"/>
        </w:rPr>
        <w:t xml:space="preserve"> and</w:t>
      </w:r>
      <w:r w:rsidRPr="00C80641">
        <w:rPr>
          <w:rFonts w:ascii="Arial" w:hAnsi="Arial" w:cs="Arial"/>
        </w:rPr>
        <w:t xml:space="preserve"> cancer</w:t>
      </w:r>
      <w:r w:rsidR="00005956" w:rsidRPr="00C80641">
        <w:rPr>
          <w:rFonts w:ascii="Arial" w:hAnsi="Arial" w:cs="Arial"/>
        </w:rPr>
        <w:t>. In 2009, the US</w:t>
      </w:r>
      <w:r w:rsidRPr="00C80641">
        <w:rPr>
          <w:rFonts w:ascii="Arial" w:hAnsi="Arial" w:cs="Arial"/>
        </w:rPr>
        <w:t xml:space="preserve">EPA concluded the evidence was suggestive of a causal relationship </w:t>
      </w:r>
      <w:r w:rsidR="00005956" w:rsidRPr="00C80641">
        <w:rPr>
          <w:rFonts w:ascii="Arial" w:hAnsi="Arial" w:cs="Arial"/>
          <w:b/>
        </w:rPr>
        <w:t xml:space="preserve">(USEPA </w:t>
      </w:r>
      <w:r w:rsidRPr="00C80641">
        <w:rPr>
          <w:rFonts w:ascii="Arial" w:hAnsi="Arial" w:cs="Arial"/>
          <w:b/>
        </w:rPr>
        <w:t>2009)</w:t>
      </w:r>
      <w:r w:rsidRPr="00C80641">
        <w:rPr>
          <w:rFonts w:ascii="Arial" w:hAnsi="Arial" w:cs="Arial"/>
        </w:rPr>
        <w:t xml:space="preserve">. </w:t>
      </w:r>
    </w:p>
    <w:p w:rsidR="003672DF" w:rsidRPr="00C80641" w:rsidRDefault="00E203ED" w:rsidP="00E203ED">
      <w:pPr>
        <w:pStyle w:val="Heading3"/>
        <w:rPr>
          <w:rFonts w:ascii="Arial" w:hAnsi="Arial"/>
        </w:rPr>
      </w:pPr>
      <w:bookmarkStart w:id="26" w:name="_Toc394011082"/>
      <w:r w:rsidRPr="00C80641">
        <w:rPr>
          <w:rFonts w:ascii="Arial" w:hAnsi="Arial"/>
        </w:rPr>
        <w:lastRenderedPageBreak/>
        <w:t xml:space="preserve">Evidence for </w:t>
      </w:r>
      <w:r w:rsidR="003672DF" w:rsidRPr="00C80641">
        <w:rPr>
          <w:rFonts w:ascii="Arial" w:hAnsi="Arial"/>
        </w:rPr>
        <w:t>PM</w:t>
      </w:r>
      <w:r w:rsidR="003672DF" w:rsidRPr="00C80641">
        <w:rPr>
          <w:rFonts w:ascii="Arial" w:hAnsi="Arial"/>
          <w:vertAlign w:val="subscript"/>
        </w:rPr>
        <w:t>10</w:t>
      </w:r>
      <w:bookmarkEnd w:id="26"/>
    </w:p>
    <w:p w:rsidR="00BD1830" w:rsidRPr="00C80641" w:rsidRDefault="00BD1830" w:rsidP="00693A8D">
      <w:pPr>
        <w:rPr>
          <w:rFonts w:ascii="Arial" w:hAnsi="Arial" w:cs="Arial"/>
        </w:rPr>
      </w:pPr>
      <w:r w:rsidRPr="00C80641">
        <w:rPr>
          <w:rFonts w:ascii="Arial" w:hAnsi="Arial" w:cs="Arial"/>
        </w:rPr>
        <w:t>There is extensive evidence that short-term exposure to PM</w:t>
      </w:r>
      <w:r w:rsidRPr="00C80641">
        <w:rPr>
          <w:rFonts w:ascii="Arial" w:hAnsi="Arial" w:cs="Arial"/>
          <w:vertAlign w:val="subscript"/>
        </w:rPr>
        <w:t>10</w:t>
      </w:r>
      <w:r w:rsidRPr="00C80641">
        <w:rPr>
          <w:rFonts w:ascii="Arial" w:hAnsi="Arial" w:cs="Arial"/>
        </w:rPr>
        <w:t xml:space="preserve"> is associated with health effects, and that these effects are independent of the effects of PM</w:t>
      </w:r>
      <w:r w:rsidRPr="00C80641">
        <w:rPr>
          <w:rFonts w:ascii="Arial" w:hAnsi="Arial" w:cs="Arial"/>
          <w:vertAlign w:val="subscript"/>
        </w:rPr>
        <w:t>2.5</w:t>
      </w:r>
      <w:r w:rsidRPr="00C80641">
        <w:rPr>
          <w:rFonts w:ascii="Arial" w:hAnsi="Arial" w:cs="Arial"/>
        </w:rPr>
        <w:t xml:space="preserve">. </w:t>
      </w:r>
    </w:p>
    <w:p w:rsidR="00BD1830" w:rsidRPr="00C80641" w:rsidRDefault="006A50C9" w:rsidP="00693A8D">
      <w:pPr>
        <w:spacing w:before="240"/>
        <w:rPr>
          <w:rFonts w:ascii="Arial" w:hAnsi="Arial" w:cs="Arial"/>
        </w:rPr>
      </w:pPr>
      <w:r w:rsidRPr="00C80641">
        <w:rPr>
          <w:rFonts w:ascii="Arial" w:hAnsi="Arial" w:cs="Arial"/>
        </w:rPr>
        <w:t>In 2009</w:t>
      </w:r>
      <w:r w:rsidR="00BD1830" w:rsidRPr="00C80641">
        <w:rPr>
          <w:rFonts w:ascii="Arial" w:hAnsi="Arial" w:cs="Arial"/>
        </w:rPr>
        <w:t xml:space="preserve"> the USEPA concluded that there was suggestive evidence of a causal relationship between short-term exposure to coarse particles (PM</w:t>
      </w:r>
      <w:r w:rsidR="00BD1830" w:rsidRPr="00C80641">
        <w:rPr>
          <w:rFonts w:ascii="Arial" w:hAnsi="Arial" w:cs="Arial"/>
          <w:vertAlign w:val="subscript"/>
        </w:rPr>
        <w:t>2.5</w:t>
      </w:r>
      <w:r w:rsidR="00DE4484" w:rsidRPr="00C80641">
        <w:rPr>
          <w:rFonts w:ascii="Arial" w:hAnsi="Arial" w:cs="Arial"/>
          <w:vertAlign w:val="subscript"/>
        </w:rPr>
        <w:t>–</w:t>
      </w:r>
      <w:r w:rsidR="00BD1830" w:rsidRPr="00C80641">
        <w:rPr>
          <w:rFonts w:ascii="Arial" w:hAnsi="Arial" w:cs="Arial"/>
          <w:vertAlign w:val="subscript"/>
        </w:rPr>
        <w:t>10</w:t>
      </w:r>
      <w:r w:rsidR="00BD1830" w:rsidRPr="00C80641">
        <w:rPr>
          <w:rFonts w:ascii="Arial" w:hAnsi="Arial" w:cs="Arial"/>
        </w:rPr>
        <w:t xml:space="preserve">) and cardiovascular and respiratory effects and mortality </w:t>
      </w:r>
      <w:r w:rsidR="00BD1830" w:rsidRPr="00C80641">
        <w:rPr>
          <w:rFonts w:ascii="Arial" w:hAnsi="Arial" w:cs="Arial"/>
          <w:b/>
        </w:rPr>
        <w:t>(USEPA 2009)</w:t>
      </w:r>
      <w:r w:rsidR="00BD1830" w:rsidRPr="00C80641">
        <w:rPr>
          <w:rFonts w:ascii="Arial" w:hAnsi="Arial" w:cs="Arial"/>
        </w:rPr>
        <w:t>. Since that time, evidence of these short-term effects has increased significantly</w:t>
      </w:r>
      <w:r w:rsidRPr="00C80641">
        <w:rPr>
          <w:rFonts w:ascii="Arial" w:hAnsi="Arial" w:cs="Arial"/>
        </w:rPr>
        <w:t xml:space="preserve">, and the WHO has stated that </w:t>
      </w:r>
      <w:r w:rsidR="00DE4484" w:rsidRPr="00C80641">
        <w:rPr>
          <w:rFonts w:ascii="Arial" w:hAnsi="Arial" w:cs="Arial"/>
        </w:rPr>
        <w:t>‘</w:t>
      </w:r>
      <w:r w:rsidRPr="00C80641">
        <w:rPr>
          <w:rFonts w:ascii="Arial" w:hAnsi="Arial" w:cs="Arial"/>
        </w:rPr>
        <w:t>s</w:t>
      </w:r>
      <w:r w:rsidR="00BD1830" w:rsidRPr="00C80641">
        <w:rPr>
          <w:rFonts w:ascii="Arial" w:hAnsi="Arial" w:cs="Arial"/>
        </w:rPr>
        <w:t>ufficient evidence exists for proposing a short-term standard for PM</w:t>
      </w:r>
      <w:r w:rsidR="00BD1830" w:rsidRPr="00C80641">
        <w:rPr>
          <w:rFonts w:ascii="Arial" w:hAnsi="Arial" w:cs="Arial"/>
          <w:vertAlign w:val="subscript"/>
        </w:rPr>
        <w:t>10</w:t>
      </w:r>
      <w:r w:rsidR="00BD1830" w:rsidRPr="00C80641">
        <w:rPr>
          <w:rFonts w:ascii="Arial" w:hAnsi="Arial" w:cs="Arial"/>
        </w:rPr>
        <w:t>, to protect against the short-term health effects of coarse particles, in addition to fine particles</w:t>
      </w:r>
      <w:r w:rsidR="00DE4484" w:rsidRPr="00C80641">
        <w:rPr>
          <w:rFonts w:ascii="Arial" w:hAnsi="Arial" w:cs="Arial"/>
        </w:rPr>
        <w:t>’</w:t>
      </w:r>
      <w:r w:rsidR="00BD1830" w:rsidRPr="00C80641">
        <w:rPr>
          <w:rFonts w:ascii="Arial" w:hAnsi="Arial" w:cs="Arial"/>
        </w:rPr>
        <w:t xml:space="preserve"> </w:t>
      </w:r>
      <w:r w:rsidR="00BD1830" w:rsidRPr="00C80641">
        <w:rPr>
          <w:rFonts w:ascii="Arial" w:hAnsi="Arial" w:cs="Arial"/>
          <w:b/>
        </w:rPr>
        <w:t>(WHO Regional Office for Europe 2013)</w:t>
      </w:r>
      <w:r w:rsidR="00BD1830" w:rsidRPr="00C80641">
        <w:rPr>
          <w:rFonts w:ascii="Arial" w:hAnsi="Arial" w:cs="Arial"/>
        </w:rPr>
        <w:t>.</w:t>
      </w:r>
    </w:p>
    <w:p w:rsidR="00BD1830" w:rsidRPr="00C80641" w:rsidRDefault="00BD1830" w:rsidP="00693A8D">
      <w:pPr>
        <w:spacing w:before="240"/>
        <w:rPr>
          <w:rFonts w:ascii="Arial" w:hAnsi="Arial" w:cs="Arial"/>
        </w:rPr>
      </w:pPr>
      <w:r w:rsidRPr="00C80641">
        <w:rPr>
          <w:rFonts w:ascii="Arial" w:hAnsi="Arial" w:cs="Arial"/>
        </w:rPr>
        <w:t>There is substantially less evidence that long-term exposure to PM</w:t>
      </w:r>
      <w:r w:rsidRPr="00C80641">
        <w:rPr>
          <w:rFonts w:ascii="Arial" w:hAnsi="Arial" w:cs="Arial"/>
          <w:vertAlign w:val="subscript"/>
        </w:rPr>
        <w:t>10</w:t>
      </w:r>
      <w:r w:rsidRPr="00C80641">
        <w:rPr>
          <w:rFonts w:ascii="Arial" w:hAnsi="Arial" w:cs="Arial"/>
        </w:rPr>
        <w:t xml:space="preserve"> has health effects that are independent of those caused by long-term exposure to PM</w:t>
      </w:r>
      <w:r w:rsidRPr="00C80641">
        <w:rPr>
          <w:rFonts w:ascii="Arial" w:hAnsi="Arial" w:cs="Arial"/>
          <w:vertAlign w:val="subscript"/>
        </w:rPr>
        <w:t>2.5</w:t>
      </w:r>
      <w:r w:rsidRPr="00C80641">
        <w:rPr>
          <w:rFonts w:ascii="Arial" w:hAnsi="Arial" w:cs="Arial"/>
        </w:rPr>
        <w:t>. However, in regard to management of long-term expo</w:t>
      </w:r>
      <w:r w:rsidR="006A50C9" w:rsidRPr="00C80641">
        <w:rPr>
          <w:rFonts w:ascii="Arial" w:hAnsi="Arial" w:cs="Arial"/>
        </w:rPr>
        <w:t xml:space="preserve">sure, the WHO has stated that </w:t>
      </w:r>
      <w:r w:rsidR="00DE4484" w:rsidRPr="00C80641">
        <w:rPr>
          <w:rFonts w:ascii="Arial" w:hAnsi="Arial" w:cs="Arial"/>
        </w:rPr>
        <w:t>‘</w:t>
      </w:r>
      <w:r w:rsidR="006A50C9" w:rsidRPr="00C80641">
        <w:rPr>
          <w:rFonts w:ascii="Arial" w:hAnsi="Arial" w:cs="Arial"/>
        </w:rPr>
        <w:t>a</w:t>
      </w:r>
      <w:r w:rsidRPr="00C80641">
        <w:rPr>
          <w:rFonts w:ascii="Arial" w:hAnsi="Arial" w:cs="Arial"/>
        </w:rPr>
        <w:t xml:space="preserve"> limit to protect against long-term exposure should be maintained as new evidence is published on health effects of long-term exposure to PM</w:t>
      </w:r>
      <w:r w:rsidRPr="00C80641">
        <w:rPr>
          <w:rFonts w:ascii="Arial" w:hAnsi="Arial" w:cs="Arial"/>
          <w:vertAlign w:val="subscript"/>
        </w:rPr>
        <w:t>10</w:t>
      </w:r>
      <w:r w:rsidRPr="00C80641">
        <w:rPr>
          <w:rFonts w:ascii="Arial" w:hAnsi="Arial" w:cs="Arial"/>
        </w:rPr>
        <w:t xml:space="preserve"> from Europe</w:t>
      </w:r>
      <w:r w:rsidR="006A50C9" w:rsidRPr="00C80641">
        <w:rPr>
          <w:rFonts w:ascii="Arial" w:hAnsi="Arial" w:cs="Arial"/>
        </w:rPr>
        <w:t>,</w:t>
      </w:r>
      <w:r w:rsidRPr="00C80641">
        <w:rPr>
          <w:rFonts w:ascii="Arial" w:hAnsi="Arial" w:cs="Arial"/>
        </w:rPr>
        <w:t xml:space="preserve"> and as long as there remains uncertainty about if these health effects would be eliminated by reduction </w:t>
      </w:r>
      <w:r w:rsidR="00180972" w:rsidRPr="00C80641">
        <w:rPr>
          <w:rFonts w:ascii="Arial" w:hAnsi="Arial" w:cs="Arial"/>
        </w:rPr>
        <w:t xml:space="preserve">of </w:t>
      </w:r>
      <w:r w:rsidRPr="00C80641">
        <w:rPr>
          <w:rFonts w:ascii="Arial" w:hAnsi="Arial" w:cs="Arial"/>
        </w:rPr>
        <w:t>long-term exposure to PM</w:t>
      </w:r>
      <w:r w:rsidRPr="00C80641">
        <w:rPr>
          <w:rFonts w:ascii="Arial" w:hAnsi="Arial" w:cs="Arial"/>
          <w:vertAlign w:val="subscript"/>
        </w:rPr>
        <w:t xml:space="preserve">2.5 </w:t>
      </w:r>
      <w:r w:rsidRPr="00C80641">
        <w:rPr>
          <w:rFonts w:ascii="Arial" w:hAnsi="Arial" w:cs="Arial"/>
        </w:rPr>
        <w:t>alone</w:t>
      </w:r>
      <w:r w:rsidR="00DE4484" w:rsidRPr="00C80641">
        <w:rPr>
          <w:rFonts w:ascii="Arial" w:hAnsi="Arial" w:cs="Arial"/>
        </w:rPr>
        <w:t>’</w:t>
      </w:r>
      <w:r w:rsidRPr="00C80641">
        <w:rPr>
          <w:rFonts w:ascii="Arial" w:hAnsi="Arial" w:cs="Arial"/>
        </w:rPr>
        <w:t xml:space="preserve"> </w:t>
      </w:r>
      <w:r w:rsidRPr="00C80641">
        <w:rPr>
          <w:rFonts w:ascii="Arial" w:hAnsi="Arial" w:cs="Arial"/>
          <w:b/>
        </w:rPr>
        <w:t>(WHO Regional Office for Europe 2013)</w:t>
      </w:r>
      <w:r w:rsidRPr="00C80641">
        <w:rPr>
          <w:rFonts w:ascii="Arial" w:hAnsi="Arial" w:cs="Arial"/>
        </w:rPr>
        <w:t>.</w:t>
      </w:r>
    </w:p>
    <w:p w:rsidR="00BD1830" w:rsidRPr="00C80641" w:rsidRDefault="00BD1830" w:rsidP="00CB41AA">
      <w:pPr>
        <w:spacing w:before="240" w:after="360"/>
        <w:rPr>
          <w:rFonts w:ascii="Arial" w:hAnsi="Arial" w:cs="Arial"/>
        </w:rPr>
      </w:pPr>
      <w:r w:rsidRPr="00C80641">
        <w:rPr>
          <w:rFonts w:ascii="Arial" w:hAnsi="Arial" w:cs="Arial"/>
        </w:rPr>
        <w:t>As with PM</w:t>
      </w:r>
      <w:r w:rsidRPr="00C80641">
        <w:rPr>
          <w:rFonts w:ascii="Arial" w:hAnsi="Arial" w:cs="Arial"/>
          <w:vertAlign w:val="subscript"/>
        </w:rPr>
        <w:t>2.5</w:t>
      </w:r>
      <w:r w:rsidRPr="00C80641">
        <w:rPr>
          <w:rFonts w:ascii="Arial" w:hAnsi="Arial" w:cs="Arial"/>
        </w:rPr>
        <w:t xml:space="preserve">, the effects observed in the Australian and New Zealand NEPC multi-city study </w:t>
      </w:r>
      <w:r w:rsidRPr="00C80641">
        <w:rPr>
          <w:rFonts w:ascii="Arial" w:hAnsi="Arial" w:cs="Arial"/>
          <w:b/>
        </w:rPr>
        <w:t>(EPHC 2010)</w:t>
      </w:r>
      <w:r w:rsidRPr="00C80641">
        <w:rPr>
          <w:rFonts w:ascii="Arial" w:hAnsi="Arial" w:cs="Arial"/>
        </w:rPr>
        <w:t xml:space="preserve"> in relation to PM</w:t>
      </w:r>
      <w:r w:rsidRPr="00C80641">
        <w:rPr>
          <w:rFonts w:ascii="Arial" w:hAnsi="Arial" w:cs="Arial"/>
          <w:vertAlign w:val="subscript"/>
        </w:rPr>
        <w:t xml:space="preserve">10 </w:t>
      </w:r>
      <w:r w:rsidRPr="00C80641">
        <w:rPr>
          <w:rFonts w:ascii="Arial" w:hAnsi="Arial" w:cs="Arial"/>
        </w:rPr>
        <w:t xml:space="preserve">exposure are consistent with those observed internationally. </w:t>
      </w:r>
    </w:p>
    <w:p w:rsidR="003672DF" w:rsidRPr="00C80641" w:rsidRDefault="00E203ED" w:rsidP="00E203ED">
      <w:pPr>
        <w:pStyle w:val="Heading3"/>
        <w:rPr>
          <w:rFonts w:ascii="Arial" w:hAnsi="Arial"/>
        </w:rPr>
      </w:pPr>
      <w:bookmarkStart w:id="27" w:name="_Toc394011083"/>
      <w:r w:rsidRPr="00C80641">
        <w:rPr>
          <w:rFonts w:ascii="Arial" w:hAnsi="Arial"/>
        </w:rPr>
        <w:t>Evidence for other PM</w:t>
      </w:r>
      <w:r w:rsidR="003672DF" w:rsidRPr="00C80641">
        <w:rPr>
          <w:rFonts w:ascii="Arial" w:hAnsi="Arial"/>
        </w:rPr>
        <w:t xml:space="preserve"> m</w:t>
      </w:r>
      <w:r w:rsidRPr="00C80641">
        <w:rPr>
          <w:rFonts w:ascii="Arial" w:hAnsi="Arial"/>
        </w:rPr>
        <w:t>etrics</w:t>
      </w:r>
      <w:bookmarkEnd w:id="27"/>
    </w:p>
    <w:p w:rsidR="00BD1830" w:rsidRPr="00C80641" w:rsidRDefault="00BD1830" w:rsidP="00BD1830">
      <w:pPr>
        <w:spacing w:before="240"/>
        <w:rPr>
          <w:rFonts w:ascii="Arial" w:hAnsi="Arial" w:cs="Arial"/>
        </w:rPr>
      </w:pPr>
      <w:r w:rsidRPr="00C80641">
        <w:rPr>
          <w:rFonts w:ascii="Arial" w:hAnsi="Arial" w:cs="Arial"/>
        </w:rPr>
        <w:t xml:space="preserve">There is increasing, but as yet limited, epidemiological evidence on the association between short-term exposure to ultrafine particles and cardiovascular and respiratory health </w:t>
      </w:r>
      <w:r w:rsidRPr="00C80641">
        <w:rPr>
          <w:rFonts w:ascii="Arial" w:hAnsi="Arial" w:cs="Arial"/>
          <w:b/>
        </w:rPr>
        <w:t>(WHO Regional Office for Europe 2013)</w:t>
      </w:r>
      <w:r w:rsidRPr="00C80641">
        <w:rPr>
          <w:rFonts w:ascii="Arial" w:hAnsi="Arial" w:cs="Arial"/>
        </w:rPr>
        <w:t>. This is an area of ongoing research.</w:t>
      </w:r>
    </w:p>
    <w:p w:rsidR="00BD1830" w:rsidRPr="00C80641" w:rsidRDefault="00BD1830" w:rsidP="0063196C">
      <w:pPr>
        <w:spacing w:after="220"/>
        <w:rPr>
          <w:rFonts w:ascii="Arial" w:hAnsi="Arial" w:cs="Arial"/>
        </w:rPr>
      </w:pPr>
      <w:r w:rsidRPr="00C80641">
        <w:rPr>
          <w:rFonts w:ascii="Arial" w:hAnsi="Arial" w:cs="Arial"/>
        </w:rPr>
        <w:t xml:space="preserve">Studies have also investigated the relationship between measures of specific PM components (for example, black carbon, SOA and SIA) and health effects </w:t>
      </w:r>
      <w:r w:rsidRPr="00C80641">
        <w:rPr>
          <w:rFonts w:ascii="Arial" w:hAnsi="Arial" w:cs="Arial"/>
          <w:b/>
        </w:rPr>
        <w:t>(WHO Regional Office for Europe 2013)</w:t>
      </w:r>
      <w:r w:rsidRPr="00C80641">
        <w:rPr>
          <w:rFonts w:ascii="Arial" w:hAnsi="Arial" w:cs="Arial"/>
        </w:rPr>
        <w:t>. In the future, th</w:t>
      </w:r>
      <w:r w:rsidR="006A50C9" w:rsidRPr="00C80641">
        <w:rPr>
          <w:rFonts w:ascii="Arial" w:hAnsi="Arial" w:cs="Arial"/>
        </w:rPr>
        <w:t xml:space="preserve">e use of these metrics may provide a better indication of exposure to PM from particular sources, such as vehicle exhaust, and may </w:t>
      </w:r>
      <w:r w:rsidR="000B44D2" w:rsidRPr="00C80641">
        <w:rPr>
          <w:rFonts w:ascii="Arial" w:hAnsi="Arial" w:cs="Arial"/>
        </w:rPr>
        <w:t>improve the</w:t>
      </w:r>
      <w:r w:rsidRPr="00C80641">
        <w:rPr>
          <w:rFonts w:ascii="Arial" w:hAnsi="Arial" w:cs="Arial"/>
        </w:rPr>
        <w:t xml:space="preserve"> understanding of the</w:t>
      </w:r>
      <w:r w:rsidR="006A50C9" w:rsidRPr="00C80641">
        <w:rPr>
          <w:rFonts w:ascii="Arial" w:hAnsi="Arial" w:cs="Arial"/>
        </w:rPr>
        <w:t xml:space="preserve"> associated</w:t>
      </w:r>
      <w:r w:rsidRPr="00C80641">
        <w:rPr>
          <w:rFonts w:ascii="Arial" w:hAnsi="Arial" w:cs="Arial"/>
        </w:rPr>
        <w:t xml:space="preserve"> health risks</w:t>
      </w:r>
      <w:r w:rsidR="006A50C9" w:rsidRPr="00C80641">
        <w:rPr>
          <w:rFonts w:ascii="Arial" w:hAnsi="Arial" w:cs="Arial"/>
        </w:rPr>
        <w:t xml:space="preserve">. </w:t>
      </w:r>
      <w:r w:rsidRPr="00C80641">
        <w:rPr>
          <w:rFonts w:ascii="Arial" w:hAnsi="Arial" w:cs="Arial"/>
        </w:rPr>
        <w:t xml:space="preserve">While there is some evidence that the relationship between particles and their health effects depends on their chemical composition, the evidence is insufficient to conclude this relationship is causal </w:t>
      </w:r>
      <w:r w:rsidRPr="00C80641">
        <w:rPr>
          <w:rFonts w:ascii="Arial" w:hAnsi="Arial" w:cs="Arial"/>
          <w:b/>
        </w:rPr>
        <w:t>(Bell</w:t>
      </w:r>
      <w:r w:rsidR="00DE4484" w:rsidRPr="00C80641">
        <w:rPr>
          <w:rFonts w:ascii="Arial" w:hAnsi="Arial" w:cs="Arial"/>
          <w:b/>
        </w:rPr>
        <w:t> </w:t>
      </w:r>
      <w:r w:rsidRPr="00C80641">
        <w:rPr>
          <w:rFonts w:ascii="Arial" w:hAnsi="Arial" w:cs="Arial"/>
          <w:b/>
        </w:rPr>
        <w:t>2012)</w:t>
      </w:r>
      <w:r w:rsidRPr="00C80641">
        <w:rPr>
          <w:rFonts w:ascii="Arial" w:hAnsi="Arial" w:cs="Arial"/>
        </w:rPr>
        <w:t>.</w:t>
      </w:r>
      <w:r w:rsidR="004B4989" w:rsidRPr="00C80641">
        <w:rPr>
          <w:rFonts w:ascii="Arial" w:hAnsi="Arial" w:cs="Arial"/>
        </w:rPr>
        <w:t xml:space="preserve"> </w:t>
      </w:r>
    </w:p>
    <w:p w:rsidR="00A14EB1" w:rsidRPr="00C80641" w:rsidRDefault="00B54267" w:rsidP="000F787E">
      <w:pPr>
        <w:pStyle w:val="Heading3"/>
        <w:rPr>
          <w:rFonts w:ascii="Arial" w:hAnsi="Arial"/>
        </w:rPr>
      </w:pPr>
      <w:bookmarkStart w:id="28" w:name="_Toc394011084"/>
      <w:r w:rsidRPr="00C80641">
        <w:rPr>
          <w:rFonts w:ascii="Arial" w:hAnsi="Arial"/>
        </w:rPr>
        <w:t>Linearity and t</w:t>
      </w:r>
      <w:r w:rsidR="00A14EB1" w:rsidRPr="00C80641">
        <w:rPr>
          <w:rFonts w:ascii="Arial" w:hAnsi="Arial"/>
        </w:rPr>
        <w:t>hresholds</w:t>
      </w:r>
      <w:bookmarkEnd w:id="28"/>
    </w:p>
    <w:p w:rsidR="009C7661" w:rsidRPr="00C80641" w:rsidRDefault="009C7661" w:rsidP="0063196C">
      <w:pPr>
        <w:pStyle w:val="BulletArrows"/>
        <w:spacing w:after="220"/>
        <w:rPr>
          <w:rFonts w:ascii="Arial" w:hAnsi="Arial"/>
          <w:color w:val="auto"/>
        </w:rPr>
      </w:pPr>
      <w:r w:rsidRPr="00C80641">
        <w:rPr>
          <w:rFonts w:ascii="Arial" w:hAnsi="Arial"/>
          <w:color w:val="auto"/>
        </w:rPr>
        <w:t>The linearity of the relationship between exposure to PM</w:t>
      </w:r>
      <w:r w:rsidRPr="00C80641">
        <w:rPr>
          <w:rFonts w:ascii="Arial" w:hAnsi="Arial"/>
          <w:color w:val="auto"/>
          <w:vertAlign w:val="subscript"/>
        </w:rPr>
        <w:t>2.5</w:t>
      </w:r>
      <w:r w:rsidRPr="00C80641">
        <w:rPr>
          <w:rFonts w:ascii="Arial" w:hAnsi="Arial"/>
          <w:color w:val="auto"/>
        </w:rPr>
        <w:t xml:space="preserve"> and health response </w:t>
      </w:r>
      <w:r w:rsidR="00DE4484" w:rsidRPr="00C80641">
        <w:rPr>
          <w:rFonts w:ascii="Arial" w:hAnsi="Arial"/>
          <w:color w:val="auto"/>
        </w:rPr>
        <w:t>–</w:t>
      </w:r>
      <w:r w:rsidRPr="00C80641">
        <w:rPr>
          <w:rFonts w:ascii="Arial" w:hAnsi="Arial"/>
          <w:color w:val="auto"/>
        </w:rPr>
        <w:t xml:space="preserve"> and correspondingly the existence or otherwise of a threshold for health effects </w:t>
      </w:r>
      <w:r w:rsidR="00DE4484" w:rsidRPr="00C80641">
        <w:rPr>
          <w:rFonts w:ascii="Arial" w:hAnsi="Arial"/>
          <w:color w:val="auto"/>
        </w:rPr>
        <w:t>–</w:t>
      </w:r>
      <w:r w:rsidRPr="00C80641">
        <w:rPr>
          <w:rFonts w:ascii="Arial" w:hAnsi="Arial"/>
          <w:color w:val="auto"/>
        </w:rPr>
        <w:t xml:space="preserve"> has been the subject of several studies since the WHO 2005 air quality guidelines global update. For studies of short-term exposure to PM</w:t>
      </w:r>
      <w:r w:rsidRPr="00C80641">
        <w:rPr>
          <w:rFonts w:ascii="Arial" w:hAnsi="Arial"/>
          <w:color w:val="auto"/>
          <w:vertAlign w:val="subscript"/>
        </w:rPr>
        <w:t>2.5</w:t>
      </w:r>
      <w:r w:rsidRPr="00C80641">
        <w:rPr>
          <w:rFonts w:ascii="Arial" w:hAnsi="Arial"/>
          <w:color w:val="auto"/>
        </w:rPr>
        <w:t xml:space="preserve"> there is substantial evidence of associations down to very low levels. Studies of long-term exposure face greater methodological challenges to fully assess thresholds and linearity, and fewer long-term studies have examined the shape of the concentration–response functions. </w:t>
      </w:r>
      <w:r w:rsidRPr="00C80641">
        <w:rPr>
          <w:rFonts w:ascii="Arial" w:hAnsi="Arial"/>
          <w:b/>
          <w:color w:val="auto"/>
        </w:rPr>
        <w:t>WHO R</w:t>
      </w:r>
      <w:r w:rsidR="006D4BFA" w:rsidRPr="00C80641">
        <w:rPr>
          <w:rFonts w:ascii="Arial" w:hAnsi="Arial"/>
          <w:b/>
          <w:color w:val="auto"/>
        </w:rPr>
        <w:t>egional Office for Europe (2013</w:t>
      </w:r>
      <w:r w:rsidRPr="00C80641">
        <w:rPr>
          <w:rFonts w:ascii="Arial" w:hAnsi="Arial"/>
          <w:b/>
          <w:color w:val="auto"/>
        </w:rPr>
        <w:t>)</w:t>
      </w:r>
      <w:r w:rsidRPr="00C80641">
        <w:rPr>
          <w:rFonts w:ascii="Arial" w:hAnsi="Arial"/>
          <w:color w:val="auto"/>
        </w:rPr>
        <w:t xml:space="preserve"> commented that long-term studies have not detected significant deviations from linearity (i.e. no evidence of a threshold for effects) for the ambient levels of PM</w:t>
      </w:r>
      <w:r w:rsidRPr="00C80641">
        <w:rPr>
          <w:rFonts w:ascii="Arial" w:hAnsi="Arial"/>
          <w:color w:val="auto"/>
          <w:vertAlign w:val="subscript"/>
        </w:rPr>
        <w:t>2.5</w:t>
      </w:r>
      <w:r w:rsidRPr="00C80641">
        <w:rPr>
          <w:rFonts w:ascii="Arial" w:hAnsi="Arial"/>
          <w:color w:val="auto"/>
        </w:rPr>
        <w:t xml:space="preserve"> observed in Europe. Similarly, researchers in the United States have consistently found no evidence of a threshold concentration below which adverse health effects are not observed </w:t>
      </w:r>
      <w:r w:rsidRPr="00C80641">
        <w:rPr>
          <w:rFonts w:ascii="Arial" w:hAnsi="Arial"/>
          <w:b/>
          <w:color w:val="auto"/>
        </w:rPr>
        <w:t xml:space="preserve">(Pope and Dockery 2006; Brook </w:t>
      </w:r>
      <w:r w:rsidR="009334F4" w:rsidRPr="00C80641">
        <w:rPr>
          <w:rFonts w:ascii="Arial" w:hAnsi="Arial"/>
          <w:b/>
          <w:color w:val="auto"/>
        </w:rPr>
        <w:t>et al</w:t>
      </w:r>
      <w:r w:rsidRPr="00C80641">
        <w:rPr>
          <w:rFonts w:ascii="Arial" w:hAnsi="Arial"/>
          <w:b/>
          <w:color w:val="auto"/>
        </w:rPr>
        <w:t>. 2010; USEPA 2009)</w:t>
      </w:r>
      <w:r w:rsidRPr="00C80641">
        <w:rPr>
          <w:rFonts w:ascii="Arial" w:hAnsi="Arial"/>
          <w:color w:val="auto"/>
        </w:rPr>
        <w:t xml:space="preserve">. In Canada, </w:t>
      </w:r>
      <w:r w:rsidRPr="00C80641">
        <w:rPr>
          <w:rFonts w:ascii="Arial" w:hAnsi="Arial"/>
          <w:b/>
          <w:color w:val="auto"/>
        </w:rPr>
        <w:t>Crouse et al. (2012)</w:t>
      </w:r>
      <w:r w:rsidRPr="00C80641">
        <w:rPr>
          <w:rFonts w:ascii="Arial" w:hAnsi="Arial"/>
          <w:color w:val="auto"/>
        </w:rPr>
        <w:t xml:space="preserve"> investigated the long-term exposure to ambient PM</w:t>
      </w:r>
      <w:r w:rsidRPr="00C80641">
        <w:rPr>
          <w:rFonts w:ascii="Arial" w:hAnsi="Arial"/>
          <w:color w:val="auto"/>
          <w:vertAlign w:val="subscript"/>
        </w:rPr>
        <w:t>2.5</w:t>
      </w:r>
      <w:r w:rsidRPr="00C80641">
        <w:rPr>
          <w:rFonts w:ascii="Arial" w:hAnsi="Arial"/>
          <w:color w:val="auto"/>
        </w:rPr>
        <w:t xml:space="preserve"> in non-immigrant adults, and observed associations with cardiovascular mortality at concentrations as low as only a few micrograms per cubic meter. This last study is particularly relevant, because it investigate</w:t>
      </w:r>
      <w:r w:rsidR="002D5372" w:rsidRPr="00C80641">
        <w:rPr>
          <w:rFonts w:ascii="Arial" w:hAnsi="Arial"/>
          <w:color w:val="auto"/>
        </w:rPr>
        <w:t>d</w:t>
      </w:r>
      <w:r w:rsidRPr="00C80641">
        <w:rPr>
          <w:rFonts w:ascii="Arial" w:hAnsi="Arial"/>
          <w:color w:val="auto"/>
        </w:rPr>
        <w:t xml:space="preserve"> the effects of PM</w:t>
      </w:r>
      <w:r w:rsidRPr="00C80641">
        <w:rPr>
          <w:rFonts w:ascii="Arial" w:hAnsi="Arial"/>
          <w:color w:val="auto"/>
          <w:vertAlign w:val="subscript"/>
        </w:rPr>
        <w:t>2.5</w:t>
      </w:r>
      <w:r w:rsidRPr="00C80641">
        <w:rPr>
          <w:rFonts w:ascii="Arial" w:hAnsi="Arial"/>
          <w:color w:val="auto"/>
        </w:rPr>
        <w:t xml:space="preserve"> at levels commonly experienced in Australia.</w:t>
      </w:r>
    </w:p>
    <w:p w:rsidR="00BD6432" w:rsidRPr="00C80641" w:rsidRDefault="00BD6432" w:rsidP="000F787E">
      <w:pPr>
        <w:pStyle w:val="Heading3"/>
        <w:rPr>
          <w:rFonts w:ascii="Arial" w:hAnsi="Arial"/>
        </w:rPr>
      </w:pPr>
      <w:bookmarkStart w:id="29" w:name="_Ref366854718"/>
      <w:bookmarkStart w:id="30" w:name="_Toc394011085"/>
      <w:r w:rsidRPr="00C80641">
        <w:rPr>
          <w:rFonts w:ascii="Arial" w:hAnsi="Arial"/>
        </w:rPr>
        <w:t>Relevance to Australia</w:t>
      </w:r>
      <w:bookmarkEnd w:id="29"/>
      <w:bookmarkEnd w:id="30"/>
    </w:p>
    <w:p w:rsidR="00953C44" w:rsidRPr="00C80641" w:rsidRDefault="001122CA" w:rsidP="00953C44">
      <w:pPr>
        <w:rPr>
          <w:rFonts w:ascii="Arial" w:hAnsi="Arial" w:cs="Arial"/>
        </w:rPr>
      </w:pPr>
      <w:r w:rsidRPr="00C80641">
        <w:rPr>
          <w:rFonts w:ascii="Arial" w:hAnsi="Arial" w:cs="Arial"/>
          <w:lang w:eastAsia="en-US"/>
        </w:rPr>
        <w:t xml:space="preserve">At the time the </w:t>
      </w:r>
      <w:r w:rsidR="00EF24F8" w:rsidRPr="00C80641">
        <w:rPr>
          <w:rFonts w:ascii="Arial" w:hAnsi="Arial" w:cs="Arial"/>
          <w:lang w:eastAsia="en-US"/>
        </w:rPr>
        <w:t>AAQ NEPM</w:t>
      </w:r>
      <w:r w:rsidR="00266305" w:rsidRPr="00C80641">
        <w:rPr>
          <w:rFonts w:ascii="Arial" w:hAnsi="Arial" w:cs="Arial"/>
          <w:lang w:eastAsia="en-US"/>
        </w:rPr>
        <w:t xml:space="preserve"> was introduced there were few</w:t>
      </w:r>
      <w:r w:rsidRPr="00C80641">
        <w:rPr>
          <w:rFonts w:ascii="Arial" w:hAnsi="Arial" w:cs="Arial"/>
          <w:lang w:eastAsia="en-US"/>
        </w:rPr>
        <w:t xml:space="preserve"> Australian </w:t>
      </w:r>
      <w:r w:rsidR="00292CEB" w:rsidRPr="00C80641">
        <w:rPr>
          <w:rFonts w:ascii="Arial" w:hAnsi="Arial" w:cs="Arial"/>
          <w:lang w:eastAsia="en-US"/>
        </w:rPr>
        <w:t xml:space="preserve">epidemiology </w:t>
      </w:r>
      <w:r w:rsidRPr="00C80641">
        <w:rPr>
          <w:rFonts w:ascii="Arial" w:hAnsi="Arial" w:cs="Arial"/>
          <w:lang w:eastAsia="en-US"/>
        </w:rPr>
        <w:t xml:space="preserve">studies linking adverse health effects with exposure to air pollution. Consequently, the </w:t>
      </w:r>
      <w:r w:rsidR="00EF24F8" w:rsidRPr="00C80641">
        <w:rPr>
          <w:rFonts w:ascii="Arial" w:hAnsi="Arial" w:cs="Arial"/>
          <w:lang w:eastAsia="en-US"/>
        </w:rPr>
        <w:t>AAQ NEPM</w:t>
      </w:r>
      <w:r w:rsidR="003C16C3" w:rsidRPr="00C80641">
        <w:rPr>
          <w:rFonts w:ascii="Arial" w:hAnsi="Arial" w:cs="Arial"/>
          <w:lang w:eastAsia="en-US"/>
        </w:rPr>
        <w:t xml:space="preserve"> </w:t>
      </w:r>
      <w:r w:rsidRPr="00C80641">
        <w:rPr>
          <w:rFonts w:ascii="Arial" w:hAnsi="Arial" w:cs="Arial"/>
          <w:lang w:eastAsia="en-US"/>
        </w:rPr>
        <w:t xml:space="preserve">standards were based on evidence from </w:t>
      </w:r>
      <w:r w:rsidR="00266305" w:rsidRPr="00C80641">
        <w:rPr>
          <w:rFonts w:ascii="Arial" w:hAnsi="Arial" w:cs="Arial"/>
          <w:lang w:eastAsia="en-US"/>
        </w:rPr>
        <w:t>overseas, particularly from</w:t>
      </w:r>
      <w:r w:rsidR="00953C44" w:rsidRPr="00C80641">
        <w:rPr>
          <w:rFonts w:ascii="Arial" w:hAnsi="Arial" w:cs="Arial"/>
          <w:lang w:eastAsia="en-US"/>
        </w:rPr>
        <w:t xml:space="preserve"> the United States</w:t>
      </w:r>
      <w:r w:rsidRPr="00C80641">
        <w:rPr>
          <w:rFonts w:ascii="Arial" w:hAnsi="Arial" w:cs="Arial"/>
          <w:lang w:eastAsia="en-US"/>
        </w:rPr>
        <w:t xml:space="preserve">. </w:t>
      </w:r>
      <w:r w:rsidR="00953C44" w:rsidRPr="00C80641">
        <w:rPr>
          <w:rFonts w:ascii="Arial" w:hAnsi="Arial" w:cs="Arial"/>
        </w:rPr>
        <w:t xml:space="preserve">The review of the </w:t>
      </w:r>
      <w:r w:rsidR="00EF24F8" w:rsidRPr="00C80641">
        <w:rPr>
          <w:rFonts w:ascii="Arial" w:hAnsi="Arial" w:cs="Arial"/>
        </w:rPr>
        <w:t>AAQ NEPM</w:t>
      </w:r>
      <w:r w:rsidR="00953C44" w:rsidRPr="00C80641">
        <w:rPr>
          <w:rFonts w:ascii="Arial" w:hAnsi="Arial" w:cs="Arial"/>
        </w:rPr>
        <w:t xml:space="preserve"> noted that subsequent </w:t>
      </w:r>
      <w:r w:rsidR="00292CEB" w:rsidRPr="00C80641">
        <w:rPr>
          <w:rFonts w:ascii="Arial" w:hAnsi="Arial" w:cs="Arial"/>
        </w:rPr>
        <w:t xml:space="preserve">epidemiology </w:t>
      </w:r>
      <w:r w:rsidR="00953C44" w:rsidRPr="00C80641">
        <w:rPr>
          <w:rFonts w:ascii="Arial" w:hAnsi="Arial" w:cs="Arial"/>
          <w:lang w:eastAsia="en-US"/>
        </w:rPr>
        <w:t>studies in Australia have shown s</w:t>
      </w:r>
      <w:r w:rsidR="00BD1B60" w:rsidRPr="00C80641">
        <w:rPr>
          <w:rFonts w:ascii="Arial" w:hAnsi="Arial" w:cs="Arial"/>
          <w:lang w:eastAsia="en-US"/>
        </w:rPr>
        <w:t xml:space="preserve">imilar effects to those in some other countries; </w:t>
      </w:r>
      <w:r w:rsidR="00953C44" w:rsidRPr="00C80641">
        <w:rPr>
          <w:rFonts w:ascii="Arial" w:hAnsi="Arial" w:cs="Arial"/>
          <w:lang w:eastAsia="en-US"/>
        </w:rPr>
        <w:t xml:space="preserve">the effects appear to be similar to </w:t>
      </w:r>
      <w:r w:rsidR="00BD1B60" w:rsidRPr="00C80641">
        <w:rPr>
          <w:rFonts w:ascii="Arial" w:hAnsi="Arial" w:cs="Arial"/>
          <w:lang w:eastAsia="en-US"/>
        </w:rPr>
        <w:t xml:space="preserve">those in </w:t>
      </w:r>
      <w:r w:rsidR="00953C44" w:rsidRPr="00C80641">
        <w:rPr>
          <w:rFonts w:ascii="Arial" w:hAnsi="Arial" w:cs="Arial"/>
          <w:lang w:eastAsia="en-US"/>
        </w:rPr>
        <w:t>Canada</w:t>
      </w:r>
      <w:r w:rsidR="00BD1B60" w:rsidRPr="00C80641">
        <w:rPr>
          <w:rFonts w:ascii="Arial" w:hAnsi="Arial" w:cs="Arial"/>
          <w:lang w:eastAsia="en-US"/>
        </w:rPr>
        <w:t>,</w:t>
      </w:r>
      <w:r w:rsidR="00953C44" w:rsidRPr="00C80641">
        <w:rPr>
          <w:rFonts w:ascii="Arial" w:hAnsi="Arial" w:cs="Arial"/>
          <w:lang w:eastAsia="en-US"/>
        </w:rPr>
        <w:t xml:space="preserve"> but greater than </w:t>
      </w:r>
      <w:r w:rsidR="00BD1B60" w:rsidRPr="00C80641">
        <w:rPr>
          <w:rFonts w:ascii="Arial" w:hAnsi="Arial" w:cs="Arial"/>
          <w:lang w:eastAsia="en-US"/>
        </w:rPr>
        <w:t xml:space="preserve">those </w:t>
      </w:r>
      <w:r w:rsidR="00953C44" w:rsidRPr="00C80641">
        <w:rPr>
          <w:rFonts w:ascii="Arial" w:hAnsi="Arial" w:cs="Arial"/>
          <w:lang w:eastAsia="en-US"/>
        </w:rPr>
        <w:t xml:space="preserve">in the United States and Europe. These studies provide evidence of adverse health effects at pollution levels </w:t>
      </w:r>
      <w:r w:rsidR="001C71E5" w:rsidRPr="00C80641">
        <w:rPr>
          <w:rFonts w:ascii="Arial" w:hAnsi="Arial" w:cs="Arial"/>
          <w:lang w:eastAsia="en-US"/>
        </w:rPr>
        <w:t xml:space="preserve">that are </w:t>
      </w:r>
      <w:r w:rsidR="00953C44" w:rsidRPr="00C80641">
        <w:rPr>
          <w:rFonts w:ascii="Arial" w:hAnsi="Arial" w:cs="Arial"/>
          <w:lang w:eastAsia="en-US"/>
        </w:rPr>
        <w:t>currently ex</w:t>
      </w:r>
      <w:r w:rsidR="00BD1B60" w:rsidRPr="00C80641">
        <w:rPr>
          <w:rFonts w:ascii="Arial" w:hAnsi="Arial" w:cs="Arial"/>
          <w:lang w:eastAsia="en-US"/>
        </w:rPr>
        <w:t>perienced in Australian cities</w:t>
      </w:r>
      <w:r w:rsidR="00953C44" w:rsidRPr="00C80641">
        <w:rPr>
          <w:rFonts w:ascii="Arial" w:hAnsi="Arial" w:cs="Arial"/>
        </w:rPr>
        <w:t xml:space="preserve"> </w:t>
      </w:r>
      <w:r w:rsidR="00953C44" w:rsidRPr="00C80641">
        <w:rPr>
          <w:rFonts w:ascii="Arial" w:hAnsi="Arial" w:cs="Arial"/>
          <w:b/>
          <w:lang w:eastAsia="en-US"/>
        </w:rPr>
        <w:t>(NEPC 2011a)</w:t>
      </w:r>
      <w:r w:rsidR="00953C44" w:rsidRPr="00C80641">
        <w:rPr>
          <w:rFonts w:ascii="Arial" w:hAnsi="Arial" w:cs="Arial"/>
          <w:lang w:eastAsia="en-US"/>
        </w:rPr>
        <w:t>.</w:t>
      </w:r>
    </w:p>
    <w:p w:rsidR="00BD6432" w:rsidRPr="00C80641" w:rsidRDefault="002A2078" w:rsidP="0063196C">
      <w:pPr>
        <w:spacing w:after="200"/>
        <w:rPr>
          <w:rFonts w:ascii="Arial" w:hAnsi="Arial" w:cs="Arial"/>
          <w:lang w:eastAsia="en-US"/>
        </w:rPr>
      </w:pPr>
      <w:r w:rsidRPr="00C80641">
        <w:rPr>
          <w:rFonts w:ascii="Arial" w:hAnsi="Arial" w:cs="Arial"/>
          <w:lang w:eastAsia="en-US"/>
        </w:rPr>
        <w:lastRenderedPageBreak/>
        <w:t>Australia currently has a short-term (24-hour) ambient standard for PM</w:t>
      </w:r>
      <w:r w:rsidRPr="00C80641">
        <w:rPr>
          <w:rFonts w:ascii="Arial" w:hAnsi="Arial" w:cs="Arial"/>
          <w:vertAlign w:val="subscript"/>
          <w:lang w:eastAsia="en-US"/>
        </w:rPr>
        <w:t>10</w:t>
      </w:r>
      <w:r w:rsidRPr="00C80641">
        <w:rPr>
          <w:rFonts w:ascii="Arial" w:hAnsi="Arial" w:cs="Arial"/>
          <w:lang w:eastAsia="en-US"/>
        </w:rPr>
        <w:t>, and advisory short-term and long-term (annual) standards for PM</w:t>
      </w:r>
      <w:r w:rsidRPr="00C80641">
        <w:rPr>
          <w:rFonts w:ascii="Arial" w:hAnsi="Arial" w:cs="Arial"/>
          <w:vertAlign w:val="subscript"/>
          <w:lang w:eastAsia="en-US"/>
        </w:rPr>
        <w:t>2.5</w:t>
      </w:r>
      <w:r w:rsidRPr="00C80641">
        <w:rPr>
          <w:rFonts w:ascii="Arial" w:hAnsi="Arial" w:cs="Arial"/>
          <w:lang w:eastAsia="en-US"/>
        </w:rPr>
        <w:t xml:space="preserve"> (see </w:t>
      </w:r>
      <w:r w:rsidRPr="00C80641">
        <w:rPr>
          <w:rFonts w:ascii="Arial" w:hAnsi="Arial" w:cs="Arial"/>
          <w:b/>
          <w:lang w:eastAsia="en-US"/>
        </w:rPr>
        <w:t xml:space="preserve">Section </w:t>
      </w:r>
      <w:fldSimple w:instr=" REF _Ref368987394 \n \h  \* MERGEFORMAT ">
        <w:r w:rsidR="0085182E">
          <w:rPr>
            <w:rFonts w:ascii="Arial" w:hAnsi="Arial" w:cs="Arial"/>
            <w:b/>
            <w:lang w:eastAsia="en-US"/>
          </w:rPr>
          <w:t>4.1.2.3</w:t>
        </w:r>
      </w:fldSimple>
      <w:r w:rsidRPr="00C80641">
        <w:rPr>
          <w:rFonts w:ascii="Arial" w:hAnsi="Arial" w:cs="Arial"/>
          <w:lang w:eastAsia="en-US"/>
        </w:rPr>
        <w:t>).</w:t>
      </w:r>
      <w:r w:rsidR="0072770C" w:rsidRPr="00C80641">
        <w:rPr>
          <w:rFonts w:ascii="Arial" w:hAnsi="Arial" w:cs="Arial"/>
        </w:rPr>
        <w:t xml:space="preserve"> </w:t>
      </w:r>
      <w:r w:rsidR="00266305" w:rsidRPr="00C80641">
        <w:rPr>
          <w:rFonts w:ascii="Arial" w:hAnsi="Arial" w:cs="Arial"/>
        </w:rPr>
        <w:t>T</w:t>
      </w:r>
      <w:r w:rsidR="00953C44" w:rsidRPr="00C80641">
        <w:rPr>
          <w:rFonts w:ascii="Arial" w:hAnsi="Arial" w:cs="Arial"/>
        </w:rPr>
        <w:t>he Australian Environmental Health Standing Committee (</w:t>
      </w:r>
      <w:proofErr w:type="spellStart"/>
      <w:r w:rsidR="00953C44" w:rsidRPr="00C80641">
        <w:rPr>
          <w:rFonts w:ascii="Arial" w:hAnsi="Arial" w:cs="Arial"/>
        </w:rPr>
        <w:t>enHealth</w:t>
      </w:r>
      <w:proofErr w:type="spellEnd"/>
      <w:r w:rsidR="00953C44" w:rsidRPr="00C80641">
        <w:rPr>
          <w:rFonts w:ascii="Arial" w:hAnsi="Arial" w:cs="Arial"/>
        </w:rPr>
        <w:t>)</w:t>
      </w:r>
      <w:r w:rsidR="00953C44" w:rsidRPr="00C80641">
        <w:rPr>
          <w:rStyle w:val="FootnoteReference"/>
          <w:rFonts w:ascii="Arial" w:hAnsi="Arial" w:cs="Arial"/>
        </w:rPr>
        <w:footnoteReference w:id="7"/>
      </w:r>
      <w:r w:rsidR="00953C44" w:rsidRPr="00C80641">
        <w:rPr>
          <w:rFonts w:ascii="Arial" w:hAnsi="Arial" w:cs="Arial"/>
        </w:rPr>
        <w:t xml:space="preserve"> </w:t>
      </w:r>
      <w:r w:rsidR="00266305" w:rsidRPr="00C80641">
        <w:rPr>
          <w:rFonts w:ascii="Arial" w:hAnsi="Arial" w:cs="Arial"/>
        </w:rPr>
        <w:t>has provided advice</w:t>
      </w:r>
      <w:r w:rsidR="00953C44" w:rsidRPr="00C80641">
        <w:rPr>
          <w:rStyle w:val="FootnoteReference"/>
          <w:rFonts w:ascii="Arial" w:hAnsi="Arial" w:cs="Arial"/>
        </w:rPr>
        <w:footnoteReference w:id="8"/>
      </w:r>
      <w:r w:rsidR="00953C44" w:rsidRPr="00C80641">
        <w:rPr>
          <w:rFonts w:ascii="Arial" w:hAnsi="Arial" w:cs="Arial"/>
        </w:rPr>
        <w:t xml:space="preserve"> to</w:t>
      </w:r>
      <w:r w:rsidR="00266305" w:rsidRPr="00C80641">
        <w:rPr>
          <w:rFonts w:ascii="Arial" w:hAnsi="Arial" w:cs="Arial"/>
        </w:rPr>
        <w:t xml:space="preserve"> support the revision of</w:t>
      </w:r>
      <w:r w:rsidR="00953C44" w:rsidRPr="00C80641">
        <w:rPr>
          <w:rFonts w:ascii="Arial" w:hAnsi="Arial" w:cs="Arial"/>
        </w:rPr>
        <w:t xml:space="preserve"> the PM standards in the </w:t>
      </w:r>
      <w:r w:rsidR="00EF24F8" w:rsidRPr="00C80641">
        <w:rPr>
          <w:rFonts w:ascii="Arial" w:hAnsi="Arial" w:cs="Arial"/>
        </w:rPr>
        <w:t>AAQ NEPM</w:t>
      </w:r>
      <w:r w:rsidR="00953C44" w:rsidRPr="00C80641">
        <w:rPr>
          <w:rFonts w:ascii="Arial" w:hAnsi="Arial" w:cs="Arial"/>
        </w:rPr>
        <w:t xml:space="preserve">. </w:t>
      </w:r>
      <w:r w:rsidR="00292CEB" w:rsidRPr="00C80641">
        <w:rPr>
          <w:rFonts w:ascii="Arial" w:hAnsi="Arial" w:cs="Arial"/>
        </w:rPr>
        <w:t xml:space="preserve">This advice is provided in </w:t>
      </w:r>
      <w:r w:rsidR="0016103C" w:rsidRPr="00C80641">
        <w:rPr>
          <w:rFonts w:ascii="Arial" w:hAnsi="Arial" w:cs="Arial"/>
          <w:b/>
        </w:rPr>
        <w:t>Appendix C</w:t>
      </w:r>
      <w:r w:rsidR="00292CEB" w:rsidRPr="00C80641">
        <w:rPr>
          <w:rFonts w:ascii="Arial" w:hAnsi="Arial" w:cs="Arial"/>
        </w:rPr>
        <w:t xml:space="preserve">. </w:t>
      </w:r>
      <w:r w:rsidR="00953C44" w:rsidRPr="00C80641">
        <w:rPr>
          <w:rFonts w:ascii="Arial" w:hAnsi="Arial" w:cs="Arial"/>
        </w:rPr>
        <w:t xml:space="preserve">The main </w:t>
      </w:r>
      <w:proofErr w:type="spellStart"/>
      <w:r w:rsidR="00292CEB" w:rsidRPr="00C80641">
        <w:rPr>
          <w:rFonts w:ascii="Arial" w:hAnsi="Arial" w:cs="Arial"/>
        </w:rPr>
        <w:t>enHealth</w:t>
      </w:r>
      <w:proofErr w:type="spellEnd"/>
      <w:r w:rsidR="00292CEB" w:rsidRPr="00C80641">
        <w:rPr>
          <w:rFonts w:ascii="Arial" w:hAnsi="Arial" w:cs="Arial"/>
        </w:rPr>
        <w:t xml:space="preserve"> </w:t>
      </w:r>
      <w:r w:rsidR="00953C44" w:rsidRPr="00C80641">
        <w:rPr>
          <w:rFonts w:ascii="Arial" w:hAnsi="Arial" w:cs="Arial"/>
        </w:rPr>
        <w:t>recommendati</w:t>
      </w:r>
      <w:r w:rsidR="00266305" w:rsidRPr="00C80641">
        <w:rPr>
          <w:rFonts w:ascii="Arial" w:hAnsi="Arial" w:cs="Arial"/>
        </w:rPr>
        <w:t>ons a</w:t>
      </w:r>
      <w:r w:rsidR="00953C44" w:rsidRPr="00C80641">
        <w:rPr>
          <w:rFonts w:ascii="Arial" w:hAnsi="Arial" w:cs="Arial"/>
        </w:rPr>
        <w:t>re as follows:</w:t>
      </w:r>
      <w:r w:rsidR="00BD6432" w:rsidRPr="00C80641">
        <w:rPr>
          <w:rFonts w:ascii="Arial" w:hAnsi="Arial" w:cs="Arial"/>
        </w:rPr>
        <w:t xml:space="preserve"> </w:t>
      </w:r>
    </w:p>
    <w:p w:rsidR="00FA56A6" w:rsidRPr="00C80641" w:rsidRDefault="00FA56A6" w:rsidP="00CD20B5">
      <w:pPr>
        <w:pStyle w:val="BulletArrows"/>
        <w:numPr>
          <w:ilvl w:val="0"/>
          <w:numId w:val="76"/>
        </w:numPr>
        <w:spacing w:after="220"/>
        <w:rPr>
          <w:rFonts w:ascii="Arial" w:hAnsi="Arial"/>
        </w:rPr>
      </w:pPr>
      <w:r w:rsidRPr="00C80641">
        <w:rPr>
          <w:rFonts w:ascii="Arial" w:hAnsi="Arial"/>
        </w:rPr>
        <w:t>Given the clear evidence that long-term and short-term exposure to PM</w:t>
      </w:r>
      <w:r w:rsidRPr="00C80641">
        <w:rPr>
          <w:rFonts w:ascii="Arial" w:hAnsi="Arial"/>
          <w:vertAlign w:val="subscript"/>
        </w:rPr>
        <w:t>2.5</w:t>
      </w:r>
      <w:r w:rsidRPr="00C80641">
        <w:rPr>
          <w:rFonts w:ascii="Arial" w:hAnsi="Arial"/>
        </w:rPr>
        <w:t xml:space="preserve"> causes adverse health eff</w:t>
      </w:r>
      <w:r w:rsidR="00473B18" w:rsidRPr="00C80641">
        <w:rPr>
          <w:rFonts w:ascii="Arial" w:hAnsi="Arial"/>
        </w:rPr>
        <w:t>e</w:t>
      </w:r>
      <w:r w:rsidR="00266305" w:rsidRPr="00C80641">
        <w:rPr>
          <w:rFonts w:ascii="Arial" w:hAnsi="Arial"/>
        </w:rPr>
        <w:t xml:space="preserve">cts, </w:t>
      </w:r>
      <w:proofErr w:type="spellStart"/>
      <w:r w:rsidR="00266305" w:rsidRPr="00C80641">
        <w:rPr>
          <w:rFonts w:ascii="Arial" w:hAnsi="Arial"/>
        </w:rPr>
        <w:t>enHealth</w:t>
      </w:r>
      <w:proofErr w:type="spellEnd"/>
      <w:r w:rsidR="00266305" w:rsidRPr="00C80641">
        <w:rPr>
          <w:rFonts w:ascii="Arial" w:hAnsi="Arial"/>
        </w:rPr>
        <w:t xml:space="preserve"> strongly supports</w:t>
      </w:r>
      <w:r w:rsidRPr="00C80641">
        <w:rPr>
          <w:rFonts w:ascii="Arial" w:hAnsi="Arial"/>
        </w:rPr>
        <w:t xml:space="preserve"> the proposal to introduce </w:t>
      </w:r>
      <w:r w:rsidR="0087080F" w:rsidRPr="00C80641">
        <w:rPr>
          <w:rFonts w:ascii="Arial" w:hAnsi="Arial"/>
        </w:rPr>
        <w:t xml:space="preserve">formal </w:t>
      </w:r>
      <w:r w:rsidR="00B83363" w:rsidRPr="00C80641">
        <w:rPr>
          <w:rFonts w:ascii="Arial" w:hAnsi="Arial"/>
        </w:rPr>
        <w:t xml:space="preserve">national </w:t>
      </w:r>
      <w:r w:rsidRPr="00C80641">
        <w:rPr>
          <w:rFonts w:ascii="Arial" w:hAnsi="Arial"/>
        </w:rPr>
        <w:t>stand</w:t>
      </w:r>
      <w:r w:rsidR="00953C44" w:rsidRPr="00C80641">
        <w:rPr>
          <w:rFonts w:ascii="Arial" w:hAnsi="Arial"/>
        </w:rPr>
        <w:t>ards for annual average and 24-hour</w:t>
      </w:r>
      <w:r w:rsidRPr="00C80641">
        <w:rPr>
          <w:rFonts w:ascii="Arial" w:hAnsi="Arial"/>
        </w:rPr>
        <w:t xml:space="preserve"> average PM</w:t>
      </w:r>
      <w:r w:rsidRPr="00C80641">
        <w:rPr>
          <w:rFonts w:ascii="Arial" w:hAnsi="Arial"/>
          <w:vertAlign w:val="subscript"/>
        </w:rPr>
        <w:t>2.5</w:t>
      </w:r>
      <w:r w:rsidRPr="00C80641">
        <w:rPr>
          <w:rFonts w:ascii="Arial" w:hAnsi="Arial"/>
        </w:rPr>
        <w:t xml:space="preserve"> concentrations.</w:t>
      </w:r>
    </w:p>
    <w:p w:rsidR="00FA56A6" w:rsidRPr="00C80641" w:rsidRDefault="00FA56A6" w:rsidP="00CD20B5">
      <w:pPr>
        <w:pStyle w:val="BulletArrows"/>
        <w:numPr>
          <w:ilvl w:val="0"/>
          <w:numId w:val="76"/>
        </w:numPr>
        <w:spacing w:after="220"/>
        <w:rPr>
          <w:rFonts w:ascii="Arial" w:hAnsi="Arial"/>
        </w:rPr>
      </w:pPr>
      <w:r w:rsidRPr="00C80641">
        <w:rPr>
          <w:rFonts w:ascii="Arial" w:hAnsi="Arial"/>
        </w:rPr>
        <w:t>In light of the increasing evidence that short-term exposure to PM</w:t>
      </w:r>
      <w:r w:rsidRPr="00C80641">
        <w:rPr>
          <w:rFonts w:ascii="Arial" w:hAnsi="Arial"/>
          <w:vertAlign w:val="subscript"/>
        </w:rPr>
        <w:t>10</w:t>
      </w:r>
      <w:r w:rsidRPr="00C80641">
        <w:rPr>
          <w:rFonts w:ascii="Arial" w:hAnsi="Arial"/>
        </w:rPr>
        <w:t xml:space="preserve"> is independently associated with health effect</w:t>
      </w:r>
      <w:r w:rsidR="00266305" w:rsidRPr="00C80641">
        <w:rPr>
          <w:rFonts w:ascii="Arial" w:hAnsi="Arial"/>
        </w:rPr>
        <w:t xml:space="preserve">s, </w:t>
      </w:r>
      <w:proofErr w:type="spellStart"/>
      <w:r w:rsidR="00266305" w:rsidRPr="00C80641">
        <w:rPr>
          <w:rFonts w:ascii="Arial" w:hAnsi="Arial"/>
        </w:rPr>
        <w:t>enHealth</w:t>
      </w:r>
      <w:proofErr w:type="spellEnd"/>
      <w:r w:rsidR="00266305" w:rsidRPr="00C80641">
        <w:rPr>
          <w:rFonts w:ascii="Arial" w:hAnsi="Arial"/>
        </w:rPr>
        <w:t xml:space="preserve"> supports</w:t>
      </w:r>
      <w:r w:rsidR="00953C44" w:rsidRPr="00C80641">
        <w:rPr>
          <w:rFonts w:ascii="Arial" w:hAnsi="Arial"/>
        </w:rPr>
        <w:t xml:space="preserve"> a</w:t>
      </w:r>
      <w:r w:rsidR="0087080F" w:rsidRPr="00C80641">
        <w:rPr>
          <w:rFonts w:ascii="Arial" w:hAnsi="Arial"/>
        </w:rPr>
        <w:t xml:space="preserve"> formal </w:t>
      </w:r>
      <w:r w:rsidR="00953C44" w:rsidRPr="00C80641">
        <w:rPr>
          <w:rFonts w:ascii="Arial" w:hAnsi="Arial"/>
        </w:rPr>
        <w:t>24-hour</w:t>
      </w:r>
      <w:r w:rsidR="0087080F" w:rsidRPr="00C80641">
        <w:rPr>
          <w:rFonts w:ascii="Arial" w:hAnsi="Arial"/>
        </w:rPr>
        <w:t xml:space="preserve"> </w:t>
      </w:r>
      <w:r w:rsidRPr="00C80641">
        <w:rPr>
          <w:rFonts w:ascii="Arial" w:hAnsi="Arial"/>
        </w:rPr>
        <w:t>standard for PM</w:t>
      </w:r>
      <w:r w:rsidRPr="00C80641">
        <w:rPr>
          <w:rFonts w:ascii="Arial" w:hAnsi="Arial"/>
          <w:vertAlign w:val="subscript"/>
        </w:rPr>
        <w:t>10</w:t>
      </w:r>
      <w:r w:rsidRPr="00C80641">
        <w:rPr>
          <w:rFonts w:ascii="Arial" w:hAnsi="Arial"/>
        </w:rPr>
        <w:t>.</w:t>
      </w:r>
    </w:p>
    <w:p w:rsidR="00FA56A6" w:rsidRPr="00C80641" w:rsidRDefault="00FA56A6" w:rsidP="00CD20B5">
      <w:pPr>
        <w:pStyle w:val="BulletArrows"/>
        <w:numPr>
          <w:ilvl w:val="0"/>
          <w:numId w:val="76"/>
        </w:numPr>
        <w:spacing w:after="240"/>
        <w:rPr>
          <w:rFonts w:ascii="Arial" w:hAnsi="Arial"/>
        </w:rPr>
      </w:pPr>
      <w:r w:rsidRPr="00C80641">
        <w:rPr>
          <w:rFonts w:ascii="Arial" w:hAnsi="Arial"/>
        </w:rPr>
        <w:t>While there is less certainty around the health effects of long-term exposure to PM</w:t>
      </w:r>
      <w:r w:rsidRPr="00C80641">
        <w:rPr>
          <w:rFonts w:ascii="Arial" w:hAnsi="Arial"/>
          <w:vertAlign w:val="subscript"/>
        </w:rPr>
        <w:t>10</w:t>
      </w:r>
      <w:r w:rsidR="00B83363" w:rsidRPr="00C80641">
        <w:rPr>
          <w:rFonts w:ascii="Arial" w:hAnsi="Arial"/>
        </w:rPr>
        <w:t xml:space="preserve">, </w:t>
      </w:r>
      <w:proofErr w:type="spellStart"/>
      <w:r w:rsidR="00B83363" w:rsidRPr="00C80641">
        <w:rPr>
          <w:rFonts w:ascii="Arial" w:hAnsi="Arial"/>
        </w:rPr>
        <w:t>enHealth</w:t>
      </w:r>
      <w:proofErr w:type="spellEnd"/>
      <w:r w:rsidR="00B83363" w:rsidRPr="00C80641">
        <w:rPr>
          <w:rFonts w:ascii="Arial" w:hAnsi="Arial"/>
        </w:rPr>
        <w:t xml:space="preserve"> considers</w:t>
      </w:r>
      <w:r w:rsidRPr="00C80641">
        <w:rPr>
          <w:rFonts w:ascii="Arial" w:hAnsi="Arial"/>
        </w:rPr>
        <w:t xml:space="preserve"> that </w:t>
      </w:r>
      <w:r w:rsidR="00B83363" w:rsidRPr="00C80641">
        <w:rPr>
          <w:rFonts w:ascii="Arial" w:hAnsi="Arial"/>
        </w:rPr>
        <w:t xml:space="preserve">the </w:t>
      </w:r>
      <w:r w:rsidRPr="00C80641">
        <w:rPr>
          <w:rFonts w:ascii="Arial" w:hAnsi="Arial"/>
        </w:rPr>
        <w:t>introduction of a long-term PM</w:t>
      </w:r>
      <w:r w:rsidRPr="00C80641">
        <w:rPr>
          <w:rFonts w:ascii="Arial" w:hAnsi="Arial"/>
          <w:vertAlign w:val="subscript"/>
        </w:rPr>
        <w:t>10</w:t>
      </w:r>
      <w:r w:rsidRPr="00C80641">
        <w:rPr>
          <w:rFonts w:ascii="Arial" w:hAnsi="Arial"/>
        </w:rPr>
        <w:t xml:space="preserve"> standard would </w:t>
      </w:r>
      <w:r w:rsidR="00B153F9" w:rsidRPr="00C80641">
        <w:rPr>
          <w:rFonts w:ascii="Arial" w:hAnsi="Arial"/>
        </w:rPr>
        <w:t xml:space="preserve">be </w:t>
      </w:r>
      <w:r w:rsidRPr="00C80641">
        <w:rPr>
          <w:rFonts w:ascii="Arial" w:hAnsi="Arial"/>
        </w:rPr>
        <w:t xml:space="preserve">prudent, given </w:t>
      </w:r>
      <w:r w:rsidR="00953C44" w:rsidRPr="00C80641">
        <w:rPr>
          <w:rFonts w:ascii="Arial" w:hAnsi="Arial"/>
        </w:rPr>
        <w:t>(</w:t>
      </w:r>
      <w:r w:rsidRPr="00C80641">
        <w:rPr>
          <w:rFonts w:ascii="Arial" w:hAnsi="Arial"/>
        </w:rPr>
        <w:t xml:space="preserve">a) the increasing evidence in this area, </w:t>
      </w:r>
      <w:r w:rsidR="00953C44" w:rsidRPr="00C80641">
        <w:rPr>
          <w:rFonts w:ascii="Arial" w:hAnsi="Arial"/>
        </w:rPr>
        <w:t>(</w:t>
      </w:r>
      <w:r w:rsidRPr="00C80641">
        <w:rPr>
          <w:rFonts w:ascii="Arial" w:hAnsi="Arial"/>
        </w:rPr>
        <w:t>b) the uncertainty that all health effects would be eliminated by controlling PM</w:t>
      </w:r>
      <w:r w:rsidRPr="00C80641">
        <w:rPr>
          <w:rFonts w:ascii="Arial" w:hAnsi="Arial"/>
          <w:vertAlign w:val="subscript"/>
        </w:rPr>
        <w:t>2.5</w:t>
      </w:r>
      <w:r w:rsidRPr="00C80641">
        <w:rPr>
          <w:rFonts w:ascii="Arial" w:hAnsi="Arial"/>
        </w:rPr>
        <w:t xml:space="preserve"> only, and</w:t>
      </w:r>
      <w:r w:rsidR="00953C44" w:rsidRPr="00C80641">
        <w:rPr>
          <w:rFonts w:ascii="Arial" w:hAnsi="Arial"/>
        </w:rPr>
        <w:t xml:space="preserve"> (</w:t>
      </w:r>
      <w:r w:rsidRPr="00C80641">
        <w:rPr>
          <w:rFonts w:ascii="Arial" w:hAnsi="Arial"/>
        </w:rPr>
        <w:t>c) the currently sparse nature</w:t>
      </w:r>
      <w:r w:rsidR="00473B18" w:rsidRPr="00C80641">
        <w:rPr>
          <w:rFonts w:ascii="Arial" w:hAnsi="Arial"/>
        </w:rPr>
        <w:t xml:space="preserve"> of</w:t>
      </w:r>
      <w:r w:rsidRPr="00C80641">
        <w:rPr>
          <w:rFonts w:ascii="Arial" w:hAnsi="Arial"/>
        </w:rPr>
        <w:t xml:space="preserve"> PM</w:t>
      </w:r>
      <w:r w:rsidRPr="00C80641">
        <w:rPr>
          <w:rFonts w:ascii="Arial" w:hAnsi="Arial"/>
          <w:vertAlign w:val="subscript"/>
        </w:rPr>
        <w:t>2.5</w:t>
      </w:r>
      <w:r w:rsidRPr="00C80641">
        <w:rPr>
          <w:rFonts w:ascii="Arial" w:hAnsi="Arial"/>
        </w:rPr>
        <w:t xml:space="preserve"> monitoring in Australia.</w:t>
      </w:r>
    </w:p>
    <w:p w:rsidR="0072770C" w:rsidRPr="00C80641" w:rsidRDefault="0072770C" w:rsidP="0063196C">
      <w:pPr>
        <w:pStyle w:val="BulletArrows"/>
        <w:spacing w:after="200"/>
        <w:rPr>
          <w:rFonts w:ascii="Arial" w:hAnsi="Arial"/>
        </w:rPr>
      </w:pPr>
      <w:r w:rsidRPr="00C80641">
        <w:rPr>
          <w:rFonts w:ascii="Arial" w:hAnsi="Arial"/>
        </w:rPr>
        <w:t xml:space="preserve">The </w:t>
      </w:r>
      <w:r w:rsidR="00EF24F8" w:rsidRPr="00C80641">
        <w:rPr>
          <w:rFonts w:ascii="Arial" w:hAnsi="Arial"/>
        </w:rPr>
        <w:t>AAQ NEPM</w:t>
      </w:r>
      <w:r w:rsidRPr="00C80641">
        <w:rPr>
          <w:rFonts w:ascii="Arial" w:hAnsi="Arial"/>
        </w:rPr>
        <w:t xml:space="preserve"> review noted that there are no routine monitoring data in Australia that could be used for epidemiological studies of ultrafine particles, or to set standards for such particles </w:t>
      </w:r>
      <w:r w:rsidRPr="00C80641">
        <w:rPr>
          <w:rFonts w:ascii="Arial" w:hAnsi="Arial"/>
          <w:b/>
        </w:rPr>
        <w:t>(NEPC 2011a)</w:t>
      </w:r>
      <w:r w:rsidRPr="00C80641">
        <w:rPr>
          <w:rFonts w:ascii="Arial" w:hAnsi="Arial"/>
        </w:rPr>
        <w:t>.</w:t>
      </w:r>
      <w:r w:rsidR="004B4989" w:rsidRPr="00C80641">
        <w:rPr>
          <w:rFonts w:ascii="Arial" w:hAnsi="Arial"/>
        </w:rPr>
        <w:t xml:space="preserve"> </w:t>
      </w:r>
      <w:r w:rsidRPr="00C80641">
        <w:rPr>
          <w:rFonts w:ascii="Arial" w:hAnsi="Arial"/>
        </w:rPr>
        <w:t>Similarly, there are no Australian health studies for the coarse PM size fraction (PM</w:t>
      </w:r>
      <w:r w:rsidRPr="00C80641">
        <w:rPr>
          <w:rFonts w:ascii="Arial" w:hAnsi="Arial"/>
          <w:vertAlign w:val="subscript"/>
        </w:rPr>
        <w:t>2.5</w:t>
      </w:r>
      <w:r w:rsidR="00FC7D4A" w:rsidRPr="00C80641">
        <w:rPr>
          <w:rFonts w:ascii="Arial" w:hAnsi="Arial"/>
          <w:vertAlign w:val="subscript"/>
        </w:rPr>
        <w:t>–</w:t>
      </w:r>
      <w:r w:rsidRPr="00C80641">
        <w:rPr>
          <w:rFonts w:ascii="Arial" w:hAnsi="Arial"/>
          <w:vertAlign w:val="subscript"/>
        </w:rPr>
        <w:t>10</w:t>
      </w:r>
      <w:r w:rsidRPr="00C80641">
        <w:rPr>
          <w:rFonts w:ascii="Arial" w:hAnsi="Arial"/>
        </w:rPr>
        <w:t>), and very few monitoring data to support the setting of standards for individual PM components.</w:t>
      </w:r>
    </w:p>
    <w:p w:rsidR="008001CB" w:rsidRPr="00C80641" w:rsidRDefault="008001CB" w:rsidP="00FA4C0F">
      <w:pPr>
        <w:pStyle w:val="Heading2"/>
        <w:rPr>
          <w:rFonts w:ascii="Arial" w:hAnsi="Arial"/>
        </w:rPr>
      </w:pPr>
      <w:bookmarkStart w:id="31" w:name="_Toc394011086"/>
      <w:r w:rsidRPr="00C80641">
        <w:rPr>
          <w:rFonts w:ascii="Arial" w:hAnsi="Arial"/>
        </w:rPr>
        <w:t>Other e</w:t>
      </w:r>
      <w:r w:rsidR="008279FF" w:rsidRPr="00C80641">
        <w:rPr>
          <w:rFonts w:ascii="Arial" w:hAnsi="Arial"/>
        </w:rPr>
        <w:t>ffects</w:t>
      </w:r>
      <w:bookmarkEnd w:id="31"/>
      <w:r w:rsidR="008279FF" w:rsidRPr="00C80641">
        <w:rPr>
          <w:rFonts w:ascii="Arial" w:hAnsi="Arial"/>
        </w:rPr>
        <w:t xml:space="preserve"> </w:t>
      </w:r>
    </w:p>
    <w:p w:rsidR="00885E60" w:rsidRPr="00C80641" w:rsidRDefault="008001CB" w:rsidP="0063196C">
      <w:pPr>
        <w:pStyle w:val="Heading3"/>
        <w:spacing w:after="200"/>
        <w:rPr>
          <w:rFonts w:ascii="Arial" w:hAnsi="Arial"/>
        </w:rPr>
      </w:pPr>
      <w:bookmarkStart w:id="32" w:name="_Toc394011087"/>
      <w:r w:rsidRPr="00C80641">
        <w:rPr>
          <w:rFonts w:ascii="Arial" w:hAnsi="Arial"/>
        </w:rPr>
        <w:t>E</w:t>
      </w:r>
      <w:r w:rsidR="008279FF" w:rsidRPr="00C80641">
        <w:rPr>
          <w:rFonts w:ascii="Arial" w:hAnsi="Arial"/>
        </w:rPr>
        <w:t>cosystems</w:t>
      </w:r>
      <w:bookmarkEnd w:id="32"/>
    </w:p>
    <w:p w:rsidR="00E25CD9" w:rsidRPr="00C80641" w:rsidRDefault="006E4833" w:rsidP="0063196C">
      <w:pPr>
        <w:pStyle w:val="BulletArrows"/>
        <w:spacing w:after="200"/>
        <w:rPr>
          <w:rFonts w:ascii="Arial" w:hAnsi="Arial"/>
        </w:rPr>
      </w:pPr>
      <w:r w:rsidRPr="00C80641">
        <w:rPr>
          <w:rFonts w:ascii="Arial" w:hAnsi="Arial"/>
          <w:b/>
          <w:color w:val="auto"/>
        </w:rPr>
        <w:t>AQEG (2012)</w:t>
      </w:r>
      <w:r w:rsidR="004C54FE" w:rsidRPr="00C80641">
        <w:rPr>
          <w:rFonts w:ascii="Arial" w:hAnsi="Arial"/>
          <w:color w:val="auto"/>
        </w:rPr>
        <w:t xml:space="preserve"> obs</w:t>
      </w:r>
      <w:r w:rsidR="004C54FE" w:rsidRPr="00C80641">
        <w:rPr>
          <w:rFonts w:ascii="Arial" w:hAnsi="Arial"/>
        </w:rPr>
        <w:t>erved</w:t>
      </w:r>
      <w:r w:rsidR="00DC2CF5" w:rsidRPr="00C80641">
        <w:rPr>
          <w:rFonts w:ascii="Arial" w:hAnsi="Arial"/>
        </w:rPr>
        <w:t xml:space="preserve"> that </w:t>
      </w:r>
      <w:r w:rsidR="00E25CD9" w:rsidRPr="00C80641">
        <w:rPr>
          <w:rFonts w:ascii="Arial" w:hAnsi="Arial"/>
        </w:rPr>
        <w:t>PM</w:t>
      </w:r>
      <w:r w:rsidR="00E25CD9" w:rsidRPr="00C80641">
        <w:rPr>
          <w:rFonts w:ascii="Arial" w:hAnsi="Arial"/>
          <w:sz w:val="15"/>
          <w:szCs w:val="15"/>
        </w:rPr>
        <w:t xml:space="preserve"> </w:t>
      </w:r>
      <w:r w:rsidR="00E25CD9" w:rsidRPr="00C80641">
        <w:rPr>
          <w:rFonts w:ascii="Arial" w:hAnsi="Arial"/>
        </w:rPr>
        <w:t xml:space="preserve">may have both direct and </w:t>
      </w:r>
      <w:r w:rsidR="005873E4" w:rsidRPr="00C80641">
        <w:rPr>
          <w:rFonts w:ascii="Arial" w:hAnsi="Arial"/>
        </w:rPr>
        <w:t xml:space="preserve">indirect effects on ecosystems. There appear to be few direct effects of dry particles on vegetation except where leaf surfaces are covered by dust </w:t>
      </w:r>
      <w:r w:rsidR="00DD5946" w:rsidRPr="00C80641">
        <w:rPr>
          <w:rFonts w:ascii="Arial" w:hAnsi="Arial"/>
        </w:rPr>
        <w:t>(</w:t>
      </w:r>
      <w:r w:rsidR="009334F4" w:rsidRPr="00C80641">
        <w:rPr>
          <w:rFonts w:ascii="Arial" w:hAnsi="Arial"/>
        </w:rPr>
        <w:t>e.g.</w:t>
      </w:r>
      <w:r w:rsidR="00DD5946" w:rsidRPr="00C80641">
        <w:rPr>
          <w:rFonts w:ascii="Arial" w:hAnsi="Arial"/>
        </w:rPr>
        <w:t xml:space="preserve"> </w:t>
      </w:r>
      <w:r w:rsidR="005873E4" w:rsidRPr="00C80641">
        <w:rPr>
          <w:rFonts w:ascii="Arial" w:hAnsi="Arial"/>
        </w:rPr>
        <w:t xml:space="preserve">from industrial or agricultural activity), </w:t>
      </w:r>
      <w:r w:rsidR="00E344DB" w:rsidRPr="00C80641">
        <w:rPr>
          <w:rFonts w:ascii="Arial" w:hAnsi="Arial"/>
        </w:rPr>
        <w:t xml:space="preserve">but </w:t>
      </w:r>
      <w:r w:rsidR="00445997" w:rsidRPr="00C80641">
        <w:rPr>
          <w:rFonts w:ascii="Arial" w:hAnsi="Arial"/>
        </w:rPr>
        <w:t>hygroscopic particles</w:t>
      </w:r>
      <w:r w:rsidR="00E25CD9" w:rsidRPr="00C80641">
        <w:rPr>
          <w:rFonts w:ascii="Arial" w:hAnsi="Arial"/>
        </w:rPr>
        <w:t xml:space="preserve"> deposited on leaf surfaces enable the efficient bi-directional transport of water and solutes between </w:t>
      </w:r>
      <w:r w:rsidR="005873E4" w:rsidRPr="00C80641">
        <w:rPr>
          <w:rFonts w:ascii="Arial" w:hAnsi="Arial"/>
        </w:rPr>
        <w:t xml:space="preserve">the </w:t>
      </w:r>
      <w:r w:rsidR="00E25CD9" w:rsidRPr="00C80641">
        <w:rPr>
          <w:rFonts w:ascii="Arial" w:hAnsi="Arial"/>
        </w:rPr>
        <w:t xml:space="preserve">leaf interior and </w:t>
      </w:r>
      <w:r w:rsidR="005873E4" w:rsidRPr="00C80641">
        <w:rPr>
          <w:rFonts w:ascii="Arial" w:hAnsi="Arial"/>
        </w:rPr>
        <w:t xml:space="preserve">the </w:t>
      </w:r>
      <w:r w:rsidR="00E25CD9" w:rsidRPr="00C80641">
        <w:rPr>
          <w:rFonts w:ascii="Arial" w:hAnsi="Arial"/>
        </w:rPr>
        <w:t xml:space="preserve">leaf surface. </w:t>
      </w:r>
      <w:r w:rsidR="005873E4" w:rsidRPr="00C80641">
        <w:rPr>
          <w:rFonts w:ascii="Arial" w:hAnsi="Arial"/>
        </w:rPr>
        <w:t>L</w:t>
      </w:r>
      <w:r w:rsidR="00E25CD9" w:rsidRPr="00C80641">
        <w:rPr>
          <w:rFonts w:ascii="Arial" w:hAnsi="Arial"/>
        </w:rPr>
        <w:t>arge acc</w:t>
      </w:r>
      <w:r w:rsidR="005873E4" w:rsidRPr="00C80641">
        <w:rPr>
          <w:rFonts w:ascii="Arial" w:hAnsi="Arial"/>
        </w:rPr>
        <w:t xml:space="preserve">umulations of particles on leaves may affect the </w:t>
      </w:r>
      <w:r w:rsidR="00E25CD9" w:rsidRPr="00C80641">
        <w:rPr>
          <w:rFonts w:ascii="Arial" w:hAnsi="Arial"/>
        </w:rPr>
        <w:t xml:space="preserve">drought tolerance of trees, </w:t>
      </w:r>
      <w:r w:rsidR="005873E4" w:rsidRPr="00C80641">
        <w:rPr>
          <w:rFonts w:ascii="Arial" w:hAnsi="Arial"/>
        </w:rPr>
        <w:t xml:space="preserve">potentially </w:t>
      </w:r>
      <w:r w:rsidR="00E25CD9" w:rsidRPr="00C80641">
        <w:rPr>
          <w:rFonts w:ascii="Arial" w:hAnsi="Arial"/>
        </w:rPr>
        <w:t>le</w:t>
      </w:r>
      <w:r w:rsidR="005873E4" w:rsidRPr="00C80641">
        <w:rPr>
          <w:rFonts w:ascii="Arial" w:hAnsi="Arial"/>
        </w:rPr>
        <w:t xml:space="preserve">ading to regional tree dieback. </w:t>
      </w:r>
      <w:r w:rsidR="00E344DB" w:rsidRPr="00C80641">
        <w:rPr>
          <w:rFonts w:ascii="Arial" w:hAnsi="Arial"/>
        </w:rPr>
        <w:t>However, t</w:t>
      </w:r>
      <w:r w:rsidR="005873E4" w:rsidRPr="00C80641">
        <w:rPr>
          <w:rFonts w:ascii="Arial" w:hAnsi="Arial"/>
        </w:rPr>
        <w:t xml:space="preserve">he largest effects of </w:t>
      </w:r>
      <w:r w:rsidR="00FC7D4A" w:rsidRPr="00C80641">
        <w:rPr>
          <w:rFonts w:ascii="Arial" w:hAnsi="Arial"/>
        </w:rPr>
        <w:t>human</w:t>
      </w:r>
      <w:r w:rsidR="005873E4" w:rsidRPr="00C80641">
        <w:rPr>
          <w:rFonts w:ascii="Arial" w:hAnsi="Arial"/>
        </w:rPr>
        <w:t xml:space="preserve">-made aerosols on ecosystems are likely to be indirect. Secondary </w:t>
      </w:r>
      <w:r w:rsidR="005873E4" w:rsidRPr="00C80641">
        <w:rPr>
          <w:rFonts w:ascii="Arial" w:hAnsi="Arial"/>
          <w:szCs w:val="18"/>
        </w:rPr>
        <w:t>PM</w:t>
      </w:r>
      <w:r w:rsidR="005873E4" w:rsidRPr="00C80641">
        <w:rPr>
          <w:rFonts w:ascii="Arial" w:hAnsi="Arial"/>
          <w:szCs w:val="18"/>
          <w:vertAlign w:val="subscript"/>
        </w:rPr>
        <w:t>2.5</w:t>
      </w:r>
      <w:r w:rsidR="005873E4" w:rsidRPr="00C80641">
        <w:rPr>
          <w:rFonts w:ascii="Arial" w:hAnsi="Arial"/>
          <w:sz w:val="15"/>
          <w:szCs w:val="15"/>
        </w:rPr>
        <w:t xml:space="preserve"> </w:t>
      </w:r>
      <w:r w:rsidR="005873E4" w:rsidRPr="00C80641">
        <w:rPr>
          <w:rFonts w:ascii="Arial" w:hAnsi="Arial"/>
        </w:rPr>
        <w:t xml:space="preserve">makes an important contribution to </w:t>
      </w:r>
      <w:r w:rsidR="00E72AA1" w:rsidRPr="00C80641">
        <w:rPr>
          <w:rFonts w:ascii="Arial" w:hAnsi="Arial"/>
        </w:rPr>
        <w:t>sulf</w:t>
      </w:r>
      <w:r w:rsidR="005873E4" w:rsidRPr="00C80641">
        <w:rPr>
          <w:rFonts w:ascii="Arial" w:hAnsi="Arial"/>
        </w:rPr>
        <w:t>ur and nitrogen deposition, leading to the acidification and eutro</w:t>
      </w:r>
      <w:r w:rsidR="008B2591" w:rsidRPr="00C80641">
        <w:rPr>
          <w:rFonts w:ascii="Arial" w:hAnsi="Arial"/>
        </w:rPr>
        <w:t>phication of natural ecosystems</w:t>
      </w:r>
      <w:r w:rsidR="00DD5946" w:rsidRPr="00C80641">
        <w:rPr>
          <w:rFonts w:ascii="Arial" w:hAnsi="Arial"/>
        </w:rPr>
        <w:t>.</w:t>
      </w:r>
    </w:p>
    <w:p w:rsidR="00885E60" w:rsidRPr="00C80641" w:rsidRDefault="00B55BEB" w:rsidP="0063196C">
      <w:pPr>
        <w:pStyle w:val="Heading3"/>
        <w:spacing w:after="200"/>
        <w:rPr>
          <w:rFonts w:ascii="Arial" w:hAnsi="Arial"/>
        </w:rPr>
      </w:pPr>
      <w:bookmarkStart w:id="33" w:name="_Toc394011088"/>
      <w:r w:rsidRPr="00C80641">
        <w:rPr>
          <w:rFonts w:ascii="Arial" w:hAnsi="Arial"/>
        </w:rPr>
        <w:t>PM</w:t>
      </w:r>
      <w:r w:rsidR="00FC7D4A" w:rsidRPr="00C80641">
        <w:rPr>
          <w:rFonts w:ascii="Arial" w:hAnsi="Arial"/>
        </w:rPr>
        <w:t>–</w:t>
      </w:r>
      <w:r w:rsidRPr="00C80641">
        <w:rPr>
          <w:rFonts w:ascii="Arial" w:hAnsi="Arial"/>
        </w:rPr>
        <w:t>climate interactions</w:t>
      </w:r>
      <w:bookmarkEnd w:id="33"/>
    </w:p>
    <w:p w:rsidR="00B55BEB" w:rsidRPr="00C80641" w:rsidRDefault="00FE024F" w:rsidP="0063196C">
      <w:pPr>
        <w:spacing w:after="200"/>
        <w:rPr>
          <w:rFonts w:ascii="Arial" w:hAnsi="Arial" w:cs="Arial"/>
          <w:lang w:eastAsia="en-US"/>
        </w:rPr>
      </w:pPr>
      <w:r w:rsidRPr="00C80641">
        <w:rPr>
          <w:rFonts w:ascii="Arial" w:hAnsi="Arial" w:cs="Arial"/>
          <w:lang w:eastAsia="en-US"/>
        </w:rPr>
        <w:t>The different components of PM have different eff</w:t>
      </w:r>
      <w:r w:rsidR="00E14E70" w:rsidRPr="00C80641">
        <w:rPr>
          <w:rFonts w:ascii="Arial" w:hAnsi="Arial" w:cs="Arial"/>
          <w:lang w:eastAsia="en-US"/>
        </w:rPr>
        <w:t>e</w:t>
      </w:r>
      <w:r w:rsidRPr="00C80641">
        <w:rPr>
          <w:rFonts w:ascii="Arial" w:hAnsi="Arial" w:cs="Arial"/>
          <w:lang w:eastAsia="en-US"/>
        </w:rPr>
        <w:t xml:space="preserve">cts on climate. On the one hand, secondary </w:t>
      </w:r>
      <w:r w:rsidR="00B55BEB" w:rsidRPr="00C80641">
        <w:rPr>
          <w:rFonts w:ascii="Arial" w:hAnsi="Arial" w:cs="Arial"/>
          <w:lang w:eastAsia="en-US"/>
        </w:rPr>
        <w:t>aerosols are reflect</w:t>
      </w:r>
      <w:r w:rsidRPr="00C80641">
        <w:rPr>
          <w:rFonts w:ascii="Arial" w:hAnsi="Arial" w:cs="Arial"/>
          <w:lang w:eastAsia="en-US"/>
        </w:rPr>
        <w:t xml:space="preserve">ive, and the </w:t>
      </w:r>
      <w:r w:rsidR="00B0604E" w:rsidRPr="00C80641">
        <w:rPr>
          <w:rFonts w:ascii="Arial" w:hAnsi="Arial" w:cs="Arial"/>
          <w:lang w:eastAsia="en-US"/>
        </w:rPr>
        <w:t>scatter</w:t>
      </w:r>
      <w:r w:rsidRPr="00C80641">
        <w:rPr>
          <w:rFonts w:ascii="Arial" w:hAnsi="Arial" w:cs="Arial"/>
          <w:lang w:eastAsia="en-US"/>
        </w:rPr>
        <w:t>ing</w:t>
      </w:r>
      <w:r w:rsidR="00B0604E" w:rsidRPr="00C80641">
        <w:rPr>
          <w:rFonts w:ascii="Arial" w:hAnsi="Arial" w:cs="Arial"/>
          <w:lang w:eastAsia="en-US"/>
        </w:rPr>
        <w:t xml:space="preserve"> </w:t>
      </w:r>
      <w:r w:rsidRPr="00C80641">
        <w:rPr>
          <w:rFonts w:ascii="Arial" w:hAnsi="Arial" w:cs="Arial"/>
          <w:lang w:eastAsia="en-US"/>
        </w:rPr>
        <w:t xml:space="preserve">of </w:t>
      </w:r>
      <w:r w:rsidR="00B0604E" w:rsidRPr="00C80641">
        <w:rPr>
          <w:rFonts w:ascii="Arial" w:hAnsi="Arial" w:cs="Arial"/>
          <w:lang w:eastAsia="en-US"/>
        </w:rPr>
        <w:t xml:space="preserve">solar </w:t>
      </w:r>
      <w:r w:rsidR="00B55BEB" w:rsidRPr="00C80641">
        <w:rPr>
          <w:rFonts w:ascii="Arial" w:hAnsi="Arial" w:cs="Arial"/>
          <w:lang w:eastAsia="en-US"/>
        </w:rPr>
        <w:t>ra</w:t>
      </w:r>
      <w:r w:rsidRPr="00C80641">
        <w:rPr>
          <w:rFonts w:ascii="Arial" w:hAnsi="Arial" w:cs="Arial"/>
          <w:lang w:eastAsia="en-US"/>
        </w:rPr>
        <w:t xml:space="preserve">diation has </w:t>
      </w:r>
      <w:r w:rsidR="007A37BC" w:rsidRPr="00C80641">
        <w:rPr>
          <w:rFonts w:ascii="Arial" w:hAnsi="Arial" w:cs="Arial"/>
          <w:lang w:eastAsia="en-US"/>
        </w:rPr>
        <w:t xml:space="preserve">a </w:t>
      </w:r>
      <w:r w:rsidR="00B55BEB" w:rsidRPr="00C80641">
        <w:rPr>
          <w:rFonts w:ascii="Arial" w:hAnsi="Arial" w:cs="Arial"/>
          <w:lang w:eastAsia="en-US"/>
        </w:rPr>
        <w:t>cooli</w:t>
      </w:r>
      <w:r w:rsidR="007A37BC" w:rsidRPr="00C80641">
        <w:rPr>
          <w:rFonts w:ascii="Arial" w:hAnsi="Arial" w:cs="Arial"/>
          <w:lang w:eastAsia="en-US"/>
        </w:rPr>
        <w:t xml:space="preserve">ng </w:t>
      </w:r>
      <w:r w:rsidR="00B0604E" w:rsidRPr="00C80641">
        <w:rPr>
          <w:rFonts w:ascii="Arial" w:hAnsi="Arial" w:cs="Arial"/>
          <w:lang w:eastAsia="en-US"/>
        </w:rPr>
        <w:t xml:space="preserve">effect on </w:t>
      </w:r>
      <w:r w:rsidR="00B55BEB" w:rsidRPr="00C80641">
        <w:rPr>
          <w:rFonts w:ascii="Arial" w:hAnsi="Arial" w:cs="Arial"/>
          <w:lang w:eastAsia="en-US"/>
        </w:rPr>
        <w:t xml:space="preserve">climate. </w:t>
      </w:r>
      <w:r w:rsidR="007A37BC" w:rsidRPr="00C80641">
        <w:rPr>
          <w:rFonts w:ascii="Arial" w:hAnsi="Arial" w:cs="Arial"/>
          <w:lang w:eastAsia="en-US"/>
        </w:rPr>
        <w:t>T</w:t>
      </w:r>
      <w:r w:rsidR="00B55BEB" w:rsidRPr="00C80641">
        <w:rPr>
          <w:rFonts w:ascii="Arial" w:hAnsi="Arial" w:cs="Arial"/>
          <w:lang w:eastAsia="en-US"/>
        </w:rPr>
        <w:t xml:space="preserve">he cooling effects of </w:t>
      </w:r>
      <w:r w:rsidR="00E72AA1" w:rsidRPr="00C80641">
        <w:rPr>
          <w:rFonts w:ascii="Arial" w:hAnsi="Arial" w:cs="Arial"/>
          <w:lang w:eastAsia="en-US"/>
        </w:rPr>
        <w:t>sulf</w:t>
      </w:r>
      <w:r w:rsidR="00B55BEB" w:rsidRPr="00C80641">
        <w:rPr>
          <w:rFonts w:ascii="Arial" w:hAnsi="Arial" w:cs="Arial"/>
          <w:lang w:eastAsia="en-US"/>
        </w:rPr>
        <w:t>ate aerosol may</w:t>
      </w:r>
      <w:r w:rsidR="00B0604E" w:rsidRPr="00C80641">
        <w:rPr>
          <w:rFonts w:ascii="Arial" w:hAnsi="Arial" w:cs="Arial"/>
          <w:lang w:eastAsia="en-US"/>
        </w:rPr>
        <w:t xml:space="preserve"> have partly masked the warming </w:t>
      </w:r>
      <w:r w:rsidR="00B55BEB" w:rsidRPr="00C80641">
        <w:rPr>
          <w:rFonts w:ascii="Arial" w:hAnsi="Arial" w:cs="Arial"/>
          <w:lang w:eastAsia="en-US"/>
        </w:rPr>
        <w:t>effects of greenhouse gases.</w:t>
      </w:r>
      <w:r w:rsidRPr="00C80641">
        <w:rPr>
          <w:rFonts w:ascii="Arial" w:hAnsi="Arial" w:cs="Arial"/>
          <w:lang w:eastAsia="en-US"/>
        </w:rPr>
        <w:t xml:space="preserve"> </w:t>
      </w:r>
      <w:r w:rsidR="00B55BEB" w:rsidRPr="00C80641">
        <w:rPr>
          <w:rFonts w:ascii="Arial" w:hAnsi="Arial" w:cs="Arial"/>
          <w:lang w:eastAsia="en-US"/>
        </w:rPr>
        <w:t>Black carbon</w:t>
      </w:r>
      <w:r w:rsidRPr="00C80641">
        <w:rPr>
          <w:rFonts w:ascii="Arial" w:hAnsi="Arial" w:cs="Arial"/>
          <w:lang w:eastAsia="en-US"/>
        </w:rPr>
        <w:t>, on the other hand,</w:t>
      </w:r>
      <w:r w:rsidR="00B55BEB" w:rsidRPr="00C80641">
        <w:rPr>
          <w:rFonts w:ascii="Arial" w:hAnsi="Arial" w:cs="Arial"/>
          <w:lang w:eastAsia="en-US"/>
        </w:rPr>
        <w:t xml:space="preserve"> absorbs solar radiation and</w:t>
      </w:r>
      <w:r w:rsidRPr="00C80641">
        <w:rPr>
          <w:rFonts w:ascii="Arial" w:hAnsi="Arial" w:cs="Arial"/>
          <w:lang w:eastAsia="en-US"/>
        </w:rPr>
        <w:t xml:space="preserve"> thus e</w:t>
      </w:r>
      <w:r w:rsidR="00B55BEB" w:rsidRPr="00C80641">
        <w:rPr>
          <w:rFonts w:ascii="Arial" w:hAnsi="Arial" w:cs="Arial"/>
          <w:lang w:eastAsia="en-US"/>
        </w:rPr>
        <w:t>xert</w:t>
      </w:r>
      <w:r w:rsidRPr="00C80641">
        <w:rPr>
          <w:rFonts w:ascii="Arial" w:hAnsi="Arial" w:cs="Arial"/>
          <w:lang w:eastAsia="en-US"/>
        </w:rPr>
        <w:t>s</w:t>
      </w:r>
      <w:r w:rsidR="00B55BEB" w:rsidRPr="00C80641">
        <w:rPr>
          <w:rFonts w:ascii="Arial" w:hAnsi="Arial" w:cs="Arial"/>
          <w:lang w:eastAsia="en-US"/>
        </w:rPr>
        <w:t xml:space="preserve"> a</w:t>
      </w:r>
      <w:r w:rsidR="00B0604E" w:rsidRPr="00C80641">
        <w:rPr>
          <w:rFonts w:ascii="Arial" w:hAnsi="Arial" w:cs="Arial"/>
          <w:lang w:eastAsia="en-US"/>
        </w:rPr>
        <w:t xml:space="preserve"> </w:t>
      </w:r>
      <w:r w:rsidR="007A37BC" w:rsidRPr="00C80641">
        <w:rPr>
          <w:rFonts w:ascii="Arial" w:hAnsi="Arial" w:cs="Arial"/>
          <w:lang w:eastAsia="en-US"/>
        </w:rPr>
        <w:t xml:space="preserve">warming </w:t>
      </w:r>
      <w:r w:rsidR="00B55BEB" w:rsidRPr="00C80641">
        <w:rPr>
          <w:rFonts w:ascii="Arial" w:hAnsi="Arial" w:cs="Arial"/>
          <w:lang w:eastAsia="en-US"/>
        </w:rPr>
        <w:t>effect on cli</w:t>
      </w:r>
      <w:r w:rsidR="00B0604E" w:rsidRPr="00C80641">
        <w:rPr>
          <w:rFonts w:ascii="Arial" w:hAnsi="Arial" w:cs="Arial"/>
          <w:lang w:eastAsia="en-US"/>
        </w:rPr>
        <w:t xml:space="preserve">mate. </w:t>
      </w:r>
      <w:r w:rsidR="00B55BEB" w:rsidRPr="00C80641">
        <w:rPr>
          <w:rFonts w:ascii="Arial" w:hAnsi="Arial" w:cs="Arial"/>
          <w:lang w:eastAsia="en-US"/>
        </w:rPr>
        <w:t>Aerosols also act as cloud condensation nuclei, increasing dr</w:t>
      </w:r>
      <w:r w:rsidR="007A37BC" w:rsidRPr="00C80641">
        <w:rPr>
          <w:rFonts w:ascii="Arial" w:hAnsi="Arial" w:cs="Arial"/>
          <w:lang w:eastAsia="en-US"/>
        </w:rPr>
        <w:t>oplet number</w:t>
      </w:r>
      <w:r w:rsidR="00B0604E" w:rsidRPr="00C80641">
        <w:rPr>
          <w:rFonts w:ascii="Arial" w:hAnsi="Arial" w:cs="Arial"/>
          <w:lang w:eastAsia="en-US"/>
        </w:rPr>
        <w:t xml:space="preserve">s and </w:t>
      </w:r>
      <w:r w:rsidR="00B55BEB" w:rsidRPr="00C80641">
        <w:rPr>
          <w:rFonts w:ascii="Arial" w:hAnsi="Arial" w:cs="Arial"/>
          <w:lang w:eastAsia="en-US"/>
        </w:rPr>
        <w:t>decreasing th</w:t>
      </w:r>
      <w:r w:rsidR="007A37BC" w:rsidRPr="00C80641">
        <w:rPr>
          <w:rFonts w:ascii="Arial" w:hAnsi="Arial" w:cs="Arial"/>
          <w:lang w:eastAsia="en-US"/>
        </w:rPr>
        <w:t>e average droplet size</w:t>
      </w:r>
      <w:r w:rsidR="00B55BEB" w:rsidRPr="00C80641">
        <w:rPr>
          <w:rFonts w:ascii="Arial" w:hAnsi="Arial" w:cs="Arial"/>
          <w:lang w:eastAsia="en-US"/>
        </w:rPr>
        <w:t>. T</w:t>
      </w:r>
      <w:r w:rsidR="00B0604E" w:rsidRPr="00C80641">
        <w:rPr>
          <w:rFonts w:ascii="Arial" w:hAnsi="Arial" w:cs="Arial"/>
          <w:lang w:eastAsia="en-US"/>
        </w:rPr>
        <w:t xml:space="preserve">his process affects the ability </w:t>
      </w:r>
      <w:r w:rsidR="00B55BEB" w:rsidRPr="00C80641">
        <w:rPr>
          <w:rFonts w:ascii="Arial" w:hAnsi="Arial" w:cs="Arial"/>
          <w:lang w:eastAsia="en-US"/>
        </w:rPr>
        <w:t>of the clouds to scatter radiation. The precipita</w:t>
      </w:r>
      <w:r w:rsidR="00B0604E" w:rsidRPr="00C80641">
        <w:rPr>
          <w:rFonts w:ascii="Arial" w:hAnsi="Arial" w:cs="Arial"/>
          <w:lang w:eastAsia="en-US"/>
        </w:rPr>
        <w:t xml:space="preserve">tion efficiency from the clouds </w:t>
      </w:r>
      <w:r w:rsidR="00B55BEB" w:rsidRPr="00C80641">
        <w:rPr>
          <w:rFonts w:ascii="Arial" w:hAnsi="Arial" w:cs="Arial"/>
          <w:lang w:eastAsia="en-US"/>
        </w:rPr>
        <w:t>is also reduced, so that their lifetime is increased</w:t>
      </w:r>
      <w:r w:rsidR="00476B47" w:rsidRPr="00C80641">
        <w:rPr>
          <w:rFonts w:ascii="Arial" w:hAnsi="Arial" w:cs="Arial"/>
          <w:lang w:eastAsia="en-US"/>
        </w:rPr>
        <w:t xml:space="preserve">. Overall, aerosols have a </w:t>
      </w:r>
      <w:r w:rsidR="00473B18" w:rsidRPr="00C80641">
        <w:rPr>
          <w:rFonts w:ascii="Arial" w:hAnsi="Arial" w:cs="Arial"/>
          <w:lang w:eastAsia="en-US"/>
        </w:rPr>
        <w:t xml:space="preserve">net </w:t>
      </w:r>
      <w:r w:rsidR="00476B47" w:rsidRPr="00C80641">
        <w:rPr>
          <w:rFonts w:ascii="Arial" w:hAnsi="Arial" w:cs="Arial"/>
          <w:lang w:eastAsia="en-US"/>
        </w:rPr>
        <w:t>cooling effect</w:t>
      </w:r>
      <w:r w:rsidR="007A37BC" w:rsidRPr="00C80641">
        <w:rPr>
          <w:rFonts w:ascii="Arial" w:hAnsi="Arial" w:cs="Arial"/>
          <w:lang w:eastAsia="en-US"/>
        </w:rPr>
        <w:t xml:space="preserve"> but</w:t>
      </w:r>
      <w:r w:rsidR="00B55BEB" w:rsidRPr="00C80641">
        <w:rPr>
          <w:rFonts w:ascii="Arial" w:hAnsi="Arial" w:cs="Arial"/>
          <w:lang w:eastAsia="en-US"/>
        </w:rPr>
        <w:t xml:space="preserve"> its magnitude is highly uncertain</w:t>
      </w:r>
      <w:r w:rsidRPr="00C80641">
        <w:rPr>
          <w:rFonts w:ascii="Arial" w:hAnsi="Arial" w:cs="Arial"/>
          <w:lang w:eastAsia="en-US"/>
        </w:rPr>
        <w:t xml:space="preserve"> </w:t>
      </w:r>
      <w:r w:rsidRPr="00C80641">
        <w:rPr>
          <w:rFonts w:ascii="Arial" w:hAnsi="Arial" w:cs="Arial"/>
          <w:b/>
          <w:lang w:eastAsia="en-US"/>
        </w:rPr>
        <w:t>(AQEG 2012)</w:t>
      </w:r>
      <w:r w:rsidR="00B55BEB" w:rsidRPr="00C80641">
        <w:rPr>
          <w:rFonts w:ascii="Arial" w:hAnsi="Arial" w:cs="Arial"/>
          <w:lang w:eastAsia="en-US"/>
        </w:rPr>
        <w:t>.</w:t>
      </w:r>
      <w:r w:rsidR="007A37BC" w:rsidRPr="00C80641">
        <w:rPr>
          <w:rFonts w:ascii="Arial" w:hAnsi="Arial" w:cs="Arial"/>
          <w:lang w:eastAsia="en-US"/>
        </w:rPr>
        <w:t xml:space="preserve"> The effects of PM on ecosystems describe</w:t>
      </w:r>
      <w:r w:rsidR="00476B47" w:rsidRPr="00C80641">
        <w:rPr>
          <w:rFonts w:ascii="Arial" w:hAnsi="Arial" w:cs="Arial"/>
          <w:lang w:eastAsia="en-US"/>
        </w:rPr>
        <w:t>d</w:t>
      </w:r>
      <w:r w:rsidR="007A37BC" w:rsidRPr="00C80641">
        <w:rPr>
          <w:rFonts w:ascii="Arial" w:hAnsi="Arial" w:cs="Arial"/>
          <w:lang w:eastAsia="en-US"/>
        </w:rPr>
        <w:t xml:space="preserve"> earlier may also indirectly a</w:t>
      </w:r>
      <w:r w:rsidR="00B55BEB" w:rsidRPr="00C80641">
        <w:rPr>
          <w:rFonts w:ascii="Arial" w:hAnsi="Arial" w:cs="Arial"/>
          <w:lang w:eastAsia="en-US"/>
        </w:rPr>
        <w:t>ffe</w:t>
      </w:r>
      <w:r w:rsidR="007A37BC" w:rsidRPr="00C80641">
        <w:rPr>
          <w:rFonts w:ascii="Arial" w:hAnsi="Arial" w:cs="Arial"/>
          <w:lang w:eastAsia="en-US"/>
        </w:rPr>
        <w:t xml:space="preserve">ct </w:t>
      </w:r>
      <w:r w:rsidR="00B0604E" w:rsidRPr="00C80641">
        <w:rPr>
          <w:rFonts w:ascii="Arial" w:hAnsi="Arial" w:cs="Arial"/>
          <w:lang w:eastAsia="en-US"/>
        </w:rPr>
        <w:t xml:space="preserve">concentrations of </w:t>
      </w:r>
      <w:r w:rsidR="008B2591" w:rsidRPr="00C80641">
        <w:rPr>
          <w:rFonts w:ascii="Arial" w:hAnsi="Arial" w:cs="Arial"/>
          <w:lang w:eastAsia="en-US"/>
        </w:rPr>
        <w:t xml:space="preserve">the greenhouse gases </w:t>
      </w:r>
      <w:r w:rsidR="00B0604E" w:rsidRPr="00C80641">
        <w:rPr>
          <w:rFonts w:ascii="Arial" w:hAnsi="Arial" w:cs="Arial"/>
          <w:lang w:eastAsia="en-US"/>
        </w:rPr>
        <w:t xml:space="preserve">carbon </w:t>
      </w:r>
      <w:r w:rsidR="00B55BEB" w:rsidRPr="00C80641">
        <w:rPr>
          <w:rFonts w:ascii="Arial" w:hAnsi="Arial" w:cs="Arial"/>
          <w:lang w:eastAsia="en-US"/>
        </w:rPr>
        <w:t>dioxide and methane</w:t>
      </w:r>
      <w:r w:rsidR="007A37BC" w:rsidRPr="00C80641">
        <w:rPr>
          <w:rFonts w:ascii="Arial" w:hAnsi="Arial" w:cs="Arial"/>
          <w:lang w:eastAsia="en-US"/>
        </w:rPr>
        <w:t>.</w:t>
      </w:r>
    </w:p>
    <w:p w:rsidR="00B55BEB" w:rsidRPr="00C80641" w:rsidRDefault="00C270A1" w:rsidP="0063196C">
      <w:pPr>
        <w:spacing w:after="220"/>
        <w:rPr>
          <w:rFonts w:ascii="Arial" w:hAnsi="Arial" w:cs="Arial"/>
          <w:lang w:eastAsia="en-US"/>
        </w:rPr>
      </w:pPr>
      <w:r w:rsidRPr="00C80641">
        <w:rPr>
          <w:rFonts w:ascii="Arial" w:hAnsi="Arial" w:cs="Arial"/>
          <w:b/>
          <w:lang w:eastAsia="en-US"/>
        </w:rPr>
        <w:t>AQEG (2012)</w:t>
      </w:r>
      <w:r w:rsidRPr="00C80641">
        <w:rPr>
          <w:rFonts w:ascii="Arial" w:hAnsi="Arial" w:cs="Arial"/>
          <w:lang w:eastAsia="en-US"/>
        </w:rPr>
        <w:t xml:space="preserve"> note</w:t>
      </w:r>
      <w:r w:rsidR="00393F9C" w:rsidRPr="00C80641">
        <w:rPr>
          <w:rFonts w:ascii="Arial" w:hAnsi="Arial" w:cs="Arial"/>
          <w:lang w:eastAsia="en-US"/>
        </w:rPr>
        <w:t>s</w:t>
      </w:r>
      <w:r w:rsidRPr="00C80641">
        <w:rPr>
          <w:rFonts w:ascii="Arial" w:hAnsi="Arial" w:cs="Arial"/>
          <w:lang w:eastAsia="en-US"/>
        </w:rPr>
        <w:t xml:space="preserve"> that i</w:t>
      </w:r>
      <w:r w:rsidR="00B55BEB" w:rsidRPr="00C80641">
        <w:rPr>
          <w:rFonts w:ascii="Arial" w:hAnsi="Arial" w:cs="Arial"/>
          <w:lang w:eastAsia="en-US"/>
        </w:rPr>
        <w:t xml:space="preserve">t is difficult to predict the effects of climate </w:t>
      </w:r>
      <w:r w:rsidR="00B0604E" w:rsidRPr="00C80641">
        <w:rPr>
          <w:rFonts w:ascii="Arial" w:hAnsi="Arial" w:cs="Arial"/>
          <w:lang w:eastAsia="en-US"/>
        </w:rPr>
        <w:t xml:space="preserve">change on regional air quality. </w:t>
      </w:r>
      <w:r w:rsidR="00386991" w:rsidRPr="00C80641">
        <w:rPr>
          <w:rFonts w:ascii="Arial" w:hAnsi="Arial" w:cs="Arial"/>
          <w:lang w:eastAsia="en-US"/>
        </w:rPr>
        <w:t>Hot summers</w:t>
      </w:r>
      <w:r w:rsidR="00B55BEB" w:rsidRPr="00C80641">
        <w:rPr>
          <w:rFonts w:ascii="Arial" w:hAnsi="Arial" w:cs="Arial"/>
          <w:lang w:eastAsia="en-US"/>
        </w:rPr>
        <w:t xml:space="preserve"> are likely to become </w:t>
      </w:r>
      <w:r w:rsidR="00386991" w:rsidRPr="00C80641">
        <w:rPr>
          <w:rFonts w:ascii="Arial" w:hAnsi="Arial" w:cs="Arial"/>
          <w:lang w:eastAsia="en-US"/>
        </w:rPr>
        <w:t>more ‘typical’ in the future</w:t>
      </w:r>
      <w:r w:rsidR="00B55BEB" w:rsidRPr="00C80641">
        <w:rPr>
          <w:rFonts w:ascii="Arial" w:hAnsi="Arial" w:cs="Arial"/>
          <w:lang w:eastAsia="en-US"/>
        </w:rPr>
        <w:t xml:space="preserve">, leading to a higher frequency of </w:t>
      </w:r>
      <w:r w:rsidR="00386991" w:rsidRPr="00C80641">
        <w:rPr>
          <w:rFonts w:ascii="Arial" w:hAnsi="Arial" w:cs="Arial"/>
          <w:lang w:eastAsia="en-US"/>
        </w:rPr>
        <w:t>summer pollution episodes. E</w:t>
      </w:r>
      <w:r w:rsidR="00B55BEB" w:rsidRPr="00C80641">
        <w:rPr>
          <w:rFonts w:ascii="Arial" w:hAnsi="Arial" w:cs="Arial"/>
          <w:lang w:eastAsia="en-US"/>
        </w:rPr>
        <w:t>missi</w:t>
      </w:r>
      <w:r w:rsidR="00386991" w:rsidRPr="00C80641">
        <w:rPr>
          <w:rFonts w:ascii="Arial" w:hAnsi="Arial" w:cs="Arial"/>
          <w:lang w:eastAsia="en-US"/>
        </w:rPr>
        <w:t xml:space="preserve">ons of </w:t>
      </w:r>
      <w:r w:rsidR="00266305" w:rsidRPr="00C80641">
        <w:rPr>
          <w:rFonts w:ascii="Arial" w:hAnsi="Arial" w:cs="Arial"/>
          <w:lang w:eastAsia="en-US"/>
        </w:rPr>
        <w:t>volatile organic compounds (</w:t>
      </w:r>
      <w:r w:rsidR="00386991" w:rsidRPr="00C80641">
        <w:rPr>
          <w:rFonts w:ascii="Arial" w:hAnsi="Arial" w:cs="Arial"/>
          <w:lang w:eastAsia="en-US"/>
        </w:rPr>
        <w:t>VOCs</w:t>
      </w:r>
      <w:r w:rsidR="00266305" w:rsidRPr="00C80641">
        <w:rPr>
          <w:rFonts w:ascii="Arial" w:hAnsi="Arial" w:cs="Arial"/>
          <w:lang w:eastAsia="en-US"/>
        </w:rPr>
        <w:t>)</w:t>
      </w:r>
      <w:r w:rsidR="00386991" w:rsidRPr="00C80641">
        <w:rPr>
          <w:rFonts w:ascii="Arial" w:hAnsi="Arial" w:cs="Arial"/>
          <w:lang w:eastAsia="en-US"/>
        </w:rPr>
        <w:t>, which are implicated in secondary PM formation, will also increase at higher temperatures</w:t>
      </w:r>
      <w:r w:rsidR="00B55BEB" w:rsidRPr="00C80641">
        <w:rPr>
          <w:rFonts w:ascii="Arial" w:hAnsi="Arial" w:cs="Arial"/>
          <w:lang w:eastAsia="en-US"/>
        </w:rPr>
        <w:t>.</w:t>
      </w:r>
    </w:p>
    <w:p w:rsidR="008001CB" w:rsidRPr="00C80641" w:rsidRDefault="008001CB" w:rsidP="000F787E">
      <w:pPr>
        <w:pStyle w:val="Heading3"/>
        <w:rPr>
          <w:rFonts w:ascii="Arial" w:hAnsi="Arial"/>
        </w:rPr>
      </w:pPr>
      <w:bookmarkStart w:id="34" w:name="_Toc394011089"/>
      <w:r w:rsidRPr="00C80641">
        <w:rPr>
          <w:rFonts w:ascii="Arial" w:hAnsi="Arial"/>
        </w:rPr>
        <w:lastRenderedPageBreak/>
        <w:t>Visibility</w:t>
      </w:r>
      <w:bookmarkEnd w:id="34"/>
    </w:p>
    <w:p w:rsidR="00251545" w:rsidRPr="00C80641" w:rsidRDefault="004A45E4" w:rsidP="0063196C">
      <w:pPr>
        <w:spacing w:after="220"/>
        <w:rPr>
          <w:rFonts w:ascii="Arial" w:hAnsi="Arial" w:cs="Arial"/>
          <w:lang w:eastAsia="en-US"/>
        </w:rPr>
      </w:pPr>
      <w:r w:rsidRPr="00C80641">
        <w:rPr>
          <w:rFonts w:ascii="Arial" w:hAnsi="Arial" w:cs="Arial"/>
          <w:lang w:eastAsia="en-US"/>
        </w:rPr>
        <w:t>The presence of particle</w:t>
      </w:r>
      <w:r w:rsidR="00AF3A0F" w:rsidRPr="00C80641">
        <w:rPr>
          <w:rFonts w:ascii="Arial" w:hAnsi="Arial" w:cs="Arial"/>
          <w:lang w:eastAsia="en-US"/>
        </w:rPr>
        <w:t>s</w:t>
      </w:r>
      <w:r w:rsidRPr="00C80641">
        <w:rPr>
          <w:rFonts w:ascii="Arial" w:hAnsi="Arial" w:cs="Arial"/>
          <w:lang w:eastAsia="en-US"/>
        </w:rPr>
        <w:t xml:space="preserve"> and gases in the atmosphere is associated with </w:t>
      </w:r>
      <w:r w:rsidR="00251545" w:rsidRPr="00C80641">
        <w:rPr>
          <w:rFonts w:ascii="Arial" w:hAnsi="Arial" w:cs="Arial"/>
          <w:lang w:eastAsia="en-US"/>
        </w:rPr>
        <w:t xml:space="preserve">reduced visibility (often referred to as ‘haze’). </w:t>
      </w:r>
      <w:r w:rsidR="00473B18" w:rsidRPr="00C80641">
        <w:rPr>
          <w:rFonts w:ascii="Arial" w:hAnsi="Arial" w:cs="Arial"/>
          <w:lang w:eastAsia="en-US"/>
        </w:rPr>
        <w:t>This not only reduces amenity</w:t>
      </w:r>
      <w:r w:rsidR="000E017E" w:rsidRPr="00C80641">
        <w:rPr>
          <w:rFonts w:ascii="Arial" w:hAnsi="Arial" w:cs="Arial"/>
          <w:lang w:eastAsia="en-US"/>
        </w:rPr>
        <w:t xml:space="preserve"> but can </w:t>
      </w:r>
      <w:r w:rsidR="00473B18" w:rsidRPr="00C80641">
        <w:rPr>
          <w:rFonts w:ascii="Arial" w:hAnsi="Arial" w:cs="Arial"/>
          <w:lang w:eastAsia="en-US"/>
        </w:rPr>
        <w:t xml:space="preserve">also </w:t>
      </w:r>
      <w:r w:rsidR="000E017E" w:rsidRPr="00C80641">
        <w:rPr>
          <w:rFonts w:ascii="Arial" w:hAnsi="Arial" w:cs="Arial"/>
          <w:lang w:eastAsia="en-US"/>
        </w:rPr>
        <w:t>pose a safety hazard. The public often consider</w:t>
      </w:r>
      <w:r w:rsidR="00476B47" w:rsidRPr="00C80641">
        <w:rPr>
          <w:rFonts w:ascii="Arial" w:hAnsi="Arial" w:cs="Arial"/>
          <w:lang w:eastAsia="en-US"/>
        </w:rPr>
        <w:t>s</w:t>
      </w:r>
      <w:r w:rsidR="000E017E" w:rsidRPr="00C80641">
        <w:rPr>
          <w:rFonts w:ascii="Arial" w:hAnsi="Arial" w:cs="Arial"/>
          <w:lang w:eastAsia="en-US"/>
        </w:rPr>
        <w:t xml:space="preserve"> visibility to be an indicator of overall air quality, which</w:t>
      </w:r>
      <w:r w:rsidR="00476B47" w:rsidRPr="00C80641">
        <w:rPr>
          <w:rFonts w:ascii="Arial" w:hAnsi="Arial" w:cs="Arial"/>
          <w:lang w:eastAsia="en-US"/>
        </w:rPr>
        <w:t xml:space="preserve"> could negatively impact on </w:t>
      </w:r>
      <w:r w:rsidR="000E017E" w:rsidRPr="00C80641">
        <w:rPr>
          <w:rFonts w:ascii="Arial" w:hAnsi="Arial" w:cs="Arial"/>
          <w:lang w:eastAsia="en-US"/>
        </w:rPr>
        <w:t>quality of life. The</w:t>
      </w:r>
      <w:r w:rsidR="00251545" w:rsidRPr="00C80641">
        <w:rPr>
          <w:rFonts w:ascii="Arial" w:hAnsi="Arial" w:cs="Arial"/>
          <w:lang w:eastAsia="en-US"/>
        </w:rPr>
        <w:t xml:space="preserve"> phenomenon is due to the light scattering or light absorption properties</w:t>
      </w:r>
      <w:r w:rsidR="000E017E" w:rsidRPr="00C80641">
        <w:rPr>
          <w:rFonts w:ascii="Arial" w:hAnsi="Arial" w:cs="Arial"/>
          <w:lang w:eastAsia="en-US"/>
        </w:rPr>
        <w:t xml:space="preserve"> of particles and gas molecules, and f</w:t>
      </w:r>
      <w:r w:rsidR="00251545" w:rsidRPr="00C80641">
        <w:rPr>
          <w:rFonts w:ascii="Arial" w:hAnsi="Arial" w:cs="Arial"/>
          <w:lang w:eastAsia="en-US"/>
        </w:rPr>
        <w:t xml:space="preserve">ine particles </w:t>
      </w:r>
      <w:r w:rsidR="000E017E" w:rsidRPr="00C80641">
        <w:rPr>
          <w:rFonts w:ascii="Arial" w:hAnsi="Arial" w:cs="Arial"/>
          <w:lang w:eastAsia="en-US"/>
        </w:rPr>
        <w:t>are known to be amongst the most effective agents</w:t>
      </w:r>
      <w:r w:rsidR="00251545" w:rsidRPr="00C80641">
        <w:rPr>
          <w:rFonts w:ascii="Arial" w:hAnsi="Arial" w:cs="Arial"/>
          <w:lang w:eastAsia="en-US"/>
        </w:rPr>
        <w:t xml:space="preserve">. </w:t>
      </w:r>
    </w:p>
    <w:p w:rsidR="008001CB" w:rsidRPr="00C80641" w:rsidRDefault="00D577FF" w:rsidP="000F787E">
      <w:pPr>
        <w:pStyle w:val="Heading3"/>
        <w:rPr>
          <w:rFonts w:ascii="Arial" w:hAnsi="Arial"/>
        </w:rPr>
      </w:pPr>
      <w:bookmarkStart w:id="35" w:name="_Toc394011090"/>
      <w:r w:rsidRPr="00C80641">
        <w:rPr>
          <w:rFonts w:ascii="Arial" w:hAnsi="Arial"/>
        </w:rPr>
        <w:t xml:space="preserve">Materials </w:t>
      </w:r>
      <w:r w:rsidR="00E344DB" w:rsidRPr="00C80641">
        <w:rPr>
          <w:rFonts w:ascii="Arial" w:hAnsi="Arial"/>
        </w:rPr>
        <w:t>and cultural heritage</w:t>
      </w:r>
      <w:bookmarkEnd w:id="35"/>
    </w:p>
    <w:p w:rsidR="00476B47" w:rsidRPr="00C80641" w:rsidRDefault="00D577FF" w:rsidP="0063196C">
      <w:pPr>
        <w:pStyle w:val="BulletArrows"/>
        <w:spacing w:after="220"/>
        <w:rPr>
          <w:rFonts w:ascii="Arial" w:hAnsi="Arial"/>
        </w:rPr>
      </w:pPr>
      <w:r w:rsidRPr="00C80641">
        <w:rPr>
          <w:rFonts w:ascii="Arial" w:hAnsi="Arial"/>
          <w:color w:val="auto"/>
        </w:rPr>
        <w:t>The e</w:t>
      </w:r>
      <w:r w:rsidRPr="00C80641">
        <w:rPr>
          <w:rFonts w:ascii="Arial" w:hAnsi="Arial"/>
          <w:color w:val="auto"/>
          <w:szCs w:val="18"/>
        </w:rPr>
        <w:t>ffects of air pollution on materials are related to both aesthetic appeal (mainly due to soiling) and physical damage.</w:t>
      </w:r>
      <w:r w:rsidRPr="00C80641">
        <w:rPr>
          <w:rFonts w:ascii="Arial" w:hAnsi="Arial"/>
          <w:b/>
          <w:color w:val="00B050"/>
        </w:rPr>
        <w:t xml:space="preserve"> </w:t>
      </w:r>
      <w:r w:rsidR="00476B47" w:rsidRPr="00C80641">
        <w:rPr>
          <w:rFonts w:ascii="Arial" w:hAnsi="Arial"/>
        </w:rPr>
        <w:t xml:space="preserve">Deposited particles </w:t>
      </w:r>
      <w:r w:rsidRPr="00C80641">
        <w:rPr>
          <w:rFonts w:ascii="Arial" w:hAnsi="Arial"/>
        </w:rPr>
        <w:t>cause the soiling of building materials</w:t>
      </w:r>
      <w:r w:rsidR="006D6ACA" w:rsidRPr="00C80641">
        <w:rPr>
          <w:rFonts w:ascii="Arial" w:hAnsi="Arial"/>
        </w:rPr>
        <w:t xml:space="preserve"> and culturally important items</w:t>
      </w:r>
      <w:r w:rsidRPr="00C80641">
        <w:rPr>
          <w:rFonts w:ascii="Arial" w:hAnsi="Arial"/>
        </w:rPr>
        <w:t xml:space="preserve"> such as statues and works of art. </w:t>
      </w:r>
      <w:r w:rsidR="00187B33" w:rsidRPr="00C80641">
        <w:rPr>
          <w:rFonts w:ascii="Arial" w:hAnsi="Arial"/>
        </w:rPr>
        <w:t>The s</w:t>
      </w:r>
      <w:r w:rsidR="00476B47" w:rsidRPr="00C80641">
        <w:rPr>
          <w:rFonts w:ascii="Arial" w:hAnsi="Arial"/>
        </w:rPr>
        <w:t xml:space="preserve">oiling of </w:t>
      </w:r>
      <w:r w:rsidRPr="00C80641">
        <w:rPr>
          <w:rFonts w:ascii="Arial" w:hAnsi="Arial"/>
        </w:rPr>
        <w:t xml:space="preserve">buildings constitutes a visual nuisance that leads to the loss of architectural value. </w:t>
      </w:r>
      <w:r w:rsidR="00476B47" w:rsidRPr="00C80641">
        <w:rPr>
          <w:rFonts w:ascii="Arial" w:hAnsi="Arial"/>
        </w:rPr>
        <w:t>It</w:t>
      </w:r>
      <w:r w:rsidRPr="00C80641">
        <w:rPr>
          <w:rFonts w:ascii="Arial" w:hAnsi="Arial"/>
        </w:rPr>
        <w:t xml:space="preserve"> requires remediation by cleaning, washing or </w:t>
      </w:r>
      <w:r w:rsidR="00187B33" w:rsidRPr="00C80641">
        <w:rPr>
          <w:rFonts w:ascii="Arial" w:hAnsi="Arial"/>
        </w:rPr>
        <w:t xml:space="preserve">repainting, and an </w:t>
      </w:r>
      <w:r w:rsidRPr="00C80641">
        <w:rPr>
          <w:rFonts w:ascii="Arial" w:hAnsi="Arial"/>
        </w:rPr>
        <w:t>in</w:t>
      </w:r>
      <w:r w:rsidR="00187B33" w:rsidRPr="00C80641">
        <w:rPr>
          <w:rFonts w:ascii="Arial" w:hAnsi="Arial"/>
        </w:rPr>
        <w:t xml:space="preserve">creased </w:t>
      </w:r>
      <w:r w:rsidRPr="00C80641">
        <w:rPr>
          <w:rFonts w:ascii="Arial" w:hAnsi="Arial"/>
        </w:rPr>
        <w:t xml:space="preserve">frequency of </w:t>
      </w:r>
      <w:r w:rsidR="00187B33" w:rsidRPr="00C80641">
        <w:rPr>
          <w:rFonts w:ascii="Arial" w:hAnsi="Arial"/>
        </w:rPr>
        <w:t xml:space="preserve">treatment of </w:t>
      </w:r>
      <w:r w:rsidR="00476B47" w:rsidRPr="00C80641">
        <w:rPr>
          <w:rFonts w:ascii="Arial" w:hAnsi="Arial"/>
        </w:rPr>
        <w:t xml:space="preserve">the exposed surface </w:t>
      </w:r>
      <w:r w:rsidRPr="00C80641">
        <w:rPr>
          <w:rFonts w:ascii="Arial" w:hAnsi="Arial"/>
        </w:rPr>
        <w:t xml:space="preserve">may reduce the usefulness of the soiled </w:t>
      </w:r>
      <w:r w:rsidRPr="00C80641">
        <w:rPr>
          <w:rFonts w:ascii="Arial" w:hAnsi="Arial"/>
          <w:color w:val="auto"/>
        </w:rPr>
        <w:t xml:space="preserve">material. </w:t>
      </w:r>
      <w:r w:rsidRPr="00C80641">
        <w:rPr>
          <w:rFonts w:ascii="Arial" w:hAnsi="Arial"/>
          <w:b/>
          <w:color w:val="auto"/>
        </w:rPr>
        <w:t>USEPA (2009)</w:t>
      </w:r>
      <w:r w:rsidRPr="00C80641">
        <w:rPr>
          <w:rFonts w:ascii="Arial" w:hAnsi="Arial"/>
          <w:color w:val="auto"/>
        </w:rPr>
        <w:t xml:space="preserve"> conclu</w:t>
      </w:r>
      <w:r w:rsidRPr="00C80641">
        <w:rPr>
          <w:rFonts w:ascii="Arial" w:hAnsi="Arial"/>
        </w:rPr>
        <w:t>ded that there is sufficie</w:t>
      </w:r>
      <w:r w:rsidR="006D6ACA" w:rsidRPr="00C80641">
        <w:rPr>
          <w:rFonts w:ascii="Arial" w:hAnsi="Arial"/>
        </w:rPr>
        <w:t xml:space="preserve">nt evidence of a causal relationship </w:t>
      </w:r>
      <w:r w:rsidRPr="00C80641">
        <w:rPr>
          <w:rFonts w:ascii="Arial" w:hAnsi="Arial"/>
        </w:rPr>
        <w:t xml:space="preserve">between PM and effects on materials. Physical damage from dry deposition of PM </w:t>
      </w:r>
      <w:r w:rsidR="00AC6943" w:rsidRPr="00C80641">
        <w:rPr>
          <w:rFonts w:ascii="Arial" w:hAnsi="Arial"/>
        </w:rPr>
        <w:t xml:space="preserve">can also </w:t>
      </w:r>
      <w:r w:rsidRPr="00C80641">
        <w:rPr>
          <w:rFonts w:ascii="Arial" w:hAnsi="Arial"/>
        </w:rPr>
        <w:t xml:space="preserve">accelerate natural weathering processes. </w:t>
      </w:r>
      <w:r w:rsidR="00476B47" w:rsidRPr="00C80641">
        <w:rPr>
          <w:rFonts w:ascii="Arial" w:hAnsi="Arial"/>
        </w:rPr>
        <w:t>For example, t</w:t>
      </w:r>
      <w:r w:rsidRPr="00C80641">
        <w:rPr>
          <w:rFonts w:ascii="Arial" w:hAnsi="Arial"/>
        </w:rPr>
        <w:t>he natural process of metal corrosion is enhanced by exposure to PM; the formation of hygroscopic salts increases the duration of surface wetness and enhances corrosion. Particl</w:t>
      </w:r>
      <w:r w:rsidR="00AC6943" w:rsidRPr="00C80641">
        <w:rPr>
          <w:rFonts w:ascii="Arial" w:hAnsi="Arial"/>
        </w:rPr>
        <w:t xml:space="preserve">es, especially carbon, may </w:t>
      </w:r>
      <w:r w:rsidRPr="00C80641">
        <w:rPr>
          <w:rFonts w:ascii="Arial" w:hAnsi="Arial"/>
        </w:rPr>
        <w:t>help catalyse chemical reactions that result in the deterioration of materials.</w:t>
      </w:r>
      <w:r w:rsidR="00476B47" w:rsidRPr="00C80641">
        <w:rPr>
          <w:rFonts w:ascii="Arial" w:hAnsi="Arial"/>
        </w:rPr>
        <w:t xml:space="preserve"> </w:t>
      </w:r>
    </w:p>
    <w:p w:rsidR="002A504E" w:rsidRPr="00C80641" w:rsidRDefault="002A504E" w:rsidP="002A504E">
      <w:pPr>
        <w:pStyle w:val="Heading2"/>
        <w:rPr>
          <w:rFonts w:ascii="Arial" w:hAnsi="Arial"/>
        </w:rPr>
      </w:pPr>
      <w:bookmarkStart w:id="36" w:name="_Toc394011091"/>
      <w:r w:rsidRPr="00C80641">
        <w:rPr>
          <w:rFonts w:ascii="Arial" w:hAnsi="Arial"/>
        </w:rPr>
        <w:t>Costs</w:t>
      </w:r>
      <w:r w:rsidR="00FD21D7" w:rsidRPr="00C80641">
        <w:rPr>
          <w:rFonts w:ascii="Arial" w:hAnsi="Arial"/>
        </w:rPr>
        <w:t xml:space="preserve"> associated with airborne PM</w:t>
      </w:r>
      <w:r w:rsidR="00D724FF" w:rsidRPr="00C80641">
        <w:rPr>
          <w:rFonts w:ascii="Arial" w:hAnsi="Arial"/>
        </w:rPr>
        <w:t xml:space="preserve"> in Australia</w:t>
      </w:r>
      <w:bookmarkEnd w:id="36"/>
    </w:p>
    <w:p w:rsidR="00FD21D7" w:rsidRPr="00C80641" w:rsidRDefault="006D6ACA" w:rsidP="0063196C">
      <w:pPr>
        <w:spacing w:after="220"/>
        <w:rPr>
          <w:rFonts w:ascii="Arial" w:hAnsi="Arial" w:cs="Arial"/>
        </w:rPr>
      </w:pPr>
      <w:r w:rsidRPr="00C80641">
        <w:rPr>
          <w:rFonts w:ascii="Arial" w:hAnsi="Arial" w:cs="Arial"/>
        </w:rPr>
        <w:t>The economic</w:t>
      </w:r>
      <w:r w:rsidR="00392E5C" w:rsidRPr="00C80641">
        <w:rPr>
          <w:rFonts w:ascii="Arial" w:hAnsi="Arial" w:cs="Arial"/>
        </w:rPr>
        <w:t xml:space="preserve"> burden</w:t>
      </w:r>
      <w:r w:rsidR="00FD21D7" w:rsidRPr="00C80641">
        <w:rPr>
          <w:rFonts w:ascii="Arial" w:hAnsi="Arial" w:cs="Arial"/>
        </w:rPr>
        <w:t xml:space="preserve"> associated with exposure to air pollution can be linked to direct costs to the health system for hospital admissions and visits to the doctor, medication costs, </w:t>
      </w:r>
      <w:proofErr w:type="gramStart"/>
      <w:r w:rsidR="00FD21D7" w:rsidRPr="00C80641">
        <w:rPr>
          <w:rFonts w:ascii="Arial" w:hAnsi="Arial" w:cs="Arial"/>
        </w:rPr>
        <w:t>costs</w:t>
      </w:r>
      <w:proofErr w:type="gramEnd"/>
      <w:r w:rsidR="00FD21D7" w:rsidRPr="00C80641">
        <w:rPr>
          <w:rFonts w:ascii="Arial" w:hAnsi="Arial" w:cs="Arial"/>
        </w:rPr>
        <w:t xml:space="preserve"> to businesses for reduced productivity and absenteeism, and costs to individuals experiencing mild or severe health </w:t>
      </w:r>
      <w:r w:rsidR="00D93DAD" w:rsidRPr="00C80641">
        <w:rPr>
          <w:rFonts w:ascii="Arial" w:hAnsi="Arial" w:cs="Arial"/>
        </w:rPr>
        <w:t xml:space="preserve">effects </w:t>
      </w:r>
      <w:r w:rsidR="00FD21D7" w:rsidRPr="00C80641">
        <w:rPr>
          <w:rFonts w:ascii="Arial" w:hAnsi="Arial" w:cs="Arial"/>
          <w:b/>
        </w:rPr>
        <w:t>(BDA Group 2013)</w:t>
      </w:r>
      <w:r w:rsidR="00FD21D7" w:rsidRPr="00C80641">
        <w:rPr>
          <w:rFonts w:ascii="Arial" w:hAnsi="Arial" w:cs="Arial"/>
        </w:rPr>
        <w:t>.</w:t>
      </w:r>
    </w:p>
    <w:p w:rsidR="00E41D3C" w:rsidRPr="00C80641" w:rsidRDefault="00266305" w:rsidP="0063196C">
      <w:pPr>
        <w:spacing w:after="220"/>
        <w:rPr>
          <w:rFonts w:ascii="Arial" w:hAnsi="Arial" w:cs="Arial"/>
        </w:rPr>
      </w:pPr>
      <w:r w:rsidRPr="00C80641">
        <w:rPr>
          <w:rFonts w:ascii="Arial" w:hAnsi="Arial" w:cs="Arial"/>
        </w:rPr>
        <w:t xml:space="preserve">The </w:t>
      </w:r>
      <w:r w:rsidRPr="00C80641">
        <w:rPr>
          <w:rFonts w:ascii="Arial" w:hAnsi="Arial" w:cs="Arial"/>
          <w:lang w:eastAsia="en-US"/>
        </w:rPr>
        <w:t>h</w:t>
      </w:r>
      <w:r w:rsidR="001122CA" w:rsidRPr="00C80641">
        <w:rPr>
          <w:rFonts w:ascii="Arial" w:hAnsi="Arial" w:cs="Arial"/>
          <w:lang w:eastAsia="en-US"/>
        </w:rPr>
        <w:t xml:space="preserve">ealth costs of air pollution in Australia are estimated to be in the order of </w:t>
      </w:r>
      <w:r w:rsidR="00947EC8" w:rsidRPr="00C80641">
        <w:rPr>
          <w:rFonts w:ascii="Arial" w:hAnsi="Arial" w:cs="Arial"/>
          <w:lang w:eastAsia="en-US"/>
        </w:rPr>
        <w:t xml:space="preserve">$11.1 </w:t>
      </w:r>
      <w:r w:rsidR="00AC6943" w:rsidRPr="00C80641">
        <w:rPr>
          <w:rFonts w:ascii="Arial" w:hAnsi="Arial" w:cs="Arial"/>
          <w:lang w:eastAsia="en-US"/>
        </w:rPr>
        <w:t>billion to</w:t>
      </w:r>
      <w:r w:rsidR="00947EC8" w:rsidRPr="00C80641">
        <w:rPr>
          <w:rFonts w:ascii="Arial" w:hAnsi="Arial" w:cs="Arial"/>
          <w:lang w:eastAsia="en-US"/>
        </w:rPr>
        <w:t xml:space="preserve"> $24.3 billion annually</w:t>
      </w:r>
      <w:r w:rsidR="00AC6943" w:rsidRPr="00C80641">
        <w:rPr>
          <w:rFonts w:ascii="Arial" w:hAnsi="Arial" w:cs="Arial"/>
          <w:lang w:eastAsia="en-US"/>
        </w:rPr>
        <w:t>,</w:t>
      </w:r>
      <w:r w:rsidR="00947EC8" w:rsidRPr="00C80641">
        <w:rPr>
          <w:rFonts w:ascii="Arial" w:hAnsi="Arial" w:cs="Arial"/>
          <w:lang w:eastAsia="en-US"/>
        </w:rPr>
        <w:t xml:space="preserve"> </w:t>
      </w:r>
      <w:r w:rsidR="00717E63" w:rsidRPr="00C80641">
        <w:rPr>
          <w:rFonts w:ascii="Arial" w:hAnsi="Arial" w:cs="Arial"/>
          <w:lang w:eastAsia="en-US"/>
        </w:rPr>
        <w:t xml:space="preserve">solely </w:t>
      </w:r>
      <w:r w:rsidR="001122CA" w:rsidRPr="00C80641">
        <w:rPr>
          <w:rFonts w:ascii="Arial" w:hAnsi="Arial" w:cs="Arial"/>
          <w:lang w:eastAsia="en-US"/>
        </w:rPr>
        <w:t xml:space="preserve">as a result of </w:t>
      </w:r>
      <w:r w:rsidR="00717E63" w:rsidRPr="00C80641">
        <w:rPr>
          <w:rFonts w:ascii="Arial" w:hAnsi="Arial" w:cs="Arial"/>
          <w:lang w:eastAsia="en-US"/>
        </w:rPr>
        <w:t xml:space="preserve">mortality </w:t>
      </w:r>
      <w:r w:rsidR="00220CD9" w:rsidRPr="00C80641">
        <w:rPr>
          <w:rFonts w:ascii="Arial" w:hAnsi="Arial" w:cs="Arial"/>
          <w:b/>
          <w:lang w:eastAsia="en-US"/>
        </w:rPr>
        <w:t>(</w:t>
      </w:r>
      <w:proofErr w:type="spellStart"/>
      <w:r w:rsidR="00220CD9" w:rsidRPr="00C80641">
        <w:rPr>
          <w:rFonts w:ascii="Arial" w:hAnsi="Arial" w:cs="Arial"/>
          <w:b/>
          <w:lang w:eastAsia="en-US"/>
        </w:rPr>
        <w:t>Begg</w:t>
      </w:r>
      <w:proofErr w:type="spellEnd"/>
      <w:r w:rsidR="00220CD9" w:rsidRPr="00C80641">
        <w:rPr>
          <w:rFonts w:ascii="Arial" w:hAnsi="Arial" w:cs="Arial"/>
          <w:b/>
          <w:lang w:eastAsia="en-US"/>
        </w:rPr>
        <w:t xml:space="preserve"> et al.</w:t>
      </w:r>
      <w:r w:rsidR="004C1E74" w:rsidRPr="00C80641">
        <w:rPr>
          <w:rFonts w:ascii="Arial" w:hAnsi="Arial" w:cs="Arial"/>
          <w:b/>
          <w:lang w:eastAsia="en-US"/>
        </w:rPr>
        <w:t xml:space="preserve"> 2007; Access Economics 2008)</w:t>
      </w:r>
      <w:r w:rsidR="001122CA" w:rsidRPr="00C80641">
        <w:rPr>
          <w:rFonts w:ascii="Arial" w:hAnsi="Arial" w:cs="Arial"/>
          <w:lang w:eastAsia="en-US"/>
        </w:rPr>
        <w:t>.</w:t>
      </w:r>
      <w:r w:rsidR="00947EC8" w:rsidRPr="00C80641">
        <w:rPr>
          <w:rFonts w:ascii="Arial" w:hAnsi="Arial" w:cs="Arial"/>
          <w:lang w:eastAsia="en-US"/>
        </w:rPr>
        <w:t xml:space="preserve"> </w:t>
      </w:r>
      <w:r w:rsidR="00E41D3C" w:rsidRPr="00C80641">
        <w:rPr>
          <w:rFonts w:ascii="Arial" w:hAnsi="Arial" w:cs="Arial"/>
        </w:rPr>
        <w:t>For Sydney alone it has been estimated that reducing exposure to PM</w:t>
      </w:r>
      <w:r w:rsidR="00E41D3C" w:rsidRPr="00C80641">
        <w:rPr>
          <w:rFonts w:ascii="Arial" w:hAnsi="Arial" w:cs="Arial"/>
          <w:vertAlign w:val="subscript"/>
        </w:rPr>
        <w:t>10</w:t>
      </w:r>
      <w:r w:rsidR="00E41D3C" w:rsidRPr="00C80641">
        <w:rPr>
          <w:rFonts w:ascii="Arial" w:hAnsi="Arial" w:cs="Arial"/>
        </w:rPr>
        <w:t xml:space="preserve"> could save $4.7 billion per year</w:t>
      </w:r>
      <w:r w:rsidR="00E41D3C" w:rsidRPr="00C80641">
        <w:rPr>
          <w:rFonts w:ascii="Arial" w:hAnsi="Arial" w:cs="Arial"/>
          <w:b/>
        </w:rPr>
        <w:t xml:space="preserve"> (NSW DEC 2005</w:t>
      </w:r>
      <w:r w:rsidR="00412807" w:rsidRPr="00C80641">
        <w:rPr>
          <w:rFonts w:ascii="Arial" w:hAnsi="Arial" w:cs="Arial"/>
          <w:b/>
        </w:rPr>
        <w:t>b</w:t>
      </w:r>
      <w:r w:rsidR="00E41D3C" w:rsidRPr="00C80641">
        <w:rPr>
          <w:rFonts w:ascii="Arial" w:hAnsi="Arial" w:cs="Arial"/>
          <w:b/>
        </w:rPr>
        <w:t>)</w:t>
      </w:r>
      <w:r w:rsidR="00E41D3C" w:rsidRPr="00C80641">
        <w:rPr>
          <w:rFonts w:ascii="Arial" w:hAnsi="Arial" w:cs="Arial"/>
        </w:rPr>
        <w:t xml:space="preserve">. More recently, </w:t>
      </w:r>
      <w:proofErr w:type="spellStart"/>
      <w:r w:rsidR="00E41D3C" w:rsidRPr="00C80641">
        <w:rPr>
          <w:rFonts w:ascii="Arial" w:hAnsi="Arial" w:cs="Arial"/>
          <w:b/>
        </w:rPr>
        <w:t>Jalaludin</w:t>
      </w:r>
      <w:proofErr w:type="spellEnd"/>
      <w:r w:rsidR="00E41D3C" w:rsidRPr="00C80641">
        <w:rPr>
          <w:rFonts w:ascii="Arial" w:hAnsi="Arial" w:cs="Arial"/>
          <w:b/>
        </w:rPr>
        <w:t xml:space="preserve"> </w:t>
      </w:r>
      <w:r w:rsidR="009334F4" w:rsidRPr="00C80641">
        <w:rPr>
          <w:rFonts w:ascii="Arial" w:hAnsi="Arial" w:cs="Arial"/>
          <w:b/>
        </w:rPr>
        <w:t>et al</w:t>
      </w:r>
      <w:r w:rsidR="00E41D3C" w:rsidRPr="00C80641">
        <w:rPr>
          <w:rFonts w:ascii="Arial" w:hAnsi="Arial" w:cs="Arial"/>
          <w:b/>
        </w:rPr>
        <w:t>. (2011)</w:t>
      </w:r>
      <w:r w:rsidR="00E41D3C" w:rsidRPr="00C80641">
        <w:rPr>
          <w:rFonts w:ascii="Arial" w:hAnsi="Arial" w:cs="Arial"/>
        </w:rPr>
        <w:t xml:space="preserve"> found that if the PM</w:t>
      </w:r>
      <w:r w:rsidR="00E41D3C" w:rsidRPr="00C80641">
        <w:rPr>
          <w:rFonts w:ascii="Arial" w:hAnsi="Arial" w:cs="Arial"/>
          <w:vertAlign w:val="subscript"/>
        </w:rPr>
        <w:t>10</w:t>
      </w:r>
      <w:r w:rsidR="00E41D3C" w:rsidRPr="00C80641">
        <w:rPr>
          <w:rFonts w:ascii="Arial" w:hAnsi="Arial" w:cs="Arial"/>
        </w:rPr>
        <w:t xml:space="preserve"> concentration in the NSW Greater Metropolitan Region (GMR) could be reduced to 10 </w:t>
      </w:r>
      <w:proofErr w:type="spellStart"/>
      <w:r w:rsidR="00E41D3C" w:rsidRPr="00C80641">
        <w:rPr>
          <w:rFonts w:ascii="Arial" w:hAnsi="Arial" w:cs="Arial"/>
        </w:rPr>
        <w:t>μg</w:t>
      </w:r>
      <w:proofErr w:type="spellEnd"/>
      <w:r w:rsidR="00E41D3C" w:rsidRPr="00C80641">
        <w:rPr>
          <w:rFonts w:ascii="Arial" w:hAnsi="Arial" w:cs="Arial"/>
        </w:rPr>
        <w:t>/m</w:t>
      </w:r>
      <w:r w:rsidR="00E41D3C" w:rsidRPr="00C80641">
        <w:rPr>
          <w:rFonts w:ascii="Arial" w:hAnsi="Arial" w:cs="Arial"/>
          <w:vertAlign w:val="superscript"/>
        </w:rPr>
        <w:t>3</w:t>
      </w:r>
      <w:r w:rsidR="00E41D3C" w:rsidRPr="00C80641">
        <w:rPr>
          <w:rFonts w:ascii="Arial" w:hAnsi="Arial" w:cs="Arial"/>
        </w:rPr>
        <w:t xml:space="preserve"> </w:t>
      </w:r>
      <w:r w:rsidR="00AC6943" w:rsidRPr="00C80641">
        <w:rPr>
          <w:rFonts w:ascii="Arial" w:hAnsi="Arial" w:cs="Arial"/>
        </w:rPr>
        <w:t xml:space="preserve">then </w:t>
      </w:r>
      <w:r w:rsidR="00895E9D" w:rsidRPr="00C80641">
        <w:rPr>
          <w:rFonts w:ascii="Arial" w:hAnsi="Arial" w:cs="Arial"/>
        </w:rPr>
        <w:t xml:space="preserve">approximately 490 </w:t>
      </w:r>
      <w:r w:rsidR="00E41D3C" w:rsidRPr="00C80641">
        <w:rPr>
          <w:rFonts w:ascii="Arial" w:hAnsi="Arial" w:cs="Arial"/>
        </w:rPr>
        <w:t>respiratory disease hospitalisations would be avoided each year. If the PM</w:t>
      </w:r>
      <w:r w:rsidR="00E41D3C" w:rsidRPr="00C80641">
        <w:rPr>
          <w:rFonts w:ascii="Arial" w:hAnsi="Arial" w:cs="Arial"/>
          <w:vertAlign w:val="subscript"/>
        </w:rPr>
        <w:t>2.5</w:t>
      </w:r>
      <w:r w:rsidR="00E41D3C" w:rsidRPr="00C80641">
        <w:rPr>
          <w:rFonts w:ascii="Arial" w:hAnsi="Arial" w:cs="Arial"/>
        </w:rPr>
        <w:t xml:space="preserve"> conc</w:t>
      </w:r>
      <w:r w:rsidR="00CA0771" w:rsidRPr="00C80641">
        <w:rPr>
          <w:rFonts w:ascii="Arial" w:hAnsi="Arial" w:cs="Arial"/>
        </w:rPr>
        <w:t>entration could be reduced to 5 </w:t>
      </w:r>
      <w:proofErr w:type="spellStart"/>
      <w:r w:rsidR="00E41D3C" w:rsidRPr="00C80641">
        <w:rPr>
          <w:rFonts w:ascii="Arial" w:hAnsi="Arial" w:cs="Arial"/>
        </w:rPr>
        <w:t>μg</w:t>
      </w:r>
      <w:proofErr w:type="spellEnd"/>
      <w:r w:rsidR="00E41D3C" w:rsidRPr="00C80641">
        <w:rPr>
          <w:rFonts w:ascii="Arial" w:hAnsi="Arial" w:cs="Arial"/>
        </w:rPr>
        <w:t>/m</w:t>
      </w:r>
      <w:r w:rsidR="00E41D3C" w:rsidRPr="00C80641">
        <w:rPr>
          <w:rFonts w:ascii="Arial" w:hAnsi="Arial" w:cs="Arial"/>
          <w:vertAlign w:val="superscript"/>
        </w:rPr>
        <w:t>3</w:t>
      </w:r>
      <w:r w:rsidR="00E41D3C" w:rsidRPr="00C80641">
        <w:rPr>
          <w:rFonts w:ascii="Arial" w:hAnsi="Arial" w:cs="Arial"/>
        </w:rPr>
        <w:t xml:space="preserve"> then</w:t>
      </w:r>
      <w:r w:rsidR="00AC6943" w:rsidRPr="00C80641">
        <w:rPr>
          <w:rFonts w:ascii="Arial" w:hAnsi="Arial" w:cs="Arial"/>
        </w:rPr>
        <w:t>,</w:t>
      </w:r>
      <w:r w:rsidR="00E41D3C" w:rsidRPr="00C80641">
        <w:rPr>
          <w:rFonts w:ascii="Arial" w:hAnsi="Arial" w:cs="Arial"/>
        </w:rPr>
        <w:t xml:space="preserve"> on average</w:t>
      </w:r>
      <w:r w:rsidR="00AC6943" w:rsidRPr="00C80641">
        <w:rPr>
          <w:rFonts w:ascii="Arial" w:hAnsi="Arial" w:cs="Arial"/>
        </w:rPr>
        <w:t>,</w:t>
      </w:r>
      <w:r w:rsidR="00E41D3C" w:rsidRPr="00C80641">
        <w:rPr>
          <w:rFonts w:ascii="Arial" w:hAnsi="Arial" w:cs="Arial"/>
        </w:rPr>
        <w:t xml:space="preserve"> </w:t>
      </w:r>
      <w:r w:rsidR="00895E9D" w:rsidRPr="00C80641">
        <w:rPr>
          <w:rFonts w:ascii="Arial" w:hAnsi="Arial" w:cs="Arial"/>
        </w:rPr>
        <w:t xml:space="preserve">approximately 860 </w:t>
      </w:r>
      <w:r w:rsidR="00E41D3C" w:rsidRPr="00C80641">
        <w:rPr>
          <w:rFonts w:ascii="Arial" w:hAnsi="Arial" w:cs="Arial"/>
        </w:rPr>
        <w:t xml:space="preserve">deaths and </w:t>
      </w:r>
      <w:r w:rsidR="00895E9D" w:rsidRPr="00C80641">
        <w:rPr>
          <w:rFonts w:ascii="Arial" w:hAnsi="Arial" w:cs="Arial"/>
        </w:rPr>
        <w:t xml:space="preserve">510 </w:t>
      </w:r>
      <w:r w:rsidR="00E41D3C" w:rsidRPr="00C80641">
        <w:rPr>
          <w:rFonts w:ascii="Arial" w:hAnsi="Arial" w:cs="Arial"/>
        </w:rPr>
        <w:t xml:space="preserve">cardiovascular disease hospitalisations </w:t>
      </w:r>
      <w:r w:rsidR="00AC6943" w:rsidRPr="00C80641">
        <w:rPr>
          <w:rFonts w:ascii="Arial" w:hAnsi="Arial" w:cs="Arial"/>
        </w:rPr>
        <w:t xml:space="preserve">would be avoided annually. The </w:t>
      </w:r>
      <w:r w:rsidR="00E41D3C" w:rsidRPr="00C80641">
        <w:rPr>
          <w:rFonts w:ascii="Arial" w:hAnsi="Arial" w:cs="Arial"/>
        </w:rPr>
        <w:t>health benefit for the NSW GMR as a consequence of reducing ambient PM</w:t>
      </w:r>
      <w:r w:rsidR="00E41D3C" w:rsidRPr="00C80641">
        <w:rPr>
          <w:rFonts w:ascii="Arial" w:hAnsi="Arial" w:cs="Arial"/>
          <w:vertAlign w:val="subscript"/>
        </w:rPr>
        <w:t>2.5</w:t>
      </w:r>
      <w:r w:rsidR="00E41D3C" w:rsidRPr="00C80641">
        <w:rPr>
          <w:rFonts w:ascii="Arial" w:hAnsi="Arial" w:cs="Arial"/>
        </w:rPr>
        <w:t xml:space="preserve"> and PM</w:t>
      </w:r>
      <w:r w:rsidR="00E41D3C" w:rsidRPr="00C80641">
        <w:rPr>
          <w:rFonts w:ascii="Arial" w:hAnsi="Arial" w:cs="Arial"/>
          <w:vertAlign w:val="subscript"/>
        </w:rPr>
        <w:t>10</w:t>
      </w:r>
      <w:r w:rsidR="00D724FF" w:rsidRPr="00C80641">
        <w:rPr>
          <w:rFonts w:ascii="Arial" w:hAnsi="Arial" w:cs="Arial"/>
        </w:rPr>
        <w:t xml:space="preserve"> to these levels was</w:t>
      </w:r>
      <w:r w:rsidR="00B47C12" w:rsidRPr="00C80641">
        <w:rPr>
          <w:rFonts w:ascii="Arial" w:hAnsi="Arial" w:cs="Arial"/>
        </w:rPr>
        <w:t xml:space="preserve"> estimated to be</w:t>
      </w:r>
      <w:r w:rsidR="00D724FF" w:rsidRPr="00C80641">
        <w:rPr>
          <w:rFonts w:ascii="Arial" w:hAnsi="Arial" w:cs="Arial"/>
        </w:rPr>
        <w:t xml:space="preserve"> $5.7</w:t>
      </w:r>
      <w:r w:rsidRPr="00C80641">
        <w:rPr>
          <w:rFonts w:ascii="Arial" w:hAnsi="Arial" w:cs="Arial"/>
        </w:rPr>
        <w:t xml:space="preserve"> billion. Road t</w:t>
      </w:r>
      <w:r w:rsidR="00E41D3C" w:rsidRPr="00C80641">
        <w:rPr>
          <w:rFonts w:ascii="Arial" w:hAnsi="Arial" w:cs="Arial"/>
        </w:rPr>
        <w:t>ransport is a</w:t>
      </w:r>
      <w:r w:rsidRPr="00C80641">
        <w:rPr>
          <w:rFonts w:ascii="Arial" w:hAnsi="Arial" w:cs="Arial"/>
        </w:rPr>
        <w:t xml:space="preserve">n important </w:t>
      </w:r>
      <w:r w:rsidR="00E41D3C" w:rsidRPr="00C80641">
        <w:rPr>
          <w:rFonts w:ascii="Arial" w:hAnsi="Arial" w:cs="Arial"/>
        </w:rPr>
        <w:t>source of PM</w:t>
      </w:r>
      <w:r w:rsidRPr="00C80641">
        <w:rPr>
          <w:rFonts w:ascii="Arial" w:hAnsi="Arial" w:cs="Arial"/>
        </w:rPr>
        <w:t xml:space="preserve">; the health costs of </w:t>
      </w:r>
      <w:r w:rsidR="00E41D3C" w:rsidRPr="00C80641">
        <w:rPr>
          <w:rFonts w:ascii="Arial" w:hAnsi="Arial" w:cs="Arial"/>
        </w:rPr>
        <w:t>PM</w:t>
      </w:r>
      <w:r w:rsidR="00E41D3C" w:rsidRPr="00C80641">
        <w:rPr>
          <w:rFonts w:ascii="Arial" w:hAnsi="Arial" w:cs="Arial"/>
          <w:vertAlign w:val="subscript"/>
        </w:rPr>
        <w:t>10</w:t>
      </w:r>
      <w:r w:rsidR="00E41D3C" w:rsidRPr="00C80641">
        <w:rPr>
          <w:rFonts w:ascii="Arial" w:hAnsi="Arial" w:cs="Arial"/>
        </w:rPr>
        <w:t xml:space="preserve"> </w:t>
      </w:r>
      <w:r w:rsidR="00AC6943" w:rsidRPr="00C80641">
        <w:rPr>
          <w:rFonts w:ascii="Arial" w:hAnsi="Arial" w:cs="Arial"/>
        </w:rPr>
        <w:t xml:space="preserve">emissions </w:t>
      </w:r>
      <w:r w:rsidRPr="00C80641">
        <w:rPr>
          <w:rFonts w:ascii="Arial" w:hAnsi="Arial" w:cs="Arial"/>
        </w:rPr>
        <w:t xml:space="preserve">from road transport </w:t>
      </w:r>
      <w:r w:rsidR="00E41D3C" w:rsidRPr="00C80641">
        <w:rPr>
          <w:rFonts w:ascii="Arial" w:hAnsi="Arial" w:cs="Arial"/>
        </w:rPr>
        <w:t xml:space="preserve">in Australia have been estimated to be $2.7 billion per year </w:t>
      </w:r>
      <w:r w:rsidR="00E41D3C" w:rsidRPr="00C80641">
        <w:rPr>
          <w:rFonts w:ascii="Arial" w:hAnsi="Arial" w:cs="Arial"/>
          <w:b/>
        </w:rPr>
        <w:t>(BTRE 2005)</w:t>
      </w:r>
      <w:r w:rsidR="00E41D3C" w:rsidRPr="00C80641">
        <w:rPr>
          <w:rFonts w:ascii="Arial" w:hAnsi="Arial" w:cs="Arial"/>
        </w:rPr>
        <w:t>.</w:t>
      </w:r>
    </w:p>
    <w:p w:rsidR="00E41D3C" w:rsidRPr="00C80641" w:rsidRDefault="00E41D3C" w:rsidP="00693A8D">
      <w:pPr>
        <w:rPr>
          <w:rFonts w:ascii="Arial" w:hAnsi="Arial" w:cs="Arial"/>
        </w:rPr>
      </w:pPr>
      <w:r w:rsidRPr="00C80641">
        <w:rPr>
          <w:rFonts w:ascii="Arial" w:hAnsi="Arial" w:cs="Arial"/>
        </w:rPr>
        <w:t>Premature death is the mo</w:t>
      </w:r>
      <w:r w:rsidR="00FD21D7" w:rsidRPr="00C80641">
        <w:rPr>
          <w:rFonts w:ascii="Arial" w:hAnsi="Arial" w:cs="Arial"/>
        </w:rPr>
        <w:t>st significant health endpoint from a cost perspective</w:t>
      </w:r>
      <w:r w:rsidRPr="00C80641">
        <w:rPr>
          <w:rFonts w:ascii="Arial" w:hAnsi="Arial" w:cs="Arial"/>
        </w:rPr>
        <w:t xml:space="preserve">. For the NSW GMR </w:t>
      </w:r>
      <w:proofErr w:type="spellStart"/>
      <w:r w:rsidRPr="00C80641">
        <w:rPr>
          <w:rFonts w:ascii="Arial" w:hAnsi="Arial" w:cs="Arial"/>
          <w:b/>
        </w:rPr>
        <w:t>Jalaludin</w:t>
      </w:r>
      <w:proofErr w:type="spellEnd"/>
      <w:r w:rsidRPr="00C80641">
        <w:rPr>
          <w:rFonts w:ascii="Arial" w:hAnsi="Arial" w:cs="Arial"/>
          <w:b/>
        </w:rPr>
        <w:t xml:space="preserve"> </w:t>
      </w:r>
      <w:r w:rsidR="009334F4" w:rsidRPr="00C80641">
        <w:rPr>
          <w:rFonts w:ascii="Arial" w:hAnsi="Arial" w:cs="Arial"/>
          <w:b/>
        </w:rPr>
        <w:t>et al</w:t>
      </w:r>
      <w:r w:rsidRPr="00C80641">
        <w:rPr>
          <w:rFonts w:ascii="Arial" w:hAnsi="Arial" w:cs="Arial"/>
          <w:b/>
        </w:rPr>
        <w:t>. (2011)</w:t>
      </w:r>
      <w:r w:rsidRPr="00C80641">
        <w:rPr>
          <w:rFonts w:ascii="Arial" w:hAnsi="Arial" w:cs="Arial"/>
        </w:rPr>
        <w:t xml:space="preserve"> noted that the greatest proportion (&gt;99%) of the health benefits were accrued from avoiding premature deaths due to long-term exposure to PM</w:t>
      </w:r>
      <w:r w:rsidRPr="00C80641">
        <w:rPr>
          <w:rFonts w:ascii="Arial" w:hAnsi="Arial" w:cs="Arial"/>
          <w:vertAlign w:val="subscript"/>
        </w:rPr>
        <w:t>2.5</w:t>
      </w:r>
      <w:r w:rsidRPr="00C80641">
        <w:rPr>
          <w:rFonts w:ascii="Arial" w:hAnsi="Arial" w:cs="Arial"/>
        </w:rPr>
        <w:t>. Premature d</w:t>
      </w:r>
      <w:r w:rsidR="00B153F9" w:rsidRPr="00C80641">
        <w:rPr>
          <w:rFonts w:ascii="Arial" w:hAnsi="Arial" w:cs="Arial"/>
        </w:rPr>
        <w:t xml:space="preserve">eath is the major driver of </w:t>
      </w:r>
      <w:r w:rsidRPr="00C80641">
        <w:rPr>
          <w:rFonts w:ascii="Arial" w:hAnsi="Arial" w:cs="Arial"/>
        </w:rPr>
        <w:t xml:space="preserve">health benefits because of the high monetary value allocated to a human life. For example, </w:t>
      </w:r>
      <w:proofErr w:type="spellStart"/>
      <w:r w:rsidRPr="00C80641">
        <w:rPr>
          <w:rFonts w:ascii="Arial" w:hAnsi="Arial" w:cs="Arial"/>
          <w:b/>
        </w:rPr>
        <w:t>Jalaludin</w:t>
      </w:r>
      <w:proofErr w:type="spellEnd"/>
      <w:r w:rsidRPr="00C80641">
        <w:rPr>
          <w:rFonts w:ascii="Arial" w:hAnsi="Arial" w:cs="Arial"/>
          <w:b/>
        </w:rPr>
        <w:t xml:space="preserve"> </w:t>
      </w:r>
      <w:r w:rsidR="009334F4" w:rsidRPr="00C80641">
        <w:rPr>
          <w:rFonts w:ascii="Arial" w:hAnsi="Arial" w:cs="Arial"/>
          <w:b/>
        </w:rPr>
        <w:t>et al</w:t>
      </w:r>
      <w:r w:rsidRPr="00C80641">
        <w:rPr>
          <w:rFonts w:ascii="Arial" w:hAnsi="Arial" w:cs="Arial"/>
          <w:b/>
        </w:rPr>
        <w:t>. (2011)</w:t>
      </w:r>
      <w:r w:rsidRPr="00C80641">
        <w:rPr>
          <w:rFonts w:ascii="Arial" w:hAnsi="Arial" w:cs="Arial"/>
        </w:rPr>
        <w:t xml:space="preserve"> used a value of a</w:t>
      </w:r>
      <w:r w:rsidR="00440DA4" w:rsidRPr="00C80641">
        <w:rPr>
          <w:rFonts w:ascii="Arial" w:hAnsi="Arial" w:cs="Arial"/>
        </w:rPr>
        <w:t xml:space="preserve"> statistical life (VSL) of $6.5 million, compared with around $5000</w:t>
      </w:r>
      <w:r w:rsidRPr="00C80641">
        <w:rPr>
          <w:rFonts w:ascii="Arial" w:hAnsi="Arial" w:cs="Arial"/>
        </w:rPr>
        <w:t xml:space="preserve"> for the cost of a respiratory disease hospital admission and</w:t>
      </w:r>
      <w:r w:rsidR="00440DA4" w:rsidRPr="00C80641">
        <w:rPr>
          <w:rFonts w:ascii="Arial" w:hAnsi="Arial" w:cs="Arial"/>
        </w:rPr>
        <w:t xml:space="preserve"> around $9000</w:t>
      </w:r>
      <w:r w:rsidRPr="00C80641">
        <w:rPr>
          <w:rFonts w:ascii="Arial" w:hAnsi="Arial" w:cs="Arial"/>
        </w:rPr>
        <w:t xml:space="preserve"> for the cost of a cardiovascular disease hospital admission.</w:t>
      </w:r>
    </w:p>
    <w:p w:rsidR="00014CE1" w:rsidRPr="00C80641" w:rsidRDefault="002A504E" w:rsidP="0063196C">
      <w:pPr>
        <w:spacing w:after="220"/>
        <w:rPr>
          <w:rFonts w:ascii="Arial" w:hAnsi="Arial" w:cs="Arial"/>
          <w:lang w:eastAsia="en-US"/>
        </w:rPr>
      </w:pPr>
      <w:r w:rsidRPr="00C80641">
        <w:rPr>
          <w:rFonts w:ascii="Arial" w:hAnsi="Arial" w:cs="Arial"/>
        </w:rPr>
        <w:t xml:space="preserve">Health benefits from lower particle emissions will vary between </w:t>
      </w:r>
      <w:r w:rsidR="00440DA4" w:rsidRPr="00C80641">
        <w:rPr>
          <w:rFonts w:ascii="Arial" w:hAnsi="Arial" w:cs="Arial"/>
        </w:rPr>
        <w:t xml:space="preserve">Australian </w:t>
      </w:r>
      <w:proofErr w:type="spellStart"/>
      <w:r w:rsidRPr="00C80641">
        <w:rPr>
          <w:rFonts w:ascii="Arial" w:hAnsi="Arial" w:cs="Arial"/>
        </w:rPr>
        <w:t>airsheds</w:t>
      </w:r>
      <w:proofErr w:type="spellEnd"/>
      <w:r w:rsidR="00DC5EBC" w:rsidRPr="00C80641">
        <w:rPr>
          <w:rStyle w:val="FootnoteReference"/>
          <w:rFonts w:ascii="Arial" w:hAnsi="Arial" w:cs="Arial"/>
        </w:rPr>
        <w:footnoteReference w:id="9"/>
      </w:r>
      <w:r w:rsidRPr="00C80641">
        <w:rPr>
          <w:rFonts w:ascii="Arial" w:hAnsi="Arial" w:cs="Arial"/>
        </w:rPr>
        <w:t xml:space="preserve"> due to climate, </w:t>
      </w:r>
      <w:r w:rsidR="00A24978" w:rsidRPr="00C80641">
        <w:rPr>
          <w:rFonts w:ascii="Arial" w:hAnsi="Arial" w:cs="Arial"/>
        </w:rPr>
        <w:t>meteorology</w:t>
      </w:r>
      <w:r w:rsidRPr="00C80641">
        <w:rPr>
          <w:rFonts w:ascii="Arial" w:hAnsi="Arial" w:cs="Arial"/>
        </w:rPr>
        <w:t>, demographic</w:t>
      </w:r>
      <w:r w:rsidR="00A24978" w:rsidRPr="00C80641">
        <w:rPr>
          <w:rFonts w:ascii="Arial" w:hAnsi="Arial" w:cs="Arial"/>
        </w:rPr>
        <w:t>s</w:t>
      </w:r>
      <w:r w:rsidR="008F06A9" w:rsidRPr="00C80641">
        <w:rPr>
          <w:rFonts w:ascii="Arial" w:hAnsi="Arial" w:cs="Arial"/>
        </w:rPr>
        <w:t xml:space="preserve"> and population exposure</w:t>
      </w:r>
      <w:r w:rsidRPr="00C80641">
        <w:rPr>
          <w:rFonts w:ascii="Arial" w:hAnsi="Arial" w:cs="Arial"/>
        </w:rPr>
        <w:t xml:space="preserve">. </w:t>
      </w:r>
      <w:r w:rsidR="008F06A9" w:rsidRPr="00C80641">
        <w:rPr>
          <w:rFonts w:ascii="Arial" w:hAnsi="Arial" w:cs="Arial"/>
          <w:lang w:eastAsia="en-US"/>
        </w:rPr>
        <w:t>More recent estimates of the monetary benefits of reducing PM</w:t>
      </w:r>
      <w:r w:rsidR="008F06A9" w:rsidRPr="00C80641">
        <w:rPr>
          <w:rFonts w:ascii="Arial" w:hAnsi="Arial" w:cs="Arial"/>
          <w:vertAlign w:val="subscript"/>
          <w:lang w:eastAsia="en-US"/>
        </w:rPr>
        <w:t>10</w:t>
      </w:r>
      <w:r w:rsidR="008F06A9" w:rsidRPr="00C80641">
        <w:rPr>
          <w:rFonts w:ascii="Arial" w:hAnsi="Arial" w:cs="Arial"/>
          <w:lang w:eastAsia="en-US"/>
        </w:rPr>
        <w:t xml:space="preserve"> and PM</w:t>
      </w:r>
      <w:r w:rsidR="008F06A9" w:rsidRPr="00C80641">
        <w:rPr>
          <w:rFonts w:ascii="Arial" w:hAnsi="Arial" w:cs="Arial"/>
          <w:vertAlign w:val="subscript"/>
          <w:lang w:eastAsia="en-US"/>
        </w:rPr>
        <w:t>2.5</w:t>
      </w:r>
      <w:r w:rsidR="008F06A9" w:rsidRPr="00C80641">
        <w:rPr>
          <w:rFonts w:ascii="Arial" w:hAnsi="Arial" w:cs="Arial"/>
          <w:lang w:eastAsia="en-US"/>
        </w:rPr>
        <w:t xml:space="preserve"> concentrations were obtained </w:t>
      </w:r>
      <w:r w:rsidR="00C94EC1" w:rsidRPr="00C80641">
        <w:rPr>
          <w:rFonts w:ascii="Arial" w:hAnsi="Arial" w:cs="Arial"/>
          <w:lang w:eastAsia="en-US"/>
        </w:rPr>
        <w:t xml:space="preserve">in the </w:t>
      </w:r>
      <w:r w:rsidR="00A24978" w:rsidRPr="00C80641">
        <w:rPr>
          <w:rFonts w:ascii="Arial" w:hAnsi="Arial" w:cs="Arial"/>
          <w:lang w:eastAsia="en-US"/>
        </w:rPr>
        <w:t>e</w:t>
      </w:r>
      <w:r w:rsidR="00C94EC1" w:rsidRPr="00C80641">
        <w:rPr>
          <w:rFonts w:ascii="Arial" w:hAnsi="Arial" w:cs="Arial"/>
          <w:lang w:eastAsia="en-US"/>
        </w:rPr>
        <w:t xml:space="preserve">conomic </w:t>
      </w:r>
      <w:r w:rsidR="00A24978" w:rsidRPr="00C80641">
        <w:rPr>
          <w:rFonts w:ascii="Arial" w:hAnsi="Arial" w:cs="Arial"/>
          <w:lang w:eastAsia="en-US"/>
        </w:rPr>
        <w:t>a</w:t>
      </w:r>
      <w:r w:rsidR="00C94EC1" w:rsidRPr="00C80641">
        <w:rPr>
          <w:rFonts w:ascii="Arial" w:hAnsi="Arial" w:cs="Arial"/>
          <w:lang w:eastAsia="en-US"/>
        </w:rPr>
        <w:t xml:space="preserve">nalysis undertaken </w:t>
      </w:r>
      <w:r w:rsidR="008F06A9" w:rsidRPr="00C80641">
        <w:rPr>
          <w:rFonts w:ascii="Arial" w:hAnsi="Arial" w:cs="Arial"/>
          <w:b/>
          <w:lang w:eastAsia="en-US"/>
        </w:rPr>
        <w:t xml:space="preserve">(Boulter </w:t>
      </w:r>
      <w:r w:rsidR="00A24978" w:rsidRPr="00C80641">
        <w:rPr>
          <w:rFonts w:ascii="Arial" w:hAnsi="Arial" w:cs="Arial"/>
          <w:b/>
          <w:lang w:eastAsia="en-US"/>
        </w:rPr>
        <w:t xml:space="preserve">&amp; </w:t>
      </w:r>
      <w:r w:rsidR="008F06A9" w:rsidRPr="00C80641">
        <w:rPr>
          <w:rFonts w:ascii="Arial" w:hAnsi="Arial" w:cs="Arial"/>
          <w:b/>
          <w:lang w:eastAsia="en-US"/>
        </w:rPr>
        <w:t>Kulkarni 2013)</w:t>
      </w:r>
      <w:r w:rsidR="008F06A9" w:rsidRPr="00C80641">
        <w:rPr>
          <w:rFonts w:ascii="Arial" w:hAnsi="Arial" w:cs="Arial"/>
          <w:lang w:eastAsia="en-US"/>
        </w:rPr>
        <w:t xml:space="preserve">, and these are described in more detail later in the </w:t>
      </w:r>
      <w:r w:rsidR="005E0A39" w:rsidRPr="00C80641">
        <w:rPr>
          <w:rFonts w:ascii="Arial" w:hAnsi="Arial" w:cs="Arial"/>
        </w:rPr>
        <w:t>Impact Statement</w:t>
      </w:r>
      <w:r w:rsidR="008F06A9" w:rsidRPr="00C80641">
        <w:rPr>
          <w:rFonts w:ascii="Arial" w:hAnsi="Arial" w:cs="Arial"/>
          <w:lang w:eastAsia="en-US"/>
        </w:rPr>
        <w:t>.</w:t>
      </w:r>
    </w:p>
    <w:p w:rsidR="00CB41AA" w:rsidRPr="00C80641" w:rsidRDefault="00BF6019" w:rsidP="00D54E12">
      <w:pPr>
        <w:spacing w:after="140" w:line="240" w:lineRule="auto"/>
        <w:jc w:val="center"/>
        <w:rPr>
          <w:rFonts w:ascii="Arial" w:hAnsi="Arial" w:cs="Arial"/>
          <w:b/>
          <w:bCs/>
          <w:caps/>
          <w:color w:val="0076C0"/>
          <w:kern w:val="32"/>
          <w:sz w:val="24"/>
          <w:szCs w:val="32"/>
        </w:rPr>
      </w:pPr>
      <w:r>
        <w:rPr>
          <w:rFonts w:ascii="Arial" w:hAnsi="Arial" w:cs="Arial"/>
          <w:b/>
          <w:bCs/>
          <w:caps/>
          <w:noProof/>
          <w:color w:val="0076C0"/>
          <w:kern w:val="32"/>
          <w:sz w:val="24"/>
          <w:szCs w:val="32"/>
        </w:rPr>
      </w:r>
      <w:r>
        <w:rPr>
          <w:rFonts w:ascii="Arial" w:hAnsi="Arial" w:cs="Arial"/>
          <w:b/>
          <w:bCs/>
          <w:caps/>
          <w:noProof/>
          <w:color w:val="0076C0"/>
          <w:kern w:val="32"/>
          <w:sz w:val="24"/>
          <w:szCs w:val="32"/>
        </w:rPr>
        <w:pict>
          <v:shape id="AutoShape 42" o:spid="_x0000_s1039" type="#_x0000_t176" style="width:433.7pt;height:62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" fillcolor="#b8cce4" strokecolor="#4f81bd" strokeweight="2.5pt">
            <v:fill opacity="13107f"/>
            <v:shadow color="#868686"/>
            <v:textbox inset=",0,,0">
              <w:txbxContent>
                <w:p w:rsidR="0085182E" w:rsidRPr="0070675D" w:rsidRDefault="0085182E" w:rsidP="00D54E12">
                  <w:pPr>
                    <w:spacing w:after="200"/>
                    <w:jc w:val="center"/>
                    <w:rPr>
                      <w:b/>
                      <w:color w:val="0070C0"/>
                      <w:sz w:val="24"/>
                      <w:szCs w:val="24"/>
                    </w:rPr>
                  </w:pPr>
                  <w:r w:rsidRPr="0070675D">
                    <w:rPr>
                      <w:b/>
                      <w:color w:val="0070C0"/>
                      <w:sz w:val="24"/>
                      <w:szCs w:val="24"/>
                    </w:rPr>
                    <w:t>Key points from Chapter 3</w:t>
                  </w:r>
                </w:p>
                <w:p w:rsidR="0085182E" w:rsidRPr="008F59D7" w:rsidRDefault="0085182E" w:rsidP="00D54E12">
                  <w:pPr>
                    <w:pStyle w:val="BulletArrows"/>
                    <w:spacing w:after="100"/>
                    <w:rPr>
                      <w:b/>
                      <w:i/>
                      <w:color w:val="auto"/>
                      <w:szCs w:val="18"/>
                    </w:rPr>
                  </w:pPr>
                  <w:r w:rsidRPr="008F59D7">
                    <w:rPr>
                      <w:b/>
                      <w:i/>
                      <w:color w:val="auto"/>
                      <w:szCs w:val="18"/>
                    </w:rPr>
                    <w:t xml:space="preserve">Health effects of </w:t>
                  </w:r>
                  <w:r>
                    <w:rPr>
                      <w:b/>
                      <w:i/>
                      <w:color w:val="auto"/>
                      <w:szCs w:val="18"/>
                    </w:rPr>
                    <w:t xml:space="preserve">airborne </w:t>
                  </w:r>
                  <w:r w:rsidRPr="008F59D7">
                    <w:rPr>
                      <w:b/>
                      <w:i/>
                      <w:color w:val="auto"/>
                      <w:szCs w:val="18"/>
                    </w:rPr>
                    <w:t>PM</w:t>
                  </w:r>
                </w:p>
                <w:p w:rsidR="0085182E" w:rsidRPr="00B61A8F" w:rsidRDefault="0085182E" w:rsidP="00CD20B5">
                  <w:pPr>
                    <w:pStyle w:val="BulletArrows"/>
                    <w:numPr>
                      <w:ilvl w:val="0"/>
                      <w:numId w:val="83"/>
                    </w:numPr>
                    <w:rPr>
                      <w:color w:val="auto"/>
                      <w:szCs w:val="18"/>
                    </w:rPr>
                  </w:pPr>
                  <w:r>
                    <w:rPr>
                      <w:color w:val="auto"/>
                      <w:szCs w:val="18"/>
                    </w:rPr>
                    <w:t>Airborne PM has</w:t>
                  </w:r>
                  <w:r w:rsidRPr="00CB41AA">
                    <w:rPr>
                      <w:color w:val="auto"/>
                      <w:szCs w:val="18"/>
                    </w:rPr>
                    <w:t xml:space="preserve"> a range of adverse effects on health</w:t>
                  </w:r>
                  <w:r>
                    <w:rPr>
                      <w:color w:val="auto"/>
                      <w:szCs w:val="18"/>
                    </w:rPr>
                    <w:t xml:space="preserve">, including premature mortality and aggravation of cardiovascular/respiratory disease. </w:t>
                  </w:r>
                  <w:r w:rsidRPr="00B61A8F">
                    <w:rPr>
                      <w:color w:val="auto"/>
                      <w:szCs w:val="18"/>
                    </w:rPr>
                    <w:t>Out</w:t>
                  </w:r>
                  <w:r>
                    <w:rPr>
                      <w:color w:val="auto"/>
                      <w:szCs w:val="18"/>
                    </w:rPr>
                    <w:t xml:space="preserve">door air pollution has </w:t>
                  </w:r>
                  <w:r w:rsidRPr="00B61A8F">
                    <w:rPr>
                      <w:color w:val="auto"/>
                      <w:szCs w:val="18"/>
                    </w:rPr>
                    <w:t>been classified as carcinogenic to humans, with an emphasis on PM in general and specifically PM in diesel engine exhaust.</w:t>
                  </w:r>
                </w:p>
                <w:p w:rsidR="0085182E" w:rsidRPr="00B61A8F" w:rsidRDefault="0085182E" w:rsidP="00CD20B5">
                  <w:pPr>
                    <w:pStyle w:val="BulletArrows"/>
                    <w:numPr>
                      <w:ilvl w:val="0"/>
                      <w:numId w:val="83"/>
                    </w:numPr>
                    <w:spacing w:after="80"/>
                    <w:rPr>
                      <w:color w:val="auto"/>
                      <w:szCs w:val="18"/>
                    </w:rPr>
                  </w:pPr>
                  <w:r>
                    <w:rPr>
                      <w:color w:val="auto"/>
                      <w:szCs w:val="18"/>
                    </w:rPr>
                    <w:t>For PM</w:t>
                  </w:r>
                  <w:r w:rsidRPr="00B61A8F">
                    <w:rPr>
                      <w:color w:val="auto"/>
                      <w:szCs w:val="18"/>
                      <w:vertAlign w:val="subscript"/>
                    </w:rPr>
                    <w:t>2.5</w:t>
                  </w:r>
                  <w:r>
                    <w:rPr>
                      <w:color w:val="auto"/>
                      <w:szCs w:val="18"/>
                    </w:rPr>
                    <w:t>:</w:t>
                  </w:r>
                </w:p>
                <w:p w:rsidR="0085182E" w:rsidRPr="00B61A8F" w:rsidRDefault="0085182E" w:rsidP="00CD20B5">
                  <w:pPr>
                    <w:pStyle w:val="BulletArrows"/>
                    <w:numPr>
                      <w:ilvl w:val="0"/>
                      <w:numId w:val="78"/>
                    </w:numPr>
                    <w:spacing w:after="60"/>
                    <w:rPr>
                      <w:color w:val="auto"/>
                      <w:szCs w:val="18"/>
                    </w:rPr>
                  </w:pPr>
                  <w:r>
                    <w:t>There is sufficient evidence to conclude that long-term and short-term exposure causes illness and death from cardiovascular conditions, and is likely to cause respiratory conditions</w:t>
                  </w:r>
                  <w:r>
                    <w:rPr>
                      <w:b/>
                    </w:rPr>
                    <w:t>.</w:t>
                  </w:r>
                  <w:r>
                    <w:rPr>
                      <w:color w:val="auto"/>
                      <w:szCs w:val="18"/>
                    </w:rPr>
                    <w:t xml:space="preserve"> </w:t>
                  </w:r>
                </w:p>
                <w:p w:rsidR="0085182E" w:rsidRPr="00B61A8F" w:rsidRDefault="0085182E" w:rsidP="00CD20B5">
                  <w:pPr>
                    <w:pStyle w:val="BulletArrows"/>
                    <w:numPr>
                      <w:ilvl w:val="0"/>
                      <w:numId w:val="78"/>
                    </w:numPr>
                    <w:spacing w:after="200"/>
                    <w:rPr>
                      <w:color w:val="auto"/>
                      <w:szCs w:val="18"/>
                    </w:rPr>
                  </w:pPr>
                  <w:r>
                    <w:t>Associations have been observed between exposure and reproductive and developmental effects.</w:t>
                  </w:r>
                </w:p>
                <w:p w:rsidR="0085182E" w:rsidRDefault="0085182E" w:rsidP="00CD20B5">
                  <w:pPr>
                    <w:pStyle w:val="BulletArrows"/>
                    <w:numPr>
                      <w:ilvl w:val="0"/>
                      <w:numId w:val="84"/>
                    </w:numPr>
                    <w:spacing w:after="80"/>
                  </w:pPr>
                  <w:r>
                    <w:t>For PM</w:t>
                  </w:r>
                  <w:r w:rsidRPr="00B61A8F">
                    <w:rPr>
                      <w:vertAlign w:val="subscript"/>
                    </w:rPr>
                    <w:t>10</w:t>
                  </w:r>
                  <w:r>
                    <w:t>:</w:t>
                  </w:r>
                </w:p>
                <w:p w:rsidR="0085182E" w:rsidRDefault="0085182E" w:rsidP="00CD20B5">
                  <w:pPr>
                    <w:pStyle w:val="BulletArrows"/>
                    <w:numPr>
                      <w:ilvl w:val="0"/>
                      <w:numId w:val="80"/>
                    </w:numPr>
                    <w:spacing w:after="60"/>
                  </w:pPr>
                  <w:r>
                    <w:t>There is extensive evidence that short-term exposure is associated with health effects, and that these effects are independent of the effects of PM</w:t>
                  </w:r>
                  <w:r w:rsidRPr="00B61A8F">
                    <w:rPr>
                      <w:vertAlign w:val="subscript"/>
                    </w:rPr>
                    <w:t>2.5</w:t>
                  </w:r>
                  <w:r>
                    <w:t>.</w:t>
                  </w:r>
                </w:p>
                <w:p w:rsidR="0085182E" w:rsidRPr="00B61A8F" w:rsidRDefault="0085182E" w:rsidP="00CD20B5">
                  <w:pPr>
                    <w:pStyle w:val="BulletArrows"/>
                    <w:numPr>
                      <w:ilvl w:val="0"/>
                      <w:numId w:val="80"/>
                    </w:numPr>
                    <w:spacing w:after="60"/>
                  </w:pPr>
                  <w:r>
                    <w:t>There is evidence of a causal relationship between short-term exposure and cardiovascular and respiratory effects and mortality</w:t>
                  </w:r>
                  <w:r>
                    <w:rPr>
                      <w:b/>
                    </w:rPr>
                    <w:t>.</w:t>
                  </w:r>
                </w:p>
                <w:p w:rsidR="0085182E" w:rsidRPr="00923A38" w:rsidRDefault="0085182E" w:rsidP="00CD20B5">
                  <w:pPr>
                    <w:pStyle w:val="BulletArrows"/>
                    <w:numPr>
                      <w:ilvl w:val="0"/>
                      <w:numId w:val="80"/>
                    </w:numPr>
                    <w:spacing w:after="200"/>
                  </w:pPr>
                  <w:r>
                    <w:t>There is less evidence that long-term exposure has health effects that are independent of those caused by long-term exposure to PM</w:t>
                  </w:r>
                  <w:r>
                    <w:rPr>
                      <w:vertAlign w:val="subscript"/>
                    </w:rPr>
                    <w:t>2.5</w:t>
                  </w:r>
                  <w:r>
                    <w:t>, although WHO recommends a long-term air quality standard for PM</w:t>
                  </w:r>
                  <w:r w:rsidRPr="00693A8D">
                    <w:rPr>
                      <w:vertAlign w:val="subscript"/>
                    </w:rPr>
                    <w:t>10</w:t>
                  </w:r>
                  <w:r>
                    <w:t xml:space="preserve">. </w:t>
                  </w:r>
                </w:p>
                <w:p w:rsidR="0085182E" w:rsidRDefault="0085182E" w:rsidP="00CB41AA">
                  <w:pPr>
                    <w:pStyle w:val="BulletArrows"/>
                    <w:numPr>
                      <w:ilvl w:val="0"/>
                      <w:numId w:val="1"/>
                    </w:numPr>
                    <w:ind w:left="284" w:hanging="284"/>
                    <w:rPr>
                      <w:color w:val="auto"/>
                      <w:szCs w:val="18"/>
                    </w:rPr>
                  </w:pPr>
                  <w:r>
                    <w:rPr>
                      <w:color w:val="auto"/>
                      <w:szCs w:val="18"/>
                    </w:rPr>
                    <w:t>For other PM metrics:</w:t>
                  </w:r>
                </w:p>
                <w:p w:rsidR="0085182E" w:rsidRDefault="0085182E" w:rsidP="00CD20B5">
                  <w:pPr>
                    <w:pStyle w:val="BulletArrows"/>
                    <w:numPr>
                      <w:ilvl w:val="0"/>
                      <w:numId w:val="82"/>
                    </w:numPr>
                    <w:spacing w:after="60"/>
                  </w:pPr>
                  <w:r w:rsidRPr="00A14EF6">
                    <w:t xml:space="preserve">There is </w:t>
                  </w:r>
                  <w:r>
                    <w:t xml:space="preserve">increasing, but as yet </w:t>
                  </w:r>
                  <w:r w:rsidRPr="00A14EF6">
                    <w:t>limited</w:t>
                  </w:r>
                  <w:r>
                    <w:t>,</w:t>
                  </w:r>
                  <w:r w:rsidRPr="00A14EF6">
                    <w:t xml:space="preserve"> epidemiological evidence on the association between short-term exposure to ultrafine particles and health</w:t>
                  </w:r>
                  <w:r>
                    <w:t>.</w:t>
                  </w:r>
                </w:p>
                <w:p w:rsidR="0085182E" w:rsidRDefault="0085182E" w:rsidP="00CD20B5">
                  <w:pPr>
                    <w:pStyle w:val="BulletArrows"/>
                    <w:numPr>
                      <w:ilvl w:val="0"/>
                      <w:numId w:val="82"/>
                    </w:numPr>
                    <w:spacing w:after="200"/>
                  </w:pPr>
                  <w:r>
                    <w:t>While there is some evidence that the relationship between PM and health effects depends on chemical composition (</w:t>
                  </w:r>
                  <w:r w:rsidRPr="009334F4">
                    <w:t>e.g.</w:t>
                  </w:r>
                  <w:r>
                    <w:t xml:space="preserve"> black carbon, SOA and SIA), the evidence is insufficient to conclude that this relationship is causal.</w:t>
                  </w:r>
                </w:p>
                <w:p w:rsidR="0085182E" w:rsidRDefault="0085182E" w:rsidP="00D54E12">
                  <w:pPr>
                    <w:pStyle w:val="BulletArrows"/>
                    <w:numPr>
                      <w:ilvl w:val="0"/>
                      <w:numId w:val="1"/>
                    </w:numPr>
                    <w:ind w:left="284" w:hanging="284"/>
                    <w:rPr>
                      <w:color w:val="auto"/>
                      <w:szCs w:val="18"/>
                    </w:rPr>
                  </w:pPr>
                  <w:r>
                    <w:t>For PM</w:t>
                  </w:r>
                  <w:r w:rsidRPr="00B61A8F">
                    <w:rPr>
                      <w:vertAlign w:val="subscript"/>
                    </w:rPr>
                    <w:t>2.5</w:t>
                  </w:r>
                  <w:r>
                    <w:t xml:space="preserve"> and PM</w:t>
                  </w:r>
                  <w:r w:rsidRPr="00B61A8F">
                    <w:rPr>
                      <w:vertAlign w:val="subscript"/>
                    </w:rPr>
                    <w:t>10</w:t>
                  </w:r>
                  <w:r>
                    <w:t xml:space="preserve"> the effects observed in </w:t>
                  </w:r>
                  <w:r w:rsidRPr="004C7D30">
                    <w:t xml:space="preserve">Australia and New Zealand </w:t>
                  </w:r>
                  <w:r>
                    <w:t>are consistent with those</w:t>
                  </w:r>
                  <w:r w:rsidRPr="004C7D30">
                    <w:t xml:space="preserve"> reported in the international literature</w:t>
                  </w:r>
                  <w:r w:rsidRPr="00B61A8F">
                    <w:rPr>
                      <w:b/>
                    </w:rPr>
                    <w:t>.</w:t>
                  </w:r>
                </w:p>
                <w:p w:rsidR="0085182E" w:rsidRPr="00495E81" w:rsidRDefault="0085182E" w:rsidP="00D54E12">
                  <w:pPr>
                    <w:pStyle w:val="BulletArrows"/>
                    <w:numPr>
                      <w:ilvl w:val="0"/>
                      <w:numId w:val="1"/>
                    </w:numPr>
                    <w:ind w:left="284" w:hanging="284"/>
                    <w:rPr>
                      <w:color w:val="auto"/>
                      <w:szCs w:val="18"/>
                    </w:rPr>
                  </w:pPr>
                  <w:r>
                    <w:rPr>
                      <w:color w:val="auto"/>
                      <w:szCs w:val="18"/>
                    </w:rPr>
                    <w:t xml:space="preserve">There is </w:t>
                  </w:r>
                  <w:r w:rsidRPr="00495E81">
                    <w:rPr>
                      <w:color w:val="auto"/>
                      <w:szCs w:val="18"/>
                    </w:rPr>
                    <w:t xml:space="preserve">evidence </w:t>
                  </w:r>
                  <w:r>
                    <w:rPr>
                      <w:color w:val="auto"/>
                      <w:szCs w:val="18"/>
                    </w:rPr>
                    <w:t xml:space="preserve">that exposure to </w:t>
                  </w:r>
                  <w:r w:rsidRPr="00495E81">
                    <w:rPr>
                      <w:szCs w:val="18"/>
                    </w:rPr>
                    <w:t>PM</w:t>
                  </w:r>
                  <w:r>
                    <w:rPr>
                      <w:szCs w:val="18"/>
                    </w:rPr>
                    <w:t xml:space="preserve"> at levels experienced </w:t>
                  </w:r>
                  <w:r w:rsidRPr="00495E81">
                    <w:rPr>
                      <w:szCs w:val="18"/>
                    </w:rPr>
                    <w:t>in Australian cities</w:t>
                  </w:r>
                  <w:r>
                    <w:rPr>
                      <w:szCs w:val="18"/>
                    </w:rPr>
                    <w:t xml:space="preserve"> is associated with health effects</w:t>
                  </w:r>
                  <w:r w:rsidRPr="00495E81">
                    <w:rPr>
                      <w:szCs w:val="18"/>
                    </w:rPr>
                    <w:t>.</w:t>
                  </w:r>
                  <w:r>
                    <w:rPr>
                      <w:szCs w:val="18"/>
                    </w:rPr>
                    <w:t xml:space="preserve"> There would therefore be health benefits from reducing exposure below these levels, and setting standards as low as reasonably achievable.</w:t>
                  </w:r>
                </w:p>
                <w:p w:rsidR="0085182E" w:rsidRPr="008F59D7" w:rsidRDefault="0085182E" w:rsidP="00D54E12">
                  <w:pPr>
                    <w:pStyle w:val="BulletArrows"/>
                    <w:spacing w:after="100"/>
                    <w:rPr>
                      <w:b/>
                      <w:i/>
                      <w:szCs w:val="18"/>
                    </w:rPr>
                  </w:pPr>
                  <w:r w:rsidRPr="008F59D7">
                    <w:rPr>
                      <w:b/>
                      <w:i/>
                      <w:szCs w:val="18"/>
                    </w:rPr>
                    <w:t>Monetary costs</w:t>
                  </w:r>
                  <w:r>
                    <w:rPr>
                      <w:b/>
                      <w:i/>
                      <w:szCs w:val="18"/>
                    </w:rPr>
                    <w:t xml:space="preserve"> of airborne PM</w:t>
                  </w:r>
                </w:p>
                <w:p w:rsidR="0085182E" w:rsidRPr="00495E81" w:rsidRDefault="0085182E" w:rsidP="00D54E12">
                  <w:pPr>
                    <w:pStyle w:val="BulletArrows"/>
                    <w:numPr>
                      <w:ilvl w:val="0"/>
                      <w:numId w:val="1"/>
                    </w:numPr>
                    <w:ind w:left="284" w:hanging="284"/>
                    <w:rPr>
                      <w:szCs w:val="18"/>
                    </w:rPr>
                  </w:pPr>
                  <w:r w:rsidRPr="00495E81">
                    <w:rPr>
                      <w:szCs w:val="18"/>
                    </w:rPr>
                    <w:t>Reducing exposure to PM</w:t>
                  </w:r>
                  <w:r w:rsidRPr="00495E81">
                    <w:rPr>
                      <w:szCs w:val="18"/>
                      <w:vertAlign w:val="subscript"/>
                    </w:rPr>
                    <w:t>10</w:t>
                  </w:r>
                  <w:r w:rsidRPr="00495E81">
                    <w:rPr>
                      <w:szCs w:val="18"/>
                    </w:rPr>
                    <w:t xml:space="preserve"> and PM</w:t>
                  </w:r>
                  <w:r w:rsidRPr="00495E81">
                    <w:rPr>
                      <w:szCs w:val="18"/>
                      <w:vertAlign w:val="subscript"/>
                    </w:rPr>
                    <w:t>2.5</w:t>
                  </w:r>
                  <w:r w:rsidRPr="00495E81">
                    <w:rPr>
                      <w:szCs w:val="18"/>
                    </w:rPr>
                    <w:t xml:space="preserve"> in S</w:t>
                  </w:r>
                  <w:r>
                    <w:rPr>
                      <w:szCs w:val="18"/>
                    </w:rPr>
                    <w:t>ydney alone could save around $5</w:t>
                  </w:r>
                  <w:r w:rsidRPr="00495E81">
                    <w:rPr>
                      <w:szCs w:val="18"/>
                    </w:rPr>
                    <w:t> billion per year.</w:t>
                  </w:r>
                </w:p>
                <w:p w:rsidR="0085182E" w:rsidRPr="00D54E12" w:rsidRDefault="0085182E" w:rsidP="00D54E12">
                  <w:pPr>
                    <w:pStyle w:val="BulletArrows"/>
                    <w:numPr>
                      <w:ilvl w:val="0"/>
                      <w:numId w:val="1"/>
                    </w:numPr>
                    <w:ind w:left="284" w:hanging="284"/>
                    <w:rPr>
                      <w:szCs w:val="18"/>
                    </w:rPr>
                  </w:pPr>
                  <w:r w:rsidRPr="00495E81">
                    <w:rPr>
                      <w:szCs w:val="18"/>
                    </w:rPr>
                    <w:t>The greatest proportion (&gt;99%) of the health benefits are accrued from avoiding premature deaths due to long-term exposure to PM</w:t>
                  </w:r>
                  <w:r w:rsidRPr="00495E81">
                    <w:rPr>
                      <w:szCs w:val="18"/>
                      <w:vertAlign w:val="subscript"/>
                    </w:rPr>
                    <w:t>2.5</w:t>
                  </w:r>
                  <w:r>
                    <w:rPr>
                      <w:szCs w:val="18"/>
                    </w:rPr>
                    <w:t>.</w:t>
                  </w:r>
                </w:p>
              </w:txbxContent>
            </v:textbox>
            <w10:wrap type="none"/>
            <w10:anchorlock/>
          </v:shape>
        </w:pict>
      </w:r>
    </w:p>
    <w:p w:rsidR="00142200" w:rsidRPr="00C80641" w:rsidRDefault="00BF6019" w:rsidP="00D54E12">
      <w:pPr>
        <w:spacing w:after="0" w:line="240" w:lineRule="auto"/>
        <w:jc w:val="center"/>
        <w:rPr>
          <w:rFonts w:ascii="Arial" w:hAnsi="Arial" w:cs="Arial"/>
          <w:b/>
          <w:bCs/>
          <w:caps/>
          <w:color w:val="0076C0"/>
          <w:kern w:val="32"/>
          <w:sz w:val="24"/>
          <w:szCs w:val="32"/>
        </w:rPr>
      </w:pPr>
      <w:r w:rsidRPr="00BF6019">
        <w:rPr>
          <w:rFonts w:ascii="Arial" w:hAnsi="Arial" w:cs="Arial"/>
          <w:noProof/>
          <w:color w:val="FF0000"/>
        </w:rPr>
      </w:r>
      <w:r w:rsidRPr="00BF6019">
        <w:rPr>
          <w:rFonts w:ascii="Arial" w:hAnsi="Arial" w:cs="Arial"/>
          <w:noProof/>
          <w:color w:val="FF0000"/>
        </w:rPr>
        <w:pict>
          <v:shape id="AutoShape 23" o:spid="_x0000_s1038" type="#_x0000_t176" style="width:433.7pt;height:8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" fillcolor="#fbd4b4" strokecolor="#f79646" strokeweight="2.5pt">
            <v:fill opacity="13107f"/>
            <v:shadow color="#868686"/>
            <v:textbox>
              <w:txbxContent>
                <w:p w:rsidR="0085182E" w:rsidRPr="0043291D" w:rsidRDefault="0085182E" w:rsidP="00D54E12">
                  <w:pPr>
                    <w:spacing w:after="120"/>
                    <w:jc w:val="center"/>
                    <w:rPr>
                      <w:b/>
                      <w:color w:val="E36C0A"/>
                      <w:sz w:val="24"/>
                      <w:szCs w:val="24"/>
                    </w:rPr>
                  </w:pPr>
                  <w:r>
                    <w:rPr>
                      <w:b/>
                      <w:color w:val="E36C0A"/>
                      <w:sz w:val="24"/>
                      <w:szCs w:val="24"/>
                    </w:rPr>
                    <w:t>Proposed question</w:t>
                  </w:r>
                  <w:r w:rsidRPr="0043291D">
                    <w:rPr>
                      <w:b/>
                      <w:color w:val="E36C0A"/>
                      <w:sz w:val="24"/>
                      <w:szCs w:val="24"/>
                    </w:rPr>
                    <w:t xml:space="preserve"> for consultation:</w:t>
                  </w:r>
                  <w:r w:rsidRPr="002A2116">
                    <w:rPr>
                      <w:b/>
                      <w:color w:val="E36C0A"/>
                      <w:sz w:val="24"/>
                      <w:szCs w:val="24"/>
                    </w:rPr>
                    <w:t xml:space="preserve"> Health </w:t>
                  </w:r>
                  <w:r>
                    <w:rPr>
                      <w:b/>
                      <w:color w:val="E36C0A"/>
                      <w:sz w:val="24"/>
                      <w:szCs w:val="24"/>
                    </w:rPr>
                    <w:t>e</w:t>
                  </w:r>
                  <w:r w:rsidRPr="0043291D">
                    <w:rPr>
                      <w:b/>
                      <w:color w:val="E36C0A"/>
                      <w:sz w:val="24"/>
                      <w:szCs w:val="24"/>
                    </w:rPr>
                    <w:t xml:space="preserve">ffects and monetary </w:t>
                  </w:r>
                  <w:r>
                    <w:rPr>
                      <w:b/>
                      <w:color w:val="E36C0A"/>
                      <w:sz w:val="24"/>
                      <w:szCs w:val="24"/>
                    </w:rPr>
                    <w:br/>
                  </w:r>
                  <w:r w:rsidRPr="0043291D">
                    <w:rPr>
                      <w:b/>
                      <w:color w:val="E36C0A"/>
                      <w:sz w:val="24"/>
                      <w:szCs w:val="24"/>
                    </w:rPr>
                    <w:t>costs of airborne PM</w:t>
                  </w:r>
                </w:p>
                <w:p w:rsidR="0085182E" w:rsidRPr="006A5626" w:rsidRDefault="0085182E" w:rsidP="006E11F4">
                  <w:pPr>
                    <w:pStyle w:val="BulletArrows"/>
                    <w:numPr>
                      <w:ilvl w:val="0"/>
                      <w:numId w:val="22"/>
                    </w:numPr>
                    <w:spacing w:after="360"/>
                  </w:pPr>
                  <w:r w:rsidRPr="006A5626">
                    <w:t xml:space="preserve">Is there any </w:t>
                  </w:r>
                  <w:proofErr w:type="spellStart"/>
                  <w:r w:rsidRPr="006A5626">
                    <w:t>any</w:t>
                  </w:r>
                  <w:proofErr w:type="spellEnd"/>
                  <w:r w:rsidRPr="006A5626">
                    <w:t xml:space="preserve"> additional Australia-specific information on the health effects or monetary costs of PM that should be included? If so, please provide details.</w:t>
                  </w:r>
                </w:p>
                <w:p w:rsidR="0085182E" w:rsidRDefault="0085182E" w:rsidP="006E11F4">
                  <w:pPr>
                    <w:pStyle w:val="BulletArrows"/>
                    <w:numPr>
                      <w:ilvl w:val="0"/>
                      <w:numId w:val="22"/>
                    </w:numPr>
                    <w:ind w:left="426" w:hanging="284"/>
                    <w:rPr>
                      <w:color w:val="auto"/>
                      <w:szCs w:val="18"/>
                    </w:rPr>
                  </w:pPr>
                </w:p>
              </w:txbxContent>
            </v:textbox>
            <w10:wrap type="none"/>
            <w10:anchorlock/>
          </v:shape>
        </w:pict>
      </w:r>
    </w:p>
    <w:p w:rsidR="00692A6D" w:rsidRPr="00C80641" w:rsidRDefault="00692A6D" w:rsidP="002C6E3A">
      <w:pPr>
        <w:rPr>
          <w:rFonts w:ascii="Arial" w:hAnsi="Arial" w:cs="Arial"/>
        </w:rPr>
        <w:sectPr w:rsidR="00692A6D" w:rsidRPr="00C80641" w:rsidSect="006A5626">
          <w:headerReference w:type="even" r:id="rId42"/>
          <w:headerReference w:type="default" r:id="rId43"/>
          <w:footerReference w:type="default" r:id="rId44"/>
          <w:headerReference w:type="first" r:id="rId45"/>
          <w:pgSz w:w="11906" w:h="16838" w:code="9"/>
          <w:pgMar w:top="1440" w:right="1440" w:bottom="1440" w:left="1440" w:header="284" w:footer="244" w:gutter="0"/>
          <w:cols w:space="255"/>
          <w:docGrid w:linePitch="360"/>
        </w:sectPr>
      </w:pPr>
    </w:p>
    <w:p w:rsidR="00002132" w:rsidRPr="00C80641" w:rsidRDefault="00D27EA1" w:rsidP="002440F9">
      <w:pPr>
        <w:pStyle w:val="Heading1"/>
        <w:rPr>
          <w:rFonts w:ascii="Arial" w:hAnsi="Arial"/>
        </w:rPr>
      </w:pPr>
      <w:bookmarkStart w:id="37" w:name="_Toc394011092"/>
      <w:r w:rsidRPr="00C80641">
        <w:rPr>
          <w:rFonts w:ascii="Arial" w:hAnsi="Arial"/>
        </w:rPr>
        <w:lastRenderedPageBreak/>
        <w:t>Policy context and legislation</w:t>
      </w:r>
      <w:bookmarkEnd w:id="37"/>
    </w:p>
    <w:p w:rsidR="00212AF4" w:rsidRPr="00C80641" w:rsidRDefault="005D439F" w:rsidP="00FA4C0F">
      <w:pPr>
        <w:pStyle w:val="Heading2"/>
        <w:rPr>
          <w:rFonts w:ascii="Arial" w:hAnsi="Arial"/>
        </w:rPr>
      </w:pPr>
      <w:bookmarkStart w:id="38" w:name="_Toc394011093"/>
      <w:r w:rsidRPr="00C80641">
        <w:rPr>
          <w:rFonts w:ascii="Arial" w:hAnsi="Arial"/>
        </w:rPr>
        <w:t>A</w:t>
      </w:r>
      <w:r w:rsidR="00212AF4" w:rsidRPr="00C80641">
        <w:rPr>
          <w:rFonts w:ascii="Arial" w:hAnsi="Arial"/>
        </w:rPr>
        <w:t>ir quality management</w:t>
      </w:r>
      <w:r w:rsidRPr="00C80641">
        <w:rPr>
          <w:rFonts w:ascii="Arial" w:hAnsi="Arial"/>
        </w:rPr>
        <w:t xml:space="preserve"> in Australia</w:t>
      </w:r>
      <w:bookmarkEnd w:id="38"/>
    </w:p>
    <w:p w:rsidR="00BE35F5" w:rsidRPr="00C80641" w:rsidRDefault="00BE35F5" w:rsidP="00810588">
      <w:pPr>
        <w:pStyle w:val="Heading3"/>
        <w:spacing w:before="0" w:after="200"/>
        <w:rPr>
          <w:rFonts w:ascii="Arial" w:hAnsi="Arial"/>
        </w:rPr>
      </w:pPr>
      <w:bookmarkStart w:id="39" w:name="_Toc394011094"/>
      <w:r w:rsidRPr="00C80641">
        <w:rPr>
          <w:rFonts w:ascii="Arial" w:hAnsi="Arial"/>
        </w:rPr>
        <w:t>Governance</w:t>
      </w:r>
      <w:bookmarkEnd w:id="39"/>
    </w:p>
    <w:p w:rsidR="00212AF4" w:rsidRPr="00C80641" w:rsidRDefault="005F2D8F" w:rsidP="005F2D8F">
      <w:pPr>
        <w:pStyle w:val="Heading4"/>
        <w:rPr>
          <w:rFonts w:ascii="Arial" w:hAnsi="Arial" w:cs="Arial"/>
        </w:rPr>
      </w:pPr>
      <w:r w:rsidRPr="00C80641">
        <w:rPr>
          <w:rFonts w:ascii="Arial" w:hAnsi="Arial" w:cs="Arial"/>
        </w:rPr>
        <w:t>National Environment Protection Council (</w:t>
      </w:r>
      <w:r w:rsidR="00234067" w:rsidRPr="00C80641">
        <w:rPr>
          <w:rFonts w:ascii="Arial" w:hAnsi="Arial" w:cs="Arial"/>
        </w:rPr>
        <w:t>NEPC</w:t>
      </w:r>
      <w:r w:rsidRPr="00C80641">
        <w:rPr>
          <w:rFonts w:ascii="Arial" w:hAnsi="Arial" w:cs="Arial"/>
        </w:rPr>
        <w:t>)</w:t>
      </w:r>
    </w:p>
    <w:p w:rsidR="00BE35F5" w:rsidRPr="00C80641" w:rsidRDefault="00BE35F5" w:rsidP="00810588">
      <w:pPr>
        <w:spacing w:after="180"/>
        <w:rPr>
          <w:rFonts w:ascii="Arial" w:hAnsi="Arial" w:cs="Arial"/>
        </w:rPr>
      </w:pPr>
      <w:r w:rsidRPr="00C80641">
        <w:rPr>
          <w:rFonts w:ascii="Arial" w:hAnsi="Arial" w:cs="Arial"/>
          <w:lang w:eastAsia="en-US"/>
        </w:rPr>
        <w:t>The National Environment Protection Council is a statutory body with law-making powers</w:t>
      </w:r>
      <w:r w:rsidR="00E5662C" w:rsidRPr="00C80641">
        <w:rPr>
          <w:rFonts w:ascii="Arial" w:hAnsi="Arial" w:cs="Arial"/>
          <w:lang w:eastAsia="en-US"/>
        </w:rPr>
        <w:t xml:space="preserve">. It was </w:t>
      </w:r>
      <w:r w:rsidRPr="00C80641">
        <w:rPr>
          <w:rFonts w:ascii="Arial" w:hAnsi="Arial" w:cs="Arial"/>
          <w:lang w:eastAsia="en-US"/>
        </w:rPr>
        <w:t xml:space="preserve">established under the </w:t>
      </w:r>
      <w:r w:rsidRPr="00C80641">
        <w:rPr>
          <w:rFonts w:ascii="Arial" w:hAnsi="Arial" w:cs="Arial"/>
          <w:iCs/>
          <w:lang w:eastAsia="en-US"/>
        </w:rPr>
        <w:t>National Environment Protection Council Act 1994 (Commonwealth</w:t>
      </w:r>
      <w:proofErr w:type="gramStart"/>
      <w:r w:rsidRPr="00C80641">
        <w:rPr>
          <w:rFonts w:ascii="Arial" w:hAnsi="Arial" w:cs="Arial"/>
          <w:iCs/>
          <w:lang w:eastAsia="en-US"/>
        </w:rPr>
        <w:t>)</w:t>
      </w:r>
      <w:r w:rsidR="005F2D8F" w:rsidRPr="00C80641">
        <w:rPr>
          <w:rFonts w:ascii="Arial" w:hAnsi="Arial" w:cs="Arial"/>
          <w:iCs/>
          <w:lang w:eastAsia="en-US"/>
        </w:rPr>
        <w:t>(</w:t>
      </w:r>
      <w:proofErr w:type="gramEnd"/>
      <w:r w:rsidR="005F2D8F" w:rsidRPr="00C80641">
        <w:rPr>
          <w:rFonts w:ascii="Arial" w:hAnsi="Arial" w:cs="Arial"/>
          <w:iCs/>
          <w:lang w:eastAsia="en-US"/>
        </w:rPr>
        <w:t>the NEPC Act)</w:t>
      </w:r>
      <w:r w:rsidRPr="00C80641">
        <w:rPr>
          <w:rFonts w:ascii="Arial" w:hAnsi="Arial" w:cs="Arial"/>
          <w:lang w:eastAsia="en-US"/>
        </w:rPr>
        <w:t xml:space="preserve">, and corresponding legislation in other Australian jurisdictions. </w:t>
      </w:r>
      <w:r w:rsidR="00161212" w:rsidRPr="00C80641">
        <w:rPr>
          <w:rFonts w:ascii="Arial" w:hAnsi="Arial" w:cs="Arial"/>
          <w:lang w:eastAsia="en-US"/>
        </w:rPr>
        <w:t xml:space="preserve">The members of the NEPC are </w:t>
      </w:r>
      <w:r w:rsidR="007D0E5F" w:rsidRPr="00C80641">
        <w:rPr>
          <w:rFonts w:ascii="Arial" w:hAnsi="Arial" w:cs="Arial"/>
          <w:lang w:eastAsia="en-US"/>
        </w:rPr>
        <w:t>m</w:t>
      </w:r>
      <w:r w:rsidR="00161212" w:rsidRPr="00C80641">
        <w:rPr>
          <w:rFonts w:ascii="Arial" w:hAnsi="Arial" w:cs="Arial"/>
          <w:lang w:eastAsia="en-US"/>
        </w:rPr>
        <w:t>inisters from the participating jurisdictions</w:t>
      </w:r>
      <w:r w:rsidR="00E5662C" w:rsidRPr="00C80641">
        <w:rPr>
          <w:rFonts w:ascii="Arial" w:hAnsi="Arial" w:cs="Arial"/>
          <w:lang w:eastAsia="en-US"/>
        </w:rPr>
        <w:t>.</w:t>
      </w:r>
      <w:r w:rsidR="00161212" w:rsidRPr="00C80641">
        <w:rPr>
          <w:rFonts w:ascii="Arial" w:hAnsi="Arial" w:cs="Arial"/>
          <w:lang w:eastAsia="en-US"/>
        </w:rPr>
        <w:t xml:space="preserve"> </w:t>
      </w:r>
      <w:r w:rsidR="003A7A05" w:rsidRPr="00C80641">
        <w:rPr>
          <w:rFonts w:ascii="Arial" w:hAnsi="Arial" w:cs="Arial"/>
          <w:lang w:eastAsia="en-US"/>
        </w:rPr>
        <w:t>The NEPC’s primary functions are t</w:t>
      </w:r>
      <w:r w:rsidRPr="00C80641">
        <w:rPr>
          <w:rFonts w:ascii="Arial" w:hAnsi="Arial" w:cs="Arial"/>
        </w:rPr>
        <w:t>o make National Environment Protection Measures (</w:t>
      </w:r>
      <w:r w:rsidR="00EF24F8" w:rsidRPr="00C80641">
        <w:rPr>
          <w:rFonts w:ascii="Arial" w:hAnsi="Arial" w:cs="Arial"/>
        </w:rPr>
        <w:t>NEPM</w:t>
      </w:r>
      <w:r w:rsidRPr="00C80641">
        <w:rPr>
          <w:rFonts w:ascii="Arial" w:hAnsi="Arial" w:cs="Arial"/>
        </w:rPr>
        <w:t>s)</w:t>
      </w:r>
      <w:r w:rsidR="003A7A05" w:rsidRPr="00C80641">
        <w:rPr>
          <w:rFonts w:ascii="Arial" w:hAnsi="Arial" w:cs="Arial"/>
        </w:rPr>
        <w:t>, and t</w:t>
      </w:r>
      <w:r w:rsidRPr="00C80641">
        <w:rPr>
          <w:rFonts w:ascii="Arial" w:hAnsi="Arial" w:cs="Arial"/>
        </w:rPr>
        <w:t xml:space="preserve">o assess and report on the implementation and effectiveness of </w:t>
      </w:r>
      <w:r w:rsidR="00EF24F8" w:rsidRPr="00C80641">
        <w:rPr>
          <w:rFonts w:ascii="Arial" w:hAnsi="Arial" w:cs="Arial"/>
        </w:rPr>
        <w:t>NEPM</w:t>
      </w:r>
      <w:r w:rsidRPr="00C80641">
        <w:rPr>
          <w:rFonts w:ascii="Arial" w:hAnsi="Arial" w:cs="Arial"/>
        </w:rPr>
        <w:t xml:space="preserve">s in participating jurisdictions. </w:t>
      </w:r>
    </w:p>
    <w:p w:rsidR="004C7F57" w:rsidRPr="00C80641" w:rsidRDefault="007D0E5F" w:rsidP="00E33B69">
      <w:pPr>
        <w:spacing w:after="360"/>
        <w:rPr>
          <w:rFonts w:ascii="Arial" w:hAnsi="Arial" w:cs="Arial"/>
          <w:lang w:eastAsia="en-US"/>
        </w:rPr>
      </w:pPr>
      <w:r w:rsidRPr="00C80641">
        <w:rPr>
          <w:rFonts w:ascii="Arial" w:hAnsi="Arial" w:cs="Arial"/>
        </w:rPr>
        <w:t xml:space="preserve">A </w:t>
      </w:r>
      <w:r w:rsidR="00EF24F8" w:rsidRPr="00C80641">
        <w:rPr>
          <w:rFonts w:ascii="Arial" w:hAnsi="Arial" w:cs="Arial"/>
        </w:rPr>
        <w:t>NEPM</w:t>
      </w:r>
      <w:r w:rsidR="004C7F57" w:rsidRPr="00C80641">
        <w:rPr>
          <w:rFonts w:ascii="Arial" w:hAnsi="Arial" w:cs="Arial"/>
        </w:rPr>
        <w:t xml:space="preserve"> is a legislative instrument that is designed to protect particular aspects of the environment in a consistent way across </w:t>
      </w:r>
      <w:r w:rsidRPr="00C80641">
        <w:rPr>
          <w:rFonts w:ascii="Arial" w:hAnsi="Arial" w:cs="Arial"/>
        </w:rPr>
        <w:t>s</w:t>
      </w:r>
      <w:r w:rsidR="004C7F57" w:rsidRPr="00C80641">
        <w:rPr>
          <w:rFonts w:ascii="Arial" w:hAnsi="Arial" w:cs="Arial"/>
        </w:rPr>
        <w:t xml:space="preserve">tate, </w:t>
      </w:r>
      <w:r w:rsidRPr="00C80641">
        <w:rPr>
          <w:rFonts w:ascii="Arial" w:hAnsi="Arial" w:cs="Arial"/>
        </w:rPr>
        <w:t>t</w:t>
      </w:r>
      <w:r w:rsidR="004C7F57" w:rsidRPr="00C80641">
        <w:rPr>
          <w:rFonts w:ascii="Arial" w:hAnsi="Arial" w:cs="Arial"/>
        </w:rPr>
        <w:t xml:space="preserve">erritory and Commonwealth jurisdictions. It may have one or more goals, standards and protocols, and may also contain guidelines. As defined by the NEPC Act, </w:t>
      </w:r>
      <w:r w:rsidRPr="00C80641">
        <w:rPr>
          <w:rFonts w:ascii="Arial" w:hAnsi="Arial" w:cs="Arial"/>
        </w:rPr>
        <w:t xml:space="preserve">a </w:t>
      </w:r>
      <w:r w:rsidR="00EF24F8" w:rsidRPr="00C80641">
        <w:rPr>
          <w:rFonts w:ascii="Arial" w:hAnsi="Arial" w:cs="Arial"/>
        </w:rPr>
        <w:t>NEPM</w:t>
      </w:r>
      <w:r w:rsidR="004C7F57" w:rsidRPr="00C80641">
        <w:rPr>
          <w:rFonts w:ascii="Arial" w:hAnsi="Arial" w:cs="Arial"/>
        </w:rPr>
        <w:t xml:space="preserve"> standard consists of quantifiable characteristics of the environment against which environmental quality can be assessed. The implementation of </w:t>
      </w:r>
      <w:r w:rsidR="00EF24F8" w:rsidRPr="00C80641">
        <w:rPr>
          <w:rFonts w:ascii="Arial" w:hAnsi="Arial" w:cs="Arial"/>
        </w:rPr>
        <w:t>NEPM</w:t>
      </w:r>
      <w:r w:rsidR="004C7F57" w:rsidRPr="00C80641">
        <w:rPr>
          <w:rFonts w:ascii="Arial" w:hAnsi="Arial" w:cs="Arial"/>
        </w:rPr>
        <w:t xml:space="preserve">s is outside the NEPC’s jurisdiction, and is achieved through state and territory legislation and associated regulations. Each jurisdiction is required to allocate sufficient resources to enforce the </w:t>
      </w:r>
      <w:r w:rsidR="00EF24F8" w:rsidRPr="00C80641">
        <w:rPr>
          <w:rFonts w:ascii="Arial" w:hAnsi="Arial" w:cs="Arial"/>
        </w:rPr>
        <w:t>NEPM</w:t>
      </w:r>
      <w:r w:rsidR="004C7F57" w:rsidRPr="00C80641">
        <w:rPr>
          <w:rFonts w:ascii="Arial" w:hAnsi="Arial" w:cs="Arial"/>
        </w:rPr>
        <w:t xml:space="preserve"> and report </w:t>
      </w:r>
      <w:r w:rsidR="00890ED8" w:rsidRPr="00C80641">
        <w:rPr>
          <w:rFonts w:ascii="Arial" w:hAnsi="Arial" w:cs="Arial"/>
        </w:rPr>
        <w:t xml:space="preserve">annually </w:t>
      </w:r>
      <w:r w:rsidR="004C7F57" w:rsidRPr="00C80641">
        <w:rPr>
          <w:rFonts w:ascii="Arial" w:hAnsi="Arial" w:cs="Arial"/>
        </w:rPr>
        <w:t>on its implementation.</w:t>
      </w:r>
    </w:p>
    <w:p w:rsidR="00376561" w:rsidRPr="00C80641" w:rsidRDefault="00EF24F8" w:rsidP="000F787E">
      <w:pPr>
        <w:pStyle w:val="Heading3"/>
        <w:rPr>
          <w:rFonts w:ascii="Arial" w:hAnsi="Arial"/>
        </w:rPr>
      </w:pPr>
      <w:bookmarkStart w:id="40" w:name="_Toc394011095"/>
      <w:r w:rsidRPr="00C80641">
        <w:rPr>
          <w:rFonts w:ascii="Arial" w:hAnsi="Arial"/>
        </w:rPr>
        <w:t>AAQ NEPM</w:t>
      </w:r>
      <w:r w:rsidR="00044D45" w:rsidRPr="00C80641">
        <w:rPr>
          <w:rFonts w:ascii="Arial" w:hAnsi="Arial"/>
        </w:rPr>
        <w:t xml:space="preserve"> and review</w:t>
      </w:r>
      <w:bookmarkEnd w:id="40"/>
    </w:p>
    <w:p w:rsidR="00376561" w:rsidRPr="00C80641" w:rsidRDefault="00CF1FEF" w:rsidP="00DB5D5F">
      <w:pPr>
        <w:pStyle w:val="Level4PB"/>
        <w:rPr>
          <w:rFonts w:ascii="Arial" w:hAnsi="Arial" w:cs="Arial"/>
          <w:lang w:val="en-AU"/>
        </w:rPr>
      </w:pPr>
      <w:r w:rsidRPr="00C80641">
        <w:rPr>
          <w:rFonts w:ascii="Arial" w:hAnsi="Arial" w:cs="Arial"/>
          <w:lang w:val="en-AU"/>
        </w:rPr>
        <w:t>Overview</w:t>
      </w:r>
    </w:p>
    <w:p w:rsidR="00290924" w:rsidRPr="00C80641" w:rsidRDefault="00794AFD" w:rsidP="00810588">
      <w:pPr>
        <w:spacing w:after="180"/>
        <w:rPr>
          <w:rFonts w:ascii="Arial" w:hAnsi="Arial" w:cs="Arial"/>
        </w:rPr>
      </w:pPr>
      <w:r w:rsidRPr="00C80641">
        <w:rPr>
          <w:rFonts w:ascii="Arial" w:hAnsi="Arial" w:cs="Arial"/>
        </w:rPr>
        <w:t xml:space="preserve">As noted in </w:t>
      </w:r>
      <w:r w:rsidRPr="00C80641">
        <w:rPr>
          <w:rFonts w:ascii="Arial" w:hAnsi="Arial" w:cs="Arial"/>
          <w:b/>
        </w:rPr>
        <w:t xml:space="preserve">Section </w:t>
      </w:r>
      <w:fldSimple w:instr=" REF _Ref371509933 \n \h  \* MERGEFORMAT ">
        <w:r w:rsidR="0085182E">
          <w:rPr>
            <w:rFonts w:ascii="Arial" w:hAnsi="Arial" w:cs="Arial"/>
            <w:b/>
          </w:rPr>
          <w:t>1.1</w:t>
        </w:r>
      </w:fldSimple>
      <w:r w:rsidRPr="00C80641">
        <w:rPr>
          <w:rFonts w:ascii="Arial" w:hAnsi="Arial" w:cs="Arial"/>
        </w:rPr>
        <w:t>, i</w:t>
      </w:r>
      <w:r w:rsidR="004C7F57" w:rsidRPr="00C80641">
        <w:rPr>
          <w:rFonts w:ascii="Arial" w:hAnsi="Arial" w:cs="Arial"/>
        </w:rPr>
        <w:t xml:space="preserve">n 1998 the </w:t>
      </w:r>
      <w:r w:rsidR="00EF24F8" w:rsidRPr="00C80641">
        <w:rPr>
          <w:rFonts w:ascii="Arial" w:hAnsi="Arial" w:cs="Arial"/>
        </w:rPr>
        <w:t>AAQ NEPM</w:t>
      </w:r>
      <w:r w:rsidR="004C7F57" w:rsidRPr="00C80641">
        <w:rPr>
          <w:rFonts w:ascii="Arial" w:hAnsi="Arial" w:cs="Arial"/>
        </w:rPr>
        <w:t xml:space="preserve"> established national standards for six criteria pollutants, including PM</w:t>
      </w:r>
      <w:r w:rsidR="004C7F57" w:rsidRPr="00C80641">
        <w:rPr>
          <w:rFonts w:ascii="Arial" w:hAnsi="Arial" w:cs="Arial"/>
          <w:vertAlign w:val="subscript"/>
        </w:rPr>
        <w:t>10</w:t>
      </w:r>
      <w:r w:rsidR="004C7F57" w:rsidRPr="00C80641">
        <w:rPr>
          <w:rFonts w:ascii="Arial" w:hAnsi="Arial" w:cs="Arial"/>
        </w:rPr>
        <w:t xml:space="preserve">, and provided a consistent framework for the monitoring and reporting of ambient air quality. The </w:t>
      </w:r>
      <w:r w:rsidR="00EF24F8" w:rsidRPr="00C80641">
        <w:rPr>
          <w:rFonts w:ascii="Arial" w:hAnsi="Arial" w:cs="Arial"/>
        </w:rPr>
        <w:t>AAQ NEPM</w:t>
      </w:r>
      <w:r w:rsidR="004C7F57" w:rsidRPr="00C80641">
        <w:rPr>
          <w:rFonts w:ascii="Arial" w:hAnsi="Arial" w:cs="Arial"/>
        </w:rPr>
        <w:t xml:space="preserve"> was varied in 2003 to include advisory reporting standards for PM</w:t>
      </w:r>
      <w:r w:rsidR="004C7F57" w:rsidRPr="00C80641">
        <w:rPr>
          <w:rFonts w:ascii="Arial" w:hAnsi="Arial" w:cs="Arial"/>
          <w:vertAlign w:val="subscript"/>
        </w:rPr>
        <w:t>2.5</w:t>
      </w:r>
      <w:r w:rsidR="004C7F57" w:rsidRPr="00C80641">
        <w:rPr>
          <w:rFonts w:ascii="Arial" w:hAnsi="Arial" w:cs="Arial"/>
        </w:rPr>
        <w:t xml:space="preserve">. The </w:t>
      </w:r>
      <w:r w:rsidR="00EF24F8" w:rsidRPr="00C80641">
        <w:rPr>
          <w:rFonts w:ascii="Arial" w:hAnsi="Arial" w:cs="Arial"/>
        </w:rPr>
        <w:t>AAQ NEPM</w:t>
      </w:r>
      <w:r w:rsidR="004C7F57" w:rsidRPr="00C80641">
        <w:rPr>
          <w:rFonts w:ascii="Arial" w:hAnsi="Arial" w:cs="Arial"/>
        </w:rPr>
        <w:t xml:space="preserve"> was supported by a </w:t>
      </w:r>
      <w:r w:rsidR="007D0E5F" w:rsidRPr="00C80641">
        <w:rPr>
          <w:rFonts w:ascii="Arial" w:hAnsi="Arial" w:cs="Arial"/>
        </w:rPr>
        <w:t>p</w:t>
      </w:r>
      <w:r w:rsidR="004C7F57" w:rsidRPr="00C80641">
        <w:rPr>
          <w:rFonts w:ascii="Arial" w:hAnsi="Arial" w:cs="Arial"/>
        </w:rPr>
        <w:t xml:space="preserve">eer </w:t>
      </w:r>
      <w:r w:rsidR="007D0E5F" w:rsidRPr="00C80641">
        <w:rPr>
          <w:rFonts w:ascii="Arial" w:hAnsi="Arial" w:cs="Arial"/>
        </w:rPr>
        <w:t>r</w:t>
      </w:r>
      <w:r w:rsidR="004C7F57" w:rsidRPr="00C80641">
        <w:rPr>
          <w:rFonts w:ascii="Arial" w:hAnsi="Arial" w:cs="Arial"/>
        </w:rPr>
        <w:t xml:space="preserve">eview </w:t>
      </w:r>
      <w:r w:rsidR="007D0E5F" w:rsidRPr="00C80641">
        <w:rPr>
          <w:rFonts w:ascii="Arial" w:hAnsi="Arial" w:cs="Arial"/>
        </w:rPr>
        <w:t>c</w:t>
      </w:r>
      <w:r w:rsidR="004C7F57" w:rsidRPr="00C80641">
        <w:rPr>
          <w:rFonts w:ascii="Arial" w:hAnsi="Arial" w:cs="Arial"/>
        </w:rPr>
        <w:t>ommittee (PRC) which produced a set of advisory technical papers, and provided guidance and advice on monitoring and reporting.</w:t>
      </w:r>
    </w:p>
    <w:p w:rsidR="00A34B07" w:rsidRPr="00C80641" w:rsidRDefault="00290924" w:rsidP="006574FD">
      <w:pPr>
        <w:pStyle w:val="BulletArrows"/>
        <w:spacing w:after="180"/>
        <w:rPr>
          <w:rFonts w:ascii="Arial" w:hAnsi="Arial"/>
        </w:rPr>
      </w:pPr>
      <w:r w:rsidRPr="00C80641">
        <w:rPr>
          <w:rFonts w:ascii="Arial" w:hAnsi="Arial"/>
        </w:rPr>
        <w:t xml:space="preserve">A </w:t>
      </w:r>
      <w:r w:rsidR="003A5BFF" w:rsidRPr="00C80641">
        <w:rPr>
          <w:rFonts w:ascii="Arial" w:hAnsi="Arial"/>
        </w:rPr>
        <w:t xml:space="preserve">strategic and technical </w:t>
      </w:r>
      <w:r w:rsidRPr="00C80641">
        <w:rPr>
          <w:rFonts w:ascii="Arial" w:hAnsi="Arial"/>
        </w:rPr>
        <w:t xml:space="preserve">review of the </w:t>
      </w:r>
      <w:r w:rsidR="00EF24F8" w:rsidRPr="00C80641">
        <w:rPr>
          <w:rFonts w:ascii="Arial" w:hAnsi="Arial"/>
        </w:rPr>
        <w:t>AAQ NEPM</w:t>
      </w:r>
      <w:r w:rsidRPr="00C80641">
        <w:rPr>
          <w:rFonts w:ascii="Arial" w:hAnsi="Arial"/>
        </w:rPr>
        <w:t xml:space="preserve"> was publishe</w:t>
      </w:r>
      <w:r w:rsidRPr="00C80641">
        <w:rPr>
          <w:rFonts w:ascii="Arial" w:hAnsi="Arial"/>
          <w:color w:val="auto"/>
        </w:rPr>
        <w:t xml:space="preserve">d in 2011 </w:t>
      </w:r>
      <w:r w:rsidRPr="00C80641">
        <w:rPr>
          <w:rFonts w:ascii="Arial" w:hAnsi="Arial"/>
          <w:b/>
          <w:color w:val="auto"/>
        </w:rPr>
        <w:t>(NEPC 2011a)</w:t>
      </w:r>
      <w:r w:rsidRPr="00C80641">
        <w:rPr>
          <w:rFonts w:ascii="Arial" w:hAnsi="Arial"/>
          <w:color w:val="auto"/>
        </w:rPr>
        <w:t>. T</w:t>
      </w:r>
      <w:r w:rsidRPr="00C80641">
        <w:rPr>
          <w:rFonts w:ascii="Arial" w:hAnsi="Arial"/>
        </w:rPr>
        <w:t>h</w:t>
      </w:r>
      <w:r w:rsidR="005B4EA2" w:rsidRPr="00C80641">
        <w:rPr>
          <w:rFonts w:ascii="Arial" w:hAnsi="Arial"/>
        </w:rPr>
        <w:t xml:space="preserve">is </w:t>
      </w:r>
      <w:r w:rsidRPr="00C80641">
        <w:rPr>
          <w:rFonts w:ascii="Arial" w:hAnsi="Arial"/>
        </w:rPr>
        <w:t>review assessed</w:t>
      </w:r>
      <w:r w:rsidR="00B46842" w:rsidRPr="00C80641">
        <w:rPr>
          <w:rFonts w:ascii="Arial" w:hAnsi="Arial"/>
        </w:rPr>
        <w:t xml:space="preserve"> whether the </w:t>
      </w:r>
      <w:r w:rsidR="00EF24F8" w:rsidRPr="00C80641">
        <w:rPr>
          <w:rFonts w:ascii="Arial" w:hAnsi="Arial"/>
        </w:rPr>
        <w:t>AAQ NEPM</w:t>
      </w:r>
      <w:r w:rsidR="005E005F" w:rsidRPr="00C80641">
        <w:rPr>
          <w:rFonts w:ascii="Arial" w:hAnsi="Arial"/>
        </w:rPr>
        <w:t xml:space="preserve"> wa</w:t>
      </w:r>
      <w:r w:rsidRPr="00C80641">
        <w:rPr>
          <w:rFonts w:ascii="Arial" w:hAnsi="Arial"/>
        </w:rPr>
        <w:t>s achieving its desired environmental outcome, and pr</w:t>
      </w:r>
      <w:r w:rsidR="00717E63" w:rsidRPr="00C80641">
        <w:rPr>
          <w:rFonts w:ascii="Arial" w:hAnsi="Arial"/>
        </w:rPr>
        <w:t xml:space="preserve">ovided an opportunity for </w:t>
      </w:r>
      <w:r w:rsidRPr="00C80641">
        <w:rPr>
          <w:rFonts w:ascii="Arial" w:hAnsi="Arial"/>
        </w:rPr>
        <w:t xml:space="preserve">feedback from interested parties regarding the efficacy of the current framework. </w:t>
      </w:r>
      <w:r w:rsidR="005B4EA2" w:rsidRPr="00C80641">
        <w:rPr>
          <w:rFonts w:ascii="Arial" w:hAnsi="Arial"/>
        </w:rPr>
        <w:t xml:space="preserve">In 2012 </w:t>
      </w:r>
      <w:r w:rsidR="00A34B07" w:rsidRPr="00C80641">
        <w:rPr>
          <w:rFonts w:ascii="Arial" w:hAnsi="Arial"/>
        </w:rPr>
        <w:t xml:space="preserve">NEPC agreed that the review’s recommendations would be prioritised </w:t>
      </w:r>
      <w:r w:rsidR="003F2136" w:rsidRPr="00C80641">
        <w:rPr>
          <w:rFonts w:ascii="Arial" w:hAnsi="Arial"/>
        </w:rPr>
        <w:t xml:space="preserve">(described in </w:t>
      </w:r>
      <w:r w:rsidR="003F2136" w:rsidRPr="00C80641">
        <w:rPr>
          <w:rFonts w:ascii="Arial" w:hAnsi="Arial"/>
          <w:b/>
        </w:rPr>
        <w:t>Section</w:t>
      </w:r>
      <w:r w:rsidR="005E005F" w:rsidRPr="00C80641">
        <w:rPr>
          <w:rFonts w:ascii="Arial" w:hAnsi="Arial"/>
          <w:b/>
        </w:rPr>
        <w:t xml:space="preserve"> </w:t>
      </w:r>
      <w:fldSimple w:instr=" REF _Ref365901531 \n \h  \* MERGEFORMAT ">
        <w:r w:rsidR="0085182E">
          <w:rPr>
            <w:rFonts w:ascii="Arial" w:hAnsi="Arial"/>
            <w:b/>
          </w:rPr>
          <w:t>4.1.4</w:t>
        </w:r>
      </w:fldSimple>
      <w:r w:rsidR="003F2136" w:rsidRPr="00C80641">
        <w:rPr>
          <w:rFonts w:ascii="Arial" w:hAnsi="Arial"/>
        </w:rPr>
        <w:t>)</w:t>
      </w:r>
      <w:r w:rsidR="00A34B07" w:rsidRPr="00C80641">
        <w:rPr>
          <w:rFonts w:ascii="Arial" w:hAnsi="Arial"/>
        </w:rPr>
        <w:t>.</w:t>
      </w:r>
      <w:r w:rsidR="004B4989" w:rsidRPr="00C80641">
        <w:rPr>
          <w:rFonts w:ascii="Arial" w:hAnsi="Arial"/>
        </w:rPr>
        <w:t xml:space="preserve"> </w:t>
      </w:r>
      <w:r w:rsidR="009837F3" w:rsidRPr="00C80641">
        <w:rPr>
          <w:rFonts w:ascii="Arial" w:hAnsi="Arial"/>
        </w:rPr>
        <w:t>The recommendations</w:t>
      </w:r>
      <w:r w:rsidR="00CD2AEC" w:rsidRPr="00C80641">
        <w:rPr>
          <w:rFonts w:ascii="Arial" w:hAnsi="Arial"/>
        </w:rPr>
        <w:t xml:space="preserve"> </w:t>
      </w:r>
      <w:r w:rsidR="005B4EA2" w:rsidRPr="00C80641">
        <w:rPr>
          <w:rFonts w:ascii="Arial" w:hAnsi="Arial"/>
        </w:rPr>
        <w:t xml:space="preserve">of the 2011 review </w:t>
      </w:r>
      <w:r w:rsidR="00CD2AEC" w:rsidRPr="00C80641">
        <w:rPr>
          <w:rFonts w:ascii="Arial" w:hAnsi="Arial"/>
        </w:rPr>
        <w:t xml:space="preserve">are listed in </w:t>
      </w:r>
      <w:r w:rsidR="00C94EC1" w:rsidRPr="00C80641">
        <w:rPr>
          <w:rFonts w:ascii="Arial" w:hAnsi="Arial"/>
          <w:b/>
        </w:rPr>
        <w:t>Appendix</w:t>
      </w:r>
      <w:r w:rsidR="00CD2AEC" w:rsidRPr="00C80641">
        <w:rPr>
          <w:rFonts w:ascii="Arial" w:hAnsi="Arial"/>
          <w:b/>
        </w:rPr>
        <w:t xml:space="preserve"> A</w:t>
      </w:r>
      <w:r w:rsidR="00CD2AEC" w:rsidRPr="00C80641">
        <w:rPr>
          <w:rFonts w:ascii="Arial" w:hAnsi="Arial"/>
        </w:rPr>
        <w:t>,</w:t>
      </w:r>
      <w:r w:rsidR="00C94EC1" w:rsidRPr="00C80641">
        <w:rPr>
          <w:rFonts w:ascii="Arial" w:hAnsi="Arial"/>
        </w:rPr>
        <w:t xml:space="preserve"> </w:t>
      </w:r>
      <w:r w:rsidR="00CD2AEC" w:rsidRPr="00C80641">
        <w:rPr>
          <w:rFonts w:ascii="Arial" w:hAnsi="Arial"/>
        </w:rPr>
        <w:t xml:space="preserve">which also describes how each one has been </w:t>
      </w:r>
      <w:r w:rsidR="00C94EC1" w:rsidRPr="00C80641">
        <w:rPr>
          <w:rFonts w:ascii="Arial" w:hAnsi="Arial"/>
        </w:rPr>
        <w:t>c</w:t>
      </w:r>
      <w:r w:rsidR="00794AFD" w:rsidRPr="00C80641">
        <w:rPr>
          <w:rFonts w:ascii="Arial" w:hAnsi="Arial"/>
        </w:rPr>
        <w:t>onsidered in this</w:t>
      </w:r>
      <w:r w:rsidR="00847C07" w:rsidRPr="00C80641">
        <w:rPr>
          <w:rFonts w:ascii="Arial" w:hAnsi="Arial"/>
        </w:rPr>
        <w:t xml:space="preserve"> </w:t>
      </w:r>
      <w:r w:rsidR="00B05D93" w:rsidRPr="00C80641">
        <w:rPr>
          <w:rFonts w:ascii="Arial" w:hAnsi="Arial"/>
        </w:rPr>
        <w:t>Impact Statement</w:t>
      </w:r>
      <w:r w:rsidR="00C94EC1" w:rsidRPr="00C80641">
        <w:rPr>
          <w:rFonts w:ascii="Arial" w:hAnsi="Arial"/>
        </w:rPr>
        <w:t>.</w:t>
      </w:r>
    </w:p>
    <w:p w:rsidR="0020188E" w:rsidRPr="00C80641" w:rsidRDefault="00EF24F8" w:rsidP="00DB5D5F">
      <w:pPr>
        <w:pStyle w:val="Level4PB2"/>
        <w:rPr>
          <w:rFonts w:ascii="Arial" w:hAnsi="Arial" w:cs="Arial"/>
          <w:lang w:val="en-AU"/>
        </w:rPr>
      </w:pPr>
      <w:r w:rsidRPr="00C80641">
        <w:rPr>
          <w:rFonts w:ascii="Arial" w:hAnsi="Arial" w:cs="Arial"/>
          <w:lang w:val="en-AU"/>
        </w:rPr>
        <w:t>AAQ NEPM</w:t>
      </w:r>
      <w:r w:rsidR="0020188E" w:rsidRPr="00C80641">
        <w:rPr>
          <w:rFonts w:ascii="Arial" w:hAnsi="Arial" w:cs="Arial"/>
          <w:lang w:val="en-AU"/>
        </w:rPr>
        <w:t xml:space="preserve"> goal</w:t>
      </w:r>
    </w:p>
    <w:p w:rsidR="00535EDD" w:rsidRPr="00C80641" w:rsidRDefault="00F81AD9" w:rsidP="001929E4">
      <w:pPr>
        <w:spacing w:after="300"/>
        <w:rPr>
          <w:rFonts w:ascii="Arial" w:hAnsi="Arial" w:cs="Arial"/>
        </w:rPr>
      </w:pPr>
      <w:r w:rsidRPr="00C80641">
        <w:rPr>
          <w:rFonts w:ascii="Arial" w:hAnsi="Arial" w:cs="Arial"/>
        </w:rPr>
        <w:t xml:space="preserve">The </w:t>
      </w:r>
      <w:r w:rsidR="00717E63" w:rsidRPr="00C80641">
        <w:rPr>
          <w:rFonts w:ascii="Arial" w:hAnsi="Arial" w:cs="Arial"/>
        </w:rPr>
        <w:t xml:space="preserve">overall </w:t>
      </w:r>
      <w:r w:rsidR="0020188E" w:rsidRPr="00C80641">
        <w:rPr>
          <w:rFonts w:ascii="Arial" w:hAnsi="Arial" w:cs="Arial"/>
        </w:rPr>
        <w:t xml:space="preserve">goal </w:t>
      </w:r>
      <w:r w:rsidRPr="00C80641">
        <w:rPr>
          <w:rFonts w:ascii="Arial" w:hAnsi="Arial" w:cs="Arial"/>
        </w:rPr>
        <w:t xml:space="preserve">of the </w:t>
      </w:r>
      <w:r w:rsidR="00EF24F8" w:rsidRPr="00C80641">
        <w:rPr>
          <w:rFonts w:ascii="Arial" w:hAnsi="Arial" w:cs="Arial"/>
        </w:rPr>
        <w:t>AAQ NEPM</w:t>
      </w:r>
      <w:r w:rsidRPr="00C80641">
        <w:rPr>
          <w:rFonts w:ascii="Arial" w:hAnsi="Arial" w:cs="Arial"/>
        </w:rPr>
        <w:t xml:space="preserve"> </w:t>
      </w:r>
      <w:r w:rsidR="003F2136" w:rsidRPr="00C80641">
        <w:rPr>
          <w:rFonts w:ascii="Arial" w:hAnsi="Arial" w:cs="Arial"/>
        </w:rPr>
        <w:t>is to attain ‘ambient air quality that allows for the adequate protection of human health and wellbeing’.</w:t>
      </w:r>
    </w:p>
    <w:p w:rsidR="00287BD1" w:rsidRPr="00C80641" w:rsidRDefault="00287BD1" w:rsidP="00DB5D5F">
      <w:pPr>
        <w:pStyle w:val="Level4PB2"/>
        <w:rPr>
          <w:rFonts w:ascii="Arial" w:hAnsi="Arial" w:cs="Arial"/>
          <w:lang w:val="en-AU"/>
        </w:rPr>
      </w:pPr>
      <w:bookmarkStart w:id="41" w:name="_Ref368987394"/>
      <w:bookmarkStart w:id="42" w:name="_Ref371500049"/>
      <w:r w:rsidRPr="00C80641">
        <w:rPr>
          <w:rFonts w:ascii="Arial" w:hAnsi="Arial" w:cs="Arial"/>
          <w:lang w:val="en-AU"/>
        </w:rPr>
        <w:t>PM standards</w:t>
      </w:r>
      <w:bookmarkEnd w:id="41"/>
      <w:r w:rsidR="00E33B69" w:rsidRPr="00C80641">
        <w:rPr>
          <w:rFonts w:ascii="Arial" w:hAnsi="Arial" w:cs="Arial"/>
          <w:lang w:val="en-AU"/>
        </w:rPr>
        <w:t xml:space="preserve"> and goals</w:t>
      </w:r>
      <w:bookmarkEnd w:id="42"/>
    </w:p>
    <w:p w:rsidR="006A6C42" w:rsidRPr="00C80641" w:rsidRDefault="00E33B69" w:rsidP="006A6C42">
      <w:pPr>
        <w:pStyle w:val="BulletArrows"/>
        <w:spacing w:after="240"/>
        <w:rPr>
          <w:rFonts w:ascii="Arial" w:hAnsi="Arial"/>
          <w:color w:val="auto"/>
          <w:szCs w:val="18"/>
        </w:rPr>
      </w:pPr>
      <w:r w:rsidRPr="00C80641">
        <w:rPr>
          <w:rFonts w:ascii="Arial" w:hAnsi="Arial"/>
        </w:rPr>
        <w:t xml:space="preserve">The </w:t>
      </w:r>
      <w:r w:rsidR="00EF24F8" w:rsidRPr="00C80641">
        <w:rPr>
          <w:rFonts w:ascii="Arial" w:hAnsi="Arial"/>
        </w:rPr>
        <w:t>AAQ NEPM</w:t>
      </w:r>
      <w:r w:rsidR="006A6C42" w:rsidRPr="00C80641">
        <w:rPr>
          <w:rFonts w:ascii="Arial" w:hAnsi="Arial"/>
        </w:rPr>
        <w:t xml:space="preserve"> establishes</w:t>
      </w:r>
      <w:r w:rsidR="006A6C42" w:rsidRPr="00C80641">
        <w:rPr>
          <w:rFonts w:ascii="Arial" w:hAnsi="Arial"/>
          <w:color w:val="auto"/>
        </w:rPr>
        <w:t xml:space="preserve"> air quality standards and goals:</w:t>
      </w:r>
    </w:p>
    <w:p w:rsidR="006A6C42" w:rsidRPr="00C80641" w:rsidRDefault="006A6C42" w:rsidP="00D00156">
      <w:pPr>
        <w:pStyle w:val="BulletArrows"/>
        <w:numPr>
          <w:ilvl w:val="0"/>
          <w:numId w:val="85"/>
        </w:numPr>
        <w:spacing w:after="160"/>
        <w:rPr>
          <w:rFonts w:ascii="Arial" w:hAnsi="Arial"/>
          <w:color w:val="auto"/>
        </w:rPr>
      </w:pPr>
      <w:r w:rsidRPr="00C80641">
        <w:rPr>
          <w:rFonts w:ascii="Arial" w:hAnsi="Arial"/>
          <w:color w:val="auto"/>
        </w:rPr>
        <w:t>Air quality standards are expressed as a maximum concentration for a given averaging period.</w:t>
      </w:r>
    </w:p>
    <w:p w:rsidR="006A6C42" w:rsidRPr="00C80641" w:rsidRDefault="006A6C42" w:rsidP="00D00156">
      <w:pPr>
        <w:pStyle w:val="BulletArrows"/>
        <w:numPr>
          <w:ilvl w:val="0"/>
          <w:numId w:val="85"/>
        </w:numPr>
        <w:spacing w:after="240"/>
        <w:rPr>
          <w:rFonts w:ascii="Arial" w:hAnsi="Arial"/>
          <w:color w:val="auto"/>
        </w:rPr>
      </w:pPr>
      <w:r w:rsidRPr="00C80641">
        <w:rPr>
          <w:rFonts w:ascii="Arial" w:hAnsi="Arial"/>
          <w:color w:val="auto"/>
        </w:rPr>
        <w:t>Air quality goals are expressed in terms of ‘maximum allowable exceedances’ to be achieved within 10 years.</w:t>
      </w:r>
    </w:p>
    <w:p w:rsidR="00DC2CF5" w:rsidRPr="00C80641" w:rsidRDefault="00E67E90" w:rsidP="00E33B69">
      <w:pPr>
        <w:spacing w:after="300"/>
        <w:rPr>
          <w:rFonts w:ascii="Arial" w:hAnsi="Arial" w:cs="Arial"/>
          <w:lang w:eastAsia="en-US"/>
        </w:rPr>
      </w:pPr>
      <w:r w:rsidRPr="00C80641">
        <w:rPr>
          <w:rFonts w:ascii="Arial" w:hAnsi="Arial" w:cs="Arial"/>
        </w:rPr>
        <w:t xml:space="preserve">The </w:t>
      </w:r>
      <w:r w:rsidR="00717E63" w:rsidRPr="00C80641">
        <w:rPr>
          <w:rFonts w:ascii="Arial" w:hAnsi="Arial" w:cs="Arial"/>
        </w:rPr>
        <w:t xml:space="preserve">specific </w:t>
      </w:r>
      <w:r w:rsidR="00E33B69" w:rsidRPr="00C80641">
        <w:rPr>
          <w:rFonts w:ascii="Arial" w:hAnsi="Arial" w:cs="Arial"/>
        </w:rPr>
        <w:t>standards</w:t>
      </w:r>
      <w:r w:rsidR="00287BD1" w:rsidRPr="00C80641">
        <w:rPr>
          <w:rFonts w:ascii="Arial" w:hAnsi="Arial" w:cs="Arial"/>
        </w:rPr>
        <w:t xml:space="preserve"> and goals </w:t>
      </w:r>
      <w:r w:rsidRPr="00C80641">
        <w:rPr>
          <w:rFonts w:ascii="Arial" w:hAnsi="Arial" w:cs="Arial"/>
        </w:rPr>
        <w:t xml:space="preserve">that are </w:t>
      </w:r>
      <w:r w:rsidR="00287BD1" w:rsidRPr="00C80641">
        <w:rPr>
          <w:rFonts w:ascii="Arial" w:hAnsi="Arial" w:cs="Arial"/>
        </w:rPr>
        <w:t xml:space="preserve">set out </w:t>
      </w:r>
      <w:r w:rsidRPr="00C80641">
        <w:rPr>
          <w:rFonts w:ascii="Arial" w:hAnsi="Arial" w:cs="Arial"/>
        </w:rPr>
        <w:t xml:space="preserve">for </w:t>
      </w:r>
      <w:r w:rsidR="00141B09" w:rsidRPr="00C80641">
        <w:rPr>
          <w:rFonts w:ascii="Arial" w:hAnsi="Arial" w:cs="Arial"/>
        </w:rPr>
        <w:t xml:space="preserve">short-term (24-hour average) and long-term (annual average) </w:t>
      </w:r>
      <w:r w:rsidRPr="00C80641">
        <w:rPr>
          <w:rFonts w:ascii="Arial" w:hAnsi="Arial" w:cs="Arial"/>
        </w:rPr>
        <w:t>PM</w:t>
      </w:r>
      <w:r w:rsidRPr="00C80641">
        <w:rPr>
          <w:rFonts w:ascii="Arial" w:hAnsi="Arial" w:cs="Arial"/>
          <w:vertAlign w:val="subscript"/>
        </w:rPr>
        <w:t>10</w:t>
      </w:r>
      <w:r w:rsidRPr="00C80641">
        <w:rPr>
          <w:rFonts w:ascii="Arial" w:hAnsi="Arial" w:cs="Arial"/>
        </w:rPr>
        <w:t xml:space="preserve"> and PM</w:t>
      </w:r>
      <w:r w:rsidRPr="00C80641">
        <w:rPr>
          <w:rFonts w:ascii="Arial" w:hAnsi="Arial" w:cs="Arial"/>
          <w:vertAlign w:val="subscript"/>
        </w:rPr>
        <w:t>2.5</w:t>
      </w:r>
      <w:r w:rsidRPr="00C80641">
        <w:rPr>
          <w:rFonts w:ascii="Arial" w:hAnsi="Arial" w:cs="Arial"/>
        </w:rPr>
        <w:t xml:space="preserve"> </w:t>
      </w:r>
      <w:r w:rsidR="00141B09" w:rsidRPr="00C80641">
        <w:rPr>
          <w:rFonts w:ascii="Arial" w:hAnsi="Arial" w:cs="Arial"/>
        </w:rPr>
        <w:t xml:space="preserve">concentrations </w:t>
      </w:r>
      <w:r w:rsidR="00287BD1" w:rsidRPr="00C80641">
        <w:rPr>
          <w:rFonts w:ascii="Arial" w:hAnsi="Arial" w:cs="Arial"/>
        </w:rPr>
        <w:t xml:space="preserve">in the </w:t>
      </w:r>
      <w:r w:rsidR="00EF24F8" w:rsidRPr="00C80641">
        <w:rPr>
          <w:rFonts w:ascii="Arial" w:hAnsi="Arial" w:cs="Arial"/>
        </w:rPr>
        <w:t>AAQ NEPM</w:t>
      </w:r>
      <w:r w:rsidR="00287BD1" w:rsidRPr="00C80641">
        <w:rPr>
          <w:rFonts w:ascii="Arial" w:hAnsi="Arial" w:cs="Arial"/>
        </w:rPr>
        <w:t xml:space="preserve"> are summarised in </w:t>
      </w:r>
      <w:fldSimple w:instr=" REF _Ref332615808 \h  \* MERGEFORMAT ">
        <w:r w:rsidR="0085182E" w:rsidRPr="0085182E">
          <w:rPr>
            <w:rFonts w:ascii="Arial" w:hAnsi="Arial" w:cs="Arial"/>
            <w:b/>
          </w:rPr>
          <w:t>Table 4.1</w:t>
        </w:r>
      </w:fldSimple>
      <w:r w:rsidR="00287BD1" w:rsidRPr="00C80641">
        <w:rPr>
          <w:rFonts w:ascii="Arial" w:hAnsi="Arial" w:cs="Arial"/>
        </w:rPr>
        <w:t>.</w:t>
      </w:r>
      <w:r w:rsidR="00E33B69" w:rsidRPr="00C80641">
        <w:rPr>
          <w:rFonts w:ascii="Arial" w:hAnsi="Arial" w:cs="Arial"/>
        </w:rPr>
        <w:t xml:space="preserve"> </w:t>
      </w:r>
      <w:r w:rsidR="008073F5" w:rsidRPr="00C80641">
        <w:rPr>
          <w:rFonts w:ascii="Arial" w:hAnsi="Arial" w:cs="Arial"/>
        </w:rPr>
        <w:t>There is currently no annual mean standard for PM</w:t>
      </w:r>
      <w:r w:rsidR="008073F5" w:rsidRPr="00C80641">
        <w:rPr>
          <w:rFonts w:ascii="Arial" w:hAnsi="Arial" w:cs="Arial"/>
          <w:vertAlign w:val="subscript"/>
        </w:rPr>
        <w:t>10</w:t>
      </w:r>
      <w:r w:rsidR="008073F5" w:rsidRPr="00C80641">
        <w:rPr>
          <w:rFonts w:ascii="Arial" w:hAnsi="Arial" w:cs="Arial"/>
        </w:rPr>
        <w:t xml:space="preserve">. </w:t>
      </w:r>
    </w:p>
    <w:p w:rsidR="00287BD1" w:rsidRPr="00C80641" w:rsidRDefault="00287BD1" w:rsidP="00E71490">
      <w:pPr>
        <w:pStyle w:val="CaptionPB"/>
        <w:rPr>
          <w:rFonts w:ascii="Arial" w:hAnsi="Arial" w:cs="Arial"/>
        </w:rPr>
      </w:pPr>
      <w:bookmarkStart w:id="43" w:name="_Ref332615808"/>
      <w:r w:rsidRPr="00C80641">
        <w:rPr>
          <w:rFonts w:ascii="Arial" w:hAnsi="Arial" w:cs="Arial"/>
        </w:rPr>
        <w:lastRenderedPageBreak/>
        <w:t xml:space="preserve">Table </w:t>
      </w:r>
      <w:r w:rsidR="00BF6019" w:rsidRPr="00C80641">
        <w:rPr>
          <w:rFonts w:ascii="Arial" w:hAnsi="Arial" w:cs="Arial"/>
        </w:rPr>
        <w:fldChar w:fldCharType="begin"/>
      </w:r>
      <w:r w:rsidR="006C0AC9" w:rsidRPr="00C80641">
        <w:rPr>
          <w:rFonts w:ascii="Arial" w:hAnsi="Arial" w:cs="Arial"/>
        </w:rPr>
        <w:instrText xml:space="preserve"> STYLEREF 1 \s </w:instrText>
      </w:r>
      <w:r w:rsidR="00BF6019" w:rsidRPr="00C80641">
        <w:rPr>
          <w:rFonts w:ascii="Arial" w:hAnsi="Arial" w:cs="Arial"/>
        </w:rPr>
        <w:fldChar w:fldCharType="separate"/>
      </w:r>
      <w:r w:rsidR="0085182E">
        <w:rPr>
          <w:rFonts w:ascii="Arial" w:hAnsi="Arial" w:cs="Arial"/>
          <w:noProof/>
        </w:rPr>
        <w:t>4</w:t>
      </w:r>
      <w:r w:rsidR="00BF6019" w:rsidRPr="00C80641">
        <w:rPr>
          <w:rFonts w:ascii="Arial" w:hAnsi="Arial" w:cs="Arial"/>
        </w:rPr>
        <w:fldChar w:fldCharType="end"/>
      </w:r>
      <w:r w:rsidRPr="00C80641">
        <w:rPr>
          <w:rFonts w:ascii="Arial" w:hAnsi="Arial" w:cs="Arial"/>
        </w:rPr>
        <w:t>.</w:t>
      </w:r>
      <w:r w:rsidR="00BF6019" w:rsidRPr="00C80641">
        <w:rPr>
          <w:rFonts w:ascii="Arial" w:hAnsi="Arial" w:cs="Arial"/>
        </w:rPr>
        <w:fldChar w:fldCharType="begin"/>
      </w:r>
      <w:r w:rsidRPr="00C80641">
        <w:rPr>
          <w:rFonts w:ascii="Arial" w:hAnsi="Arial" w:cs="Arial"/>
        </w:rPr>
        <w:instrText xml:space="preserve"> SEQ Table \* ARABIC \s 1 </w:instrText>
      </w:r>
      <w:r w:rsidR="00BF6019" w:rsidRPr="00C80641">
        <w:rPr>
          <w:rFonts w:ascii="Arial" w:hAnsi="Arial" w:cs="Arial"/>
        </w:rPr>
        <w:fldChar w:fldCharType="separate"/>
      </w:r>
      <w:r w:rsidR="0085182E">
        <w:rPr>
          <w:rFonts w:ascii="Arial" w:hAnsi="Arial" w:cs="Arial"/>
          <w:noProof/>
        </w:rPr>
        <w:t>1</w:t>
      </w:r>
      <w:r w:rsidR="00BF6019" w:rsidRPr="00C80641">
        <w:rPr>
          <w:rFonts w:ascii="Arial" w:hAnsi="Arial" w:cs="Arial"/>
        </w:rPr>
        <w:fldChar w:fldCharType="end"/>
      </w:r>
      <w:bookmarkEnd w:id="43"/>
      <w:r w:rsidR="00141B09" w:rsidRPr="00C80641">
        <w:rPr>
          <w:rFonts w:ascii="Arial" w:hAnsi="Arial" w:cs="Arial"/>
        </w:rPr>
        <w:t xml:space="preserve">: Air quality standards </w:t>
      </w:r>
      <w:r w:rsidR="00E33B69" w:rsidRPr="00C80641">
        <w:rPr>
          <w:rFonts w:ascii="Arial" w:hAnsi="Arial" w:cs="Arial"/>
        </w:rPr>
        <w:t xml:space="preserve">and goals </w:t>
      </w:r>
      <w:r w:rsidR="00141B09" w:rsidRPr="00C80641">
        <w:rPr>
          <w:rFonts w:ascii="Arial" w:hAnsi="Arial" w:cs="Arial"/>
        </w:rPr>
        <w:t>for PM</w:t>
      </w:r>
      <w:r w:rsidR="00141B09" w:rsidRPr="00C80641">
        <w:rPr>
          <w:rFonts w:ascii="Arial" w:hAnsi="Arial" w:cs="Arial"/>
          <w:vertAlign w:val="subscript"/>
        </w:rPr>
        <w:t>10</w:t>
      </w:r>
      <w:r w:rsidR="00141B09" w:rsidRPr="00C80641">
        <w:rPr>
          <w:rFonts w:ascii="Arial" w:hAnsi="Arial" w:cs="Arial"/>
        </w:rPr>
        <w:t xml:space="preserve"> and PM</w:t>
      </w:r>
      <w:r w:rsidR="00141B09" w:rsidRPr="00C80641">
        <w:rPr>
          <w:rFonts w:ascii="Arial" w:hAnsi="Arial" w:cs="Arial"/>
          <w:vertAlign w:val="subscript"/>
        </w:rPr>
        <w:t>2.5</w:t>
      </w:r>
      <w:r w:rsidRPr="00C80641">
        <w:rPr>
          <w:rFonts w:ascii="Arial" w:hAnsi="Arial" w:cs="Arial"/>
        </w:rPr>
        <w:t xml:space="preserve"> in </w:t>
      </w:r>
      <w:r w:rsidR="00EF24F8" w:rsidRPr="00C80641">
        <w:rPr>
          <w:rFonts w:ascii="Arial" w:hAnsi="Arial" w:cs="Arial"/>
        </w:rPr>
        <w:t>AAQ NEPM</w:t>
      </w:r>
    </w:p>
    <w:tbl>
      <w:tblPr>
        <w:tblW w:w="4427"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858"/>
        <w:gridCol w:w="971"/>
        <w:gridCol w:w="1301"/>
        <w:gridCol w:w="5053"/>
      </w:tblGrid>
      <w:tr w:rsidR="00E33B69" w:rsidRPr="00C80641" w:rsidTr="00E33B69">
        <w:trPr>
          <w:trHeight w:hRule="exact" w:val="399"/>
          <w:jc w:val="center"/>
        </w:trPr>
        <w:tc>
          <w:tcPr>
            <w:tcW w:w="511" w:type="pct"/>
            <w:vMerge w:val="restart"/>
            <w:shd w:val="clear" w:color="auto" w:fill="0070C0"/>
            <w:vAlign w:val="center"/>
          </w:tcPr>
          <w:p w:rsidR="00E33B69" w:rsidRPr="00C80641" w:rsidRDefault="00E33B69" w:rsidP="003F78EA">
            <w:pPr>
              <w:pStyle w:val="TableContentHeading"/>
              <w:keepNext/>
              <w:jc w:val="center"/>
              <w:rPr>
                <w:rFonts w:ascii="Arial" w:hAnsi="Arial" w:cs="Arial"/>
                <w:bCs/>
                <w:sz w:val="15"/>
                <w:szCs w:val="15"/>
              </w:rPr>
            </w:pPr>
            <w:r w:rsidRPr="00C80641">
              <w:rPr>
                <w:rFonts w:ascii="Arial" w:hAnsi="Arial" w:cs="Arial"/>
                <w:bCs/>
                <w:sz w:val="15"/>
                <w:szCs w:val="15"/>
              </w:rPr>
              <w:t>Pollutant</w:t>
            </w:r>
          </w:p>
        </w:tc>
        <w:tc>
          <w:tcPr>
            <w:tcW w:w="1397" w:type="pct"/>
            <w:gridSpan w:val="2"/>
            <w:shd w:val="clear" w:color="auto" w:fill="0070C0"/>
            <w:vAlign w:val="center"/>
          </w:tcPr>
          <w:p w:rsidR="00E33B69" w:rsidRPr="00C80641" w:rsidRDefault="00E33B69" w:rsidP="003F78EA">
            <w:pPr>
              <w:pStyle w:val="TableContentHeading"/>
              <w:keepNext/>
              <w:jc w:val="center"/>
              <w:rPr>
                <w:rFonts w:ascii="Arial" w:hAnsi="Arial" w:cs="Arial"/>
                <w:bCs/>
                <w:sz w:val="15"/>
                <w:szCs w:val="15"/>
              </w:rPr>
            </w:pPr>
            <w:r w:rsidRPr="00C80641">
              <w:rPr>
                <w:rFonts w:ascii="Arial" w:hAnsi="Arial" w:cs="Arial"/>
                <w:bCs/>
                <w:sz w:val="15"/>
                <w:szCs w:val="15"/>
              </w:rPr>
              <w:t>Standard</w:t>
            </w:r>
          </w:p>
        </w:tc>
        <w:tc>
          <w:tcPr>
            <w:tcW w:w="3092" w:type="pct"/>
            <w:vMerge w:val="restart"/>
            <w:shd w:val="clear" w:color="auto" w:fill="0070C0"/>
            <w:vAlign w:val="center"/>
          </w:tcPr>
          <w:p w:rsidR="00E33B69" w:rsidRPr="00C80641" w:rsidRDefault="00E33B69" w:rsidP="003F78EA">
            <w:pPr>
              <w:pStyle w:val="TableContentHeading"/>
              <w:keepNext/>
              <w:jc w:val="center"/>
              <w:rPr>
                <w:rFonts w:ascii="Arial" w:hAnsi="Arial" w:cs="Arial"/>
                <w:bCs/>
                <w:sz w:val="15"/>
                <w:szCs w:val="15"/>
              </w:rPr>
            </w:pPr>
            <w:r w:rsidRPr="00C80641">
              <w:rPr>
                <w:rFonts w:ascii="Arial" w:hAnsi="Arial" w:cs="Arial"/>
                <w:bCs/>
                <w:sz w:val="15"/>
                <w:szCs w:val="15"/>
              </w:rPr>
              <w:t>Goal</w:t>
            </w:r>
          </w:p>
          <w:p w:rsidR="00E33B69" w:rsidRPr="00C80641" w:rsidRDefault="00E33B69" w:rsidP="003F78EA">
            <w:pPr>
              <w:pStyle w:val="TableContentHeading"/>
              <w:keepNext/>
              <w:jc w:val="center"/>
              <w:rPr>
                <w:rFonts w:ascii="Arial" w:hAnsi="Arial" w:cs="Arial"/>
                <w:bCs/>
                <w:sz w:val="15"/>
                <w:szCs w:val="15"/>
              </w:rPr>
            </w:pPr>
            <w:r w:rsidRPr="00C80641">
              <w:rPr>
                <w:rFonts w:ascii="Arial" w:hAnsi="Arial" w:cs="Arial"/>
                <w:bCs/>
                <w:sz w:val="15"/>
                <w:szCs w:val="15"/>
              </w:rPr>
              <w:t>(maximum allowable exceedances within 10 years)</w:t>
            </w:r>
          </w:p>
        </w:tc>
      </w:tr>
      <w:tr w:rsidR="00E33B69" w:rsidRPr="00C80641" w:rsidTr="00E33B69">
        <w:trPr>
          <w:trHeight w:hRule="exact" w:val="454"/>
          <w:jc w:val="center"/>
        </w:trPr>
        <w:tc>
          <w:tcPr>
            <w:tcW w:w="511" w:type="pct"/>
            <w:vMerge/>
            <w:shd w:val="clear" w:color="auto" w:fill="0070C0"/>
            <w:vAlign w:val="center"/>
          </w:tcPr>
          <w:p w:rsidR="00E33B69" w:rsidRPr="00C80641" w:rsidRDefault="00E33B69" w:rsidP="003F78EA">
            <w:pPr>
              <w:pStyle w:val="TableContentHeading"/>
              <w:keepNext/>
              <w:jc w:val="center"/>
              <w:rPr>
                <w:rFonts w:ascii="Arial" w:hAnsi="Arial" w:cs="Arial"/>
                <w:bCs/>
                <w:sz w:val="15"/>
                <w:szCs w:val="15"/>
              </w:rPr>
            </w:pPr>
          </w:p>
        </w:tc>
        <w:tc>
          <w:tcPr>
            <w:tcW w:w="598" w:type="pct"/>
            <w:shd w:val="clear" w:color="auto" w:fill="0070C0"/>
            <w:vAlign w:val="center"/>
          </w:tcPr>
          <w:p w:rsidR="00E33B69" w:rsidRPr="00C80641" w:rsidRDefault="00E33B69" w:rsidP="003F78EA">
            <w:pPr>
              <w:pStyle w:val="TableContentHeading"/>
              <w:keepNext/>
              <w:jc w:val="center"/>
              <w:rPr>
                <w:rFonts w:ascii="Arial" w:hAnsi="Arial" w:cs="Arial"/>
                <w:bCs/>
                <w:sz w:val="15"/>
                <w:szCs w:val="15"/>
              </w:rPr>
            </w:pPr>
            <w:r w:rsidRPr="00C80641">
              <w:rPr>
                <w:rFonts w:ascii="Arial" w:hAnsi="Arial" w:cs="Arial"/>
                <w:bCs/>
                <w:sz w:val="15"/>
                <w:szCs w:val="15"/>
              </w:rPr>
              <w:t>Averaging period</w:t>
            </w:r>
          </w:p>
        </w:tc>
        <w:tc>
          <w:tcPr>
            <w:tcW w:w="799" w:type="pct"/>
            <w:shd w:val="clear" w:color="auto" w:fill="0070C0"/>
            <w:vAlign w:val="center"/>
          </w:tcPr>
          <w:p w:rsidR="00E33B69" w:rsidRPr="00C80641" w:rsidRDefault="00E33B69" w:rsidP="003F78EA">
            <w:pPr>
              <w:pStyle w:val="TableContentHeading"/>
              <w:keepNext/>
              <w:jc w:val="center"/>
              <w:rPr>
                <w:rFonts w:ascii="Arial" w:hAnsi="Arial" w:cs="Arial"/>
                <w:bCs/>
                <w:sz w:val="15"/>
                <w:szCs w:val="15"/>
              </w:rPr>
            </w:pPr>
            <w:r w:rsidRPr="00C80641">
              <w:rPr>
                <w:rFonts w:ascii="Arial" w:hAnsi="Arial" w:cs="Arial"/>
                <w:bCs/>
                <w:sz w:val="15"/>
                <w:szCs w:val="15"/>
              </w:rPr>
              <w:t>Maximum concentration</w:t>
            </w:r>
          </w:p>
        </w:tc>
        <w:tc>
          <w:tcPr>
            <w:tcW w:w="3092" w:type="pct"/>
            <w:vMerge/>
            <w:shd w:val="clear" w:color="auto" w:fill="0070C0"/>
            <w:vAlign w:val="center"/>
          </w:tcPr>
          <w:p w:rsidR="00E33B69" w:rsidRPr="00C80641" w:rsidRDefault="00E33B69" w:rsidP="003F78EA">
            <w:pPr>
              <w:pStyle w:val="TableContentHeading"/>
              <w:keepNext/>
              <w:jc w:val="center"/>
              <w:rPr>
                <w:rFonts w:ascii="Arial" w:hAnsi="Arial" w:cs="Arial"/>
                <w:bCs/>
                <w:sz w:val="15"/>
                <w:szCs w:val="15"/>
              </w:rPr>
            </w:pPr>
          </w:p>
        </w:tc>
      </w:tr>
      <w:tr w:rsidR="00287BD1" w:rsidRPr="00C80641" w:rsidTr="001929E4">
        <w:trPr>
          <w:trHeight w:val="419"/>
          <w:jc w:val="center"/>
        </w:trPr>
        <w:tc>
          <w:tcPr>
            <w:tcW w:w="511" w:type="pct"/>
            <w:shd w:val="clear" w:color="auto" w:fill="auto"/>
          </w:tcPr>
          <w:p w:rsidR="00287BD1" w:rsidRPr="00C80641" w:rsidRDefault="00287BD1" w:rsidP="00847C07">
            <w:pPr>
              <w:pStyle w:val="TableContentText"/>
              <w:keepNext/>
              <w:spacing w:after="80"/>
              <w:rPr>
                <w:rFonts w:ascii="Arial" w:hAnsi="Arial" w:cs="Arial"/>
                <w:bCs/>
                <w:color w:val="auto"/>
                <w:sz w:val="15"/>
                <w:szCs w:val="15"/>
                <w:vertAlign w:val="subscript"/>
              </w:rPr>
            </w:pPr>
            <w:r w:rsidRPr="00C80641">
              <w:rPr>
                <w:rFonts w:ascii="Arial" w:hAnsi="Arial" w:cs="Arial"/>
                <w:bCs/>
                <w:color w:val="auto"/>
                <w:sz w:val="15"/>
                <w:szCs w:val="15"/>
              </w:rPr>
              <w:t>PM</w:t>
            </w:r>
            <w:r w:rsidRPr="00C80641">
              <w:rPr>
                <w:rFonts w:ascii="Arial" w:hAnsi="Arial" w:cs="Arial"/>
                <w:bCs/>
                <w:color w:val="auto"/>
                <w:sz w:val="15"/>
                <w:szCs w:val="15"/>
                <w:vertAlign w:val="subscript"/>
              </w:rPr>
              <w:t>10</w:t>
            </w:r>
          </w:p>
        </w:tc>
        <w:tc>
          <w:tcPr>
            <w:tcW w:w="598" w:type="pct"/>
            <w:shd w:val="clear" w:color="auto" w:fill="auto"/>
          </w:tcPr>
          <w:p w:rsidR="00287BD1" w:rsidRPr="00C80641" w:rsidRDefault="00287BD1" w:rsidP="003F78EA">
            <w:pPr>
              <w:pStyle w:val="TableContentText"/>
              <w:keepNext/>
              <w:spacing w:after="80"/>
              <w:jc w:val="center"/>
              <w:rPr>
                <w:rFonts w:ascii="Arial" w:hAnsi="Arial" w:cs="Arial"/>
                <w:color w:val="auto"/>
                <w:sz w:val="15"/>
                <w:szCs w:val="15"/>
              </w:rPr>
            </w:pPr>
            <w:r w:rsidRPr="00C80641">
              <w:rPr>
                <w:rFonts w:ascii="Arial" w:hAnsi="Arial" w:cs="Arial"/>
                <w:color w:val="auto"/>
                <w:sz w:val="15"/>
                <w:szCs w:val="15"/>
              </w:rPr>
              <w:t>24 hours</w:t>
            </w:r>
          </w:p>
        </w:tc>
        <w:tc>
          <w:tcPr>
            <w:tcW w:w="799" w:type="pct"/>
            <w:shd w:val="clear" w:color="auto" w:fill="auto"/>
          </w:tcPr>
          <w:p w:rsidR="00287BD1" w:rsidRPr="00C80641" w:rsidRDefault="00287BD1" w:rsidP="003F78EA">
            <w:pPr>
              <w:pStyle w:val="TableContentText"/>
              <w:keepNext/>
              <w:spacing w:after="80"/>
              <w:jc w:val="center"/>
              <w:rPr>
                <w:rFonts w:ascii="Arial" w:hAnsi="Arial" w:cs="Arial"/>
                <w:color w:val="auto"/>
                <w:sz w:val="15"/>
                <w:szCs w:val="15"/>
              </w:rPr>
            </w:pPr>
            <w:r w:rsidRPr="00C80641">
              <w:rPr>
                <w:rFonts w:ascii="Arial" w:hAnsi="Arial" w:cs="Arial"/>
                <w:color w:val="auto"/>
                <w:sz w:val="15"/>
                <w:szCs w:val="15"/>
              </w:rPr>
              <w:t>50 µg/m³</w:t>
            </w:r>
          </w:p>
        </w:tc>
        <w:tc>
          <w:tcPr>
            <w:tcW w:w="3092" w:type="pct"/>
            <w:shd w:val="clear" w:color="auto" w:fill="auto"/>
          </w:tcPr>
          <w:p w:rsidR="00287BD1" w:rsidRPr="00C80641" w:rsidRDefault="00287BD1" w:rsidP="003F78EA">
            <w:pPr>
              <w:pStyle w:val="TableContentText"/>
              <w:keepNext/>
              <w:spacing w:after="80"/>
              <w:jc w:val="center"/>
              <w:rPr>
                <w:rFonts w:ascii="Arial" w:hAnsi="Arial" w:cs="Arial"/>
                <w:color w:val="auto"/>
                <w:sz w:val="15"/>
                <w:szCs w:val="15"/>
              </w:rPr>
            </w:pPr>
            <w:r w:rsidRPr="00C80641">
              <w:rPr>
                <w:rFonts w:ascii="Arial" w:hAnsi="Arial" w:cs="Arial"/>
                <w:color w:val="auto"/>
                <w:sz w:val="15"/>
                <w:szCs w:val="15"/>
              </w:rPr>
              <w:t>5 days per year</w:t>
            </w:r>
          </w:p>
        </w:tc>
      </w:tr>
      <w:tr w:rsidR="00287BD1" w:rsidRPr="00C80641" w:rsidTr="00623EE8">
        <w:trPr>
          <w:trHeight w:hRule="exact" w:val="572"/>
          <w:jc w:val="center"/>
        </w:trPr>
        <w:tc>
          <w:tcPr>
            <w:tcW w:w="511" w:type="pct"/>
            <w:shd w:val="clear" w:color="auto" w:fill="F2F2F2"/>
          </w:tcPr>
          <w:p w:rsidR="00287BD1" w:rsidRPr="00C80641" w:rsidRDefault="00287BD1" w:rsidP="00847C07">
            <w:pPr>
              <w:pStyle w:val="TableContentText"/>
              <w:keepNext/>
              <w:spacing w:after="80"/>
              <w:rPr>
                <w:rFonts w:ascii="Arial" w:hAnsi="Arial" w:cs="Arial"/>
                <w:bCs/>
                <w:color w:val="auto"/>
                <w:sz w:val="15"/>
                <w:szCs w:val="15"/>
                <w:vertAlign w:val="superscript"/>
              </w:rPr>
            </w:pPr>
            <w:r w:rsidRPr="00C80641">
              <w:rPr>
                <w:rFonts w:ascii="Arial" w:hAnsi="Arial" w:cs="Arial"/>
                <w:bCs/>
                <w:color w:val="auto"/>
                <w:sz w:val="15"/>
                <w:szCs w:val="15"/>
              </w:rPr>
              <w:t>PM</w:t>
            </w:r>
            <w:r w:rsidRPr="00C80641">
              <w:rPr>
                <w:rFonts w:ascii="Arial" w:hAnsi="Arial" w:cs="Arial"/>
                <w:bCs/>
                <w:color w:val="auto"/>
                <w:sz w:val="15"/>
                <w:szCs w:val="15"/>
                <w:vertAlign w:val="subscript"/>
              </w:rPr>
              <w:t>2.5</w:t>
            </w:r>
            <w:r w:rsidRPr="00C80641">
              <w:rPr>
                <w:rFonts w:ascii="Arial" w:hAnsi="Arial" w:cs="Arial"/>
                <w:bCs/>
                <w:color w:val="auto"/>
                <w:sz w:val="15"/>
                <w:szCs w:val="15"/>
                <w:vertAlign w:val="superscript"/>
              </w:rPr>
              <w:t>(a)</w:t>
            </w:r>
          </w:p>
        </w:tc>
        <w:tc>
          <w:tcPr>
            <w:tcW w:w="598" w:type="pct"/>
            <w:shd w:val="clear" w:color="auto" w:fill="F2F2F2"/>
          </w:tcPr>
          <w:p w:rsidR="00287BD1" w:rsidRPr="00C80641" w:rsidRDefault="00287BD1" w:rsidP="003F78EA">
            <w:pPr>
              <w:pStyle w:val="TableContentText"/>
              <w:keepNext/>
              <w:spacing w:after="80"/>
              <w:jc w:val="center"/>
              <w:rPr>
                <w:rFonts w:ascii="Arial" w:hAnsi="Arial" w:cs="Arial"/>
                <w:color w:val="auto"/>
                <w:sz w:val="15"/>
                <w:szCs w:val="15"/>
              </w:rPr>
            </w:pPr>
            <w:r w:rsidRPr="00C80641">
              <w:rPr>
                <w:rFonts w:ascii="Arial" w:hAnsi="Arial" w:cs="Arial"/>
                <w:color w:val="auto"/>
                <w:sz w:val="15"/>
                <w:szCs w:val="15"/>
              </w:rPr>
              <w:t>24 hours</w:t>
            </w:r>
          </w:p>
          <w:p w:rsidR="00287BD1" w:rsidRPr="00C80641" w:rsidRDefault="00287BD1" w:rsidP="003F78EA">
            <w:pPr>
              <w:pStyle w:val="TableContentText"/>
              <w:keepNext/>
              <w:spacing w:after="80"/>
              <w:jc w:val="center"/>
              <w:rPr>
                <w:rFonts w:ascii="Arial" w:hAnsi="Arial" w:cs="Arial"/>
                <w:color w:val="auto"/>
                <w:sz w:val="15"/>
                <w:szCs w:val="15"/>
              </w:rPr>
            </w:pPr>
            <w:r w:rsidRPr="00C80641">
              <w:rPr>
                <w:rFonts w:ascii="Arial" w:hAnsi="Arial" w:cs="Arial"/>
                <w:color w:val="auto"/>
                <w:sz w:val="15"/>
                <w:szCs w:val="15"/>
              </w:rPr>
              <w:t>1 year</w:t>
            </w:r>
          </w:p>
        </w:tc>
        <w:tc>
          <w:tcPr>
            <w:tcW w:w="799" w:type="pct"/>
            <w:shd w:val="clear" w:color="auto" w:fill="F2F2F2"/>
          </w:tcPr>
          <w:p w:rsidR="00287BD1" w:rsidRPr="00C80641" w:rsidRDefault="00287BD1" w:rsidP="003F78EA">
            <w:pPr>
              <w:pStyle w:val="TableContentText"/>
              <w:keepNext/>
              <w:spacing w:after="80"/>
              <w:jc w:val="center"/>
              <w:rPr>
                <w:rFonts w:ascii="Arial" w:hAnsi="Arial" w:cs="Arial"/>
                <w:color w:val="auto"/>
                <w:sz w:val="15"/>
                <w:szCs w:val="15"/>
              </w:rPr>
            </w:pPr>
            <w:r w:rsidRPr="00C80641">
              <w:rPr>
                <w:rFonts w:ascii="Arial" w:hAnsi="Arial" w:cs="Arial"/>
                <w:color w:val="auto"/>
                <w:sz w:val="15"/>
                <w:szCs w:val="15"/>
              </w:rPr>
              <w:t>25 µg/m³</w:t>
            </w:r>
          </w:p>
          <w:p w:rsidR="00287BD1" w:rsidRPr="00C80641" w:rsidRDefault="00287BD1" w:rsidP="003F78EA">
            <w:pPr>
              <w:pStyle w:val="TableContentText"/>
              <w:keepNext/>
              <w:spacing w:after="80"/>
              <w:jc w:val="center"/>
              <w:rPr>
                <w:rFonts w:ascii="Arial" w:hAnsi="Arial" w:cs="Arial"/>
                <w:color w:val="auto"/>
                <w:sz w:val="15"/>
                <w:szCs w:val="15"/>
              </w:rPr>
            </w:pPr>
            <w:r w:rsidRPr="00C80641">
              <w:rPr>
                <w:rFonts w:ascii="Arial" w:hAnsi="Arial" w:cs="Arial"/>
                <w:color w:val="auto"/>
                <w:sz w:val="15"/>
                <w:szCs w:val="15"/>
              </w:rPr>
              <w:t>8 µg/m³</w:t>
            </w:r>
          </w:p>
        </w:tc>
        <w:tc>
          <w:tcPr>
            <w:tcW w:w="3092" w:type="pct"/>
            <w:shd w:val="clear" w:color="auto" w:fill="F2F2F2"/>
          </w:tcPr>
          <w:p w:rsidR="00287BD1" w:rsidRPr="00C80641" w:rsidRDefault="00287BD1" w:rsidP="00623EE8">
            <w:pPr>
              <w:pStyle w:val="TableContentText"/>
              <w:keepNext/>
              <w:jc w:val="center"/>
              <w:rPr>
                <w:rFonts w:ascii="Arial" w:hAnsi="Arial" w:cs="Arial"/>
                <w:color w:val="auto"/>
                <w:sz w:val="15"/>
                <w:szCs w:val="15"/>
              </w:rPr>
            </w:pPr>
            <w:r w:rsidRPr="00C80641">
              <w:rPr>
                <w:rFonts w:ascii="Arial" w:hAnsi="Arial" w:cs="Arial"/>
                <w:color w:val="auto"/>
                <w:sz w:val="15"/>
                <w:szCs w:val="15"/>
              </w:rPr>
              <w:t>Not applicable</w:t>
            </w:r>
            <w:r w:rsidR="0057663A" w:rsidRPr="00C80641">
              <w:rPr>
                <w:rFonts w:ascii="Arial" w:hAnsi="Arial" w:cs="Arial"/>
                <w:color w:val="auto"/>
                <w:sz w:val="15"/>
                <w:szCs w:val="15"/>
              </w:rPr>
              <w:t>. Goal is to gather sufficient data nationally to</w:t>
            </w:r>
            <w:r w:rsidR="00E67E90" w:rsidRPr="00C80641">
              <w:rPr>
                <w:rFonts w:ascii="Arial" w:hAnsi="Arial" w:cs="Arial"/>
                <w:color w:val="auto"/>
                <w:sz w:val="15"/>
                <w:szCs w:val="15"/>
              </w:rPr>
              <w:t xml:space="preserve"> </w:t>
            </w:r>
            <w:r w:rsidR="0057663A" w:rsidRPr="00C80641">
              <w:rPr>
                <w:rFonts w:ascii="Arial" w:hAnsi="Arial" w:cs="Arial"/>
                <w:color w:val="auto"/>
                <w:sz w:val="15"/>
                <w:szCs w:val="15"/>
              </w:rPr>
              <w:t>facilitate a r</w:t>
            </w:r>
            <w:r w:rsidR="00E67E90" w:rsidRPr="00C80641">
              <w:rPr>
                <w:rFonts w:ascii="Arial" w:hAnsi="Arial" w:cs="Arial"/>
                <w:color w:val="auto"/>
                <w:sz w:val="15"/>
                <w:szCs w:val="15"/>
              </w:rPr>
              <w:t xml:space="preserve">eview of the </w:t>
            </w:r>
            <w:r w:rsidR="003F626A" w:rsidRPr="00C80641">
              <w:rPr>
                <w:rFonts w:ascii="Arial" w:hAnsi="Arial" w:cs="Arial"/>
                <w:color w:val="auto"/>
                <w:sz w:val="15"/>
                <w:szCs w:val="15"/>
              </w:rPr>
              <w:t>a</w:t>
            </w:r>
            <w:r w:rsidR="00E67E90" w:rsidRPr="00C80641">
              <w:rPr>
                <w:rFonts w:ascii="Arial" w:hAnsi="Arial" w:cs="Arial"/>
                <w:color w:val="auto"/>
                <w:sz w:val="15"/>
                <w:szCs w:val="15"/>
              </w:rPr>
              <w:t xml:space="preserve">dvisory </w:t>
            </w:r>
            <w:r w:rsidR="003F626A" w:rsidRPr="00C80641">
              <w:rPr>
                <w:rFonts w:ascii="Arial" w:hAnsi="Arial" w:cs="Arial"/>
                <w:color w:val="auto"/>
                <w:sz w:val="15"/>
                <w:szCs w:val="15"/>
              </w:rPr>
              <w:t>r</w:t>
            </w:r>
            <w:r w:rsidR="00E67E90" w:rsidRPr="00C80641">
              <w:rPr>
                <w:rFonts w:ascii="Arial" w:hAnsi="Arial" w:cs="Arial"/>
                <w:color w:val="auto"/>
                <w:sz w:val="15"/>
                <w:szCs w:val="15"/>
              </w:rPr>
              <w:t xml:space="preserve">eporting </w:t>
            </w:r>
            <w:r w:rsidR="003F626A" w:rsidRPr="00C80641">
              <w:rPr>
                <w:rFonts w:ascii="Arial" w:hAnsi="Arial" w:cs="Arial"/>
                <w:color w:val="auto"/>
                <w:sz w:val="15"/>
                <w:szCs w:val="15"/>
              </w:rPr>
              <w:t>s</w:t>
            </w:r>
            <w:r w:rsidR="00623EE8" w:rsidRPr="00C80641">
              <w:rPr>
                <w:rFonts w:ascii="Arial" w:hAnsi="Arial" w:cs="Arial"/>
                <w:color w:val="auto"/>
                <w:sz w:val="15"/>
                <w:szCs w:val="15"/>
              </w:rPr>
              <w:t>tandards.</w:t>
            </w:r>
          </w:p>
        </w:tc>
      </w:tr>
    </w:tbl>
    <w:p w:rsidR="00287BD1" w:rsidRPr="00C80641" w:rsidRDefault="00287BD1" w:rsidP="00DE5D63">
      <w:pPr>
        <w:pStyle w:val="Tablefootnotetext"/>
        <w:numPr>
          <w:ilvl w:val="0"/>
          <w:numId w:val="33"/>
        </w:numPr>
        <w:spacing w:before="60" w:after="360" w:line="288" w:lineRule="auto"/>
        <w:jc w:val="both"/>
        <w:rPr>
          <w:rFonts w:ascii="Arial" w:hAnsi="Arial" w:cs="Arial"/>
          <w:sz w:val="14"/>
          <w:szCs w:val="14"/>
        </w:rPr>
      </w:pPr>
      <w:r w:rsidRPr="00C80641">
        <w:rPr>
          <w:rFonts w:ascii="Arial" w:hAnsi="Arial" w:cs="Arial"/>
          <w:sz w:val="14"/>
          <w:szCs w:val="14"/>
        </w:rPr>
        <w:t>Advisory reporting standards.</w:t>
      </w:r>
    </w:p>
    <w:p w:rsidR="006A6C42" w:rsidRPr="00C80641" w:rsidRDefault="006A6C42" w:rsidP="00810588">
      <w:pPr>
        <w:spacing w:after="180"/>
        <w:rPr>
          <w:rFonts w:ascii="Arial" w:hAnsi="Arial" w:cs="Arial"/>
          <w:lang w:eastAsia="en-US"/>
        </w:rPr>
      </w:pPr>
      <w:r w:rsidRPr="00C80641">
        <w:rPr>
          <w:rFonts w:ascii="Arial" w:hAnsi="Arial" w:cs="Arial"/>
          <w:lang w:eastAsia="en-US"/>
        </w:rPr>
        <w:t>The standard for PM</w:t>
      </w:r>
      <w:r w:rsidRPr="00C80641">
        <w:rPr>
          <w:rFonts w:ascii="Arial" w:hAnsi="Arial" w:cs="Arial"/>
          <w:vertAlign w:val="subscript"/>
          <w:lang w:eastAsia="en-US"/>
        </w:rPr>
        <w:t>10</w:t>
      </w:r>
      <w:r w:rsidRPr="00C80641">
        <w:rPr>
          <w:rFonts w:ascii="Arial" w:hAnsi="Arial" w:cs="Arial"/>
          <w:lang w:eastAsia="en-US"/>
        </w:rPr>
        <w:t xml:space="preserve"> corresponds to the health-based evidence that was available in the mid-to-late 1990s to inform the making of the AAQ NEPM </w:t>
      </w:r>
      <w:r w:rsidRPr="00C80641">
        <w:rPr>
          <w:rFonts w:ascii="Arial" w:hAnsi="Arial" w:cs="Arial"/>
          <w:b/>
          <w:lang w:eastAsia="en-US"/>
        </w:rPr>
        <w:t>(NEPC 1998)</w:t>
      </w:r>
      <w:r w:rsidRPr="00C80641">
        <w:rPr>
          <w:rFonts w:ascii="Arial" w:hAnsi="Arial" w:cs="Arial"/>
        </w:rPr>
        <w:t>. The advisory standards for PM</w:t>
      </w:r>
      <w:r w:rsidRPr="00C80641">
        <w:rPr>
          <w:rFonts w:ascii="Arial" w:hAnsi="Arial" w:cs="Arial"/>
          <w:vertAlign w:val="subscript"/>
        </w:rPr>
        <w:t>2.5</w:t>
      </w:r>
      <w:r w:rsidRPr="00C80641">
        <w:rPr>
          <w:rFonts w:ascii="Arial" w:hAnsi="Arial" w:cs="Arial"/>
        </w:rPr>
        <w:t xml:space="preserve"> were also underpinned by the available health evidence, including a risk assessment based on monitoring in four cities over a three-year period </w:t>
      </w:r>
      <w:r w:rsidRPr="00C80641">
        <w:rPr>
          <w:rFonts w:ascii="Arial" w:hAnsi="Arial" w:cs="Arial"/>
          <w:b/>
        </w:rPr>
        <w:t>(NEPC 2002)</w:t>
      </w:r>
      <w:r w:rsidRPr="00C80641">
        <w:rPr>
          <w:rFonts w:ascii="Arial" w:hAnsi="Arial" w:cs="Arial"/>
        </w:rPr>
        <w:t>.</w:t>
      </w:r>
    </w:p>
    <w:p w:rsidR="001E256A" w:rsidRPr="00C80641" w:rsidRDefault="001E256A" w:rsidP="001929E4">
      <w:pPr>
        <w:spacing w:after="300"/>
        <w:rPr>
          <w:rFonts w:ascii="Arial" w:hAnsi="Arial" w:cs="Arial"/>
        </w:rPr>
      </w:pPr>
      <w:r w:rsidRPr="00C80641">
        <w:rPr>
          <w:rFonts w:ascii="Arial" w:hAnsi="Arial" w:cs="Arial"/>
        </w:rPr>
        <w:t xml:space="preserve">The standards and goals of the </w:t>
      </w:r>
      <w:r w:rsidR="00EF24F8" w:rsidRPr="00C80641">
        <w:rPr>
          <w:rFonts w:ascii="Arial" w:hAnsi="Arial" w:cs="Arial"/>
        </w:rPr>
        <w:t>AAQ NEPM</w:t>
      </w:r>
      <w:r w:rsidRPr="00C80641">
        <w:rPr>
          <w:rFonts w:ascii="Arial" w:hAnsi="Arial" w:cs="Arial"/>
        </w:rPr>
        <w:t xml:space="preserve"> are not enforceable but aim to guide policy formulation that allows for the adequate protection of health and wellbeing. Under the current </w:t>
      </w:r>
      <w:r w:rsidR="00EF24F8" w:rsidRPr="00C80641">
        <w:rPr>
          <w:rFonts w:ascii="Arial" w:hAnsi="Arial" w:cs="Arial"/>
        </w:rPr>
        <w:t>AAQ NEPM</w:t>
      </w:r>
      <w:r w:rsidRPr="00C80641">
        <w:rPr>
          <w:rFonts w:ascii="Arial" w:hAnsi="Arial" w:cs="Arial"/>
        </w:rPr>
        <w:t xml:space="preserve">, participating jurisdictions (Commonwealth, </w:t>
      </w:r>
      <w:r w:rsidR="00DE5D63" w:rsidRPr="00C80641">
        <w:rPr>
          <w:rFonts w:ascii="Arial" w:hAnsi="Arial" w:cs="Arial"/>
        </w:rPr>
        <w:t>s</w:t>
      </w:r>
      <w:r w:rsidRPr="00C80641">
        <w:rPr>
          <w:rFonts w:ascii="Arial" w:hAnsi="Arial" w:cs="Arial"/>
        </w:rPr>
        <w:t>tate</w:t>
      </w:r>
      <w:r w:rsidR="006A6C42" w:rsidRPr="00C80641">
        <w:rPr>
          <w:rFonts w:ascii="Arial" w:hAnsi="Arial" w:cs="Arial"/>
        </w:rPr>
        <w:t xml:space="preserve">s and </w:t>
      </w:r>
      <w:r w:rsidR="00DE5D63" w:rsidRPr="00C80641">
        <w:rPr>
          <w:rFonts w:ascii="Arial" w:hAnsi="Arial" w:cs="Arial"/>
        </w:rPr>
        <w:t>t</w:t>
      </w:r>
      <w:r w:rsidR="006A6C42" w:rsidRPr="00C80641">
        <w:rPr>
          <w:rFonts w:ascii="Arial" w:hAnsi="Arial" w:cs="Arial"/>
        </w:rPr>
        <w:t>erritories</w:t>
      </w:r>
      <w:r w:rsidRPr="00C80641">
        <w:rPr>
          <w:rFonts w:ascii="Arial" w:hAnsi="Arial" w:cs="Arial"/>
        </w:rPr>
        <w:t>) are required to undertake reporting and monitoring activit</w:t>
      </w:r>
      <w:r w:rsidR="00857EAA" w:rsidRPr="00C80641">
        <w:rPr>
          <w:rFonts w:ascii="Arial" w:hAnsi="Arial" w:cs="Arial"/>
        </w:rPr>
        <w:t>ies to provide data that assist</w:t>
      </w:r>
      <w:r w:rsidRPr="00C80641">
        <w:rPr>
          <w:rFonts w:ascii="Arial" w:hAnsi="Arial" w:cs="Arial"/>
        </w:rPr>
        <w:t xml:space="preserve"> jurisdictions in formulating air quality policies. The </w:t>
      </w:r>
      <w:r w:rsidR="00EF24F8" w:rsidRPr="00C80641">
        <w:rPr>
          <w:rFonts w:ascii="Arial" w:hAnsi="Arial" w:cs="Arial"/>
        </w:rPr>
        <w:t>AAQ NEPM</w:t>
      </w:r>
      <w:r w:rsidRPr="00C80641">
        <w:rPr>
          <w:rFonts w:ascii="Arial" w:hAnsi="Arial" w:cs="Arial"/>
        </w:rPr>
        <w:t xml:space="preserve"> itself does not compel or direct pollution control measures.</w:t>
      </w:r>
    </w:p>
    <w:p w:rsidR="00F81AD9" w:rsidRPr="00C80641" w:rsidRDefault="00F81AD9" w:rsidP="00DB5D5F">
      <w:pPr>
        <w:pStyle w:val="Level4PB2"/>
        <w:rPr>
          <w:rFonts w:ascii="Arial" w:hAnsi="Arial" w:cs="Arial"/>
          <w:lang w:val="en-AU"/>
        </w:rPr>
      </w:pPr>
      <w:r w:rsidRPr="00C80641">
        <w:rPr>
          <w:rFonts w:ascii="Arial" w:hAnsi="Arial" w:cs="Arial"/>
          <w:lang w:val="en-AU"/>
        </w:rPr>
        <w:t>Exposure reduction</w:t>
      </w:r>
    </w:p>
    <w:p w:rsidR="00F81AD9" w:rsidRPr="00C80641" w:rsidRDefault="00C745F7" w:rsidP="00E33B69">
      <w:pPr>
        <w:spacing w:after="300"/>
        <w:rPr>
          <w:rFonts w:ascii="Arial" w:hAnsi="Arial" w:cs="Arial"/>
        </w:rPr>
      </w:pPr>
      <w:r w:rsidRPr="00C80641">
        <w:rPr>
          <w:rFonts w:ascii="Arial" w:hAnsi="Arial" w:cs="Arial"/>
        </w:rPr>
        <w:t xml:space="preserve">For non-threshold pollutants such as </w:t>
      </w:r>
      <w:r w:rsidR="004C7F57" w:rsidRPr="00C80641">
        <w:rPr>
          <w:rFonts w:ascii="Arial" w:hAnsi="Arial" w:cs="Arial"/>
        </w:rPr>
        <w:t>PM</w:t>
      </w:r>
      <w:r w:rsidRPr="00C80641">
        <w:rPr>
          <w:rFonts w:ascii="Arial" w:hAnsi="Arial" w:cs="Arial"/>
        </w:rPr>
        <w:t>, it has become clear that the overall health outcomes in a population are driven by large-scale exposure to the prevailing background concentration, rather than by relatively small-scale exposure to higher concentrations at localised ‘h</w:t>
      </w:r>
      <w:r w:rsidR="00374349" w:rsidRPr="00C80641">
        <w:rPr>
          <w:rFonts w:ascii="Arial" w:hAnsi="Arial" w:cs="Arial"/>
        </w:rPr>
        <w:t>ot spots’. This has compelled</w:t>
      </w:r>
      <w:r w:rsidRPr="00C80641">
        <w:rPr>
          <w:rFonts w:ascii="Arial" w:hAnsi="Arial" w:cs="Arial"/>
        </w:rPr>
        <w:t xml:space="preserve"> a shift in the approach to air quality management, and in some countries and regions (notably the </w:t>
      </w:r>
      <w:r w:rsidR="004C7F57" w:rsidRPr="00C80641">
        <w:rPr>
          <w:rFonts w:ascii="Arial" w:hAnsi="Arial" w:cs="Arial"/>
        </w:rPr>
        <w:t>EU</w:t>
      </w:r>
      <w:r w:rsidRPr="00C80641">
        <w:rPr>
          <w:rFonts w:ascii="Arial" w:hAnsi="Arial" w:cs="Arial"/>
        </w:rPr>
        <w:t xml:space="preserve">) this has taken the form of an ‘exposure-reduction framework’. Exposure-reduction is discussed in more detail in </w:t>
      </w:r>
      <w:r w:rsidRPr="00C80641">
        <w:rPr>
          <w:rFonts w:ascii="Arial" w:hAnsi="Arial" w:cs="Arial"/>
          <w:b/>
        </w:rPr>
        <w:t xml:space="preserve">Section </w:t>
      </w:r>
      <w:fldSimple w:instr=" REF _Ref368994577 \n \h  \* MERGEFORMAT ">
        <w:r w:rsidR="0085182E">
          <w:rPr>
            <w:rFonts w:ascii="Arial" w:hAnsi="Arial" w:cs="Arial"/>
            <w:b/>
          </w:rPr>
          <w:t>4.2.2</w:t>
        </w:r>
      </w:fldSimple>
      <w:r w:rsidR="00E33B69" w:rsidRPr="00C80641">
        <w:rPr>
          <w:rFonts w:ascii="Arial" w:hAnsi="Arial" w:cs="Arial"/>
        </w:rPr>
        <w:t xml:space="preserve">. </w:t>
      </w:r>
      <w:r w:rsidR="00F81AD9" w:rsidRPr="00C80641">
        <w:rPr>
          <w:rFonts w:ascii="Arial" w:hAnsi="Arial" w:cs="Arial"/>
        </w:rPr>
        <w:t>There are currently no targets for exposure</w:t>
      </w:r>
      <w:r w:rsidR="00837213" w:rsidRPr="00C80641">
        <w:rPr>
          <w:rFonts w:ascii="Arial" w:hAnsi="Arial" w:cs="Arial"/>
        </w:rPr>
        <w:t xml:space="preserve"> </w:t>
      </w:r>
      <w:r w:rsidR="00F81AD9" w:rsidRPr="00C80641">
        <w:rPr>
          <w:rFonts w:ascii="Arial" w:hAnsi="Arial" w:cs="Arial"/>
        </w:rPr>
        <w:t xml:space="preserve">reduction in the </w:t>
      </w:r>
      <w:r w:rsidR="00EF24F8" w:rsidRPr="00C80641">
        <w:rPr>
          <w:rFonts w:ascii="Arial" w:hAnsi="Arial" w:cs="Arial"/>
        </w:rPr>
        <w:t>AAQ NEPM</w:t>
      </w:r>
      <w:r w:rsidR="00F81AD9" w:rsidRPr="00C80641">
        <w:rPr>
          <w:rFonts w:ascii="Arial" w:hAnsi="Arial" w:cs="Arial"/>
        </w:rPr>
        <w:t>.</w:t>
      </w:r>
      <w:r w:rsidR="009837F3" w:rsidRPr="00C80641">
        <w:rPr>
          <w:rFonts w:ascii="Arial" w:hAnsi="Arial" w:cs="Arial"/>
        </w:rPr>
        <w:t xml:space="preserve"> </w:t>
      </w:r>
    </w:p>
    <w:p w:rsidR="00287BD1" w:rsidRPr="00C80641" w:rsidRDefault="00431140" w:rsidP="00DB5D5F">
      <w:pPr>
        <w:pStyle w:val="Level4PB2"/>
        <w:rPr>
          <w:rFonts w:ascii="Arial" w:hAnsi="Arial" w:cs="Arial"/>
          <w:lang w:val="en-AU"/>
        </w:rPr>
      </w:pPr>
      <w:r w:rsidRPr="00C80641">
        <w:rPr>
          <w:rFonts w:ascii="Arial" w:hAnsi="Arial" w:cs="Arial"/>
          <w:lang w:val="en-AU"/>
        </w:rPr>
        <w:t>Performance monitoring st</w:t>
      </w:r>
      <w:r w:rsidR="00E67E90" w:rsidRPr="00C80641">
        <w:rPr>
          <w:rFonts w:ascii="Arial" w:hAnsi="Arial" w:cs="Arial"/>
          <w:lang w:val="en-AU"/>
        </w:rPr>
        <w:t>ations</w:t>
      </w:r>
    </w:p>
    <w:p w:rsidR="00D53F43" w:rsidRPr="00C80641" w:rsidRDefault="009A7467" w:rsidP="00E33B69">
      <w:pPr>
        <w:spacing w:after="160"/>
        <w:rPr>
          <w:rFonts w:ascii="Arial" w:hAnsi="Arial" w:cs="Arial"/>
          <w:lang w:eastAsia="en-US"/>
        </w:rPr>
      </w:pPr>
      <w:r w:rsidRPr="00C80641">
        <w:rPr>
          <w:rFonts w:ascii="Arial" w:hAnsi="Arial" w:cs="Arial"/>
        </w:rPr>
        <w:t xml:space="preserve">The </w:t>
      </w:r>
      <w:r w:rsidR="00DE5D63" w:rsidRPr="00C80641">
        <w:rPr>
          <w:rFonts w:ascii="Arial" w:hAnsi="Arial" w:cs="Arial"/>
        </w:rPr>
        <w:t>s</w:t>
      </w:r>
      <w:r w:rsidR="00E36A1F" w:rsidRPr="00C80641">
        <w:rPr>
          <w:rFonts w:ascii="Arial" w:hAnsi="Arial" w:cs="Arial"/>
        </w:rPr>
        <w:t xml:space="preserve">tates and </w:t>
      </w:r>
      <w:r w:rsidR="00DE5D63" w:rsidRPr="00C80641">
        <w:rPr>
          <w:rFonts w:ascii="Arial" w:hAnsi="Arial" w:cs="Arial"/>
        </w:rPr>
        <w:t>t</w:t>
      </w:r>
      <w:r w:rsidR="00E36A1F" w:rsidRPr="00C80641">
        <w:rPr>
          <w:rFonts w:ascii="Arial" w:hAnsi="Arial" w:cs="Arial"/>
        </w:rPr>
        <w:t xml:space="preserve">erritories are </w:t>
      </w:r>
      <w:r w:rsidR="00431140" w:rsidRPr="00C80641">
        <w:rPr>
          <w:rFonts w:ascii="Arial" w:hAnsi="Arial" w:cs="Arial"/>
        </w:rPr>
        <w:t xml:space="preserve">currently </w:t>
      </w:r>
      <w:r w:rsidR="00E36A1F" w:rsidRPr="00C80641">
        <w:rPr>
          <w:rFonts w:ascii="Arial" w:hAnsi="Arial" w:cs="Arial"/>
        </w:rPr>
        <w:t xml:space="preserve">required to monitor and report on air quality to determine whether the </w:t>
      </w:r>
      <w:r w:rsidR="00EF24F8" w:rsidRPr="00C80641">
        <w:rPr>
          <w:rFonts w:ascii="Arial" w:hAnsi="Arial" w:cs="Arial"/>
        </w:rPr>
        <w:t>AAQ NEPM</w:t>
      </w:r>
      <w:r w:rsidR="00E36A1F" w:rsidRPr="00C80641">
        <w:rPr>
          <w:rFonts w:ascii="Arial" w:hAnsi="Arial" w:cs="Arial"/>
        </w:rPr>
        <w:t xml:space="preserve"> standards are </w:t>
      </w:r>
      <w:r w:rsidR="00717E63" w:rsidRPr="00C80641">
        <w:rPr>
          <w:rFonts w:ascii="Arial" w:hAnsi="Arial" w:cs="Arial"/>
        </w:rPr>
        <w:t xml:space="preserve">being </w:t>
      </w:r>
      <w:r w:rsidR="00E36A1F" w:rsidRPr="00C80641">
        <w:rPr>
          <w:rFonts w:ascii="Arial" w:hAnsi="Arial" w:cs="Arial"/>
        </w:rPr>
        <w:t>met within populated areas.</w:t>
      </w:r>
      <w:r w:rsidR="004015F0" w:rsidRPr="00C80641">
        <w:rPr>
          <w:rFonts w:ascii="Arial" w:hAnsi="Arial" w:cs="Arial"/>
          <w:lang w:eastAsia="en-US"/>
        </w:rPr>
        <w:t xml:space="preserve"> </w:t>
      </w:r>
      <w:r w:rsidR="00D53F43" w:rsidRPr="00C80641">
        <w:rPr>
          <w:rFonts w:ascii="Arial" w:hAnsi="Arial" w:cs="Arial"/>
          <w:lang w:eastAsia="en-US"/>
        </w:rPr>
        <w:t>Two approaches a</w:t>
      </w:r>
      <w:r w:rsidR="002C709F" w:rsidRPr="00C80641">
        <w:rPr>
          <w:rFonts w:ascii="Arial" w:hAnsi="Arial" w:cs="Arial"/>
          <w:lang w:eastAsia="en-US"/>
        </w:rPr>
        <w:t xml:space="preserve">re available for </w:t>
      </w:r>
      <w:r w:rsidR="00D53F43" w:rsidRPr="00C80641">
        <w:rPr>
          <w:rFonts w:ascii="Arial" w:hAnsi="Arial" w:cs="Arial"/>
          <w:lang w:eastAsia="en-US"/>
        </w:rPr>
        <w:t>evaluating performance against the standards:</w:t>
      </w:r>
    </w:p>
    <w:p w:rsidR="00D53F43" w:rsidRPr="00C80641" w:rsidRDefault="00D53F43" w:rsidP="00D00156">
      <w:pPr>
        <w:pStyle w:val="BulletArrows"/>
        <w:numPr>
          <w:ilvl w:val="0"/>
          <w:numId w:val="86"/>
        </w:numPr>
        <w:spacing w:after="160"/>
        <w:rPr>
          <w:rFonts w:ascii="Arial" w:hAnsi="Arial"/>
        </w:rPr>
      </w:pPr>
      <w:r w:rsidRPr="00C80641">
        <w:rPr>
          <w:rFonts w:ascii="Arial" w:hAnsi="Arial"/>
        </w:rPr>
        <w:t>Pollutant concentrations can be measured at ‘performance monitoring stations’.</w:t>
      </w:r>
    </w:p>
    <w:p w:rsidR="00D53F43" w:rsidRPr="00C80641" w:rsidRDefault="00D53F43" w:rsidP="00D00156">
      <w:pPr>
        <w:pStyle w:val="BulletArrows"/>
        <w:numPr>
          <w:ilvl w:val="0"/>
          <w:numId w:val="86"/>
        </w:numPr>
        <w:spacing w:after="240"/>
        <w:rPr>
          <w:rFonts w:ascii="Arial" w:hAnsi="Arial"/>
        </w:rPr>
      </w:pPr>
      <w:r w:rsidRPr="00C80641">
        <w:rPr>
          <w:rFonts w:ascii="Arial" w:hAnsi="Arial"/>
        </w:rPr>
        <w:t xml:space="preserve">Pollutant concentrations can be assessed by other means that provide information </w:t>
      </w:r>
      <w:r w:rsidR="00C37F8E" w:rsidRPr="00C80641">
        <w:rPr>
          <w:rFonts w:ascii="Arial" w:hAnsi="Arial"/>
        </w:rPr>
        <w:t xml:space="preserve">that is </w:t>
      </w:r>
      <w:r w:rsidRPr="00C80641">
        <w:rPr>
          <w:rFonts w:ascii="Arial" w:hAnsi="Arial"/>
        </w:rPr>
        <w:t>equivalent to measurement</w:t>
      </w:r>
      <w:r w:rsidR="00C37F8E" w:rsidRPr="00C80641">
        <w:rPr>
          <w:rFonts w:ascii="Arial" w:hAnsi="Arial"/>
        </w:rPr>
        <w:t>s</w:t>
      </w:r>
      <w:r w:rsidRPr="00C80641">
        <w:rPr>
          <w:rFonts w:ascii="Arial" w:hAnsi="Arial"/>
        </w:rPr>
        <w:t xml:space="preserve">. These methods could include, for example, the use of </w:t>
      </w:r>
      <w:r w:rsidR="00B44448" w:rsidRPr="00C80641">
        <w:rPr>
          <w:rFonts w:ascii="Arial" w:hAnsi="Arial"/>
        </w:rPr>
        <w:t xml:space="preserve">emissions </w:t>
      </w:r>
      <w:r w:rsidR="00717E63" w:rsidRPr="00C80641">
        <w:rPr>
          <w:rFonts w:ascii="Arial" w:hAnsi="Arial"/>
        </w:rPr>
        <w:t xml:space="preserve">inventories, </w:t>
      </w:r>
      <w:r w:rsidRPr="00C80641">
        <w:rPr>
          <w:rFonts w:ascii="Arial" w:hAnsi="Arial"/>
        </w:rPr>
        <w:t>dispersion modelling, and comparisons with other regions.</w:t>
      </w:r>
    </w:p>
    <w:p w:rsidR="00042F36" w:rsidRPr="00C80641" w:rsidRDefault="00D53F43" w:rsidP="00810588">
      <w:pPr>
        <w:spacing w:after="180"/>
        <w:rPr>
          <w:rFonts w:ascii="Arial" w:hAnsi="Arial" w:cs="Arial"/>
          <w:lang w:eastAsia="en-US"/>
        </w:rPr>
      </w:pPr>
      <w:r w:rsidRPr="00C80641">
        <w:rPr>
          <w:rFonts w:ascii="Arial" w:hAnsi="Arial" w:cs="Arial"/>
          <w:lang w:eastAsia="en-US"/>
        </w:rPr>
        <w:t xml:space="preserve">Clauses 13(1) and 13(2) of the </w:t>
      </w:r>
      <w:r w:rsidR="00EF24F8" w:rsidRPr="00C80641">
        <w:rPr>
          <w:rFonts w:ascii="Arial" w:hAnsi="Arial" w:cs="Arial"/>
          <w:lang w:eastAsia="en-US"/>
        </w:rPr>
        <w:t>AAQ NEPM</w:t>
      </w:r>
      <w:r w:rsidRPr="00C80641">
        <w:rPr>
          <w:rFonts w:ascii="Arial" w:hAnsi="Arial" w:cs="Arial"/>
          <w:lang w:eastAsia="en-US"/>
        </w:rPr>
        <w:t xml:space="preserve"> provide guidance on the location of performance monitoring stations</w:t>
      </w:r>
      <w:r w:rsidRPr="00C80641">
        <w:rPr>
          <w:rStyle w:val="FootnoteReference"/>
          <w:rFonts w:ascii="Arial" w:hAnsi="Arial" w:cs="Arial"/>
          <w:lang w:eastAsia="en-US"/>
        </w:rPr>
        <w:footnoteReference w:id="10"/>
      </w:r>
      <w:r w:rsidR="009A7467" w:rsidRPr="00C80641">
        <w:rPr>
          <w:rFonts w:ascii="Arial" w:hAnsi="Arial" w:cs="Arial"/>
          <w:lang w:eastAsia="en-US"/>
        </w:rPr>
        <w:t>. T</w:t>
      </w:r>
      <w:r w:rsidR="004015F0" w:rsidRPr="00C80641">
        <w:rPr>
          <w:rFonts w:ascii="Arial" w:hAnsi="Arial" w:cs="Arial"/>
          <w:lang w:eastAsia="en-US"/>
        </w:rPr>
        <w:t xml:space="preserve">he </w:t>
      </w:r>
      <w:r w:rsidRPr="00C80641">
        <w:rPr>
          <w:rFonts w:ascii="Arial" w:hAnsi="Arial" w:cs="Arial"/>
          <w:lang w:eastAsia="en-US"/>
        </w:rPr>
        <w:t xml:space="preserve">air quality </w:t>
      </w:r>
      <w:r w:rsidR="004015F0" w:rsidRPr="00C80641">
        <w:rPr>
          <w:rFonts w:ascii="Arial" w:hAnsi="Arial" w:cs="Arial"/>
          <w:lang w:eastAsia="en-US"/>
        </w:rPr>
        <w:t xml:space="preserve">standards are designed for locations that are generally representative of the level of exposure of the </w:t>
      </w:r>
      <w:r w:rsidR="004E7257" w:rsidRPr="00C80641">
        <w:rPr>
          <w:rFonts w:ascii="Arial" w:hAnsi="Arial" w:cs="Arial"/>
          <w:lang w:eastAsia="en-US"/>
        </w:rPr>
        <w:t xml:space="preserve">broad population, rather than for ‘hot spots’ </w:t>
      </w:r>
      <w:r w:rsidR="004015F0" w:rsidRPr="00C80641">
        <w:rPr>
          <w:rFonts w:ascii="Arial" w:hAnsi="Arial" w:cs="Arial"/>
          <w:lang w:eastAsia="en-US"/>
        </w:rPr>
        <w:t>near major point sources or roads.</w:t>
      </w:r>
      <w:r w:rsidRPr="00C80641">
        <w:rPr>
          <w:rFonts w:ascii="Arial" w:hAnsi="Arial" w:cs="Arial"/>
        </w:rPr>
        <w:t xml:space="preserve"> </w:t>
      </w:r>
      <w:r w:rsidR="00E36A1F" w:rsidRPr="00C80641">
        <w:rPr>
          <w:rFonts w:ascii="Arial" w:hAnsi="Arial" w:cs="Arial"/>
        </w:rPr>
        <w:t>T</w:t>
      </w:r>
      <w:r w:rsidR="00C02979" w:rsidRPr="00C80641">
        <w:rPr>
          <w:rFonts w:ascii="Arial" w:hAnsi="Arial" w:cs="Arial"/>
        </w:rPr>
        <w:t xml:space="preserve">he </w:t>
      </w:r>
      <w:r w:rsidR="00EF24F8" w:rsidRPr="00C80641">
        <w:rPr>
          <w:rFonts w:ascii="Arial" w:hAnsi="Arial" w:cs="Arial"/>
        </w:rPr>
        <w:t>AAQ NEPM</w:t>
      </w:r>
      <w:r w:rsidR="00C02979" w:rsidRPr="00C80641">
        <w:rPr>
          <w:rFonts w:ascii="Arial" w:hAnsi="Arial" w:cs="Arial"/>
        </w:rPr>
        <w:t xml:space="preserve"> monitoring protocol </w:t>
      </w:r>
      <w:r w:rsidR="002B77E4" w:rsidRPr="00C80641">
        <w:rPr>
          <w:rFonts w:ascii="Arial" w:hAnsi="Arial" w:cs="Arial"/>
          <w:b/>
        </w:rPr>
        <w:t>(</w:t>
      </w:r>
      <w:r w:rsidR="0025673F" w:rsidRPr="00C80641">
        <w:rPr>
          <w:rFonts w:ascii="Arial" w:hAnsi="Arial" w:cs="Arial"/>
          <w:b/>
        </w:rPr>
        <w:t>PRC 2001a</w:t>
      </w:r>
      <w:r w:rsidR="002B77E4" w:rsidRPr="00C80641">
        <w:rPr>
          <w:rFonts w:ascii="Arial" w:hAnsi="Arial" w:cs="Arial"/>
          <w:b/>
        </w:rPr>
        <w:t>)</w:t>
      </w:r>
      <w:r w:rsidR="002B77E4" w:rsidRPr="00C80641">
        <w:rPr>
          <w:rFonts w:ascii="Arial" w:hAnsi="Arial" w:cs="Arial"/>
        </w:rPr>
        <w:t xml:space="preserve"> </w:t>
      </w:r>
      <w:r w:rsidR="00C02979" w:rsidRPr="00C80641">
        <w:rPr>
          <w:rFonts w:ascii="Arial" w:hAnsi="Arial" w:cs="Arial"/>
        </w:rPr>
        <w:t>states that some monitoring stations should be located in populated areas which are expected to experience relatively high concentrations, providing a basis for r</w:t>
      </w:r>
      <w:r w:rsidR="0087080F" w:rsidRPr="00C80641">
        <w:rPr>
          <w:rFonts w:ascii="Arial" w:hAnsi="Arial" w:cs="Arial"/>
        </w:rPr>
        <w:t>eliable statements about air pollution</w:t>
      </w:r>
      <w:r w:rsidR="00C02979" w:rsidRPr="00C80641">
        <w:rPr>
          <w:rFonts w:ascii="Arial" w:hAnsi="Arial" w:cs="Arial"/>
        </w:rPr>
        <w:t xml:space="preserve"> within the region </w:t>
      </w:r>
      <w:r w:rsidR="009A7467" w:rsidRPr="00C80641">
        <w:rPr>
          <w:rFonts w:ascii="Arial" w:hAnsi="Arial" w:cs="Arial"/>
        </w:rPr>
        <w:t xml:space="preserve">or sub-region </w:t>
      </w:r>
      <w:r w:rsidR="00C02979" w:rsidRPr="00C80641">
        <w:rPr>
          <w:rFonts w:ascii="Arial" w:hAnsi="Arial" w:cs="Arial"/>
        </w:rPr>
        <w:t>as a whole. These stations are called ‘generally representative upper bound (GRUB)</w:t>
      </w:r>
      <w:r w:rsidR="00431140" w:rsidRPr="00C80641">
        <w:rPr>
          <w:rFonts w:ascii="Arial" w:hAnsi="Arial" w:cs="Arial"/>
        </w:rPr>
        <w:t xml:space="preserve"> for community exposure’ sites. </w:t>
      </w:r>
      <w:r w:rsidR="00042F36" w:rsidRPr="00C80641">
        <w:rPr>
          <w:rFonts w:ascii="Arial" w:hAnsi="Arial" w:cs="Arial"/>
          <w:lang w:eastAsia="en-US"/>
        </w:rPr>
        <w:t>A performance monitoring station should be operated in the same location</w:t>
      </w:r>
      <w:r w:rsidR="00042F36" w:rsidRPr="00C80641">
        <w:rPr>
          <w:rFonts w:ascii="Arial" w:hAnsi="Arial" w:cs="Arial"/>
          <w:sz w:val="21"/>
          <w:szCs w:val="21"/>
          <w:lang w:eastAsia="en-US"/>
        </w:rPr>
        <w:t xml:space="preserve"> </w:t>
      </w:r>
      <w:r w:rsidR="009A7467" w:rsidRPr="00C80641">
        <w:rPr>
          <w:rFonts w:ascii="Arial" w:hAnsi="Arial" w:cs="Arial"/>
          <w:lang w:eastAsia="en-US"/>
        </w:rPr>
        <w:t>for at least five</w:t>
      </w:r>
      <w:r w:rsidR="00042F36" w:rsidRPr="00C80641">
        <w:rPr>
          <w:rFonts w:ascii="Arial" w:hAnsi="Arial" w:cs="Arial"/>
          <w:lang w:eastAsia="en-US"/>
        </w:rPr>
        <w:t xml:space="preserve"> years.</w:t>
      </w:r>
    </w:p>
    <w:p w:rsidR="00431140" w:rsidRPr="00C80641" w:rsidRDefault="00431140" w:rsidP="00810588">
      <w:pPr>
        <w:spacing w:after="180"/>
        <w:rPr>
          <w:rFonts w:ascii="Arial" w:hAnsi="Arial" w:cs="Arial"/>
          <w:lang w:eastAsia="en-US"/>
        </w:rPr>
      </w:pPr>
      <w:r w:rsidRPr="00C80641">
        <w:rPr>
          <w:rFonts w:ascii="Arial" w:hAnsi="Arial" w:cs="Arial"/>
          <w:lang w:eastAsia="en-US"/>
        </w:rPr>
        <w:t xml:space="preserve">The number of performance monitoring stations for a region with a population of 25,000 people or more is the next whole number above the value calculated in accordance with the formula (1.5 x </w:t>
      </w:r>
      <w:r w:rsidRPr="00C80641">
        <w:rPr>
          <w:rFonts w:ascii="Arial" w:hAnsi="Arial" w:cs="Arial"/>
          <w:b/>
          <w:lang w:eastAsia="en-US"/>
        </w:rPr>
        <w:t>P</w:t>
      </w:r>
      <w:r w:rsidRPr="00C80641">
        <w:rPr>
          <w:rFonts w:ascii="Arial" w:hAnsi="Arial" w:cs="Arial"/>
          <w:lang w:eastAsia="en-US"/>
        </w:rPr>
        <w:t xml:space="preserve">) + 0.5, where </w:t>
      </w:r>
      <w:r w:rsidRPr="00C80641">
        <w:rPr>
          <w:rFonts w:ascii="Arial" w:hAnsi="Arial" w:cs="Arial"/>
          <w:b/>
          <w:bCs/>
          <w:iCs/>
          <w:lang w:eastAsia="en-US"/>
        </w:rPr>
        <w:t xml:space="preserve">P </w:t>
      </w:r>
      <w:r w:rsidRPr="00C80641">
        <w:rPr>
          <w:rFonts w:ascii="Arial" w:hAnsi="Arial" w:cs="Arial"/>
          <w:lang w:eastAsia="en-US"/>
        </w:rPr>
        <w:t xml:space="preserve">is the </w:t>
      </w:r>
      <w:r w:rsidRPr="00C80641">
        <w:rPr>
          <w:rFonts w:ascii="Arial" w:hAnsi="Arial" w:cs="Arial"/>
          <w:lang w:eastAsia="en-US"/>
        </w:rPr>
        <w:lastRenderedPageBreak/>
        <w:t>population of the region (in millions). Additional (or fewer) performance monitoring stations can be implemented depending on lo</w:t>
      </w:r>
      <w:r w:rsidR="002C709F" w:rsidRPr="00C80641">
        <w:rPr>
          <w:rFonts w:ascii="Arial" w:hAnsi="Arial" w:cs="Arial"/>
          <w:lang w:eastAsia="en-US"/>
        </w:rPr>
        <w:t>cal and regional conditions, or</w:t>
      </w:r>
      <w:r w:rsidRPr="00C80641">
        <w:rPr>
          <w:rFonts w:ascii="Arial" w:hAnsi="Arial" w:cs="Arial"/>
          <w:lang w:eastAsia="en-US"/>
        </w:rPr>
        <w:t xml:space="preserve"> existing pollutant levels.</w:t>
      </w:r>
    </w:p>
    <w:p w:rsidR="00D6640D" w:rsidRPr="00C80641" w:rsidRDefault="00491187" w:rsidP="00E33B69">
      <w:pPr>
        <w:spacing w:after="300"/>
        <w:rPr>
          <w:rFonts w:ascii="Arial" w:hAnsi="Arial" w:cs="Arial"/>
          <w:lang w:eastAsia="en-US"/>
        </w:rPr>
      </w:pPr>
      <w:r w:rsidRPr="00C80641">
        <w:rPr>
          <w:rFonts w:ascii="Arial" w:hAnsi="Arial" w:cs="Arial"/>
          <w:lang w:eastAsia="en-US"/>
        </w:rPr>
        <w:t>U</w:t>
      </w:r>
      <w:r w:rsidR="00D6640D" w:rsidRPr="00C80641">
        <w:rPr>
          <w:rFonts w:ascii="Arial" w:hAnsi="Arial" w:cs="Arial"/>
          <w:lang w:eastAsia="en-US"/>
        </w:rPr>
        <w:t xml:space="preserve">nder the current monitoring protocol in the </w:t>
      </w:r>
      <w:r w:rsidR="00EF24F8" w:rsidRPr="00C80641">
        <w:rPr>
          <w:rFonts w:ascii="Arial" w:hAnsi="Arial" w:cs="Arial"/>
          <w:lang w:eastAsia="en-US"/>
        </w:rPr>
        <w:t>AAQ NEPM</w:t>
      </w:r>
      <w:r w:rsidR="00D6640D" w:rsidRPr="00C80641">
        <w:rPr>
          <w:rFonts w:ascii="Arial" w:hAnsi="Arial" w:cs="Arial"/>
          <w:lang w:eastAsia="en-US"/>
        </w:rPr>
        <w:t xml:space="preserve">, </w:t>
      </w:r>
      <w:r w:rsidR="009F5044" w:rsidRPr="00C80641">
        <w:rPr>
          <w:rFonts w:ascii="Arial" w:hAnsi="Arial" w:cs="Arial"/>
          <w:lang w:eastAsia="en-US"/>
        </w:rPr>
        <w:t xml:space="preserve">the exposure of </w:t>
      </w:r>
      <w:r w:rsidR="00D6640D" w:rsidRPr="00C80641">
        <w:rPr>
          <w:rFonts w:ascii="Arial" w:hAnsi="Arial" w:cs="Arial"/>
          <w:lang w:eastAsia="en-US"/>
        </w:rPr>
        <w:t xml:space="preserve">people who live near major sources of pollution </w:t>
      </w:r>
      <w:r w:rsidR="00DE5D63" w:rsidRPr="00C80641">
        <w:rPr>
          <w:rFonts w:ascii="Arial" w:hAnsi="Arial" w:cs="Arial"/>
          <w:lang w:eastAsia="en-US"/>
        </w:rPr>
        <w:t>–</w:t>
      </w:r>
      <w:r w:rsidR="0090265D" w:rsidRPr="00C80641">
        <w:rPr>
          <w:rFonts w:ascii="Arial" w:hAnsi="Arial" w:cs="Arial"/>
          <w:lang w:eastAsia="en-US"/>
        </w:rPr>
        <w:t xml:space="preserve"> </w:t>
      </w:r>
      <w:r w:rsidR="00D6640D" w:rsidRPr="00C80641">
        <w:rPr>
          <w:rFonts w:ascii="Arial" w:hAnsi="Arial" w:cs="Arial"/>
          <w:lang w:eastAsia="en-US"/>
        </w:rPr>
        <w:t xml:space="preserve">such as </w:t>
      </w:r>
      <w:r w:rsidR="0090265D" w:rsidRPr="00C80641">
        <w:rPr>
          <w:rFonts w:ascii="Arial" w:hAnsi="Arial" w:cs="Arial"/>
          <w:lang w:eastAsia="en-US"/>
        </w:rPr>
        <w:t xml:space="preserve">busy </w:t>
      </w:r>
      <w:r w:rsidR="00D6640D" w:rsidRPr="00C80641">
        <w:rPr>
          <w:rFonts w:ascii="Arial" w:hAnsi="Arial" w:cs="Arial"/>
          <w:lang w:eastAsia="en-US"/>
        </w:rPr>
        <w:t xml:space="preserve">roads </w:t>
      </w:r>
      <w:r w:rsidR="00DE5D63" w:rsidRPr="00C80641">
        <w:rPr>
          <w:rFonts w:ascii="Arial" w:hAnsi="Arial" w:cs="Arial"/>
          <w:lang w:eastAsia="en-US"/>
        </w:rPr>
        <w:t>–</w:t>
      </w:r>
      <w:r w:rsidR="0090265D" w:rsidRPr="00C80641">
        <w:rPr>
          <w:rFonts w:ascii="Arial" w:hAnsi="Arial" w:cs="Arial"/>
          <w:lang w:eastAsia="en-US"/>
        </w:rPr>
        <w:t xml:space="preserve"> </w:t>
      </w:r>
      <w:r w:rsidR="009F5044" w:rsidRPr="00C80641">
        <w:rPr>
          <w:rFonts w:ascii="Arial" w:hAnsi="Arial" w:cs="Arial"/>
          <w:lang w:eastAsia="en-US"/>
        </w:rPr>
        <w:t xml:space="preserve">is not assessed through </w:t>
      </w:r>
      <w:r w:rsidR="00D6640D" w:rsidRPr="00C80641">
        <w:rPr>
          <w:rFonts w:ascii="Arial" w:hAnsi="Arial" w:cs="Arial"/>
          <w:lang w:eastAsia="en-US"/>
        </w:rPr>
        <w:t>air qualit</w:t>
      </w:r>
      <w:r w:rsidR="0090265D" w:rsidRPr="00C80641">
        <w:rPr>
          <w:rFonts w:ascii="Arial" w:hAnsi="Arial" w:cs="Arial"/>
          <w:lang w:eastAsia="en-US"/>
        </w:rPr>
        <w:t>y monitoring</w:t>
      </w:r>
      <w:r w:rsidR="009F5044" w:rsidRPr="00C80641">
        <w:rPr>
          <w:rFonts w:ascii="Arial" w:hAnsi="Arial" w:cs="Arial"/>
          <w:lang w:eastAsia="en-US"/>
        </w:rPr>
        <w:t xml:space="preserve">. Such people </w:t>
      </w:r>
      <w:r w:rsidR="00D6640D" w:rsidRPr="00C80641">
        <w:rPr>
          <w:rFonts w:ascii="Arial" w:hAnsi="Arial" w:cs="Arial"/>
          <w:lang w:eastAsia="en-US"/>
        </w:rPr>
        <w:t>are likely to be exposed to higher l</w:t>
      </w:r>
      <w:r w:rsidR="0090265D" w:rsidRPr="00C80641">
        <w:rPr>
          <w:rFonts w:ascii="Arial" w:hAnsi="Arial" w:cs="Arial"/>
          <w:lang w:eastAsia="en-US"/>
        </w:rPr>
        <w:t>evels of air pollution than those</w:t>
      </w:r>
      <w:r w:rsidR="00D6640D" w:rsidRPr="00C80641">
        <w:rPr>
          <w:rFonts w:ascii="Arial" w:hAnsi="Arial" w:cs="Arial"/>
          <w:lang w:eastAsia="en-US"/>
        </w:rPr>
        <w:t xml:space="preserve"> measured at performance monitoring stations </w:t>
      </w:r>
      <w:r w:rsidR="00D6640D" w:rsidRPr="00C80641">
        <w:rPr>
          <w:rFonts w:ascii="Arial" w:hAnsi="Arial" w:cs="Arial"/>
          <w:b/>
          <w:lang w:eastAsia="en-US"/>
        </w:rPr>
        <w:t>(NEPC 2011a)</w:t>
      </w:r>
      <w:r w:rsidR="00D6640D" w:rsidRPr="00C80641">
        <w:rPr>
          <w:rFonts w:ascii="Arial" w:hAnsi="Arial" w:cs="Arial"/>
          <w:lang w:eastAsia="en-US"/>
        </w:rPr>
        <w:t>.</w:t>
      </w:r>
      <w:r w:rsidR="004B4989" w:rsidRPr="00C80641">
        <w:rPr>
          <w:rFonts w:ascii="Arial" w:hAnsi="Arial" w:cs="Arial"/>
          <w:lang w:eastAsia="en-US"/>
        </w:rPr>
        <w:t xml:space="preserve"> </w:t>
      </w:r>
    </w:p>
    <w:p w:rsidR="0057663A" w:rsidRPr="00C80641" w:rsidRDefault="0057663A" w:rsidP="00DB5D5F">
      <w:pPr>
        <w:pStyle w:val="Level4PB2"/>
        <w:rPr>
          <w:rFonts w:ascii="Arial" w:hAnsi="Arial" w:cs="Arial"/>
          <w:lang w:val="en-AU" w:eastAsia="en-US"/>
        </w:rPr>
      </w:pPr>
      <w:r w:rsidRPr="00C80641">
        <w:rPr>
          <w:rFonts w:ascii="Arial" w:hAnsi="Arial" w:cs="Arial"/>
          <w:lang w:val="en-AU" w:eastAsia="en-US"/>
        </w:rPr>
        <w:t xml:space="preserve">Trend </w:t>
      </w:r>
      <w:r w:rsidR="00431140" w:rsidRPr="00C80641">
        <w:rPr>
          <w:rFonts w:ascii="Arial" w:hAnsi="Arial" w:cs="Arial"/>
          <w:lang w:val="en-AU" w:eastAsia="en-US"/>
        </w:rPr>
        <w:t xml:space="preserve">monitoring </w:t>
      </w:r>
      <w:r w:rsidRPr="00C80641">
        <w:rPr>
          <w:rFonts w:ascii="Arial" w:hAnsi="Arial" w:cs="Arial"/>
          <w:lang w:val="en-AU" w:eastAsia="en-US"/>
        </w:rPr>
        <w:t>stations</w:t>
      </w:r>
    </w:p>
    <w:p w:rsidR="0057663A" w:rsidRPr="00C80641" w:rsidRDefault="002C709F" w:rsidP="001929E4">
      <w:pPr>
        <w:spacing w:after="300"/>
        <w:rPr>
          <w:rFonts w:ascii="Arial" w:hAnsi="Arial" w:cs="Arial"/>
          <w:lang w:eastAsia="en-US"/>
        </w:rPr>
      </w:pPr>
      <w:r w:rsidRPr="00C80641">
        <w:rPr>
          <w:rFonts w:ascii="Arial" w:hAnsi="Arial" w:cs="Arial"/>
          <w:lang w:eastAsia="en-US"/>
        </w:rPr>
        <w:t>Some</w:t>
      </w:r>
      <w:r w:rsidR="0057663A" w:rsidRPr="00C80641">
        <w:rPr>
          <w:rFonts w:ascii="Arial" w:hAnsi="Arial" w:cs="Arial"/>
          <w:lang w:eastAsia="en-US"/>
        </w:rPr>
        <w:t xml:space="preserve"> performance monitoring</w:t>
      </w:r>
      <w:r w:rsidR="00431140" w:rsidRPr="00C80641">
        <w:rPr>
          <w:rFonts w:ascii="Arial" w:hAnsi="Arial" w:cs="Arial"/>
          <w:lang w:eastAsia="en-US"/>
        </w:rPr>
        <w:t xml:space="preserve"> stations in each </w:t>
      </w:r>
      <w:r w:rsidR="00DE5D63" w:rsidRPr="00C80641">
        <w:rPr>
          <w:rFonts w:ascii="Arial" w:hAnsi="Arial" w:cs="Arial"/>
          <w:lang w:eastAsia="en-US"/>
        </w:rPr>
        <w:t>s</w:t>
      </w:r>
      <w:r w:rsidR="0057663A" w:rsidRPr="00C80641">
        <w:rPr>
          <w:rFonts w:ascii="Arial" w:hAnsi="Arial" w:cs="Arial"/>
          <w:lang w:eastAsia="en-US"/>
        </w:rPr>
        <w:t>tate</w:t>
      </w:r>
      <w:r w:rsidR="002B77E4" w:rsidRPr="00C80641">
        <w:rPr>
          <w:rFonts w:ascii="Arial" w:hAnsi="Arial" w:cs="Arial"/>
          <w:lang w:eastAsia="en-US"/>
        </w:rPr>
        <w:t xml:space="preserve"> </w:t>
      </w:r>
      <w:r w:rsidRPr="00C80641">
        <w:rPr>
          <w:rFonts w:ascii="Arial" w:hAnsi="Arial" w:cs="Arial"/>
          <w:lang w:eastAsia="en-US"/>
        </w:rPr>
        <w:t>or</w:t>
      </w:r>
      <w:r w:rsidR="00431140" w:rsidRPr="00C80641">
        <w:rPr>
          <w:rFonts w:ascii="Arial" w:hAnsi="Arial" w:cs="Arial"/>
          <w:lang w:eastAsia="en-US"/>
        </w:rPr>
        <w:t xml:space="preserve"> </w:t>
      </w:r>
      <w:r w:rsidR="00DE5D63" w:rsidRPr="00C80641">
        <w:rPr>
          <w:rFonts w:ascii="Arial" w:hAnsi="Arial" w:cs="Arial"/>
          <w:lang w:eastAsia="en-US"/>
        </w:rPr>
        <w:t>t</w:t>
      </w:r>
      <w:r w:rsidR="0057663A" w:rsidRPr="00C80641">
        <w:rPr>
          <w:rFonts w:ascii="Arial" w:hAnsi="Arial" w:cs="Arial"/>
          <w:lang w:eastAsia="en-US"/>
        </w:rPr>
        <w:t xml:space="preserve">erritory must be nominated as </w:t>
      </w:r>
      <w:r w:rsidR="00431140" w:rsidRPr="00C80641">
        <w:rPr>
          <w:rFonts w:ascii="Arial" w:hAnsi="Arial" w:cs="Arial"/>
          <w:lang w:eastAsia="en-US"/>
        </w:rPr>
        <w:t>‘</w:t>
      </w:r>
      <w:r w:rsidR="0057663A" w:rsidRPr="00C80641">
        <w:rPr>
          <w:rFonts w:ascii="Arial" w:hAnsi="Arial" w:cs="Arial"/>
          <w:lang w:eastAsia="en-US"/>
        </w:rPr>
        <w:t>trend</w:t>
      </w:r>
      <w:r w:rsidR="00431140" w:rsidRPr="00C80641">
        <w:rPr>
          <w:rFonts w:ascii="Arial" w:hAnsi="Arial" w:cs="Arial"/>
          <w:lang w:eastAsia="en-US"/>
        </w:rPr>
        <w:t>’</w:t>
      </w:r>
      <w:r w:rsidR="0057663A" w:rsidRPr="00C80641">
        <w:rPr>
          <w:rFonts w:ascii="Arial" w:hAnsi="Arial" w:cs="Arial"/>
          <w:lang w:eastAsia="en-US"/>
        </w:rPr>
        <w:t xml:space="preserve"> stations.</w:t>
      </w:r>
      <w:r w:rsidR="002B77E4" w:rsidRPr="00C80641">
        <w:rPr>
          <w:rFonts w:ascii="Arial" w:hAnsi="Arial" w:cs="Arial"/>
          <w:lang w:eastAsia="en-US"/>
        </w:rPr>
        <w:t xml:space="preserve"> </w:t>
      </w:r>
      <w:r w:rsidR="0057663A" w:rsidRPr="00C80641">
        <w:rPr>
          <w:rFonts w:ascii="Arial" w:hAnsi="Arial" w:cs="Arial"/>
          <w:lang w:eastAsia="en-US"/>
        </w:rPr>
        <w:t>The number of trend</w:t>
      </w:r>
      <w:r w:rsidR="002B77E4" w:rsidRPr="00C80641">
        <w:rPr>
          <w:rFonts w:ascii="Arial" w:hAnsi="Arial" w:cs="Arial"/>
          <w:lang w:eastAsia="en-US"/>
        </w:rPr>
        <w:t xml:space="preserve"> </w:t>
      </w:r>
      <w:r w:rsidR="0057663A" w:rsidRPr="00C80641">
        <w:rPr>
          <w:rFonts w:ascii="Arial" w:hAnsi="Arial" w:cs="Arial"/>
          <w:lang w:eastAsia="en-US"/>
        </w:rPr>
        <w:t>stations must be suffic</w:t>
      </w:r>
      <w:r w:rsidR="00717E63" w:rsidRPr="00C80641">
        <w:rPr>
          <w:rFonts w:ascii="Arial" w:hAnsi="Arial" w:cs="Arial"/>
          <w:lang w:eastAsia="en-US"/>
        </w:rPr>
        <w:t xml:space="preserve">ient to enable the </w:t>
      </w:r>
      <w:r w:rsidRPr="00C80641">
        <w:rPr>
          <w:rFonts w:ascii="Arial" w:hAnsi="Arial" w:cs="Arial"/>
          <w:lang w:eastAsia="en-US"/>
        </w:rPr>
        <w:t>assess</w:t>
      </w:r>
      <w:r w:rsidR="00717E63" w:rsidRPr="00C80641">
        <w:rPr>
          <w:rFonts w:ascii="Arial" w:hAnsi="Arial" w:cs="Arial"/>
          <w:lang w:eastAsia="en-US"/>
        </w:rPr>
        <w:t xml:space="preserve">ment of </w:t>
      </w:r>
      <w:r w:rsidRPr="00C80641">
        <w:rPr>
          <w:rFonts w:ascii="Arial" w:hAnsi="Arial" w:cs="Arial"/>
          <w:lang w:eastAsia="en-US"/>
        </w:rPr>
        <w:t>long-</w:t>
      </w:r>
      <w:r w:rsidR="0057663A" w:rsidRPr="00C80641">
        <w:rPr>
          <w:rFonts w:ascii="Arial" w:hAnsi="Arial" w:cs="Arial"/>
          <w:lang w:eastAsia="en-US"/>
        </w:rPr>
        <w:t>term changes in</w:t>
      </w:r>
      <w:r w:rsidR="002B77E4" w:rsidRPr="00C80641">
        <w:rPr>
          <w:rFonts w:ascii="Arial" w:hAnsi="Arial" w:cs="Arial"/>
          <w:lang w:eastAsia="en-US"/>
        </w:rPr>
        <w:t xml:space="preserve"> </w:t>
      </w:r>
      <w:r w:rsidR="0057663A" w:rsidRPr="00C80641">
        <w:rPr>
          <w:rFonts w:ascii="Arial" w:hAnsi="Arial" w:cs="Arial"/>
          <w:lang w:eastAsia="en-US"/>
        </w:rPr>
        <w:t>ambient air quality in different parts of the jurisdiction.</w:t>
      </w:r>
      <w:r w:rsidR="002B77E4" w:rsidRPr="00C80641">
        <w:rPr>
          <w:rFonts w:ascii="Arial" w:hAnsi="Arial" w:cs="Arial"/>
          <w:lang w:eastAsia="en-US"/>
        </w:rPr>
        <w:t xml:space="preserve"> </w:t>
      </w:r>
      <w:r w:rsidR="0057663A" w:rsidRPr="00C80641">
        <w:rPr>
          <w:rFonts w:ascii="Arial" w:hAnsi="Arial" w:cs="Arial"/>
          <w:lang w:eastAsia="en-US"/>
        </w:rPr>
        <w:t>A trend station must be operated in t</w:t>
      </w:r>
      <w:r w:rsidR="00717E63" w:rsidRPr="00C80641">
        <w:rPr>
          <w:rFonts w:ascii="Arial" w:hAnsi="Arial" w:cs="Arial"/>
          <w:lang w:eastAsia="en-US"/>
        </w:rPr>
        <w:t>he same location for at least ten years</w:t>
      </w:r>
      <w:r w:rsidR="0057663A" w:rsidRPr="00C80641">
        <w:rPr>
          <w:rFonts w:ascii="Arial" w:hAnsi="Arial" w:cs="Arial"/>
          <w:lang w:eastAsia="en-US"/>
        </w:rPr>
        <w:t>.</w:t>
      </w:r>
    </w:p>
    <w:p w:rsidR="0057663A" w:rsidRPr="00C80641" w:rsidRDefault="0057663A" w:rsidP="00DB5D5F">
      <w:pPr>
        <w:pStyle w:val="Level4PB2"/>
        <w:rPr>
          <w:rFonts w:ascii="Arial" w:hAnsi="Arial" w:cs="Arial"/>
          <w:lang w:val="en-AU" w:eastAsia="en-US"/>
        </w:rPr>
      </w:pPr>
      <w:r w:rsidRPr="00C80641">
        <w:rPr>
          <w:rFonts w:ascii="Arial" w:hAnsi="Arial" w:cs="Arial"/>
          <w:lang w:val="en-AU" w:eastAsia="en-US"/>
        </w:rPr>
        <w:t>Monitoring methods</w:t>
      </w:r>
      <w:r w:rsidR="00853112" w:rsidRPr="00C80641">
        <w:rPr>
          <w:rFonts w:ascii="Arial" w:hAnsi="Arial" w:cs="Arial"/>
          <w:lang w:val="en-AU" w:eastAsia="en-US"/>
        </w:rPr>
        <w:t xml:space="preserve"> – PM</w:t>
      </w:r>
      <w:r w:rsidR="00853112" w:rsidRPr="00C80641">
        <w:rPr>
          <w:rFonts w:ascii="Arial" w:hAnsi="Arial" w:cs="Arial"/>
          <w:vertAlign w:val="subscript"/>
          <w:lang w:val="en-AU" w:eastAsia="en-US"/>
        </w:rPr>
        <w:t>10</w:t>
      </w:r>
    </w:p>
    <w:p w:rsidR="00853112" w:rsidRPr="00C80641" w:rsidRDefault="000879DA" w:rsidP="00E33B69">
      <w:pPr>
        <w:spacing w:after="300"/>
        <w:rPr>
          <w:rFonts w:ascii="Arial" w:hAnsi="Arial" w:cs="Arial"/>
        </w:rPr>
      </w:pPr>
      <w:r w:rsidRPr="00C80641">
        <w:rPr>
          <w:rFonts w:ascii="Arial" w:hAnsi="Arial" w:cs="Arial"/>
          <w:lang w:eastAsia="en-US"/>
        </w:rPr>
        <w:t xml:space="preserve">Clause 16 of the </w:t>
      </w:r>
      <w:r w:rsidR="00EF24F8" w:rsidRPr="00C80641">
        <w:rPr>
          <w:rFonts w:ascii="Arial" w:hAnsi="Arial" w:cs="Arial"/>
          <w:lang w:eastAsia="en-US"/>
        </w:rPr>
        <w:t>AAQ NEPM</w:t>
      </w:r>
      <w:r w:rsidRPr="00C80641">
        <w:rPr>
          <w:rFonts w:ascii="Arial" w:hAnsi="Arial" w:cs="Arial"/>
          <w:lang w:eastAsia="en-US"/>
        </w:rPr>
        <w:t xml:space="preserve"> requires Australian Standard mo</w:t>
      </w:r>
      <w:r w:rsidR="00431140" w:rsidRPr="00C80641">
        <w:rPr>
          <w:rFonts w:ascii="Arial" w:hAnsi="Arial" w:cs="Arial"/>
          <w:lang w:eastAsia="en-US"/>
        </w:rPr>
        <w:t>nitoring methods to be used</w:t>
      </w:r>
      <w:r w:rsidRPr="00C80641">
        <w:rPr>
          <w:rFonts w:ascii="Arial" w:hAnsi="Arial" w:cs="Arial"/>
          <w:lang w:eastAsia="en-US"/>
        </w:rPr>
        <w:t xml:space="preserve"> for each </w:t>
      </w:r>
      <w:r w:rsidR="00431140" w:rsidRPr="00C80641">
        <w:rPr>
          <w:rFonts w:ascii="Arial" w:hAnsi="Arial" w:cs="Arial"/>
          <w:lang w:eastAsia="en-US"/>
        </w:rPr>
        <w:t xml:space="preserve">specific pollutant (see </w:t>
      </w:r>
      <w:r w:rsidR="00431140" w:rsidRPr="00C80641">
        <w:rPr>
          <w:rFonts w:ascii="Arial" w:hAnsi="Arial" w:cs="Arial"/>
          <w:b/>
          <w:lang w:eastAsia="en-US"/>
        </w:rPr>
        <w:t xml:space="preserve">Section </w:t>
      </w:r>
      <w:fldSimple w:instr=" REF _Ref365628874 \n \h  \* MERGEFORMAT ">
        <w:r w:rsidR="0085182E">
          <w:rPr>
            <w:rFonts w:ascii="Arial" w:hAnsi="Arial" w:cs="Arial"/>
            <w:b/>
            <w:lang w:eastAsia="en-US"/>
          </w:rPr>
          <w:t>B.1</w:t>
        </w:r>
      </w:fldSimple>
      <w:r w:rsidR="00DE5D63" w:rsidRPr="00C80641">
        <w:rPr>
          <w:rFonts w:ascii="Arial" w:hAnsi="Arial" w:cs="Arial"/>
          <w:lang w:eastAsia="en-US"/>
        </w:rPr>
        <w:t xml:space="preserve"> in </w:t>
      </w:r>
      <w:r w:rsidR="00DE5D63" w:rsidRPr="00C80641">
        <w:rPr>
          <w:rFonts w:ascii="Arial" w:hAnsi="Arial" w:cs="Arial"/>
          <w:b/>
          <w:lang w:eastAsia="en-US"/>
        </w:rPr>
        <w:t>Appendix B</w:t>
      </w:r>
      <w:r w:rsidR="00431140" w:rsidRPr="00C80641">
        <w:rPr>
          <w:rFonts w:ascii="Arial" w:hAnsi="Arial" w:cs="Arial"/>
          <w:lang w:eastAsia="en-US"/>
        </w:rPr>
        <w:t xml:space="preserve">). </w:t>
      </w:r>
      <w:r w:rsidR="0057663A" w:rsidRPr="00C80641">
        <w:rPr>
          <w:rFonts w:ascii="Arial" w:hAnsi="Arial" w:cs="Arial"/>
          <w:lang w:eastAsia="en-US"/>
        </w:rPr>
        <w:t>Where an Australian Standard Method has not yet been developed for a</w:t>
      </w:r>
      <w:r w:rsidR="002B77E4" w:rsidRPr="00C80641">
        <w:rPr>
          <w:rFonts w:ascii="Arial" w:hAnsi="Arial" w:cs="Arial"/>
          <w:lang w:eastAsia="en-US"/>
        </w:rPr>
        <w:t xml:space="preserve"> </w:t>
      </w:r>
      <w:r w:rsidR="0057663A" w:rsidRPr="00C80641">
        <w:rPr>
          <w:rFonts w:ascii="Arial" w:hAnsi="Arial" w:cs="Arial"/>
          <w:lang w:eastAsia="en-US"/>
        </w:rPr>
        <w:t>monitoring method, appropriate internationally recognised methods or</w:t>
      </w:r>
      <w:r w:rsidR="002B77E4" w:rsidRPr="00C80641">
        <w:rPr>
          <w:rFonts w:ascii="Arial" w:hAnsi="Arial" w:cs="Arial"/>
          <w:lang w:eastAsia="en-US"/>
        </w:rPr>
        <w:t xml:space="preserve"> </w:t>
      </w:r>
      <w:r w:rsidR="0057663A" w:rsidRPr="00C80641">
        <w:rPr>
          <w:rFonts w:ascii="Arial" w:hAnsi="Arial" w:cs="Arial"/>
          <w:lang w:eastAsia="en-US"/>
        </w:rPr>
        <w:t>standards may be used that provide equivalent information for assessment</w:t>
      </w:r>
      <w:r w:rsidR="002B77E4" w:rsidRPr="00C80641">
        <w:rPr>
          <w:rFonts w:ascii="Arial" w:hAnsi="Arial" w:cs="Arial"/>
          <w:lang w:eastAsia="en-US"/>
        </w:rPr>
        <w:t xml:space="preserve"> </w:t>
      </w:r>
      <w:r w:rsidR="0057663A" w:rsidRPr="00C80641">
        <w:rPr>
          <w:rFonts w:ascii="Arial" w:hAnsi="Arial" w:cs="Arial"/>
          <w:lang w:eastAsia="en-US"/>
        </w:rPr>
        <w:t>purposes.</w:t>
      </w:r>
      <w:r w:rsidR="002B77E4" w:rsidRPr="00C80641">
        <w:rPr>
          <w:rFonts w:ascii="Arial" w:hAnsi="Arial" w:cs="Arial"/>
          <w:lang w:eastAsia="en-US"/>
        </w:rPr>
        <w:t xml:space="preserve"> </w:t>
      </w:r>
      <w:r w:rsidR="00A955FC" w:rsidRPr="00C80641">
        <w:rPr>
          <w:rFonts w:ascii="Arial" w:hAnsi="Arial" w:cs="Arial"/>
          <w:b/>
          <w:lang w:eastAsia="en-US"/>
        </w:rPr>
        <w:t>P</w:t>
      </w:r>
      <w:r w:rsidR="00A172BE" w:rsidRPr="00C80641">
        <w:rPr>
          <w:rFonts w:ascii="Arial" w:hAnsi="Arial" w:cs="Arial"/>
          <w:b/>
          <w:lang w:eastAsia="en-US"/>
        </w:rPr>
        <w:t>RC (2001c</w:t>
      </w:r>
      <w:r w:rsidR="00A955FC" w:rsidRPr="00C80641">
        <w:rPr>
          <w:rFonts w:ascii="Arial" w:hAnsi="Arial" w:cs="Arial"/>
          <w:b/>
          <w:lang w:eastAsia="en-US"/>
        </w:rPr>
        <w:t>)</w:t>
      </w:r>
      <w:r w:rsidR="00853112" w:rsidRPr="00C80641">
        <w:rPr>
          <w:rFonts w:ascii="Arial" w:hAnsi="Arial" w:cs="Arial"/>
          <w:lang w:eastAsia="en-US"/>
        </w:rPr>
        <w:t xml:space="preserve"> provides guidance on the handling of TEOM PM</w:t>
      </w:r>
      <w:r w:rsidR="00853112" w:rsidRPr="00C80641">
        <w:rPr>
          <w:rFonts w:ascii="Arial" w:hAnsi="Arial" w:cs="Arial"/>
          <w:vertAlign w:val="subscript"/>
          <w:lang w:eastAsia="en-US"/>
        </w:rPr>
        <w:t>10</w:t>
      </w:r>
      <w:r w:rsidR="00853112" w:rsidRPr="00C80641">
        <w:rPr>
          <w:rFonts w:ascii="Arial" w:hAnsi="Arial" w:cs="Arial"/>
          <w:lang w:eastAsia="en-US"/>
        </w:rPr>
        <w:t xml:space="preserve"> data. </w:t>
      </w:r>
    </w:p>
    <w:p w:rsidR="00C95EE1" w:rsidRPr="00C80641" w:rsidRDefault="00853112" w:rsidP="00DB5D5F">
      <w:pPr>
        <w:pStyle w:val="Level4PB2"/>
        <w:rPr>
          <w:rFonts w:ascii="Arial" w:hAnsi="Arial" w:cs="Arial"/>
          <w:lang w:val="en-AU" w:eastAsia="en-US"/>
        </w:rPr>
      </w:pPr>
      <w:r w:rsidRPr="00C80641">
        <w:rPr>
          <w:rFonts w:ascii="Arial" w:hAnsi="Arial" w:cs="Arial"/>
          <w:lang w:val="en-AU" w:eastAsia="en-US"/>
        </w:rPr>
        <w:t>Monitoring methods – PM</w:t>
      </w:r>
      <w:r w:rsidRPr="00C80641">
        <w:rPr>
          <w:rFonts w:ascii="Arial" w:hAnsi="Arial" w:cs="Arial"/>
          <w:vertAlign w:val="subscript"/>
          <w:lang w:val="en-AU" w:eastAsia="en-US"/>
        </w:rPr>
        <w:t>2.5</w:t>
      </w:r>
    </w:p>
    <w:p w:rsidR="00C7289A" w:rsidRPr="00C80641" w:rsidRDefault="00511F41" w:rsidP="00810588">
      <w:pPr>
        <w:spacing w:after="180"/>
        <w:rPr>
          <w:rFonts w:ascii="Arial" w:hAnsi="Arial" w:cs="Arial"/>
          <w:lang w:eastAsia="en-US"/>
        </w:rPr>
      </w:pPr>
      <w:r w:rsidRPr="00C80641">
        <w:rPr>
          <w:rFonts w:ascii="Arial" w:hAnsi="Arial" w:cs="Arial"/>
          <w:lang w:eastAsia="en-US"/>
        </w:rPr>
        <w:t>T</w:t>
      </w:r>
      <w:r w:rsidR="00BA1AA3" w:rsidRPr="00C80641">
        <w:rPr>
          <w:rFonts w:ascii="Arial" w:hAnsi="Arial" w:cs="Arial"/>
          <w:lang w:eastAsia="en-US"/>
        </w:rPr>
        <w:t>he m</w:t>
      </w:r>
      <w:r w:rsidR="00537467" w:rsidRPr="00C80641">
        <w:rPr>
          <w:rFonts w:ascii="Arial" w:hAnsi="Arial" w:cs="Arial"/>
          <w:lang w:eastAsia="en-US"/>
        </w:rPr>
        <w:t>easurement and assessment of PM</w:t>
      </w:r>
      <w:r w:rsidR="00537467" w:rsidRPr="00C80641">
        <w:rPr>
          <w:rFonts w:ascii="Arial" w:hAnsi="Arial" w:cs="Arial"/>
          <w:vertAlign w:val="subscript"/>
          <w:lang w:eastAsia="en-US"/>
        </w:rPr>
        <w:t>2.5</w:t>
      </w:r>
      <w:r w:rsidR="00537467" w:rsidRPr="00C80641">
        <w:rPr>
          <w:rFonts w:ascii="Arial" w:hAnsi="Arial" w:cs="Arial"/>
          <w:lang w:eastAsia="en-US"/>
        </w:rPr>
        <w:t xml:space="preserve"> is to be undertaken at existing or planned performance monitoring stations for PM</w:t>
      </w:r>
      <w:r w:rsidR="00537467" w:rsidRPr="00C80641">
        <w:rPr>
          <w:rFonts w:ascii="Arial" w:hAnsi="Arial" w:cs="Arial"/>
          <w:vertAlign w:val="subscript"/>
          <w:lang w:eastAsia="en-US"/>
        </w:rPr>
        <w:t>10</w:t>
      </w:r>
      <w:r w:rsidR="00537467" w:rsidRPr="00C80641">
        <w:rPr>
          <w:rFonts w:ascii="Arial" w:hAnsi="Arial" w:cs="Arial"/>
          <w:lang w:eastAsia="en-US"/>
        </w:rPr>
        <w:t>. Each</w:t>
      </w:r>
      <w:r w:rsidR="003166CE" w:rsidRPr="00C80641">
        <w:rPr>
          <w:rFonts w:ascii="Arial" w:hAnsi="Arial" w:cs="Arial"/>
          <w:lang w:eastAsia="en-US"/>
        </w:rPr>
        <w:t xml:space="preserve"> participating jurisdiction must</w:t>
      </w:r>
      <w:r w:rsidR="00537467" w:rsidRPr="00C80641">
        <w:rPr>
          <w:rFonts w:ascii="Arial" w:hAnsi="Arial" w:cs="Arial"/>
          <w:lang w:eastAsia="en-US"/>
        </w:rPr>
        <w:t xml:space="preserve"> establish at least one monitoring location for PM</w:t>
      </w:r>
      <w:r w:rsidR="00537467" w:rsidRPr="00C80641">
        <w:rPr>
          <w:rFonts w:ascii="Arial" w:hAnsi="Arial" w:cs="Arial"/>
          <w:vertAlign w:val="subscript"/>
          <w:lang w:eastAsia="en-US"/>
        </w:rPr>
        <w:t>2.5</w:t>
      </w:r>
      <w:r w:rsidR="003166CE" w:rsidRPr="00C80641">
        <w:rPr>
          <w:rFonts w:ascii="Arial" w:hAnsi="Arial" w:cs="Arial"/>
          <w:lang w:eastAsia="en-US"/>
        </w:rPr>
        <w:t>.</w:t>
      </w:r>
      <w:r w:rsidRPr="00C80641">
        <w:rPr>
          <w:rFonts w:ascii="Arial" w:hAnsi="Arial" w:cs="Arial"/>
          <w:lang w:eastAsia="en-US"/>
        </w:rPr>
        <w:t xml:space="preserve"> </w:t>
      </w:r>
      <w:r w:rsidR="00C7289A" w:rsidRPr="00C80641">
        <w:rPr>
          <w:rFonts w:ascii="Arial" w:hAnsi="Arial" w:cs="Arial"/>
          <w:lang w:eastAsia="en-US"/>
        </w:rPr>
        <w:t xml:space="preserve">The </w:t>
      </w:r>
      <w:r w:rsidRPr="00C80641">
        <w:rPr>
          <w:rFonts w:ascii="Arial" w:hAnsi="Arial" w:cs="Arial"/>
          <w:lang w:eastAsia="en-US"/>
        </w:rPr>
        <w:t xml:space="preserve">USEPA </w:t>
      </w:r>
      <w:r w:rsidR="00C7289A" w:rsidRPr="00C80641">
        <w:rPr>
          <w:rFonts w:ascii="Arial" w:hAnsi="Arial" w:cs="Arial"/>
          <w:lang w:eastAsia="en-US"/>
        </w:rPr>
        <w:t xml:space="preserve">reference </w:t>
      </w:r>
      <w:r w:rsidRPr="00C80641">
        <w:rPr>
          <w:rFonts w:ascii="Arial" w:hAnsi="Arial" w:cs="Arial"/>
          <w:lang w:eastAsia="en-US"/>
        </w:rPr>
        <w:t xml:space="preserve">(or equivalent) </w:t>
      </w:r>
      <w:r w:rsidR="00C7289A" w:rsidRPr="00C80641">
        <w:rPr>
          <w:rFonts w:ascii="Arial" w:hAnsi="Arial" w:cs="Arial"/>
          <w:lang w:eastAsia="en-US"/>
        </w:rPr>
        <w:t>methods for monitoring PM</w:t>
      </w:r>
      <w:r w:rsidR="00C7289A" w:rsidRPr="00C80641">
        <w:rPr>
          <w:rFonts w:ascii="Arial" w:hAnsi="Arial" w:cs="Arial"/>
          <w:vertAlign w:val="subscript"/>
          <w:lang w:eastAsia="en-US"/>
        </w:rPr>
        <w:t>2.5</w:t>
      </w:r>
      <w:r w:rsidRPr="00C80641">
        <w:rPr>
          <w:rFonts w:ascii="Arial" w:hAnsi="Arial" w:cs="Arial"/>
          <w:lang w:eastAsia="en-US"/>
        </w:rPr>
        <w:t xml:space="preserve"> should be used. Continuous methods (</w:t>
      </w:r>
      <w:r w:rsidR="009334F4" w:rsidRPr="00C80641">
        <w:rPr>
          <w:rFonts w:ascii="Arial" w:hAnsi="Arial" w:cs="Arial"/>
          <w:lang w:eastAsia="en-US"/>
        </w:rPr>
        <w:t>e.g.</w:t>
      </w:r>
      <w:r w:rsidRPr="00C80641">
        <w:rPr>
          <w:rFonts w:ascii="Arial" w:hAnsi="Arial" w:cs="Arial"/>
          <w:lang w:eastAsia="en-US"/>
        </w:rPr>
        <w:t xml:space="preserve"> </w:t>
      </w:r>
      <w:r w:rsidR="00C7289A" w:rsidRPr="00C80641">
        <w:rPr>
          <w:rFonts w:ascii="Arial" w:hAnsi="Arial" w:cs="Arial"/>
          <w:lang w:eastAsia="en-US"/>
        </w:rPr>
        <w:t>TEOM</w:t>
      </w:r>
      <w:r w:rsidRPr="00C80641">
        <w:rPr>
          <w:rFonts w:ascii="Arial" w:hAnsi="Arial" w:cs="Arial"/>
          <w:lang w:eastAsia="en-US"/>
        </w:rPr>
        <w:t>)</w:t>
      </w:r>
      <w:r w:rsidR="00717E63" w:rsidRPr="00C80641">
        <w:rPr>
          <w:rFonts w:ascii="Arial" w:hAnsi="Arial" w:cs="Arial"/>
          <w:lang w:eastAsia="en-US"/>
        </w:rPr>
        <w:t xml:space="preserve"> may also be employed</w:t>
      </w:r>
      <w:r w:rsidR="00C7289A" w:rsidRPr="00C80641">
        <w:rPr>
          <w:rFonts w:ascii="Arial" w:hAnsi="Arial" w:cs="Arial"/>
          <w:lang w:eastAsia="en-US"/>
        </w:rPr>
        <w:t xml:space="preserve"> in addition to the reference method</w:t>
      </w:r>
      <w:r w:rsidR="005B4EA2" w:rsidRPr="00C80641">
        <w:rPr>
          <w:rFonts w:ascii="Arial" w:hAnsi="Arial" w:cs="Arial"/>
          <w:lang w:eastAsia="en-US"/>
        </w:rPr>
        <w:t>.</w:t>
      </w:r>
    </w:p>
    <w:p w:rsidR="004E327A" w:rsidRPr="00C80641" w:rsidRDefault="004E327A" w:rsidP="001929E4">
      <w:pPr>
        <w:spacing w:after="300"/>
        <w:rPr>
          <w:rFonts w:ascii="Arial" w:hAnsi="Arial" w:cs="Arial"/>
          <w:lang w:eastAsia="en-US"/>
        </w:rPr>
      </w:pPr>
      <w:r w:rsidRPr="00C80641">
        <w:rPr>
          <w:rFonts w:ascii="Arial" w:hAnsi="Arial" w:cs="Arial"/>
          <w:lang w:eastAsia="en-US"/>
        </w:rPr>
        <w:t xml:space="preserve">Schedule 5 of the </w:t>
      </w:r>
      <w:r w:rsidR="00EF24F8" w:rsidRPr="00C80641">
        <w:rPr>
          <w:rFonts w:ascii="Arial" w:hAnsi="Arial" w:cs="Arial"/>
          <w:lang w:eastAsia="en-US"/>
        </w:rPr>
        <w:t>AAQ NEPM</w:t>
      </w:r>
      <w:r w:rsidRPr="00C80641">
        <w:rPr>
          <w:rFonts w:ascii="Arial" w:hAnsi="Arial" w:cs="Arial"/>
          <w:lang w:eastAsia="en-US"/>
        </w:rPr>
        <w:t xml:space="preserve"> establishes a </w:t>
      </w:r>
      <w:r w:rsidR="00DE5D63" w:rsidRPr="00C80641">
        <w:rPr>
          <w:rFonts w:ascii="Arial" w:hAnsi="Arial" w:cs="Arial"/>
          <w:lang w:eastAsia="en-US"/>
        </w:rPr>
        <w:t xml:space="preserve">program </w:t>
      </w:r>
      <w:r w:rsidRPr="00C80641">
        <w:rPr>
          <w:rFonts w:ascii="Arial" w:hAnsi="Arial" w:cs="Arial"/>
          <w:lang w:eastAsia="en-US"/>
        </w:rPr>
        <w:t xml:space="preserve">to assess whether the TEOM could be considered to generate data </w:t>
      </w:r>
      <w:r w:rsidR="003166CE" w:rsidRPr="00C80641">
        <w:rPr>
          <w:rFonts w:ascii="Arial" w:hAnsi="Arial" w:cs="Arial"/>
          <w:lang w:eastAsia="en-US"/>
        </w:rPr>
        <w:t xml:space="preserve">that are </w:t>
      </w:r>
      <w:r w:rsidRPr="00C80641">
        <w:rPr>
          <w:rFonts w:ascii="Arial" w:hAnsi="Arial" w:cs="Arial"/>
          <w:lang w:eastAsia="en-US"/>
        </w:rPr>
        <w:t>equivalent to the PM</w:t>
      </w:r>
      <w:r w:rsidRPr="00C80641">
        <w:rPr>
          <w:rFonts w:ascii="Arial" w:hAnsi="Arial" w:cs="Arial"/>
          <w:vertAlign w:val="subscript"/>
          <w:lang w:eastAsia="en-US"/>
        </w:rPr>
        <w:t>2.5</w:t>
      </w:r>
      <w:r w:rsidRPr="00C80641">
        <w:rPr>
          <w:rFonts w:ascii="Arial" w:hAnsi="Arial" w:cs="Arial"/>
          <w:lang w:eastAsia="en-US"/>
        </w:rPr>
        <w:t xml:space="preserve"> referen</w:t>
      </w:r>
      <w:r w:rsidR="00511F41" w:rsidRPr="00C80641">
        <w:rPr>
          <w:rFonts w:ascii="Arial" w:hAnsi="Arial" w:cs="Arial"/>
          <w:lang w:eastAsia="en-US"/>
        </w:rPr>
        <w:t>ce method</w:t>
      </w:r>
      <w:r w:rsidRPr="00C80641">
        <w:rPr>
          <w:rFonts w:ascii="Arial" w:hAnsi="Arial" w:cs="Arial"/>
          <w:lang w:eastAsia="en-US"/>
        </w:rPr>
        <w:t xml:space="preserve">. The Schedule describes the requirement for each jurisdiction to undertake a </w:t>
      </w:r>
      <w:r w:rsidR="00E83EDD" w:rsidRPr="00C80641">
        <w:rPr>
          <w:rFonts w:ascii="Arial" w:hAnsi="Arial" w:cs="Arial"/>
          <w:lang w:eastAsia="en-US"/>
        </w:rPr>
        <w:t xml:space="preserve">program </w:t>
      </w:r>
      <w:r w:rsidR="00511F41" w:rsidRPr="00C80641">
        <w:rPr>
          <w:rFonts w:ascii="Arial" w:hAnsi="Arial" w:cs="Arial"/>
          <w:lang w:eastAsia="en-US"/>
        </w:rPr>
        <w:t>of monitoring using co-</w:t>
      </w:r>
      <w:r w:rsidRPr="00C80641">
        <w:rPr>
          <w:rFonts w:ascii="Arial" w:hAnsi="Arial" w:cs="Arial"/>
          <w:lang w:eastAsia="en-US"/>
        </w:rPr>
        <w:t>located instruments for the p</w:t>
      </w:r>
      <w:r w:rsidR="00511F41" w:rsidRPr="00C80641">
        <w:rPr>
          <w:rFonts w:ascii="Arial" w:hAnsi="Arial" w:cs="Arial"/>
          <w:lang w:eastAsia="en-US"/>
        </w:rPr>
        <w:t>urpose of determining equivalence</w:t>
      </w:r>
      <w:r w:rsidRPr="00C80641">
        <w:rPr>
          <w:rFonts w:ascii="Arial" w:hAnsi="Arial" w:cs="Arial"/>
          <w:lang w:eastAsia="en-US"/>
        </w:rPr>
        <w:t>.</w:t>
      </w:r>
    </w:p>
    <w:p w:rsidR="0057663A" w:rsidRPr="00C80641" w:rsidRDefault="0057663A" w:rsidP="00DB5D5F">
      <w:pPr>
        <w:pStyle w:val="Level4PB2"/>
        <w:rPr>
          <w:rFonts w:ascii="Arial" w:hAnsi="Arial" w:cs="Arial"/>
          <w:lang w:val="en-AU" w:eastAsia="en-US"/>
        </w:rPr>
      </w:pPr>
      <w:r w:rsidRPr="00C80641">
        <w:rPr>
          <w:rFonts w:ascii="Arial" w:hAnsi="Arial" w:cs="Arial"/>
          <w:lang w:val="en-AU" w:eastAsia="en-US"/>
        </w:rPr>
        <w:t>Evaluation of performance against standards and goal</w:t>
      </w:r>
    </w:p>
    <w:p w:rsidR="009055DC" w:rsidRPr="00C80641" w:rsidRDefault="009055DC" w:rsidP="001929E4">
      <w:pPr>
        <w:spacing w:after="300"/>
        <w:rPr>
          <w:rFonts w:ascii="Arial" w:hAnsi="Arial" w:cs="Arial"/>
          <w:color w:val="FF0000"/>
          <w:lang w:eastAsia="en-US"/>
        </w:rPr>
      </w:pPr>
      <w:r w:rsidRPr="00C80641">
        <w:rPr>
          <w:rFonts w:ascii="Arial" w:hAnsi="Arial" w:cs="Arial"/>
          <w:lang w:eastAsia="en-US"/>
        </w:rPr>
        <w:t xml:space="preserve">Clause 17 of the </w:t>
      </w:r>
      <w:r w:rsidR="00EF24F8" w:rsidRPr="00C80641">
        <w:rPr>
          <w:rFonts w:ascii="Arial" w:hAnsi="Arial" w:cs="Arial"/>
          <w:lang w:eastAsia="en-US"/>
        </w:rPr>
        <w:t>AAQ NEPM</w:t>
      </w:r>
      <w:r w:rsidRPr="00C80641">
        <w:rPr>
          <w:rFonts w:ascii="Arial" w:hAnsi="Arial" w:cs="Arial"/>
          <w:lang w:eastAsia="en-US"/>
        </w:rPr>
        <w:t xml:space="preserve"> sets out the criteria for evaluating performance a</w:t>
      </w:r>
      <w:r w:rsidR="00D30B5E" w:rsidRPr="00C80641">
        <w:rPr>
          <w:rFonts w:ascii="Arial" w:hAnsi="Arial" w:cs="Arial"/>
          <w:lang w:eastAsia="en-US"/>
        </w:rPr>
        <w:t>gainst the standards and goals</w:t>
      </w:r>
      <w:r w:rsidRPr="00C80641">
        <w:rPr>
          <w:rFonts w:ascii="Arial" w:hAnsi="Arial" w:cs="Arial"/>
          <w:lang w:eastAsia="en-US"/>
        </w:rPr>
        <w:t xml:space="preserve">. Jurisdictions are required to assess their annual performance against the </w:t>
      </w:r>
      <w:r w:rsidR="00EF24F8" w:rsidRPr="00C80641">
        <w:rPr>
          <w:rFonts w:ascii="Arial" w:hAnsi="Arial" w:cs="Arial"/>
          <w:lang w:eastAsia="en-US"/>
        </w:rPr>
        <w:t>AAQ NEPM</w:t>
      </w:r>
      <w:r w:rsidRPr="00C80641">
        <w:rPr>
          <w:rFonts w:ascii="Arial" w:hAnsi="Arial" w:cs="Arial"/>
          <w:lang w:eastAsia="en-US"/>
        </w:rPr>
        <w:t xml:space="preserve"> standards and goals at each monitoring sta</w:t>
      </w:r>
      <w:r w:rsidR="00D30B5E" w:rsidRPr="00C80641">
        <w:rPr>
          <w:rFonts w:ascii="Arial" w:hAnsi="Arial" w:cs="Arial"/>
          <w:lang w:eastAsia="en-US"/>
        </w:rPr>
        <w:t>tion. Performance is assessed as</w:t>
      </w:r>
      <w:r w:rsidRPr="00C80641">
        <w:rPr>
          <w:rFonts w:ascii="Arial" w:hAnsi="Arial" w:cs="Arial"/>
          <w:lang w:eastAsia="en-US"/>
        </w:rPr>
        <w:t xml:space="preserve"> </w:t>
      </w:r>
      <w:r w:rsidR="0018254A" w:rsidRPr="00C80641">
        <w:rPr>
          <w:rFonts w:ascii="Arial" w:hAnsi="Arial" w:cs="Arial"/>
          <w:lang w:eastAsia="en-US"/>
        </w:rPr>
        <w:t>‘met’</w:t>
      </w:r>
      <w:r w:rsidRPr="00C80641">
        <w:rPr>
          <w:rFonts w:ascii="Arial" w:hAnsi="Arial" w:cs="Arial"/>
          <w:lang w:eastAsia="en-US"/>
        </w:rPr>
        <w:t xml:space="preserve">, </w:t>
      </w:r>
      <w:r w:rsidR="0018254A" w:rsidRPr="00C80641">
        <w:rPr>
          <w:rFonts w:ascii="Arial" w:hAnsi="Arial" w:cs="Arial"/>
          <w:lang w:eastAsia="en-US"/>
        </w:rPr>
        <w:t>‘not met’</w:t>
      </w:r>
      <w:r w:rsidRPr="00C80641">
        <w:rPr>
          <w:rFonts w:ascii="Arial" w:hAnsi="Arial" w:cs="Arial"/>
          <w:lang w:eastAsia="en-US"/>
        </w:rPr>
        <w:t xml:space="preserve">, or </w:t>
      </w:r>
      <w:r w:rsidR="0018254A" w:rsidRPr="00C80641">
        <w:rPr>
          <w:rFonts w:ascii="Arial" w:hAnsi="Arial" w:cs="Arial"/>
          <w:lang w:eastAsia="en-US"/>
        </w:rPr>
        <w:t>‘not demonstrated’</w:t>
      </w:r>
      <w:r w:rsidR="0018254A" w:rsidRPr="00C80641">
        <w:rPr>
          <w:rStyle w:val="FootnoteReference"/>
          <w:rFonts w:ascii="Arial" w:hAnsi="Arial" w:cs="Arial"/>
          <w:lang w:eastAsia="en-US"/>
        </w:rPr>
        <w:footnoteReference w:id="11"/>
      </w:r>
      <w:r w:rsidR="0018254A" w:rsidRPr="00C80641">
        <w:rPr>
          <w:rFonts w:ascii="Arial" w:hAnsi="Arial" w:cs="Arial"/>
          <w:lang w:eastAsia="en-US"/>
        </w:rPr>
        <w:t>.</w:t>
      </w:r>
      <w:r w:rsidR="004B4989" w:rsidRPr="00C80641">
        <w:rPr>
          <w:rFonts w:ascii="Arial" w:hAnsi="Arial" w:cs="Arial"/>
          <w:lang w:eastAsia="en-US"/>
        </w:rPr>
        <w:t xml:space="preserve"> </w:t>
      </w:r>
    </w:p>
    <w:p w:rsidR="0057663A" w:rsidRPr="00C80641" w:rsidRDefault="0057663A" w:rsidP="00DB5D5F">
      <w:pPr>
        <w:pStyle w:val="Level4PB2"/>
        <w:rPr>
          <w:rFonts w:ascii="Arial" w:hAnsi="Arial" w:cs="Arial"/>
          <w:lang w:val="en-AU" w:eastAsia="en-US"/>
        </w:rPr>
      </w:pPr>
      <w:r w:rsidRPr="00C80641">
        <w:rPr>
          <w:rFonts w:ascii="Arial" w:hAnsi="Arial" w:cs="Arial"/>
          <w:lang w:val="en-AU" w:eastAsia="en-US"/>
        </w:rPr>
        <w:t>Reporting</w:t>
      </w:r>
    </w:p>
    <w:p w:rsidR="000820A9" w:rsidRPr="00C80641" w:rsidRDefault="006C538A" w:rsidP="00E33B69">
      <w:pPr>
        <w:spacing w:after="300"/>
        <w:rPr>
          <w:rFonts w:ascii="Arial" w:hAnsi="Arial" w:cs="Arial"/>
          <w:lang w:eastAsia="en-US"/>
        </w:rPr>
      </w:pPr>
      <w:r w:rsidRPr="00C80641">
        <w:rPr>
          <w:rFonts w:ascii="Arial" w:hAnsi="Arial" w:cs="Arial"/>
          <w:lang w:eastAsia="en-US"/>
        </w:rPr>
        <w:t>Each year, j</w:t>
      </w:r>
      <w:r w:rsidR="000820A9" w:rsidRPr="00C80641">
        <w:rPr>
          <w:rFonts w:ascii="Arial" w:hAnsi="Arial" w:cs="Arial"/>
          <w:lang w:eastAsia="en-US"/>
        </w:rPr>
        <w:t xml:space="preserve">urisdictions must submit an annual report </w:t>
      </w:r>
      <w:r w:rsidRPr="00C80641">
        <w:rPr>
          <w:rFonts w:ascii="Arial" w:hAnsi="Arial" w:cs="Arial"/>
          <w:lang w:eastAsia="en-US"/>
        </w:rPr>
        <w:t xml:space="preserve">to the NEPC </w:t>
      </w:r>
      <w:r w:rsidR="000820A9" w:rsidRPr="00C80641">
        <w:rPr>
          <w:rFonts w:ascii="Arial" w:hAnsi="Arial" w:cs="Arial"/>
          <w:lang w:eastAsia="en-US"/>
        </w:rPr>
        <w:t xml:space="preserve">on the implementation and effectiveness of the </w:t>
      </w:r>
      <w:r w:rsidR="00EF24F8" w:rsidRPr="00C80641">
        <w:rPr>
          <w:rFonts w:ascii="Arial" w:hAnsi="Arial" w:cs="Arial"/>
          <w:lang w:eastAsia="en-US"/>
        </w:rPr>
        <w:t>AAQ NEPM</w:t>
      </w:r>
      <w:r w:rsidR="00632F50" w:rsidRPr="00C80641">
        <w:rPr>
          <w:rFonts w:ascii="Arial" w:hAnsi="Arial" w:cs="Arial"/>
          <w:lang w:eastAsia="en-US"/>
        </w:rPr>
        <w:t>.</w:t>
      </w:r>
      <w:r w:rsidRPr="00C80641">
        <w:rPr>
          <w:rFonts w:ascii="Arial" w:hAnsi="Arial" w:cs="Arial"/>
          <w:lang w:eastAsia="en-US"/>
        </w:rPr>
        <w:t xml:space="preserve"> </w:t>
      </w:r>
      <w:r w:rsidR="000820A9" w:rsidRPr="00C80641">
        <w:rPr>
          <w:rFonts w:ascii="Arial" w:hAnsi="Arial" w:cs="Arial"/>
          <w:lang w:eastAsia="en-US"/>
        </w:rPr>
        <w:t xml:space="preserve">Clause 18 of the </w:t>
      </w:r>
      <w:r w:rsidR="00EF24F8" w:rsidRPr="00C80641">
        <w:rPr>
          <w:rFonts w:ascii="Arial" w:hAnsi="Arial" w:cs="Arial"/>
          <w:lang w:eastAsia="en-US"/>
        </w:rPr>
        <w:t>AAQ NEPM</w:t>
      </w:r>
      <w:r w:rsidR="000820A9" w:rsidRPr="00C80641">
        <w:rPr>
          <w:rFonts w:ascii="Arial" w:hAnsi="Arial" w:cs="Arial"/>
          <w:lang w:eastAsia="en-US"/>
        </w:rPr>
        <w:t xml:space="preserve"> establishes the reporting requirements for annual performance re</w:t>
      </w:r>
      <w:r w:rsidRPr="00C80641">
        <w:rPr>
          <w:rFonts w:ascii="Arial" w:hAnsi="Arial" w:cs="Arial"/>
          <w:lang w:eastAsia="en-US"/>
        </w:rPr>
        <w:t xml:space="preserve">ports, including the performance assessment described above, </w:t>
      </w:r>
      <w:r w:rsidR="000820A9" w:rsidRPr="00C80641">
        <w:rPr>
          <w:rFonts w:ascii="Arial" w:hAnsi="Arial" w:cs="Arial"/>
          <w:lang w:eastAsia="en-US"/>
        </w:rPr>
        <w:t>an analysis of the extent to which the st</w:t>
      </w:r>
      <w:r w:rsidR="00F26FF2" w:rsidRPr="00C80641">
        <w:rPr>
          <w:rFonts w:ascii="Arial" w:hAnsi="Arial" w:cs="Arial"/>
          <w:lang w:eastAsia="en-US"/>
        </w:rPr>
        <w:t xml:space="preserve">andards are </w:t>
      </w:r>
      <w:r w:rsidRPr="00C80641">
        <w:rPr>
          <w:rFonts w:ascii="Arial" w:hAnsi="Arial" w:cs="Arial"/>
          <w:lang w:eastAsia="en-US"/>
        </w:rPr>
        <w:t xml:space="preserve">met, </w:t>
      </w:r>
      <w:r w:rsidR="000820A9" w:rsidRPr="00C80641">
        <w:rPr>
          <w:rFonts w:ascii="Arial" w:hAnsi="Arial" w:cs="Arial"/>
          <w:lang w:eastAsia="en-US"/>
        </w:rPr>
        <w:t>a statement of the progress made towards achieving the goal</w:t>
      </w:r>
      <w:r w:rsidRPr="00C80641">
        <w:rPr>
          <w:rFonts w:ascii="Arial" w:hAnsi="Arial" w:cs="Arial"/>
          <w:lang w:eastAsia="en-US"/>
        </w:rPr>
        <w:t xml:space="preserve">, and </w:t>
      </w:r>
      <w:r w:rsidR="000820A9" w:rsidRPr="00C80641">
        <w:rPr>
          <w:rFonts w:ascii="Arial" w:hAnsi="Arial" w:cs="Arial"/>
          <w:lang w:eastAsia="en-US"/>
        </w:rPr>
        <w:t>a description of the circumstances that led to any exceedances of the standards, including the influence of natur</w:t>
      </w:r>
      <w:r w:rsidRPr="00C80641">
        <w:rPr>
          <w:rFonts w:ascii="Arial" w:hAnsi="Arial" w:cs="Arial"/>
          <w:lang w:eastAsia="en-US"/>
        </w:rPr>
        <w:t xml:space="preserve">al events and fire management. </w:t>
      </w:r>
    </w:p>
    <w:p w:rsidR="00314A88" w:rsidRPr="00C80641" w:rsidRDefault="00314A88" w:rsidP="00DB5D5F">
      <w:pPr>
        <w:pStyle w:val="Level4PB2"/>
        <w:rPr>
          <w:rFonts w:ascii="Arial" w:hAnsi="Arial" w:cs="Arial"/>
          <w:lang w:val="en-AU" w:eastAsia="en-US"/>
        </w:rPr>
      </w:pPr>
      <w:r w:rsidRPr="00C80641">
        <w:rPr>
          <w:rFonts w:ascii="Arial" w:hAnsi="Arial" w:cs="Arial"/>
          <w:lang w:val="en-AU" w:eastAsia="en-US"/>
        </w:rPr>
        <w:t>Accountability</w:t>
      </w:r>
    </w:p>
    <w:p w:rsidR="00314A88" w:rsidRPr="00C80641" w:rsidRDefault="00314A88" w:rsidP="00E33B69">
      <w:pPr>
        <w:spacing w:after="360"/>
        <w:rPr>
          <w:rFonts w:ascii="Arial" w:hAnsi="Arial" w:cs="Arial"/>
        </w:rPr>
      </w:pPr>
      <w:r w:rsidRPr="00C80641">
        <w:rPr>
          <w:rFonts w:ascii="Arial" w:hAnsi="Arial" w:cs="Arial"/>
        </w:rPr>
        <w:t xml:space="preserve">Under the NEPC Act, accountability for meeting the standards lies in the public reporting; that is, there are no penalties associated with non-compliance. Jurisdictions are only required to evaluate their performance at each monitoring station against the </w:t>
      </w:r>
      <w:r w:rsidR="00EF24F8" w:rsidRPr="00C80641">
        <w:rPr>
          <w:rFonts w:ascii="Arial" w:hAnsi="Arial" w:cs="Arial"/>
        </w:rPr>
        <w:t>AAQ NEPM</w:t>
      </w:r>
      <w:r w:rsidRPr="00C80641">
        <w:rPr>
          <w:rFonts w:ascii="Arial" w:hAnsi="Arial" w:cs="Arial"/>
        </w:rPr>
        <w:t xml:space="preserve"> standards and goals</w:t>
      </w:r>
      <w:r w:rsidR="00F50E8F" w:rsidRPr="00C80641">
        <w:rPr>
          <w:rFonts w:ascii="Arial" w:hAnsi="Arial" w:cs="Arial"/>
        </w:rPr>
        <w:t>,</w:t>
      </w:r>
      <w:r w:rsidRPr="00C80641">
        <w:rPr>
          <w:rFonts w:ascii="Arial" w:hAnsi="Arial" w:cs="Arial"/>
        </w:rPr>
        <w:t xml:space="preserve"> and </w:t>
      </w:r>
      <w:r w:rsidR="00F50E8F" w:rsidRPr="00C80641">
        <w:rPr>
          <w:rFonts w:ascii="Arial" w:hAnsi="Arial" w:cs="Arial"/>
        </w:rPr>
        <w:t xml:space="preserve">to </w:t>
      </w:r>
      <w:r w:rsidRPr="00C80641">
        <w:rPr>
          <w:rFonts w:ascii="Arial" w:hAnsi="Arial" w:cs="Arial"/>
        </w:rPr>
        <w:t>report the results to the NEPC each year.</w:t>
      </w:r>
    </w:p>
    <w:p w:rsidR="00F56493" w:rsidRPr="00C80641" w:rsidRDefault="00AA4A01" w:rsidP="000F787E">
      <w:pPr>
        <w:pStyle w:val="Heading3"/>
        <w:rPr>
          <w:rFonts w:ascii="Arial" w:hAnsi="Arial"/>
        </w:rPr>
      </w:pPr>
      <w:bookmarkStart w:id="44" w:name="_Ref369454810"/>
      <w:bookmarkStart w:id="45" w:name="_Toc394011096"/>
      <w:r w:rsidRPr="00C80641">
        <w:rPr>
          <w:rFonts w:ascii="Arial" w:hAnsi="Arial"/>
        </w:rPr>
        <w:lastRenderedPageBreak/>
        <w:t xml:space="preserve">Use of </w:t>
      </w:r>
      <w:r w:rsidR="00EF24F8" w:rsidRPr="00C80641">
        <w:rPr>
          <w:rFonts w:ascii="Arial" w:hAnsi="Arial"/>
        </w:rPr>
        <w:t>AAQ NEPM</w:t>
      </w:r>
      <w:r w:rsidR="00947326" w:rsidRPr="00C80641">
        <w:rPr>
          <w:rFonts w:ascii="Arial" w:hAnsi="Arial"/>
        </w:rPr>
        <w:t xml:space="preserve"> PM </w:t>
      </w:r>
      <w:proofErr w:type="gramStart"/>
      <w:r w:rsidRPr="00C80641">
        <w:rPr>
          <w:rFonts w:ascii="Arial" w:hAnsi="Arial"/>
        </w:rPr>
        <w:t>standards</w:t>
      </w:r>
      <w:proofErr w:type="gramEnd"/>
      <w:r w:rsidR="00A01593" w:rsidRPr="00C80641">
        <w:rPr>
          <w:rFonts w:ascii="Arial" w:hAnsi="Arial"/>
        </w:rPr>
        <w:t xml:space="preserve"> and goals</w:t>
      </w:r>
      <w:r w:rsidR="0080337E" w:rsidRPr="00C80641">
        <w:rPr>
          <w:rFonts w:ascii="Arial" w:hAnsi="Arial"/>
        </w:rPr>
        <w:t xml:space="preserve"> by jurisdictions</w:t>
      </w:r>
      <w:bookmarkEnd w:id="44"/>
      <w:bookmarkEnd w:id="45"/>
    </w:p>
    <w:p w:rsidR="00850C1A" w:rsidRPr="00C80641" w:rsidRDefault="00850C1A" w:rsidP="00850C1A">
      <w:pPr>
        <w:pStyle w:val="Heading4"/>
        <w:rPr>
          <w:rFonts w:ascii="Arial" w:hAnsi="Arial" w:cs="Arial"/>
          <w:lang w:eastAsia="en-US"/>
        </w:rPr>
      </w:pPr>
      <w:r w:rsidRPr="00C80641">
        <w:rPr>
          <w:rFonts w:ascii="Arial" w:hAnsi="Arial" w:cs="Arial"/>
          <w:lang w:eastAsia="en-US"/>
        </w:rPr>
        <w:t>Overview</w:t>
      </w:r>
    </w:p>
    <w:p w:rsidR="00850C1A" w:rsidRPr="00C80641" w:rsidRDefault="00B63757" w:rsidP="00810588">
      <w:pPr>
        <w:spacing w:after="180"/>
        <w:rPr>
          <w:rFonts w:ascii="Arial" w:hAnsi="Arial" w:cs="Arial"/>
        </w:rPr>
      </w:pPr>
      <w:r w:rsidRPr="00C80641">
        <w:rPr>
          <w:rFonts w:ascii="Arial" w:hAnsi="Arial" w:cs="Arial"/>
          <w:lang w:eastAsia="en-US"/>
        </w:rPr>
        <w:t xml:space="preserve">The </w:t>
      </w:r>
      <w:r w:rsidR="00EF24F8" w:rsidRPr="00C80641">
        <w:rPr>
          <w:rFonts w:ascii="Arial" w:hAnsi="Arial" w:cs="Arial"/>
          <w:lang w:eastAsia="en-US"/>
        </w:rPr>
        <w:t>AAQ NEPM</w:t>
      </w:r>
      <w:r w:rsidRPr="00C80641">
        <w:rPr>
          <w:rFonts w:ascii="Arial" w:hAnsi="Arial" w:cs="Arial"/>
          <w:lang w:eastAsia="en-US"/>
        </w:rPr>
        <w:t xml:space="preserve"> standards were established in relation to broad air quality within </w:t>
      </w:r>
      <w:proofErr w:type="spellStart"/>
      <w:r w:rsidRPr="00C80641">
        <w:rPr>
          <w:rFonts w:ascii="Arial" w:hAnsi="Arial" w:cs="Arial"/>
          <w:lang w:eastAsia="en-US"/>
        </w:rPr>
        <w:t>airsheds</w:t>
      </w:r>
      <w:proofErr w:type="spellEnd"/>
      <w:r w:rsidR="000C0713" w:rsidRPr="00C80641">
        <w:rPr>
          <w:rFonts w:ascii="Arial" w:hAnsi="Arial" w:cs="Arial"/>
          <w:lang w:eastAsia="en-US"/>
        </w:rPr>
        <w:t>, and are applicable at urban locations</w:t>
      </w:r>
      <w:r w:rsidR="009F5044" w:rsidRPr="00C80641">
        <w:rPr>
          <w:rFonts w:ascii="Arial" w:hAnsi="Arial" w:cs="Arial"/>
          <w:lang w:eastAsia="en-US"/>
        </w:rPr>
        <w:t xml:space="preserve"> away from hot spots</w:t>
      </w:r>
      <w:r w:rsidRPr="00C80641">
        <w:rPr>
          <w:rFonts w:ascii="Arial" w:hAnsi="Arial" w:cs="Arial"/>
          <w:lang w:eastAsia="en-US"/>
        </w:rPr>
        <w:t xml:space="preserve">. </w:t>
      </w:r>
      <w:r w:rsidR="000C0713" w:rsidRPr="00C80641">
        <w:rPr>
          <w:rFonts w:ascii="Arial" w:hAnsi="Arial" w:cs="Arial"/>
          <w:lang w:eastAsia="en-US"/>
        </w:rPr>
        <w:t xml:space="preserve">The original intent of the </w:t>
      </w:r>
      <w:r w:rsidR="00EF24F8" w:rsidRPr="00C80641">
        <w:rPr>
          <w:rFonts w:ascii="Arial" w:hAnsi="Arial" w:cs="Arial"/>
          <w:lang w:eastAsia="en-US"/>
        </w:rPr>
        <w:t>AAQ NEPM</w:t>
      </w:r>
      <w:r w:rsidR="000C0713" w:rsidRPr="00C80641">
        <w:rPr>
          <w:rFonts w:ascii="Arial" w:hAnsi="Arial" w:cs="Arial"/>
          <w:lang w:eastAsia="en-US"/>
        </w:rPr>
        <w:t xml:space="preserve"> was to avoid monitoring near localised point sources of pollution and at peak sites, as these would not represent general population exposure</w:t>
      </w:r>
      <w:r w:rsidR="000C0713" w:rsidRPr="00C80641">
        <w:rPr>
          <w:rStyle w:val="FootnoteReference"/>
          <w:rFonts w:ascii="Arial" w:hAnsi="Arial" w:cs="Arial"/>
          <w:lang w:eastAsia="en-US"/>
        </w:rPr>
        <w:footnoteReference w:id="12"/>
      </w:r>
      <w:r w:rsidR="000C0713" w:rsidRPr="00C80641">
        <w:rPr>
          <w:rFonts w:ascii="Arial" w:hAnsi="Arial" w:cs="Arial"/>
          <w:b/>
          <w:lang w:eastAsia="en-US"/>
        </w:rPr>
        <w:t xml:space="preserve"> (NEPC 2011a)</w:t>
      </w:r>
      <w:r w:rsidR="000C0713" w:rsidRPr="00C80641">
        <w:rPr>
          <w:rFonts w:ascii="Arial" w:hAnsi="Arial" w:cs="Arial"/>
          <w:lang w:eastAsia="en-US"/>
        </w:rPr>
        <w:t xml:space="preserve">. </w:t>
      </w:r>
      <w:r w:rsidR="00374349" w:rsidRPr="00C80641">
        <w:rPr>
          <w:rFonts w:ascii="Arial" w:hAnsi="Arial" w:cs="Arial"/>
          <w:lang w:eastAsia="en-US"/>
        </w:rPr>
        <w:t>Generally speaking</w:t>
      </w:r>
      <w:r w:rsidR="00397A41" w:rsidRPr="00C80641">
        <w:rPr>
          <w:rFonts w:ascii="Arial" w:hAnsi="Arial" w:cs="Arial"/>
          <w:lang w:eastAsia="en-US"/>
        </w:rPr>
        <w:t xml:space="preserve">, </w:t>
      </w:r>
      <w:r w:rsidR="00374349" w:rsidRPr="00C80641">
        <w:rPr>
          <w:rFonts w:ascii="Arial" w:hAnsi="Arial" w:cs="Arial"/>
        </w:rPr>
        <w:t>the</w:t>
      </w:r>
      <w:r w:rsidR="00397A41" w:rsidRPr="00C80641">
        <w:rPr>
          <w:rFonts w:ascii="Arial" w:hAnsi="Arial" w:cs="Arial"/>
        </w:rPr>
        <w:t xml:space="preserve"> Australian </w:t>
      </w:r>
      <w:r w:rsidR="009938C5" w:rsidRPr="00C80641">
        <w:rPr>
          <w:rFonts w:ascii="Arial" w:hAnsi="Arial" w:cs="Arial"/>
        </w:rPr>
        <w:t>s</w:t>
      </w:r>
      <w:r w:rsidR="00397A41" w:rsidRPr="00C80641">
        <w:rPr>
          <w:rFonts w:ascii="Arial" w:hAnsi="Arial" w:cs="Arial"/>
        </w:rPr>
        <w:t xml:space="preserve">tates and </w:t>
      </w:r>
      <w:r w:rsidR="009938C5" w:rsidRPr="00C80641">
        <w:rPr>
          <w:rFonts w:ascii="Arial" w:hAnsi="Arial" w:cs="Arial"/>
        </w:rPr>
        <w:t>t</w:t>
      </w:r>
      <w:r w:rsidR="00397A41" w:rsidRPr="00C80641">
        <w:rPr>
          <w:rFonts w:ascii="Arial" w:hAnsi="Arial" w:cs="Arial"/>
        </w:rPr>
        <w:t xml:space="preserve">erritories </w:t>
      </w:r>
      <w:r w:rsidR="00EA1A0C" w:rsidRPr="00C80641">
        <w:rPr>
          <w:rFonts w:ascii="Arial" w:hAnsi="Arial" w:cs="Arial"/>
        </w:rPr>
        <w:t xml:space="preserve">manage </w:t>
      </w:r>
      <w:r w:rsidR="000C0713" w:rsidRPr="00C80641">
        <w:rPr>
          <w:rFonts w:ascii="Arial" w:hAnsi="Arial" w:cs="Arial"/>
        </w:rPr>
        <w:t>emissions and air quality in relation to certain types of source (</w:t>
      </w:r>
      <w:r w:rsidR="009334F4" w:rsidRPr="00C80641">
        <w:rPr>
          <w:rFonts w:ascii="Arial" w:hAnsi="Arial" w:cs="Arial"/>
        </w:rPr>
        <w:t>e.g.</w:t>
      </w:r>
      <w:r w:rsidR="000C0713" w:rsidRPr="00C80641">
        <w:rPr>
          <w:rFonts w:ascii="Arial" w:hAnsi="Arial" w:cs="Arial"/>
        </w:rPr>
        <w:t xml:space="preserve"> landfills, quarries, crematoria and coal mines). The jurisdictions </w:t>
      </w:r>
      <w:r w:rsidR="00397A41" w:rsidRPr="00C80641">
        <w:rPr>
          <w:rFonts w:ascii="Arial" w:hAnsi="Arial" w:cs="Arial"/>
        </w:rPr>
        <w:t xml:space="preserve">have legislation </w:t>
      </w:r>
      <w:r w:rsidR="000C0713" w:rsidRPr="00C80641">
        <w:rPr>
          <w:rFonts w:ascii="Arial" w:hAnsi="Arial" w:cs="Arial"/>
        </w:rPr>
        <w:t>or guidance which includes</w:t>
      </w:r>
      <w:r w:rsidR="000C0713" w:rsidRPr="00C80641">
        <w:rPr>
          <w:rFonts w:ascii="Arial" w:hAnsi="Arial" w:cs="Arial"/>
          <w:lang w:eastAsia="en-US"/>
        </w:rPr>
        <w:t xml:space="preserve"> design goals, licence conditions or other instruments for protecting local communities from ground-level impacts of pollutants in residential areas outside site boundaries.</w:t>
      </w:r>
      <w:r w:rsidR="000C0713" w:rsidRPr="00C80641">
        <w:rPr>
          <w:rFonts w:ascii="Arial" w:hAnsi="Arial" w:cs="Arial"/>
        </w:rPr>
        <w:t xml:space="preserve"> Where this is the case, </w:t>
      </w:r>
      <w:r w:rsidR="000C0713" w:rsidRPr="00C80641">
        <w:rPr>
          <w:rFonts w:ascii="Arial" w:hAnsi="Arial" w:cs="Arial"/>
          <w:lang w:eastAsia="en-US"/>
        </w:rPr>
        <w:t xml:space="preserve">the </w:t>
      </w:r>
      <w:r w:rsidR="00EF24F8" w:rsidRPr="00C80641">
        <w:rPr>
          <w:rFonts w:ascii="Arial" w:hAnsi="Arial" w:cs="Arial"/>
          <w:lang w:eastAsia="en-US"/>
        </w:rPr>
        <w:t>AAQ NEPM</w:t>
      </w:r>
      <w:r w:rsidR="000C0713" w:rsidRPr="00C80641">
        <w:rPr>
          <w:rFonts w:ascii="Arial" w:hAnsi="Arial" w:cs="Arial"/>
          <w:lang w:eastAsia="en-US"/>
        </w:rPr>
        <w:t xml:space="preserve"> standards are </w:t>
      </w:r>
      <w:r w:rsidR="00374349" w:rsidRPr="00C80641">
        <w:rPr>
          <w:rFonts w:ascii="Arial" w:hAnsi="Arial" w:cs="Arial"/>
          <w:lang w:eastAsia="en-US"/>
        </w:rPr>
        <w:t>often</w:t>
      </w:r>
      <w:r w:rsidR="000C0713" w:rsidRPr="00C80641">
        <w:rPr>
          <w:rFonts w:ascii="Arial" w:hAnsi="Arial" w:cs="Arial"/>
          <w:lang w:eastAsia="en-US"/>
        </w:rPr>
        <w:t xml:space="preserve"> used as the criteria for air quality assessments.</w:t>
      </w:r>
      <w:r w:rsidR="00BA6A52" w:rsidRPr="00C80641">
        <w:rPr>
          <w:rFonts w:ascii="Arial" w:hAnsi="Arial" w:cs="Arial"/>
        </w:rPr>
        <w:t xml:space="preserve"> </w:t>
      </w:r>
      <w:r w:rsidR="00850C1A" w:rsidRPr="00C80641">
        <w:rPr>
          <w:rFonts w:ascii="Arial" w:hAnsi="Arial" w:cs="Arial"/>
        </w:rPr>
        <w:t xml:space="preserve">For example, environmental licences may contain conditions requiring compliance with the </w:t>
      </w:r>
      <w:r w:rsidR="00EF24F8" w:rsidRPr="00C80641">
        <w:rPr>
          <w:rFonts w:ascii="Arial" w:hAnsi="Arial" w:cs="Arial"/>
        </w:rPr>
        <w:t>AAQ NEPM</w:t>
      </w:r>
      <w:r w:rsidR="00850C1A" w:rsidRPr="00C80641">
        <w:rPr>
          <w:rFonts w:ascii="Arial" w:hAnsi="Arial" w:cs="Arial"/>
        </w:rPr>
        <w:t xml:space="preserve"> standards at a site boundary or at the nearest sensitive receptor. Environmental licences often also contain requirements to implement costly monitoring of ambient air quality. If a company is shown not to comply with li</w:t>
      </w:r>
      <w:r w:rsidR="00F50E8F" w:rsidRPr="00C80641">
        <w:rPr>
          <w:rFonts w:ascii="Arial" w:hAnsi="Arial" w:cs="Arial"/>
        </w:rPr>
        <w:t>cence conditions, in many cases</w:t>
      </w:r>
      <w:r w:rsidR="00850C1A" w:rsidRPr="00C80641">
        <w:rPr>
          <w:rFonts w:ascii="Arial" w:hAnsi="Arial" w:cs="Arial"/>
        </w:rPr>
        <w:t xml:space="preserve"> legal action can be taken.</w:t>
      </w:r>
    </w:p>
    <w:p w:rsidR="00397A41" w:rsidRPr="00C80641" w:rsidRDefault="00397A41" w:rsidP="00E33B69">
      <w:pPr>
        <w:spacing w:after="300"/>
        <w:rPr>
          <w:rFonts w:ascii="Arial" w:hAnsi="Arial" w:cs="Arial"/>
        </w:rPr>
      </w:pPr>
      <w:r w:rsidRPr="00C80641">
        <w:rPr>
          <w:rFonts w:ascii="Arial" w:hAnsi="Arial" w:cs="Arial"/>
        </w:rPr>
        <w:t xml:space="preserve">The following paragraphs summarise how the </w:t>
      </w:r>
      <w:r w:rsidR="00EF24F8" w:rsidRPr="00C80641">
        <w:rPr>
          <w:rFonts w:ascii="Arial" w:hAnsi="Arial" w:cs="Arial"/>
        </w:rPr>
        <w:t>AAQ NEPM</w:t>
      </w:r>
      <w:r w:rsidRPr="00C80641">
        <w:rPr>
          <w:rFonts w:ascii="Arial" w:hAnsi="Arial" w:cs="Arial"/>
        </w:rPr>
        <w:t xml:space="preserve"> standards for PM are implemented </w:t>
      </w:r>
      <w:r w:rsidR="00717E63" w:rsidRPr="00C80641">
        <w:rPr>
          <w:rFonts w:ascii="Arial" w:hAnsi="Arial" w:cs="Arial"/>
        </w:rPr>
        <w:t xml:space="preserve">in this context </w:t>
      </w:r>
      <w:r w:rsidRPr="00C80641">
        <w:rPr>
          <w:rFonts w:ascii="Arial" w:hAnsi="Arial" w:cs="Arial"/>
        </w:rPr>
        <w:t>by the separate jurisdictions.</w:t>
      </w:r>
    </w:p>
    <w:p w:rsidR="00BA4254" w:rsidRPr="00C80641" w:rsidRDefault="00BA4254" w:rsidP="00DB5D5F">
      <w:pPr>
        <w:pStyle w:val="Level4PB2"/>
        <w:rPr>
          <w:rFonts w:ascii="Arial" w:hAnsi="Arial" w:cs="Arial"/>
          <w:lang w:val="en-AU"/>
        </w:rPr>
      </w:pPr>
      <w:r w:rsidRPr="00C80641">
        <w:rPr>
          <w:rFonts w:ascii="Arial" w:hAnsi="Arial" w:cs="Arial"/>
          <w:lang w:val="en-AU"/>
        </w:rPr>
        <w:t>NSW</w:t>
      </w:r>
    </w:p>
    <w:p w:rsidR="00013124" w:rsidRPr="00C80641" w:rsidRDefault="000861A2" w:rsidP="00491187">
      <w:pPr>
        <w:spacing w:after="200"/>
        <w:rPr>
          <w:rFonts w:ascii="Arial" w:hAnsi="Arial" w:cs="Arial"/>
        </w:rPr>
      </w:pPr>
      <w:r w:rsidRPr="00C80641">
        <w:rPr>
          <w:rFonts w:ascii="Arial" w:hAnsi="Arial" w:cs="Arial"/>
        </w:rPr>
        <w:t>In NSW the s</w:t>
      </w:r>
      <w:r w:rsidR="000C0713" w:rsidRPr="00C80641">
        <w:rPr>
          <w:rFonts w:ascii="Arial" w:hAnsi="Arial" w:cs="Arial"/>
        </w:rPr>
        <w:t xml:space="preserve">tatutory methods that are </w:t>
      </w:r>
      <w:r w:rsidRPr="00C80641">
        <w:rPr>
          <w:rFonts w:ascii="Arial" w:hAnsi="Arial" w:cs="Arial"/>
        </w:rPr>
        <w:t>used for</w:t>
      </w:r>
      <w:r w:rsidR="000C0713" w:rsidRPr="00C80641">
        <w:rPr>
          <w:rFonts w:ascii="Arial" w:hAnsi="Arial" w:cs="Arial"/>
        </w:rPr>
        <w:t xml:space="preserve"> assessing air pollution</w:t>
      </w:r>
      <w:r w:rsidRPr="00C80641">
        <w:rPr>
          <w:rFonts w:ascii="Arial" w:hAnsi="Arial" w:cs="Arial"/>
        </w:rPr>
        <w:t xml:space="preserve"> from stationary sources are listed in the document </w:t>
      </w:r>
      <w:r w:rsidRPr="00C80641">
        <w:rPr>
          <w:rFonts w:ascii="Arial" w:hAnsi="Arial" w:cs="Arial"/>
          <w:i/>
        </w:rPr>
        <w:t>Approved Methods for the Modelling and Assessment of Air Pollutants in NSW</w:t>
      </w:r>
      <w:r w:rsidRPr="00C80641">
        <w:rPr>
          <w:rFonts w:ascii="Arial" w:hAnsi="Arial" w:cs="Arial"/>
        </w:rPr>
        <w:t xml:space="preserve"> </w:t>
      </w:r>
      <w:r w:rsidRPr="00C80641">
        <w:rPr>
          <w:rFonts w:ascii="Arial" w:hAnsi="Arial" w:cs="Arial"/>
          <w:b/>
        </w:rPr>
        <w:t>(NSW DEC 2005a).</w:t>
      </w:r>
      <w:r w:rsidRPr="00C80641">
        <w:rPr>
          <w:rFonts w:ascii="Arial" w:hAnsi="Arial" w:cs="Arial"/>
        </w:rPr>
        <w:t xml:space="preserve"> The </w:t>
      </w:r>
      <w:r w:rsidR="009938C5" w:rsidRPr="00C80641">
        <w:rPr>
          <w:rFonts w:ascii="Arial" w:hAnsi="Arial" w:cs="Arial"/>
        </w:rPr>
        <w:t>NSW a</w:t>
      </w:r>
      <w:r w:rsidRPr="00C80641">
        <w:rPr>
          <w:rFonts w:ascii="Arial" w:hAnsi="Arial" w:cs="Arial"/>
        </w:rPr>
        <w:t xml:space="preserve">pproved </w:t>
      </w:r>
      <w:r w:rsidR="009938C5" w:rsidRPr="00C80641">
        <w:rPr>
          <w:rFonts w:ascii="Arial" w:hAnsi="Arial" w:cs="Arial"/>
        </w:rPr>
        <w:t>m</w:t>
      </w:r>
      <w:r w:rsidRPr="00C80641">
        <w:rPr>
          <w:rFonts w:ascii="Arial" w:hAnsi="Arial" w:cs="Arial"/>
        </w:rPr>
        <w:t xml:space="preserve">ethods </w:t>
      </w:r>
      <w:r w:rsidR="00717E63" w:rsidRPr="00C80641">
        <w:rPr>
          <w:rFonts w:ascii="Arial" w:hAnsi="Arial" w:cs="Arial"/>
        </w:rPr>
        <w:t xml:space="preserve">do not contain </w:t>
      </w:r>
      <w:r w:rsidR="000C0713" w:rsidRPr="00C80641">
        <w:rPr>
          <w:rFonts w:ascii="Arial" w:hAnsi="Arial" w:cs="Arial"/>
        </w:rPr>
        <w:t xml:space="preserve">specific </w:t>
      </w:r>
      <w:r w:rsidRPr="00C80641">
        <w:rPr>
          <w:rFonts w:ascii="Arial" w:hAnsi="Arial" w:cs="Arial"/>
        </w:rPr>
        <w:t>information on the assessment of, for example, transport schemes and land</w:t>
      </w:r>
      <w:r w:rsidR="009938C5" w:rsidRPr="00C80641">
        <w:rPr>
          <w:rFonts w:ascii="Arial" w:hAnsi="Arial" w:cs="Arial"/>
        </w:rPr>
        <w:t>-</w:t>
      </w:r>
      <w:r w:rsidRPr="00C80641">
        <w:rPr>
          <w:rFonts w:ascii="Arial" w:hAnsi="Arial" w:cs="Arial"/>
        </w:rPr>
        <w:t>use changes. Air quality must be a</w:t>
      </w:r>
      <w:r w:rsidR="00717E63" w:rsidRPr="00C80641">
        <w:rPr>
          <w:rFonts w:ascii="Arial" w:hAnsi="Arial" w:cs="Arial"/>
        </w:rPr>
        <w:t xml:space="preserve">ssessed in relation to criteria </w:t>
      </w:r>
      <w:r w:rsidRPr="00C80641">
        <w:rPr>
          <w:rFonts w:ascii="Arial" w:hAnsi="Arial" w:cs="Arial"/>
        </w:rPr>
        <w:t xml:space="preserve">and averaging periods </w:t>
      </w:r>
      <w:r w:rsidR="00717E63" w:rsidRPr="00C80641">
        <w:rPr>
          <w:rFonts w:ascii="Arial" w:hAnsi="Arial" w:cs="Arial"/>
        </w:rPr>
        <w:t>for specific pollutants (including PM</w:t>
      </w:r>
      <w:r w:rsidR="00717E63" w:rsidRPr="00C80641">
        <w:rPr>
          <w:rFonts w:ascii="Arial" w:hAnsi="Arial" w:cs="Arial"/>
          <w:vertAlign w:val="subscript"/>
        </w:rPr>
        <w:t>10</w:t>
      </w:r>
      <w:r w:rsidR="00717E63" w:rsidRPr="00C80641">
        <w:rPr>
          <w:rFonts w:ascii="Arial" w:hAnsi="Arial" w:cs="Arial"/>
        </w:rPr>
        <w:t xml:space="preserve">) that </w:t>
      </w:r>
      <w:r w:rsidRPr="00C80641">
        <w:rPr>
          <w:rFonts w:ascii="Arial" w:hAnsi="Arial" w:cs="Arial"/>
        </w:rPr>
        <w:t>are taken from several s</w:t>
      </w:r>
      <w:r w:rsidR="000C0713" w:rsidRPr="00C80641">
        <w:rPr>
          <w:rFonts w:ascii="Arial" w:hAnsi="Arial" w:cs="Arial"/>
        </w:rPr>
        <w:t xml:space="preserve">ources, notably the </w:t>
      </w:r>
      <w:r w:rsidR="00EF24F8" w:rsidRPr="00C80641">
        <w:rPr>
          <w:rFonts w:ascii="Arial" w:hAnsi="Arial" w:cs="Arial"/>
        </w:rPr>
        <w:t>AAQ NEPM</w:t>
      </w:r>
      <w:r w:rsidRPr="00C80641">
        <w:rPr>
          <w:rFonts w:ascii="Arial" w:hAnsi="Arial" w:cs="Arial"/>
        </w:rPr>
        <w:t>. There is no requirement to evaluate PM</w:t>
      </w:r>
      <w:r w:rsidRPr="00C80641">
        <w:rPr>
          <w:rFonts w:ascii="Arial" w:hAnsi="Arial" w:cs="Arial"/>
          <w:vertAlign w:val="subscript"/>
        </w:rPr>
        <w:t>2.5</w:t>
      </w:r>
      <w:r w:rsidRPr="00C80641">
        <w:rPr>
          <w:rFonts w:ascii="Arial" w:hAnsi="Arial" w:cs="Arial"/>
        </w:rPr>
        <w:t xml:space="preserve"> in the</w:t>
      </w:r>
      <w:r w:rsidR="009938C5" w:rsidRPr="00C80641">
        <w:rPr>
          <w:rFonts w:ascii="Arial" w:hAnsi="Arial" w:cs="Arial"/>
        </w:rPr>
        <w:t xml:space="preserve"> NSW</w:t>
      </w:r>
      <w:r w:rsidRPr="00C80641">
        <w:rPr>
          <w:rFonts w:ascii="Arial" w:hAnsi="Arial" w:cs="Arial"/>
        </w:rPr>
        <w:t xml:space="preserve"> </w:t>
      </w:r>
      <w:r w:rsidR="009938C5" w:rsidRPr="00C80641">
        <w:rPr>
          <w:rFonts w:ascii="Arial" w:hAnsi="Arial" w:cs="Arial"/>
        </w:rPr>
        <w:t>a</w:t>
      </w:r>
      <w:r w:rsidRPr="00C80641">
        <w:rPr>
          <w:rFonts w:ascii="Arial" w:hAnsi="Arial" w:cs="Arial"/>
        </w:rPr>
        <w:t xml:space="preserve">pproved </w:t>
      </w:r>
      <w:r w:rsidR="009938C5" w:rsidRPr="00C80641">
        <w:rPr>
          <w:rFonts w:ascii="Arial" w:hAnsi="Arial" w:cs="Arial"/>
        </w:rPr>
        <w:t>m</w:t>
      </w:r>
      <w:r w:rsidRPr="00C80641">
        <w:rPr>
          <w:rFonts w:ascii="Arial" w:hAnsi="Arial" w:cs="Arial"/>
        </w:rPr>
        <w:t>ethods.</w:t>
      </w:r>
      <w:r w:rsidR="00491187" w:rsidRPr="00C80641">
        <w:rPr>
          <w:rFonts w:ascii="Arial" w:hAnsi="Arial" w:cs="Arial"/>
          <w:color w:val="FF0000"/>
        </w:rPr>
        <w:t xml:space="preserve"> </w:t>
      </w:r>
      <w:r w:rsidR="00013124" w:rsidRPr="00C80641">
        <w:rPr>
          <w:rFonts w:ascii="Arial" w:hAnsi="Arial" w:cs="Arial"/>
        </w:rPr>
        <w:t xml:space="preserve">The modelling of industrial emissions is required for </w:t>
      </w:r>
      <w:r w:rsidR="009938C5" w:rsidRPr="00C80641">
        <w:rPr>
          <w:rFonts w:ascii="Arial" w:hAnsi="Arial" w:cs="Arial"/>
        </w:rPr>
        <w:t xml:space="preserve">licensing </w:t>
      </w:r>
      <w:r w:rsidR="00013124" w:rsidRPr="00C80641">
        <w:rPr>
          <w:rFonts w:ascii="Arial" w:hAnsi="Arial" w:cs="Arial"/>
        </w:rPr>
        <w:t xml:space="preserve">applications. The </w:t>
      </w:r>
      <w:r w:rsidR="009938C5" w:rsidRPr="00C80641">
        <w:rPr>
          <w:rFonts w:ascii="Arial" w:hAnsi="Arial" w:cs="Arial"/>
        </w:rPr>
        <w:t>a</w:t>
      </w:r>
      <w:r w:rsidR="00013124" w:rsidRPr="00C80641">
        <w:rPr>
          <w:rFonts w:ascii="Arial" w:hAnsi="Arial" w:cs="Arial"/>
        </w:rPr>
        <w:t xml:space="preserve">pproved </w:t>
      </w:r>
      <w:r w:rsidR="009938C5" w:rsidRPr="00C80641">
        <w:rPr>
          <w:rFonts w:ascii="Arial" w:hAnsi="Arial" w:cs="Arial"/>
        </w:rPr>
        <w:t>m</w:t>
      </w:r>
      <w:r w:rsidR="00013124" w:rsidRPr="00C80641">
        <w:rPr>
          <w:rFonts w:ascii="Arial" w:hAnsi="Arial" w:cs="Arial"/>
        </w:rPr>
        <w:t xml:space="preserve">ethods </w:t>
      </w:r>
      <w:r w:rsidR="00F50E8F" w:rsidRPr="00C80641">
        <w:rPr>
          <w:rFonts w:ascii="Arial" w:hAnsi="Arial" w:cs="Arial"/>
        </w:rPr>
        <w:t xml:space="preserve">document </w:t>
      </w:r>
      <w:r w:rsidR="00013124" w:rsidRPr="00C80641">
        <w:rPr>
          <w:rFonts w:ascii="Arial" w:hAnsi="Arial" w:cs="Arial"/>
        </w:rPr>
        <w:t xml:space="preserve">sets the </w:t>
      </w:r>
      <w:r w:rsidR="00EF24F8" w:rsidRPr="00C80641">
        <w:rPr>
          <w:rFonts w:ascii="Arial" w:hAnsi="Arial" w:cs="Arial"/>
        </w:rPr>
        <w:t>AAQ NEPM</w:t>
      </w:r>
      <w:r w:rsidR="00013124" w:rsidRPr="00C80641">
        <w:rPr>
          <w:rFonts w:ascii="Arial" w:hAnsi="Arial" w:cs="Arial"/>
        </w:rPr>
        <w:t xml:space="preserve"> standard for PM</w:t>
      </w:r>
      <w:r w:rsidR="00013124" w:rsidRPr="00C80641">
        <w:rPr>
          <w:rFonts w:ascii="Arial" w:hAnsi="Arial" w:cs="Arial"/>
          <w:vertAlign w:val="subscript"/>
        </w:rPr>
        <w:t>10</w:t>
      </w:r>
      <w:r w:rsidR="00013124" w:rsidRPr="00C80641">
        <w:rPr>
          <w:rFonts w:ascii="Arial" w:hAnsi="Arial" w:cs="Arial"/>
        </w:rPr>
        <w:t xml:space="preserve"> as an assessment criterion at the nearest sensitive receptor, but it is often applied at the boundary.</w:t>
      </w:r>
    </w:p>
    <w:p w:rsidR="00397A41" w:rsidRPr="00C80641" w:rsidRDefault="001259B7" w:rsidP="00E33B69">
      <w:pPr>
        <w:spacing w:after="300"/>
        <w:rPr>
          <w:rFonts w:ascii="Arial" w:hAnsi="Arial" w:cs="Arial"/>
        </w:rPr>
      </w:pPr>
      <w:r w:rsidRPr="00C80641">
        <w:rPr>
          <w:rFonts w:ascii="Arial" w:hAnsi="Arial" w:cs="Arial"/>
        </w:rPr>
        <w:t>N</w:t>
      </w:r>
      <w:r w:rsidR="00397A41" w:rsidRPr="00C80641">
        <w:rPr>
          <w:rFonts w:ascii="Arial" w:hAnsi="Arial" w:cs="Arial"/>
        </w:rPr>
        <w:t>ew ‘Risk Based Particulate Matter Guidelines’ are being developed, and these are intended to inform revised processes for scheduled</w:t>
      </w:r>
      <w:r w:rsidR="005F2D8F" w:rsidRPr="00C80641">
        <w:rPr>
          <w:rFonts w:ascii="Arial" w:hAnsi="Arial" w:cs="Arial"/>
        </w:rPr>
        <w:t xml:space="preserve"> industrial development in </w:t>
      </w:r>
      <w:r w:rsidR="00717E63" w:rsidRPr="00C80641">
        <w:rPr>
          <w:rFonts w:ascii="Arial" w:hAnsi="Arial" w:cs="Arial"/>
        </w:rPr>
        <w:t>NSW</w:t>
      </w:r>
      <w:r w:rsidR="00397A41" w:rsidRPr="00C80641">
        <w:rPr>
          <w:rFonts w:ascii="Arial" w:hAnsi="Arial" w:cs="Arial"/>
        </w:rPr>
        <w:t xml:space="preserve">. These guidelines are being developed in a form that could potentially be more broadly adopted by other jurisdictions. </w:t>
      </w:r>
      <w:r w:rsidR="00717E63" w:rsidRPr="00C80641">
        <w:rPr>
          <w:rFonts w:ascii="Arial" w:hAnsi="Arial" w:cs="Arial"/>
        </w:rPr>
        <w:t>For example, w</w:t>
      </w:r>
      <w:r w:rsidR="00397A41" w:rsidRPr="00C80641">
        <w:rPr>
          <w:rFonts w:ascii="Arial" w:hAnsi="Arial" w:cs="Arial"/>
        </w:rPr>
        <w:t>ith regard to industrial point source emissions, in practice ambient standards are not a relevant mecha</w:t>
      </w:r>
      <w:r w:rsidR="00947326" w:rsidRPr="00C80641">
        <w:rPr>
          <w:rFonts w:ascii="Arial" w:hAnsi="Arial" w:cs="Arial"/>
        </w:rPr>
        <w:t>nism to manage such emissions; p</w:t>
      </w:r>
      <w:r w:rsidR="00397A41" w:rsidRPr="00C80641">
        <w:rPr>
          <w:rFonts w:ascii="Arial" w:hAnsi="Arial" w:cs="Arial"/>
        </w:rPr>
        <w:t>oint sources are better managed by tighter point source regulation.</w:t>
      </w:r>
    </w:p>
    <w:p w:rsidR="00BA4254" w:rsidRPr="00C80641" w:rsidRDefault="00BA4254" w:rsidP="00DB5D5F">
      <w:pPr>
        <w:pStyle w:val="Level4PB2"/>
        <w:rPr>
          <w:rFonts w:ascii="Arial" w:hAnsi="Arial" w:cs="Arial"/>
          <w:lang w:val="en-AU"/>
        </w:rPr>
      </w:pPr>
      <w:r w:rsidRPr="00C80641">
        <w:rPr>
          <w:rFonts w:ascii="Arial" w:hAnsi="Arial" w:cs="Arial"/>
          <w:lang w:val="en-AU"/>
        </w:rPr>
        <w:t>Victoria</w:t>
      </w:r>
    </w:p>
    <w:p w:rsidR="00BA4254" w:rsidRPr="00C80641" w:rsidRDefault="00BA4254" w:rsidP="00491187">
      <w:pPr>
        <w:spacing w:after="200"/>
        <w:rPr>
          <w:rFonts w:ascii="Arial" w:hAnsi="Arial" w:cs="Arial"/>
        </w:rPr>
      </w:pPr>
      <w:r w:rsidRPr="00C80641">
        <w:rPr>
          <w:rFonts w:ascii="Arial" w:hAnsi="Arial" w:cs="Arial"/>
        </w:rPr>
        <w:t xml:space="preserve">The </w:t>
      </w:r>
      <w:r w:rsidRPr="00C80641">
        <w:rPr>
          <w:rFonts w:ascii="Arial" w:hAnsi="Arial" w:cs="Arial"/>
          <w:i/>
        </w:rPr>
        <w:t>Victorian State Environment Protection Policy (SEPP) for Ambient Air Quality</w:t>
      </w:r>
      <w:r w:rsidRPr="00C80641">
        <w:rPr>
          <w:rFonts w:ascii="Arial" w:hAnsi="Arial" w:cs="Arial"/>
        </w:rPr>
        <w:t xml:space="preserve"> (SEPP (AAQ)) sets air quality objectives and goals for the </w:t>
      </w:r>
      <w:r w:rsidR="009938C5" w:rsidRPr="00C80641">
        <w:rPr>
          <w:rFonts w:ascii="Arial" w:hAnsi="Arial" w:cs="Arial"/>
        </w:rPr>
        <w:t>s</w:t>
      </w:r>
      <w:r w:rsidRPr="00C80641">
        <w:rPr>
          <w:rFonts w:ascii="Arial" w:hAnsi="Arial" w:cs="Arial"/>
        </w:rPr>
        <w:t>tate</w:t>
      </w:r>
      <w:r w:rsidR="00DF2FAF" w:rsidRPr="00C80641">
        <w:rPr>
          <w:rFonts w:ascii="Arial" w:hAnsi="Arial" w:cs="Arial"/>
        </w:rPr>
        <w:t xml:space="preserve"> </w:t>
      </w:r>
      <w:r w:rsidR="00DF2FAF" w:rsidRPr="00C80641">
        <w:rPr>
          <w:rFonts w:ascii="Arial" w:hAnsi="Arial" w:cs="Arial"/>
          <w:b/>
        </w:rPr>
        <w:t>(EPA Victoria 2013)</w:t>
      </w:r>
      <w:r w:rsidRPr="00C80641">
        <w:rPr>
          <w:rFonts w:ascii="Arial" w:hAnsi="Arial" w:cs="Arial"/>
        </w:rPr>
        <w:t xml:space="preserve">. The SEPP adopts the specifications of the </w:t>
      </w:r>
      <w:r w:rsidR="00EF24F8" w:rsidRPr="00C80641">
        <w:rPr>
          <w:rFonts w:ascii="Arial" w:hAnsi="Arial" w:cs="Arial"/>
        </w:rPr>
        <w:t>AAQ NEPM</w:t>
      </w:r>
      <w:r w:rsidRPr="00C80641">
        <w:rPr>
          <w:rFonts w:ascii="Arial" w:hAnsi="Arial" w:cs="Arial"/>
        </w:rPr>
        <w:t>, and also includes a se</w:t>
      </w:r>
      <w:r w:rsidR="00B63757" w:rsidRPr="00C80641">
        <w:rPr>
          <w:rFonts w:ascii="Arial" w:hAnsi="Arial" w:cs="Arial"/>
        </w:rPr>
        <w:t>parate objective for visibility-</w:t>
      </w:r>
      <w:r w:rsidRPr="00C80641">
        <w:rPr>
          <w:rFonts w:ascii="Arial" w:hAnsi="Arial" w:cs="Arial"/>
        </w:rPr>
        <w:t>reducing particles.</w:t>
      </w:r>
    </w:p>
    <w:p w:rsidR="00BA4254" w:rsidRPr="00C80641" w:rsidRDefault="00BA4254" w:rsidP="00810588">
      <w:pPr>
        <w:spacing w:after="140"/>
        <w:rPr>
          <w:rFonts w:ascii="Arial" w:hAnsi="Arial" w:cs="Arial"/>
        </w:rPr>
      </w:pPr>
      <w:r w:rsidRPr="00C80641">
        <w:rPr>
          <w:rFonts w:ascii="Arial" w:hAnsi="Arial" w:cs="Arial"/>
        </w:rPr>
        <w:t xml:space="preserve">Victoria’s </w:t>
      </w:r>
      <w:r w:rsidRPr="00C80641">
        <w:rPr>
          <w:rFonts w:ascii="Arial" w:hAnsi="Arial" w:cs="Arial"/>
          <w:i/>
        </w:rPr>
        <w:t>State Environment Protection Policy for Air Quality Management</w:t>
      </w:r>
      <w:r w:rsidRPr="00C80641">
        <w:rPr>
          <w:rFonts w:ascii="Arial" w:hAnsi="Arial" w:cs="Arial"/>
        </w:rPr>
        <w:t xml:space="preserve"> (SEPP (AQM)) establishes the framework for managing emissions into the air environment in Victoria from all sources</w:t>
      </w:r>
      <w:r w:rsidR="00DF2FAF" w:rsidRPr="00C80641">
        <w:rPr>
          <w:rFonts w:ascii="Arial" w:hAnsi="Arial" w:cs="Arial"/>
        </w:rPr>
        <w:t xml:space="preserve"> </w:t>
      </w:r>
      <w:r w:rsidR="00DF2FAF" w:rsidRPr="00C80641">
        <w:rPr>
          <w:rFonts w:ascii="Arial" w:hAnsi="Arial" w:cs="Arial"/>
          <w:b/>
        </w:rPr>
        <w:t>(EPA Victoria 2013)</w:t>
      </w:r>
      <w:r w:rsidRPr="00C80641">
        <w:rPr>
          <w:rFonts w:ascii="Arial" w:hAnsi="Arial" w:cs="Arial"/>
        </w:rPr>
        <w:t xml:space="preserve">. The aims of </w:t>
      </w:r>
      <w:r w:rsidR="00DF2FAF" w:rsidRPr="00C80641">
        <w:rPr>
          <w:rFonts w:ascii="Arial" w:hAnsi="Arial" w:cs="Arial"/>
        </w:rPr>
        <w:t xml:space="preserve">the </w:t>
      </w:r>
      <w:r w:rsidRPr="00C80641">
        <w:rPr>
          <w:rFonts w:ascii="Arial" w:hAnsi="Arial" w:cs="Arial"/>
        </w:rPr>
        <w:t>SEPP (AQM) are to:</w:t>
      </w:r>
    </w:p>
    <w:p w:rsidR="00BA4254" w:rsidRPr="00C80641" w:rsidRDefault="009938C5" w:rsidP="00D00156">
      <w:pPr>
        <w:pStyle w:val="BulletArrows"/>
        <w:numPr>
          <w:ilvl w:val="0"/>
          <w:numId w:val="87"/>
        </w:numPr>
        <w:spacing w:after="140"/>
        <w:rPr>
          <w:rFonts w:ascii="Arial" w:hAnsi="Arial"/>
        </w:rPr>
      </w:pPr>
      <w:r w:rsidRPr="00C80641">
        <w:rPr>
          <w:rFonts w:ascii="Arial" w:hAnsi="Arial"/>
        </w:rPr>
        <w:t>m</w:t>
      </w:r>
      <w:r w:rsidR="00BA4254" w:rsidRPr="00C80641">
        <w:rPr>
          <w:rFonts w:ascii="Arial" w:hAnsi="Arial"/>
        </w:rPr>
        <w:t>eet the air quality obje</w:t>
      </w:r>
      <w:r w:rsidR="00B63757" w:rsidRPr="00C80641">
        <w:rPr>
          <w:rFonts w:ascii="Arial" w:hAnsi="Arial"/>
        </w:rPr>
        <w:t>ctives outlined in the SEPP (AAQ)</w:t>
      </w:r>
    </w:p>
    <w:p w:rsidR="00BA4254" w:rsidRPr="00C80641" w:rsidRDefault="009938C5" w:rsidP="00D00156">
      <w:pPr>
        <w:pStyle w:val="BulletArrows"/>
        <w:numPr>
          <w:ilvl w:val="0"/>
          <w:numId w:val="87"/>
        </w:numPr>
        <w:spacing w:after="140"/>
        <w:rPr>
          <w:rFonts w:ascii="Arial" w:hAnsi="Arial"/>
        </w:rPr>
      </w:pPr>
      <w:r w:rsidRPr="00C80641">
        <w:rPr>
          <w:rFonts w:ascii="Arial" w:hAnsi="Arial"/>
        </w:rPr>
        <w:t>d</w:t>
      </w:r>
      <w:r w:rsidR="00B63757" w:rsidRPr="00C80641">
        <w:rPr>
          <w:rFonts w:ascii="Arial" w:hAnsi="Arial"/>
        </w:rPr>
        <w:t>rive continuous improvement</w:t>
      </w:r>
    </w:p>
    <w:p w:rsidR="00BA4254" w:rsidRPr="00C80641" w:rsidRDefault="009938C5" w:rsidP="00D00156">
      <w:pPr>
        <w:pStyle w:val="BulletArrows"/>
        <w:numPr>
          <w:ilvl w:val="0"/>
          <w:numId w:val="87"/>
        </w:numPr>
        <w:spacing w:after="240"/>
        <w:rPr>
          <w:rFonts w:ascii="Arial" w:hAnsi="Arial"/>
        </w:rPr>
      </w:pPr>
      <w:proofErr w:type="gramStart"/>
      <w:r w:rsidRPr="00C80641">
        <w:rPr>
          <w:rFonts w:ascii="Arial" w:hAnsi="Arial"/>
        </w:rPr>
        <w:t>a</w:t>
      </w:r>
      <w:r w:rsidR="00BA4254" w:rsidRPr="00C80641">
        <w:rPr>
          <w:rFonts w:ascii="Arial" w:hAnsi="Arial"/>
        </w:rPr>
        <w:t>chieve</w:t>
      </w:r>
      <w:proofErr w:type="gramEnd"/>
      <w:r w:rsidR="00BA4254" w:rsidRPr="00C80641">
        <w:rPr>
          <w:rFonts w:ascii="Arial" w:hAnsi="Arial"/>
        </w:rPr>
        <w:t xml:space="preserve"> the cleanest air possible.</w:t>
      </w:r>
    </w:p>
    <w:p w:rsidR="00BA4254" w:rsidRPr="00C80641" w:rsidRDefault="00BA4254" w:rsidP="00491187">
      <w:pPr>
        <w:spacing w:after="200"/>
        <w:rPr>
          <w:rFonts w:ascii="Arial" w:hAnsi="Arial" w:cs="Arial"/>
        </w:rPr>
      </w:pPr>
      <w:r w:rsidRPr="00C80641">
        <w:rPr>
          <w:rFonts w:ascii="Arial" w:hAnsi="Arial" w:cs="Arial"/>
        </w:rPr>
        <w:t xml:space="preserve">The management framework and attainment </w:t>
      </w:r>
      <w:r w:rsidR="009938C5" w:rsidRPr="00C80641">
        <w:rPr>
          <w:rFonts w:ascii="Arial" w:hAnsi="Arial" w:cs="Arial"/>
        </w:rPr>
        <w:t>program</w:t>
      </w:r>
      <w:r w:rsidRPr="00C80641">
        <w:rPr>
          <w:rFonts w:ascii="Arial" w:hAnsi="Arial" w:cs="Arial"/>
        </w:rPr>
        <w:t xml:space="preserve"> for </w:t>
      </w:r>
      <w:r w:rsidR="000C0713" w:rsidRPr="00C80641">
        <w:rPr>
          <w:rFonts w:ascii="Arial" w:hAnsi="Arial" w:cs="Arial"/>
        </w:rPr>
        <w:t xml:space="preserve">the </w:t>
      </w:r>
      <w:r w:rsidRPr="00C80641">
        <w:rPr>
          <w:rFonts w:ascii="Arial" w:hAnsi="Arial" w:cs="Arial"/>
        </w:rPr>
        <w:t xml:space="preserve">protection of air quality contained in </w:t>
      </w:r>
      <w:r w:rsidR="00DF2FAF" w:rsidRPr="00C80641">
        <w:rPr>
          <w:rFonts w:ascii="Arial" w:hAnsi="Arial" w:cs="Arial"/>
        </w:rPr>
        <w:t xml:space="preserve">the </w:t>
      </w:r>
      <w:r w:rsidRPr="00C80641">
        <w:rPr>
          <w:rFonts w:ascii="Arial" w:hAnsi="Arial" w:cs="Arial"/>
        </w:rPr>
        <w:t xml:space="preserve">SEPP (AQM) address not only ambient (or regional) </w:t>
      </w:r>
      <w:r w:rsidR="00947326" w:rsidRPr="00C80641">
        <w:rPr>
          <w:rFonts w:ascii="Arial" w:hAnsi="Arial" w:cs="Arial"/>
        </w:rPr>
        <w:t xml:space="preserve">air quality, but also </w:t>
      </w:r>
      <w:r w:rsidRPr="00C80641">
        <w:rPr>
          <w:rFonts w:ascii="Arial" w:hAnsi="Arial" w:cs="Arial"/>
        </w:rPr>
        <w:t xml:space="preserve">the management of particular sources (for </w:t>
      </w:r>
      <w:r w:rsidRPr="00C80641">
        <w:rPr>
          <w:rFonts w:ascii="Arial" w:hAnsi="Arial" w:cs="Arial"/>
        </w:rPr>
        <w:lastRenderedPageBreak/>
        <w:t>example, industry, motor vehicles and open burning) and local air quality impacts, including air toxics, odorous polluta</w:t>
      </w:r>
      <w:r w:rsidR="00B63757" w:rsidRPr="00C80641">
        <w:rPr>
          <w:rFonts w:ascii="Arial" w:hAnsi="Arial" w:cs="Arial"/>
        </w:rPr>
        <w:t>nts, greenhouse gases and ozone-</w:t>
      </w:r>
      <w:r w:rsidRPr="00C80641">
        <w:rPr>
          <w:rFonts w:ascii="Arial" w:hAnsi="Arial" w:cs="Arial"/>
        </w:rPr>
        <w:t>depleting substances.</w:t>
      </w:r>
    </w:p>
    <w:p w:rsidR="00AB5439" w:rsidRPr="00C80641" w:rsidRDefault="00AB5439" w:rsidP="00E33B69">
      <w:pPr>
        <w:spacing w:after="300"/>
        <w:rPr>
          <w:rFonts w:ascii="Arial" w:hAnsi="Arial" w:cs="Arial"/>
        </w:rPr>
      </w:pPr>
      <w:r w:rsidRPr="00C80641">
        <w:rPr>
          <w:rFonts w:ascii="Arial" w:hAnsi="Arial" w:cs="Arial"/>
        </w:rPr>
        <w:t>For high-risk industrial activities (</w:t>
      </w:r>
      <w:r w:rsidR="009938C5" w:rsidRPr="00C80641">
        <w:rPr>
          <w:rFonts w:ascii="Arial" w:hAnsi="Arial" w:cs="Arial"/>
        </w:rPr>
        <w:t>‘</w:t>
      </w:r>
      <w:r w:rsidRPr="00C80641">
        <w:rPr>
          <w:rFonts w:ascii="Arial" w:hAnsi="Arial" w:cs="Arial"/>
        </w:rPr>
        <w:t xml:space="preserve">scheduled premises’), EPA Victoria regulates compliance against </w:t>
      </w:r>
      <w:r w:rsidR="00DF2FAF" w:rsidRPr="00C80641">
        <w:rPr>
          <w:rFonts w:ascii="Arial" w:hAnsi="Arial" w:cs="Arial"/>
        </w:rPr>
        <w:t xml:space="preserve">the </w:t>
      </w:r>
      <w:r w:rsidRPr="00C80641">
        <w:rPr>
          <w:rFonts w:ascii="Arial" w:hAnsi="Arial" w:cs="Arial"/>
        </w:rPr>
        <w:t xml:space="preserve">SEPP (AQM) through works approvals and licensing. The key requirements include meeting ground-level concentration criteria for many air quality indicators (in addition to the ambient criteria pollutants), best practice management, and continuous improvement. </w:t>
      </w:r>
    </w:p>
    <w:p w:rsidR="00322EC5" w:rsidRPr="00C80641" w:rsidRDefault="00322EC5" w:rsidP="00DB5D5F">
      <w:pPr>
        <w:pStyle w:val="Level4PB2"/>
        <w:rPr>
          <w:rFonts w:ascii="Arial" w:hAnsi="Arial" w:cs="Arial"/>
          <w:lang w:val="en-AU"/>
        </w:rPr>
      </w:pPr>
      <w:r w:rsidRPr="00C80641">
        <w:rPr>
          <w:rFonts w:ascii="Arial" w:hAnsi="Arial" w:cs="Arial"/>
          <w:lang w:val="en-AU"/>
        </w:rPr>
        <w:t xml:space="preserve">Queensland </w:t>
      </w:r>
    </w:p>
    <w:p w:rsidR="005E7B00" w:rsidRPr="00C80641" w:rsidRDefault="00F356C8" w:rsidP="00810588">
      <w:pPr>
        <w:spacing w:after="180"/>
        <w:rPr>
          <w:rFonts w:ascii="Arial" w:hAnsi="Arial" w:cs="Arial"/>
        </w:rPr>
      </w:pPr>
      <w:r w:rsidRPr="00C80641">
        <w:rPr>
          <w:rFonts w:ascii="Arial" w:hAnsi="Arial" w:cs="Arial"/>
        </w:rPr>
        <w:t xml:space="preserve">In Queensland </w:t>
      </w:r>
      <w:r w:rsidR="00BA6A52" w:rsidRPr="00C80641">
        <w:rPr>
          <w:rFonts w:ascii="Arial" w:hAnsi="Arial" w:cs="Arial"/>
        </w:rPr>
        <w:t>t</w:t>
      </w:r>
      <w:r w:rsidR="005E7B00" w:rsidRPr="00C80641">
        <w:rPr>
          <w:rFonts w:ascii="Arial" w:hAnsi="Arial" w:cs="Arial"/>
        </w:rPr>
        <w:t xml:space="preserve">he potential environmental impacts of developments and activities, especially those defined as environmentally relevant activities, are currently managed on a site-specific basis through assessment and conditioning under the </w:t>
      </w:r>
      <w:r w:rsidR="005E7B00" w:rsidRPr="00C80641">
        <w:rPr>
          <w:rFonts w:ascii="Arial" w:hAnsi="Arial" w:cs="Arial"/>
          <w:i/>
        </w:rPr>
        <w:t>Environmental Protection Act 1994</w:t>
      </w:r>
      <w:r w:rsidR="007F0971" w:rsidRPr="00C80641">
        <w:rPr>
          <w:rFonts w:ascii="Arial" w:hAnsi="Arial" w:cs="Arial"/>
          <w:i/>
        </w:rPr>
        <w:t xml:space="preserve"> (Qld)</w:t>
      </w:r>
      <w:r w:rsidR="005E7B00" w:rsidRPr="00C80641">
        <w:rPr>
          <w:rFonts w:ascii="Arial" w:hAnsi="Arial" w:cs="Arial"/>
          <w:i/>
        </w:rPr>
        <w:t>.</w:t>
      </w:r>
    </w:p>
    <w:p w:rsidR="005E7B00" w:rsidRPr="00C80641" w:rsidRDefault="009B4764" w:rsidP="00810588">
      <w:pPr>
        <w:spacing w:after="180"/>
        <w:rPr>
          <w:rFonts w:ascii="Arial" w:hAnsi="Arial" w:cs="Arial"/>
        </w:rPr>
      </w:pPr>
      <w:r w:rsidRPr="00C80641">
        <w:rPr>
          <w:rFonts w:ascii="Arial" w:hAnsi="Arial" w:cs="Arial"/>
        </w:rPr>
        <w:t>As part of the</w:t>
      </w:r>
      <w:r w:rsidR="005E7B00" w:rsidRPr="00C80641">
        <w:rPr>
          <w:rFonts w:ascii="Arial" w:hAnsi="Arial" w:cs="Arial"/>
        </w:rPr>
        <w:t xml:space="preserve"> assessment process, potential air </w:t>
      </w:r>
      <w:r w:rsidRPr="00C80641">
        <w:rPr>
          <w:rFonts w:ascii="Arial" w:hAnsi="Arial" w:cs="Arial"/>
        </w:rPr>
        <w:t xml:space="preserve">quality </w:t>
      </w:r>
      <w:r w:rsidR="005E7B00" w:rsidRPr="00C80641">
        <w:rPr>
          <w:rFonts w:ascii="Arial" w:hAnsi="Arial" w:cs="Arial"/>
        </w:rPr>
        <w:t xml:space="preserve">impacts are evaluated against the </w:t>
      </w:r>
      <w:r w:rsidR="005E7B00" w:rsidRPr="00C80641">
        <w:rPr>
          <w:rFonts w:ascii="Arial" w:hAnsi="Arial" w:cs="Arial"/>
          <w:i/>
        </w:rPr>
        <w:t>Environmental Protection (Air) Policy 2008</w:t>
      </w:r>
      <w:r w:rsidR="005E7B00" w:rsidRPr="00C80641">
        <w:rPr>
          <w:rFonts w:ascii="Arial" w:hAnsi="Arial" w:cs="Arial"/>
        </w:rPr>
        <w:t xml:space="preserve"> (Air EPP) made under the Environmental Protection Act</w:t>
      </w:r>
      <w:r w:rsidR="00DF2FAF" w:rsidRPr="00C80641">
        <w:rPr>
          <w:rFonts w:ascii="Arial" w:hAnsi="Arial" w:cs="Arial"/>
        </w:rPr>
        <w:t xml:space="preserve"> </w:t>
      </w:r>
      <w:r w:rsidR="00DF2FAF" w:rsidRPr="00C80641">
        <w:rPr>
          <w:rFonts w:ascii="Arial" w:hAnsi="Arial" w:cs="Arial"/>
          <w:b/>
        </w:rPr>
        <w:t>(Queensland Government 2012)</w:t>
      </w:r>
      <w:r w:rsidR="005E7B00" w:rsidRPr="00C80641">
        <w:rPr>
          <w:rFonts w:ascii="Arial" w:hAnsi="Arial" w:cs="Arial"/>
        </w:rPr>
        <w:t>.</w:t>
      </w:r>
      <w:r w:rsidR="004B4989" w:rsidRPr="00C80641">
        <w:rPr>
          <w:rFonts w:ascii="Arial" w:hAnsi="Arial" w:cs="Arial"/>
        </w:rPr>
        <w:t xml:space="preserve"> </w:t>
      </w:r>
      <w:r w:rsidR="005E7B00" w:rsidRPr="00C80641">
        <w:rPr>
          <w:rFonts w:ascii="Arial" w:hAnsi="Arial" w:cs="Arial"/>
        </w:rPr>
        <w:t>The Air EPP is the principal policy guidance fo</w:t>
      </w:r>
      <w:r w:rsidR="00BA6A52" w:rsidRPr="00C80641">
        <w:rPr>
          <w:rFonts w:ascii="Arial" w:hAnsi="Arial" w:cs="Arial"/>
        </w:rPr>
        <w:t>r</w:t>
      </w:r>
      <w:r w:rsidRPr="00C80641">
        <w:rPr>
          <w:rFonts w:ascii="Arial" w:hAnsi="Arial" w:cs="Arial"/>
        </w:rPr>
        <w:t xml:space="preserve"> managing air quality</w:t>
      </w:r>
      <w:r w:rsidR="00BA6A52" w:rsidRPr="00C80641">
        <w:rPr>
          <w:rFonts w:ascii="Arial" w:hAnsi="Arial" w:cs="Arial"/>
        </w:rPr>
        <w:t xml:space="preserve">. </w:t>
      </w:r>
      <w:r w:rsidR="005E7B00" w:rsidRPr="00C80641">
        <w:rPr>
          <w:rFonts w:ascii="Arial" w:hAnsi="Arial" w:cs="Arial"/>
        </w:rPr>
        <w:t>The Air EPP identifies environmental values to be enhanced or protected, states indicators and air quality objectives for enhancing or protecting the environmental values, and provides a framework for making consistent, equitable and informed decis</w:t>
      </w:r>
      <w:r w:rsidR="00BA6A52" w:rsidRPr="00C80641">
        <w:rPr>
          <w:rFonts w:ascii="Arial" w:hAnsi="Arial" w:cs="Arial"/>
        </w:rPr>
        <w:t xml:space="preserve">ions about the air environment. </w:t>
      </w:r>
      <w:r w:rsidR="005E7B00" w:rsidRPr="00C80641">
        <w:rPr>
          <w:rFonts w:ascii="Arial" w:hAnsi="Arial" w:cs="Arial"/>
        </w:rPr>
        <w:t>The Air EPP presents air quality objectives for 3</w:t>
      </w:r>
      <w:r w:rsidR="0018195D" w:rsidRPr="00C80641">
        <w:rPr>
          <w:rFonts w:ascii="Arial" w:hAnsi="Arial" w:cs="Arial"/>
        </w:rPr>
        <w:t xml:space="preserve">1 indicators (air pollutants). </w:t>
      </w:r>
      <w:r w:rsidR="005E7B00" w:rsidRPr="00C80641">
        <w:rPr>
          <w:rFonts w:ascii="Arial" w:hAnsi="Arial" w:cs="Arial"/>
        </w:rPr>
        <w:t>Objectives for both PM</w:t>
      </w:r>
      <w:r w:rsidR="005E7B00" w:rsidRPr="00C80641">
        <w:rPr>
          <w:rFonts w:ascii="Arial" w:hAnsi="Arial" w:cs="Arial"/>
          <w:vertAlign w:val="subscript"/>
        </w:rPr>
        <w:t>10</w:t>
      </w:r>
      <w:r w:rsidR="005E7B00" w:rsidRPr="00C80641">
        <w:rPr>
          <w:rFonts w:ascii="Arial" w:hAnsi="Arial" w:cs="Arial"/>
        </w:rPr>
        <w:t xml:space="preserve"> and PM</w:t>
      </w:r>
      <w:r w:rsidR="005E7B00" w:rsidRPr="00C80641">
        <w:rPr>
          <w:rFonts w:ascii="Arial" w:hAnsi="Arial" w:cs="Arial"/>
          <w:vertAlign w:val="subscript"/>
        </w:rPr>
        <w:t>2.5</w:t>
      </w:r>
      <w:r w:rsidR="005E7B00" w:rsidRPr="00C80641">
        <w:rPr>
          <w:rFonts w:ascii="Arial" w:hAnsi="Arial" w:cs="Arial"/>
        </w:rPr>
        <w:t xml:space="preserve"> are included</w:t>
      </w:r>
      <w:r w:rsidR="00BA6A52" w:rsidRPr="00C80641">
        <w:rPr>
          <w:rFonts w:ascii="Arial" w:hAnsi="Arial" w:cs="Arial"/>
        </w:rPr>
        <w:t>,</w:t>
      </w:r>
      <w:r w:rsidR="005E7B00" w:rsidRPr="00C80641">
        <w:rPr>
          <w:rFonts w:ascii="Arial" w:hAnsi="Arial" w:cs="Arial"/>
        </w:rPr>
        <w:t xml:space="preserve"> and are the same as those in the </w:t>
      </w:r>
      <w:r w:rsidR="00EF24F8" w:rsidRPr="00C80641">
        <w:rPr>
          <w:rFonts w:ascii="Arial" w:hAnsi="Arial" w:cs="Arial"/>
        </w:rPr>
        <w:t>AAQ NEPM</w:t>
      </w:r>
      <w:r w:rsidR="005E7B00" w:rsidRPr="00C80641">
        <w:rPr>
          <w:rFonts w:ascii="Arial" w:hAnsi="Arial" w:cs="Arial"/>
        </w:rPr>
        <w:t>.</w:t>
      </w:r>
      <w:r w:rsidR="00BA6A52" w:rsidRPr="00C80641">
        <w:rPr>
          <w:rFonts w:ascii="Arial" w:hAnsi="Arial" w:cs="Arial"/>
        </w:rPr>
        <w:t xml:space="preserve"> </w:t>
      </w:r>
      <w:r w:rsidR="005E7B00" w:rsidRPr="00C80641">
        <w:rPr>
          <w:rFonts w:ascii="Arial" w:hAnsi="Arial" w:cs="Arial"/>
        </w:rPr>
        <w:t>The detailed regulatory requirements for assessing and managing environmental issues are contained in the Environmental Protection Regulation 2008</w:t>
      </w:r>
      <w:r w:rsidR="007F0971" w:rsidRPr="00C80641">
        <w:rPr>
          <w:rFonts w:ascii="Arial" w:hAnsi="Arial" w:cs="Arial"/>
        </w:rPr>
        <w:t xml:space="preserve"> (Qld)</w:t>
      </w:r>
      <w:r w:rsidR="005E7B00" w:rsidRPr="00C80641">
        <w:rPr>
          <w:rFonts w:ascii="Arial" w:hAnsi="Arial" w:cs="Arial"/>
        </w:rPr>
        <w:t>, also made under the Environmental Protection Act.</w:t>
      </w:r>
    </w:p>
    <w:p w:rsidR="005E7B00" w:rsidRPr="00C80641" w:rsidRDefault="005E7B00" w:rsidP="00810588">
      <w:pPr>
        <w:spacing w:after="180"/>
        <w:rPr>
          <w:rFonts w:ascii="Arial" w:hAnsi="Arial" w:cs="Arial"/>
        </w:rPr>
      </w:pPr>
      <w:r w:rsidRPr="00C80641">
        <w:rPr>
          <w:rFonts w:ascii="Arial" w:hAnsi="Arial" w:cs="Arial"/>
        </w:rPr>
        <w:t xml:space="preserve">The </w:t>
      </w:r>
      <w:r w:rsidRPr="00C80641">
        <w:rPr>
          <w:rFonts w:ascii="Arial" w:hAnsi="Arial" w:cs="Arial"/>
          <w:i/>
        </w:rPr>
        <w:t xml:space="preserve">Integrated Development Assessment System </w:t>
      </w:r>
      <w:r w:rsidRPr="00C80641">
        <w:rPr>
          <w:rFonts w:ascii="Arial" w:hAnsi="Arial" w:cs="Arial"/>
        </w:rPr>
        <w:t>is the process for assessing and deciding development appli</w:t>
      </w:r>
      <w:r w:rsidR="0018195D" w:rsidRPr="00C80641">
        <w:rPr>
          <w:rFonts w:ascii="Arial" w:hAnsi="Arial" w:cs="Arial"/>
        </w:rPr>
        <w:t xml:space="preserve">cations at the property level. </w:t>
      </w:r>
      <w:r w:rsidRPr="00C80641">
        <w:rPr>
          <w:rFonts w:ascii="Arial" w:hAnsi="Arial" w:cs="Arial"/>
        </w:rPr>
        <w:t>Development applications are assessed under the Sustainable Planning Act 2009</w:t>
      </w:r>
      <w:r w:rsidR="007F0971" w:rsidRPr="00C80641">
        <w:rPr>
          <w:rFonts w:ascii="Arial" w:hAnsi="Arial" w:cs="Arial"/>
        </w:rPr>
        <w:t xml:space="preserve"> (Qld)</w:t>
      </w:r>
      <w:r w:rsidR="0018195D" w:rsidRPr="00C80641">
        <w:rPr>
          <w:rFonts w:ascii="Arial" w:hAnsi="Arial" w:cs="Arial"/>
        </w:rPr>
        <w:t xml:space="preserve">. </w:t>
      </w:r>
      <w:r w:rsidRPr="00C80641">
        <w:rPr>
          <w:rFonts w:ascii="Arial" w:hAnsi="Arial" w:cs="Arial"/>
        </w:rPr>
        <w:t>This process includes assessment against local planning instruments and for any impacts the proposed development may have on the surrounding environment.</w:t>
      </w:r>
    </w:p>
    <w:p w:rsidR="005E7B00" w:rsidRPr="00C80641" w:rsidRDefault="005E7B00" w:rsidP="00810588">
      <w:pPr>
        <w:spacing w:after="180"/>
        <w:rPr>
          <w:rFonts w:ascii="Arial" w:hAnsi="Arial" w:cs="Arial"/>
        </w:rPr>
      </w:pPr>
      <w:r w:rsidRPr="00C80641">
        <w:rPr>
          <w:rFonts w:ascii="Arial" w:hAnsi="Arial" w:cs="Arial"/>
        </w:rPr>
        <w:t xml:space="preserve">The </w:t>
      </w:r>
      <w:r w:rsidRPr="00C80641">
        <w:rPr>
          <w:rFonts w:ascii="Arial" w:hAnsi="Arial" w:cs="Arial"/>
          <w:i/>
        </w:rPr>
        <w:t>State Planning Policy 5/10 Air, Noise and Hazardous Materials (2010)</w:t>
      </w:r>
      <w:r w:rsidRPr="00C80641">
        <w:rPr>
          <w:rFonts w:ascii="Arial" w:hAnsi="Arial" w:cs="Arial"/>
        </w:rPr>
        <w:t xml:space="preserve"> complements the existing assessment and management framework by providing a more strategic focus on the location of industrial land uses (particularly in relation to sensitive land uses such as housing) that can impact on community and human health, wellbeing, amenity and safety</w:t>
      </w:r>
      <w:r w:rsidR="001B5C15" w:rsidRPr="00C80641">
        <w:rPr>
          <w:rFonts w:ascii="Arial" w:hAnsi="Arial" w:cs="Arial"/>
        </w:rPr>
        <w:t>,</w:t>
      </w:r>
      <w:r w:rsidRPr="00C80641">
        <w:rPr>
          <w:rFonts w:ascii="Arial" w:hAnsi="Arial" w:cs="Arial"/>
        </w:rPr>
        <w:t xml:space="preserve"> from issues such as air pollutants</w:t>
      </w:r>
      <w:r w:rsidR="00617975" w:rsidRPr="00C80641">
        <w:rPr>
          <w:rFonts w:ascii="Arial" w:hAnsi="Arial" w:cs="Arial"/>
        </w:rPr>
        <w:t xml:space="preserve"> </w:t>
      </w:r>
      <w:r w:rsidR="00617975" w:rsidRPr="00C80641">
        <w:rPr>
          <w:rFonts w:ascii="Arial" w:hAnsi="Arial" w:cs="Arial"/>
          <w:b/>
        </w:rPr>
        <w:t>(Queensland Department of Environment and Resource Management 2010)</w:t>
      </w:r>
      <w:r w:rsidRPr="00C80641">
        <w:rPr>
          <w:rFonts w:ascii="Arial" w:hAnsi="Arial" w:cs="Arial"/>
        </w:rPr>
        <w:t>.</w:t>
      </w:r>
    </w:p>
    <w:p w:rsidR="005E7B00" w:rsidRPr="00C80641" w:rsidRDefault="005E7B00" w:rsidP="00E33B69">
      <w:pPr>
        <w:spacing w:after="300"/>
        <w:rPr>
          <w:rFonts w:ascii="Arial" w:hAnsi="Arial" w:cs="Arial"/>
        </w:rPr>
      </w:pPr>
      <w:r w:rsidRPr="00C80641">
        <w:rPr>
          <w:rFonts w:ascii="Arial" w:hAnsi="Arial" w:cs="Arial"/>
        </w:rPr>
        <w:t>The most direct</w:t>
      </w:r>
      <w:r w:rsidR="00BA6A52" w:rsidRPr="00C80641">
        <w:rPr>
          <w:rFonts w:ascii="Arial" w:hAnsi="Arial" w:cs="Arial"/>
        </w:rPr>
        <w:t xml:space="preserve"> and common use of the PM</w:t>
      </w:r>
      <w:r w:rsidRPr="00C80641">
        <w:rPr>
          <w:rFonts w:ascii="Arial" w:hAnsi="Arial" w:cs="Arial"/>
        </w:rPr>
        <w:t xml:space="preserve"> standards in the </w:t>
      </w:r>
      <w:r w:rsidR="00EF24F8" w:rsidRPr="00C80641">
        <w:rPr>
          <w:rFonts w:ascii="Arial" w:hAnsi="Arial" w:cs="Arial"/>
        </w:rPr>
        <w:t>AAQ NEPM</w:t>
      </w:r>
      <w:r w:rsidRPr="00C80641">
        <w:rPr>
          <w:rFonts w:ascii="Arial" w:hAnsi="Arial" w:cs="Arial"/>
        </w:rPr>
        <w:t xml:space="preserve"> in Queensland is in the government’s air quality monitoring </w:t>
      </w:r>
      <w:r w:rsidR="009938C5" w:rsidRPr="00C80641">
        <w:rPr>
          <w:rFonts w:ascii="Arial" w:hAnsi="Arial" w:cs="Arial"/>
        </w:rPr>
        <w:t>program</w:t>
      </w:r>
      <w:r w:rsidR="0018195D" w:rsidRPr="00C80641">
        <w:rPr>
          <w:rFonts w:ascii="Arial" w:hAnsi="Arial" w:cs="Arial"/>
        </w:rPr>
        <w:t xml:space="preserve">. </w:t>
      </w:r>
      <w:r w:rsidR="00BA6A52" w:rsidRPr="00C80641">
        <w:rPr>
          <w:rFonts w:ascii="Arial" w:hAnsi="Arial" w:cs="Arial"/>
        </w:rPr>
        <w:t>This</w:t>
      </w:r>
      <w:r w:rsidRPr="00C80641">
        <w:rPr>
          <w:rFonts w:ascii="Arial" w:hAnsi="Arial" w:cs="Arial"/>
        </w:rPr>
        <w:t xml:space="preserve"> </w:t>
      </w:r>
      <w:r w:rsidR="009938C5" w:rsidRPr="00C80641">
        <w:rPr>
          <w:rFonts w:ascii="Arial" w:hAnsi="Arial" w:cs="Arial"/>
        </w:rPr>
        <w:t>program</w:t>
      </w:r>
      <w:r w:rsidRPr="00C80641">
        <w:rPr>
          <w:rFonts w:ascii="Arial" w:hAnsi="Arial" w:cs="Arial"/>
        </w:rPr>
        <w:t xml:space="preserve"> was developed in accordance with the </w:t>
      </w:r>
      <w:r w:rsidR="00EF24F8" w:rsidRPr="00C80641">
        <w:rPr>
          <w:rFonts w:ascii="Arial" w:hAnsi="Arial" w:cs="Arial"/>
        </w:rPr>
        <w:t>AAQ NEPM</w:t>
      </w:r>
      <w:r w:rsidRPr="00C80641">
        <w:rPr>
          <w:rFonts w:ascii="Arial" w:hAnsi="Arial" w:cs="Arial"/>
        </w:rPr>
        <w:t>’s monit</w:t>
      </w:r>
      <w:r w:rsidR="0018195D" w:rsidRPr="00C80641">
        <w:rPr>
          <w:rFonts w:ascii="Arial" w:hAnsi="Arial" w:cs="Arial"/>
        </w:rPr>
        <w:t xml:space="preserve">oring and reporting protocols. </w:t>
      </w:r>
      <w:r w:rsidRPr="00C80641">
        <w:rPr>
          <w:rFonts w:ascii="Arial" w:hAnsi="Arial" w:cs="Arial"/>
        </w:rPr>
        <w:t xml:space="preserve">Data collected through the </w:t>
      </w:r>
      <w:r w:rsidR="009938C5" w:rsidRPr="00C80641">
        <w:rPr>
          <w:rFonts w:ascii="Arial" w:hAnsi="Arial" w:cs="Arial"/>
        </w:rPr>
        <w:t>program</w:t>
      </w:r>
      <w:r w:rsidRPr="00C80641">
        <w:rPr>
          <w:rFonts w:ascii="Arial" w:hAnsi="Arial" w:cs="Arial"/>
        </w:rPr>
        <w:t xml:space="preserve"> are reported against the </w:t>
      </w:r>
      <w:r w:rsidR="00EF24F8" w:rsidRPr="00C80641">
        <w:rPr>
          <w:rFonts w:ascii="Arial" w:hAnsi="Arial" w:cs="Arial"/>
        </w:rPr>
        <w:t>AAQ NEPM</w:t>
      </w:r>
      <w:r w:rsidRPr="00C80641">
        <w:rPr>
          <w:rFonts w:ascii="Arial" w:hAnsi="Arial" w:cs="Arial"/>
        </w:rPr>
        <w:t xml:space="preserve"> standar</w:t>
      </w:r>
      <w:r w:rsidR="00BA6A52" w:rsidRPr="00C80641">
        <w:rPr>
          <w:rFonts w:ascii="Arial" w:hAnsi="Arial" w:cs="Arial"/>
        </w:rPr>
        <w:t>ds to show compliance or exceeda</w:t>
      </w:r>
      <w:r w:rsidRPr="00C80641">
        <w:rPr>
          <w:rFonts w:ascii="Arial" w:hAnsi="Arial" w:cs="Arial"/>
        </w:rPr>
        <w:t>nce.</w:t>
      </w:r>
    </w:p>
    <w:p w:rsidR="00322EC5" w:rsidRPr="00C80641" w:rsidRDefault="00322EC5" w:rsidP="00DB5D5F">
      <w:pPr>
        <w:pStyle w:val="Level4PB2"/>
        <w:rPr>
          <w:rFonts w:ascii="Arial" w:hAnsi="Arial" w:cs="Arial"/>
          <w:u w:val="single"/>
          <w:lang w:val="en-AU"/>
        </w:rPr>
      </w:pPr>
      <w:r w:rsidRPr="00C80641">
        <w:rPr>
          <w:rFonts w:ascii="Arial" w:hAnsi="Arial" w:cs="Arial"/>
          <w:lang w:val="en-AU"/>
        </w:rPr>
        <w:t xml:space="preserve">South Australia </w:t>
      </w:r>
    </w:p>
    <w:p w:rsidR="00AB5439" w:rsidRPr="00C80641" w:rsidRDefault="00AB5439" w:rsidP="00810588">
      <w:pPr>
        <w:spacing w:after="180"/>
        <w:rPr>
          <w:rFonts w:ascii="Arial" w:hAnsi="Arial" w:cs="Arial"/>
        </w:rPr>
      </w:pPr>
      <w:r w:rsidRPr="00C80641">
        <w:rPr>
          <w:rFonts w:ascii="Arial" w:hAnsi="Arial" w:cs="Arial"/>
        </w:rPr>
        <w:t xml:space="preserve">South Australia </w:t>
      </w:r>
      <w:r w:rsidR="00242720" w:rsidRPr="00C80641">
        <w:rPr>
          <w:rFonts w:ascii="Arial" w:hAnsi="Arial" w:cs="Arial"/>
        </w:rPr>
        <w:t>references the PM</w:t>
      </w:r>
      <w:r w:rsidRPr="00C80641">
        <w:rPr>
          <w:rFonts w:ascii="Arial" w:hAnsi="Arial" w:cs="Arial"/>
        </w:rPr>
        <w:t xml:space="preserve"> standards for a range of purposes</w:t>
      </w:r>
      <w:r w:rsidR="00242720" w:rsidRPr="00C80641">
        <w:rPr>
          <w:rFonts w:ascii="Arial" w:hAnsi="Arial" w:cs="Arial"/>
        </w:rPr>
        <w:t>,</w:t>
      </w:r>
      <w:r w:rsidRPr="00C80641">
        <w:rPr>
          <w:rFonts w:ascii="Arial" w:hAnsi="Arial" w:cs="Arial"/>
        </w:rPr>
        <w:t xml:space="preserve"> </w:t>
      </w:r>
      <w:r w:rsidR="00242720" w:rsidRPr="00C80641">
        <w:rPr>
          <w:rFonts w:ascii="Arial" w:hAnsi="Arial" w:cs="Arial"/>
        </w:rPr>
        <w:t>which include requirements relating to ground-level c</w:t>
      </w:r>
      <w:r w:rsidRPr="00C80641">
        <w:rPr>
          <w:rFonts w:ascii="Arial" w:hAnsi="Arial" w:cs="Arial"/>
        </w:rPr>
        <w:t>oncentrations for development applic</w:t>
      </w:r>
      <w:r w:rsidR="00242720" w:rsidRPr="00C80641">
        <w:rPr>
          <w:rFonts w:ascii="Arial" w:hAnsi="Arial" w:cs="Arial"/>
        </w:rPr>
        <w:t xml:space="preserve">ations and licence conditions. </w:t>
      </w:r>
      <w:r w:rsidRPr="00C80641">
        <w:rPr>
          <w:rFonts w:ascii="Arial" w:hAnsi="Arial" w:cs="Arial"/>
        </w:rPr>
        <w:t>For example there is an expectation that submissions for new developments include high quality modelling reports from experienced practitioners, which provide conservative estimates for ground-level impacts of emissions from industrial activities meeting the PM</w:t>
      </w:r>
      <w:r w:rsidRPr="00C80641">
        <w:rPr>
          <w:rFonts w:ascii="Arial" w:hAnsi="Arial" w:cs="Arial"/>
          <w:vertAlign w:val="subscript"/>
        </w:rPr>
        <w:t>10</w:t>
      </w:r>
      <w:r w:rsidRPr="00C80641">
        <w:rPr>
          <w:rFonts w:ascii="Arial" w:hAnsi="Arial" w:cs="Arial"/>
        </w:rPr>
        <w:t xml:space="preserve"> standards and</w:t>
      </w:r>
      <w:r w:rsidR="00242720" w:rsidRPr="00C80641">
        <w:rPr>
          <w:rFonts w:ascii="Arial" w:hAnsi="Arial" w:cs="Arial"/>
        </w:rPr>
        <w:t>,</w:t>
      </w:r>
      <w:r w:rsidRPr="00C80641">
        <w:rPr>
          <w:rFonts w:ascii="Arial" w:hAnsi="Arial" w:cs="Arial"/>
        </w:rPr>
        <w:t xml:space="preserve"> under some circumstances,</w:t>
      </w:r>
      <w:r w:rsidR="00242720" w:rsidRPr="00C80641">
        <w:rPr>
          <w:rFonts w:ascii="Arial" w:hAnsi="Arial" w:cs="Arial"/>
        </w:rPr>
        <w:t xml:space="preserve"> the</w:t>
      </w:r>
      <w:r w:rsidRPr="00C80641">
        <w:rPr>
          <w:rFonts w:ascii="Arial" w:hAnsi="Arial" w:cs="Arial"/>
        </w:rPr>
        <w:t xml:space="preserve"> PM</w:t>
      </w:r>
      <w:r w:rsidRPr="00C80641">
        <w:rPr>
          <w:rFonts w:ascii="Arial" w:hAnsi="Arial" w:cs="Arial"/>
          <w:vertAlign w:val="subscript"/>
        </w:rPr>
        <w:t>2.5</w:t>
      </w:r>
      <w:r w:rsidR="00242720" w:rsidRPr="00C80641">
        <w:rPr>
          <w:rFonts w:ascii="Arial" w:hAnsi="Arial" w:cs="Arial"/>
        </w:rPr>
        <w:t xml:space="preserve"> advisory reporting s</w:t>
      </w:r>
      <w:r w:rsidRPr="00C80641">
        <w:rPr>
          <w:rFonts w:ascii="Arial" w:hAnsi="Arial" w:cs="Arial"/>
        </w:rPr>
        <w:t>tandards.</w:t>
      </w:r>
    </w:p>
    <w:p w:rsidR="00AB5439" w:rsidRPr="00C80641" w:rsidRDefault="00242720" w:rsidP="00810588">
      <w:pPr>
        <w:spacing w:after="180"/>
        <w:rPr>
          <w:rFonts w:ascii="Arial" w:hAnsi="Arial" w:cs="Arial"/>
        </w:rPr>
      </w:pPr>
      <w:r w:rsidRPr="00C80641">
        <w:rPr>
          <w:rFonts w:ascii="Arial" w:hAnsi="Arial" w:cs="Arial"/>
        </w:rPr>
        <w:t>Conditions to meet the PM</w:t>
      </w:r>
      <w:r w:rsidR="00AB5439" w:rsidRPr="00C80641">
        <w:rPr>
          <w:rFonts w:ascii="Arial" w:hAnsi="Arial" w:cs="Arial"/>
        </w:rPr>
        <w:t xml:space="preserve"> standard(s) may be applied within licences under the </w:t>
      </w:r>
      <w:r w:rsidR="00AB5439" w:rsidRPr="00C80641">
        <w:rPr>
          <w:rFonts w:ascii="Arial" w:hAnsi="Arial" w:cs="Arial"/>
          <w:i/>
        </w:rPr>
        <w:t>Environment Protection Act 1993</w:t>
      </w:r>
      <w:r w:rsidR="007F0971" w:rsidRPr="00C80641">
        <w:rPr>
          <w:rFonts w:ascii="Arial" w:hAnsi="Arial" w:cs="Arial"/>
        </w:rPr>
        <w:t xml:space="preserve"> (SA)</w:t>
      </w:r>
      <w:r w:rsidR="00AB5439" w:rsidRPr="00C80641">
        <w:rPr>
          <w:rFonts w:ascii="Arial" w:hAnsi="Arial" w:cs="Arial"/>
        </w:rPr>
        <w:t xml:space="preserve"> and/or within development approvals under the </w:t>
      </w:r>
      <w:r w:rsidR="00AB5439" w:rsidRPr="00C80641">
        <w:rPr>
          <w:rFonts w:ascii="Arial" w:hAnsi="Arial" w:cs="Arial"/>
          <w:i/>
        </w:rPr>
        <w:t>Development Act 1993</w:t>
      </w:r>
      <w:r w:rsidR="007F0971" w:rsidRPr="00C80641">
        <w:rPr>
          <w:rFonts w:ascii="Arial" w:hAnsi="Arial" w:cs="Arial"/>
        </w:rPr>
        <w:t xml:space="preserve"> (SA)</w:t>
      </w:r>
      <w:r w:rsidR="00AB5439" w:rsidRPr="00C80641">
        <w:rPr>
          <w:rFonts w:ascii="Arial" w:hAnsi="Arial" w:cs="Arial"/>
        </w:rPr>
        <w:t>.</w:t>
      </w:r>
      <w:r w:rsidR="004B4989" w:rsidRPr="00C80641">
        <w:rPr>
          <w:rFonts w:ascii="Arial" w:hAnsi="Arial" w:cs="Arial"/>
        </w:rPr>
        <w:t xml:space="preserve"> </w:t>
      </w:r>
      <w:r w:rsidR="00AB5439" w:rsidRPr="00C80641">
        <w:rPr>
          <w:rFonts w:ascii="Arial" w:hAnsi="Arial" w:cs="Arial"/>
        </w:rPr>
        <w:t xml:space="preserve">Other orders or authorisations, or </w:t>
      </w:r>
      <w:r w:rsidR="001B5C15" w:rsidRPr="00C80641">
        <w:rPr>
          <w:rFonts w:ascii="Arial" w:hAnsi="Arial" w:cs="Arial"/>
        </w:rPr>
        <w:t>e</w:t>
      </w:r>
      <w:r w:rsidR="00AB5439" w:rsidRPr="00C80641">
        <w:rPr>
          <w:rFonts w:ascii="Arial" w:hAnsi="Arial" w:cs="Arial"/>
        </w:rPr>
        <w:t>nvironmen</w:t>
      </w:r>
      <w:r w:rsidRPr="00C80641">
        <w:rPr>
          <w:rFonts w:ascii="Arial" w:hAnsi="Arial" w:cs="Arial"/>
        </w:rPr>
        <w:t xml:space="preserve">t </w:t>
      </w:r>
      <w:r w:rsidR="001B5C15" w:rsidRPr="00C80641">
        <w:rPr>
          <w:rFonts w:ascii="Arial" w:hAnsi="Arial" w:cs="Arial"/>
        </w:rPr>
        <w:t>i</w:t>
      </w:r>
      <w:r w:rsidRPr="00C80641">
        <w:rPr>
          <w:rFonts w:ascii="Arial" w:hAnsi="Arial" w:cs="Arial"/>
        </w:rPr>
        <w:t xml:space="preserve">mprovement </w:t>
      </w:r>
      <w:r w:rsidR="001B5C15" w:rsidRPr="00C80641">
        <w:rPr>
          <w:rFonts w:ascii="Arial" w:hAnsi="Arial" w:cs="Arial"/>
        </w:rPr>
        <w:t>p</w:t>
      </w:r>
      <w:r w:rsidRPr="00C80641">
        <w:rPr>
          <w:rFonts w:ascii="Arial" w:hAnsi="Arial" w:cs="Arial"/>
        </w:rPr>
        <w:t>lans under the Environment Protection</w:t>
      </w:r>
      <w:r w:rsidR="00AB5439" w:rsidRPr="00C80641">
        <w:rPr>
          <w:rFonts w:ascii="Arial" w:hAnsi="Arial" w:cs="Arial"/>
        </w:rPr>
        <w:t xml:space="preserve"> Act may also potentially embody the standards.</w:t>
      </w:r>
    </w:p>
    <w:p w:rsidR="00AB5439" w:rsidRPr="00C80641" w:rsidRDefault="00242720" w:rsidP="00E33B69">
      <w:pPr>
        <w:spacing w:after="300"/>
        <w:rPr>
          <w:rFonts w:ascii="Arial" w:hAnsi="Arial" w:cs="Arial"/>
        </w:rPr>
      </w:pPr>
      <w:r w:rsidRPr="00C80641">
        <w:rPr>
          <w:rFonts w:ascii="Arial" w:hAnsi="Arial" w:cs="Arial"/>
        </w:rPr>
        <w:t xml:space="preserve">Where appropriate, </w:t>
      </w:r>
      <w:r w:rsidR="001B5C15" w:rsidRPr="00C80641">
        <w:rPr>
          <w:rFonts w:ascii="Arial" w:hAnsi="Arial" w:cs="Arial"/>
        </w:rPr>
        <w:t>licensees</w:t>
      </w:r>
      <w:r w:rsidR="00AB5439" w:rsidRPr="00C80641">
        <w:rPr>
          <w:rFonts w:ascii="Arial" w:hAnsi="Arial" w:cs="Arial"/>
        </w:rPr>
        <w:t xml:space="preserve"> can be required to undertake stack emission testing or monitoring to ma</w:t>
      </w:r>
      <w:r w:rsidRPr="00C80641">
        <w:rPr>
          <w:rFonts w:ascii="Arial" w:hAnsi="Arial" w:cs="Arial"/>
        </w:rPr>
        <w:t>intain emission levels to meet design ground-level concentrations. I</w:t>
      </w:r>
      <w:r w:rsidR="00AB5439" w:rsidRPr="00C80641">
        <w:rPr>
          <w:rFonts w:ascii="Arial" w:hAnsi="Arial" w:cs="Arial"/>
        </w:rPr>
        <w:t xml:space="preserve">n some instances </w:t>
      </w:r>
      <w:r w:rsidR="001B5C15" w:rsidRPr="00C80641">
        <w:rPr>
          <w:rFonts w:ascii="Arial" w:hAnsi="Arial" w:cs="Arial"/>
        </w:rPr>
        <w:t>licensees</w:t>
      </w:r>
      <w:r w:rsidRPr="00C80641">
        <w:rPr>
          <w:rFonts w:ascii="Arial" w:hAnsi="Arial" w:cs="Arial"/>
        </w:rPr>
        <w:t xml:space="preserve"> </w:t>
      </w:r>
      <w:r w:rsidR="00AB5439" w:rsidRPr="00C80641">
        <w:rPr>
          <w:rFonts w:ascii="Arial" w:hAnsi="Arial" w:cs="Arial"/>
        </w:rPr>
        <w:t>are also required to undertake ambien</w:t>
      </w:r>
      <w:r w:rsidRPr="00C80641">
        <w:rPr>
          <w:rFonts w:ascii="Arial" w:hAnsi="Arial" w:cs="Arial"/>
        </w:rPr>
        <w:t xml:space="preserve">t monitoring for </w:t>
      </w:r>
      <w:r w:rsidR="00AB5439" w:rsidRPr="00C80641">
        <w:rPr>
          <w:rFonts w:ascii="Arial" w:hAnsi="Arial" w:cs="Arial"/>
        </w:rPr>
        <w:t>PM</w:t>
      </w:r>
      <w:r w:rsidR="00AB5439" w:rsidRPr="00C80641">
        <w:rPr>
          <w:rFonts w:ascii="Arial" w:hAnsi="Arial" w:cs="Arial"/>
          <w:vertAlign w:val="subscript"/>
        </w:rPr>
        <w:t>10</w:t>
      </w:r>
      <w:r w:rsidR="00AB5439" w:rsidRPr="00C80641">
        <w:rPr>
          <w:rFonts w:ascii="Arial" w:hAnsi="Arial" w:cs="Arial"/>
        </w:rPr>
        <w:t xml:space="preserve"> and</w:t>
      </w:r>
      <w:r w:rsidRPr="00C80641">
        <w:rPr>
          <w:rFonts w:ascii="Arial" w:hAnsi="Arial" w:cs="Arial"/>
        </w:rPr>
        <w:t>/or</w:t>
      </w:r>
      <w:r w:rsidR="00AB5439" w:rsidRPr="00C80641">
        <w:rPr>
          <w:rFonts w:ascii="Arial" w:hAnsi="Arial" w:cs="Arial"/>
        </w:rPr>
        <w:t xml:space="preserve"> PM</w:t>
      </w:r>
      <w:r w:rsidR="00AB5439" w:rsidRPr="00C80641">
        <w:rPr>
          <w:rFonts w:ascii="Arial" w:hAnsi="Arial" w:cs="Arial"/>
          <w:vertAlign w:val="subscript"/>
        </w:rPr>
        <w:t>2.5</w:t>
      </w:r>
      <w:r w:rsidR="00AB5439" w:rsidRPr="00C80641">
        <w:rPr>
          <w:rFonts w:ascii="Arial" w:hAnsi="Arial" w:cs="Arial"/>
        </w:rPr>
        <w:t xml:space="preserve"> to con</w:t>
      </w:r>
      <w:r w:rsidR="00E77D46" w:rsidRPr="00C80641">
        <w:rPr>
          <w:rFonts w:ascii="Arial" w:hAnsi="Arial" w:cs="Arial"/>
        </w:rPr>
        <w:t xml:space="preserve">firm that they are meeting </w:t>
      </w:r>
      <w:r w:rsidRPr="00C80641">
        <w:rPr>
          <w:rFonts w:ascii="Arial" w:hAnsi="Arial" w:cs="Arial"/>
        </w:rPr>
        <w:t xml:space="preserve">the </w:t>
      </w:r>
      <w:r w:rsidR="00E77D46" w:rsidRPr="00C80641">
        <w:rPr>
          <w:rFonts w:ascii="Arial" w:hAnsi="Arial" w:cs="Arial"/>
        </w:rPr>
        <w:t>long-term and short-</w:t>
      </w:r>
      <w:r w:rsidRPr="00C80641">
        <w:rPr>
          <w:rFonts w:ascii="Arial" w:hAnsi="Arial" w:cs="Arial"/>
        </w:rPr>
        <w:t>term standards. Non-</w:t>
      </w:r>
      <w:r w:rsidR="001B5C15" w:rsidRPr="00C80641">
        <w:rPr>
          <w:rFonts w:ascii="Arial" w:hAnsi="Arial" w:cs="Arial"/>
        </w:rPr>
        <w:t>licensed</w:t>
      </w:r>
      <w:r w:rsidR="00AB5439" w:rsidRPr="00C80641">
        <w:rPr>
          <w:rFonts w:ascii="Arial" w:hAnsi="Arial" w:cs="Arial"/>
        </w:rPr>
        <w:t xml:space="preserve"> activities can also be required to control emissions to meet these standards.</w:t>
      </w:r>
    </w:p>
    <w:p w:rsidR="00322EC5" w:rsidRPr="00B37EF3" w:rsidRDefault="00322EC5" w:rsidP="00DB5D5F">
      <w:pPr>
        <w:pStyle w:val="Level4PB2"/>
        <w:rPr>
          <w:rFonts w:ascii="Arial" w:hAnsi="Arial" w:cs="Arial"/>
          <w:u w:val="single"/>
          <w:lang w:val="en-AU"/>
        </w:rPr>
      </w:pPr>
      <w:r w:rsidRPr="00B37EF3">
        <w:rPr>
          <w:rFonts w:ascii="Arial" w:hAnsi="Arial" w:cs="Arial"/>
          <w:lang w:val="en-AU"/>
        </w:rPr>
        <w:lastRenderedPageBreak/>
        <w:t xml:space="preserve">Western Australia </w:t>
      </w:r>
    </w:p>
    <w:p w:rsidR="00322EC5" w:rsidRPr="00B37EF3" w:rsidRDefault="00B63757" w:rsidP="00BA4254">
      <w:pPr>
        <w:rPr>
          <w:rFonts w:ascii="Arial" w:hAnsi="Arial" w:cs="Arial"/>
        </w:rPr>
      </w:pPr>
      <w:r w:rsidRPr="00B37EF3">
        <w:rPr>
          <w:rFonts w:ascii="Arial" w:hAnsi="Arial" w:cs="Arial"/>
        </w:rPr>
        <w:t>In Western Australia</w:t>
      </w:r>
      <w:r w:rsidR="00322EC5" w:rsidRPr="00B37EF3">
        <w:rPr>
          <w:rFonts w:ascii="Arial" w:hAnsi="Arial" w:cs="Arial"/>
        </w:rPr>
        <w:t xml:space="preserve"> proponents are required to conduct assessments of the air quality impact</w:t>
      </w:r>
      <w:r w:rsidRPr="00B37EF3">
        <w:rPr>
          <w:rFonts w:ascii="Arial" w:hAnsi="Arial" w:cs="Arial"/>
        </w:rPr>
        <w:t>s</w:t>
      </w:r>
      <w:r w:rsidR="00322EC5" w:rsidRPr="00B37EF3">
        <w:rPr>
          <w:rFonts w:ascii="Arial" w:hAnsi="Arial" w:cs="Arial"/>
        </w:rPr>
        <w:t xml:space="preserve"> of existing or proposed sources of air pollutants under Part IV</w:t>
      </w:r>
      <w:r w:rsidR="0001122A" w:rsidRPr="00B37EF3">
        <w:rPr>
          <w:rFonts w:ascii="Arial" w:hAnsi="Arial" w:cs="Arial"/>
        </w:rPr>
        <w:t>,</w:t>
      </w:r>
      <w:r w:rsidR="00322EC5" w:rsidRPr="00B37EF3">
        <w:rPr>
          <w:rFonts w:ascii="Arial" w:hAnsi="Arial" w:cs="Arial"/>
        </w:rPr>
        <w:t xml:space="preserve"> or in relation to </w:t>
      </w:r>
      <w:r w:rsidR="007F0971" w:rsidRPr="00B37EF3">
        <w:rPr>
          <w:rFonts w:ascii="Arial" w:hAnsi="Arial" w:cs="Arial"/>
        </w:rPr>
        <w:t>w</w:t>
      </w:r>
      <w:r w:rsidR="00322EC5" w:rsidRPr="00B37EF3">
        <w:rPr>
          <w:rFonts w:ascii="Arial" w:hAnsi="Arial" w:cs="Arial"/>
        </w:rPr>
        <w:t xml:space="preserve">orks </w:t>
      </w:r>
      <w:r w:rsidR="007F0971" w:rsidRPr="00B37EF3">
        <w:rPr>
          <w:rFonts w:ascii="Arial" w:hAnsi="Arial" w:cs="Arial"/>
        </w:rPr>
        <w:t>a</w:t>
      </w:r>
      <w:r w:rsidR="00322EC5" w:rsidRPr="00B37EF3">
        <w:rPr>
          <w:rFonts w:ascii="Arial" w:hAnsi="Arial" w:cs="Arial"/>
        </w:rPr>
        <w:t xml:space="preserve">pprovals and </w:t>
      </w:r>
      <w:r w:rsidR="007F0971" w:rsidRPr="00B37EF3">
        <w:rPr>
          <w:rFonts w:ascii="Arial" w:hAnsi="Arial" w:cs="Arial"/>
        </w:rPr>
        <w:t>licences</w:t>
      </w:r>
      <w:r w:rsidR="00322EC5" w:rsidRPr="00B37EF3">
        <w:rPr>
          <w:rFonts w:ascii="Arial" w:hAnsi="Arial" w:cs="Arial"/>
        </w:rPr>
        <w:t xml:space="preserve"> under Part V</w:t>
      </w:r>
      <w:r w:rsidR="0001122A" w:rsidRPr="00B37EF3">
        <w:rPr>
          <w:rFonts w:ascii="Arial" w:hAnsi="Arial" w:cs="Arial"/>
        </w:rPr>
        <w:t>,</w:t>
      </w:r>
      <w:r w:rsidR="00322EC5" w:rsidRPr="00B37EF3">
        <w:rPr>
          <w:rFonts w:ascii="Arial" w:hAnsi="Arial" w:cs="Arial"/>
        </w:rPr>
        <w:t xml:space="preserve"> of the </w:t>
      </w:r>
      <w:r w:rsidR="00322EC5" w:rsidRPr="00B37EF3">
        <w:rPr>
          <w:rFonts w:ascii="Arial" w:hAnsi="Arial" w:cs="Arial"/>
          <w:i/>
        </w:rPr>
        <w:t>En</w:t>
      </w:r>
      <w:r w:rsidR="0001122A" w:rsidRPr="00B37EF3">
        <w:rPr>
          <w:rFonts w:ascii="Arial" w:hAnsi="Arial" w:cs="Arial"/>
          <w:i/>
        </w:rPr>
        <w:t>vironmental Protection Act 1986</w:t>
      </w:r>
      <w:r w:rsidR="007F0971" w:rsidRPr="00B37EF3">
        <w:rPr>
          <w:rFonts w:ascii="Arial" w:hAnsi="Arial" w:cs="Arial"/>
        </w:rPr>
        <w:t xml:space="preserve"> (WA)</w:t>
      </w:r>
      <w:r w:rsidR="00397A41" w:rsidRPr="00B37EF3">
        <w:rPr>
          <w:rFonts w:ascii="Arial" w:hAnsi="Arial" w:cs="Arial"/>
        </w:rPr>
        <w:t xml:space="preserve">. </w:t>
      </w:r>
      <w:r w:rsidR="0001122A" w:rsidRPr="00B37EF3">
        <w:rPr>
          <w:rFonts w:ascii="Arial" w:hAnsi="Arial" w:cs="Arial"/>
        </w:rPr>
        <w:t>T</w:t>
      </w:r>
      <w:r w:rsidR="00322EC5" w:rsidRPr="00B37EF3">
        <w:rPr>
          <w:rFonts w:ascii="Arial" w:hAnsi="Arial" w:cs="Arial"/>
        </w:rPr>
        <w:t>here is an expectation that the</w:t>
      </w:r>
      <w:r w:rsidR="0001122A" w:rsidRPr="00B37EF3">
        <w:rPr>
          <w:rFonts w:ascii="Arial" w:hAnsi="Arial" w:cs="Arial"/>
        </w:rPr>
        <w:t xml:space="preserve"> ambient air quality </w:t>
      </w:r>
      <w:r w:rsidR="00856BEB" w:rsidRPr="00B37EF3">
        <w:rPr>
          <w:rFonts w:ascii="Arial" w:hAnsi="Arial" w:cs="Arial"/>
        </w:rPr>
        <w:t>criteria (</w:t>
      </w:r>
      <w:r w:rsidR="009334F4" w:rsidRPr="00B37EF3">
        <w:rPr>
          <w:rFonts w:ascii="Arial" w:hAnsi="Arial" w:cs="Arial"/>
        </w:rPr>
        <w:t>e.g.</w:t>
      </w:r>
      <w:r w:rsidR="00856BEB" w:rsidRPr="00B37EF3">
        <w:rPr>
          <w:rFonts w:ascii="Arial" w:hAnsi="Arial" w:cs="Arial"/>
        </w:rPr>
        <w:t xml:space="preserve"> </w:t>
      </w:r>
      <w:r w:rsidR="00EF24F8" w:rsidRPr="00B37EF3">
        <w:rPr>
          <w:rFonts w:ascii="Arial" w:hAnsi="Arial" w:cs="Arial"/>
        </w:rPr>
        <w:t>AAQ NEPM</w:t>
      </w:r>
      <w:r w:rsidR="00322EC5" w:rsidRPr="00B37EF3">
        <w:rPr>
          <w:rFonts w:ascii="Arial" w:hAnsi="Arial" w:cs="Arial"/>
        </w:rPr>
        <w:t>) will be achieved at all existing or likely future off-site sensitive re</w:t>
      </w:r>
      <w:r w:rsidR="0001122A" w:rsidRPr="00B37EF3">
        <w:rPr>
          <w:rFonts w:ascii="Arial" w:hAnsi="Arial" w:cs="Arial"/>
        </w:rPr>
        <w:t>ceptors</w:t>
      </w:r>
      <w:r w:rsidR="00322EC5" w:rsidRPr="00B37EF3">
        <w:rPr>
          <w:rFonts w:ascii="Arial" w:hAnsi="Arial" w:cs="Arial"/>
        </w:rPr>
        <w:t>. For the pur</w:t>
      </w:r>
      <w:r w:rsidR="00856BEB" w:rsidRPr="00B37EF3">
        <w:rPr>
          <w:rFonts w:ascii="Arial" w:hAnsi="Arial" w:cs="Arial"/>
        </w:rPr>
        <w:t>poses of air quality assessment</w:t>
      </w:r>
      <w:r w:rsidR="00322EC5" w:rsidRPr="00B37EF3">
        <w:rPr>
          <w:rFonts w:ascii="Arial" w:hAnsi="Arial" w:cs="Arial"/>
        </w:rPr>
        <w:t>, a ‘</w:t>
      </w:r>
      <w:r w:rsidR="00322EC5" w:rsidRPr="00B37EF3">
        <w:rPr>
          <w:rFonts w:ascii="Arial" w:hAnsi="Arial" w:cs="Arial"/>
          <w:bCs/>
        </w:rPr>
        <w:t>sensitive receptor’</w:t>
      </w:r>
      <w:r w:rsidR="00322EC5" w:rsidRPr="00B37EF3">
        <w:rPr>
          <w:rFonts w:ascii="Arial" w:hAnsi="Arial" w:cs="Arial"/>
        </w:rPr>
        <w:t xml:space="preserve"> means a location where people are likely to reside or congregate; this may include a dwelling, school, hospital, nursing home, child care facility or public recreation area or land zoned residential that is either developed or undeveloped. Locations of cultural or environmental significance, including ‘environmentally sensitive areas’ declared under the Act, may also be recognised as sensitive rec</w:t>
      </w:r>
      <w:r w:rsidR="00856BEB" w:rsidRPr="00B37EF3">
        <w:rPr>
          <w:rFonts w:ascii="Arial" w:hAnsi="Arial" w:cs="Arial"/>
        </w:rPr>
        <w:t>eptors and determined on a case-by-</w:t>
      </w:r>
      <w:r w:rsidR="00322EC5" w:rsidRPr="00B37EF3">
        <w:rPr>
          <w:rFonts w:ascii="Arial" w:hAnsi="Arial" w:cs="Arial"/>
        </w:rPr>
        <w:t>case basis. In exceptional circumstances, the Department of Environment Regulation or the Department of Health may recommend an alternative ambient air quality guideline be applied in ambient air quality assessments that</w:t>
      </w:r>
      <w:r w:rsidR="00856BEB" w:rsidRPr="00B37EF3">
        <w:rPr>
          <w:rFonts w:ascii="Arial" w:hAnsi="Arial" w:cs="Arial"/>
        </w:rPr>
        <w:t xml:space="preserve"> are not consistent with the </w:t>
      </w:r>
      <w:r w:rsidR="00EF24F8" w:rsidRPr="00B37EF3">
        <w:rPr>
          <w:rFonts w:ascii="Arial" w:hAnsi="Arial" w:cs="Arial"/>
        </w:rPr>
        <w:t>AAQ NEPM</w:t>
      </w:r>
      <w:r w:rsidR="00322EC5" w:rsidRPr="00B37EF3">
        <w:rPr>
          <w:rFonts w:ascii="Arial" w:hAnsi="Arial" w:cs="Arial"/>
        </w:rPr>
        <w:t>.</w:t>
      </w:r>
    </w:p>
    <w:p w:rsidR="00397A41" w:rsidRPr="00B37EF3" w:rsidRDefault="00397A41" w:rsidP="00DB5D5F">
      <w:pPr>
        <w:pStyle w:val="Level4PB2"/>
        <w:rPr>
          <w:rFonts w:ascii="Arial" w:hAnsi="Arial" w:cs="Arial"/>
          <w:lang w:val="en-AU"/>
        </w:rPr>
      </w:pPr>
      <w:r w:rsidRPr="00B37EF3">
        <w:rPr>
          <w:rFonts w:ascii="Arial" w:hAnsi="Arial" w:cs="Arial"/>
          <w:lang w:val="en-AU"/>
        </w:rPr>
        <w:t>Other jurisdictions</w:t>
      </w:r>
      <w:r w:rsidR="00BC519C" w:rsidRPr="00B37EF3">
        <w:rPr>
          <w:rFonts w:ascii="Arial" w:hAnsi="Arial" w:cs="Arial"/>
          <w:lang w:val="en-AU"/>
        </w:rPr>
        <w:t xml:space="preserve"> (Tasmania, Northern Territory and A</w:t>
      </w:r>
      <w:r w:rsidR="002D2B0C" w:rsidRPr="00B37EF3">
        <w:rPr>
          <w:rFonts w:ascii="Arial" w:hAnsi="Arial" w:cs="Arial"/>
          <w:lang w:val="en-AU"/>
        </w:rPr>
        <w:t>ustralian Capital Territory (A</w:t>
      </w:r>
      <w:r w:rsidR="00BC519C" w:rsidRPr="00B37EF3">
        <w:rPr>
          <w:rFonts w:ascii="Arial" w:hAnsi="Arial" w:cs="Arial"/>
          <w:lang w:val="en-AU"/>
        </w:rPr>
        <w:t>CT</w:t>
      </w:r>
      <w:r w:rsidR="002D2B0C" w:rsidRPr="00B37EF3">
        <w:rPr>
          <w:rFonts w:ascii="Arial" w:hAnsi="Arial" w:cs="Arial"/>
          <w:lang w:val="en-AU"/>
        </w:rPr>
        <w:t>)</w:t>
      </w:r>
      <w:r w:rsidR="00BC519C" w:rsidRPr="00B37EF3">
        <w:rPr>
          <w:rFonts w:ascii="Arial" w:hAnsi="Arial" w:cs="Arial"/>
          <w:lang w:val="en-AU"/>
        </w:rPr>
        <w:t>)</w:t>
      </w:r>
    </w:p>
    <w:p w:rsidR="0030304C" w:rsidRPr="00B37EF3" w:rsidRDefault="0030304C" w:rsidP="00810588">
      <w:pPr>
        <w:spacing w:after="180"/>
        <w:rPr>
          <w:rFonts w:ascii="Arial" w:hAnsi="Arial" w:cs="Arial"/>
        </w:rPr>
      </w:pPr>
      <w:r w:rsidRPr="00B37EF3">
        <w:rPr>
          <w:rFonts w:ascii="Arial" w:hAnsi="Arial" w:cs="Arial"/>
        </w:rPr>
        <w:t xml:space="preserve">In Tasmania, state and local governments control emissions </w:t>
      </w:r>
      <w:r w:rsidR="007F0971" w:rsidRPr="00B37EF3">
        <w:rPr>
          <w:rFonts w:ascii="Arial" w:hAnsi="Arial" w:cs="Arial"/>
        </w:rPr>
        <w:t xml:space="preserve">from </w:t>
      </w:r>
      <w:r w:rsidRPr="00B37EF3">
        <w:rPr>
          <w:rFonts w:ascii="Arial" w:hAnsi="Arial" w:cs="Arial"/>
        </w:rPr>
        <w:t xml:space="preserve">industrial activities through permits and environment protection notices. Currently, emissions from industries are regulated under the general provisions of the </w:t>
      </w:r>
      <w:r w:rsidRPr="00B37EF3">
        <w:rPr>
          <w:rFonts w:ascii="Arial" w:hAnsi="Arial" w:cs="Arial"/>
          <w:i/>
        </w:rPr>
        <w:t>Environmental Management and Pollution Control Act 1994</w:t>
      </w:r>
      <w:r w:rsidR="007F0971" w:rsidRPr="00B37EF3">
        <w:rPr>
          <w:rFonts w:ascii="Arial" w:hAnsi="Arial" w:cs="Arial"/>
        </w:rPr>
        <w:t xml:space="preserve"> (</w:t>
      </w:r>
      <w:proofErr w:type="gramStart"/>
      <w:r w:rsidR="007F0971" w:rsidRPr="00B37EF3">
        <w:rPr>
          <w:rFonts w:ascii="Arial" w:hAnsi="Arial" w:cs="Arial"/>
        </w:rPr>
        <w:t>Tas</w:t>
      </w:r>
      <w:proofErr w:type="gramEnd"/>
      <w:r w:rsidR="007F0971" w:rsidRPr="00B37EF3">
        <w:rPr>
          <w:rFonts w:ascii="Arial" w:hAnsi="Arial" w:cs="Arial"/>
        </w:rPr>
        <w:t>)</w:t>
      </w:r>
      <w:r w:rsidRPr="00B37EF3">
        <w:rPr>
          <w:rFonts w:ascii="Arial" w:hAnsi="Arial" w:cs="Arial"/>
        </w:rPr>
        <w:t xml:space="preserve"> and the </w:t>
      </w:r>
      <w:r w:rsidRPr="00B37EF3">
        <w:rPr>
          <w:rFonts w:ascii="Arial" w:hAnsi="Arial" w:cs="Arial"/>
          <w:i/>
        </w:rPr>
        <w:t>Land Use Planning and Approvals Act 1993</w:t>
      </w:r>
      <w:r w:rsidR="007F0971" w:rsidRPr="00B37EF3">
        <w:rPr>
          <w:rFonts w:ascii="Arial" w:hAnsi="Arial" w:cs="Arial"/>
        </w:rPr>
        <w:t xml:space="preserve"> (Tas)</w:t>
      </w:r>
      <w:r w:rsidRPr="00B37EF3">
        <w:rPr>
          <w:rFonts w:ascii="Arial" w:hAnsi="Arial" w:cs="Arial"/>
        </w:rPr>
        <w:t xml:space="preserve">. Conditions are applied during the development assessment process, and compliance is </w:t>
      </w:r>
      <w:r w:rsidR="007F0971" w:rsidRPr="00B37EF3">
        <w:rPr>
          <w:rFonts w:ascii="Arial" w:hAnsi="Arial" w:cs="Arial"/>
        </w:rPr>
        <w:t xml:space="preserve">then </w:t>
      </w:r>
      <w:r w:rsidRPr="00B37EF3">
        <w:rPr>
          <w:rFonts w:ascii="Arial" w:hAnsi="Arial" w:cs="Arial"/>
        </w:rPr>
        <w:t xml:space="preserve">regulated by either the local council for smaller activities or by the EPA for larger activities. The </w:t>
      </w:r>
      <w:r w:rsidRPr="00B37EF3">
        <w:rPr>
          <w:rFonts w:ascii="Arial" w:hAnsi="Arial" w:cs="Arial"/>
          <w:i/>
        </w:rPr>
        <w:t>Environment Protection Policy (Air Quality) 2004</w:t>
      </w:r>
      <w:r w:rsidRPr="00B37EF3">
        <w:rPr>
          <w:rFonts w:ascii="Arial" w:hAnsi="Arial" w:cs="Arial"/>
        </w:rPr>
        <w:t xml:space="preserve"> (EPP) also provides a framework for the management and regulation of both point and diffuse sources. The EPP sets particle limits to apply at the boundary of an activity, which can be incorporated into the premise’s conditions. These limits are not necessarily those specified in the </w:t>
      </w:r>
      <w:r w:rsidR="00EF24F8" w:rsidRPr="00B37EF3">
        <w:rPr>
          <w:rFonts w:ascii="Arial" w:hAnsi="Arial" w:cs="Arial"/>
        </w:rPr>
        <w:t>AAQ NEPM</w:t>
      </w:r>
      <w:r w:rsidR="007F0971" w:rsidRPr="00B37EF3">
        <w:rPr>
          <w:rFonts w:ascii="Arial" w:hAnsi="Arial" w:cs="Arial"/>
        </w:rPr>
        <w:t>;</w:t>
      </w:r>
      <w:r w:rsidRPr="00B37EF3">
        <w:rPr>
          <w:rFonts w:ascii="Arial" w:hAnsi="Arial" w:cs="Arial"/>
        </w:rPr>
        <w:t xml:space="preserve"> </w:t>
      </w:r>
      <w:r w:rsidR="007F0971" w:rsidRPr="00B37EF3">
        <w:rPr>
          <w:rFonts w:ascii="Arial" w:hAnsi="Arial" w:cs="Arial"/>
        </w:rPr>
        <w:t>h</w:t>
      </w:r>
      <w:r w:rsidRPr="00B37EF3">
        <w:rPr>
          <w:rFonts w:ascii="Arial" w:hAnsi="Arial" w:cs="Arial"/>
        </w:rPr>
        <w:t xml:space="preserve">owever, the </w:t>
      </w:r>
      <w:r w:rsidR="00EF24F8" w:rsidRPr="00B37EF3">
        <w:rPr>
          <w:rFonts w:ascii="Arial" w:hAnsi="Arial" w:cs="Arial"/>
        </w:rPr>
        <w:t>AAQ NEPM</w:t>
      </w:r>
      <w:r w:rsidRPr="00B37EF3">
        <w:rPr>
          <w:rFonts w:ascii="Arial" w:hAnsi="Arial" w:cs="Arial"/>
        </w:rPr>
        <w:t xml:space="preserve"> standards are applied during the setting of permit conditions by reference to the standards being met at the nearest sensitive receptor, which may or may not be at the boundary.</w:t>
      </w:r>
    </w:p>
    <w:p w:rsidR="006B7F08" w:rsidRPr="00C66A43" w:rsidRDefault="006B7F08" w:rsidP="00810588">
      <w:pPr>
        <w:spacing w:after="180"/>
        <w:rPr>
          <w:rFonts w:ascii="Arial" w:hAnsi="Arial" w:cs="Arial"/>
        </w:rPr>
      </w:pPr>
      <w:r w:rsidRPr="00B37EF3">
        <w:rPr>
          <w:rFonts w:ascii="Arial" w:hAnsi="Arial" w:cs="Arial"/>
        </w:rPr>
        <w:t xml:space="preserve">In the Northern Territory the </w:t>
      </w:r>
      <w:r w:rsidR="00EF24F8" w:rsidRPr="00B37EF3">
        <w:rPr>
          <w:rFonts w:ascii="Arial" w:hAnsi="Arial" w:cs="Arial"/>
        </w:rPr>
        <w:t>AAQ NEPM</w:t>
      </w:r>
      <w:r w:rsidRPr="00B37EF3">
        <w:rPr>
          <w:rFonts w:ascii="Arial" w:hAnsi="Arial" w:cs="Arial"/>
        </w:rPr>
        <w:t xml:space="preserve"> criteria are typically applied, although there is no formal recognition of the </w:t>
      </w:r>
      <w:r w:rsidR="00EF24F8" w:rsidRPr="00B37EF3">
        <w:rPr>
          <w:rFonts w:ascii="Arial" w:hAnsi="Arial" w:cs="Arial"/>
        </w:rPr>
        <w:t>AAQ NEPM</w:t>
      </w:r>
      <w:r w:rsidRPr="00B37EF3">
        <w:rPr>
          <w:rFonts w:ascii="Arial" w:hAnsi="Arial" w:cs="Arial"/>
        </w:rPr>
        <w:t xml:space="preserve"> standards in Northern Territory regulatory instruments.</w:t>
      </w:r>
    </w:p>
    <w:p w:rsidR="006B7F08" w:rsidRPr="00B37EF3" w:rsidRDefault="00A525F5" w:rsidP="00E33B69">
      <w:pPr>
        <w:spacing w:after="300"/>
        <w:rPr>
          <w:rFonts w:ascii="Arial" w:hAnsi="Arial" w:cs="Arial"/>
        </w:rPr>
      </w:pPr>
      <w:r w:rsidRPr="00B37EF3">
        <w:rPr>
          <w:rFonts w:ascii="Arial" w:hAnsi="Arial" w:cs="Arial"/>
        </w:rPr>
        <w:t>T</w:t>
      </w:r>
      <w:r w:rsidR="00BA6A52" w:rsidRPr="00B37EF3">
        <w:rPr>
          <w:rFonts w:ascii="Arial" w:hAnsi="Arial" w:cs="Arial"/>
        </w:rPr>
        <w:t xml:space="preserve">he ACT does not formally reference the </w:t>
      </w:r>
      <w:r w:rsidR="00EF24F8" w:rsidRPr="00B37EF3">
        <w:rPr>
          <w:rFonts w:ascii="Arial" w:hAnsi="Arial" w:cs="Arial"/>
        </w:rPr>
        <w:t>AAQ NEPM</w:t>
      </w:r>
      <w:r w:rsidR="00BA6A52" w:rsidRPr="00B37EF3">
        <w:rPr>
          <w:rFonts w:ascii="Arial" w:hAnsi="Arial" w:cs="Arial"/>
        </w:rPr>
        <w:t xml:space="preserve"> standards. However,</w:t>
      </w:r>
      <w:r w:rsidRPr="00B37EF3">
        <w:rPr>
          <w:rFonts w:ascii="Arial" w:hAnsi="Arial" w:cs="Arial"/>
        </w:rPr>
        <w:t xml:space="preserve"> </w:t>
      </w:r>
      <w:r w:rsidR="00BA6A52" w:rsidRPr="00B37EF3">
        <w:rPr>
          <w:rFonts w:ascii="Arial" w:hAnsi="Arial" w:cs="Arial"/>
        </w:rPr>
        <w:t xml:space="preserve">it does use them in the planning approval and formal </w:t>
      </w:r>
      <w:r w:rsidR="00DB5C92" w:rsidRPr="00B37EF3">
        <w:rPr>
          <w:rFonts w:ascii="Arial" w:hAnsi="Arial" w:cs="Arial"/>
        </w:rPr>
        <w:t>E</w:t>
      </w:r>
      <w:r w:rsidR="004C7F57" w:rsidRPr="00B37EF3">
        <w:rPr>
          <w:rFonts w:ascii="Arial" w:hAnsi="Arial" w:cs="Arial"/>
        </w:rPr>
        <w:t xml:space="preserve">nvironmental </w:t>
      </w:r>
      <w:r w:rsidR="00DB5C92" w:rsidRPr="00B37EF3">
        <w:rPr>
          <w:rFonts w:ascii="Arial" w:hAnsi="Arial" w:cs="Arial"/>
        </w:rPr>
        <w:t>I</w:t>
      </w:r>
      <w:r w:rsidR="004C7F57" w:rsidRPr="00B37EF3">
        <w:rPr>
          <w:rFonts w:ascii="Arial" w:hAnsi="Arial" w:cs="Arial"/>
        </w:rPr>
        <w:t xml:space="preserve">mpact </w:t>
      </w:r>
      <w:r w:rsidR="00DB5C92" w:rsidRPr="00B37EF3">
        <w:rPr>
          <w:rFonts w:ascii="Arial" w:hAnsi="Arial" w:cs="Arial"/>
        </w:rPr>
        <w:t>A</w:t>
      </w:r>
      <w:r w:rsidR="0090265D" w:rsidRPr="00B37EF3">
        <w:rPr>
          <w:rFonts w:ascii="Arial" w:hAnsi="Arial" w:cs="Arial"/>
        </w:rPr>
        <w:t xml:space="preserve">ssessment </w:t>
      </w:r>
      <w:r w:rsidR="00BA6A52" w:rsidRPr="00B37EF3">
        <w:rPr>
          <w:rFonts w:ascii="Arial" w:hAnsi="Arial" w:cs="Arial"/>
        </w:rPr>
        <w:t>processes to ensure that they will be achieved.</w:t>
      </w:r>
      <w:r w:rsidR="004B4989" w:rsidRPr="00B37EF3">
        <w:rPr>
          <w:rFonts w:ascii="Arial" w:hAnsi="Arial" w:cs="Arial"/>
        </w:rPr>
        <w:t xml:space="preserve"> </w:t>
      </w:r>
      <w:r w:rsidR="00BA6A52" w:rsidRPr="00B37EF3">
        <w:rPr>
          <w:rFonts w:ascii="Arial" w:hAnsi="Arial" w:cs="Arial"/>
        </w:rPr>
        <w:t xml:space="preserve">In the absence of specific guidelines for </w:t>
      </w:r>
      <w:r w:rsidR="007F0971" w:rsidRPr="00B37EF3">
        <w:rPr>
          <w:rFonts w:ascii="Arial" w:hAnsi="Arial" w:cs="Arial"/>
        </w:rPr>
        <w:t xml:space="preserve">the </w:t>
      </w:r>
      <w:r w:rsidR="00BA6A52" w:rsidRPr="00B37EF3">
        <w:rPr>
          <w:rFonts w:ascii="Arial" w:hAnsi="Arial" w:cs="Arial"/>
        </w:rPr>
        <w:t xml:space="preserve">ACT, either the NSW </w:t>
      </w:r>
      <w:r w:rsidR="007F0971" w:rsidRPr="00B37EF3">
        <w:rPr>
          <w:rFonts w:ascii="Arial" w:hAnsi="Arial" w:cs="Arial"/>
        </w:rPr>
        <w:t>a</w:t>
      </w:r>
      <w:r w:rsidR="00BA6A52" w:rsidRPr="00B37EF3">
        <w:rPr>
          <w:rFonts w:ascii="Arial" w:hAnsi="Arial" w:cs="Arial"/>
        </w:rPr>
        <w:t xml:space="preserve">pproved </w:t>
      </w:r>
      <w:r w:rsidR="007F0971" w:rsidRPr="00B37EF3">
        <w:rPr>
          <w:rFonts w:ascii="Arial" w:hAnsi="Arial" w:cs="Arial"/>
        </w:rPr>
        <w:t>m</w:t>
      </w:r>
      <w:r w:rsidR="00BA6A52" w:rsidRPr="00B37EF3">
        <w:rPr>
          <w:rFonts w:ascii="Arial" w:hAnsi="Arial" w:cs="Arial"/>
        </w:rPr>
        <w:t>ethods are employed or the emission limits in the NSW Protection of the Environment Operations (Clean Air) Regulation 2010 are applied.</w:t>
      </w:r>
    </w:p>
    <w:p w:rsidR="006B7F08" w:rsidRPr="00B37EF3" w:rsidRDefault="006B7F08" w:rsidP="006B7F08">
      <w:pPr>
        <w:pStyle w:val="Heading4"/>
        <w:rPr>
          <w:rFonts w:ascii="Arial" w:hAnsi="Arial" w:cs="Arial"/>
        </w:rPr>
      </w:pPr>
      <w:r w:rsidRPr="00B37EF3">
        <w:rPr>
          <w:rFonts w:ascii="Arial" w:hAnsi="Arial" w:cs="Arial"/>
        </w:rPr>
        <w:t>Summary</w:t>
      </w:r>
    </w:p>
    <w:p w:rsidR="009F5044" w:rsidRPr="00B37EF3" w:rsidRDefault="009F5044" w:rsidP="0090265D">
      <w:pPr>
        <w:spacing w:after="360"/>
        <w:rPr>
          <w:rFonts w:ascii="Arial" w:hAnsi="Arial" w:cs="Arial"/>
        </w:rPr>
      </w:pPr>
      <w:r w:rsidRPr="00B37EF3">
        <w:rPr>
          <w:rFonts w:ascii="Arial" w:hAnsi="Arial" w:cs="Arial"/>
        </w:rPr>
        <w:t xml:space="preserve">The </w:t>
      </w:r>
      <w:r w:rsidR="00EF24F8" w:rsidRPr="00B37EF3">
        <w:rPr>
          <w:rFonts w:ascii="Arial" w:hAnsi="Arial" w:cs="Arial"/>
        </w:rPr>
        <w:t>AAQ NEPM</w:t>
      </w:r>
      <w:r w:rsidR="00374349" w:rsidRPr="00B37EF3">
        <w:rPr>
          <w:rFonts w:ascii="Arial" w:hAnsi="Arial" w:cs="Arial"/>
        </w:rPr>
        <w:t xml:space="preserve"> standards are often</w:t>
      </w:r>
      <w:r w:rsidRPr="00B37EF3">
        <w:rPr>
          <w:rFonts w:ascii="Arial" w:hAnsi="Arial" w:cs="Arial"/>
        </w:rPr>
        <w:t xml:space="preserve"> used in a variety of locations and contexts, some of which are inconsistent with the intention of the </w:t>
      </w:r>
      <w:r w:rsidR="00EF24F8" w:rsidRPr="00B37EF3">
        <w:rPr>
          <w:rFonts w:ascii="Arial" w:hAnsi="Arial" w:cs="Arial"/>
        </w:rPr>
        <w:t>AAQ NEPM</w:t>
      </w:r>
      <w:r w:rsidRPr="00B37EF3">
        <w:rPr>
          <w:rFonts w:ascii="Arial" w:hAnsi="Arial" w:cs="Arial"/>
        </w:rPr>
        <w:t xml:space="preserve">. The </w:t>
      </w:r>
      <w:r w:rsidR="00EF24F8" w:rsidRPr="00B37EF3">
        <w:rPr>
          <w:rFonts w:ascii="Arial" w:hAnsi="Arial" w:cs="Arial"/>
        </w:rPr>
        <w:t>AAQ NEPM</w:t>
      </w:r>
      <w:r w:rsidRPr="00B37EF3">
        <w:rPr>
          <w:rFonts w:ascii="Arial" w:hAnsi="Arial" w:cs="Arial"/>
        </w:rPr>
        <w:t xml:space="preserve"> standards are designed for use at locations </w:t>
      </w:r>
      <w:r w:rsidR="00190FC0" w:rsidRPr="00B37EF3">
        <w:rPr>
          <w:rFonts w:ascii="Arial" w:hAnsi="Arial" w:cs="Arial"/>
        </w:rPr>
        <w:t>representative of overall air quality in those areas</w:t>
      </w:r>
      <w:r w:rsidR="007F0971" w:rsidRPr="00B37EF3">
        <w:rPr>
          <w:rFonts w:ascii="Arial" w:hAnsi="Arial" w:cs="Arial"/>
        </w:rPr>
        <w:t>;</w:t>
      </w:r>
      <w:r w:rsidR="00190FC0" w:rsidRPr="00B37EF3">
        <w:rPr>
          <w:rFonts w:ascii="Arial" w:hAnsi="Arial" w:cs="Arial"/>
        </w:rPr>
        <w:t xml:space="preserve"> </w:t>
      </w:r>
      <w:r w:rsidR="007F0971" w:rsidRPr="00B37EF3">
        <w:rPr>
          <w:rFonts w:ascii="Arial" w:hAnsi="Arial" w:cs="Arial"/>
        </w:rPr>
        <w:t>h</w:t>
      </w:r>
      <w:r w:rsidR="00190FC0" w:rsidRPr="00B37EF3">
        <w:rPr>
          <w:rFonts w:ascii="Arial" w:hAnsi="Arial" w:cs="Arial"/>
        </w:rPr>
        <w:t xml:space="preserve">owever, they </w:t>
      </w:r>
      <w:r w:rsidRPr="00B37EF3">
        <w:rPr>
          <w:rFonts w:ascii="Arial" w:hAnsi="Arial" w:cs="Arial"/>
        </w:rPr>
        <w:t xml:space="preserve">are </w:t>
      </w:r>
      <w:r w:rsidR="00190FC0" w:rsidRPr="00B37EF3">
        <w:rPr>
          <w:rFonts w:ascii="Arial" w:hAnsi="Arial" w:cs="Arial"/>
        </w:rPr>
        <w:t xml:space="preserve">also </w:t>
      </w:r>
      <w:r w:rsidRPr="00B37EF3">
        <w:rPr>
          <w:rFonts w:ascii="Arial" w:hAnsi="Arial" w:cs="Arial"/>
        </w:rPr>
        <w:t>sometimes applied at other locations as part of environmental assessment (for example, at the boundary of an industrial facility</w:t>
      </w:r>
      <w:r w:rsidR="00DE0603" w:rsidRPr="00B37EF3">
        <w:rPr>
          <w:rFonts w:ascii="Arial" w:hAnsi="Arial" w:cs="Arial"/>
        </w:rPr>
        <w:t>,</w:t>
      </w:r>
      <w:r w:rsidR="00190FC0" w:rsidRPr="00B37EF3">
        <w:rPr>
          <w:rFonts w:ascii="Arial" w:hAnsi="Arial" w:cs="Arial"/>
        </w:rPr>
        <w:t xml:space="preserve"> i.e. a ‘hot spot’)</w:t>
      </w:r>
      <w:r w:rsidR="00557DB1" w:rsidRPr="00B37EF3">
        <w:rPr>
          <w:rFonts w:ascii="Arial" w:hAnsi="Arial" w:cs="Arial"/>
        </w:rPr>
        <w:t xml:space="preserve">. </w:t>
      </w:r>
      <w:r w:rsidR="006421F5" w:rsidRPr="00B37EF3">
        <w:rPr>
          <w:rFonts w:ascii="Arial" w:hAnsi="Arial" w:cs="Arial"/>
        </w:rPr>
        <w:t>S</w:t>
      </w:r>
      <w:r w:rsidR="00557DB1" w:rsidRPr="00B37EF3">
        <w:rPr>
          <w:rFonts w:ascii="Arial" w:hAnsi="Arial" w:cs="Arial"/>
        </w:rPr>
        <w:t>ome jurisdictions are considering alternatives to this approach (</w:t>
      </w:r>
      <w:r w:rsidR="009334F4" w:rsidRPr="00B37EF3">
        <w:rPr>
          <w:rFonts w:ascii="Arial" w:hAnsi="Arial" w:cs="Arial"/>
        </w:rPr>
        <w:t>e.g.</w:t>
      </w:r>
      <w:r w:rsidR="00557DB1" w:rsidRPr="00B37EF3">
        <w:rPr>
          <w:rFonts w:ascii="Arial" w:hAnsi="Arial" w:cs="Arial"/>
        </w:rPr>
        <w:t xml:space="preserve"> risk-based guidelines for PM in NSW).</w:t>
      </w:r>
    </w:p>
    <w:p w:rsidR="00212AF4" w:rsidRPr="00B37EF3" w:rsidRDefault="00212AF4" w:rsidP="00B37EF3">
      <w:pPr>
        <w:pStyle w:val="Heading3"/>
        <w:tabs>
          <w:tab w:val="clear" w:pos="709"/>
          <w:tab w:val="num" w:pos="0"/>
        </w:tabs>
        <w:rPr>
          <w:rFonts w:ascii="Arial" w:hAnsi="Arial"/>
        </w:rPr>
      </w:pPr>
      <w:bookmarkStart w:id="46" w:name="_Toc394011097"/>
      <w:bookmarkStart w:id="47" w:name="_Ref364927784"/>
      <w:bookmarkStart w:id="48" w:name="_Ref365901531"/>
      <w:bookmarkStart w:id="49" w:name="_Ref368994429"/>
      <w:r w:rsidRPr="00B37EF3">
        <w:rPr>
          <w:rFonts w:ascii="Arial" w:hAnsi="Arial"/>
        </w:rPr>
        <w:t>National P</w:t>
      </w:r>
      <w:r w:rsidR="00C14877" w:rsidRPr="00B37EF3">
        <w:rPr>
          <w:rFonts w:ascii="Arial" w:hAnsi="Arial"/>
        </w:rPr>
        <w:t>olicy Initiatives</w:t>
      </w:r>
      <w:bookmarkEnd w:id="46"/>
      <w:r w:rsidR="00C14877" w:rsidRPr="00B37EF3">
        <w:rPr>
          <w:rFonts w:ascii="Arial" w:hAnsi="Arial"/>
        </w:rPr>
        <w:t xml:space="preserve"> </w:t>
      </w:r>
      <w:bookmarkEnd w:id="47"/>
      <w:bookmarkEnd w:id="48"/>
      <w:bookmarkEnd w:id="49"/>
    </w:p>
    <w:p w:rsidR="00C14877" w:rsidRPr="00B37EF3" w:rsidRDefault="009965D6" w:rsidP="006574FD">
      <w:pPr>
        <w:spacing w:after="180"/>
        <w:rPr>
          <w:rFonts w:ascii="Arial" w:hAnsi="Arial" w:cs="Arial"/>
        </w:rPr>
      </w:pPr>
      <w:r w:rsidRPr="00B37EF3">
        <w:rPr>
          <w:rFonts w:ascii="Arial" w:hAnsi="Arial" w:cs="Arial"/>
        </w:rPr>
        <w:t>In 2010 the then</w:t>
      </w:r>
      <w:r w:rsidR="00DE0603" w:rsidRPr="00B37EF3">
        <w:rPr>
          <w:rFonts w:ascii="Arial" w:hAnsi="Arial" w:cs="Arial"/>
        </w:rPr>
        <w:t xml:space="preserve"> </w:t>
      </w:r>
      <w:r w:rsidRPr="00B37EF3">
        <w:rPr>
          <w:rFonts w:ascii="Arial" w:hAnsi="Arial" w:cs="Arial"/>
        </w:rPr>
        <w:t>Environment Protection and Heritage Council (E</w:t>
      </w:r>
      <w:r w:rsidR="002D2B0C" w:rsidRPr="00B37EF3">
        <w:rPr>
          <w:rFonts w:ascii="Arial" w:hAnsi="Arial" w:cs="Arial"/>
        </w:rPr>
        <w:t>PH</w:t>
      </w:r>
      <w:r w:rsidRPr="00B37EF3">
        <w:rPr>
          <w:rFonts w:ascii="Arial" w:hAnsi="Arial" w:cs="Arial"/>
        </w:rPr>
        <w:t xml:space="preserve">C) recommended </w:t>
      </w:r>
      <w:r w:rsidR="00A04F7F" w:rsidRPr="00B37EF3">
        <w:rPr>
          <w:rFonts w:ascii="Arial" w:hAnsi="Arial" w:cs="Arial"/>
        </w:rPr>
        <w:t>a strategic approach to</w:t>
      </w:r>
      <w:r w:rsidRPr="00B37EF3">
        <w:rPr>
          <w:rFonts w:ascii="Arial" w:hAnsi="Arial" w:cs="Arial"/>
        </w:rPr>
        <w:t xml:space="preserve"> air quality management in Australia. In 2011 a number of further steps were taken towards improving the regulati</w:t>
      </w:r>
      <w:r w:rsidR="00A04F7F" w:rsidRPr="00B37EF3">
        <w:rPr>
          <w:rFonts w:ascii="Arial" w:hAnsi="Arial" w:cs="Arial"/>
        </w:rPr>
        <w:t xml:space="preserve">on of air pollution, including the </w:t>
      </w:r>
      <w:r w:rsidR="00EF24F8" w:rsidRPr="00B37EF3">
        <w:rPr>
          <w:rFonts w:ascii="Arial" w:hAnsi="Arial" w:cs="Arial"/>
        </w:rPr>
        <w:t>AAQ NEPM</w:t>
      </w:r>
      <w:r w:rsidR="00A04F7F" w:rsidRPr="00B37EF3">
        <w:rPr>
          <w:rFonts w:ascii="Arial" w:hAnsi="Arial" w:cs="Arial"/>
        </w:rPr>
        <w:t xml:space="preserve"> review </w:t>
      </w:r>
      <w:r w:rsidR="00A04F7F" w:rsidRPr="00B37EF3">
        <w:rPr>
          <w:rFonts w:ascii="Arial" w:hAnsi="Arial" w:cs="Arial"/>
          <w:b/>
        </w:rPr>
        <w:t>(NEPC 2011a)</w:t>
      </w:r>
      <w:r w:rsidR="00A04F7F" w:rsidRPr="00B37EF3">
        <w:rPr>
          <w:rFonts w:ascii="Arial" w:hAnsi="Arial" w:cs="Arial"/>
        </w:rPr>
        <w:t xml:space="preserve">, the publication of </w:t>
      </w:r>
      <w:r w:rsidRPr="00B37EF3">
        <w:rPr>
          <w:rFonts w:ascii="Arial" w:hAnsi="Arial" w:cs="Arial"/>
        </w:rPr>
        <w:t>a methodology</w:t>
      </w:r>
      <w:r w:rsidR="00A04F7F" w:rsidRPr="00B37EF3">
        <w:rPr>
          <w:rFonts w:ascii="Arial" w:hAnsi="Arial" w:cs="Arial"/>
        </w:rPr>
        <w:t xml:space="preserve"> for the setting of </w:t>
      </w:r>
      <w:r w:rsidRPr="00B37EF3">
        <w:rPr>
          <w:rFonts w:ascii="Arial" w:hAnsi="Arial" w:cs="Arial"/>
        </w:rPr>
        <w:t xml:space="preserve">standards </w:t>
      </w:r>
      <w:r w:rsidRPr="00B37EF3">
        <w:rPr>
          <w:rFonts w:ascii="Arial" w:hAnsi="Arial" w:cs="Arial"/>
          <w:b/>
        </w:rPr>
        <w:t>(NEPC 2011b)</w:t>
      </w:r>
      <w:r w:rsidR="00A04F7F" w:rsidRPr="00B37EF3">
        <w:rPr>
          <w:rFonts w:ascii="Arial" w:hAnsi="Arial" w:cs="Arial"/>
        </w:rPr>
        <w:t>, and the identification</w:t>
      </w:r>
      <w:r w:rsidR="00B7478E" w:rsidRPr="00B37EF3">
        <w:rPr>
          <w:rFonts w:ascii="Arial" w:hAnsi="Arial" w:cs="Arial"/>
        </w:rPr>
        <w:t xml:space="preserve"> </w:t>
      </w:r>
      <w:r w:rsidR="00A04F7F" w:rsidRPr="00B37EF3">
        <w:rPr>
          <w:rFonts w:ascii="Arial" w:hAnsi="Arial" w:cs="Arial"/>
        </w:rPr>
        <w:t xml:space="preserve">of </w:t>
      </w:r>
      <w:r w:rsidR="002C350C" w:rsidRPr="00B37EF3">
        <w:rPr>
          <w:rFonts w:ascii="Arial" w:hAnsi="Arial" w:cs="Arial"/>
        </w:rPr>
        <w:t>air quality as a</w:t>
      </w:r>
      <w:r w:rsidR="00B7478E" w:rsidRPr="00B37EF3">
        <w:rPr>
          <w:rFonts w:ascii="Arial" w:hAnsi="Arial" w:cs="Arial"/>
        </w:rPr>
        <w:t xml:space="preserve"> </w:t>
      </w:r>
      <w:r w:rsidR="00A04F7F" w:rsidRPr="00B37EF3">
        <w:rPr>
          <w:rFonts w:ascii="Arial" w:hAnsi="Arial" w:cs="Arial"/>
        </w:rPr>
        <w:t>‘</w:t>
      </w:r>
      <w:r w:rsidR="002C350C" w:rsidRPr="00B37EF3">
        <w:rPr>
          <w:rFonts w:ascii="Arial" w:hAnsi="Arial" w:cs="Arial"/>
        </w:rPr>
        <w:t>Priority Issue of National Significance</w:t>
      </w:r>
      <w:r w:rsidR="00A04F7F" w:rsidRPr="00B37EF3">
        <w:rPr>
          <w:rFonts w:ascii="Arial" w:hAnsi="Arial" w:cs="Arial"/>
        </w:rPr>
        <w:t>’</w:t>
      </w:r>
      <w:r w:rsidRPr="00B37EF3">
        <w:rPr>
          <w:rFonts w:ascii="Arial" w:hAnsi="Arial" w:cs="Arial"/>
        </w:rPr>
        <w:t xml:space="preserve"> </w:t>
      </w:r>
      <w:r w:rsidRPr="00B37EF3">
        <w:rPr>
          <w:rFonts w:ascii="Arial" w:hAnsi="Arial" w:cs="Arial"/>
          <w:b/>
        </w:rPr>
        <w:t>(COAG 2012)</w:t>
      </w:r>
      <w:r w:rsidR="00A04F7F" w:rsidRPr="00B37EF3">
        <w:rPr>
          <w:rFonts w:ascii="Arial" w:hAnsi="Arial" w:cs="Arial"/>
        </w:rPr>
        <w:t>.</w:t>
      </w:r>
      <w:r w:rsidR="003C0575" w:rsidRPr="00B37EF3">
        <w:rPr>
          <w:rFonts w:ascii="Arial" w:hAnsi="Arial" w:cs="Arial"/>
        </w:rPr>
        <w:t xml:space="preserve"> </w:t>
      </w:r>
      <w:r w:rsidR="00C14877" w:rsidRPr="00B37EF3">
        <w:rPr>
          <w:rFonts w:ascii="Arial" w:hAnsi="Arial" w:cs="Arial"/>
        </w:rPr>
        <w:t xml:space="preserve">In 2012 COAG agreed that the review of the AAQ NEPM particle standards </w:t>
      </w:r>
      <w:r w:rsidR="00E05EB3" w:rsidRPr="00B37EF3">
        <w:rPr>
          <w:rFonts w:ascii="Arial" w:hAnsi="Arial" w:cs="Arial"/>
        </w:rPr>
        <w:t xml:space="preserve">be </w:t>
      </w:r>
      <w:r w:rsidR="00C14877" w:rsidRPr="00B37EF3">
        <w:rPr>
          <w:rFonts w:ascii="Arial" w:hAnsi="Arial" w:cs="Arial"/>
        </w:rPr>
        <w:t xml:space="preserve">prioritised </w:t>
      </w:r>
      <w:r w:rsidR="00E05EB3" w:rsidRPr="00B37EF3">
        <w:rPr>
          <w:rFonts w:ascii="Arial" w:hAnsi="Arial" w:cs="Arial"/>
        </w:rPr>
        <w:t xml:space="preserve">and staged </w:t>
      </w:r>
      <w:r w:rsidR="00C14877" w:rsidRPr="00B37EF3">
        <w:rPr>
          <w:rFonts w:ascii="Arial" w:hAnsi="Arial" w:cs="Arial"/>
        </w:rPr>
        <w:t>for the following reasons:</w:t>
      </w:r>
    </w:p>
    <w:p w:rsidR="00C14877" w:rsidRPr="00B37EF3" w:rsidRDefault="00C14877" w:rsidP="00C14877">
      <w:pPr>
        <w:pStyle w:val="BulletArrows"/>
        <w:spacing w:after="140"/>
        <w:rPr>
          <w:rFonts w:ascii="Arial" w:hAnsi="Arial"/>
        </w:rPr>
      </w:pPr>
      <w:r w:rsidRPr="00B37EF3">
        <w:rPr>
          <w:rFonts w:ascii="Arial" w:hAnsi="Arial"/>
        </w:rPr>
        <w:t>There is strong evidence that exposure to PM has adverse effects on human health, and a lack of e</w:t>
      </w:r>
      <w:r w:rsidRPr="00B37EF3">
        <w:rPr>
          <w:rFonts w:ascii="Arial" w:hAnsi="Arial"/>
          <w:color w:val="auto"/>
        </w:rPr>
        <w:t xml:space="preserve">vidence for a concentration threshold below which health effects do not occur. This means that there are likely to be adverse health effects at the concentrations currently experienced in Australian cities, even where these are below the current standards and goals (see </w:t>
      </w:r>
      <w:r w:rsidRPr="00B37EF3">
        <w:rPr>
          <w:rFonts w:ascii="Arial" w:hAnsi="Arial"/>
          <w:b/>
          <w:color w:val="auto"/>
        </w:rPr>
        <w:t>Table ES1</w:t>
      </w:r>
      <w:r w:rsidRPr="00B37EF3">
        <w:rPr>
          <w:rFonts w:ascii="Arial" w:hAnsi="Arial"/>
          <w:color w:val="auto"/>
        </w:rPr>
        <w:t>).</w:t>
      </w:r>
    </w:p>
    <w:p w:rsidR="00C14877" w:rsidRPr="00B37EF3" w:rsidRDefault="00C14877" w:rsidP="00C14877">
      <w:pPr>
        <w:pStyle w:val="BulletArrows"/>
        <w:spacing w:after="140"/>
        <w:rPr>
          <w:rFonts w:ascii="Arial" w:hAnsi="Arial"/>
        </w:rPr>
      </w:pPr>
      <w:r w:rsidRPr="00B37EF3">
        <w:rPr>
          <w:rFonts w:ascii="Arial" w:hAnsi="Arial"/>
        </w:rPr>
        <w:t>PM</w:t>
      </w:r>
      <w:r w:rsidRPr="00B37EF3">
        <w:rPr>
          <w:rFonts w:ascii="Arial" w:hAnsi="Arial"/>
          <w:vertAlign w:val="subscript"/>
        </w:rPr>
        <w:t>10</w:t>
      </w:r>
      <w:r w:rsidRPr="00B37EF3">
        <w:rPr>
          <w:rFonts w:ascii="Arial" w:hAnsi="Arial"/>
        </w:rPr>
        <w:t xml:space="preserve"> standards are exceeded in nearly all regions of Australia </w:t>
      </w:r>
      <w:r w:rsidRPr="00B37EF3">
        <w:rPr>
          <w:rFonts w:ascii="Arial" w:hAnsi="Arial"/>
          <w:b/>
        </w:rPr>
        <w:t>(DSEWPC 2011)</w:t>
      </w:r>
      <w:r w:rsidRPr="00B37EF3">
        <w:rPr>
          <w:rFonts w:ascii="Arial" w:hAnsi="Arial"/>
        </w:rPr>
        <w:t>; however, such exceedances can occur as a result of uncontrollable natural events.</w:t>
      </w:r>
    </w:p>
    <w:p w:rsidR="00C14877" w:rsidRPr="00B37EF3" w:rsidRDefault="00C14877" w:rsidP="00C14877">
      <w:pPr>
        <w:pStyle w:val="BulletArrows"/>
        <w:spacing w:after="140"/>
        <w:rPr>
          <w:rFonts w:ascii="Arial" w:hAnsi="Arial"/>
        </w:rPr>
      </w:pPr>
      <w:r w:rsidRPr="00B37EF3">
        <w:rPr>
          <w:rFonts w:ascii="Arial" w:hAnsi="Arial"/>
        </w:rPr>
        <w:lastRenderedPageBreak/>
        <w:t xml:space="preserve">The potential health benefits of reducing population exposure to PM – and the associated monetary savings for society – are larger than those for other air pollutants. </w:t>
      </w:r>
    </w:p>
    <w:p w:rsidR="00C14877" w:rsidRPr="00B37EF3" w:rsidRDefault="00C14877" w:rsidP="00C14877">
      <w:pPr>
        <w:pStyle w:val="BulletArrows"/>
        <w:spacing w:after="240"/>
        <w:rPr>
          <w:rFonts w:ascii="Arial" w:hAnsi="Arial"/>
        </w:rPr>
      </w:pPr>
      <w:r w:rsidRPr="00B37EF3">
        <w:rPr>
          <w:rFonts w:ascii="Arial" w:hAnsi="Arial"/>
        </w:rPr>
        <w:t xml:space="preserve">The range of cost-effective abatement policies and actions available for PM is larger than that for other pollutants. </w:t>
      </w:r>
    </w:p>
    <w:p w:rsidR="009965D6" w:rsidRPr="00B37EF3" w:rsidRDefault="003C0575" w:rsidP="001929E4">
      <w:pPr>
        <w:pStyle w:val="BulletCubes"/>
        <w:spacing w:before="0" w:after="180" w:line="276" w:lineRule="auto"/>
        <w:ind w:left="0" w:right="0" w:firstLine="0"/>
        <w:rPr>
          <w:rFonts w:ascii="Arial" w:hAnsi="Arial" w:cs="Arial"/>
          <w:color w:val="auto"/>
          <w:lang w:val="en-AU"/>
        </w:rPr>
      </w:pPr>
      <w:r w:rsidRPr="00B37EF3">
        <w:rPr>
          <w:rFonts w:ascii="Arial" w:hAnsi="Arial" w:cs="Arial"/>
          <w:lang w:val="en-AU"/>
        </w:rPr>
        <w:t>A</w:t>
      </w:r>
      <w:r w:rsidR="007D46F6" w:rsidRPr="00B37EF3">
        <w:rPr>
          <w:rFonts w:ascii="Arial" w:hAnsi="Arial" w:cs="Arial"/>
          <w:color w:val="auto"/>
          <w:lang w:val="en-AU"/>
        </w:rPr>
        <w:t xml:space="preserve">ctions under </w:t>
      </w:r>
      <w:r w:rsidRPr="00B37EF3">
        <w:rPr>
          <w:rFonts w:ascii="Arial" w:hAnsi="Arial" w:cs="Arial"/>
          <w:color w:val="auto"/>
          <w:lang w:val="en-AU"/>
        </w:rPr>
        <w:t xml:space="preserve">the </w:t>
      </w:r>
      <w:r w:rsidR="007D46F6" w:rsidRPr="00B37EF3">
        <w:rPr>
          <w:rFonts w:ascii="Arial" w:hAnsi="Arial" w:cs="Arial"/>
          <w:color w:val="auto"/>
          <w:lang w:val="en-AU"/>
        </w:rPr>
        <w:t>first stage</w:t>
      </w:r>
      <w:r w:rsidRPr="00B37EF3">
        <w:rPr>
          <w:rFonts w:ascii="Arial" w:hAnsi="Arial" w:cs="Arial"/>
          <w:color w:val="auto"/>
          <w:lang w:val="en-AU"/>
        </w:rPr>
        <w:t xml:space="preserve"> include</w:t>
      </w:r>
      <w:r w:rsidR="009965D6" w:rsidRPr="00B37EF3">
        <w:rPr>
          <w:rFonts w:ascii="Arial" w:hAnsi="Arial" w:cs="Arial"/>
          <w:color w:val="auto"/>
          <w:lang w:val="en-AU"/>
        </w:rPr>
        <w:t>:</w:t>
      </w:r>
    </w:p>
    <w:p w:rsidR="009965D6" w:rsidRPr="00B37EF3" w:rsidRDefault="00DE0603" w:rsidP="006E2DD0">
      <w:pPr>
        <w:pStyle w:val="BulletCubes"/>
        <w:numPr>
          <w:ilvl w:val="1"/>
          <w:numId w:val="40"/>
        </w:numPr>
        <w:tabs>
          <w:tab w:val="clear" w:pos="1440"/>
          <w:tab w:val="clear" w:pos="3060"/>
          <w:tab w:val="num" w:pos="567"/>
        </w:tabs>
        <w:spacing w:before="0" w:after="180" w:line="276" w:lineRule="auto"/>
        <w:ind w:left="709" w:right="0" w:hanging="425"/>
        <w:jc w:val="left"/>
        <w:rPr>
          <w:rFonts w:ascii="Arial" w:hAnsi="Arial" w:cs="Arial"/>
          <w:color w:val="auto"/>
          <w:lang w:val="en-AU"/>
        </w:rPr>
      </w:pPr>
      <w:r w:rsidRPr="00B37EF3">
        <w:rPr>
          <w:rFonts w:ascii="Arial" w:hAnsi="Arial" w:cs="Arial"/>
          <w:color w:val="auto"/>
          <w:lang w:val="en-AU"/>
        </w:rPr>
        <w:t>a</w:t>
      </w:r>
      <w:r w:rsidR="009965D6" w:rsidRPr="00B37EF3">
        <w:rPr>
          <w:rFonts w:ascii="Arial" w:hAnsi="Arial" w:cs="Arial"/>
          <w:color w:val="auto"/>
          <w:lang w:val="en-AU"/>
        </w:rPr>
        <w:t xml:space="preserve"> hea</w:t>
      </w:r>
      <w:r w:rsidR="007D46F6" w:rsidRPr="00B37EF3">
        <w:rPr>
          <w:rFonts w:ascii="Arial" w:hAnsi="Arial" w:cs="Arial"/>
          <w:color w:val="auto"/>
          <w:lang w:val="en-AU"/>
        </w:rPr>
        <w:t>lth risk assessment (HRA) for PM, ozone, NO</w:t>
      </w:r>
      <w:r w:rsidR="007D46F6" w:rsidRPr="00B37EF3">
        <w:rPr>
          <w:rFonts w:ascii="Arial" w:hAnsi="Arial" w:cs="Arial"/>
          <w:color w:val="auto"/>
          <w:vertAlign w:val="subscript"/>
          <w:lang w:val="en-AU"/>
        </w:rPr>
        <w:t>2</w:t>
      </w:r>
      <w:r w:rsidR="007D46F6" w:rsidRPr="00B37EF3">
        <w:rPr>
          <w:rFonts w:ascii="Arial" w:hAnsi="Arial" w:cs="Arial"/>
          <w:color w:val="auto"/>
          <w:lang w:val="en-AU"/>
        </w:rPr>
        <w:t xml:space="preserve"> and SO</w:t>
      </w:r>
      <w:r w:rsidR="007D46F6" w:rsidRPr="00B37EF3">
        <w:rPr>
          <w:rFonts w:ascii="Arial" w:hAnsi="Arial" w:cs="Arial"/>
          <w:color w:val="auto"/>
          <w:vertAlign w:val="subscript"/>
          <w:lang w:val="en-AU"/>
        </w:rPr>
        <w:t>2</w:t>
      </w:r>
    </w:p>
    <w:p w:rsidR="009965D6" w:rsidRPr="00B37EF3" w:rsidRDefault="009965D6" w:rsidP="006E2DD0">
      <w:pPr>
        <w:pStyle w:val="BulletCubes"/>
        <w:numPr>
          <w:ilvl w:val="1"/>
          <w:numId w:val="40"/>
        </w:numPr>
        <w:tabs>
          <w:tab w:val="clear" w:pos="1440"/>
          <w:tab w:val="clear" w:pos="3060"/>
          <w:tab w:val="num" w:pos="567"/>
        </w:tabs>
        <w:spacing w:before="0" w:after="180" w:line="276" w:lineRule="auto"/>
        <w:ind w:left="709" w:right="0" w:hanging="425"/>
        <w:jc w:val="left"/>
        <w:rPr>
          <w:rFonts w:ascii="Arial" w:hAnsi="Arial" w:cs="Arial"/>
          <w:color w:val="auto"/>
          <w:lang w:val="en-AU"/>
        </w:rPr>
      </w:pPr>
      <w:r w:rsidRPr="00B37EF3">
        <w:rPr>
          <w:rFonts w:ascii="Arial" w:hAnsi="Arial" w:cs="Arial"/>
          <w:color w:val="auto"/>
          <w:lang w:val="en-AU"/>
        </w:rPr>
        <w:t>development of potential air quality standards for PM</w:t>
      </w:r>
    </w:p>
    <w:p w:rsidR="009965D6" w:rsidRPr="00B37EF3" w:rsidRDefault="009965D6" w:rsidP="006E2DD0">
      <w:pPr>
        <w:pStyle w:val="BulletCubes"/>
        <w:numPr>
          <w:ilvl w:val="1"/>
          <w:numId w:val="40"/>
        </w:numPr>
        <w:tabs>
          <w:tab w:val="clear" w:pos="1440"/>
          <w:tab w:val="clear" w:pos="3060"/>
          <w:tab w:val="num" w:pos="567"/>
        </w:tabs>
        <w:spacing w:before="0" w:after="180" w:line="276" w:lineRule="auto"/>
        <w:ind w:left="709" w:right="0" w:hanging="425"/>
        <w:jc w:val="left"/>
        <w:rPr>
          <w:rFonts w:ascii="Arial" w:hAnsi="Arial" w:cs="Arial"/>
          <w:color w:val="auto"/>
          <w:lang w:val="en-AU"/>
        </w:rPr>
      </w:pPr>
      <w:r w:rsidRPr="00B37EF3">
        <w:rPr>
          <w:rFonts w:ascii="Arial" w:hAnsi="Arial" w:cs="Arial"/>
          <w:color w:val="auto"/>
          <w:lang w:val="en-AU"/>
        </w:rPr>
        <w:t>consideration of an exposure-reduction framework</w:t>
      </w:r>
    </w:p>
    <w:p w:rsidR="009965D6" w:rsidRPr="00B37EF3" w:rsidRDefault="009965D6" w:rsidP="006A5626">
      <w:pPr>
        <w:pStyle w:val="BulletCubes"/>
        <w:numPr>
          <w:ilvl w:val="1"/>
          <w:numId w:val="40"/>
        </w:numPr>
        <w:tabs>
          <w:tab w:val="clear" w:pos="1440"/>
          <w:tab w:val="clear" w:pos="3060"/>
          <w:tab w:val="num" w:pos="567"/>
        </w:tabs>
        <w:spacing w:before="0" w:after="180" w:line="276" w:lineRule="auto"/>
        <w:ind w:left="568" w:right="0" w:hanging="284"/>
        <w:jc w:val="left"/>
        <w:rPr>
          <w:rFonts w:ascii="Arial" w:hAnsi="Arial" w:cs="Arial"/>
          <w:color w:val="auto"/>
          <w:lang w:val="en-AU"/>
        </w:rPr>
      </w:pPr>
      <w:r w:rsidRPr="00B37EF3">
        <w:rPr>
          <w:rFonts w:ascii="Arial" w:hAnsi="Arial" w:cs="Arial"/>
          <w:color w:val="auto"/>
          <w:lang w:val="en-AU"/>
        </w:rPr>
        <w:t>identification of possible PM-abatement options, including options for implementing national product standards to control emissions from a range of products and equipment</w:t>
      </w:r>
    </w:p>
    <w:p w:rsidR="009965D6" w:rsidRPr="00B37EF3" w:rsidRDefault="00DE0603" w:rsidP="006A5626">
      <w:pPr>
        <w:pStyle w:val="BulletCubes"/>
        <w:numPr>
          <w:ilvl w:val="1"/>
          <w:numId w:val="40"/>
        </w:numPr>
        <w:tabs>
          <w:tab w:val="clear" w:pos="1440"/>
          <w:tab w:val="clear" w:pos="3060"/>
          <w:tab w:val="num" w:pos="567"/>
        </w:tabs>
        <w:spacing w:before="0" w:after="240" w:line="276" w:lineRule="auto"/>
        <w:ind w:left="568" w:right="0" w:hanging="284"/>
        <w:jc w:val="left"/>
        <w:rPr>
          <w:rFonts w:ascii="Arial" w:hAnsi="Arial" w:cs="Arial"/>
          <w:color w:val="auto"/>
          <w:lang w:val="en-AU"/>
        </w:rPr>
      </w:pPr>
      <w:proofErr w:type="gramStart"/>
      <w:r w:rsidRPr="00B37EF3">
        <w:rPr>
          <w:rFonts w:ascii="Arial" w:hAnsi="Arial" w:cs="Arial"/>
          <w:color w:val="auto"/>
          <w:lang w:val="en-AU"/>
        </w:rPr>
        <w:t>a</w:t>
      </w:r>
      <w:proofErr w:type="gramEnd"/>
      <w:r w:rsidR="009965D6" w:rsidRPr="00B37EF3">
        <w:rPr>
          <w:rFonts w:ascii="Arial" w:hAnsi="Arial" w:cs="Arial"/>
          <w:color w:val="auto"/>
          <w:lang w:val="en-AU"/>
        </w:rPr>
        <w:t xml:space="preserve"> cost-benefit analysis (CBA) of potential air quality standards, an exposure-reduction framework and abatement measures for PM (including PM</w:t>
      </w:r>
      <w:r w:rsidR="009965D6" w:rsidRPr="00B37EF3">
        <w:rPr>
          <w:rFonts w:ascii="Arial" w:hAnsi="Arial" w:cs="Arial"/>
          <w:color w:val="auto"/>
          <w:vertAlign w:val="subscript"/>
          <w:lang w:val="en-AU"/>
        </w:rPr>
        <w:t>2.5</w:t>
      </w:r>
      <w:r w:rsidR="009965D6" w:rsidRPr="00B37EF3">
        <w:rPr>
          <w:rFonts w:ascii="Arial" w:hAnsi="Arial" w:cs="Arial"/>
          <w:color w:val="auto"/>
          <w:lang w:val="en-AU"/>
        </w:rPr>
        <w:t>).</w:t>
      </w:r>
    </w:p>
    <w:p w:rsidR="003C0575" w:rsidRPr="00B37EF3" w:rsidRDefault="005A5C12" w:rsidP="00E33B69">
      <w:pPr>
        <w:rPr>
          <w:rFonts w:ascii="Arial" w:hAnsi="Arial" w:cs="Arial"/>
          <w:bCs/>
          <w:kern w:val="32"/>
          <w:szCs w:val="32"/>
          <w:lang w:eastAsia="en-US" w:bidi="en-US"/>
        </w:rPr>
      </w:pPr>
      <w:r w:rsidRPr="00B37EF3">
        <w:rPr>
          <w:rFonts w:ascii="Arial" w:hAnsi="Arial" w:cs="Arial"/>
          <w:bCs/>
          <w:kern w:val="32"/>
          <w:szCs w:val="32"/>
          <w:lang w:eastAsia="en-US" w:bidi="en-US"/>
        </w:rPr>
        <w:t xml:space="preserve">This first stage of the </w:t>
      </w:r>
      <w:r w:rsidR="00E05EB3" w:rsidRPr="00B37EF3">
        <w:rPr>
          <w:rFonts w:ascii="Arial" w:hAnsi="Arial" w:cs="Arial"/>
          <w:bCs/>
          <w:kern w:val="32"/>
          <w:szCs w:val="32"/>
          <w:lang w:eastAsia="en-US" w:bidi="en-US"/>
        </w:rPr>
        <w:t xml:space="preserve">review </w:t>
      </w:r>
      <w:r w:rsidRPr="00B37EF3">
        <w:rPr>
          <w:rFonts w:ascii="Arial" w:hAnsi="Arial" w:cs="Arial"/>
          <w:bCs/>
          <w:kern w:val="32"/>
          <w:szCs w:val="32"/>
          <w:lang w:eastAsia="en-US" w:bidi="en-US"/>
        </w:rPr>
        <w:t>focuse</w:t>
      </w:r>
      <w:r w:rsidR="00A65A1B">
        <w:rPr>
          <w:rFonts w:ascii="Arial" w:hAnsi="Arial" w:cs="Arial"/>
          <w:bCs/>
          <w:kern w:val="32"/>
          <w:szCs w:val="32"/>
          <w:lang w:eastAsia="en-US" w:bidi="en-US"/>
        </w:rPr>
        <w:t>d</w:t>
      </w:r>
      <w:r w:rsidRPr="00B37EF3">
        <w:rPr>
          <w:rFonts w:ascii="Arial" w:hAnsi="Arial" w:cs="Arial"/>
          <w:bCs/>
          <w:kern w:val="32"/>
          <w:szCs w:val="32"/>
          <w:lang w:eastAsia="en-US" w:bidi="en-US"/>
        </w:rPr>
        <w:t xml:space="preserve"> on PM due to </w:t>
      </w:r>
      <w:r w:rsidR="001D709E" w:rsidRPr="00B37EF3">
        <w:rPr>
          <w:rFonts w:ascii="Arial" w:hAnsi="Arial" w:cs="Arial"/>
          <w:bCs/>
          <w:kern w:val="32"/>
          <w:szCs w:val="32"/>
          <w:lang w:eastAsia="en-US" w:bidi="en-US"/>
        </w:rPr>
        <w:t xml:space="preserve">the </w:t>
      </w:r>
      <w:r w:rsidRPr="00B37EF3">
        <w:rPr>
          <w:rFonts w:ascii="Arial" w:hAnsi="Arial" w:cs="Arial"/>
          <w:bCs/>
          <w:kern w:val="32"/>
          <w:szCs w:val="32"/>
          <w:lang w:eastAsia="en-US" w:bidi="en-US"/>
        </w:rPr>
        <w:t xml:space="preserve">current </w:t>
      </w:r>
      <w:r w:rsidR="001D709E" w:rsidRPr="00B37EF3">
        <w:rPr>
          <w:rFonts w:ascii="Arial" w:hAnsi="Arial" w:cs="Arial"/>
          <w:bCs/>
          <w:kern w:val="32"/>
          <w:szCs w:val="32"/>
          <w:lang w:eastAsia="en-US" w:bidi="en-US"/>
        </w:rPr>
        <w:t>levels of PM</w:t>
      </w:r>
      <w:r w:rsidRPr="00B37EF3">
        <w:rPr>
          <w:rFonts w:ascii="Arial" w:hAnsi="Arial" w:cs="Arial"/>
          <w:bCs/>
          <w:kern w:val="32"/>
          <w:szCs w:val="32"/>
          <w:lang w:eastAsia="en-US" w:bidi="en-US"/>
        </w:rPr>
        <w:t xml:space="preserve"> in the atmosphere</w:t>
      </w:r>
      <w:r w:rsidR="001D709E" w:rsidRPr="00B37EF3">
        <w:rPr>
          <w:rFonts w:ascii="Arial" w:hAnsi="Arial" w:cs="Arial"/>
          <w:bCs/>
          <w:kern w:val="32"/>
          <w:szCs w:val="32"/>
          <w:lang w:eastAsia="en-US" w:bidi="en-US"/>
        </w:rPr>
        <w:t>, the current population exposure</w:t>
      </w:r>
      <w:r w:rsidRPr="00B37EF3">
        <w:rPr>
          <w:rFonts w:ascii="Arial" w:hAnsi="Arial" w:cs="Arial"/>
          <w:bCs/>
          <w:kern w:val="32"/>
          <w:szCs w:val="32"/>
          <w:lang w:eastAsia="en-US" w:bidi="en-US"/>
        </w:rPr>
        <w:t xml:space="preserve">, </w:t>
      </w:r>
      <w:r w:rsidR="001D709E" w:rsidRPr="00B37EF3">
        <w:rPr>
          <w:rFonts w:ascii="Arial" w:hAnsi="Arial" w:cs="Arial"/>
          <w:bCs/>
          <w:kern w:val="32"/>
          <w:szCs w:val="32"/>
          <w:lang w:eastAsia="en-US" w:bidi="en-US"/>
        </w:rPr>
        <w:t>the size of the health benefits</w:t>
      </w:r>
      <w:r w:rsidR="001D709E" w:rsidRPr="00B37EF3">
        <w:rPr>
          <w:rFonts w:ascii="Arial" w:hAnsi="Arial" w:cs="Arial"/>
        </w:rPr>
        <w:t xml:space="preserve"> to be gained</w:t>
      </w:r>
      <w:r w:rsidR="001D709E" w:rsidRPr="00B37EF3">
        <w:rPr>
          <w:rFonts w:ascii="Arial" w:hAnsi="Arial" w:cs="Arial"/>
          <w:bCs/>
          <w:kern w:val="32"/>
          <w:szCs w:val="32"/>
          <w:lang w:eastAsia="en-US" w:bidi="en-US"/>
        </w:rPr>
        <w:t xml:space="preserve">, </w:t>
      </w:r>
      <w:r w:rsidRPr="00B37EF3">
        <w:rPr>
          <w:rFonts w:ascii="Arial" w:hAnsi="Arial" w:cs="Arial"/>
          <w:bCs/>
          <w:kern w:val="32"/>
          <w:szCs w:val="32"/>
          <w:lang w:eastAsia="en-US" w:bidi="en-US"/>
        </w:rPr>
        <w:t xml:space="preserve">and the range </w:t>
      </w:r>
      <w:r w:rsidR="001D709E" w:rsidRPr="00B37EF3">
        <w:rPr>
          <w:rFonts w:ascii="Arial" w:hAnsi="Arial" w:cs="Arial"/>
          <w:bCs/>
          <w:kern w:val="32"/>
          <w:szCs w:val="32"/>
          <w:lang w:eastAsia="en-US" w:bidi="en-US"/>
        </w:rPr>
        <w:t>of available</w:t>
      </w:r>
      <w:r w:rsidR="001D709E" w:rsidRPr="00B37EF3">
        <w:rPr>
          <w:rFonts w:ascii="Arial" w:hAnsi="Arial" w:cs="Arial"/>
        </w:rPr>
        <w:t xml:space="preserve"> </w:t>
      </w:r>
      <w:r w:rsidRPr="00B37EF3">
        <w:rPr>
          <w:rFonts w:ascii="Arial" w:hAnsi="Arial" w:cs="Arial"/>
        </w:rPr>
        <w:t xml:space="preserve">cost-effective actions </w:t>
      </w:r>
      <w:r w:rsidR="001D709E" w:rsidRPr="00B37EF3">
        <w:rPr>
          <w:rFonts w:ascii="Arial" w:hAnsi="Arial" w:cs="Arial"/>
          <w:bCs/>
          <w:kern w:val="32"/>
          <w:szCs w:val="32"/>
          <w:lang w:eastAsia="en-US" w:bidi="en-US"/>
        </w:rPr>
        <w:t>for reducing PM emissions and concentrations.</w:t>
      </w:r>
    </w:p>
    <w:p w:rsidR="00985DA2" w:rsidRPr="00B37EF3" w:rsidRDefault="00985DA2" w:rsidP="001929E4">
      <w:pPr>
        <w:spacing w:after="180"/>
        <w:rPr>
          <w:rFonts w:ascii="Arial" w:hAnsi="Arial" w:cs="Arial"/>
        </w:rPr>
      </w:pPr>
      <w:r w:rsidRPr="00B37EF3">
        <w:rPr>
          <w:rFonts w:ascii="Arial" w:hAnsi="Arial" w:cs="Arial"/>
        </w:rPr>
        <w:t xml:space="preserve">The work completed to support the </w:t>
      </w:r>
      <w:r w:rsidR="003C0575" w:rsidRPr="00B37EF3">
        <w:rPr>
          <w:rFonts w:ascii="Arial" w:hAnsi="Arial" w:cs="Arial"/>
        </w:rPr>
        <w:t xml:space="preserve">first stage review </w:t>
      </w:r>
      <w:r w:rsidRPr="00B37EF3">
        <w:rPr>
          <w:rFonts w:ascii="Arial" w:hAnsi="Arial" w:cs="Arial"/>
        </w:rPr>
        <w:t xml:space="preserve">has included the following: </w:t>
      </w:r>
    </w:p>
    <w:p w:rsidR="00985DA2" w:rsidRPr="00D00156" w:rsidRDefault="00985DA2" w:rsidP="00D00156">
      <w:pPr>
        <w:pStyle w:val="BulletArrows"/>
        <w:numPr>
          <w:ilvl w:val="0"/>
          <w:numId w:val="88"/>
        </w:numPr>
        <w:spacing w:after="180"/>
        <w:rPr>
          <w:rFonts w:ascii="Arial" w:hAnsi="Arial"/>
          <w:color w:val="auto"/>
        </w:rPr>
      </w:pPr>
      <w:r w:rsidRPr="00D00156">
        <w:rPr>
          <w:rFonts w:ascii="Arial" w:hAnsi="Arial"/>
          <w:color w:val="auto"/>
        </w:rPr>
        <w:t>Exposur</w:t>
      </w:r>
      <w:r w:rsidR="00752E17" w:rsidRPr="00D00156">
        <w:rPr>
          <w:rFonts w:ascii="Arial" w:hAnsi="Arial"/>
          <w:color w:val="auto"/>
        </w:rPr>
        <w:t xml:space="preserve">e </w:t>
      </w:r>
      <w:r w:rsidR="00CA0D37" w:rsidRPr="00D00156">
        <w:rPr>
          <w:rFonts w:ascii="Arial" w:hAnsi="Arial"/>
          <w:color w:val="auto"/>
        </w:rPr>
        <w:t>Reduction project</w:t>
      </w:r>
      <w:r w:rsidR="00837E20" w:rsidRPr="00D00156">
        <w:rPr>
          <w:rFonts w:ascii="Arial" w:hAnsi="Arial"/>
          <w:color w:val="auto"/>
        </w:rPr>
        <w:t xml:space="preserve"> </w:t>
      </w:r>
      <w:r w:rsidR="00837E20" w:rsidRPr="00D00156">
        <w:rPr>
          <w:rFonts w:ascii="Arial" w:hAnsi="Arial"/>
          <w:b/>
          <w:color w:val="auto"/>
        </w:rPr>
        <w:t>(</w:t>
      </w:r>
      <w:proofErr w:type="spellStart"/>
      <w:r w:rsidR="00837E20" w:rsidRPr="00D00156">
        <w:rPr>
          <w:rFonts w:ascii="Arial" w:hAnsi="Arial"/>
          <w:b/>
          <w:color w:val="auto"/>
        </w:rPr>
        <w:t>Bawden</w:t>
      </w:r>
      <w:proofErr w:type="spellEnd"/>
      <w:r w:rsidR="00837E20" w:rsidRPr="00D00156">
        <w:rPr>
          <w:rFonts w:ascii="Arial" w:hAnsi="Arial"/>
          <w:b/>
          <w:color w:val="auto"/>
        </w:rPr>
        <w:t xml:space="preserve"> </w:t>
      </w:r>
      <w:r w:rsidR="009334F4" w:rsidRPr="00D00156">
        <w:rPr>
          <w:rFonts w:ascii="Arial" w:hAnsi="Arial"/>
          <w:b/>
          <w:color w:val="auto"/>
        </w:rPr>
        <w:t>et al</w:t>
      </w:r>
      <w:r w:rsidR="00837E20" w:rsidRPr="00D00156">
        <w:rPr>
          <w:rFonts w:ascii="Arial" w:hAnsi="Arial"/>
          <w:b/>
          <w:color w:val="auto"/>
        </w:rPr>
        <w:t>. 2012)</w:t>
      </w:r>
    </w:p>
    <w:p w:rsidR="00985DA2" w:rsidRPr="00D00156" w:rsidRDefault="00985DA2" w:rsidP="00D00156">
      <w:pPr>
        <w:pStyle w:val="BulletArrows"/>
        <w:numPr>
          <w:ilvl w:val="0"/>
          <w:numId w:val="88"/>
        </w:numPr>
        <w:spacing w:after="180"/>
        <w:rPr>
          <w:rFonts w:ascii="Arial" w:hAnsi="Arial"/>
          <w:color w:val="auto"/>
        </w:rPr>
      </w:pPr>
      <w:r w:rsidRPr="00D00156">
        <w:rPr>
          <w:rFonts w:ascii="Arial" w:hAnsi="Arial"/>
          <w:color w:val="auto"/>
        </w:rPr>
        <w:t>PM Valuation pro</w:t>
      </w:r>
      <w:r w:rsidR="00CA0D37" w:rsidRPr="00D00156">
        <w:rPr>
          <w:rFonts w:ascii="Arial" w:hAnsi="Arial"/>
          <w:color w:val="auto"/>
        </w:rPr>
        <w:t>ject</w:t>
      </w:r>
      <w:r w:rsidR="00837E20" w:rsidRPr="00D00156">
        <w:rPr>
          <w:rFonts w:ascii="Arial" w:hAnsi="Arial"/>
          <w:color w:val="auto"/>
        </w:rPr>
        <w:t xml:space="preserve"> </w:t>
      </w:r>
      <w:r w:rsidR="00837E20" w:rsidRPr="00D00156">
        <w:rPr>
          <w:rFonts w:ascii="Arial" w:hAnsi="Arial"/>
          <w:b/>
          <w:color w:val="auto"/>
        </w:rPr>
        <w:t xml:space="preserve">(Aust </w:t>
      </w:r>
      <w:r w:rsidR="009334F4" w:rsidRPr="00D00156">
        <w:rPr>
          <w:rFonts w:ascii="Arial" w:hAnsi="Arial"/>
          <w:b/>
          <w:color w:val="auto"/>
        </w:rPr>
        <w:t>et al</w:t>
      </w:r>
      <w:r w:rsidR="00837E20" w:rsidRPr="00D00156">
        <w:rPr>
          <w:rFonts w:ascii="Arial" w:hAnsi="Arial"/>
          <w:b/>
          <w:color w:val="auto"/>
        </w:rPr>
        <w:t>. 2013)</w:t>
      </w:r>
    </w:p>
    <w:p w:rsidR="00CA0D37" w:rsidRPr="00D00156" w:rsidRDefault="00985DA2" w:rsidP="00D00156">
      <w:pPr>
        <w:pStyle w:val="BulletArrows"/>
        <w:numPr>
          <w:ilvl w:val="0"/>
          <w:numId w:val="88"/>
        </w:numPr>
        <w:spacing w:after="180"/>
        <w:rPr>
          <w:rFonts w:ascii="Arial" w:hAnsi="Arial"/>
          <w:color w:val="auto"/>
        </w:rPr>
      </w:pPr>
      <w:r w:rsidRPr="00D00156">
        <w:rPr>
          <w:rFonts w:ascii="Arial" w:hAnsi="Arial"/>
          <w:color w:val="auto"/>
        </w:rPr>
        <w:t>HRA projec</w:t>
      </w:r>
      <w:r w:rsidR="00CA0D37" w:rsidRPr="00D00156">
        <w:rPr>
          <w:rFonts w:ascii="Arial" w:hAnsi="Arial"/>
          <w:color w:val="auto"/>
        </w:rPr>
        <w:t>t</w:t>
      </w:r>
      <w:r w:rsidR="00F767DE" w:rsidRPr="00D00156">
        <w:rPr>
          <w:rFonts w:ascii="Arial" w:hAnsi="Arial"/>
          <w:b/>
          <w:color w:val="auto"/>
        </w:rPr>
        <w:t xml:space="preserve"> (</w:t>
      </w:r>
      <w:proofErr w:type="spellStart"/>
      <w:r w:rsidR="00F767DE" w:rsidRPr="00D00156">
        <w:rPr>
          <w:rFonts w:ascii="Arial" w:hAnsi="Arial"/>
          <w:b/>
          <w:color w:val="auto"/>
        </w:rPr>
        <w:t>Frangos</w:t>
      </w:r>
      <w:proofErr w:type="spellEnd"/>
      <w:r w:rsidR="00F767DE" w:rsidRPr="00D00156">
        <w:rPr>
          <w:rFonts w:ascii="Arial" w:hAnsi="Arial"/>
          <w:b/>
          <w:color w:val="auto"/>
        </w:rPr>
        <w:t xml:space="preserve"> </w:t>
      </w:r>
      <w:r w:rsidR="001267BB" w:rsidRPr="00D00156">
        <w:rPr>
          <w:rFonts w:ascii="Arial" w:hAnsi="Arial"/>
          <w:b/>
          <w:color w:val="auto"/>
        </w:rPr>
        <w:t xml:space="preserve">&amp; </w:t>
      </w:r>
      <w:proofErr w:type="spellStart"/>
      <w:r w:rsidR="00F767DE" w:rsidRPr="00D00156">
        <w:rPr>
          <w:rFonts w:ascii="Arial" w:hAnsi="Arial"/>
          <w:b/>
          <w:color w:val="auto"/>
        </w:rPr>
        <w:t>DiMarco</w:t>
      </w:r>
      <w:proofErr w:type="spellEnd"/>
      <w:r w:rsidR="00F767DE" w:rsidRPr="00D00156">
        <w:rPr>
          <w:rFonts w:ascii="Arial" w:hAnsi="Arial"/>
          <w:b/>
          <w:color w:val="auto"/>
        </w:rPr>
        <w:t xml:space="preserve"> 2013</w:t>
      </w:r>
      <w:r w:rsidR="006525BE" w:rsidRPr="00D00156">
        <w:rPr>
          <w:rFonts w:ascii="Arial" w:hAnsi="Arial"/>
          <w:b/>
          <w:color w:val="auto"/>
        </w:rPr>
        <w:t>)</w:t>
      </w:r>
      <w:r w:rsidR="00CA0D37" w:rsidRPr="00D00156">
        <w:rPr>
          <w:rFonts w:ascii="Arial" w:hAnsi="Arial"/>
          <w:color w:val="auto"/>
        </w:rPr>
        <w:t xml:space="preserve"> and </w:t>
      </w:r>
      <w:r w:rsidR="00A525F5" w:rsidRPr="00D00156">
        <w:rPr>
          <w:rFonts w:ascii="Arial" w:hAnsi="Arial"/>
          <w:color w:val="auto"/>
        </w:rPr>
        <w:t xml:space="preserve">an associated </w:t>
      </w:r>
      <w:r w:rsidR="006F20CC" w:rsidRPr="00D00156">
        <w:rPr>
          <w:rFonts w:ascii="Arial" w:hAnsi="Arial"/>
          <w:color w:val="auto"/>
        </w:rPr>
        <w:t>s</w:t>
      </w:r>
      <w:r w:rsidR="00515E2D" w:rsidRPr="00D00156">
        <w:rPr>
          <w:rFonts w:ascii="Arial" w:hAnsi="Arial"/>
          <w:color w:val="auto"/>
        </w:rPr>
        <w:t xml:space="preserve">ummary for </w:t>
      </w:r>
      <w:r w:rsidR="006F20CC" w:rsidRPr="00D00156">
        <w:rPr>
          <w:rFonts w:ascii="Arial" w:hAnsi="Arial"/>
          <w:color w:val="auto"/>
        </w:rPr>
        <w:t>p</w:t>
      </w:r>
      <w:r w:rsidR="00515E2D" w:rsidRPr="00D00156">
        <w:rPr>
          <w:rFonts w:ascii="Arial" w:hAnsi="Arial"/>
          <w:color w:val="auto"/>
        </w:rPr>
        <w:t xml:space="preserve">olicy </w:t>
      </w:r>
      <w:r w:rsidR="006F20CC" w:rsidRPr="00D00156">
        <w:rPr>
          <w:rFonts w:ascii="Arial" w:hAnsi="Arial"/>
          <w:color w:val="auto"/>
        </w:rPr>
        <w:t>m</w:t>
      </w:r>
      <w:r w:rsidR="00515E2D" w:rsidRPr="00D00156">
        <w:rPr>
          <w:rFonts w:ascii="Arial" w:hAnsi="Arial"/>
          <w:color w:val="auto"/>
        </w:rPr>
        <w:t>akers</w:t>
      </w:r>
      <w:r w:rsidR="006525BE" w:rsidRPr="00D00156">
        <w:rPr>
          <w:rFonts w:ascii="Arial" w:hAnsi="Arial"/>
          <w:color w:val="auto"/>
        </w:rPr>
        <w:t xml:space="preserve"> </w:t>
      </w:r>
      <w:r w:rsidR="006525BE" w:rsidRPr="00D00156">
        <w:rPr>
          <w:rFonts w:ascii="Arial" w:hAnsi="Arial"/>
          <w:b/>
          <w:color w:val="auto"/>
        </w:rPr>
        <w:t xml:space="preserve">(Morgan </w:t>
      </w:r>
      <w:r w:rsidR="009334F4" w:rsidRPr="00D00156">
        <w:rPr>
          <w:rFonts w:ascii="Arial" w:hAnsi="Arial"/>
          <w:b/>
          <w:color w:val="auto"/>
        </w:rPr>
        <w:t>et al.</w:t>
      </w:r>
      <w:r w:rsidR="006525BE" w:rsidRPr="00D00156">
        <w:rPr>
          <w:rFonts w:ascii="Arial" w:hAnsi="Arial"/>
          <w:b/>
          <w:color w:val="auto"/>
        </w:rPr>
        <w:t xml:space="preserve"> 2013)</w:t>
      </w:r>
    </w:p>
    <w:p w:rsidR="00985DA2" w:rsidRPr="00B37EF3" w:rsidRDefault="00CA0D37" w:rsidP="00D00156">
      <w:pPr>
        <w:pStyle w:val="BulletArrows"/>
        <w:numPr>
          <w:ilvl w:val="0"/>
          <w:numId w:val="88"/>
        </w:numPr>
        <w:spacing w:after="240"/>
        <w:rPr>
          <w:rFonts w:ascii="Arial" w:hAnsi="Arial"/>
          <w:color w:val="auto"/>
        </w:rPr>
      </w:pPr>
      <w:r w:rsidRPr="00D00156">
        <w:rPr>
          <w:rFonts w:ascii="Arial" w:hAnsi="Arial"/>
          <w:color w:val="auto"/>
        </w:rPr>
        <w:t>Economic</w:t>
      </w:r>
      <w:r w:rsidRPr="00B37EF3">
        <w:rPr>
          <w:rFonts w:ascii="Arial" w:hAnsi="Arial"/>
        </w:rPr>
        <w:t xml:space="preserve"> Analysis project</w:t>
      </w:r>
      <w:r w:rsidR="007A766B" w:rsidRPr="00B37EF3">
        <w:rPr>
          <w:rFonts w:ascii="Arial" w:hAnsi="Arial"/>
          <w:color w:val="auto"/>
        </w:rPr>
        <w:t xml:space="preserve"> </w:t>
      </w:r>
      <w:r w:rsidR="007A766B" w:rsidRPr="00B37EF3">
        <w:rPr>
          <w:rFonts w:ascii="Arial" w:hAnsi="Arial"/>
          <w:b/>
          <w:color w:val="auto"/>
        </w:rPr>
        <w:t xml:space="preserve">(Boulter </w:t>
      </w:r>
      <w:r w:rsidR="001267BB" w:rsidRPr="00B37EF3">
        <w:rPr>
          <w:rFonts w:ascii="Arial" w:hAnsi="Arial"/>
          <w:b/>
          <w:color w:val="auto"/>
        </w:rPr>
        <w:t xml:space="preserve">&amp; </w:t>
      </w:r>
      <w:r w:rsidR="007A766B" w:rsidRPr="00B37EF3">
        <w:rPr>
          <w:rFonts w:ascii="Arial" w:hAnsi="Arial"/>
          <w:b/>
          <w:color w:val="auto"/>
        </w:rPr>
        <w:t>Kulkarni 2013)</w:t>
      </w:r>
      <w:r w:rsidR="00985DA2" w:rsidRPr="00B37EF3">
        <w:rPr>
          <w:rFonts w:ascii="Arial" w:hAnsi="Arial"/>
          <w:color w:val="auto"/>
        </w:rPr>
        <w:t xml:space="preserve">. </w:t>
      </w:r>
    </w:p>
    <w:p w:rsidR="00985DA2" w:rsidRPr="00B37EF3" w:rsidRDefault="00985DA2" w:rsidP="000F787E">
      <w:pPr>
        <w:pStyle w:val="Heading3"/>
        <w:rPr>
          <w:rFonts w:ascii="Arial" w:hAnsi="Arial"/>
        </w:rPr>
      </w:pPr>
      <w:bookmarkStart w:id="50" w:name="_Ref367632997"/>
      <w:bookmarkStart w:id="51" w:name="_Toc394011098"/>
      <w:r w:rsidRPr="00B37EF3">
        <w:rPr>
          <w:rFonts w:ascii="Arial" w:hAnsi="Arial"/>
        </w:rPr>
        <w:t>Abatement initiatives</w:t>
      </w:r>
      <w:bookmarkEnd w:id="50"/>
      <w:bookmarkEnd w:id="51"/>
    </w:p>
    <w:p w:rsidR="00156603" w:rsidRPr="00B37EF3" w:rsidRDefault="0087080F" w:rsidP="00810588">
      <w:pPr>
        <w:spacing w:after="180"/>
        <w:rPr>
          <w:rFonts w:ascii="Arial" w:hAnsi="Arial" w:cs="Arial"/>
        </w:rPr>
      </w:pPr>
      <w:r w:rsidRPr="00B37EF3">
        <w:rPr>
          <w:rFonts w:ascii="Arial" w:hAnsi="Arial" w:cs="Arial"/>
        </w:rPr>
        <w:t>Meeting</w:t>
      </w:r>
      <w:r w:rsidR="00156603" w:rsidRPr="00B37EF3">
        <w:rPr>
          <w:rFonts w:ascii="Arial" w:hAnsi="Arial" w:cs="Arial"/>
        </w:rPr>
        <w:t xml:space="preserve"> hypothetical new air quality standards for PM</w:t>
      </w:r>
      <w:r w:rsidR="00156603" w:rsidRPr="00B37EF3">
        <w:rPr>
          <w:rFonts w:ascii="Arial" w:hAnsi="Arial" w:cs="Arial"/>
          <w:vertAlign w:val="subscript"/>
        </w:rPr>
        <w:t>10</w:t>
      </w:r>
      <w:r w:rsidR="00156603" w:rsidRPr="00B37EF3">
        <w:rPr>
          <w:rFonts w:ascii="Arial" w:hAnsi="Arial" w:cs="Arial"/>
        </w:rPr>
        <w:t xml:space="preserve"> and PM</w:t>
      </w:r>
      <w:r w:rsidR="00156603" w:rsidRPr="00B37EF3">
        <w:rPr>
          <w:rFonts w:ascii="Arial" w:hAnsi="Arial" w:cs="Arial"/>
          <w:vertAlign w:val="subscript"/>
        </w:rPr>
        <w:t>2.5</w:t>
      </w:r>
      <w:r w:rsidR="00156603" w:rsidRPr="00B37EF3">
        <w:rPr>
          <w:rFonts w:ascii="Arial" w:hAnsi="Arial" w:cs="Arial"/>
        </w:rPr>
        <w:t xml:space="preserve"> typically require</w:t>
      </w:r>
      <w:r w:rsidRPr="00B37EF3">
        <w:rPr>
          <w:rFonts w:ascii="Arial" w:hAnsi="Arial" w:cs="Arial"/>
        </w:rPr>
        <w:t>s</w:t>
      </w:r>
      <w:r w:rsidR="00156603" w:rsidRPr="00B37EF3">
        <w:rPr>
          <w:rFonts w:ascii="Arial" w:hAnsi="Arial" w:cs="Arial"/>
        </w:rPr>
        <w:t xml:space="preserve"> the introduction of new abatement measures. Abatement measures are available for each sector, and they act by either reducing emissions (the main approach), by reducing ambient concentrations, or by reducing exposure.</w:t>
      </w:r>
    </w:p>
    <w:p w:rsidR="00156603" w:rsidRPr="00B37EF3" w:rsidRDefault="00365D29" w:rsidP="00810588">
      <w:pPr>
        <w:spacing w:after="180"/>
        <w:rPr>
          <w:rFonts w:ascii="Arial" w:hAnsi="Arial" w:cs="Arial"/>
        </w:rPr>
      </w:pPr>
      <w:r w:rsidRPr="00B37EF3">
        <w:rPr>
          <w:rFonts w:ascii="Arial" w:hAnsi="Arial" w:cs="Arial"/>
        </w:rPr>
        <w:t xml:space="preserve">Various </w:t>
      </w:r>
      <w:r w:rsidR="00C57FBE" w:rsidRPr="00B37EF3">
        <w:rPr>
          <w:rFonts w:ascii="Arial" w:hAnsi="Arial" w:cs="Arial"/>
        </w:rPr>
        <w:t xml:space="preserve">potentially feasible </w:t>
      </w:r>
      <w:r w:rsidR="00156603" w:rsidRPr="00B37EF3">
        <w:rPr>
          <w:rFonts w:ascii="Arial" w:hAnsi="Arial" w:cs="Arial"/>
        </w:rPr>
        <w:t xml:space="preserve">national </w:t>
      </w:r>
      <w:r w:rsidR="00C57FBE" w:rsidRPr="00B37EF3">
        <w:rPr>
          <w:rFonts w:ascii="Arial" w:hAnsi="Arial" w:cs="Arial"/>
        </w:rPr>
        <w:t>measures</w:t>
      </w:r>
      <w:r w:rsidRPr="00B37EF3">
        <w:rPr>
          <w:rFonts w:ascii="Arial" w:hAnsi="Arial" w:cs="Arial"/>
        </w:rPr>
        <w:t xml:space="preserve"> to reduce PM pollution are being considered. </w:t>
      </w:r>
      <w:r w:rsidR="00156603" w:rsidRPr="00B37EF3">
        <w:rPr>
          <w:rFonts w:ascii="Arial" w:hAnsi="Arial" w:cs="Arial"/>
        </w:rPr>
        <w:t>These measures were summarised in the Economic A</w:t>
      </w:r>
      <w:r w:rsidR="002C20E0" w:rsidRPr="00B37EF3">
        <w:rPr>
          <w:rFonts w:ascii="Arial" w:hAnsi="Arial" w:cs="Arial"/>
        </w:rPr>
        <w:t xml:space="preserve">nalysis project </w:t>
      </w:r>
      <w:r w:rsidR="00156603" w:rsidRPr="00B37EF3">
        <w:rPr>
          <w:rFonts w:ascii="Arial" w:hAnsi="Arial" w:cs="Arial"/>
          <w:b/>
        </w:rPr>
        <w:t xml:space="preserve">(Boulter </w:t>
      </w:r>
      <w:r w:rsidR="006F20CC" w:rsidRPr="00B37EF3">
        <w:rPr>
          <w:rFonts w:ascii="Arial" w:hAnsi="Arial" w:cs="Arial"/>
          <w:b/>
        </w:rPr>
        <w:t xml:space="preserve">&amp; </w:t>
      </w:r>
      <w:r w:rsidR="00156603" w:rsidRPr="00B37EF3">
        <w:rPr>
          <w:rFonts w:ascii="Arial" w:hAnsi="Arial" w:cs="Arial"/>
          <w:b/>
        </w:rPr>
        <w:t>Kulkarni 2013)</w:t>
      </w:r>
      <w:r w:rsidR="002C20E0" w:rsidRPr="00B37EF3">
        <w:rPr>
          <w:rFonts w:ascii="Arial" w:hAnsi="Arial" w:cs="Arial"/>
        </w:rPr>
        <w:t>, and are as follows:</w:t>
      </w:r>
    </w:p>
    <w:p w:rsidR="00156603" w:rsidRPr="00B37EF3" w:rsidRDefault="00156603" w:rsidP="00A80E14">
      <w:pPr>
        <w:pStyle w:val="BulletArrows"/>
        <w:numPr>
          <w:ilvl w:val="0"/>
          <w:numId w:val="89"/>
        </w:numPr>
        <w:spacing w:after="140"/>
        <w:rPr>
          <w:rFonts w:ascii="Arial" w:hAnsi="Arial"/>
        </w:rPr>
      </w:pPr>
      <w:bookmarkStart w:id="52" w:name="_Toc349815587"/>
      <w:bookmarkStart w:id="53" w:name="_Toc365226058"/>
      <w:r w:rsidRPr="00B37EF3">
        <w:rPr>
          <w:rFonts w:ascii="Arial" w:hAnsi="Arial"/>
          <w:i/>
        </w:rPr>
        <w:t>Existing measures</w:t>
      </w:r>
      <w:bookmarkEnd w:id="52"/>
      <w:r w:rsidRPr="00B37EF3">
        <w:rPr>
          <w:rFonts w:ascii="Arial" w:hAnsi="Arial"/>
          <w:i/>
        </w:rPr>
        <w:t xml:space="preserve"> currently being assessed</w:t>
      </w:r>
      <w:bookmarkEnd w:id="53"/>
      <w:r w:rsidRPr="00B37EF3">
        <w:rPr>
          <w:rFonts w:ascii="Arial" w:hAnsi="Arial"/>
        </w:rPr>
        <w:t>. These are ‘existing’ abatement measures that are being considered through</w:t>
      </w:r>
      <w:r w:rsidR="002F7F12" w:rsidRPr="00B37EF3">
        <w:rPr>
          <w:rFonts w:ascii="Arial" w:hAnsi="Arial"/>
        </w:rPr>
        <w:t xml:space="preserve"> NEPC</w:t>
      </w:r>
      <w:r w:rsidRPr="00B37EF3">
        <w:rPr>
          <w:rFonts w:ascii="Arial" w:hAnsi="Arial"/>
        </w:rPr>
        <w:t>:</w:t>
      </w:r>
    </w:p>
    <w:p w:rsidR="00156603" w:rsidRPr="00B37EF3" w:rsidRDefault="00156603" w:rsidP="00A80E14">
      <w:pPr>
        <w:pStyle w:val="BulletCubes"/>
        <w:numPr>
          <w:ilvl w:val="0"/>
          <w:numId w:val="91"/>
        </w:numPr>
        <w:tabs>
          <w:tab w:val="clear" w:pos="3060"/>
          <w:tab w:val="left" w:pos="567"/>
        </w:tabs>
        <w:spacing w:before="0" w:after="140" w:line="276" w:lineRule="auto"/>
        <w:jc w:val="left"/>
        <w:rPr>
          <w:rFonts w:ascii="Arial" w:hAnsi="Arial" w:cs="Arial"/>
          <w:color w:val="auto"/>
          <w:lang w:val="en-AU"/>
        </w:rPr>
      </w:pPr>
      <w:r w:rsidRPr="00B37EF3">
        <w:rPr>
          <w:rFonts w:ascii="Arial" w:hAnsi="Arial" w:cs="Arial"/>
          <w:color w:val="auto"/>
          <w:lang w:val="en-AU"/>
        </w:rPr>
        <w:t>Non-road diesel engines – Introduction of national emission standards</w:t>
      </w:r>
    </w:p>
    <w:p w:rsidR="00156603" w:rsidRPr="00B37EF3" w:rsidRDefault="00156603" w:rsidP="00A80E14">
      <w:pPr>
        <w:pStyle w:val="BulletArrows"/>
        <w:numPr>
          <w:ilvl w:val="0"/>
          <w:numId w:val="91"/>
        </w:numPr>
        <w:spacing w:after="140"/>
        <w:rPr>
          <w:rFonts w:ascii="Arial" w:hAnsi="Arial"/>
          <w:color w:val="auto"/>
          <w:lang w:bidi="en-US"/>
        </w:rPr>
      </w:pPr>
      <w:r w:rsidRPr="00B37EF3">
        <w:rPr>
          <w:rFonts w:ascii="Arial" w:hAnsi="Arial"/>
          <w:color w:val="auto"/>
        </w:rPr>
        <w:t xml:space="preserve">Wood heaters – Introduction of </w:t>
      </w:r>
      <w:r w:rsidRPr="00B37EF3">
        <w:rPr>
          <w:rFonts w:ascii="Arial" w:hAnsi="Arial"/>
          <w:color w:val="auto"/>
          <w:lang w:bidi="en-US"/>
        </w:rPr>
        <w:t>national measures to reduce emissions through wood heater design, or performance standards to promote compliance of retail models with these standards and to influence in-service operational performance</w:t>
      </w:r>
    </w:p>
    <w:p w:rsidR="00156603" w:rsidRPr="00B37EF3" w:rsidRDefault="00156603" w:rsidP="00A80E14">
      <w:pPr>
        <w:pStyle w:val="BulletCubes"/>
        <w:numPr>
          <w:ilvl w:val="0"/>
          <w:numId w:val="91"/>
        </w:numPr>
        <w:tabs>
          <w:tab w:val="clear" w:pos="3060"/>
          <w:tab w:val="left" w:pos="567"/>
        </w:tabs>
        <w:spacing w:before="0" w:after="240" w:line="276" w:lineRule="auto"/>
        <w:ind w:right="0"/>
        <w:jc w:val="left"/>
        <w:rPr>
          <w:rFonts w:ascii="Arial" w:hAnsi="Arial" w:cs="Arial"/>
          <w:b/>
          <w:color w:val="auto"/>
          <w:lang w:val="en-AU"/>
        </w:rPr>
      </w:pPr>
      <w:r w:rsidRPr="00B37EF3">
        <w:rPr>
          <w:rFonts w:ascii="Arial" w:hAnsi="Arial" w:cs="Arial"/>
          <w:color w:val="auto"/>
          <w:lang w:val="en-AU"/>
        </w:rPr>
        <w:t>Non-road spark ignition engines and equipment – Introduction of national emission standards.</w:t>
      </w:r>
    </w:p>
    <w:p w:rsidR="00156603" w:rsidRPr="00B37EF3" w:rsidRDefault="00156603" w:rsidP="00A80E14">
      <w:pPr>
        <w:pStyle w:val="BulletArrows"/>
        <w:numPr>
          <w:ilvl w:val="0"/>
          <w:numId w:val="89"/>
        </w:numPr>
        <w:spacing w:after="140"/>
        <w:rPr>
          <w:rFonts w:ascii="Arial" w:hAnsi="Arial"/>
        </w:rPr>
      </w:pPr>
      <w:bookmarkStart w:id="54" w:name="_Toc349815588"/>
      <w:bookmarkStart w:id="55" w:name="_Toc365226059"/>
      <w:r w:rsidRPr="00B37EF3">
        <w:rPr>
          <w:rFonts w:ascii="Arial" w:hAnsi="Arial"/>
          <w:i/>
        </w:rPr>
        <w:t>Additional potential measures</w:t>
      </w:r>
      <w:bookmarkEnd w:id="54"/>
      <w:bookmarkEnd w:id="55"/>
      <w:r w:rsidRPr="00B37EF3">
        <w:rPr>
          <w:rFonts w:ascii="Arial" w:hAnsi="Arial"/>
        </w:rPr>
        <w:t>. These are potential additional PM-abatement measures based on a review of Australian studies and successful programs. These measures related to the following emission sources:</w:t>
      </w:r>
    </w:p>
    <w:p w:rsidR="00156603" w:rsidRPr="00B37EF3" w:rsidRDefault="00156603" w:rsidP="00A80E14">
      <w:pPr>
        <w:pStyle w:val="BulletArrows"/>
        <w:numPr>
          <w:ilvl w:val="0"/>
          <w:numId w:val="92"/>
        </w:numPr>
        <w:spacing w:after="140"/>
        <w:rPr>
          <w:rFonts w:ascii="Arial" w:hAnsi="Arial"/>
        </w:rPr>
      </w:pPr>
      <w:r w:rsidRPr="00B37EF3">
        <w:rPr>
          <w:rFonts w:ascii="Arial" w:hAnsi="Arial"/>
        </w:rPr>
        <w:t>Diesel trains</w:t>
      </w:r>
      <w:r w:rsidRPr="00B37EF3">
        <w:rPr>
          <w:rFonts w:ascii="Arial" w:hAnsi="Arial"/>
          <w:b/>
        </w:rPr>
        <w:t xml:space="preserve"> </w:t>
      </w:r>
      <w:r w:rsidRPr="00B37EF3">
        <w:rPr>
          <w:rFonts w:ascii="Arial" w:hAnsi="Arial"/>
        </w:rPr>
        <w:t>– Introduction of emission standards, accelerated replacement of old locomotives, and driver assistance software to reduce fuel use</w:t>
      </w:r>
    </w:p>
    <w:p w:rsidR="00156603" w:rsidRPr="00B37EF3" w:rsidRDefault="00156603" w:rsidP="00A80E14">
      <w:pPr>
        <w:pStyle w:val="BulletArrows"/>
        <w:numPr>
          <w:ilvl w:val="0"/>
          <w:numId w:val="92"/>
        </w:numPr>
        <w:spacing w:after="140"/>
        <w:rPr>
          <w:rFonts w:ascii="Arial" w:hAnsi="Arial"/>
        </w:rPr>
      </w:pPr>
      <w:r w:rsidRPr="00B37EF3">
        <w:rPr>
          <w:rFonts w:ascii="Arial" w:hAnsi="Arial"/>
        </w:rPr>
        <w:t>In-service diesel equipment – Extension (to other jurisdictions) of the NSW framework for retrofitting high-polluting diesel engine equipment with diesel particulate filters (DPFs)</w:t>
      </w:r>
    </w:p>
    <w:p w:rsidR="00156603" w:rsidRPr="00B37EF3" w:rsidRDefault="00156603" w:rsidP="00A80E14">
      <w:pPr>
        <w:pStyle w:val="BulletArrows"/>
        <w:numPr>
          <w:ilvl w:val="0"/>
          <w:numId w:val="92"/>
        </w:numPr>
        <w:spacing w:after="140"/>
        <w:rPr>
          <w:rFonts w:ascii="Arial" w:hAnsi="Arial"/>
        </w:rPr>
      </w:pPr>
      <w:r w:rsidRPr="00B37EF3">
        <w:rPr>
          <w:rFonts w:ascii="Arial" w:hAnsi="Arial"/>
        </w:rPr>
        <w:lastRenderedPageBreak/>
        <w:t>Shipping – Use of low-sulfur fuel at berth, and a memorandum of understanding (MOU) to reduce vessel speed as ships approach and depart ports</w:t>
      </w:r>
    </w:p>
    <w:p w:rsidR="00156603" w:rsidRPr="00B37EF3" w:rsidRDefault="00156603" w:rsidP="00A80E14">
      <w:pPr>
        <w:pStyle w:val="BulletArrows"/>
        <w:numPr>
          <w:ilvl w:val="0"/>
          <w:numId w:val="92"/>
        </w:numPr>
        <w:spacing w:after="140"/>
        <w:rPr>
          <w:rFonts w:ascii="Arial" w:hAnsi="Arial"/>
        </w:rPr>
      </w:pPr>
      <w:r w:rsidRPr="00B37EF3">
        <w:rPr>
          <w:rFonts w:ascii="Arial" w:hAnsi="Arial"/>
        </w:rPr>
        <w:t>Coal dust – Application of best practice controls for PM at coal mines</w:t>
      </w:r>
    </w:p>
    <w:p w:rsidR="00156603" w:rsidRPr="00B37EF3" w:rsidRDefault="00156603" w:rsidP="00A80E14">
      <w:pPr>
        <w:pStyle w:val="BulletArrows"/>
        <w:numPr>
          <w:ilvl w:val="0"/>
          <w:numId w:val="92"/>
        </w:numPr>
        <w:spacing w:after="240"/>
        <w:rPr>
          <w:rFonts w:ascii="Arial" w:hAnsi="Arial"/>
        </w:rPr>
      </w:pPr>
      <w:r w:rsidRPr="00B37EF3">
        <w:rPr>
          <w:rFonts w:ascii="Arial" w:hAnsi="Arial"/>
        </w:rPr>
        <w:t xml:space="preserve">Light commercial vehicles – Behaviour change </w:t>
      </w:r>
      <w:r w:rsidR="009938C5" w:rsidRPr="00B37EF3">
        <w:rPr>
          <w:rFonts w:ascii="Arial" w:hAnsi="Arial"/>
        </w:rPr>
        <w:t>program</w:t>
      </w:r>
      <w:r w:rsidRPr="00B37EF3">
        <w:rPr>
          <w:rFonts w:ascii="Arial" w:hAnsi="Arial"/>
        </w:rPr>
        <w:t xml:space="preserve"> (‘eco-driving’ to reduce engine idling), and a targeted inspection and maintenance </w:t>
      </w:r>
      <w:r w:rsidR="009938C5" w:rsidRPr="00B37EF3">
        <w:rPr>
          <w:rFonts w:ascii="Arial" w:hAnsi="Arial"/>
        </w:rPr>
        <w:t>program</w:t>
      </w:r>
      <w:r w:rsidRPr="00B37EF3">
        <w:rPr>
          <w:rFonts w:ascii="Arial" w:hAnsi="Arial"/>
        </w:rPr>
        <w:t xml:space="preserve"> using a remote-sensing device to identify high-emitting vehicles.</w:t>
      </w:r>
    </w:p>
    <w:p w:rsidR="00156603" w:rsidRPr="00B37EF3" w:rsidRDefault="00156603" w:rsidP="00A80E14">
      <w:pPr>
        <w:pStyle w:val="BulletArrows"/>
        <w:numPr>
          <w:ilvl w:val="0"/>
          <w:numId w:val="89"/>
        </w:numPr>
        <w:spacing w:after="140"/>
        <w:rPr>
          <w:rFonts w:ascii="Arial" w:hAnsi="Arial"/>
        </w:rPr>
      </w:pPr>
      <w:bookmarkStart w:id="56" w:name="_Toc349815589"/>
      <w:bookmarkStart w:id="57" w:name="_Toc365226060"/>
      <w:r w:rsidRPr="00B37EF3">
        <w:rPr>
          <w:rFonts w:ascii="Arial" w:hAnsi="Arial"/>
          <w:i/>
        </w:rPr>
        <w:t>Other potential measures</w:t>
      </w:r>
      <w:bookmarkEnd w:id="56"/>
      <w:bookmarkEnd w:id="57"/>
      <w:r w:rsidRPr="00B37EF3">
        <w:rPr>
          <w:rFonts w:ascii="Arial" w:hAnsi="Arial"/>
        </w:rPr>
        <w:t xml:space="preserve">. In addition to the above measures, several other potential abatement measures </w:t>
      </w:r>
      <w:r w:rsidR="00DE604D" w:rsidRPr="00B37EF3">
        <w:rPr>
          <w:rFonts w:ascii="Arial" w:hAnsi="Arial"/>
        </w:rPr>
        <w:t xml:space="preserve">are available </w:t>
      </w:r>
      <w:r w:rsidRPr="00B37EF3">
        <w:rPr>
          <w:rFonts w:ascii="Arial" w:hAnsi="Arial"/>
        </w:rPr>
        <w:t xml:space="preserve">from the literature. These measures </w:t>
      </w:r>
      <w:r w:rsidR="00DE604D" w:rsidRPr="00B37EF3">
        <w:rPr>
          <w:rFonts w:ascii="Arial" w:hAnsi="Arial"/>
        </w:rPr>
        <w:t>are</w:t>
      </w:r>
      <w:r w:rsidRPr="00B37EF3">
        <w:rPr>
          <w:rFonts w:ascii="Arial" w:hAnsi="Arial"/>
        </w:rPr>
        <w:t>:</w:t>
      </w:r>
    </w:p>
    <w:p w:rsidR="00156603" w:rsidRPr="00B37EF3" w:rsidRDefault="006F20CC" w:rsidP="00A80E14">
      <w:pPr>
        <w:pStyle w:val="BulletArrows"/>
        <w:numPr>
          <w:ilvl w:val="0"/>
          <w:numId w:val="94"/>
        </w:numPr>
        <w:spacing w:after="140"/>
        <w:rPr>
          <w:rFonts w:ascii="Arial" w:hAnsi="Arial"/>
          <w:color w:val="auto"/>
        </w:rPr>
      </w:pPr>
      <w:r w:rsidRPr="00B37EF3">
        <w:rPr>
          <w:rFonts w:ascii="Arial" w:hAnsi="Arial"/>
          <w:color w:val="auto"/>
        </w:rPr>
        <w:t>p</w:t>
      </w:r>
      <w:r w:rsidR="00156603" w:rsidRPr="00B37EF3">
        <w:rPr>
          <w:rFonts w:ascii="Arial" w:hAnsi="Arial"/>
          <w:color w:val="auto"/>
        </w:rPr>
        <w:t>enalties and incentives to reduce emissions from gross-polluting heavy-duty diesel vehicles</w:t>
      </w:r>
    </w:p>
    <w:p w:rsidR="00156603" w:rsidRPr="00B37EF3" w:rsidRDefault="006F20CC" w:rsidP="00A80E14">
      <w:pPr>
        <w:pStyle w:val="BulletArrows"/>
        <w:numPr>
          <w:ilvl w:val="0"/>
          <w:numId w:val="94"/>
        </w:numPr>
        <w:spacing w:after="140"/>
        <w:rPr>
          <w:rFonts w:ascii="Arial" w:hAnsi="Arial"/>
          <w:color w:val="auto"/>
        </w:rPr>
      </w:pPr>
      <w:r w:rsidRPr="00B37EF3">
        <w:rPr>
          <w:rFonts w:ascii="Arial" w:hAnsi="Arial"/>
          <w:color w:val="auto"/>
        </w:rPr>
        <w:t>u</w:t>
      </w:r>
      <w:r w:rsidR="00156603" w:rsidRPr="00B37EF3">
        <w:rPr>
          <w:rFonts w:ascii="Arial" w:hAnsi="Arial"/>
          <w:color w:val="auto"/>
        </w:rPr>
        <w:t>se of licence</w:t>
      </w:r>
      <w:r w:rsidR="00122C98" w:rsidRPr="00B37EF3">
        <w:rPr>
          <w:rFonts w:ascii="Arial" w:hAnsi="Arial"/>
          <w:color w:val="auto"/>
        </w:rPr>
        <w:t xml:space="preserve"> conditions at mine</w:t>
      </w:r>
      <w:r w:rsidR="00156603" w:rsidRPr="00B37EF3">
        <w:rPr>
          <w:rFonts w:ascii="Arial" w:hAnsi="Arial"/>
          <w:color w:val="auto"/>
        </w:rPr>
        <w:t xml:space="preserve"> sites to reduce emissions from in-service non-road diesel engines</w:t>
      </w:r>
    </w:p>
    <w:p w:rsidR="00156603" w:rsidRPr="00B37EF3" w:rsidRDefault="006F20CC" w:rsidP="00A80E14">
      <w:pPr>
        <w:pStyle w:val="BulletArrows"/>
        <w:numPr>
          <w:ilvl w:val="0"/>
          <w:numId w:val="94"/>
        </w:numPr>
        <w:spacing w:after="140"/>
        <w:rPr>
          <w:rFonts w:ascii="Arial" w:hAnsi="Arial"/>
          <w:color w:val="auto"/>
        </w:rPr>
      </w:pPr>
      <w:r w:rsidRPr="00B37EF3">
        <w:rPr>
          <w:rFonts w:ascii="Arial" w:hAnsi="Arial"/>
          <w:color w:val="auto"/>
        </w:rPr>
        <w:t>m</w:t>
      </w:r>
      <w:r w:rsidR="00156603" w:rsidRPr="00B37EF3">
        <w:rPr>
          <w:rFonts w:ascii="Arial" w:hAnsi="Arial"/>
          <w:color w:val="auto"/>
        </w:rPr>
        <w:t>easures to reduce emissions from in-service wood heaters</w:t>
      </w:r>
    </w:p>
    <w:p w:rsidR="00156603" w:rsidRPr="00B37EF3" w:rsidRDefault="00156603" w:rsidP="00A80E14">
      <w:pPr>
        <w:pStyle w:val="BulletArrows"/>
        <w:numPr>
          <w:ilvl w:val="0"/>
          <w:numId w:val="94"/>
        </w:numPr>
        <w:spacing w:after="360"/>
        <w:rPr>
          <w:rFonts w:ascii="Arial" w:hAnsi="Arial"/>
          <w:color w:val="auto"/>
        </w:rPr>
      </w:pPr>
      <w:proofErr w:type="gramStart"/>
      <w:r w:rsidRPr="00B37EF3">
        <w:rPr>
          <w:rFonts w:ascii="Arial" w:hAnsi="Arial"/>
          <w:color w:val="auto"/>
        </w:rPr>
        <w:t>use</w:t>
      </w:r>
      <w:proofErr w:type="gramEnd"/>
      <w:r w:rsidRPr="00B37EF3">
        <w:rPr>
          <w:rFonts w:ascii="Arial" w:hAnsi="Arial"/>
          <w:color w:val="auto"/>
        </w:rPr>
        <w:t xml:space="preserve"> of vegetation to reduce atmospheric concentrations of PM.</w:t>
      </w:r>
    </w:p>
    <w:p w:rsidR="00212AF4" w:rsidRPr="00B37EF3" w:rsidRDefault="00212AF4" w:rsidP="00A54686">
      <w:pPr>
        <w:pStyle w:val="Heading2"/>
        <w:spacing w:after="120"/>
        <w:rPr>
          <w:rFonts w:ascii="Arial" w:hAnsi="Arial"/>
        </w:rPr>
      </w:pPr>
      <w:bookmarkStart w:id="58" w:name="_Toc394011099"/>
      <w:r w:rsidRPr="00B37EF3">
        <w:rPr>
          <w:rFonts w:ascii="Arial" w:hAnsi="Arial"/>
        </w:rPr>
        <w:t xml:space="preserve">International air quality standards and </w:t>
      </w:r>
      <w:r w:rsidR="00463F1B" w:rsidRPr="00B37EF3">
        <w:rPr>
          <w:rFonts w:ascii="Arial" w:hAnsi="Arial"/>
        </w:rPr>
        <w:t>exposure-reduction frameworks</w:t>
      </w:r>
      <w:bookmarkEnd w:id="58"/>
    </w:p>
    <w:p w:rsidR="005D439F" w:rsidRPr="00B37EF3" w:rsidRDefault="005D439F" w:rsidP="00A54686">
      <w:pPr>
        <w:pStyle w:val="Heading3"/>
        <w:spacing w:before="120" w:after="120"/>
        <w:rPr>
          <w:rFonts w:ascii="Arial" w:hAnsi="Arial"/>
          <w:lang w:eastAsia="en-US"/>
        </w:rPr>
      </w:pPr>
      <w:bookmarkStart w:id="59" w:name="_Ref365638678"/>
      <w:bookmarkStart w:id="60" w:name="_Toc394011100"/>
      <w:r w:rsidRPr="00B37EF3">
        <w:rPr>
          <w:rFonts w:ascii="Arial" w:hAnsi="Arial"/>
          <w:lang w:eastAsia="en-US"/>
        </w:rPr>
        <w:t xml:space="preserve">Air quality </w:t>
      </w:r>
      <w:r w:rsidR="00851AB3" w:rsidRPr="00B37EF3">
        <w:rPr>
          <w:rFonts w:ascii="Arial" w:hAnsi="Arial"/>
          <w:lang w:eastAsia="en-US"/>
        </w:rPr>
        <w:t xml:space="preserve">guidelines and </w:t>
      </w:r>
      <w:r w:rsidRPr="00B37EF3">
        <w:rPr>
          <w:rFonts w:ascii="Arial" w:hAnsi="Arial"/>
          <w:lang w:eastAsia="en-US"/>
        </w:rPr>
        <w:t>standards</w:t>
      </w:r>
      <w:bookmarkEnd w:id="59"/>
      <w:bookmarkEnd w:id="60"/>
    </w:p>
    <w:p w:rsidR="009543B4" w:rsidRPr="00B37EF3" w:rsidRDefault="009543B4" w:rsidP="009B2877">
      <w:pPr>
        <w:spacing w:after="300"/>
        <w:rPr>
          <w:rFonts w:ascii="Arial" w:hAnsi="Arial" w:cs="Arial"/>
        </w:rPr>
      </w:pPr>
      <w:r w:rsidRPr="00B37EF3">
        <w:rPr>
          <w:rFonts w:ascii="Arial" w:hAnsi="Arial" w:cs="Arial"/>
        </w:rPr>
        <w:t>The following paragraphs summarise the</w:t>
      </w:r>
      <w:r w:rsidR="009B2877" w:rsidRPr="00B37EF3">
        <w:rPr>
          <w:rFonts w:ascii="Arial" w:hAnsi="Arial" w:cs="Arial"/>
        </w:rPr>
        <w:t xml:space="preserve"> main</w:t>
      </w:r>
      <w:r w:rsidRPr="00B37EF3">
        <w:rPr>
          <w:rFonts w:ascii="Arial" w:hAnsi="Arial" w:cs="Arial"/>
        </w:rPr>
        <w:t xml:space="preserve"> air quality standards for PM</w:t>
      </w:r>
      <w:r w:rsidRPr="00B37EF3">
        <w:rPr>
          <w:rFonts w:ascii="Arial" w:hAnsi="Arial" w:cs="Arial"/>
          <w:vertAlign w:val="subscript"/>
        </w:rPr>
        <w:t>10</w:t>
      </w:r>
      <w:r w:rsidRPr="00B37EF3">
        <w:rPr>
          <w:rFonts w:ascii="Arial" w:hAnsi="Arial" w:cs="Arial"/>
        </w:rPr>
        <w:t xml:space="preserve"> and PM</w:t>
      </w:r>
      <w:r w:rsidRPr="00B37EF3">
        <w:rPr>
          <w:rFonts w:ascii="Arial" w:hAnsi="Arial" w:cs="Arial"/>
          <w:vertAlign w:val="subscript"/>
        </w:rPr>
        <w:t>2.5</w:t>
      </w:r>
      <w:r w:rsidRPr="00B37EF3">
        <w:rPr>
          <w:rFonts w:ascii="Arial" w:hAnsi="Arial" w:cs="Arial"/>
        </w:rPr>
        <w:t xml:space="preserve"> that are used internationally. The numerical values of the different standards, and the associated criteria, a</w:t>
      </w:r>
      <w:r w:rsidR="00FE39B6" w:rsidRPr="00B37EF3">
        <w:rPr>
          <w:rFonts w:ascii="Arial" w:hAnsi="Arial" w:cs="Arial"/>
        </w:rPr>
        <w:t>re summarised at the end of the</w:t>
      </w:r>
      <w:r w:rsidRPr="00B37EF3">
        <w:rPr>
          <w:rFonts w:ascii="Arial" w:hAnsi="Arial" w:cs="Arial"/>
        </w:rPr>
        <w:t xml:space="preserve"> </w:t>
      </w:r>
      <w:r w:rsidR="006F20CC" w:rsidRPr="00B37EF3">
        <w:rPr>
          <w:rFonts w:ascii="Arial" w:hAnsi="Arial" w:cs="Arial"/>
        </w:rPr>
        <w:t>s</w:t>
      </w:r>
      <w:r w:rsidRPr="00B37EF3">
        <w:rPr>
          <w:rFonts w:ascii="Arial" w:hAnsi="Arial" w:cs="Arial"/>
        </w:rPr>
        <w:t>ection.</w:t>
      </w:r>
    </w:p>
    <w:p w:rsidR="00F7098D" w:rsidRPr="00B37EF3" w:rsidRDefault="00212AF4" w:rsidP="00A54686">
      <w:pPr>
        <w:pStyle w:val="Level4PB2"/>
        <w:spacing w:before="120" w:after="120"/>
        <w:rPr>
          <w:rFonts w:ascii="Arial" w:hAnsi="Arial" w:cs="Arial"/>
          <w:lang w:val="en-AU"/>
        </w:rPr>
      </w:pPr>
      <w:r w:rsidRPr="00B37EF3">
        <w:rPr>
          <w:rFonts w:ascii="Arial" w:hAnsi="Arial" w:cs="Arial"/>
          <w:lang w:val="en-AU"/>
        </w:rPr>
        <w:t>WHO</w:t>
      </w:r>
      <w:r w:rsidR="00C83795" w:rsidRPr="00B37EF3">
        <w:rPr>
          <w:rFonts w:ascii="Arial" w:hAnsi="Arial" w:cs="Arial"/>
          <w:lang w:val="en-AU"/>
        </w:rPr>
        <w:t xml:space="preserve"> </w:t>
      </w:r>
      <w:r w:rsidR="00F7098D" w:rsidRPr="00B37EF3">
        <w:rPr>
          <w:rFonts w:ascii="Arial" w:hAnsi="Arial" w:cs="Arial"/>
          <w:lang w:val="en-AU"/>
        </w:rPr>
        <w:t>2005 global update</w:t>
      </w:r>
    </w:p>
    <w:p w:rsidR="009543B4" w:rsidRPr="00B37EF3" w:rsidRDefault="00F64311" w:rsidP="00810588">
      <w:pPr>
        <w:spacing w:after="180"/>
        <w:rPr>
          <w:rFonts w:ascii="Arial" w:hAnsi="Arial" w:cs="Arial"/>
        </w:rPr>
      </w:pPr>
      <w:r w:rsidRPr="00B37EF3">
        <w:rPr>
          <w:rFonts w:ascii="Arial" w:hAnsi="Arial" w:cs="Arial"/>
        </w:rPr>
        <w:t xml:space="preserve">Air quality </w:t>
      </w:r>
      <w:r w:rsidR="009543B4" w:rsidRPr="00B37EF3">
        <w:rPr>
          <w:rFonts w:ascii="Arial" w:hAnsi="Arial" w:cs="Arial"/>
        </w:rPr>
        <w:t>guidelines have been de</w:t>
      </w:r>
      <w:r w:rsidRPr="00B37EF3">
        <w:rPr>
          <w:rFonts w:ascii="Arial" w:hAnsi="Arial" w:cs="Arial"/>
        </w:rPr>
        <w:t xml:space="preserve">veloped for the most common </w:t>
      </w:r>
      <w:r w:rsidR="009543B4" w:rsidRPr="00B37EF3">
        <w:rPr>
          <w:rFonts w:ascii="Arial" w:hAnsi="Arial" w:cs="Arial"/>
        </w:rPr>
        <w:t>pollutants by the W</w:t>
      </w:r>
      <w:r w:rsidRPr="00B37EF3">
        <w:rPr>
          <w:rFonts w:ascii="Arial" w:hAnsi="Arial" w:cs="Arial"/>
        </w:rPr>
        <w:t xml:space="preserve">orld Health Organization (WHO). These guidelines are based </w:t>
      </w:r>
      <w:r w:rsidR="00984A2E" w:rsidRPr="00B37EF3">
        <w:rPr>
          <w:rFonts w:ascii="Arial" w:hAnsi="Arial" w:cs="Arial"/>
        </w:rPr>
        <w:t>s</w:t>
      </w:r>
      <w:r w:rsidRPr="00B37EF3">
        <w:rPr>
          <w:rFonts w:ascii="Arial" w:hAnsi="Arial" w:cs="Arial"/>
        </w:rPr>
        <w:t xml:space="preserve">olely on health considerations, and </w:t>
      </w:r>
      <w:r w:rsidR="009543B4" w:rsidRPr="00B37EF3">
        <w:rPr>
          <w:rFonts w:ascii="Arial" w:hAnsi="Arial" w:cs="Arial"/>
        </w:rPr>
        <w:t xml:space="preserve">are used as the basis </w:t>
      </w:r>
      <w:r w:rsidR="006F20CC" w:rsidRPr="00B37EF3">
        <w:rPr>
          <w:rFonts w:ascii="Arial" w:hAnsi="Arial" w:cs="Arial"/>
        </w:rPr>
        <w:t xml:space="preserve">for </w:t>
      </w:r>
      <w:r w:rsidR="003C0575" w:rsidRPr="00B37EF3">
        <w:rPr>
          <w:rFonts w:ascii="Arial" w:hAnsi="Arial" w:cs="Arial"/>
        </w:rPr>
        <w:t xml:space="preserve">development of </w:t>
      </w:r>
      <w:r w:rsidR="009543B4" w:rsidRPr="00B37EF3">
        <w:rPr>
          <w:rFonts w:ascii="Arial" w:hAnsi="Arial" w:cs="Arial"/>
        </w:rPr>
        <w:t>air qual</w:t>
      </w:r>
      <w:r w:rsidRPr="00B37EF3">
        <w:rPr>
          <w:rFonts w:ascii="Arial" w:hAnsi="Arial" w:cs="Arial"/>
        </w:rPr>
        <w:t>ity standards and legislative frameworks in many countries</w:t>
      </w:r>
      <w:r w:rsidR="009543B4" w:rsidRPr="00B37EF3">
        <w:rPr>
          <w:rFonts w:ascii="Arial" w:hAnsi="Arial" w:cs="Arial"/>
        </w:rPr>
        <w:t xml:space="preserve">. </w:t>
      </w:r>
      <w:r w:rsidRPr="00B37EF3">
        <w:rPr>
          <w:rFonts w:ascii="Arial" w:hAnsi="Arial" w:cs="Arial"/>
        </w:rPr>
        <w:t xml:space="preserve">WHO recommends that social and economic issues for each country or region should be considered when setting local standards </w:t>
      </w:r>
      <w:r w:rsidRPr="00B37EF3">
        <w:rPr>
          <w:rFonts w:ascii="Arial" w:hAnsi="Arial" w:cs="Arial"/>
          <w:b/>
        </w:rPr>
        <w:t>(NEPC 2011b)</w:t>
      </w:r>
      <w:proofErr w:type="gramStart"/>
      <w:r w:rsidRPr="00B37EF3">
        <w:rPr>
          <w:rFonts w:ascii="Arial" w:hAnsi="Arial" w:cs="Arial"/>
        </w:rPr>
        <w:t>.</w:t>
      </w:r>
      <w:proofErr w:type="gramEnd"/>
    </w:p>
    <w:p w:rsidR="006C1023" w:rsidRPr="00B37EF3" w:rsidRDefault="001F6E80" w:rsidP="00810588">
      <w:pPr>
        <w:spacing w:after="180"/>
        <w:rPr>
          <w:rFonts w:ascii="Arial" w:hAnsi="Arial" w:cs="Arial"/>
        </w:rPr>
      </w:pPr>
      <w:r w:rsidRPr="00B37EF3">
        <w:rPr>
          <w:rFonts w:ascii="Arial" w:hAnsi="Arial" w:cs="Arial"/>
        </w:rPr>
        <w:t>The g</w:t>
      </w:r>
      <w:r w:rsidR="00220AA8" w:rsidRPr="00B37EF3">
        <w:rPr>
          <w:rFonts w:ascii="Arial" w:hAnsi="Arial" w:cs="Arial"/>
        </w:rPr>
        <w:t>uidelines were initially published by the WHO in 1987, and were revised in 1997 and 2000. T</w:t>
      </w:r>
      <w:r w:rsidR="00F64311" w:rsidRPr="00B37EF3">
        <w:rPr>
          <w:rFonts w:ascii="Arial" w:hAnsi="Arial" w:cs="Arial"/>
        </w:rPr>
        <w:t>he guidelines</w:t>
      </w:r>
      <w:r w:rsidR="009543B4" w:rsidRPr="00B37EF3">
        <w:rPr>
          <w:rFonts w:ascii="Arial" w:hAnsi="Arial" w:cs="Arial"/>
        </w:rPr>
        <w:t xml:space="preserve"> were most recently </w:t>
      </w:r>
      <w:r w:rsidR="00220AA8" w:rsidRPr="00B37EF3">
        <w:rPr>
          <w:rFonts w:ascii="Arial" w:hAnsi="Arial" w:cs="Arial"/>
        </w:rPr>
        <w:t>subject to a global update</w:t>
      </w:r>
      <w:r w:rsidR="009543B4" w:rsidRPr="00B37EF3">
        <w:rPr>
          <w:rFonts w:ascii="Arial" w:hAnsi="Arial" w:cs="Arial"/>
        </w:rPr>
        <w:t xml:space="preserve"> in 2005</w:t>
      </w:r>
      <w:r w:rsidR="00BC519C" w:rsidRPr="00B37EF3">
        <w:rPr>
          <w:rFonts w:ascii="Arial" w:hAnsi="Arial" w:cs="Arial"/>
        </w:rPr>
        <w:t xml:space="preserve"> </w:t>
      </w:r>
      <w:r w:rsidR="00BC519C" w:rsidRPr="00B37EF3">
        <w:rPr>
          <w:rFonts w:ascii="Arial" w:hAnsi="Arial" w:cs="Arial"/>
          <w:b/>
        </w:rPr>
        <w:t>(Who Regional Office for Europe 2006)</w:t>
      </w:r>
      <w:r w:rsidR="009543B4" w:rsidRPr="00B37EF3">
        <w:rPr>
          <w:rFonts w:ascii="Arial" w:hAnsi="Arial" w:cs="Arial"/>
        </w:rPr>
        <w:t xml:space="preserve">. </w:t>
      </w:r>
      <w:r w:rsidR="00BD5B84" w:rsidRPr="00B37EF3">
        <w:rPr>
          <w:rFonts w:ascii="Arial" w:hAnsi="Arial" w:cs="Arial"/>
        </w:rPr>
        <w:t xml:space="preserve">For each update </w:t>
      </w:r>
      <w:r w:rsidR="00984A2E" w:rsidRPr="00B37EF3">
        <w:rPr>
          <w:rFonts w:ascii="Arial" w:hAnsi="Arial" w:cs="Arial"/>
        </w:rPr>
        <w:t xml:space="preserve">WHO </w:t>
      </w:r>
      <w:r w:rsidR="006F20CC" w:rsidRPr="00B37EF3">
        <w:rPr>
          <w:rFonts w:ascii="Arial" w:hAnsi="Arial" w:cs="Arial"/>
        </w:rPr>
        <w:t xml:space="preserve">assesses </w:t>
      </w:r>
      <w:r w:rsidR="00984A2E" w:rsidRPr="00B37EF3">
        <w:rPr>
          <w:rFonts w:ascii="Arial" w:hAnsi="Arial" w:cs="Arial"/>
        </w:rPr>
        <w:t xml:space="preserve">both </w:t>
      </w:r>
      <w:r w:rsidR="00F64311" w:rsidRPr="00B37EF3">
        <w:rPr>
          <w:rFonts w:ascii="Arial" w:hAnsi="Arial" w:cs="Arial"/>
        </w:rPr>
        <w:t xml:space="preserve">the </w:t>
      </w:r>
      <w:r w:rsidR="00984A2E" w:rsidRPr="00B37EF3">
        <w:rPr>
          <w:rFonts w:ascii="Arial" w:hAnsi="Arial" w:cs="Arial"/>
        </w:rPr>
        <w:t>epidemiol</w:t>
      </w:r>
      <w:r w:rsidR="00F64311" w:rsidRPr="00B37EF3">
        <w:rPr>
          <w:rFonts w:ascii="Arial" w:hAnsi="Arial" w:cs="Arial"/>
        </w:rPr>
        <w:t>ogical and toxicological data, although i</w:t>
      </w:r>
      <w:r w:rsidR="00984A2E" w:rsidRPr="00B37EF3">
        <w:rPr>
          <w:rFonts w:ascii="Arial" w:hAnsi="Arial" w:cs="Arial"/>
        </w:rPr>
        <w:t xml:space="preserve">n recent years </w:t>
      </w:r>
      <w:r w:rsidR="00BD5B84" w:rsidRPr="00B37EF3">
        <w:rPr>
          <w:rFonts w:ascii="Arial" w:hAnsi="Arial" w:cs="Arial"/>
        </w:rPr>
        <w:t xml:space="preserve">the emphasis </w:t>
      </w:r>
      <w:r w:rsidR="00984A2E" w:rsidRPr="00B37EF3">
        <w:rPr>
          <w:rFonts w:ascii="Arial" w:hAnsi="Arial" w:cs="Arial"/>
        </w:rPr>
        <w:t>has been on the use of population-based epidemiological studies. The results of controlled human exposure studies and of toxicological studies add to the weight of evidence for an adverse effect linked to exposure to the poll</w:t>
      </w:r>
      <w:r w:rsidR="00F64311" w:rsidRPr="00B37EF3">
        <w:rPr>
          <w:rFonts w:ascii="Arial" w:hAnsi="Arial" w:cs="Arial"/>
        </w:rPr>
        <w:t xml:space="preserve">utant under consideration, and </w:t>
      </w:r>
      <w:r w:rsidR="00984A2E" w:rsidRPr="00B37EF3">
        <w:rPr>
          <w:rFonts w:ascii="Arial" w:hAnsi="Arial" w:cs="Arial"/>
        </w:rPr>
        <w:t>also p</w:t>
      </w:r>
      <w:r w:rsidR="00BD5B84" w:rsidRPr="00B37EF3">
        <w:rPr>
          <w:rFonts w:ascii="Arial" w:hAnsi="Arial" w:cs="Arial"/>
        </w:rPr>
        <w:t xml:space="preserve">rovide evidence for </w:t>
      </w:r>
      <w:r w:rsidR="00F64311" w:rsidRPr="00B37EF3">
        <w:rPr>
          <w:rFonts w:ascii="Arial" w:hAnsi="Arial" w:cs="Arial"/>
        </w:rPr>
        <w:t xml:space="preserve">the </w:t>
      </w:r>
      <w:r w:rsidR="00BD5B84" w:rsidRPr="00B37EF3">
        <w:rPr>
          <w:rFonts w:ascii="Arial" w:hAnsi="Arial" w:cs="Arial"/>
        </w:rPr>
        <w:t>biological</w:t>
      </w:r>
      <w:r w:rsidR="00984A2E" w:rsidRPr="00B37EF3">
        <w:rPr>
          <w:rFonts w:ascii="Arial" w:hAnsi="Arial" w:cs="Arial"/>
        </w:rPr>
        <w:t xml:space="preserve"> plausibility of the effects observed in the epidemiological studies. Strict criteria have been developed to guide the sele</w:t>
      </w:r>
      <w:r w:rsidR="00F64311" w:rsidRPr="00B37EF3">
        <w:rPr>
          <w:rFonts w:ascii="Arial" w:hAnsi="Arial" w:cs="Arial"/>
        </w:rPr>
        <w:t>ction and evaluation of studies</w:t>
      </w:r>
      <w:r w:rsidR="00984A2E" w:rsidRPr="00B37EF3">
        <w:rPr>
          <w:rFonts w:ascii="Arial" w:hAnsi="Arial" w:cs="Arial"/>
        </w:rPr>
        <w:t xml:space="preserve"> as part of systematic review</w:t>
      </w:r>
      <w:r w:rsidR="002D2B0C" w:rsidRPr="00B37EF3">
        <w:rPr>
          <w:rFonts w:ascii="Arial" w:hAnsi="Arial" w:cs="Arial"/>
        </w:rPr>
        <w:t>s</w:t>
      </w:r>
      <w:r w:rsidR="00984A2E" w:rsidRPr="00B37EF3">
        <w:rPr>
          <w:rFonts w:ascii="Arial" w:hAnsi="Arial" w:cs="Arial"/>
        </w:rPr>
        <w:t xml:space="preserve"> of the literature. </w:t>
      </w:r>
      <w:r w:rsidR="006C1023" w:rsidRPr="00B37EF3">
        <w:rPr>
          <w:rFonts w:ascii="Arial" w:hAnsi="Arial" w:cs="Arial"/>
        </w:rPr>
        <w:t xml:space="preserve">To assess </w:t>
      </w:r>
      <w:r w:rsidR="00F64311" w:rsidRPr="00B37EF3">
        <w:rPr>
          <w:rFonts w:ascii="Arial" w:hAnsi="Arial" w:cs="Arial"/>
        </w:rPr>
        <w:t xml:space="preserve">the </w:t>
      </w:r>
      <w:r w:rsidR="006C1023" w:rsidRPr="00B37EF3">
        <w:rPr>
          <w:rFonts w:ascii="Arial" w:hAnsi="Arial" w:cs="Arial"/>
        </w:rPr>
        <w:t xml:space="preserve">achievability of </w:t>
      </w:r>
      <w:r w:rsidR="00F64311" w:rsidRPr="00B37EF3">
        <w:rPr>
          <w:rFonts w:ascii="Arial" w:hAnsi="Arial" w:cs="Arial"/>
        </w:rPr>
        <w:t xml:space="preserve">the </w:t>
      </w:r>
      <w:r w:rsidR="006C1023" w:rsidRPr="00B37EF3">
        <w:rPr>
          <w:rFonts w:ascii="Arial" w:hAnsi="Arial" w:cs="Arial"/>
        </w:rPr>
        <w:t>guideline values, WHO conducts a qualitative assessment of the health data and reviews air quality data from various parts of the world.</w:t>
      </w:r>
    </w:p>
    <w:p w:rsidR="007A7E0B" w:rsidRPr="00B37EF3" w:rsidRDefault="00B54267" w:rsidP="00B54267">
      <w:pPr>
        <w:rPr>
          <w:rFonts w:ascii="Arial" w:hAnsi="Arial" w:cs="Arial"/>
        </w:rPr>
      </w:pPr>
      <w:r w:rsidRPr="00B37EF3">
        <w:rPr>
          <w:rFonts w:ascii="Arial" w:hAnsi="Arial" w:cs="Arial"/>
          <w:b/>
        </w:rPr>
        <w:t>WHO</w:t>
      </w:r>
      <w:r w:rsidR="00F7098D" w:rsidRPr="00B37EF3">
        <w:rPr>
          <w:rFonts w:ascii="Arial" w:hAnsi="Arial" w:cs="Arial"/>
          <w:b/>
        </w:rPr>
        <w:t xml:space="preserve"> Regional Office for Europe</w:t>
      </w:r>
      <w:r w:rsidRPr="00B37EF3">
        <w:rPr>
          <w:rFonts w:ascii="Arial" w:hAnsi="Arial" w:cs="Arial"/>
          <w:b/>
        </w:rPr>
        <w:t xml:space="preserve"> (2006)</w:t>
      </w:r>
      <w:r w:rsidR="007D46F6" w:rsidRPr="00B37EF3">
        <w:rPr>
          <w:rFonts w:ascii="Arial" w:hAnsi="Arial" w:cs="Arial"/>
        </w:rPr>
        <w:t xml:space="preserve"> established</w:t>
      </w:r>
      <w:r w:rsidRPr="00B37EF3">
        <w:rPr>
          <w:rFonts w:ascii="Arial" w:hAnsi="Arial" w:cs="Arial"/>
        </w:rPr>
        <w:t xml:space="preserve"> air quality guidelines for both short-term (24</w:t>
      </w:r>
      <w:r w:rsidR="006F20CC" w:rsidRPr="00B37EF3">
        <w:rPr>
          <w:rFonts w:ascii="Arial" w:hAnsi="Arial" w:cs="Arial"/>
        </w:rPr>
        <w:t>-</w:t>
      </w:r>
      <w:r w:rsidRPr="00B37EF3">
        <w:rPr>
          <w:rFonts w:ascii="Arial" w:hAnsi="Arial" w:cs="Arial"/>
        </w:rPr>
        <w:t>hour) and long-term (annual) exposure to PM</w:t>
      </w:r>
      <w:r w:rsidRPr="00B37EF3">
        <w:rPr>
          <w:rFonts w:ascii="Arial" w:hAnsi="Arial" w:cs="Arial"/>
          <w:vertAlign w:val="subscript"/>
        </w:rPr>
        <w:t>2.5</w:t>
      </w:r>
      <w:r w:rsidRPr="00B37EF3">
        <w:rPr>
          <w:rFonts w:ascii="Arial" w:hAnsi="Arial" w:cs="Arial"/>
        </w:rPr>
        <w:t xml:space="preserve"> and PM</w:t>
      </w:r>
      <w:r w:rsidRPr="00B37EF3">
        <w:rPr>
          <w:rFonts w:ascii="Arial" w:hAnsi="Arial" w:cs="Arial"/>
          <w:vertAlign w:val="subscript"/>
        </w:rPr>
        <w:t>10</w:t>
      </w:r>
      <w:r w:rsidRPr="00B37EF3">
        <w:rPr>
          <w:rFonts w:ascii="Arial" w:hAnsi="Arial" w:cs="Arial"/>
        </w:rPr>
        <w:t xml:space="preserve"> (</w:t>
      </w:r>
      <w:fldSimple w:instr=" REF _Ref366762150 \h  \* MERGEFORMAT ">
        <w:r w:rsidR="0085182E" w:rsidRPr="0085182E">
          <w:rPr>
            <w:rFonts w:ascii="Arial" w:hAnsi="Arial" w:cs="Arial"/>
            <w:b/>
          </w:rPr>
          <w:t>Table 4.2</w:t>
        </w:r>
      </w:fldSimple>
      <w:r w:rsidRPr="00B37EF3">
        <w:rPr>
          <w:rFonts w:ascii="Arial" w:hAnsi="Arial" w:cs="Arial"/>
        </w:rPr>
        <w:t xml:space="preserve">). </w:t>
      </w:r>
      <w:r w:rsidR="00F64311" w:rsidRPr="00B37EF3">
        <w:rPr>
          <w:rFonts w:ascii="Arial" w:hAnsi="Arial" w:cs="Arial"/>
        </w:rPr>
        <w:t xml:space="preserve">These </w:t>
      </w:r>
      <w:r w:rsidR="00D6640D" w:rsidRPr="00B37EF3">
        <w:rPr>
          <w:rFonts w:ascii="Arial" w:hAnsi="Arial" w:cs="Arial"/>
        </w:rPr>
        <w:t>guidelines we</w:t>
      </w:r>
      <w:r w:rsidRPr="00B37EF3">
        <w:rPr>
          <w:rFonts w:ascii="Arial" w:hAnsi="Arial" w:cs="Arial"/>
        </w:rPr>
        <w:t>re the lowest levels</w:t>
      </w:r>
      <w:r w:rsidR="00D6640D" w:rsidRPr="00B37EF3">
        <w:rPr>
          <w:rFonts w:ascii="Arial" w:hAnsi="Arial" w:cs="Arial"/>
        </w:rPr>
        <w:t xml:space="preserve"> (at the time)</w:t>
      </w:r>
      <w:r w:rsidRPr="00B37EF3">
        <w:rPr>
          <w:rFonts w:ascii="Arial" w:hAnsi="Arial" w:cs="Arial"/>
        </w:rPr>
        <w:t xml:space="preserve"> at which total, cardiopulmonar</w:t>
      </w:r>
      <w:r w:rsidR="00D6640D" w:rsidRPr="00B37EF3">
        <w:rPr>
          <w:rFonts w:ascii="Arial" w:hAnsi="Arial" w:cs="Arial"/>
        </w:rPr>
        <w:t>y and lung cancer mortality had</w:t>
      </w:r>
      <w:r w:rsidRPr="00B37EF3">
        <w:rPr>
          <w:rFonts w:ascii="Arial" w:hAnsi="Arial" w:cs="Arial"/>
        </w:rPr>
        <w:t xml:space="preserve"> been shown to increas</w:t>
      </w:r>
      <w:r w:rsidR="00D6640D" w:rsidRPr="00B37EF3">
        <w:rPr>
          <w:rFonts w:ascii="Arial" w:hAnsi="Arial" w:cs="Arial"/>
        </w:rPr>
        <w:t xml:space="preserve">e </w:t>
      </w:r>
      <w:r w:rsidRPr="00B37EF3">
        <w:rPr>
          <w:rFonts w:ascii="Arial" w:hAnsi="Arial" w:cs="Arial"/>
        </w:rPr>
        <w:t>in response to long-term exposure to PM</w:t>
      </w:r>
      <w:r w:rsidRPr="00B37EF3">
        <w:rPr>
          <w:rFonts w:ascii="Arial" w:hAnsi="Arial" w:cs="Arial"/>
          <w:vertAlign w:val="subscript"/>
        </w:rPr>
        <w:t>2.5</w:t>
      </w:r>
      <w:r w:rsidRPr="00B37EF3">
        <w:rPr>
          <w:rFonts w:ascii="Arial" w:hAnsi="Arial" w:cs="Arial"/>
        </w:rPr>
        <w:t>. The guidelines are based on studies that use PM</w:t>
      </w:r>
      <w:r w:rsidRPr="00B37EF3">
        <w:rPr>
          <w:rFonts w:ascii="Arial" w:hAnsi="Arial" w:cs="Arial"/>
          <w:vertAlign w:val="subscript"/>
        </w:rPr>
        <w:t>2.5</w:t>
      </w:r>
      <w:r w:rsidRPr="00B37EF3">
        <w:rPr>
          <w:rFonts w:ascii="Arial" w:hAnsi="Arial" w:cs="Arial"/>
        </w:rPr>
        <w:t xml:space="preserve"> as an indicator. The PM</w:t>
      </w:r>
      <w:r w:rsidRPr="00B37EF3">
        <w:rPr>
          <w:rFonts w:ascii="Arial" w:hAnsi="Arial" w:cs="Arial"/>
          <w:vertAlign w:val="subscript"/>
        </w:rPr>
        <w:t>2.5</w:t>
      </w:r>
      <w:r w:rsidRPr="00B37EF3">
        <w:rPr>
          <w:rFonts w:ascii="Arial" w:hAnsi="Arial" w:cs="Arial"/>
        </w:rPr>
        <w:t xml:space="preserve"> guideline values are converted to the corresponding PM</w:t>
      </w:r>
      <w:r w:rsidRPr="00B37EF3">
        <w:rPr>
          <w:rFonts w:ascii="Arial" w:hAnsi="Arial" w:cs="Arial"/>
          <w:vertAlign w:val="subscript"/>
        </w:rPr>
        <w:t>10</w:t>
      </w:r>
      <w:r w:rsidRPr="00B37EF3">
        <w:rPr>
          <w:rFonts w:ascii="Arial" w:hAnsi="Arial" w:cs="Arial"/>
        </w:rPr>
        <w:t xml:space="preserve"> guideline values by application of a PM</w:t>
      </w:r>
      <w:r w:rsidRPr="00B37EF3">
        <w:rPr>
          <w:rFonts w:ascii="Arial" w:hAnsi="Arial" w:cs="Arial"/>
          <w:vertAlign w:val="subscript"/>
        </w:rPr>
        <w:t>2.5</w:t>
      </w:r>
      <w:r w:rsidRPr="00B37EF3">
        <w:rPr>
          <w:rFonts w:ascii="Arial" w:hAnsi="Arial" w:cs="Arial"/>
        </w:rPr>
        <w:t>/PM</w:t>
      </w:r>
      <w:r w:rsidRPr="00B37EF3">
        <w:rPr>
          <w:rFonts w:ascii="Arial" w:hAnsi="Arial" w:cs="Arial"/>
          <w:vertAlign w:val="subscript"/>
        </w:rPr>
        <w:t>10</w:t>
      </w:r>
      <w:r w:rsidRPr="00B37EF3">
        <w:rPr>
          <w:rFonts w:ascii="Arial" w:hAnsi="Arial" w:cs="Arial"/>
        </w:rPr>
        <w:t xml:space="preserve"> ratio of 0.5. When setting local standards, and assuming the relevant data are available, a</w:t>
      </w:r>
      <w:r w:rsidR="00F64311" w:rsidRPr="00B37EF3">
        <w:rPr>
          <w:rFonts w:ascii="Arial" w:hAnsi="Arial" w:cs="Arial"/>
        </w:rPr>
        <w:t xml:space="preserve"> different value for this ratio</w:t>
      </w:r>
      <w:r w:rsidRPr="00B37EF3">
        <w:rPr>
          <w:rFonts w:ascii="Arial" w:hAnsi="Arial" w:cs="Arial"/>
        </w:rPr>
        <w:t xml:space="preserve"> </w:t>
      </w:r>
      <w:r w:rsidR="00F64311" w:rsidRPr="00B37EF3">
        <w:rPr>
          <w:rFonts w:ascii="Arial" w:hAnsi="Arial" w:cs="Arial"/>
        </w:rPr>
        <w:t>(</w:t>
      </w:r>
      <w:r w:rsidRPr="00B37EF3">
        <w:rPr>
          <w:rFonts w:ascii="Arial" w:hAnsi="Arial" w:cs="Arial"/>
        </w:rPr>
        <w:t>i.e. one that b</w:t>
      </w:r>
      <w:r w:rsidR="00F64311" w:rsidRPr="00B37EF3">
        <w:rPr>
          <w:rFonts w:ascii="Arial" w:hAnsi="Arial" w:cs="Arial"/>
        </w:rPr>
        <w:t>etter reflects local conditions)</w:t>
      </w:r>
      <w:r w:rsidRPr="00B37EF3">
        <w:rPr>
          <w:rFonts w:ascii="Arial" w:hAnsi="Arial" w:cs="Arial"/>
        </w:rPr>
        <w:t xml:space="preserve"> may be employed.</w:t>
      </w:r>
      <w:r w:rsidR="00487C06" w:rsidRPr="00B37EF3">
        <w:rPr>
          <w:rFonts w:ascii="Arial" w:hAnsi="Arial" w:cs="Arial"/>
        </w:rPr>
        <w:t xml:space="preserve"> The 24-hour mean guidelines are specified as the 99</w:t>
      </w:r>
      <w:r w:rsidR="00487C06" w:rsidRPr="00B37EF3">
        <w:rPr>
          <w:rFonts w:ascii="Arial" w:hAnsi="Arial" w:cs="Arial"/>
          <w:vertAlign w:val="superscript"/>
        </w:rPr>
        <w:t>th</w:t>
      </w:r>
      <w:r w:rsidR="00487C06" w:rsidRPr="00B37EF3">
        <w:rPr>
          <w:rFonts w:ascii="Arial" w:hAnsi="Arial" w:cs="Arial"/>
        </w:rPr>
        <w:t xml:space="preserve"> percentile</w:t>
      </w:r>
      <w:r w:rsidR="00487C06" w:rsidRPr="00B37EF3">
        <w:rPr>
          <w:rStyle w:val="FootnoteReference"/>
          <w:rFonts w:ascii="Arial" w:hAnsi="Arial" w:cs="Arial"/>
          <w:lang w:eastAsia="en-US"/>
        </w:rPr>
        <w:footnoteReference w:id="13"/>
      </w:r>
      <w:r w:rsidR="00487C06" w:rsidRPr="00B37EF3">
        <w:rPr>
          <w:rFonts w:ascii="Arial" w:hAnsi="Arial" w:cs="Arial"/>
        </w:rPr>
        <w:t>.</w:t>
      </w:r>
    </w:p>
    <w:p w:rsidR="00B54267" w:rsidRPr="00B37EF3" w:rsidRDefault="00B54267" w:rsidP="00B54267">
      <w:pPr>
        <w:pStyle w:val="Caption"/>
        <w:rPr>
          <w:rFonts w:ascii="Arial" w:hAnsi="Arial" w:cs="Arial"/>
        </w:rPr>
      </w:pPr>
      <w:bookmarkStart w:id="61" w:name="_Ref366762150"/>
      <w:r w:rsidRPr="00B37EF3">
        <w:rPr>
          <w:rFonts w:ascii="Arial" w:hAnsi="Arial" w:cs="Arial"/>
        </w:rPr>
        <w:lastRenderedPageBreak/>
        <w:t xml:space="preserve">Table </w:t>
      </w:r>
      <w:r w:rsidR="00BF6019" w:rsidRPr="00B37EF3">
        <w:rPr>
          <w:rFonts w:ascii="Arial" w:hAnsi="Arial" w:cs="Arial"/>
        </w:rPr>
        <w:fldChar w:fldCharType="begin"/>
      </w:r>
      <w:r w:rsidRPr="00B37EF3">
        <w:rPr>
          <w:rFonts w:ascii="Arial" w:hAnsi="Arial" w:cs="Arial"/>
        </w:rPr>
        <w:instrText xml:space="preserve"> STYLEREF 1 \s </w:instrText>
      </w:r>
      <w:r w:rsidR="00BF6019" w:rsidRPr="00B37EF3">
        <w:rPr>
          <w:rFonts w:ascii="Arial" w:hAnsi="Arial" w:cs="Arial"/>
        </w:rPr>
        <w:fldChar w:fldCharType="separate"/>
      </w:r>
      <w:r w:rsidR="0085182E">
        <w:rPr>
          <w:rFonts w:ascii="Arial" w:hAnsi="Arial" w:cs="Arial"/>
          <w:noProof/>
        </w:rPr>
        <w:t>4</w:t>
      </w:r>
      <w:r w:rsidR="00BF6019" w:rsidRPr="00B37EF3">
        <w:rPr>
          <w:rFonts w:ascii="Arial" w:hAnsi="Arial" w:cs="Arial"/>
        </w:rPr>
        <w:fldChar w:fldCharType="end"/>
      </w:r>
      <w:r w:rsidRPr="00B37EF3">
        <w:rPr>
          <w:rFonts w:ascii="Arial" w:hAnsi="Arial" w:cs="Arial"/>
        </w:rPr>
        <w:t>.</w:t>
      </w:r>
      <w:r w:rsidR="00BF6019" w:rsidRPr="00B37EF3">
        <w:rPr>
          <w:rFonts w:ascii="Arial" w:hAnsi="Arial" w:cs="Arial"/>
        </w:rPr>
        <w:fldChar w:fldCharType="begin"/>
      </w:r>
      <w:r w:rsidRPr="00B37EF3">
        <w:rPr>
          <w:rFonts w:ascii="Arial" w:hAnsi="Arial" w:cs="Arial"/>
        </w:rPr>
        <w:instrText xml:space="preserve"> SEQ Table \* ARABIC \s 1 </w:instrText>
      </w:r>
      <w:r w:rsidR="00BF6019" w:rsidRPr="00B37EF3">
        <w:rPr>
          <w:rFonts w:ascii="Arial" w:hAnsi="Arial" w:cs="Arial"/>
        </w:rPr>
        <w:fldChar w:fldCharType="separate"/>
      </w:r>
      <w:r w:rsidR="0085182E">
        <w:rPr>
          <w:rFonts w:ascii="Arial" w:hAnsi="Arial" w:cs="Arial"/>
          <w:noProof/>
        </w:rPr>
        <w:t>2</w:t>
      </w:r>
      <w:r w:rsidR="00BF6019" w:rsidRPr="00B37EF3">
        <w:rPr>
          <w:rFonts w:ascii="Arial" w:hAnsi="Arial" w:cs="Arial"/>
        </w:rPr>
        <w:fldChar w:fldCharType="end"/>
      </w:r>
      <w:bookmarkEnd w:id="61"/>
      <w:r w:rsidRPr="00B37EF3">
        <w:rPr>
          <w:rFonts w:ascii="Arial" w:hAnsi="Arial" w:cs="Arial"/>
        </w:rPr>
        <w:t>: WHO guidelines for PM</w:t>
      </w:r>
      <w:r w:rsidRPr="00B37EF3">
        <w:rPr>
          <w:rFonts w:ascii="Arial" w:hAnsi="Arial" w:cs="Arial"/>
          <w:vertAlign w:val="subscript"/>
        </w:rPr>
        <w:t>2.5</w:t>
      </w:r>
      <w:r w:rsidRPr="00B37EF3">
        <w:rPr>
          <w:rFonts w:ascii="Arial" w:hAnsi="Arial" w:cs="Arial"/>
        </w:rPr>
        <w:t xml:space="preserve"> and PM</w:t>
      </w:r>
      <w:r w:rsidRPr="00B37EF3">
        <w:rPr>
          <w:rFonts w:ascii="Arial" w:hAnsi="Arial" w:cs="Arial"/>
          <w:vertAlign w:val="subscript"/>
        </w:rPr>
        <w:t>10</w:t>
      </w:r>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1101"/>
        <w:gridCol w:w="1780"/>
        <w:gridCol w:w="35"/>
        <w:gridCol w:w="1816"/>
      </w:tblGrid>
      <w:tr w:rsidR="00B54267" w:rsidRPr="00B37EF3" w:rsidTr="001F6E80">
        <w:trPr>
          <w:trHeight w:val="548"/>
          <w:jc w:val="center"/>
        </w:trPr>
        <w:tc>
          <w:tcPr>
            <w:tcW w:w="1101" w:type="dxa"/>
            <w:shd w:val="clear" w:color="auto" w:fill="0070C0"/>
            <w:vAlign w:val="center"/>
          </w:tcPr>
          <w:p w:rsidR="00B54267" w:rsidRPr="00B37EF3" w:rsidRDefault="00B54267" w:rsidP="0082018B">
            <w:pPr>
              <w:spacing w:after="0" w:line="240" w:lineRule="auto"/>
              <w:jc w:val="center"/>
              <w:rPr>
                <w:rFonts w:ascii="Arial" w:hAnsi="Arial" w:cs="Arial"/>
                <w:b/>
                <w:color w:val="FFFFFF"/>
                <w:sz w:val="16"/>
                <w:szCs w:val="16"/>
              </w:rPr>
            </w:pPr>
            <w:r w:rsidRPr="00B37EF3">
              <w:rPr>
                <w:rFonts w:ascii="Arial" w:hAnsi="Arial" w:cs="Arial"/>
                <w:b/>
                <w:color w:val="FFFFFF"/>
                <w:sz w:val="16"/>
                <w:szCs w:val="16"/>
              </w:rPr>
              <w:t>PM metric</w:t>
            </w:r>
          </w:p>
        </w:tc>
        <w:tc>
          <w:tcPr>
            <w:tcW w:w="1815" w:type="dxa"/>
            <w:gridSpan w:val="2"/>
            <w:shd w:val="clear" w:color="auto" w:fill="0070C0"/>
            <w:vAlign w:val="center"/>
          </w:tcPr>
          <w:p w:rsidR="00B54267" w:rsidRPr="00B37EF3" w:rsidRDefault="00B54267" w:rsidP="0082018B">
            <w:pPr>
              <w:spacing w:after="0" w:line="240" w:lineRule="auto"/>
              <w:jc w:val="center"/>
              <w:rPr>
                <w:rFonts w:ascii="Arial" w:hAnsi="Arial" w:cs="Arial"/>
                <w:b/>
                <w:color w:val="FFFFFF"/>
                <w:sz w:val="16"/>
                <w:szCs w:val="16"/>
              </w:rPr>
            </w:pPr>
            <w:r w:rsidRPr="00B37EF3">
              <w:rPr>
                <w:rFonts w:ascii="Arial" w:hAnsi="Arial" w:cs="Arial"/>
                <w:b/>
                <w:color w:val="FFFFFF"/>
                <w:sz w:val="16"/>
                <w:szCs w:val="16"/>
              </w:rPr>
              <w:t>Annual mean guideline (</w:t>
            </w:r>
            <w:proofErr w:type="spellStart"/>
            <w:r w:rsidRPr="00B37EF3">
              <w:rPr>
                <w:rFonts w:ascii="Arial" w:hAnsi="Arial" w:cs="Arial"/>
                <w:b/>
                <w:color w:val="FFFFFF"/>
                <w:sz w:val="16"/>
                <w:szCs w:val="16"/>
              </w:rPr>
              <w:t>μg</w:t>
            </w:r>
            <w:proofErr w:type="spellEnd"/>
            <w:r w:rsidRPr="00B37EF3">
              <w:rPr>
                <w:rFonts w:ascii="Arial" w:hAnsi="Arial" w:cs="Arial"/>
                <w:b/>
                <w:color w:val="FFFFFF"/>
                <w:sz w:val="16"/>
                <w:szCs w:val="16"/>
              </w:rPr>
              <w:t>/m</w:t>
            </w:r>
            <w:r w:rsidRPr="00B37EF3">
              <w:rPr>
                <w:rFonts w:ascii="Arial" w:hAnsi="Arial" w:cs="Arial"/>
                <w:b/>
                <w:color w:val="FFFFFF"/>
                <w:sz w:val="16"/>
                <w:szCs w:val="16"/>
                <w:vertAlign w:val="superscript"/>
              </w:rPr>
              <w:t>3</w:t>
            </w:r>
            <w:r w:rsidRPr="00B37EF3">
              <w:rPr>
                <w:rFonts w:ascii="Arial" w:hAnsi="Arial" w:cs="Arial"/>
                <w:b/>
                <w:color w:val="FFFFFF"/>
                <w:sz w:val="16"/>
                <w:szCs w:val="16"/>
              </w:rPr>
              <w:t>)</w:t>
            </w:r>
          </w:p>
        </w:tc>
        <w:tc>
          <w:tcPr>
            <w:tcW w:w="1816" w:type="dxa"/>
            <w:shd w:val="clear" w:color="auto" w:fill="0070C0"/>
            <w:vAlign w:val="center"/>
          </w:tcPr>
          <w:p w:rsidR="00B54267" w:rsidRPr="00B37EF3" w:rsidRDefault="00B54267" w:rsidP="0082018B">
            <w:pPr>
              <w:spacing w:after="0" w:line="240" w:lineRule="auto"/>
              <w:jc w:val="center"/>
              <w:rPr>
                <w:rFonts w:ascii="Arial" w:hAnsi="Arial" w:cs="Arial"/>
                <w:b/>
                <w:color w:val="FFFFFF"/>
                <w:sz w:val="16"/>
                <w:szCs w:val="16"/>
              </w:rPr>
            </w:pPr>
            <w:r w:rsidRPr="00B37EF3">
              <w:rPr>
                <w:rFonts w:ascii="Arial" w:hAnsi="Arial" w:cs="Arial"/>
                <w:b/>
                <w:color w:val="FFFFFF"/>
                <w:sz w:val="16"/>
                <w:szCs w:val="16"/>
              </w:rPr>
              <w:t>24-hour mean guideline (</w:t>
            </w:r>
            <w:proofErr w:type="spellStart"/>
            <w:r w:rsidRPr="00B37EF3">
              <w:rPr>
                <w:rFonts w:ascii="Arial" w:hAnsi="Arial" w:cs="Arial"/>
                <w:b/>
                <w:color w:val="FFFFFF"/>
                <w:sz w:val="16"/>
                <w:szCs w:val="16"/>
              </w:rPr>
              <w:t>μg</w:t>
            </w:r>
            <w:proofErr w:type="spellEnd"/>
            <w:r w:rsidRPr="00B37EF3">
              <w:rPr>
                <w:rFonts w:ascii="Arial" w:hAnsi="Arial" w:cs="Arial"/>
                <w:b/>
                <w:color w:val="FFFFFF"/>
                <w:sz w:val="16"/>
                <w:szCs w:val="16"/>
              </w:rPr>
              <w:t>/m</w:t>
            </w:r>
            <w:r w:rsidRPr="00B37EF3">
              <w:rPr>
                <w:rFonts w:ascii="Arial" w:hAnsi="Arial" w:cs="Arial"/>
                <w:b/>
                <w:color w:val="FFFFFF"/>
                <w:sz w:val="16"/>
                <w:szCs w:val="16"/>
                <w:vertAlign w:val="superscript"/>
              </w:rPr>
              <w:t>3</w:t>
            </w:r>
            <w:r w:rsidRPr="00B37EF3">
              <w:rPr>
                <w:rFonts w:ascii="Arial" w:hAnsi="Arial" w:cs="Arial"/>
                <w:b/>
                <w:color w:val="FFFFFF"/>
                <w:sz w:val="16"/>
                <w:szCs w:val="16"/>
              </w:rPr>
              <w:t>)</w:t>
            </w:r>
            <w:r w:rsidRPr="00B37EF3">
              <w:rPr>
                <w:rFonts w:ascii="Arial" w:hAnsi="Arial" w:cs="Arial"/>
                <w:b/>
                <w:color w:val="FFFFFF"/>
                <w:sz w:val="16"/>
                <w:szCs w:val="16"/>
                <w:vertAlign w:val="superscript"/>
              </w:rPr>
              <w:t xml:space="preserve"> (a)</w:t>
            </w:r>
          </w:p>
        </w:tc>
      </w:tr>
      <w:tr w:rsidR="00B54267" w:rsidRPr="00B37EF3" w:rsidTr="001929E4">
        <w:trPr>
          <w:trHeight w:hRule="exact" w:val="340"/>
          <w:jc w:val="center"/>
        </w:trPr>
        <w:tc>
          <w:tcPr>
            <w:tcW w:w="1101" w:type="dxa"/>
            <w:shd w:val="clear" w:color="auto" w:fill="auto"/>
            <w:vAlign w:val="center"/>
          </w:tcPr>
          <w:p w:rsidR="00B54267" w:rsidRPr="00B37EF3" w:rsidRDefault="00B54267" w:rsidP="0082018B">
            <w:pPr>
              <w:spacing w:after="0" w:line="240" w:lineRule="auto"/>
              <w:jc w:val="center"/>
              <w:rPr>
                <w:rFonts w:ascii="Arial" w:hAnsi="Arial" w:cs="Arial"/>
                <w:sz w:val="16"/>
                <w:szCs w:val="16"/>
              </w:rPr>
            </w:pPr>
            <w:r w:rsidRPr="00B37EF3">
              <w:rPr>
                <w:rFonts w:ascii="Arial" w:hAnsi="Arial" w:cs="Arial"/>
                <w:sz w:val="16"/>
                <w:szCs w:val="16"/>
              </w:rPr>
              <w:t>PM</w:t>
            </w:r>
            <w:r w:rsidRPr="00B37EF3">
              <w:rPr>
                <w:rFonts w:ascii="Arial" w:hAnsi="Arial" w:cs="Arial"/>
                <w:sz w:val="16"/>
                <w:szCs w:val="16"/>
                <w:vertAlign w:val="subscript"/>
              </w:rPr>
              <w:t>2.5</w:t>
            </w:r>
          </w:p>
        </w:tc>
        <w:tc>
          <w:tcPr>
            <w:tcW w:w="1780" w:type="dxa"/>
            <w:shd w:val="clear" w:color="auto" w:fill="auto"/>
            <w:vAlign w:val="center"/>
          </w:tcPr>
          <w:p w:rsidR="00B54267" w:rsidRPr="00B37EF3" w:rsidRDefault="00F7098D" w:rsidP="0082018B">
            <w:pPr>
              <w:spacing w:after="0" w:line="240" w:lineRule="auto"/>
              <w:jc w:val="center"/>
              <w:rPr>
                <w:rFonts w:ascii="Arial" w:hAnsi="Arial" w:cs="Arial"/>
                <w:sz w:val="16"/>
                <w:szCs w:val="16"/>
              </w:rPr>
            </w:pPr>
            <w:r w:rsidRPr="00B37EF3">
              <w:rPr>
                <w:rFonts w:ascii="Arial" w:hAnsi="Arial" w:cs="Arial"/>
                <w:sz w:val="16"/>
                <w:szCs w:val="16"/>
              </w:rPr>
              <w:t>10</w:t>
            </w:r>
          </w:p>
        </w:tc>
        <w:tc>
          <w:tcPr>
            <w:tcW w:w="1851" w:type="dxa"/>
            <w:gridSpan w:val="2"/>
            <w:shd w:val="clear" w:color="auto" w:fill="auto"/>
            <w:vAlign w:val="center"/>
          </w:tcPr>
          <w:p w:rsidR="00B54267" w:rsidRPr="00B37EF3" w:rsidRDefault="00B54267" w:rsidP="0082018B">
            <w:pPr>
              <w:spacing w:after="0" w:line="240" w:lineRule="auto"/>
              <w:jc w:val="center"/>
              <w:rPr>
                <w:rFonts w:ascii="Arial" w:hAnsi="Arial" w:cs="Arial"/>
                <w:sz w:val="16"/>
                <w:szCs w:val="16"/>
              </w:rPr>
            </w:pPr>
            <w:r w:rsidRPr="00B37EF3">
              <w:rPr>
                <w:rFonts w:ascii="Arial" w:hAnsi="Arial" w:cs="Arial"/>
                <w:sz w:val="16"/>
                <w:szCs w:val="16"/>
              </w:rPr>
              <w:t>25</w:t>
            </w:r>
          </w:p>
        </w:tc>
      </w:tr>
      <w:tr w:rsidR="00B54267" w:rsidRPr="00B37EF3" w:rsidTr="001929E4">
        <w:trPr>
          <w:trHeight w:hRule="exact" w:val="340"/>
          <w:jc w:val="center"/>
        </w:trPr>
        <w:tc>
          <w:tcPr>
            <w:tcW w:w="1101" w:type="dxa"/>
            <w:shd w:val="clear" w:color="auto" w:fill="auto"/>
            <w:vAlign w:val="center"/>
          </w:tcPr>
          <w:p w:rsidR="00B54267" w:rsidRPr="00B37EF3" w:rsidRDefault="00B54267" w:rsidP="0082018B">
            <w:pPr>
              <w:spacing w:after="0" w:line="240" w:lineRule="auto"/>
              <w:ind w:left="2268" w:hanging="2268"/>
              <w:jc w:val="center"/>
              <w:rPr>
                <w:rFonts w:ascii="Arial" w:hAnsi="Arial" w:cs="Arial"/>
                <w:sz w:val="16"/>
                <w:szCs w:val="16"/>
              </w:rPr>
            </w:pPr>
            <w:r w:rsidRPr="00B37EF3">
              <w:rPr>
                <w:rFonts w:ascii="Arial" w:hAnsi="Arial" w:cs="Arial"/>
                <w:sz w:val="16"/>
                <w:szCs w:val="16"/>
              </w:rPr>
              <w:t>PM</w:t>
            </w:r>
            <w:r w:rsidRPr="00B37EF3">
              <w:rPr>
                <w:rFonts w:ascii="Arial" w:hAnsi="Arial" w:cs="Arial"/>
                <w:sz w:val="16"/>
                <w:szCs w:val="16"/>
                <w:vertAlign w:val="subscript"/>
              </w:rPr>
              <w:t>10</w:t>
            </w:r>
          </w:p>
        </w:tc>
        <w:tc>
          <w:tcPr>
            <w:tcW w:w="1780" w:type="dxa"/>
            <w:shd w:val="clear" w:color="auto" w:fill="auto"/>
            <w:vAlign w:val="center"/>
          </w:tcPr>
          <w:p w:rsidR="00B54267" w:rsidRPr="00B37EF3" w:rsidRDefault="00F7098D" w:rsidP="0082018B">
            <w:pPr>
              <w:spacing w:after="0" w:line="240" w:lineRule="auto"/>
              <w:ind w:left="2268" w:hanging="2268"/>
              <w:jc w:val="center"/>
              <w:rPr>
                <w:rFonts w:ascii="Arial" w:hAnsi="Arial" w:cs="Arial"/>
                <w:sz w:val="16"/>
                <w:szCs w:val="16"/>
              </w:rPr>
            </w:pPr>
            <w:r w:rsidRPr="00B37EF3">
              <w:rPr>
                <w:rFonts w:ascii="Arial" w:hAnsi="Arial" w:cs="Arial"/>
                <w:sz w:val="16"/>
                <w:szCs w:val="16"/>
              </w:rPr>
              <w:t xml:space="preserve">20 </w:t>
            </w:r>
          </w:p>
        </w:tc>
        <w:tc>
          <w:tcPr>
            <w:tcW w:w="1851" w:type="dxa"/>
            <w:gridSpan w:val="2"/>
            <w:shd w:val="clear" w:color="auto" w:fill="auto"/>
            <w:vAlign w:val="center"/>
          </w:tcPr>
          <w:p w:rsidR="00B54267" w:rsidRPr="00B37EF3" w:rsidRDefault="00F7098D" w:rsidP="0082018B">
            <w:pPr>
              <w:spacing w:after="0" w:line="240" w:lineRule="auto"/>
              <w:ind w:left="2268" w:hanging="2268"/>
              <w:jc w:val="center"/>
              <w:rPr>
                <w:rFonts w:ascii="Arial" w:hAnsi="Arial" w:cs="Arial"/>
                <w:sz w:val="16"/>
                <w:szCs w:val="16"/>
              </w:rPr>
            </w:pPr>
            <w:r w:rsidRPr="00B37EF3">
              <w:rPr>
                <w:rFonts w:ascii="Arial" w:hAnsi="Arial" w:cs="Arial"/>
                <w:sz w:val="16"/>
                <w:szCs w:val="16"/>
              </w:rPr>
              <w:t>50</w:t>
            </w:r>
          </w:p>
        </w:tc>
      </w:tr>
    </w:tbl>
    <w:p w:rsidR="00F7098D" w:rsidRPr="00B37EF3" w:rsidRDefault="00C83795" w:rsidP="00774E7F">
      <w:pPr>
        <w:pStyle w:val="ListParagraph"/>
        <w:numPr>
          <w:ilvl w:val="3"/>
          <w:numId w:val="12"/>
        </w:numPr>
        <w:spacing w:before="60"/>
        <w:ind w:left="2552" w:hanging="284"/>
        <w:rPr>
          <w:rFonts w:ascii="Arial" w:hAnsi="Arial" w:cs="Arial"/>
          <w:sz w:val="14"/>
          <w:szCs w:val="14"/>
        </w:rPr>
      </w:pPr>
      <w:r w:rsidRPr="00B37EF3">
        <w:rPr>
          <w:rFonts w:ascii="Arial" w:hAnsi="Arial" w:cs="Arial"/>
          <w:sz w:val="14"/>
          <w:szCs w:val="14"/>
        </w:rPr>
        <w:t>99</w:t>
      </w:r>
      <w:r w:rsidRPr="00B37EF3">
        <w:rPr>
          <w:rFonts w:ascii="Arial" w:hAnsi="Arial" w:cs="Arial"/>
          <w:sz w:val="14"/>
          <w:szCs w:val="14"/>
          <w:vertAlign w:val="superscript"/>
        </w:rPr>
        <w:t>th</w:t>
      </w:r>
      <w:r w:rsidRPr="00B37EF3">
        <w:rPr>
          <w:rFonts w:ascii="Arial" w:hAnsi="Arial" w:cs="Arial"/>
          <w:sz w:val="14"/>
          <w:szCs w:val="14"/>
        </w:rPr>
        <w:t xml:space="preserve"> percentile</w:t>
      </w:r>
    </w:p>
    <w:p w:rsidR="00B54267" w:rsidRPr="00B37EF3" w:rsidRDefault="00B54267" w:rsidP="00774E7F">
      <w:pPr>
        <w:spacing w:after="180"/>
        <w:rPr>
          <w:rFonts w:ascii="Arial" w:hAnsi="Arial" w:cs="Arial"/>
        </w:rPr>
      </w:pPr>
      <w:r w:rsidRPr="00B37EF3">
        <w:rPr>
          <w:rFonts w:ascii="Arial" w:hAnsi="Arial" w:cs="Arial"/>
        </w:rPr>
        <w:t>Whether the 24</w:t>
      </w:r>
      <w:r w:rsidR="006058C4" w:rsidRPr="00B37EF3">
        <w:rPr>
          <w:rFonts w:ascii="Arial" w:hAnsi="Arial" w:cs="Arial"/>
        </w:rPr>
        <w:t>-hour or the annual average guideline</w:t>
      </w:r>
      <w:r w:rsidRPr="00B37EF3">
        <w:rPr>
          <w:rFonts w:ascii="Arial" w:hAnsi="Arial" w:cs="Arial"/>
        </w:rPr>
        <w:t xml:space="preserve"> is the more restrictive tends to vary between countries, this being largely dependent on </w:t>
      </w:r>
      <w:r w:rsidR="006058C4" w:rsidRPr="00B37EF3">
        <w:rPr>
          <w:rFonts w:ascii="Arial" w:hAnsi="Arial" w:cs="Arial"/>
        </w:rPr>
        <w:t xml:space="preserve">the specific </w:t>
      </w:r>
      <w:r w:rsidRPr="00B37EF3">
        <w:rPr>
          <w:rFonts w:ascii="Arial" w:hAnsi="Arial" w:cs="Arial"/>
        </w:rPr>
        <w:t>pollutant sources and their location</w:t>
      </w:r>
      <w:r w:rsidR="006058C4" w:rsidRPr="00B37EF3">
        <w:rPr>
          <w:rFonts w:ascii="Arial" w:hAnsi="Arial" w:cs="Arial"/>
        </w:rPr>
        <w:t>s. When evaluating the guidelines</w:t>
      </w:r>
      <w:r w:rsidRPr="00B37EF3">
        <w:rPr>
          <w:rFonts w:ascii="Arial" w:hAnsi="Arial" w:cs="Arial"/>
        </w:rPr>
        <w:t xml:space="preserve"> it is generally recommended that the annual average take precedence over the 24-hour average since, at low levels, there is less concern about episodic excursions. Meeting the guideline values for the 24-hour mean will</w:t>
      </w:r>
      <w:r w:rsidR="006058C4" w:rsidRPr="00B37EF3">
        <w:rPr>
          <w:rFonts w:ascii="Arial" w:hAnsi="Arial" w:cs="Arial"/>
        </w:rPr>
        <w:t>,</w:t>
      </w:r>
      <w:r w:rsidRPr="00B37EF3">
        <w:rPr>
          <w:rFonts w:ascii="Arial" w:hAnsi="Arial" w:cs="Arial"/>
        </w:rPr>
        <w:t xml:space="preserve"> </w:t>
      </w:r>
      <w:r w:rsidR="00DF70F4" w:rsidRPr="00B37EF3">
        <w:rPr>
          <w:rFonts w:ascii="Arial" w:hAnsi="Arial" w:cs="Arial"/>
        </w:rPr>
        <w:t>however</w:t>
      </w:r>
      <w:r w:rsidR="006058C4" w:rsidRPr="00B37EF3">
        <w:rPr>
          <w:rFonts w:ascii="Arial" w:hAnsi="Arial" w:cs="Arial"/>
        </w:rPr>
        <w:t>,</w:t>
      </w:r>
      <w:r w:rsidRPr="00B37EF3">
        <w:rPr>
          <w:rFonts w:ascii="Arial" w:hAnsi="Arial" w:cs="Arial"/>
        </w:rPr>
        <w:t xml:space="preserve"> protect against peaks of pollution that would otherwise lead to substantial excess morbidity or mortality. It is recommended that countries with areas not meeting the 24-hour guideline values undertake immediate action to achieve these levels in the shortest possible time.</w:t>
      </w:r>
    </w:p>
    <w:p w:rsidR="00BC519C" w:rsidRPr="00B37EF3" w:rsidRDefault="00C83795" w:rsidP="00774E7F">
      <w:pPr>
        <w:pStyle w:val="Level4PB2"/>
        <w:spacing w:before="200" w:after="160"/>
        <w:rPr>
          <w:rFonts w:ascii="Arial" w:hAnsi="Arial" w:cs="Arial"/>
          <w:lang w:val="en-AU"/>
        </w:rPr>
      </w:pPr>
      <w:r w:rsidRPr="00B37EF3">
        <w:rPr>
          <w:rFonts w:ascii="Arial" w:hAnsi="Arial" w:cs="Arial"/>
          <w:lang w:val="en-AU"/>
        </w:rPr>
        <w:t xml:space="preserve">WHO </w:t>
      </w:r>
      <w:r w:rsidR="00F7098D" w:rsidRPr="00B37EF3">
        <w:rPr>
          <w:rFonts w:ascii="Arial" w:hAnsi="Arial" w:cs="Arial"/>
          <w:lang w:val="en-AU"/>
        </w:rPr>
        <w:t>REVIHAAP</w:t>
      </w:r>
    </w:p>
    <w:p w:rsidR="00C83795" w:rsidRPr="00B37EF3" w:rsidRDefault="00BC519C" w:rsidP="00774E7F">
      <w:pPr>
        <w:spacing w:after="180"/>
        <w:rPr>
          <w:rFonts w:ascii="Arial" w:hAnsi="Arial" w:cs="Arial"/>
        </w:rPr>
      </w:pPr>
      <w:r w:rsidRPr="00B37EF3">
        <w:rPr>
          <w:rFonts w:ascii="Arial" w:hAnsi="Arial" w:cs="Arial"/>
        </w:rPr>
        <w:t>The current state o</w:t>
      </w:r>
      <w:r w:rsidR="00C83795" w:rsidRPr="00B37EF3">
        <w:rPr>
          <w:rFonts w:ascii="Arial" w:hAnsi="Arial" w:cs="Arial"/>
        </w:rPr>
        <w:t xml:space="preserve">f scientific knowledge, as summarised in the </w:t>
      </w:r>
      <w:r w:rsidR="00AD2F75" w:rsidRPr="00B37EF3">
        <w:rPr>
          <w:rFonts w:ascii="Arial" w:hAnsi="Arial" w:cs="Arial"/>
        </w:rPr>
        <w:t xml:space="preserve">2013 </w:t>
      </w:r>
      <w:r w:rsidR="00C83795" w:rsidRPr="00B37EF3">
        <w:rPr>
          <w:rFonts w:ascii="Arial" w:hAnsi="Arial" w:cs="Arial"/>
        </w:rPr>
        <w:t>REVIHAPP report</w:t>
      </w:r>
      <w:r w:rsidRPr="00B37EF3">
        <w:rPr>
          <w:rFonts w:ascii="Arial" w:hAnsi="Arial" w:cs="Arial"/>
        </w:rPr>
        <w:t>, shows a wide range of adverse effects on health associated with exposure to PM</w:t>
      </w:r>
      <w:r w:rsidRPr="00B37EF3">
        <w:rPr>
          <w:rFonts w:ascii="Arial" w:hAnsi="Arial" w:cs="Arial"/>
          <w:vertAlign w:val="subscript"/>
        </w:rPr>
        <w:t>2.5</w:t>
      </w:r>
      <w:r w:rsidRPr="00B37EF3">
        <w:rPr>
          <w:rFonts w:ascii="Arial" w:hAnsi="Arial" w:cs="Arial"/>
        </w:rPr>
        <w:t xml:space="preserve"> and PM</w:t>
      </w:r>
      <w:r w:rsidRPr="00B37EF3">
        <w:rPr>
          <w:rFonts w:ascii="Arial" w:hAnsi="Arial" w:cs="Arial"/>
          <w:vertAlign w:val="subscript"/>
        </w:rPr>
        <w:t>10</w:t>
      </w:r>
      <w:r w:rsidRPr="00B37EF3">
        <w:rPr>
          <w:rFonts w:ascii="Arial" w:hAnsi="Arial" w:cs="Arial"/>
        </w:rPr>
        <w:t>. The data stro</w:t>
      </w:r>
      <w:r w:rsidR="00C83795" w:rsidRPr="00B37EF3">
        <w:rPr>
          <w:rFonts w:ascii="Arial" w:hAnsi="Arial" w:cs="Arial"/>
        </w:rPr>
        <w:t>ngly suggest that these effects</w:t>
      </w:r>
      <w:r w:rsidRPr="00B37EF3">
        <w:rPr>
          <w:rFonts w:ascii="Arial" w:hAnsi="Arial" w:cs="Arial"/>
        </w:rPr>
        <w:t xml:space="preserve"> have no threshold within the ambient </w:t>
      </w:r>
      <w:r w:rsidR="00C83795" w:rsidRPr="00B37EF3">
        <w:rPr>
          <w:rFonts w:ascii="Arial" w:hAnsi="Arial" w:cs="Arial"/>
        </w:rPr>
        <w:t xml:space="preserve">concentration </w:t>
      </w:r>
      <w:r w:rsidRPr="00B37EF3">
        <w:rPr>
          <w:rFonts w:ascii="Arial" w:hAnsi="Arial" w:cs="Arial"/>
        </w:rPr>
        <w:t>range</w:t>
      </w:r>
      <w:r w:rsidR="00C83795" w:rsidRPr="00B37EF3">
        <w:rPr>
          <w:rFonts w:ascii="Arial" w:hAnsi="Arial" w:cs="Arial"/>
        </w:rPr>
        <w:t xml:space="preserve">s, </w:t>
      </w:r>
      <w:r w:rsidR="00563F1E" w:rsidRPr="00B37EF3">
        <w:rPr>
          <w:rFonts w:ascii="Arial" w:hAnsi="Arial" w:cs="Arial"/>
        </w:rPr>
        <w:t>exhibit</w:t>
      </w:r>
      <w:r w:rsidRPr="00B37EF3">
        <w:rPr>
          <w:rFonts w:ascii="Arial" w:hAnsi="Arial" w:cs="Arial"/>
        </w:rPr>
        <w:t xml:space="preserve"> a mostly linear </w:t>
      </w:r>
      <w:r w:rsidR="00C83795" w:rsidRPr="00B37EF3">
        <w:rPr>
          <w:rFonts w:ascii="Arial" w:hAnsi="Arial" w:cs="Arial"/>
        </w:rPr>
        <w:t>concentration–response function,</w:t>
      </w:r>
      <w:r w:rsidRPr="00B37EF3">
        <w:rPr>
          <w:rFonts w:ascii="Arial" w:hAnsi="Arial" w:cs="Arial"/>
        </w:rPr>
        <w:t xml:space="preserve"> and are likel</w:t>
      </w:r>
      <w:r w:rsidR="00C83795" w:rsidRPr="00B37EF3">
        <w:rPr>
          <w:rFonts w:ascii="Arial" w:hAnsi="Arial" w:cs="Arial"/>
        </w:rPr>
        <w:t>y to occur at fa</w:t>
      </w:r>
      <w:r w:rsidR="00563F1E" w:rsidRPr="00B37EF3">
        <w:rPr>
          <w:rFonts w:ascii="Arial" w:hAnsi="Arial" w:cs="Arial"/>
        </w:rPr>
        <w:t>irly low concentrations</w:t>
      </w:r>
      <w:r w:rsidR="00C83795" w:rsidRPr="00B37EF3">
        <w:rPr>
          <w:rFonts w:ascii="Arial" w:hAnsi="Arial" w:cs="Arial"/>
        </w:rPr>
        <w:t>.</w:t>
      </w:r>
      <w:r w:rsidR="004D2D4C" w:rsidRPr="00B37EF3">
        <w:rPr>
          <w:rFonts w:ascii="Arial" w:hAnsi="Arial" w:cs="Arial"/>
        </w:rPr>
        <w:t xml:space="preserve"> </w:t>
      </w:r>
      <w:r w:rsidR="005951D1" w:rsidRPr="00B37EF3">
        <w:rPr>
          <w:rFonts w:ascii="Arial" w:hAnsi="Arial" w:cs="Arial"/>
        </w:rPr>
        <w:t>S</w:t>
      </w:r>
      <w:r w:rsidR="00C83795" w:rsidRPr="00B37EF3">
        <w:rPr>
          <w:rFonts w:ascii="Arial" w:hAnsi="Arial" w:cs="Arial"/>
        </w:rPr>
        <w:t>tudies have shown associations with adverse health outcomes at pollutant levels lower than those in the studies on</w:t>
      </w:r>
      <w:r w:rsidR="00563F1E" w:rsidRPr="00B37EF3">
        <w:rPr>
          <w:rFonts w:ascii="Arial" w:hAnsi="Arial" w:cs="Arial"/>
        </w:rPr>
        <w:t xml:space="preserve"> which the 2005 </w:t>
      </w:r>
      <w:r w:rsidR="00122C98" w:rsidRPr="00B37EF3">
        <w:rPr>
          <w:rFonts w:ascii="Arial" w:hAnsi="Arial" w:cs="Arial"/>
        </w:rPr>
        <w:t xml:space="preserve">global </w:t>
      </w:r>
      <w:r w:rsidR="00563F1E" w:rsidRPr="00B37EF3">
        <w:rPr>
          <w:rFonts w:ascii="Arial" w:hAnsi="Arial" w:cs="Arial"/>
        </w:rPr>
        <w:t xml:space="preserve">update </w:t>
      </w:r>
      <w:r w:rsidR="00C83795" w:rsidRPr="00B37EF3">
        <w:rPr>
          <w:rFonts w:ascii="Arial" w:hAnsi="Arial" w:cs="Arial"/>
        </w:rPr>
        <w:t xml:space="preserve">were based. </w:t>
      </w:r>
      <w:r w:rsidRPr="00B37EF3">
        <w:rPr>
          <w:rFonts w:ascii="Arial" w:hAnsi="Arial" w:cs="Arial"/>
        </w:rPr>
        <w:t>The scie</w:t>
      </w:r>
      <w:r w:rsidR="00563F1E" w:rsidRPr="00B37EF3">
        <w:rPr>
          <w:rFonts w:ascii="Arial" w:hAnsi="Arial" w:cs="Arial"/>
        </w:rPr>
        <w:t xml:space="preserve">ntific basis for the WHO </w:t>
      </w:r>
      <w:r w:rsidRPr="00B37EF3">
        <w:rPr>
          <w:rFonts w:ascii="Arial" w:hAnsi="Arial" w:cs="Arial"/>
        </w:rPr>
        <w:t>guidelines for PM</w:t>
      </w:r>
      <w:r w:rsidRPr="00B37EF3">
        <w:rPr>
          <w:rFonts w:ascii="Arial" w:hAnsi="Arial" w:cs="Arial"/>
          <w:vertAlign w:val="subscript"/>
        </w:rPr>
        <w:t>2.5</w:t>
      </w:r>
      <w:r w:rsidRPr="00B37EF3">
        <w:rPr>
          <w:rFonts w:ascii="Arial" w:hAnsi="Arial" w:cs="Arial"/>
        </w:rPr>
        <w:t xml:space="preserve"> and PM</w:t>
      </w:r>
      <w:r w:rsidRPr="00B37EF3">
        <w:rPr>
          <w:rFonts w:ascii="Arial" w:hAnsi="Arial" w:cs="Arial"/>
          <w:vertAlign w:val="subscript"/>
        </w:rPr>
        <w:t>10</w:t>
      </w:r>
      <w:r w:rsidR="00563F1E" w:rsidRPr="00B37EF3">
        <w:rPr>
          <w:rFonts w:ascii="Arial" w:hAnsi="Arial" w:cs="Arial"/>
        </w:rPr>
        <w:t xml:space="preserve"> is</w:t>
      </w:r>
      <w:r w:rsidRPr="00B37EF3">
        <w:rPr>
          <w:rFonts w:ascii="Arial" w:hAnsi="Arial" w:cs="Arial"/>
        </w:rPr>
        <w:t xml:space="preserve"> therefore now</w:t>
      </w:r>
      <w:r w:rsidR="00C83795" w:rsidRPr="00B37EF3">
        <w:rPr>
          <w:rFonts w:ascii="Arial" w:hAnsi="Arial" w:cs="Arial"/>
        </w:rPr>
        <w:t xml:space="preserve"> even stronger than in the 2005 </w:t>
      </w:r>
      <w:r w:rsidR="00122C98" w:rsidRPr="00B37EF3">
        <w:rPr>
          <w:rFonts w:ascii="Arial" w:hAnsi="Arial" w:cs="Arial"/>
        </w:rPr>
        <w:t xml:space="preserve">global </w:t>
      </w:r>
      <w:r w:rsidR="00C83795" w:rsidRPr="00B37EF3">
        <w:rPr>
          <w:rFonts w:ascii="Arial" w:hAnsi="Arial" w:cs="Arial"/>
        </w:rPr>
        <w:t>update</w:t>
      </w:r>
      <w:r w:rsidR="00563F1E" w:rsidRPr="00B37EF3">
        <w:rPr>
          <w:rFonts w:ascii="Arial" w:hAnsi="Arial" w:cs="Arial"/>
        </w:rPr>
        <w:t xml:space="preserve">. As the evidence base </w:t>
      </w:r>
      <w:r w:rsidR="00C83795" w:rsidRPr="00B37EF3">
        <w:rPr>
          <w:rFonts w:ascii="Arial" w:hAnsi="Arial" w:cs="Arial"/>
        </w:rPr>
        <w:t>for the association betwee</w:t>
      </w:r>
      <w:r w:rsidR="00563F1E" w:rsidRPr="00B37EF3">
        <w:rPr>
          <w:rFonts w:ascii="Arial" w:hAnsi="Arial" w:cs="Arial"/>
        </w:rPr>
        <w:t xml:space="preserve">n PM and short-term and long-term health effects </w:t>
      </w:r>
      <w:r w:rsidR="00C83795" w:rsidRPr="00B37EF3">
        <w:rPr>
          <w:rFonts w:ascii="Arial" w:hAnsi="Arial" w:cs="Arial"/>
        </w:rPr>
        <w:t>become</w:t>
      </w:r>
      <w:r w:rsidR="00563F1E" w:rsidRPr="00B37EF3">
        <w:rPr>
          <w:rFonts w:ascii="Arial" w:hAnsi="Arial" w:cs="Arial"/>
        </w:rPr>
        <w:t>s much larger and broader, it will be</w:t>
      </w:r>
      <w:r w:rsidR="00C83795" w:rsidRPr="00B37EF3">
        <w:rPr>
          <w:rFonts w:ascii="Arial" w:hAnsi="Arial" w:cs="Arial"/>
        </w:rPr>
        <w:t xml:space="preserve"> important to update t</w:t>
      </w:r>
      <w:r w:rsidR="00563F1E" w:rsidRPr="00B37EF3">
        <w:rPr>
          <w:rFonts w:ascii="Arial" w:hAnsi="Arial" w:cs="Arial"/>
        </w:rPr>
        <w:t>he guidelines</w:t>
      </w:r>
      <w:r w:rsidR="00C83795" w:rsidRPr="00B37EF3">
        <w:rPr>
          <w:rFonts w:ascii="Arial" w:hAnsi="Arial" w:cs="Arial"/>
        </w:rPr>
        <w:t>. This is particularly important as recent long-term studies show associations between PM and mortality at levels well below the</w:t>
      </w:r>
      <w:r w:rsidR="00563F1E" w:rsidRPr="00B37EF3">
        <w:rPr>
          <w:rFonts w:ascii="Arial" w:hAnsi="Arial" w:cs="Arial"/>
        </w:rPr>
        <w:t xml:space="preserve"> current </w:t>
      </w:r>
      <w:r w:rsidR="00122C98" w:rsidRPr="00B37EF3">
        <w:rPr>
          <w:rFonts w:ascii="Arial" w:hAnsi="Arial" w:cs="Arial"/>
        </w:rPr>
        <w:t xml:space="preserve">WHO </w:t>
      </w:r>
      <w:r w:rsidR="00C83795" w:rsidRPr="00B37EF3">
        <w:rPr>
          <w:rFonts w:ascii="Arial" w:hAnsi="Arial" w:cs="Arial"/>
        </w:rPr>
        <w:t>guideline level for PM</w:t>
      </w:r>
      <w:r w:rsidR="00C83795" w:rsidRPr="00B37EF3">
        <w:rPr>
          <w:rFonts w:ascii="Arial" w:hAnsi="Arial" w:cs="Arial"/>
          <w:vertAlign w:val="subscript"/>
        </w:rPr>
        <w:t>2.5</w:t>
      </w:r>
      <w:r w:rsidR="00563F1E" w:rsidRPr="00B37EF3">
        <w:rPr>
          <w:rFonts w:ascii="Arial" w:hAnsi="Arial" w:cs="Arial"/>
        </w:rPr>
        <w:t xml:space="preserve"> of</w:t>
      </w:r>
      <w:r w:rsidR="00851AB3" w:rsidRPr="00B37EF3">
        <w:rPr>
          <w:rFonts w:ascii="Arial" w:hAnsi="Arial" w:cs="Arial"/>
        </w:rPr>
        <w:t xml:space="preserve"> 10 </w:t>
      </w:r>
      <w:proofErr w:type="spellStart"/>
      <w:r w:rsidR="00C83795" w:rsidRPr="00B37EF3">
        <w:rPr>
          <w:rFonts w:ascii="Arial" w:hAnsi="Arial" w:cs="Arial"/>
        </w:rPr>
        <w:t>μg</w:t>
      </w:r>
      <w:proofErr w:type="spellEnd"/>
      <w:r w:rsidR="00C83795" w:rsidRPr="00B37EF3">
        <w:rPr>
          <w:rFonts w:ascii="Arial" w:hAnsi="Arial" w:cs="Arial"/>
        </w:rPr>
        <w:t>/m</w:t>
      </w:r>
      <w:r w:rsidR="00C83795" w:rsidRPr="00B37EF3">
        <w:rPr>
          <w:rFonts w:ascii="Arial" w:hAnsi="Arial" w:cs="Arial"/>
          <w:vertAlign w:val="superscript"/>
        </w:rPr>
        <w:t>3</w:t>
      </w:r>
      <w:r w:rsidR="002B70EE" w:rsidRPr="00B37EF3">
        <w:rPr>
          <w:rFonts w:ascii="Arial" w:hAnsi="Arial" w:cs="Arial"/>
        </w:rPr>
        <w:t xml:space="preserve"> </w:t>
      </w:r>
      <w:r w:rsidR="00C83795" w:rsidRPr="00B37EF3">
        <w:rPr>
          <w:rFonts w:ascii="Arial" w:hAnsi="Arial" w:cs="Arial"/>
          <w:b/>
        </w:rPr>
        <w:t xml:space="preserve">(WHO Regional Office for Europe </w:t>
      </w:r>
      <w:r w:rsidR="00851AB3" w:rsidRPr="00B37EF3">
        <w:rPr>
          <w:rFonts w:ascii="Arial" w:hAnsi="Arial" w:cs="Arial"/>
          <w:b/>
        </w:rPr>
        <w:t>2013</w:t>
      </w:r>
      <w:r w:rsidR="00C83795" w:rsidRPr="00B37EF3">
        <w:rPr>
          <w:rFonts w:ascii="Arial" w:hAnsi="Arial" w:cs="Arial"/>
          <w:b/>
        </w:rPr>
        <w:t>)</w:t>
      </w:r>
      <w:r w:rsidR="00C83795" w:rsidRPr="00B37EF3">
        <w:rPr>
          <w:rFonts w:ascii="Arial" w:hAnsi="Arial" w:cs="Arial"/>
        </w:rPr>
        <w:t>.</w:t>
      </w:r>
    </w:p>
    <w:p w:rsidR="00B54267" w:rsidRPr="00B37EF3" w:rsidRDefault="00851AB3" w:rsidP="00774E7F">
      <w:pPr>
        <w:pStyle w:val="Level5PB"/>
        <w:spacing w:before="200"/>
        <w:rPr>
          <w:rFonts w:ascii="Arial" w:hAnsi="Arial" w:cs="Arial"/>
          <w:i w:val="0"/>
          <w:lang w:val="en-AU"/>
        </w:rPr>
      </w:pPr>
      <w:r w:rsidRPr="00B37EF3">
        <w:rPr>
          <w:rFonts w:ascii="Arial" w:hAnsi="Arial" w:cs="Arial"/>
          <w:i w:val="0"/>
          <w:lang w:val="en-AU"/>
        </w:rPr>
        <w:t xml:space="preserve">Recommendations for </w:t>
      </w:r>
      <w:r w:rsidR="00B54267" w:rsidRPr="00B37EF3">
        <w:rPr>
          <w:rFonts w:ascii="Arial" w:hAnsi="Arial" w:cs="Arial"/>
          <w:i w:val="0"/>
          <w:lang w:val="en-AU"/>
        </w:rPr>
        <w:t>PM</w:t>
      </w:r>
      <w:r w:rsidR="00B54267" w:rsidRPr="00B37EF3">
        <w:rPr>
          <w:rFonts w:ascii="Arial" w:hAnsi="Arial" w:cs="Arial"/>
          <w:i w:val="0"/>
          <w:vertAlign w:val="subscript"/>
          <w:lang w:val="en-AU"/>
        </w:rPr>
        <w:t>2.5</w:t>
      </w:r>
    </w:p>
    <w:p w:rsidR="00B54267" w:rsidRPr="00B37EF3" w:rsidRDefault="00AD2F75" w:rsidP="00DE4099">
      <w:pPr>
        <w:spacing w:after="120"/>
        <w:rPr>
          <w:rFonts w:ascii="Arial" w:hAnsi="Arial" w:cs="Arial"/>
        </w:rPr>
      </w:pPr>
      <w:r w:rsidRPr="00B37EF3">
        <w:rPr>
          <w:rFonts w:ascii="Arial" w:hAnsi="Arial" w:cs="Arial"/>
        </w:rPr>
        <w:t>T</w:t>
      </w:r>
      <w:r w:rsidR="00B54267" w:rsidRPr="00B37EF3">
        <w:rPr>
          <w:rFonts w:ascii="Arial" w:hAnsi="Arial" w:cs="Arial"/>
        </w:rPr>
        <w:t>he REVIH</w:t>
      </w:r>
      <w:r w:rsidRPr="00B37EF3">
        <w:rPr>
          <w:rFonts w:ascii="Arial" w:hAnsi="Arial" w:cs="Arial"/>
        </w:rPr>
        <w:t>AAP report suggests that</w:t>
      </w:r>
      <w:r w:rsidR="00B54267" w:rsidRPr="00B37EF3">
        <w:rPr>
          <w:rFonts w:ascii="Arial" w:hAnsi="Arial" w:cs="Arial"/>
        </w:rPr>
        <w:t xml:space="preserve"> the following points need to be considered in legislative decisions</w:t>
      </w:r>
      <w:r w:rsidR="00851AB3" w:rsidRPr="00B37EF3">
        <w:rPr>
          <w:rFonts w:ascii="Arial" w:hAnsi="Arial" w:cs="Arial"/>
        </w:rPr>
        <w:t xml:space="preserve"> concerning PM</w:t>
      </w:r>
      <w:r w:rsidR="00851AB3" w:rsidRPr="00B37EF3">
        <w:rPr>
          <w:rFonts w:ascii="Arial" w:hAnsi="Arial" w:cs="Arial"/>
          <w:vertAlign w:val="subscript"/>
        </w:rPr>
        <w:t>2.5</w:t>
      </w:r>
      <w:r w:rsidR="00851AB3" w:rsidRPr="00B37EF3">
        <w:rPr>
          <w:rFonts w:ascii="Arial" w:hAnsi="Arial" w:cs="Arial"/>
        </w:rPr>
        <w:t>:</w:t>
      </w:r>
    </w:p>
    <w:p w:rsidR="00B54267" w:rsidRPr="00B37EF3" w:rsidRDefault="00B54267" w:rsidP="00CF10DD">
      <w:pPr>
        <w:pStyle w:val="BulletArrows"/>
        <w:numPr>
          <w:ilvl w:val="0"/>
          <w:numId w:val="95"/>
        </w:numPr>
        <w:rPr>
          <w:rFonts w:ascii="Arial" w:hAnsi="Arial"/>
        </w:rPr>
      </w:pPr>
      <w:r w:rsidRPr="00B37EF3">
        <w:rPr>
          <w:rFonts w:ascii="Arial" w:hAnsi="Arial"/>
        </w:rPr>
        <w:t>Although short-term e</w:t>
      </w:r>
      <w:r w:rsidR="00CB0AAF" w:rsidRPr="00B37EF3">
        <w:rPr>
          <w:rFonts w:ascii="Arial" w:hAnsi="Arial"/>
        </w:rPr>
        <w:t>ffects may contribute to long-term</w:t>
      </w:r>
      <w:r w:rsidRPr="00B37EF3">
        <w:rPr>
          <w:rFonts w:ascii="Arial" w:hAnsi="Arial"/>
        </w:rPr>
        <w:t xml:space="preserve"> health problems, those affected by short-term exposures are not necessarily the same as those suffering from the consequences of long-term exposures.</w:t>
      </w:r>
    </w:p>
    <w:p w:rsidR="00B54267" w:rsidRPr="00B37EF3" w:rsidRDefault="00B54267" w:rsidP="00CF10DD">
      <w:pPr>
        <w:pStyle w:val="BulletArrows"/>
        <w:numPr>
          <w:ilvl w:val="0"/>
          <w:numId w:val="95"/>
        </w:numPr>
        <w:rPr>
          <w:rFonts w:ascii="Arial" w:hAnsi="Arial"/>
        </w:rPr>
      </w:pPr>
      <w:r w:rsidRPr="00B37EF3">
        <w:rPr>
          <w:rFonts w:ascii="Arial" w:hAnsi="Arial"/>
        </w:rPr>
        <w:t>Not all biologi</w:t>
      </w:r>
      <w:r w:rsidR="00CB0AAF" w:rsidRPr="00B37EF3">
        <w:rPr>
          <w:rFonts w:ascii="Arial" w:hAnsi="Arial"/>
        </w:rPr>
        <w:t>cal mechanisms relevant to short-term</w:t>
      </w:r>
      <w:r w:rsidRPr="00B37EF3">
        <w:rPr>
          <w:rFonts w:ascii="Arial" w:hAnsi="Arial"/>
        </w:rPr>
        <w:t xml:space="preserve"> effects are necessarily relevant to the long-term effects</w:t>
      </w:r>
      <w:r w:rsidR="00851AB3" w:rsidRPr="00B37EF3">
        <w:rPr>
          <w:rFonts w:ascii="Arial" w:hAnsi="Arial"/>
        </w:rPr>
        <w:t>,</w:t>
      </w:r>
      <w:r w:rsidRPr="00B37EF3">
        <w:rPr>
          <w:rFonts w:ascii="Arial" w:hAnsi="Arial"/>
        </w:rPr>
        <w:t xml:space="preserve"> and vice versa.</w:t>
      </w:r>
    </w:p>
    <w:p w:rsidR="00B54267" w:rsidRPr="00B37EF3" w:rsidRDefault="00B54267" w:rsidP="00CF10DD">
      <w:pPr>
        <w:pStyle w:val="BulletArrows"/>
        <w:numPr>
          <w:ilvl w:val="0"/>
          <w:numId w:val="95"/>
        </w:numPr>
        <w:spacing w:after="240"/>
        <w:rPr>
          <w:rFonts w:ascii="Arial" w:hAnsi="Arial"/>
        </w:rPr>
      </w:pPr>
      <w:r w:rsidRPr="00B37EF3">
        <w:rPr>
          <w:rFonts w:ascii="Arial" w:hAnsi="Arial"/>
        </w:rPr>
        <w:t>Areas that have relatively moderate long-term average concentrations of PM</w:t>
      </w:r>
      <w:r w:rsidRPr="00B37EF3">
        <w:rPr>
          <w:rFonts w:ascii="Arial" w:hAnsi="Arial"/>
          <w:vertAlign w:val="subscript"/>
        </w:rPr>
        <w:t>2.5</w:t>
      </w:r>
      <w:r w:rsidRPr="00B37EF3">
        <w:rPr>
          <w:rFonts w:ascii="Arial" w:hAnsi="Arial"/>
        </w:rPr>
        <w:t xml:space="preserve"> may still have </w:t>
      </w:r>
      <w:r w:rsidR="00851AB3" w:rsidRPr="00B37EF3">
        <w:rPr>
          <w:rFonts w:ascii="Arial" w:hAnsi="Arial"/>
        </w:rPr>
        <w:t xml:space="preserve">short-term episodes of </w:t>
      </w:r>
      <w:r w:rsidRPr="00B37EF3">
        <w:rPr>
          <w:rFonts w:ascii="Arial" w:hAnsi="Arial"/>
        </w:rPr>
        <w:t>high concentrations.</w:t>
      </w:r>
    </w:p>
    <w:p w:rsidR="00B54267" w:rsidRPr="00B37EF3" w:rsidRDefault="00342A0E" w:rsidP="00774E7F">
      <w:pPr>
        <w:spacing w:after="180"/>
        <w:rPr>
          <w:rFonts w:ascii="Arial" w:hAnsi="Arial" w:cs="Arial"/>
        </w:rPr>
      </w:pPr>
      <w:r w:rsidRPr="00B37EF3">
        <w:rPr>
          <w:rFonts w:ascii="Arial" w:hAnsi="Arial" w:cs="Arial"/>
        </w:rPr>
        <w:t>M</w:t>
      </w:r>
      <w:r w:rsidR="00B54267" w:rsidRPr="00B37EF3">
        <w:rPr>
          <w:rFonts w:ascii="Arial" w:hAnsi="Arial" w:cs="Arial"/>
        </w:rPr>
        <w:t xml:space="preserve">any countries and cities around the world issue pollution warnings when daily </w:t>
      </w:r>
      <w:r w:rsidR="00851AB3" w:rsidRPr="00B37EF3">
        <w:rPr>
          <w:rFonts w:ascii="Arial" w:hAnsi="Arial" w:cs="Arial"/>
        </w:rPr>
        <w:t xml:space="preserve">PM </w:t>
      </w:r>
      <w:r w:rsidR="00B54267" w:rsidRPr="00B37EF3">
        <w:rPr>
          <w:rFonts w:ascii="Arial" w:hAnsi="Arial" w:cs="Arial"/>
        </w:rPr>
        <w:t xml:space="preserve">levels are considered </w:t>
      </w:r>
      <w:r w:rsidR="00122C98" w:rsidRPr="00B37EF3">
        <w:rPr>
          <w:rFonts w:ascii="Arial" w:hAnsi="Arial" w:cs="Arial"/>
        </w:rPr>
        <w:t xml:space="preserve">to be </w:t>
      </w:r>
      <w:r w:rsidR="00B54267" w:rsidRPr="00B37EF3">
        <w:rPr>
          <w:rFonts w:ascii="Arial" w:hAnsi="Arial" w:cs="Arial"/>
        </w:rPr>
        <w:t>hazardous. This can motivate episode-specific control strategies, as well as inform the public, so tha</w:t>
      </w:r>
      <w:r w:rsidR="00D6640D" w:rsidRPr="00B37EF3">
        <w:rPr>
          <w:rFonts w:ascii="Arial" w:hAnsi="Arial" w:cs="Arial"/>
        </w:rPr>
        <w:t>t mitigation actions</w:t>
      </w:r>
      <w:r w:rsidR="00B54267" w:rsidRPr="00B37EF3">
        <w:rPr>
          <w:rFonts w:ascii="Arial" w:hAnsi="Arial" w:cs="Arial"/>
        </w:rPr>
        <w:t xml:space="preserve"> (such </w:t>
      </w:r>
      <w:r w:rsidR="004B5F6E" w:rsidRPr="00B37EF3">
        <w:rPr>
          <w:rFonts w:ascii="Arial" w:hAnsi="Arial" w:cs="Arial"/>
        </w:rPr>
        <w:t xml:space="preserve">as </w:t>
      </w:r>
      <w:r w:rsidR="00B54267" w:rsidRPr="00B37EF3">
        <w:rPr>
          <w:rFonts w:ascii="Arial" w:hAnsi="Arial" w:cs="Arial"/>
        </w:rPr>
        <w:t xml:space="preserve">reducing driving, staying inside, reducing exercise, </w:t>
      </w:r>
      <w:r w:rsidR="00122C98" w:rsidRPr="00B37EF3">
        <w:rPr>
          <w:rFonts w:ascii="Arial" w:hAnsi="Arial" w:cs="Arial"/>
        </w:rPr>
        <w:t xml:space="preserve">and </w:t>
      </w:r>
      <w:r w:rsidR="00B54267" w:rsidRPr="00B37EF3">
        <w:rPr>
          <w:rFonts w:ascii="Arial" w:hAnsi="Arial" w:cs="Arial"/>
        </w:rPr>
        <w:t>taking appropriate medi</w:t>
      </w:r>
      <w:r w:rsidR="00851AB3" w:rsidRPr="00B37EF3">
        <w:rPr>
          <w:rFonts w:ascii="Arial" w:hAnsi="Arial" w:cs="Arial"/>
        </w:rPr>
        <w:t>cation</w:t>
      </w:r>
      <w:r w:rsidR="00B54267" w:rsidRPr="00B37EF3">
        <w:rPr>
          <w:rFonts w:ascii="Arial" w:hAnsi="Arial" w:cs="Arial"/>
        </w:rPr>
        <w:t>) can be taken. The establishment of a 24-hour limit guarantees the adoption of monitoring strategies</w:t>
      </w:r>
      <w:r w:rsidR="00851AB3" w:rsidRPr="00B37EF3">
        <w:rPr>
          <w:rFonts w:ascii="Arial" w:hAnsi="Arial" w:cs="Arial"/>
        </w:rPr>
        <w:t xml:space="preserve"> that provide daily information</w:t>
      </w:r>
      <w:r w:rsidR="00B54267" w:rsidRPr="00B37EF3">
        <w:rPr>
          <w:rFonts w:ascii="Arial" w:hAnsi="Arial" w:cs="Arial"/>
        </w:rPr>
        <w:t>.</w:t>
      </w:r>
    </w:p>
    <w:p w:rsidR="00851AB3" w:rsidRDefault="00851AB3" w:rsidP="00774E7F">
      <w:pPr>
        <w:spacing w:after="180"/>
        <w:rPr>
          <w:rFonts w:ascii="Arial" w:hAnsi="Arial" w:cs="Arial"/>
        </w:rPr>
      </w:pPr>
      <w:r w:rsidRPr="00B37EF3">
        <w:rPr>
          <w:rFonts w:ascii="Arial" w:hAnsi="Arial" w:cs="Arial"/>
        </w:rPr>
        <w:t>In light of the above, it was concluded in the REVIHAAP report that there is a need to regulate both 24-hour average and annual average PM</w:t>
      </w:r>
      <w:r w:rsidRPr="00B37EF3">
        <w:rPr>
          <w:rFonts w:ascii="Arial" w:hAnsi="Arial" w:cs="Arial"/>
          <w:vertAlign w:val="subscript"/>
        </w:rPr>
        <w:t>2.5</w:t>
      </w:r>
      <w:r w:rsidRPr="00B37EF3">
        <w:rPr>
          <w:rFonts w:ascii="Arial" w:hAnsi="Arial" w:cs="Arial"/>
        </w:rPr>
        <w:t xml:space="preserve"> concentrations.</w:t>
      </w:r>
    </w:p>
    <w:p w:rsidR="00B54267" w:rsidRPr="00B37EF3" w:rsidRDefault="00851AB3" w:rsidP="00774E7F">
      <w:pPr>
        <w:pStyle w:val="Level5PB"/>
        <w:spacing w:before="200"/>
        <w:rPr>
          <w:rFonts w:ascii="Arial" w:hAnsi="Arial" w:cs="Arial"/>
          <w:i w:val="0"/>
          <w:lang w:val="en-AU"/>
        </w:rPr>
      </w:pPr>
      <w:r w:rsidRPr="00B37EF3">
        <w:rPr>
          <w:rFonts w:ascii="Arial" w:hAnsi="Arial" w:cs="Arial"/>
          <w:i w:val="0"/>
          <w:lang w:val="en-AU"/>
        </w:rPr>
        <w:t xml:space="preserve">Recommendations for </w:t>
      </w:r>
      <w:r w:rsidR="00B54267" w:rsidRPr="00B37EF3">
        <w:rPr>
          <w:rFonts w:ascii="Arial" w:hAnsi="Arial" w:cs="Arial"/>
          <w:i w:val="0"/>
          <w:lang w:val="en-AU"/>
        </w:rPr>
        <w:t>PM</w:t>
      </w:r>
      <w:r w:rsidR="00B54267" w:rsidRPr="00B37EF3">
        <w:rPr>
          <w:rFonts w:ascii="Arial" w:hAnsi="Arial" w:cs="Arial"/>
          <w:i w:val="0"/>
          <w:vertAlign w:val="subscript"/>
          <w:lang w:val="en-AU"/>
        </w:rPr>
        <w:t>10</w:t>
      </w:r>
    </w:p>
    <w:p w:rsidR="00B54267" w:rsidRPr="00B37EF3" w:rsidRDefault="00122C98" w:rsidP="00774E7F">
      <w:pPr>
        <w:spacing w:after="180"/>
        <w:rPr>
          <w:rFonts w:ascii="Arial" w:hAnsi="Arial" w:cs="Arial"/>
        </w:rPr>
      </w:pPr>
      <w:r w:rsidRPr="00B37EF3">
        <w:rPr>
          <w:rFonts w:ascii="Arial" w:hAnsi="Arial" w:cs="Arial"/>
        </w:rPr>
        <w:t>The REVIHAAP project</w:t>
      </w:r>
      <w:r w:rsidR="00B54267" w:rsidRPr="00B37EF3">
        <w:rPr>
          <w:rFonts w:ascii="Arial" w:hAnsi="Arial" w:cs="Arial"/>
        </w:rPr>
        <w:t xml:space="preserve"> considered whether the health evidence supported </w:t>
      </w:r>
      <w:r w:rsidR="00851AB3" w:rsidRPr="00B37EF3">
        <w:rPr>
          <w:rFonts w:ascii="Arial" w:hAnsi="Arial" w:cs="Arial"/>
        </w:rPr>
        <w:t>separate</w:t>
      </w:r>
      <w:r w:rsidR="00B54267" w:rsidRPr="00B37EF3">
        <w:rPr>
          <w:rFonts w:ascii="Arial" w:hAnsi="Arial" w:cs="Arial"/>
        </w:rPr>
        <w:t xml:space="preserve"> limit values for PM</w:t>
      </w:r>
      <w:r w:rsidR="00B54267" w:rsidRPr="00B37EF3">
        <w:rPr>
          <w:rFonts w:ascii="Arial" w:hAnsi="Arial" w:cs="Arial"/>
          <w:vertAlign w:val="subscript"/>
        </w:rPr>
        <w:t>10</w:t>
      </w:r>
      <w:r w:rsidR="00B54267" w:rsidRPr="00B37EF3">
        <w:rPr>
          <w:rFonts w:ascii="Arial" w:hAnsi="Arial" w:cs="Arial"/>
        </w:rPr>
        <w:t xml:space="preserve"> in parallel to those for PM</w:t>
      </w:r>
      <w:r w:rsidR="00B54267" w:rsidRPr="00B37EF3">
        <w:rPr>
          <w:rFonts w:ascii="Arial" w:hAnsi="Arial" w:cs="Arial"/>
          <w:vertAlign w:val="subscript"/>
        </w:rPr>
        <w:t>2.5</w:t>
      </w:r>
      <w:r w:rsidR="00B54267" w:rsidRPr="00B37EF3">
        <w:rPr>
          <w:rFonts w:ascii="Arial" w:hAnsi="Arial" w:cs="Arial"/>
        </w:rPr>
        <w:t xml:space="preserve">. A clear picture emerged that coarse particles </w:t>
      </w:r>
      <w:r w:rsidR="00851AB3" w:rsidRPr="00B37EF3">
        <w:rPr>
          <w:rFonts w:ascii="Arial" w:hAnsi="Arial" w:cs="Arial"/>
        </w:rPr>
        <w:t>have an independent effect on health</w:t>
      </w:r>
      <w:r w:rsidR="00B54267" w:rsidRPr="00B37EF3">
        <w:rPr>
          <w:rFonts w:ascii="Arial" w:hAnsi="Arial" w:cs="Arial"/>
        </w:rPr>
        <w:t xml:space="preserve">, and </w:t>
      </w:r>
      <w:r w:rsidR="00851AB3" w:rsidRPr="00B37EF3">
        <w:rPr>
          <w:rFonts w:ascii="Arial" w:hAnsi="Arial" w:cs="Arial"/>
        </w:rPr>
        <w:t xml:space="preserve">therefore that </w:t>
      </w:r>
      <w:r w:rsidR="00B54267" w:rsidRPr="00B37EF3">
        <w:rPr>
          <w:rFonts w:ascii="Arial" w:hAnsi="Arial" w:cs="Arial"/>
        </w:rPr>
        <w:t>PM</w:t>
      </w:r>
      <w:r w:rsidR="00B54267" w:rsidRPr="00B37EF3">
        <w:rPr>
          <w:rFonts w:ascii="Arial" w:hAnsi="Arial" w:cs="Arial"/>
          <w:vertAlign w:val="subscript"/>
        </w:rPr>
        <w:t>10</w:t>
      </w:r>
      <w:r w:rsidR="00B54267" w:rsidRPr="00B37EF3">
        <w:rPr>
          <w:rFonts w:ascii="Arial" w:hAnsi="Arial" w:cs="Arial"/>
        </w:rPr>
        <w:t xml:space="preserve"> is not just a proxy measure of PM</w:t>
      </w:r>
      <w:r w:rsidR="00B54267" w:rsidRPr="00B37EF3">
        <w:rPr>
          <w:rFonts w:ascii="Arial" w:hAnsi="Arial" w:cs="Arial"/>
          <w:vertAlign w:val="subscript"/>
        </w:rPr>
        <w:t>2.5</w:t>
      </w:r>
      <w:r w:rsidR="00B54267" w:rsidRPr="00B37EF3">
        <w:rPr>
          <w:rFonts w:ascii="Arial" w:hAnsi="Arial" w:cs="Arial"/>
        </w:rPr>
        <w:t>.</w:t>
      </w:r>
      <w:r w:rsidR="00851AB3" w:rsidRPr="00B37EF3">
        <w:rPr>
          <w:rFonts w:ascii="Arial" w:hAnsi="Arial" w:cs="Arial"/>
        </w:rPr>
        <w:t xml:space="preserve"> </w:t>
      </w:r>
      <w:r w:rsidR="00B54267" w:rsidRPr="00B37EF3">
        <w:rPr>
          <w:rFonts w:ascii="Arial" w:hAnsi="Arial" w:cs="Arial"/>
        </w:rPr>
        <w:t xml:space="preserve">Coarse and fine particles deposit at different locations in the respiratory tract, have different sources and composition, act through partly different biological mechanisms, and result in different </w:t>
      </w:r>
      <w:r w:rsidR="00851AB3" w:rsidRPr="00B37EF3">
        <w:rPr>
          <w:rFonts w:ascii="Arial" w:hAnsi="Arial" w:cs="Arial"/>
        </w:rPr>
        <w:t xml:space="preserve">health outcomes. Recent studies have </w:t>
      </w:r>
      <w:r w:rsidR="00B54267" w:rsidRPr="00B37EF3">
        <w:rPr>
          <w:rFonts w:ascii="Arial" w:hAnsi="Arial" w:cs="Arial"/>
        </w:rPr>
        <w:t xml:space="preserve">strengthened the evidence for an association between </w:t>
      </w:r>
      <w:r w:rsidR="00851AB3" w:rsidRPr="00B37EF3">
        <w:rPr>
          <w:rFonts w:ascii="Arial" w:hAnsi="Arial" w:cs="Arial"/>
        </w:rPr>
        <w:t xml:space="preserve">short-term and </w:t>
      </w:r>
      <w:r w:rsidR="00B54267" w:rsidRPr="00B37EF3">
        <w:rPr>
          <w:rFonts w:ascii="Arial" w:hAnsi="Arial" w:cs="Arial"/>
        </w:rPr>
        <w:t>long-term exposure to PM</w:t>
      </w:r>
      <w:r w:rsidR="00B54267" w:rsidRPr="00B37EF3">
        <w:rPr>
          <w:rFonts w:ascii="Arial" w:hAnsi="Arial" w:cs="Arial"/>
          <w:vertAlign w:val="subscript"/>
        </w:rPr>
        <w:t>10</w:t>
      </w:r>
      <w:r w:rsidR="00851AB3" w:rsidRPr="00B37EF3">
        <w:rPr>
          <w:rFonts w:ascii="Arial" w:hAnsi="Arial" w:cs="Arial"/>
        </w:rPr>
        <w:t xml:space="preserve"> and health</w:t>
      </w:r>
      <w:r w:rsidR="00B54267" w:rsidRPr="00B37EF3">
        <w:rPr>
          <w:rFonts w:ascii="Arial" w:hAnsi="Arial" w:cs="Arial"/>
        </w:rPr>
        <w:t>.</w:t>
      </w:r>
      <w:r w:rsidR="00851AB3" w:rsidRPr="00B37EF3">
        <w:rPr>
          <w:rFonts w:ascii="Arial" w:hAnsi="Arial" w:cs="Arial"/>
        </w:rPr>
        <w:t xml:space="preserve"> </w:t>
      </w:r>
      <w:r w:rsidR="00B54267" w:rsidRPr="00B37EF3">
        <w:rPr>
          <w:rFonts w:ascii="Arial" w:hAnsi="Arial" w:cs="Arial"/>
        </w:rPr>
        <w:t>It was therefore concluded that:</w:t>
      </w:r>
    </w:p>
    <w:p w:rsidR="00B54267" w:rsidRPr="00B37EF3" w:rsidRDefault="00B54267" w:rsidP="00CF10DD">
      <w:pPr>
        <w:pStyle w:val="BulletArrows"/>
        <w:numPr>
          <w:ilvl w:val="0"/>
          <w:numId w:val="96"/>
        </w:numPr>
        <w:rPr>
          <w:rFonts w:ascii="Arial" w:hAnsi="Arial"/>
        </w:rPr>
      </w:pPr>
      <w:r w:rsidRPr="00B37EF3">
        <w:rPr>
          <w:rFonts w:ascii="Arial" w:hAnsi="Arial"/>
        </w:rPr>
        <w:lastRenderedPageBreak/>
        <w:t>Sufficient evidence exists for a short-term standard for PM</w:t>
      </w:r>
      <w:r w:rsidRPr="00B37EF3">
        <w:rPr>
          <w:rFonts w:ascii="Arial" w:hAnsi="Arial"/>
          <w:vertAlign w:val="subscript"/>
        </w:rPr>
        <w:t>10</w:t>
      </w:r>
      <w:r w:rsidRPr="00B37EF3">
        <w:rPr>
          <w:rFonts w:ascii="Arial" w:hAnsi="Arial"/>
        </w:rPr>
        <w:t xml:space="preserve"> to protect against the short-term hea</w:t>
      </w:r>
      <w:r w:rsidR="00851AB3" w:rsidRPr="00B37EF3">
        <w:rPr>
          <w:rFonts w:ascii="Arial" w:hAnsi="Arial"/>
        </w:rPr>
        <w:t>lth effects of coarse particles</w:t>
      </w:r>
      <w:r w:rsidRPr="00B37EF3">
        <w:rPr>
          <w:rFonts w:ascii="Arial" w:hAnsi="Arial"/>
        </w:rPr>
        <w:t xml:space="preserve"> in addition to </w:t>
      </w:r>
      <w:r w:rsidR="00851AB3" w:rsidRPr="00B37EF3">
        <w:rPr>
          <w:rFonts w:ascii="Arial" w:hAnsi="Arial"/>
        </w:rPr>
        <w:t xml:space="preserve">those of </w:t>
      </w:r>
      <w:r w:rsidRPr="00B37EF3">
        <w:rPr>
          <w:rFonts w:ascii="Arial" w:hAnsi="Arial"/>
        </w:rPr>
        <w:t>fine particles. Alternatively, a short-term exposure limit value for coarse particles may be considered, provided that an effective PM</w:t>
      </w:r>
      <w:r w:rsidRPr="00B37EF3">
        <w:rPr>
          <w:rFonts w:ascii="Arial" w:hAnsi="Arial"/>
          <w:vertAlign w:val="subscript"/>
        </w:rPr>
        <w:t>2.5</w:t>
      </w:r>
      <w:r w:rsidRPr="00B37EF3">
        <w:rPr>
          <w:rFonts w:ascii="Arial" w:hAnsi="Arial"/>
        </w:rPr>
        <w:t xml:space="preserve"> short-term exposure limit is </w:t>
      </w:r>
      <w:r w:rsidR="00D6640D" w:rsidRPr="00B37EF3">
        <w:rPr>
          <w:rFonts w:ascii="Arial" w:hAnsi="Arial"/>
        </w:rPr>
        <w:t xml:space="preserve">also </w:t>
      </w:r>
      <w:r w:rsidRPr="00B37EF3">
        <w:rPr>
          <w:rFonts w:ascii="Arial" w:hAnsi="Arial"/>
        </w:rPr>
        <w:t>enacted.</w:t>
      </w:r>
    </w:p>
    <w:p w:rsidR="00B54267" w:rsidRPr="00B37EF3" w:rsidRDefault="00B54267" w:rsidP="00CF10DD">
      <w:pPr>
        <w:pStyle w:val="BulletArrows"/>
        <w:numPr>
          <w:ilvl w:val="0"/>
          <w:numId w:val="96"/>
        </w:numPr>
        <w:rPr>
          <w:rFonts w:ascii="Arial" w:hAnsi="Arial"/>
        </w:rPr>
      </w:pPr>
      <w:r w:rsidRPr="00B37EF3">
        <w:rPr>
          <w:rFonts w:ascii="Arial" w:hAnsi="Arial"/>
        </w:rPr>
        <w:t xml:space="preserve">A limit to protect against long-term </w:t>
      </w:r>
      <w:r w:rsidR="00851AB3" w:rsidRPr="00B37EF3">
        <w:rPr>
          <w:rFonts w:ascii="Arial" w:hAnsi="Arial"/>
        </w:rPr>
        <w:t>PM</w:t>
      </w:r>
      <w:r w:rsidR="00851AB3" w:rsidRPr="00B37EF3">
        <w:rPr>
          <w:rFonts w:ascii="Arial" w:hAnsi="Arial"/>
          <w:vertAlign w:val="subscript"/>
        </w:rPr>
        <w:t>10</w:t>
      </w:r>
      <w:r w:rsidR="00851AB3" w:rsidRPr="00B37EF3">
        <w:rPr>
          <w:rFonts w:ascii="Arial" w:hAnsi="Arial"/>
        </w:rPr>
        <w:t xml:space="preserve"> </w:t>
      </w:r>
      <w:r w:rsidRPr="00B37EF3">
        <w:rPr>
          <w:rFonts w:ascii="Arial" w:hAnsi="Arial"/>
        </w:rPr>
        <w:t>exposure should be maintained as long as th</w:t>
      </w:r>
      <w:r w:rsidR="00851AB3" w:rsidRPr="00B37EF3">
        <w:rPr>
          <w:rFonts w:ascii="Arial" w:hAnsi="Arial"/>
        </w:rPr>
        <w:t>ere remains uncertainty about whether the</w:t>
      </w:r>
      <w:r w:rsidRPr="00B37EF3">
        <w:rPr>
          <w:rFonts w:ascii="Arial" w:hAnsi="Arial"/>
        </w:rPr>
        <w:t xml:space="preserve"> health effects </w:t>
      </w:r>
      <w:r w:rsidR="00851AB3" w:rsidRPr="00B37EF3">
        <w:rPr>
          <w:rFonts w:ascii="Arial" w:hAnsi="Arial"/>
        </w:rPr>
        <w:t xml:space="preserve">of coarse particles </w:t>
      </w:r>
      <w:r w:rsidRPr="00B37EF3">
        <w:rPr>
          <w:rFonts w:ascii="Arial" w:hAnsi="Arial"/>
        </w:rPr>
        <w:t>would be eliminated by reducing long-term exposure to PM</w:t>
      </w:r>
      <w:r w:rsidRPr="00B37EF3">
        <w:rPr>
          <w:rFonts w:ascii="Arial" w:hAnsi="Arial"/>
          <w:vertAlign w:val="subscript"/>
        </w:rPr>
        <w:t>2.5</w:t>
      </w:r>
      <w:r w:rsidRPr="00B37EF3">
        <w:rPr>
          <w:rFonts w:ascii="Arial" w:hAnsi="Arial"/>
        </w:rPr>
        <w:t xml:space="preserve"> alone</w:t>
      </w:r>
      <w:r w:rsidRPr="00B37EF3">
        <w:rPr>
          <w:rFonts w:ascii="Arial" w:hAnsi="Arial"/>
          <w:b/>
        </w:rPr>
        <w:t>.</w:t>
      </w:r>
      <w:r w:rsidRPr="00B37EF3">
        <w:rPr>
          <w:rFonts w:ascii="Arial" w:hAnsi="Arial"/>
        </w:rPr>
        <w:t xml:space="preserve"> This concern exists especially for respiratory and pregnancy outcomes, while cardiovascular disease and other diseases related to systemic inflammatory responses are more likely to be linked to long-term exposures to fine particles.</w:t>
      </w:r>
    </w:p>
    <w:p w:rsidR="00851AB3" w:rsidRPr="00B37EF3" w:rsidRDefault="00851AB3" w:rsidP="00774E7F">
      <w:pPr>
        <w:pStyle w:val="Level5PB"/>
        <w:spacing w:before="200"/>
        <w:rPr>
          <w:rFonts w:ascii="Arial" w:hAnsi="Arial" w:cs="Arial"/>
          <w:i w:val="0"/>
          <w:lang w:val="en-AU"/>
        </w:rPr>
      </w:pPr>
      <w:r w:rsidRPr="00B37EF3">
        <w:rPr>
          <w:rFonts w:ascii="Arial" w:hAnsi="Arial" w:cs="Arial"/>
          <w:i w:val="0"/>
          <w:lang w:val="en-AU"/>
        </w:rPr>
        <w:t>Other recommendations</w:t>
      </w:r>
    </w:p>
    <w:p w:rsidR="00D6640D" w:rsidRPr="00B37EF3" w:rsidRDefault="00721151" w:rsidP="00774E7F">
      <w:pPr>
        <w:spacing w:after="180"/>
        <w:rPr>
          <w:rFonts w:ascii="Arial" w:hAnsi="Arial" w:cs="Arial"/>
        </w:rPr>
      </w:pPr>
      <w:r w:rsidRPr="00B37EF3">
        <w:rPr>
          <w:rFonts w:ascii="Arial" w:hAnsi="Arial" w:cs="Arial"/>
        </w:rPr>
        <w:t>The REVIHAAP report states that i</w:t>
      </w:r>
      <w:r w:rsidR="00851AB3" w:rsidRPr="00B37EF3">
        <w:rPr>
          <w:rFonts w:ascii="Arial" w:hAnsi="Arial" w:cs="Arial"/>
        </w:rPr>
        <w:t>t would be advantageous to develop an additional air quality guideline to capture the effects of road vehicle PM emissions that are not well captured by PM</w:t>
      </w:r>
      <w:r w:rsidR="00851AB3" w:rsidRPr="00B37EF3">
        <w:rPr>
          <w:rFonts w:ascii="Arial" w:hAnsi="Arial" w:cs="Arial"/>
          <w:vertAlign w:val="subscript"/>
        </w:rPr>
        <w:t>2.5</w:t>
      </w:r>
      <w:r w:rsidR="00851AB3" w:rsidRPr="00B37EF3">
        <w:rPr>
          <w:rFonts w:ascii="Arial" w:hAnsi="Arial" w:cs="Arial"/>
        </w:rPr>
        <w:t xml:space="preserve"> alone, building on the work on black carbon and/or elemental carbon and evidence for other pollutants in vehicle exhaust</w:t>
      </w:r>
      <w:r w:rsidRPr="00B37EF3">
        <w:rPr>
          <w:rFonts w:ascii="Arial" w:hAnsi="Arial" w:cs="Arial"/>
        </w:rPr>
        <w:t xml:space="preserve"> emissions</w:t>
      </w:r>
      <w:r w:rsidR="00851AB3" w:rsidRPr="00B37EF3">
        <w:rPr>
          <w:rFonts w:ascii="Arial" w:hAnsi="Arial" w:cs="Arial"/>
          <w:b/>
        </w:rPr>
        <w:t xml:space="preserve"> (WHO Regional Office for Europe 2006)</w:t>
      </w:r>
      <w:r w:rsidR="00851AB3" w:rsidRPr="00B37EF3">
        <w:rPr>
          <w:rFonts w:ascii="Arial" w:hAnsi="Arial" w:cs="Arial"/>
        </w:rPr>
        <w:t xml:space="preserve">. </w:t>
      </w:r>
      <w:r w:rsidR="00D6640D" w:rsidRPr="00B37EF3">
        <w:rPr>
          <w:rFonts w:ascii="Arial" w:hAnsi="Arial" w:cs="Arial"/>
        </w:rPr>
        <w:t xml:space="preserve">Besides the public health and/or air quality concerns, black carbon is also an important short-lived climate forcer which contributes to the warming of the </w:t>
      </w:r>
      <w:r w:rsidR="004B5F6E" w:rsidRPr="00B37EF3">
        <w:rPr>
          <w:rFonts w:ascii="Arial" w:hAnsi="Arial" w:cs="Arial"/>
        </w:rPr>
        <w:t xml:space="preserve">earth’s </w:t>
      </w:r>
      <w:r w:rsidR="00D6640D" w:rsidRPr="00B37EF3">
        <w:rPr>
          <w:rFonts w:ascii="Arial" w:hAnsi="Arial" w:cs="Arial"/>
        </w:rPr>
        <w:t xml:space="preserve">atmosphere. Reducing black carbon emissions from sources with </w:t>
      </w:r>
      <w:r w:rsidR="00DE604D" w:rsidRPr="00B37EF3">
        <w:rPr>
          <w:rFonts w:ascii="Arial" w:hAnsi="Arial" w:cs="Arial"/>
        </w:rPr>
        <w:t xml:space="preserve">a </w:t>
      </w:r>
      <w:r w:rsidR="00D6640D" w:rsidRPr="00B37EF3">
        <w:rPr>
          <w:rFonts w:ascii="Arial" w:hAnsi="Arial" w:cs="Arial"/>
        </w:rPr>
        <w:t>high black carbon/organic carbon ratio helps to mitigate short-term climate change.</w:t>
      </w:r>
    </w:p>
    <w:p w:rsidR="00851AB3" w:rsidRPr="00B37EF3" w:rsidRDefault="00851AB3" w:rsidP="00774E7F">
      <w:pPr>
        <w:spacing w:after="180"/>
        <w:rPr>
          <w:rFonts w:ascii="Arial" w:hAnsi="Arial" w:cs="Arial"/>
        </w:rPr>
      </w:pPr>
      <w:r w:rsidRPr="00B37EF3">
        <w:rPr>
          <w:rFonts w:ascii="Arial" w:hAnsi="Arial" w:cs="Arial"/>
        </w:rPr>
        <w:t xml:space="preserve">Another appropriate goal </w:t>
      </w:r>
      <w:r w:rsidR="00721151" w:rsidRPr="00B37EF3">
        <w:rPr>
          <w:rFonts w:ascii="Arial" w:hAnsi="Arial" w:cs="Arial"/>
        </w:rPr>
        <w:t xml:space="preserve">proposed by the REVIHAAP report </w:t>
      </w:r>
      <w:r w:rsidRPr="00B37EF3">
        <w:rPr>
          <w:rFonts w:ascii="Arial" w:hAnsi="Arial" w:cs="Arial"/>
        </w:rPr>
        <w:t xml:space="preserve">is to reduce non-tailpipe emissions from road traffic, given the increasing relative contribution of these </w:t>
      </w:r>
      <w:r w:rsidR="00721151" w:rsidRPr="00B37EF3">
        <w:rPr>
          <w:rFonts w:ascii="Arial" w:hAnsi="Arial" w:cs="Arial"/>
        </w:rPr>
        <w:t xml:space="preserve">emissions </w:t>
      </w:r>
      <w:r w:rsidRPr="00B37EF3">
        <w:rPr>
          <w:rFonts w:ascii="Arial" w:hAnsi="Arial" w:cs="Arial"/>
        </w:rPr>
        <w:t>as vehicle exhaust emissions decrease.</w:t>
      </w:r>
    </w:p>
    <w:p w:rsidR="00851AB3" w:rsidRPr="00B37EF3" w:rsidRDefault="00721151" w:rsidP="00774E7F">
      <w:pPr>
        <w:spacing w:after="180"/>
        <w:rPr>
          <w:rFonts w:ascii="Arial" w:hAnsi="Arial" w:cs="Arial"/>
        </w:rPr>
      </w:pPr>
      <w:r w:rsidRPr="00B37EF3">
        <w:rPr>
          <w:rFonts w:ascii="Arial" w:hAnsi="Arial" w:cs="Arial"/>
        </w:rPr>
        <w:t>The REVIHAAP report notes that a</w:t>
      </w:r>
      <w:r w:rsidR="00851AB3" w:rsidRPr="00B37EF3">
        <w:rPr>
          <w:rFonts w:ascii="Arial" w:hAnsi="Arial" w:cs="Arial"/>
        </w:rPr>
        <w:t xml:space="preserve">lthough there is considerable evidence that ultrafine </w:t>
      </w:r>
      <w:r w:rsidR="00D6640D" w:rsidRPr="00B37EF3">
        <w:rPr>
          <w:rFonts w:ascii="Arial" w:hAnsi="Arial" w:cs="Arial"/>
        </w:rPr>
        <w:t xml:space="preserve">particles can contribute to </w:t>
      </w:r>
      <w:r w:rsidRPr="00B37EF3">
        <w:rPr>
          <w:rFonts w:ascii="Arial" w:hAnsi="Arial" w:cs="Arial"/>
        </w:rPr>
        <w:t xml:space="preserve">the </w:t>
      </w:r>
      <w:r w:rsidR="00851AB3" w:rsidRPr="00B37EF3">
        <w:rPr>
          <w:rFonts w:ascii="Arial" w:hAnsi="Arial" w:cs="Arial"/>
        </w:rPr>
        <w:t>health effect</w:t>
      </w:r>
      <w:r w:rsidR="00D6640D" w:rsidRPr="00B37EF3">
        <w:rPr>
          <w:rFonts w:ascii="Arial" w:hAnsi="Arial" w:cs="Arial"/>
        </w:rPr>
        <w:t>s</w:t>
      </w:r>
      <w:r w:rsidRPr="00B37EF3">
        <w:rPr>
          <w:rFonts w:ascii="Arial" w:hAnsi="Arial" w:cs="Arial"/>
        </w:rPr>
        <w:t xml:space="preserve"> of PM</w:t>
      </w:r>
      <w:r w:rsidR="00D6640D" w:rsidRPr="00B37EF3">
        <w:rPr>
          <w:rFonts w:ascii="Arial" w:hAnsi="Arial" w:cs="Arial"/>
        </w:rPr>
        <w:t>, the data (measured as particle number</w:t>
      </w:r>
      <w:r w:rsidR="00851AB3" w:rsidRPr="00B37EF3">
        <w:rPr>
          <w:rFonts w:ascii="Arial" w:hAnsi="Arial" w:cs="Arial"/>
        </w:rPr>
        <w:t>)</w:t>
      </w:r>
      <w:r w:rsidR="00D6640D" w:rsidRPr="00B37EF3">
        <w:rPr>
          <w:rFonts w:ascii="Arial" w:hAnsi="Arial" w:cs="Arial"/>
        </w:rPr>
        <w:t xml:space="preserve"> </w:t>
      </w:r>
      <w:r w:rsidR="00851AB3" w:rsidRPr="00B37EF3">
        <w:rPr>
          <w:rFonts w:ascii="Arial" w:hAnsi="Arial" w:cs="Arial"/>
        </w:rPr>
        <w:t xml:space="preserve">on concentration–effect functions are too scarce </w:t>
      </w:r>
      <w:r w:rsidRPr="00B37EF3">
        <w:rPr>
          <w:rFonts w:ascii="Arial" w:hAnsi="Arial" w:cs="Arial"/>
        </w:rPr>
        <w:t>to recommend</w:t>
      </w:r>
      <w:r w:rsidR="00851AB3" w:rsidRPr="00B37EF3">
        <w:rPr>
          <w:rFonts w:ascii="Arial" w:hAnsi="Arial" w:cs="Arial"/>
        </w:rPr>
        <w:t xml:space="preserve"> an air quality guideline</w:t>
      </w:r>
      <w:r w:rsidRPr="00B37EF3">
        <w:rPr>
          <w:rFonts w:ascii="Arial" w:hAnsi="Arial" w:cs="Arial"/>
        </w:rPr>
        <w:t xml:space="preserve"> for ultrafine particles</w:t>
      </w:r>
      <w:r w:rsidR="00851AB3" w:rsidRPr="00B37EF3">
        <w:rPr>
          <w:rFonts w:ascii="Arial" w:hAnsi="Arial" w:cs="Arial"/>
        </w:rPr>
        <w:t xml:space="preserve">. The same evaluation applies for organic carbon. Current efforts to reduce the numbers of ultrafine particles in engine emissions should continue, and their effectiveness </w:t>
      </w:r>
      <w:r w:rsidR="004B5F6E" w:rsidRPr="00B37EF3">
        <w:rPr>
          <w:rFonts w:ascii="Arial" w:hAnsi="Arial" w:cs="Arial"/>
        </w:rPr>
        <w:t xml:space="preserve">be </w:t>
      </w:r>
      <w:r w:rsidR="00851AB3" w:rsidRPr="00B37EF3">
        <w:rPr>
          <w:rFonts w:ascii="Arial" w:hAnsi="Arial" w:cs="Arial"/>
        </w:rPr>
        <w:t>assessed, given the potential health effects.</w:t>
      </w:r>
    </w:p>
    <w:p w:rsidR="00851AB3" w:rsidRPr="00B37EF3" w:rsidRDefault="00851AB3" w:rsidP="00774E7F">
      <w:pPr>
        <w:spacing w:after="180"/>
        <w:rPr>
          <w:rFonts w:ascii="Arial" w:hAnsi="Arial" w:cs="Arial"/>
        </w:rPr>
      </w:pPr>
      <w:r w:rsidRPr="00B37EF3">
        <w:rPr>
          <w:rFonts w:ascii="Arial" w:hAnsi="Arial" w:cs="Arial"/>
          <w:lang w:eastAsia="en-US"/>
        </w:rPr>
        <w:t>The health effects of coarse</w:t>
      </w:r>
      <w:r w:rsidR="00721151" w:rsidRPr="00B37EF3">
        <w:rPr>
          <w:rFonts w:ascii="Arial" w:hAnsi="Arial" w:cs="Arial"/>
          <w:lang w:eastAsia="en-US"/>
        </w:rPr>
        <w:t xml:space="preserve"> particles reviewed</w:t>
      </w:r>
      <w:r w:rsidRPr="00B37EF3">
        <w:rPr>
          <w:rFonts w:ascii="Arial" w:hAnsi="Arial" w:cs="Arial"/>
          <w:lang w:eastAsia="en-US"/>
        </w:rPr>
        <w:t xml:space="preserve"> in the REVIHAAP report mean that</w:t>
      </w:r>
      <w:r w:rsidRPr="00B37EF3">
        <w:rPr>
          <w:rFonts w:ascii="Arial" w:hAnsi="Arial" w:cs="Arial"/>
        </w:rPr>
        <w:t xml:space="preserve"> maintaining </w:t>
      </w:r>
      <w:r w:rsidRPr="00B37EF3">
        <w:rPr>
          <w:rFonts w:ascii="Arial" w:hAnsi="Arial" w:cs="Arial"/>
          <w:lang w:eastAsia="en-US"/>
        </w:rPr>
        <w:t>independent short-term and long-term limit values for both PM</w:t>
      </w:r>
      <w:r w:rsidRPr="00B37EF3">
        <w:rPr>
          <w:rFonts w:ascii="Arial" w:hAnsi="Arial" w:cs="Arial"/>
          <w:vertAlign w:val="subscript"/>
          <w:lang w:eastAsia="en-US"/>
        </w:rPr>
        <w:t>10</w:t>
      </w:r>
      <w:r w:rsidRPr="00B37EF3">
        <w:rPr>
          <w:rFonts w:ascii="Arial" w:hAnsi="Arial" w:cs="Arial"/>
          <w:lang w:eastAsia="en-US"/>
        </w:rPr>
        <w:t xml:space="preserve"> and PM</w:t>
      </w:r>
      <w:r w:rsidRPr="00B37EF3">
        <w:rPr>
          <w:rFonts w:ascii="Arial" w:hAnsi="Arial" w:cs="Arial"/>
          <w:vertAlign w:val="subscript"/>
          <w:lang w:eastAsia="en-US"/>
        </w:rPr>
        <w:t>2.5</w:t>
      </w:r>
      <w:r w:rsidRPr="00B37EF3">
        <w:rPr>
          <w:rFonts w:ascii="Arial" w:hAnsi="Arial" w:cs="Arial"/>
          <w:lang w:eastAsia="en-US"/>
        </w:rPr>
        <w:t xml:space="preserve"> </w:t>
      </w:r>
      <w:r w:rsidR="004B5F6E" w:rsidRPr="00B37EF3">
        <w:rPr>
          <w:rFonts w:ascii="Arial" w:hAnsi="Arial" w:cs="Arial"/>
          <w:lang w:eastAsia="en-US"/>
        </w:rPr>
        <w:t>–</w:t>
      </w:r>
      <w:r w:rsidRPr="00B37EF3">
        <w:rPr>
          <w:rFonts w:ascii="Arial" w:hAnsi="Arial" w:cs="Arial"/>
          <w:lang w:eastAsia="en-US"/>
        </w:rPr>
        <w:t xml:space="preserve"> to protect against the health effects of both fine and coarse particles </w:t>
      </w:r>
      <w:r w:rsidR="004B5F6E" w:rsidRPr="00B37EF3">
        <w:rPr>
          <w:rFonts w:ascii="Arial" w:hAnsi="Arial" w:cs="Arial"/>
          <w:lang w:eastAsia="en-US"/>
        </w:rPr>
        <w:t>–</w:t>
      </w:r>
      <w:r w:rsidRPr="00B37EF3">
        <w:rPr>
          <w:rFonts w:ascii="Arial" w:hAnsi="Arial" w:cs="Arial"/>
          <w:lang w:eastAsia="en-US"/>
        </w:rPr>
        <w:t xml:space="preserve"> is well supported.</w:t>
      </w:r>
    </w:p>
    <w:p w:rsidR="00212AF4" w:rsidRPr="00B37EF3" w:rsidRDefault="00212AF4" w:rsidP="00774E7F">
      <w:pPr>
        <w:pStyle w:val="Level4PB2"/>
        <w:spacing w:before="200" w:after="160"/>
        <w:rPr>
          <w:rFonts w:ascii="Arial" w:hAnsi="Arial" w:cs="Arial"/>
          <w:lang w:val="en-AU"/>
        </w:rPr>
      </w:pPr>
      <w:r w:rsidRPr="00B37EF3">
        <w:rPr>
          <w:rFonts w:ascii="Arial" w:hAnsi="Arial" w:cs="Arial"/>
          <w:lang w:val="en-AU"/>
        </w:rPr>
        <w:t>U</w:t>
      </w:r>
      <w:r w:rsidR="005B1DF1" w:rsidRPr="00B37EF3">
        <w:rPr>
          <w:rFonts w:ascii="Arial" w:hAnsi="Arial" w:cs="Arial"/>
          <w:lang w:val="en-AU"/>
        </w:rPr>
        <w:t xml:space="preserve">nited </w:t>
      </w:r>
      <w:r w:rsidRPr="00B37EF3">
        <w:rPr>
          <w:rFonts w:ascii="Arial" w:hAnsi="Arial" w:cs="Arial"/>
          <w:lang w:val="en-AU"/>
        </w:rPr>
        <w:t>S</w:t>
      </w:r>
      <w:r w:rsidR="005B1DF1" w:rsidRPr="00B37EF3">
        <w:rPr>
          <w:rFonts w:ascii="Arial" w:hAnsi="Arial" w:cs="Arial"/>
          <w:lang w:val="en-AU"/>
        </w:rPr>
        <w:t>tates</w:t>
      </w:r>
    </w:p>
    <w:p w:rsidR="00220AA8" w:rsidRPr="00B37EF3" w:rsidRDefault="00984A2E" w:rsidP="00774E7F">
      <w:pPr>
        <w:spacing w:after="180"/>
        <w:rPr>
          <w:rFonts w:ascii="Arial" w:hAnsi="Arial" w:cs="Arial"/>
        </w:rPr>
      </w:pPr>
      <w:r w:rsidRPr="00B37EF3">
        <w:rPr>
          <w:rFonts w:ascii="Arial" w:hAnsi="Arial" w:cs="Arial"/>
        </w:rPr>
        <w:t>The United States Environmental Protection Agency (USEPA) establishes National Ambient Air Quality Standards (NAAQ</w:t>
      </w:r>
      <w:r w:rsidR="009449CB" w:rsidRPr="00B37EF3">
        <w:rPr>
          <w:rFonts w:ascii="Arial" w:hAnsi="Arial" w:cs="Arial"/>
        </w:rPr>
        <w:t xml:space="preserve">S) for </w:t>
      </w:r>
      <w:r w:rsidRPr="00B37EF3">
        <w:rPr>
          <w:rFonts w:ascii="Arial" w:hAnsi="Arial" w:cs="Arial"/>
        </w:rPr>
        <w:t>criteria pollutants. Th</w:t>
      </w:r>
      <w:r w:rsidR="009449CB" w:rsidRPr="00B37EF3">
        <w:rPr>
          <w:rFonts w:ascii="Arial" w:hAnsi="Arial" w:cs="Arial"/>
        </w:rPr>
        <w:t xml:space="preserve">e NAAQS are legally binding on </w:t>
      </w:r>
      <w:r w:rsidR="004B5F6E" w:rsidRPr="00B37EF3">
        <w:rPr>
          <w:rFonts w:ascii="Arial" w:hAnsi="Arial" w:cs="Arial"/>
        </w:rPr>
        <w:t>s</w:t>
      </w:r>
      <w:r w:rsidRPr="00B37EF3">
        <w:rPr>
          <w:rFonts w:ascii="Arial" w:hAnsi="Arial" w:cs="Arial"/>
        </w:rPr>
        <w:t xml:space="preserve">tates, which must develop </w:t>
      </w:r>
      <w:r w:rsidR="004B5F6E" w:rsidRPr="00B37EF3">
        <w:rPr>
          <w:rFonts w:ascii="Arial" w:hAnsi="Arial" w:cs="Arial"/>
        </w:rPr>
        <w:t>s</w:t>
      </w:r>
      <w:r w:rsidRPr="00B37EF3">
        <w:rPr>
          <w:rFonts w:ascii="Arial" w:hAnsi="Arial" w:cs="Arial"/>
        </w:rPr>
        <w:t xml:space="preserve">tate </w:t>
      </w:r>
      <w:r w:rsidR="004B5F6E" w:rsidRPr="00B37EF3">
        <w:rPr>
          <w:rFonts w:ascii="Arial" w:hAnsi="Arial" w:cs="Arial"/>
        </w:rPr>
        <w:t>i</w:t>
      </w:r>
      <w:r w:rsidRPr="00B37EF3">
        <w:rPr>
          <w:rFonts w:ascii="Arial" w:hAnsi="Arial" w:cs="Arial"/>
        </w:rPr>
        <w:t>mplem</w:t>
      </w:r>
      <w:r w:rsidR="009449CB" w:rsidRPr="00B37EF3">
        <w:rPr>
          <w:rFonts w:ascii="Arial" w:hAnsi="Arial" w:cs="Arial"/>
        </w:rPr>
        <w:t xml:space="preserve">entation </w:t>
      </w:r>
      <w:r w:rsidR="004B5F6E" w:rsidRPr="00B37EF3">
        <w:rPr>
          <w:rFonts w:ascii="Arial" w:hAnsi="Arial" w:cs="Arial"/>
        </w:rPr>
        <w:t>p</w:t>
      </w:r>
      <w:r w:rsidR="009449CB" w:rsidRPr="00B37EF3">
        <w:rPr>
          <w:rFonts w:ascii="Arial" w:hAnsi="Arial" w:cs="Arial"/>
        </w:rPr>
        <w:t>lans to ensure compliance</w:t>
      </w:r>
      <w:r w:rsidRPr="00B37EF3">
        <w:rPr>
          <w:rFonts w:ascii="Arial" w:hAnsi="Arial" w:cs="Arial"/>
        </w:rPr>
        <w:t xml:space="preserve">. </w:t>
      </w:r>
      <w:r w:rsidR="00926C9B" w:rsidRPr="00B37EF3">
        <w:rPr>
          <w:rFonts w:ascii="Arial" w:hAnsi="Arial" w:cs="Arial"/>
        </w:rPr>
        <w:t>S</w:t>
      </w:r>
      <w:r w:rsidR="00220AA8" w:rsidRPr="00B37EF3">
        <w:rPr>
          <w:rFonts w:ascii="Arial" w:hAnsi="Arial" w:cs="Arial"/>
        </w:rPr>
        <w:t>tates can impose their own standards as long as the national standards are maintained. For example, California has tighter standards for some air pollutants compared with the NAAQS.</w:t>
      </w:r>
    </w:p>
    <w:p w:rsidR="006C1023" w:rsidRPr="00B37EF3" w:rsidRDefault="00984A2E" w:rsidP="00774E7F">
      <w:pPr>
        <w:spacing w:after="180"/>
        <w:rPr>
          <w:rFonts w:ascii="Arial" w:hAnsi="Arial" w:cs="Arial"/>
        </w:rPr>
      </w:pPr>
      <w:r w:rsidRPr="00B37EF3">
        <w:rPr>
          <w:rFonts w:ascii="Arial" w:hAnsi="Arial" w:cs="Arial"/>
        </w:rPr>
        <w:t>The NAAQS are based solely on the consideration of health effects</w:t>
      </w:r>
      <w:r w:rsidR="00BD5B84" w:rsidRPr="00B37EF3">
        <w:rPr>
          <w:rFonts w:ascii="Arial" w:hAnsi="Arial" w:cs="Arial"/>
        </w:rPr>
        <w:t>, including sensitive</w:t>
      </w:r>
      <w:r w:rsidR="009449CB" w:rsidRPr="00B37EF3">
        <w:rPr>
          <w:rFonts w:ascii="Arial" w:hAnsi="Arial" w:cs="Arial"/>
        </w:rPr>
        <w:t xml:space="preserve"> populations</w:t>
      </w:r>
      <w:r w:rsidRPr="00B37EF3">
        <w:rPr>
          <w:rFonts w:ascii="Arial" w:hAnsi="Arial" w:cs="Arial"/>
        </w:rPr>
        <w:t>; economic considerations are not explicitly taken into account.</w:t>
      </w:r>
      <w:r w:rsidR="00BD5B84" w:rsidRPr="00B37EF3">
        <w:rPr>
          <w:rFonts w:ascii="Arial" w:hAnsi="Arial" w:cs="Arial"/>
        </w:rPr>
        <w:t xml:space="preserve"> </w:t>
      </w:r>
      <w:r w:rsidR="00FE07E1" w:rsidRPr="00B37EF3">
        <w:rPr>
          <w:rFonts w:ascii="Arial" w:hAnsi="Arial" w:cs="Arial"/>
        </w:rPr>
        <w:t xml:space="preserve">However, there is a requirement for economic analyses for information purposes, and these analyses have generated a substantial amount of useful information. </w:t>
      </w:r>
      <w:r w:rsidR="006C1023" w:rsidRPr="00B37EF3">
        <w:rPr>
          <w:rFonts w:ascii="Arial" w:hAnsi="Arial" w:cs="Arial"/>
        </w:rPr>
        <w:t>NAAQS for criteria air pollutants are developed using quantitative risk assessments and city-specific data (for a number of cities across th</w:t>
      </w:r>
      <w:r w:rsidR="00BD5B84" w:rsidRPr="00B37EF3">
        <w:rPr>
          <w:rFonts w:ascii="Arial" w:hAnsi="Arial" w:cs="Arial"/>
        </w:rPr>
        <w:t>e country).</w:t>
      </w:r>
      <w:r w:rsidR="00BD5B84" w:rsidRPr="00B37EF3">
        <w:rPr>
          <w:rFonts w:ascii="Arial" w:hAnsi="Arial" w:cs="Arial"/>
          <w:color w:val="000000"/>
        </w:rPr>
        <w:t xml:space="preserve"> Secondary limits</w:t>
      </w:r>
      <w:r w:rsidR="004B5F6E" w:rsidRPr="00B37EF3">
        <w:rPr>
          <w:rStyle w:val="FootnoteReference"/>
          <w:rFonts w:ascii="Arial" w:hAnsi="Arial" w:cs="Arial"/>
          <w:color w:val="000000"/>
        </w:rPr>
        <w:footnoteReference w:id="14"/>
      </w:r>
      <w:r w:rsidR="00BD5B84" w:rsidRPr="00B37EF3">
        <w:rPr>
          <w:rFonts w:ascii="Arial" w:hAnsi="Arial" w:cs="Arial"/>
          <w:color w:val="000000"/>
        </w:rPr>
        <w:t xml:space="preserve"> are set for non-health effects (</w:t>
      </w:r>
      <w:r w:rsidR="009334F4" w:rsidRPr="00B37EF3">
        <w:rPr>
          <w:rFonts w:ascii="Arial" w:hAnsi="Arial" w:cs="Arial"/>
          <w:color w:val="000000"/>
        </w:rPr>
        <w:t>e.g.</w:t>
      </w:r>
      <w:r w:rsidR="00BD5B84" w:rsidRPr="00B37EF3">
        <w:rPr>
          <w:rFonts w:ascii="Arial" w:hAnsi="Arial" w:cs="Arial"/>
          <w:color w:val="000000"/>
        </w:rPr>
        <w:t xml:space="preserve"> visibility, animals, crops, buildings).</w:t>
      </w:r>
    </w:p>
    <w:p w:rsidR="005B3CB8" w:rsidRPr="00B37EF3" w:rsidRDefault="003E79C1" w:rsidP="00774E7F">
      <w:pPr>
        <w:spacing w:after="180"/>
        <w:rPr>
          <w:rFonts w:ascii="Arial" w:hAnsi="Arial" w:cs="Arial"/>
        </w:rPr>
      </w:pPr>
      <w:r w:rsidRPr="00B37EF3">
        <w:rPr>
          <w:rFonts w:ascii="Arial" w:hAnsi="Arial" w:cs="Arial"/>
        </w:rPr>
        <w:t xml:space="preserve">It is worth noting that </w:t>
      </w:r>
      <w:r w:rsidR="000F6E05" w:rsidRPr="00B37EF3">
        <w:rPr>
          <w:rFonts w:ascii="Arial" w:hAnsi="Arial" w:cs="Arial"/>
        </w:rPr>
        <w:t>recent review</w:t>
      </w:r>
      <w:r w:rsidRPr="00B37EF3">
        <w:rPr>
          <w:rFonts w:ascii="Arial" w:hAnsi="Arial" w:cs="Arial"/>
        </w:rPr>
        <w:t>s have</w:t>
      </w:r>
      <w:r w:rsidR="000F6E05" w:rsidRPr="00B37EF3">
        <w:rPr>
          <w:rFonts w:ascii="Arial" w:hAnsi="Arial" w:cs="Arial"/>
        </w:rPr>
        <w:t xml:space="preserve"> led to the tightening of the annual mean standard for PM</w:t>
      </w:r>
      <w:r w:rsidR="000F6E05" w:rsidRPr="00B37EF3">
        <w:rPr>
          <w:rFonts w:ascii="Arial" w:hAnsi="Arial" w:cs="Arial"/>
          <w:vertAlign w:val="subscript"/>
        </w:rPr>
        <w:t>2.5</w:t>
      </w:r>
      <w:r w:rsidR="000F6E05" w:rsidRPr="00B37EF3">
        <w:rPr>
          <w:rFonts w:ascii="Arial" w:hAnsi="Arial" w:cs="Arial"/>
        </w:rPr>
        <w:t xml:space="preserve"> from 15 </w:t>
      </w:r>
      <w:proofErr w:type="spellStart"/>
      <w:r w:rsidR="00D6640D" w:rsidRPr="00B37EF3">
        <w:rPr>
          <w:rFonts w:ascii="Arial" w:hAnsi="Arial" w:cs="Arial"/>
        </w:rPr>
        <w:t>μ</w:t>
      </w:r>
      <w:r w:rsidR="000F6E05" w:rsidRPr="00B37EF3">
        <w:rPr>
          <w:rFonts w:ascii="Arial" w:hAnsi="Arial" w:cs="Arial"/>
        </w:rPr>
        <w:t>g</w:t>
      </w:r>
      <w:proofErr w:type="spellEnd"/>
      <w:r w:rsidR="000F6E05" w:rsidRPr="00B37EF3">
        <w:rPr>
          <w:rFonts w:ascii="Arial" w:hAnsi="Arial" w:cs="Arial"/>
        </w:rPr>
        <w:t>/m</w:t>
      </w:r>
      <w:r w:rsidR="000F6E05" w:rsidRPr="00B37EF3">
        <w:rPr>
          <w:rFonts w:ascii="Arial" w:hAnsi="Arial" w:cs="Arial"/>
          <w:vertAlign w:val="superscript"/>
        </w:rPr>
        <w:t>3</w:t>
      </w:r>
      <w:r w:rsidR="000F6E05" w:rsidRPr="00B37EF3">
        <w:rPr>
          <w:rFonts w:ascii="Arial" w:hAnsi="Arial" w:cs="Arial"/>
        </w:rPr>
        <w:t xml:space="preserve"> to 12 </w:t>
      </w:r>
      <w:proofErr w:type="spellStart"/>
      <w:r w:rsidR="00D6640D" w:rsidRPr="00B37EF3">
        <w:rPr>
          <w:rFonts w:ascii="Arial" w:hAnsi="Arial" w:cs="Arial"/>
        </w:rPr>
        <w:t>μ</w:t>
      </w:r>
      <w:r w:rsidR="000F6E05" w:rsidRPr="00B37EF3">
        <w:rPr>
          <w:rFonts w:ascii="Arial" w:hAnsi="Arial" w:cs="Arial"/>
        </w:rPr>
        <w:t>g</w:t>
      </w:r>
      <w:proofErr w:type="spellEnd"/>
      <w:r w:rsidR="000F6E05" w:rsidRPr="00B37EF3">
        <w:rPr>
          <w:rFonts w:ascii="Arial" w:hAnsi="Arial" w:cs="Arial"/>
        </w:rPr>
        <w:t>/m</w:t>
      </w:r>
      <w:r w:rsidR="000F6E05" w:rsidRPr="00B37EF3">
        <w:rPr>
          <w:rFonts w:ascii="Arial" w:hAnsi="Arial" w:cs="Arial"/>
          <w:vertAlign w:val="superscript"/>
        </w:rPr>
        <w:t xml:space="preserve">3 </w:t>
      </w:r>
      <w:r w:rsidR="000F6E05" w:rsidRPr="00B37EF3">
        <w:rPr>
          <w:rFonts w:ascii="Arial" w:hAnsi="Arial" w:cs="Arial"/>
          <w:b/>
        </w:rPr>
        <w:t xml:space="preserve">(USEPA </w:t>
      </w:r>
      <w:r w:rsidRPr="00B37EF3">
        <w:rPr>
          <w:rFonts w:ascii="Arial" w:hAnsi="Arial" w:cs="Arial"/>
          <w:b/>
        </w:rPr>
        <w:t xml:space="preserve">2009, 2010, </w:t>
      </w:r>
      <w:r w:rsidR="000F6E05" w:rsidRPr="00B37EF3">
        <w:rPr>
          <w:rFonts w:ascii="Arial" w:hAnsi="Arial" w:cs="Arial"/>
          <w:b/>
        </w:rPr>
        <w:t>2013)</w:t>
      </w:r>
      <w:r w:rsidR="00BD5B84" w:rsidRPr="00B37EF3">
        <w:rPr>
          <w:rFonts w:ascii="Arial" w:hAnsi="Arial" w:cs="Arial"/>
        </w:rPr>
        <w:t xml:space="preserve">. </w:t>
      </w:r>
      <w:r w:rsidR="000F6E05" w:rsidRPr="00B37EF3">
        <w:rPr>
          <w:rFonts w:ascii="Arial" w:hAnsi="Arial" w:cs="Arial"/>
        </w:rPr>
        <w:t>The aim of this was to provide increased protection against the health effects associated with both long-term and short-term exposure.</w:t>
      </w:r>
    </w:p>
    <w:p w:rsidR="00EA0914" w:rsidRPr="00B37EF3" w:rsidRDefault="00EA0914" w:rsidP="00774E7F">
      <w:pPr>
        <w:spacing w:after="180"/>
        <w:rPr>
          <w:rFonts w:ascii="Arial" w:hAnsi="Arial" w:cs="Arial"/>
        </w:rPr>
      </w:pPr>
      <w:r w:rsidRPr="00B37EF3">
        <w:rPr>
          <w:rFonts w:ascii="Arial" w:hAnsi="Arial" w:cs="Arial"/>
        </w:rPr>
        <w:t>In assessing a</w:t>
      </w:r>
      <w:r w:rsidR="002155A1" w:rsidRPr="00B37EF3">
        <w:rPr>
          <w:rFonts w:ascii="Arial" w:hAnsi="Arial" w:cs="Arial"/>
        </w:rPr>
        <w:t>nd reporting compliance, the USEPA has ‘exceptional event</w:t>
      </w:r>
      <w:r w:rsidR="004B5F6E" w:rsidRPr="00B37EF3">
        <w:rPr>
          <w:rFonts w:ascii="Arial" w:hAnsi="Arial" w:cs="Arial"/>
        </w:rPr>
        <w:t>’</w:t>
      </w:r>
      <w:r w:rsidR="002155A1" w:rsidRPr="00B37EF3">
        <w:rPr>
          <w:rFonts w:ascii="Arial" w:hAnsi="Arial" w:cs="Arial"/>
        </w:rPr>
        <w:t xml:space="preserve"> and ‘</w:t>
      </w:r>
      <w:r w:rsidRPr="00B37EF3">
        <w:rPr>
          <w:rFonts w:ascii="Arial" w:hAnsi="Arial" w:cs="Arial"/>
        </w:rPr>
        <w:t>natural event</w:t>
      </w:r>
      <w:r w:rsidR="002155A1" w:rsidRPr="00B37EF3">
        <w:rPr>
          <w:rFonts w:ascii="Arial" w:hAnsi="Arial" w:cs="Arial"/>
        </w:rPr>
        <w:t>’ policies that enable</w:t>
      </w:r>
      <w:r w:rsidRPr="00B37EF3">
        <w:rPr>
          <w:rFonts w:ascii="Arial" w:hAnsi="Arial" w:cs="Arial"/>
        </w:rPr>
        <w:t xml:space="preserve"> the removal of unusual </w:t>
      </w:r>
      <w:r w:rsidR="002155A1" w:rsidRPr="00B37EF3">
        <w:rPr>
          <w:rFonts w:ascii="Arial" w:hAnsi="Arial" w:cs="Arial"/>
        </w:rPr>
        <w:t>events from the data</w:t>
      </w:r>
      <w:r w:rsidRPr="00B37EF3">
        <w:rPr>
          <w:rFonts w:ascii="Arial" w:hAnsi="Arial" w:cs="Arial"/>
        </w:rPr>
        <w:t xml:space="preserve">set when determining </w:t>
      </w:r>
      <w:r w:rsidR="002155A1" w:rsidRPr="00B37EF3">
        <w:rPr>
          <w:rFonts w:ascii="Arial" w:hAnsi="Arial" w:cs="Arial"/>
        </w:rPr>
        <w:t>compliance</w:t>
      </w:r>
      <w:r w:rsidRPr="00B37EF3">
        <w:rPr>
          <w:rFonts w:ascii="Arial" w:hAnsi="Arial" w:cs="Arial"/>
        </w:rPr>
        <w:t>. The natural even</w:t>
      </w:r>
      <w:r w:rsidR="002155A1" w:rsidRPr="00B37EF3">
        <w:rPr>
          <w:rFonts w:ascii="Arial" w:hAnsi="Arial" w:cs="Arial"/>
        </w:rPr>
        <w:t>ts rule applies to severe occurrences</w:t>
      </w:r>
      <w:r w:rsidRPr="00B37EF3">
        <w:rPr>
          <w:rFonts w:ascii="Arial" w:hAnsi="Arial" w:cs="Arial"/>
        </w:rPr>
        <w:t xml:space="preserve"> such as volcanic or seismic activity, bush</w:t>
      </w:r>
      <w:r w:rsidR="00EB3931" w:rsidRPr="00B37EF3">
        <w:rPr>
          <w:rFonts w:ascii="Arial" w:hAnsi="Arial" w:cs="Arial"/>
        </w:rPr>
        <w:t xml:space="preserve"> </w:t>
      </w:r>
      <w:r w:rsidRPr="00B37EF3">
        <w:rPr>
          <w:rFonts w:ascii="Arial" w:hAnsi="Arial" w:cs="Arial"/>
        </w:rPr>
        <w:t>fires and dust storms.</w:t>
      </w:r>
      <w:r w:rsidRPr="00B37EF3">
        <w:rPr>
          <w:rFonts w:ascii="Arial" w:hAnsi="Arial" w:cs="Arial"/>
          <w:lang w:eastAsia="en-US"/>
        </w:rPr>
        <w:t xml:space="preserve"> </w:t>
      </w:r>
      <w:r w:rsidR="002155A1" w:rsidRPr="00B37EF3">
        <w:rPr>
          <w:rFonts w:ascii="Arial" w:hAnsi="Arial" w:cs="Arial"/>
          <w:lang w:eastAsia="en-US"/>
        </w:rPr>
        <w:t>T</w:t>
      </w:r>
      <w:r w:rsidRPr="00B37EF3">
        <w:rPr>
          <w:rFonts w:ascii="Arial" w:hAnsi="Arial" w:cs="Arial"/>
          <w:lang w:eastAsia="en-US"/>
        </w:rPr>
        <w:t xml:space="preserve">he exceptional </w:t>
      </w:r>
      <w:r w:rsidR="002155A1" w:rsidRPr="00B37EF3">
        <w:rPr>
          <w:rFonts w:ascii="Arial" w:hAnsi="Arial" w:cs="Arial"/>
          <w:lang w:eastAsia="en-US"/>
        </w:rPr>
        <w:t>events rule also includes occurrences</w:t>
      </w:r>
      <w:r w:rsidRPr="00B37EF3">
        <w:rPr>
          <w:rFonts w:ascii="Arial" w:hAnsi="Arial" w:cs="Arial"/>
          <w:lang w:eastAsia="en-US"/>
        </w:rPr>
        <w:t xml:space="preserve"> such as high winds, sandblasting, structural fires, chemical spills and industrial accidents, high pollen counts, construction and demolition, highway construction, agricultural tilling, </w:t>
      </w:r>
      <w:r w:rsidRPr="00B37EF3">
        <w:rPr>
          <w:rFonts w:ascii="Arial" w:hAnsi="Arial" w:cs="Arial"/>
          <w:lang w:eastAsia="en-US"/>
        </w:rPr>
        <w:lastRenderedPageBreak/>
        <w:t>unusual traffic congestion, prescribed burning, clean-up activities after a major disaster, plus several others. There are strict guidelines for the identification, flagging and reporting of the data</w:t>
      </w:r>
      <w:r w:rsidR="002155A1" w:rsidRPr="00B37EF3">
        <w:rPr>
          <w:rFonts w:ascii="Arial" w:hAnsi="Arial" w:cs="Arial"/>
          <w:lang w:eastAsia="en-US"/>
        </w:rPr>
        <w:t>,</w:t>
      </w:r>
      <w:r w:rsidRPr="00B37EF3">
        <w:rPr>
          <w:rFonts w:ascii="Arial" w:hAnsi="Arial" w:cs="Arial"/>
          <w:lang w:eastAsia="en-US"/>
        </w:rPr>
        <w:t xml:space="preserve"> and the rules only apply in the assessment of whether an area is in violation of the air quality standards.</w:t>
      </w:r>
    </w:p>
    <w:p w:rsidR="00587BAC" w:rsidRPr="00B37EF3" w:rsidRDefault="00587BAC" w:rsidP="00774E7F">
      <w:pPr>
        <w:pStyle w:val="Level4PB2"/>
        <w:spacing w:before="200" w:after="160"/>
        <w:rPr>
          <w:rFonts w:ascii="Arial" w:hAnsi="Arial" w:cs="Arial"/>
          <w:lang w:val="en-AU"/>
        </w:rPr>
      </w:pPr>
      <w:bookmarkStart w:id="62" w:name="_Ref367437504"/>
      <w:r w:rsidRPr="00B37EF3">
        <w:rPr>
          <w:rFonts w:ascii="Arial" w:hAnsi="Arial" w:cs="Arial"/>
          <w:lang w:val="en-AU"/>
        </w:rPr>
        <w:t>European Union</w:t>
      </w:r>
      <w:bookmarkEnd w:id="62"/>
    </w:p>
    <w:p w:rsidR="00587BAC" w:rsidRPr="00B37EF3" w:rsidRDefault="00587BAC" w:rsidP="00774E7F">
      <w:pPr>
        <w:spacing w:after="180"/>
        <w:rPr>
          <w:rFonts w:ascii="Arial" w:hAnsi="Arial" w:cs="Arial"/>
          <w:lang w:eastAsia="en-US"/>
        </w:rPr>
      </w:pPr>
      <w:r w:rsidRPr="00B37EF3">
        <w:rPr>
          <w:rFonts w:ascii="Arial" w:hAnsi="Arial" w:cs="Arial"/>
          <w:lang w:eastAsia="en-US"/>
        </w:rPr>
        <w:t xml:space="preserve">The European Union </w:t>
      </w:r>
      <w:r w:rsidRPr="00B37EF3">
        <w:rPr>
          <w:rFonts w:ascii="Arial" w:hAnsi="Arial" w:cs="Arial"/>
          <w:i/>
          <w:lang w:eastAsia="en-US"/>
        </w:rPr>
        <w:t>Directive on Ambient Air Quality and Cleaner Air for Europe</w:t>
      </w:r>
      <w:r w:rsidRPr="00B37EF3">
        <w:rPr>
          <w:rFonts w:ascii="Arial" w:hAnsi="Arial" w:cs="Arial"/>
          <w:lang w:eastAsia="en-US"/>
        </w:rPr>
        <w:t xml:space="preserve"> (2008/50/EC) is one of the key legislative instruments under the European Commission’s Thematic Strategy on Air Pollution. The Directive </w:t>
      </w:r>
      <w:r w:rsidR="00B43F1B" w:rsidRPr="00B37EF3">
        <w:rPr>
          <w:rFonts w:ascii="Arial" w:hAnsi="Arial" w:cs="Arial"/>
          <w:lang w:eastAsia="en-US"/>
        </w:rPr>
        <w:t xml:space="preserve">encompasses and supersedes a number of previous Directives, and </w:t>
      </w:r>
      <w:r w:rsidRPr="00B37EF3">
        <w:rPr>
          <w:rFonts w:ascii="Arial" w:hAnsi="Arial" w:cs="Arial"/>
        </w:rPr>
        <w:t>defines the air quality standards and objectives which establish the minimum requirements for Member States</w:t>
      </w:r>
      <w:r w:rsidR="00B43F1B" w:rsidRPr="00B37EF3">
        <w:rPr>
          <w:rStyle w:val="FootnoteReference"/>
          <w:rFonts w:ascii="Arial" w:hAnsi="Arial" w:cs="Arial"/>
        </w:rPr>
        <w:footnoteReference w:id="15"/>
      </w:r>
      <w:r w:rsidRPr="00B37EF3">
        <w:rPr>
          <w:rFonts w:ascii="Arial" w:hAnsi="Arial" w:cs="Arial"/>
        </w:rPr>
        <w:t xml:space="preserve">. </w:t>
      </w:r>
      <w:r w:rsidRPr="00B37EF3">
        <w:rPr>
          <w:rFonts w:ascii="Arial" w:hAnsi="Arial" w:cs="Arial"/>
          <w:lang w:eastAsia="en-US"/>
        </w:rPr>
        <w:t>It was the first EU directive to include limits on ambient concentrations of PM</w:t>
      </w:r>
      <w:r w:rsidRPr="00B37EF3">
        <w:rPr>
          <w:rFonts w:ascii="Arial" w:hAnsi="Arial" w:cs="Arial"/>
          <w:vertAlign w:val="subscript"/>
          <w:lang w:eastAsia="en-US"/>
        </w:rPr>
        <w:t>2.5</w:t>
      </w:r>
      <w:r w:rsidRPr="00B37EF3">
        <w:rPr>
          <w:rFonts w:ascii="Arial" w:hAnsi="Arial" w:cs="Arial"/>
          <w:lang w:eastAsia="en-US"/>
        </w:rPr>
        <w:t xml:space="preserve">. The Directive </w:t>
      </w:r>
      <w:r w:rsidR="00721151" w:rsidRPr="00B37EF3">
        <w:rPr>
          <w:rFonts w:ascii="Arial" w:hAnsi="Arial" w:cs="Arial"/>
          <w:lang w:eastAsia="en-US"/>
        </w:rPr>
        <w:t>obliges Member States to adhere to</w:t>
      </w:r>
      <w:r w:rsidRPr="00B37EF3">
        <w:rPr>
          <w:rFonts w:ascii="Arial" w:hAnsi="Arial" w:cs="Arial"/>
          <w:lang w:eastAsia="en-US"/>
        </w:rPr>
        <w:t xml:space="preserve"> the PM</w:t>
      </w:r>
      <w:r w:rsidRPr="00B37EF3">
        <w:rPr>
          <w:rFonts w:ascii="Arial" w:hAnsi="Arial" w:cs="Arial"/>
          <w:vertAlign w:val="subscript"/>
          <w:lang w:eastAsia="en-US"/>
        </w:rPr>
        <w:t>2.5</w:t>
      </w:r>
      <w:r w:rsidRPr="00B37EF3">
        <w:rPr>
          <w:rFonts w:ascii="Arial" w:hAnsi="Arial" w:cs="Arial"/>
          <w:lang w:eastAsia="en-US"/>
        </w:rPr>
        <w:t xml:space="preserve"> limit value of 25 </w:t>
      </w:r>
      <w:proofErr w:type="spellStart"/>
      <w:r w:rsidRPr="00B37EF3">
        <w:rPr>
          <w:rFonts w:ascii="Arial" w:hAnsi="Arial" w:cs="Arial"/>
          <w:lang w:eastAsia="en-US"/>
        </w:rPr>
        <w:t>μg</w:t>
      </w:r>
      <w:proofErr w:type="spellEnd"/>
      <w:r w:rsidRPr="00B37EF3">
        <w:rPr>
          <w:rFonts w:ascii="Arial" w:hAnsi="Arial" w:cs="Arial"/>
          <w:lang w:eastAsia="en-US"/>
        </w:rPr>
        <w:t>/m</w:t>
      </w:r>
      <w:r w:rsidRPr="00B37EF3">
        <w:rPr>
          <w:rFonts w:ascii="Arial" w:hAnsi="Arial" w:cs="Arial"/>
          <w:vertAlign w:val="superscript"/>
          <w:lang w:eastAsia="en-US"/>
        </w:rPr>
        <w:t>3</w:t>
      </w:r>
      <w:r w:rsidRPr="00B37EF3">
        <w:rPr>
          <w:rFonts w:ascii="Arial" w:hAnsi="Arial" w:cs="Arial"/>
          <w:lang w:eastAsia="en-US"/>
        </w:rPr>
        <w:t xml:space="preserve">. This value must be achieved by 2015 </w:t>
      </w:r>
      <w:r w:rsidR="00617975" w:rsidRPr="00B37EF3">
        <w:rPr>
          <w:rFonts w:ascii="Arial" w:hAnsi="Arial" w:cs="Arial"/>
          <w:lang w:eastAsia="en-US"/>
        </w:rPr>
        <w:t>and</w:t>
      </w:r>
      <w:r w:rsidRPr="00B37EF3">
        <w:rPr>
          <w:rFonts w:ascii="Arial" w:hAnsi="Arial" w:cs="Arial"/>
          <w:lang w:eastAsia="en-US"/>
        </w:rPr>
        <w:t>, where possible, by 2010.</w:t>
      </w:r>
      <w:r w:rsidRPr="00B37EF3">
        <w:rPr>
          <w:rFonts w:ascii="Arial" w:hAnsi="Arial" w:cs="Arial"/>
        </w:rPr>
        <w:t xml:space="preserve"> To achieve these objectives there are a number of other legislative instruments which aim to reduce air pollution by controlling emissions.</w:t>
      </w:r>
    </w:p>
    <w:p w:rsidR="00587BAC" w:rsidRPr="00B37EF3" w:rsidRDefault="00587BAC" w:rsidP="00774E7F">
      <w:pPr>
        <w:spacing w:after="180"/>
        <w:rPr>
          <w:rFonts w:ascii="Arial" w:hAnsi="Arial" w:cs="Arial"/>
          <w:lang w:eastAsia="en-US"/>
        </w:rPr>
      </w:pPr>
      <w:r w:rsidRPr="00B37EF3">
        <w:rPr>
          <w:rFonts w:ascii="Arial" w:hAnsi="Arial" w:cs="Arial"/>
          <w:lang w:eastAsia="en-US"/>
        </w:rPr>
        <w:t>As well as requiring the monitoring of PM</w:t>
      </w:r>
      <w:r w:rsidRPr="00B37EF3">
        <w:rPr>
          <w:rFonts w:ascii="Arial" w:hAnsi="Arial" w:cs="Arial"/>
          <w:sz w:val="14"/>
          <w:szCs w:val="14"/>
          <w:lang w:eastAsia="en-US"/>
        </w:rPr>
        <w:t xml:space="preserve">2.5 </w:t>
      </w:r>
      <w:r w:rsidRPr="00B37EF3">
        <w:rPr>
          <w:rFonts w:ascii="Arial" w:hAnsi="Arial" w:cs="Arial"/>
          <w:lang w:eastAsia="en-US"/>
        </w:rPr>
        <w:t>concentrations, Directive 2008/50/EC calls for measurement of the chemical composition of PM</w:t>
      </w:r>
      <w:r w:rsidRPr="00B37EF3">
        <w:rPr>
          <w:rFonts w:ascii="Arial" w:hAnsi="Arial" w:cs="Arial"/>
          <w:sz w:val="14"/>
          <w:szCs w:val="14"/>
          <w:lang w:eastAsia="en-US"/>
        </w:rPr>
        <w:t xml:space="preserve">2.5 </w:t>
      </w:r>
      <w:r w:rsidRPr="00B37EF3">
        <w:rPr>
          <w:rFonts w:ascii="Arial" w:hAnsi="Arial" w:cs="Arial"/>
          <w:lang w:eastAsia="en-US"/>
        </w:rPr>
        <w:t xml:space="preserve">at rural background sites. Compositional analysis allows the assessment of sources </w:t>
      </w:r>
      <w:r w:rsidR="00F905C7" w:rsidRPr="00B37EF3">
        <w:rPr>
          <w:rFonts w:ascii="Arial" w:hAnsi="Arial" w:cs="Arial"/>
          <w:lang w:eastAsia="en-US"/>
        </w:rPr>
        <w:t xml:space="preserve">(see below) </w:t>
      </w:r>
      <w:r w:rsidRPr="00B37EF3">
        <w:rPr>
          <w:rFonts w:ascii="Arial" w:hAnsi="Arial" w:cs="Arial"/>
          <w:lang w:eastAsia="en-US"/>
        </w:rPr>
        <w:t>and is also a check on the mass measurement (</w:t>
      </w:r>
      <w:r w:rsidRPr="00B37EF3">
        <w:rPr>
          <w:rFonts w:ascii="Arial" w:hAnsi="Arial" w:cs="Arial"/>
          <w:iCs/>
          <w:lang w:eastAsia="en-US"/>
        </w:rPr>
        <w:t xml:space="preserve">i.e. </w:t>
      </w:r>
      <w:r w:rsidRPr="00B37EF3">
        <w:rPr>
          <w:rFonts w:ascii="Arial" w:hAnsi="Arial" w:cs="Arial"/>
          <w:lang w:eastAsia="en-US"/>
        </w:rPr>
        <w:t>the sum of the mass of the chemical compounds should be equal to the directly measured mass).</w:t>
      </w:r>
    </w:p>
    <w:p w:rsidR="00F905C7" w:rsidRPr="00B37EF3" w:rsidRDefault="005F37D9" w:rsidP="00774E7F">
      <w:pPr>
        <w:spacing w:after="180"/>
        <w:rPr>
          <w:rFonts w:ascii="Arial" w:hAnsi="Arial" w:cs="Arial"/>
        </w:rPr>
      </w:pPr>
      <w:r w:rsidRPr="00B37EF3">
        <w:rPr>
          <w:rFonts w:ascii="Arial" w:hAnsi="Arial" w:cs="Arial"/>
        </w:rPr>
        <w:t xml:space="preserve">Before Member States compare ambient air pollutant concentrations with relevant legally binding limit values, they may subtract the contribution of natural sources. European Commission Staff Working Paper 6771/11 </w:t>
      </w:r>
      <w:r w:rsidRPr="00B37EF3">
        <w:rPr>
          <w:rFonts w:ascii="Arial" w:hAnsi="Arial" w:cs="Arial"/>
          <w:b/>
        </w:rPr>
        <w:t>(EC 2011)</w:t>
      </w:r>
      <w:r w:rsidRPr="00B37EF3">
        <w:rPr>
          <w:rFonts w:ascii="Arial" w:hAnsi="Arial" w:cs="Arial"/>
        </w:rPr>
        <w:t xml:space="preserve"> provides guidance on which sourc</w:t>
      </w:r>
      <w:r w:rsidR="00926C9B" w:rsidRPr="00B37EF3">
        <w:rPr>
          <w:rFonts w:ascii="Arial" w:hAnsi="Arial" w:cs="Arial"/>
        </w:rPr>
        <w:t xml:space="preserve">es can be regarded as </w:t>
      </w:r>
      <w:r w:rsidR="00617878" w:rsidRPr="00B37EF3">
        <w:rPr>
          <w:rFonts w:ascii="Arial" w:hAnsi="Arial" w:cs="Arial"/>
        </w:rPr>
        <w:t>‘</w:t>
      </w:r>
      <w:r w:rsidR="00926C9B" w:rsidRPr="00B37EF3">
        <w:rPr>
          <w:rFonts w:ascii="Arial" w:hAnsi="Arial" w:cs="Arial"/>
        </w:rPr>
        <w:t>natural</w:t>
      </w:r>
      <w:r w:rsidR="00617878" w:rsidRPr="00B37EF3">
        <w:rPr>
          <w:rFonts w:ascii="Arial" w:hAnsi="Arial" w:cs="Arial"/>
        </w:rPr>
        <w:t>’</w:t>
      </w:r>
      <w:r w:rsidR="00926C9B" w:rsidRPr="00B37EF3">
        <w:rPr>
          <w:rFonts w:ascii="Arial" w:hAnsi="Arial" w:cs="Arial"/>
        </w:rPr>
        <w:t xml:space="preserve">, </w:t>
      </w:r>
      <w:r w:rsidRPr="00B37EF3">
        <w:rPr>
          <w:rFonts w:ascii="Arial" w:hAnsi="Arial" w:cs="Arial"/>
        </w:rPr>
        <w:t>and on methods to quantify and subtract the contributio</w:t>
      </w:r>
      <w:r w:rsidR="00D6640D" w:rsidRPr="00B37EF3">
        <w:rPr>
          <w:rFonts w:ascii="Arial" w:hAnsi="Arial" w:cs="Arial"/>
        </w:rPr>
        <w:t>n of these sources</w:t>
      </w:r>
      <w:r w:rsidRPr="00B37EF3">
        <w:rPr>
          <w:rFonts w:ascii="Arial" w:hAnsi="Arial" w:cs="Arial"/>
        </w:rPr>
        <w:t>.</w:t>
      </w:r>
      <w:r w:rsidR="00FC10C8" w:rsidRPr="00B37EF3">
        <w:rPr>
          <w:rFonts w:ascii="Arial" w:hAnsi="Arial" w:cs="Arial"/>
        </w:rPr>
        <w:t xml:space="preserve"> </w:t>
      </w:r>
      <w:r w:rsidR="005641F8" w:rsidRPr="00B37EF3">
        <w:rPr>
          <w:rFonts w:ascii="Arial" w:hAnsi="Arial" w:cs="Arial"/>
        </w:rPr>
        <w:t>Commission</w:t>
      </w:r>
      <w:r w:rsidR="00BC2252" w:rsidRPr="00B37EF3">
        <w:rPr>
          <w:rFonts w:ascii="Arial" w:hAnsi="Arial" w:cs="Arial"/>
        </w:rPr>
        <w:t xml:space="preserve"> Decision 2</w:t>
      </w:r>
      <w:r w:rsidR="005641F8" w:rsidRPr="00B37EF3">
        <w:rPr>
          <w:rFonts w:ascii="Arial" w:hAnsi="Arial" w:cs="Arial"/>
        </w:rPr>
        <w:t>004/461/</w:t>
      </w:r>
      <w:r w:rsidR="00BC2252" w:rsidRPr="00B37EF3">
        <w:rPr>
          <w:rFonts w:ascii="Arial" w:hAnsi="Arial" w:cs="Arial"/>
        </w:rPr>
        <w:t xml:space="preserve">EC established a questionnaire on air quality assessment as a tool for annual reporting under the Directive. In completing the questionnaire, Member States must cite the methods used to assess the natural contribution to exceedances, documenting any models used. So-called </w:t>
      </w:r>
      <w:r w:rsidR="00617878" w:rsidRPr="00B37EF3">
        <w:rPr>
          <w:rFonts w:ascii="Arial" w:hAnsi="Arial" w:cs="Arial"/>
        </w:rPr>
        <w:t>‘</w:t>
      </w:r>
      <w:r w:rsidR="00BC2252" w:rsidRPr="00B37EF3">
        <w:rPr>
          <w:rFonts w:ascii="Arial" w:hAnsi="Arial" w:cs="Arial"/>
        </w:rPr>
        <w:t>reason codes</w:t>
      </w:r>
      <w:r w:rsidR="00617878" w:rsidRPr="00B37EF3">
        <w:rPr>
          <w:rFonts w:ascii="Arial" w:hAnsi="Arial" w:cs="Arial"/>
        </w:rPr>
        <w:t>’</w:t>
      </w:r>
      <w:r w:rsidR="00BC2252" w:rsidRPr="00B37EF3">
        <w:rPr>
          <w:rFonts w:ascii="Arial" w:hAnsi="Arial" w:cs="Arial"/>
        </w:rPr>
        <w:t xml:space="preserve"> for individual exceedances have to be used.</w:t>
      </w:r>
      <w:r w:rsidR="00B5008F" w:rsidRPr="00B37EF3">
        <w:rPr>
          <w:rFonts w:ascii="Arial" w:hAnsi="Arial" w:cs="Arial"/>
        </w:rPr>
        <w:t xml:space="preserve"> The questionnaires submitted by Member States containing 2008 and 2009 data indicate that natural contributions to exceedances were only reported for PM</w:t>
      </w:r>
      <w:r w:rsidR="00B5008F" w:rsidRPr="00B37EF3">
        <w:rPr>
          <w:rFonts w:ascii="Arial" w:hAnsi="Arial" w:cs="Arial"/>
          <w:vertAlign w:val="subscript"/>
        </w:rPr>
        <w:t>10</w:t>
      </w:r>
      <w:r w:rsidR="00B5008F" w:rsidRPr="00B37EF3">
        <w:rPr>
          <w:rFonts w:ascii="Arial" w:hAnsi="Arial" w:cs="Arial"/>
        </w:rPr>
        <w:t xml:space="preserve"> </w:t>
      </w:r>
      <w:r w:rsidR="00B5008F" w:rsidRPr="00B37EF3">
        <w:rPr>
          <w:rFonts w:ascii="Arial" w:hAnsi="Arial" w:cs="Arial"/>
          <w:b/>
        </w:rPr>
        <w:t>(EEA 2012)</w:t>
      </w:r>
      <w:r w:rsidR="00B5008F" w:rsidRPr="00B37EF3">
        <w:rPr>
          <w:rFonts w:ascii="Arial" w:hAnsi="Arial" w:cs="Arial"/>
        </w:rPr>
        <w:t>.</w:t>
      </w:r>
    </w:p>
    <w:p w:rsidR="00AF1525" w:rsidRPr="00B37EF3" w:rsidRDefault="00F905C7" w:rsidP="00774E7F">
      <w:pPr>
        <w:spacing w:after="120"/>
        <w:rPr>
          <w:rFonts w:ascii="Arial" w:hAnsi="Arial" w:cs="Arial"/>
        </w:rPr>
      </w:pPr>
      <w:r w:rsidRPr="00B37EF3">
        <w:rPr>
          <w:rFonts w:ascii="Arial" w:hAnsi="Arial" w:cs="Arial"/>
        </w:rPr>
        <w:t xml:space="preserve">The </w:t>
      </w:r>
      <w:r w:rsidR="00AF1525" w:rsidRPr="00B37EF3">
        <w:rPr>
          <w:rFonts w:ascii="Arial" w:hAnsi="Arial" w:cs="Arial"/>
        </w:rPr>
        <w:t>Working</w:t>
      </w:r>
      <w:r w:rsidRPr="00B37EF3">
        <w:rPr>
          <w:rFonts w:ascii="Arial" w:hAnsi="Arial" w:cs="Arial"/>
        </w:rPr>
        <w:t xml:space="preserve"> Paper </w:t>
      </w:r>
      <w:r w:rsidR="00AF1525" w:rsidRPr="00B37EF3">
        <w:rPr>
          <w:rFonts w:ascii="Arial" w:hAnsi="Arial" w:cs="Arial"/>
        </w:rPr>
        <w:t>sets out six key principles that the Commission applies when evaluating Member State claims that an exceedance is due to natural contributions:</w:t>
      </w:r>
    </w:p>
    <w:p w:rsidR="00AF1525" w:rsidRPr="00B37EF3" w:rsidRDefault="00F905C7" w:rsidP="006A5626">
      <w:pPr>
        <w:pStyle w:val="BulletArrows"/>
        <w:numPr>
          <w:ilvl w:val="0"/>
          <w:numId w:val="58"/>
        </w:numPr>
        <w:rPr>
          <w:rFonts w:ascii="Arial" w:hAnsi="Arial"/>
        </w:rPr>
      </w:pPr>
      <w:r w:rsidRPr="00B37EF3">
        <w:rPr>
          <w:rFonts w:ascii="Arial" w:hAnsi="Arial"/>
        </w:rPr>
        <w:t>T</w:t>
      </w:r>
      <w:r w:rsidR="00AF1525" w:rsidRPr="00B37EF3">
        <w:rPr>
          <w:rFonts w:ascii="Arial" w:hAnsi="Arial"/>
        </w:rPr>
        <w:t xml:space="preserve">he contributions must not be caused by direct or </w:t>
      </w:r>
      <w:r w:rsidRPr="00B37EF3">
        <w:rPr>
          <w:rFonts w:ascii="Arial" w:hAnsi="Arial"/>
        </w:rPr>
        <w:t>indirect human activities.</w:t>
      </w:r>
    </w:p>
    <w:p w:rsidR="00AF1525" w:rsidRPr="00B37EF3" w:rsidRDefault="00F905C7" w:rsidP="006A5626">
      <w:pPr>
        <w:pStyle w:val="BulletArrows"/>
        <w:numPr>
          <w:ilvl w:val="0"/>
          <w:numId w:val="58"/>
        </w:numPr>
        <w:rPr>
          <w:rFonts w:ascii="Arial" w:hAnsi="Arial"/>
        </w:rPr>
      </w:pPr>
      <w:r w:rsidRPr="00B37EF3">
        <w:rPr>
          <w:rFonts w:ascii="Arial" w:hAnsi="Arial"/>
        </w:rPr>
        <w:t>T</w:t>
      </w:r>
      <w:r w:rsidR="00AF1525" w:rsidRPr="00B37EF3">
        <w:rPr>
          <w:rFonts w:ascii="Arial" w:hAnsi="Arial"/>
        </w:rPr>
        <w:t xml:space="preserve">he quantification of the natural contribution </w:t>
      </w:r>
      <w:r w:rsidRPr="00B37EF3">
        <w:rPr>
          <w:rFonts w:ascii="Arial" w:hAnsi="Arial"/>
        </w:rPr>
        <w:t>must be sufficiently precise.</w:t>
      </w:r>
    </w:p>
    <w:p w:rsidR="00AF1525" w:rsidRPr="00B37EF3" w:rsidRDefault="00F905C7" w:rsidP="006A5626">
      <w:pPr>
        <w:pStyle w:val="BulletArrows"/>
        <w:numPr>
          <w:ilvl w:val="0"/>
          <w:numId w:val="58"/>
        </w:numPr>
        <w:rPr>
          <w:rFonts w:ascii="Arial" w:hAnsi="Arial"/>
        </w:rPr>
      </w:pPr>
      <w:r w:rsidRPr="00B37EF3">
        <w:rPr>
          <w:rFonts w:ascii="Arial" w:hAnsi="Arial"/>
        </w:rPr>
        <w:t>T</w:t>
      </w:r>
      <w:r w:rsidR="00AF1525" w:rsidRPr="00B37EF3">
        <w:rPr>
          <w:rFonts w:ascii="Arial" w:hAnsi="Arial"/>
        </w:rPr>
        <w:t xml:space="preserve">he quantification of the natural contribution must be consistent with the averaging period of </w:t>
      </w:r>
      <w:r w:rsidRPr="00B37EF3">
        <w:rPr>
          <w:rFonts w:ascii="Arial" w:hAnsi="Arial"/>
        </w:rPr>
        <w:t>the limit value.</w:t>
      </w:r>
    </w:p>
    <w:p w:rsidR="00AF1525" w:rsidRPr="00B37EF3" w:rsidRDefault="00F905C7" w:rsidP="006A5626">
      <w:pPr>
        <w:pStyle w:val="BulletArrows"/>
        <w:numPr>
          <w:ilvl w:val="0"/>
          <w:numId w:val="58"/>
        </w:numPr>
        <w:rPr>
          <w:rFonts w:ascii="Arial" w:hAnsi="Arial"/>
        </w:rPr>
      </w:pPr>
      <w:r w:rsidRPr="00B37EF3">
        <w:rPr>
          <w:rFonts w:ascii="Arial" w:hAnsi="Arial"/>
        </w:rPr>
        <w:t>T</w:t>
      </w:r>
      <w:r w:rsidR="00AF1525" w:rsidRPr="00B37EF3">
        <w:rPr>
          <w:rFonts w:ascii="Arial" w:hAnsi="Arial"/>
        </w:rPr>
        <w:t xml:space="preserve">he quantification of the natural sources must be </w:t>
      </w:r>
      <w:r w:rsidRPr="00B37EF3">
        <w:rPr>
          <w:rFonts w:ascii="Arial" w:hAnsi="Arial"/>
        </w:rPr>
        <w:t>spatially attributed.</w:t>
      </w:r>
    </w:p>
    <w:p w:rsidR="00AF1525" w:rsidRPr="00B37EF3" w:rsidRDefault="00F905C7" w:rsidP="006A5626">
      <w:pPr>
        <w:pStyle w:val="BulletArrows"/>
        <w:numPr>
          <w:ilvl w:val="0"/>
          <w:numId w:val="58"/>
        </w:numPr>
        <w:rPr>
          <w:rFonts w:ascii="Arial" w:hAnsi="Arial"/>
        </w:rPr>
      </w:pPr>
      <w:r w:rsidRPr="00B37EF3">
        <w:rPr>
          <w:rFonts w:ascii="Arial" w:hAnsi="Arial"/>
        </w:rPr>
        <w:t>T</w:t>
      </w:r>
      <w:r w:rsidR="00AF1525" w:rsidRPr="00B37EF3">
        <w:rPr>
          <w:rFonts w:ascii="Arial" w:hAnsi="Arial"/>
        </w:rPr>
        <w:t xml:space="preserve">he contributions must be demonstrated based on </w:t>
      </w:r>
      <w:r w:rsidRPr="00B37EF3">
        <w:rPr>
          <w:rFonts w:ascii="Arial" w:hAnsi="Arial"/>
        </w:rPr>
        <w:t>a systematic assessment process.</w:t>
      </w:r>
    </w:p>
    <w:p w:rsidR="00AF1525" w:rsidRPr="00B37EF3" w:rsidRDefault="00F905C7" w:rsidP="006A5626">
      <w:pPr>
        <w:pStyle w:val="BulletArrows"/>
        <w:numPr>
          <w:ilvl w:val="0"/>
          <w:numId w:val="58"/>
        </w:numPr>
        <w:spacing w:after="240"/>
        <w:rPr>
          <w:rFonts w:ascii="Arial" w:hAnsi="Arial"/>
        </w:rPr>
      </w:pPr>
      <w:r w:rsidRPr="00B37EF3">
        <w:rPr>
          <w:rFonts w:ascii="Arial" w:hAnsi="Arial"/>
        </w:rPr>
        <w:t>T</w:t>
      </w:r>
      <w:r w:rsidR="00AF1525" w:rsidRPr="00B37EF3">
        <w:rPr>
          <w:rFonts w:ascii="Arial" w:hAnsi="Arial"/>
        </w:rPr>
        <w:t>he quantification of the natural sources must be demonstrated for each pollutant separately.</w:t>
      </w:r>
    </w:p>
    <w:p w:rsidR="00AF1525" w:rsidRPr="00B37EF3" w:rsidRDefault="00AF1525" w:rsidP="00774E7F">
      <w:pPr>
        <w:spacing w:after="180"/>
        <w:rPr>
          <w:rFonts w:ascii="Arial" w:hAnsi="Arial" w:cs="Arial"/>
        </w:rPr>
      </w:pPr>
      <w:r w:rsidRPr="00B37EF3">
        <w:rPr>
          <w:rFonts w:ascii="Arial" w:hAnsi="Arial" w:cs="Arial"/>
        </w:rPr>
        <w:t xml:space="preserve">Special attention should </w:t>
      </w:r>
      <w:r w:rsidR="00F905C7" w:rsidRPr="00B37EF3">
        <w:rPr>
          <w:rFonts w:ascii="Arial" w:hAnsi="Arial" w:cs="Arial"/>
        </w:rPr>
        <w:t xml:space="preserve">be paid to the first principle. </w:t>
      </w:r>
      <w:r w:rsidRPr="00B37EF3">
        <w:rPr>
          <w:rFonts w:ascii="Arial" w:hAnsi="Arial" w:cs="Arial"/>
        </w:rPr>
        <w:t xml:space="preserve">This can hamper attempts to justify air pollution resulting from events that can occur with or without human </w:t>
      </w:r>
      <w:r w:rsidR="00F905C7" w:rsidRPr="00B37EF3">
        <w:rPr>
          <w:rFonts w:ascii="Arial" w:hAnsi="Arial" w:cs="Arial"/>
        </w:rPr>
        <w:t>intervention, such as wild</w:t>
      </w:r>
      <w:r w:rsidRPr="00B37EF3">
        <w:rPr>
          <w:rFonts w:ascii="Arial" w:hAnsi="Arial" w:cs="Arial"/>
        </w:rPr>
        <w:t xml:space="preserve"> fires. For such fires to be classified as natural sources they must have been initiated by natural causes (e.g. lightning). Human-related causes such as littering of forests should not be reported as natural events</w:t>
      </w:r>
      <w:r w:rsidR="00F905C7" w:rsidRPr="00B37EF3">
        <w:rPr>
          <w:rFonts w:ascii="Arial" w:hAnsi="Arial" w:cs="Arial"/>
        </w:rPr>
        <w:t xml:space="preserve"> </w:t>
      </w:r>
      <w:r w:rsidR="00F905C7" w:rsidRPr="00B37EF3">
        <w:rPr>
          <w:rFonts w:ascii="Arial" w:hAnsi="Arial" w:cs="Arial"/>
          <w:b/>
        </w:rPr>
        <w:t>(EEA 2012)</w:t>
      </w:r>
      <w:r w:rsidRPr="00B37EF3">
        <w:rPr>
          <w:rFonts w:ascii="Arial" w:hAnsi="Arial" w:cs="Arial"/>
        </w:rPr>
        <w:t>.</w:t>
      </w:r>
    </w:p>
    <w:p w:rsidR="00AF1525" w:rsidRPr="00B37EF3" w:rsidRDefault="00F905C7" w:rsidP="00774E7F">
      <w:pPr>
        <w:spacing w:after="120"/>
        <w:rPr>
          <w:rFonts w:ascii="Arial" w:hAnsi="Arial" w:cs="Arial"/>
        </w:rPr>
      </w:pPr>
      <w:r w:rsidRPr="00B37EF3">
        <w:rPr>
          <w:rFonts w:ascii="Arial" w:hAnsi="Arial" w:cs="Arial"/>
        </w:rPr>
        <w:t>The Working Paper provides a non</w:t>
      </w:r>
      <w:r w:rsidR="00617878" w:rsidRPr="00B37EF3">
        <w:rPr>
          <w:rFonts w:ascii="Arial" w:hAnsi="Arial" w:cs="Arial"/>
        </w:rPr>
        <w:t>-</w:t>
      </w:r>
      <w:r w:rsidRPr="00B37EF3">
        <w:rPr>
          <w:rFonts w:ascii="Arial" w:hAnsi="Arial" w:cs="Arial"/>
        </w:rPr>
        <w:t>exhaustive list of sources whose contributions may be subtracted from national air pollution figures:</w:t>
      </w:r>
    </w:p>
    <w:p w:rsidR="00F905C7" w:rsidRPr="00B37EF3" w:rsidRDefault="00617878" w:rsidP="006A5626">
      <w:pPr>
        <w:pStyle w:val="BulletArrows"/>
        <w:numPr>
          <w:ilvl w:val="0"/>
          <w:numId w:val="59"/>
        </w:numPr>
        <w:rPr>
          <w:rFonts w:ascii="Arial" w:hAnsi="Arial"/>
        </w:rPr>
      </w:pPr>
      <w:r w:rsidRPr="00B37EF3">
        <w:rPr>
          <w:rFonts w:ascii="Arial" w:hAnsi="Arial"/>
        </w:rPr>
        <w:t>w</w:t>
      </w:r>
      <w:r w:rsidR="00F905C7" w:rsidRPr="00B37EF3">
        <w:rPr>
          <w:rFonts w:ascii="Arial" w:hAnsi="Arial"/>
        </w:rPr>
        <w:t>ind-blown desert dust particles</w:t>
      </w:r>
    </w:p>
    <w:p w:rsidR="00F905C7" w:rsidRPr="00B37EF3" w:rsidRDefault="00617878" w:rsidP="006A5626">
      <w:pPr>
        <w:pStyle w:val="BulletArrows"/>
        <w:numPr>
          <w:ilvl w:val="0"/>
          <w:numId w:val="59"/>
        </w:numPr>
        <w:rPr>
          <w:rFonts w:ascii="Arial" w:hAnsi="Arial"/>
        </w:rPr>
      </w:pPr>
      <w:r w:rsidRPr="00B37EF3">
        <w:rPr>
          <w:rFonts w:ascii="Arial" w:hAnsi="Arial"/>
        </w:rPr>
        <w:t>s</w:t>
      </w:r>
      <w:r w:rsidR="001D709E" w:rsidRPr="00B37EF3">
        <w:rPr>
          <w:rFonts w:ascii="Arial" w:hAnsi="Arial"/>
        </w:rPr>
        <w:t>ea-</w:t>
      </w:r>
      <w:r w:rsidR="00F905C7" w:rsidRPr="00B37EF3">
        <w:rPr>
          <w:rFonts w:ascii="Arial" w:hAnsi="Arial"/>
        </w:rPr>
        <w:t>spray aerosols</w:t>
      </w:r>
    </w:p>
    <w:p w:rsidR="00F905C7" w:rsidRPr="00B37EF3" w:rsidRDefault="00617878" w:rsidP="006A5626">
      <w:pPr>
        <w:pStyle w:val="BulletArrows"/>
        <w:numPr>
          <w:ilvl w:val="0"/>
          <w:numId w:val="59"/>
        </w:numPr>
        <w:rPr>
          <w:rFonts w:ascii="Arial" w:hAnsi="Arial"/>
        </w:rPr>
      </w:pPr>
      <w:r w:rsidRPr="00B37EF3">
        <w:rPr>
          <w:rFonts w:ascii="Arial" w:hAnsi="Arial"/>
        </w:rPr>
        <w:t>v</w:t>
      </w:r>
      <w:r w:rsidR="00F905C7" w:rsidRPr="00B37EF3">
        <w:rPr>
          <w:rFonts w:ascii="Arial" w:hAnsi="Arial"/>
        </w:rPr>
        <w:t>olcanic dust particles</w:t>
      </w:r>
    </w:p>
    <w:p w:rsidR="00F905C7" w:rsidRPr="00B37EF3" w:rsidRDefault="00617878" w:rsidP="006A5626">
      <w:pPr>
        <w:pStyle w:val="BulletArrows"/>
        <w:numPr>
          <w:ilvl w:val="0"/>
          <w:numId w:val="59"/>
        </w:numPr>
        <w:spacing w:after="240"/>
        <w:rPr>
          <w:rFonts w:ascii="Arial" w:hAnsi="Arial"/>
        </w:rPr>
      </w:pPr>
      <w:proofErr w:type="gramStart"/>
      <w:r w:rsidRPr="00B37EF3">
        <w:rPr>
          <w:rFonts w:ascii="Arial" w:hAnsi="Arial"/>
        </w:rPr>
        <w:t>w</w:t>
      </w:r>
      <w:r w:rsidR="00EB3931" w:rsidRPr="00B37EF3">
        <w:rPr>
          <w:rFonts w:ascii="Arial" w:hAnsi="Arial"/>
        </w:rPr>
        <w:t>ild</w:t>
      </w:r>
      <w:proofErr w:type="gramEnd"/>
      <w:r w:rsidR="00F905C7" w:rsidRPr="00B37EF3">
        <w:rPr>
          <w:rFonts w:ascii="Arial" w:hAnsi="Arial"/>
        </w:rPr>
        <w:t xml:space="preserve"> fire particles</w:t>
      </w:r>
      <w:r w:rsidR="00DE604D" w:rsidRPr="00B37EF3">
        <w:rPr>
          <w:rFonts w:ascii="Arial" w:hAnsi="Arial"/>
        </w:rPr>
        <w:t>.</w:t>
      </w:r>
      <w:r w:rsidR="00F905C7" w:rsidRPr="00B37EF3">
        <w:rPr>
          <w:rFonts w:ascii="Arial" w:hAnsi="Arial"/>
        </w:rPr>
        <w:t xml:space="preserve"> </w:t>
      </w:r>
    </w:p>
    <w:p w:rsidR="00F905C7" w:rsidRPr="00B37EF3" w:rsidRDefault="00F905C7" w:rsidP="00810588">
      <w:pPr>
        <w:spacing w:after="180"/>
        <w:rPr>
          <w:rFonts w:ascii="Arial" w:hAnsi="Arial" w:cs="Arial"/>
          <w:lang w:eastAsia="en-US"/>
        </w:rPr>
      </w:pPr>
      <w:r w:rsidRPr="00B37EF3">
        <w:rPr>
          <w:rFonts w:ascii="Arial" w:hAnsi="Arial" w:cs="Arial"/>
          <w:lang w:eastAsia="en-US"/>
        </w:rPr>
        <w:lastRenderedPageBreak/>
        <w:t xml:space="preserve">Methodologies for identifying and quantifying the contribution of these sources are described and discussed in the Working Paper and, as noted above, include the chemical analysis of PM sampled at regional background measurement sites. </w:t>
      </w:r>
    </w:p>
    <w:p w:rsidR="00F905C7" w:rsidRPr="00B37EF3" w:rsidRDefault="00F905C7" w:rsidP="00810588">
      <w:pPr>
        <w:spacing w:after="120"/>
        <w:rPr>
          <w:rFonts w:ascii="Arial" w:hAnsi="Arial" w:cs="Arial"/>
          <w:lang w:eastAsia="en-US"/>
        </w:rPr>
      </w:pPr>
      <w:r w:rsidRPr="00B37EF3">
        <w:rPr>
          <w:rFonts w:ascii="Arial" w:hAnsi="Arial" w:cs="Arial"/>
          <w:lang w:eastAsia="en-US"/>
        </w:rPr>
        <w:t xml:space="preserve">A second non-exhaustive list in the Working Paper sets out sources that the </w:t>
      </w:r>
      <w:r w:rsidR="00926C9B" w:rsidRPr="00B37EF3">
        <w:rPr>
          <w:rFonts w:ascii="Arial" w:hAnsi="Arial" w:cs="Arial"/>
          <w:lang w:eastAsia="en-US"/>
        </w:rPr>
        <w:t xml:space="preserve">European </w:t>
      </w:r>
      <w:r w:rsidRPr="00B37EF3">
        <w:rPr>
          <w:rFonts w:ascii="Arial" w:hAnsi="Arial" w:cs="Arial"/>
          <w:lang w:eastAsia="en-US"/>
        </w:rPr>
        <w:t xml:space="preserve">Commission does not consider to be eligible for subtraction when PM limit values are exceeded: </w:t>
      </w:r>
    </w:p>
    <w:p w:rsidR="00F905C7" w:rsidRPr="00B37EF3" w:rsidRDefault="00617878" w:rsidP="006A5626">
      <w:pPr>
        <w:pStyle w:val="BulletArrows"/>
        <w:numPr>
          <w:ilvl w:val="0"/>
          <w:numId w:val="60"/>
        </w:numPr>
        <w:rPr>
          <w:rFonts w:ascii="Arial" w:hAnsi="Arial"/>
        </w:rPr>
      </w:pPr>
      <w:r w:rsidRPr="00B37EF3">
        <w:rPr>
          <w:rFonts w:ascii="Arial" w:hAnsi="Arial"/>
        </w:rPr>
        <w:t>p</w:t>
      </w:r>
      <w:r w:rsidR="00F905C7" w:rsidRPr="00B37EF3">
        <w:rPr>
          <w:rFonts w:ascii="Arial" w:hAnsi="Arial"/>
        </w:rPr>
        <w:t>rimary biological aerosols, including, for example, spores or pollen</w:t>
      </w:r>
    </w:p>
    <w:p w:rsidR="00F905C7" w:rsidRPr="00B37EF3" w:rsidRDefault="00617878" w:rsidP="006A5626">
      <w:pPr>
        <w:pStyle w:val="BulletArrows"/>
        <w:numPr>
          <w:ilvl w:val="0"/>
          <w:numId w:val="60"/>
        </w:numPr>
        <w:rPr>
          <w:rFonts w:ascii="Arial" w:hAnsi="Arial"/>
        </w:rPr>
      </w:pPr>
      <w:r w:rsidRPr="00B37EF3">
        <w:rPr>
          <w:rFonts w:ascii="Arial" w:hAnsi="Arial"/>
        </w:rPr>
        <w:t>s</w:t>
      </w:r>
      <w:r w:rsidR="00F905C7" w:rsidRPr="00B37EF3">
        <w:rPr>
          <w:rFonts w:ascii="Arial" w:hAnsi="Arial"/>
        </w:rPr>
        <w:t>econdary organic biogenic aerosols</w:t>
      </w:r>
    </w:p>
    <w:p w:rsidR="00F905C7" w:rsidRPr="00B37EF3" w:rsidRDefault="00617878" w:rsidP="006A5626">
      <w:pPr>
        <w:pStyle w:val="BulletArrows"/>
        <w:numPr>
          <w:ilvl w:val="0"/>
          <w:numId w:val="60"/>
        </w:numPr>
        <w:spacing w:after="240"/>
        <w:rPr>
          <w:rFonts w:ascii="Arial" w:hAnsi="Arial"/>
        </w:rPr>
      </w:pPr>
      <w:proofErr w:type="spellStart"/>
      <w:proofErr w:type="gramStart"/>
      <w:r w:rsidRPr="00B37EF3">
        <w:rPr>
          <w:rFonts w:ascii="Arial" w:hAnsi="Arial"/>
        </w:rPr>
        <w:t>r</w:t>
      </w:r>
      <w:r w:rsidR="00F905C7" w:rsidRPr="00B37EF3">
        <w:rPr>
          <w:rFonts w:ascii="Arial" w:hAnsi="Arial"/>
        </w:rPr>
        <w:t>esuspension</w:t>
      </w:r>
      <w:proofErr w:type="spellEnd"/>
      <w:proofErr w:type="gramEnd"/>
      <w:r w:rsidR="00F905C7" w:rsidRPr="00B37EF3">
        <w:rPr>
          <w:rFonts w:ascii="Arial" w:hAnsi="Arial"/>
        </w:rPr>
        <w:t xml:space="preserve"> of dust particles, such as from roads and pavements in cities.</w:t>
      </w:r>
    </w:p>
    <w:p w:rsidR="008866CF" w:rsidRPr="00B37EF3" w:rsidRDefault="008866CF" w:rsidP="008866CF">
      <w:pPr>
        <w:rPr>
          <w:rFonts w:ascii="Arial" w:hAnsi="Arial" w:cs="Arial"/>
        </w:rPr>
      </w:pPr>
      <w:r w:rsidRPr="00B37EF3">
        <w:rPr>
          <w:rFonts w:ascii="Arial" w:hAnsi="Arial" w:cs="Arial"/>
        </w:rPr>
        <w:t>Eleven Member States reported exceedances of PM</w:t>
      </w:r>
      <w:r w:rsidRPr="00B37EF3">
        <w:rPr>
          <w:rFonts w:ascii="Arial" w:hAnsi="Arial" w:cs="Arial"/>
          <w:vertAlign w:val="subscript"/>
        </w:rPr>
        <w:t>10</w:t>
      </w:r>
      <w:r w:rsidRPr="00B37EF3">
        <w:rPr>
          <w:rFonts w:ascii="Arial" w:hAnsi="Arial" w:cs="Arial"/>
        </w:rPr>
        <w:t xml:space="preserve"> l</w:t>
      </w:r>
      <w:r w:rsidR="00D6640D" w:rsidRPr="00B37EF3">
        <w:rPr>
          <w:rFonts w:ascii="Arial" w:hAnsi="Arial" w:cs="Arial"/>
        </w:rPr>
        <w:t>imit values in 2008 and/or 2009</w:t>
      </w:r>
      <w:r w:rsidRPr="00B37EF3">
        <w:rPr>
          <w:rFonts w:ascii="Arial" w:hAnsi="Arial" w:cs="Arial"/>
        </w:rPr>
        <w:t>. The highest numbers of exceedances were reported by Mediterranean countries (Cyprus, Fr</w:t>
      </w:r>
      <w:r w:rsidR="0054235E" w:rsidRPr="00B37EF3">
        <w:rPr>
          <w:rFonts w:ascii="Arial" w:hAnsi="Arial" w:cs="Arial"/>
        </w:rPr>
        <w:t>ance, Greece, Italy and Spain).</w:t>
      </w:r>
      <w:r w:rsidRPr="00B37EF3">
        <w:rPr>
          <w:rFonts w:ascii="Arial" w:hAnsi="Arial" w:cs="Arial"/>
        </w:rPr>
        <w:t xml:space="preserve"> The highest number of stations reporting natural contributions was located in Spain. The main natural source contributing to exceedances was </w:t>
      </w:r>
      <w:r w:rsidR="00617878" w:rsidRPr="00B37EF3">
        <w:rPr>
          <w:rFonts w:ascii="Arial" w:hAnsi="Arial" w:cs="Arial"/>
        </w:rPr>
        <w:t>‘</w:t>
      </w:r>
      <w:r w:rsidRPr="00B37EF3">
        <w:rPr>
          <w:rFonts w:ascii="Arial" w:hAnsi="Arial" w:cs="Arial"/>
        </w:rPr>
        <w:t>transport of natural particles from dry regions outside the Member State</w:t>
      </w:r>
      <w:r w:rsidR="00617878" w:rsidRPr="00B37EF3">
        <w:rPr>
          <w:rFonts w:ascii="Arial" w:hAnsi="Arial" w:cs="Arial"/>
        </w:rPr>
        <w:t>’</w:t>
      </w:r>
      <w:r w:rsidRPr="00B37EF3">
        <w:rPr>
          <w:rFonts w:ascii="Arial" w:hAnsi="Arial" w:cs="Arial"/>
        </w:rPr>
        <w:t xml:space="preserve"> (Saharan dust), fol</w:t>
      </w:r>
      <w:r w:rsidR="00926C9B" w:rsidRPr="00B37EF3">
        <w:rPr>
          <w:rFonts w:ascii="Arial" w:hAnsi="Arial" w:cs="Arial"/>
        </w:rPr>
        <w:t>lowed by sea spray and wild</w:t>
      </w:r>
      <w:r w:rsidRPr="00B37EF3">
        <w:rPr>
          <w:rFonts w:ascii="Arial" w:hAnsi="Arial" w:cs="Arial"/>
        </w:rPr>
        <w:t xml:space="preserve"> fires </w:t>
      </w:r>
      <w:r w:rsidRPr="00B37EF3">
        <w:rPr>
          <w:rFonts w:ascii="Arial" w:hAnsi="Arial" w:cs="Arial"/>
          <w:b/>
        </w:rPr>
        <w:t>(EEA 2012)</w:t>
      </w:r>
      <w:r w:rsidRPr="00B37EF3">
        <w:rPr>
          <w:rFonts w:ascii="Arial" w:hAnsi="Arial" w:cs="Arial"/>
        </w:rPr>
        <w:t>.</w:t>
      </w:r>
    </w:p>
    <w:p w:rsidR="00587BAC" w:rsidRPr="00B37EF3" w:rsidRDefault="00587BAC" w:rsidP="00774E7F">
      <w:pPr>
        <w:pStyle w:val="Level4PB2"/>
        <w:spacing w:before="200" w:after="160"/>
        <w:rPr>
          <w:rFonts w:ascii="Arial" w:hAnsi="Arial" w:cs="Arial"/>
          <w:lang w:val="en-AU"/>
        </w:rPr>
      </w:pPr>
      <w:r w:rsidRPr="00B37EF3">
        <w:rPr>
          <w:rFonts w:ascii="Arial" w:hAnsi="Arial" w:cs="Arial"/>
          <w:lang w:val="en-AU"/>
        </w:rPr>
        <w:t>United Kingdom</w:t>
      </w:r>
    </w:p>
    <w:p w:rsidR="00587BAC" w:rsidRPr="00B37EF3" w:rsidRDefault="00587BAC" w:rsidP="00C15550">
      <w:pPr>
        <w:spacing w:after="300"/>
        <w:rPr>
          <w:rFonts w:ascii="Arial" w:hAnsi="Arial" w:cs="Arial"/>
        </w:rPr>
      </w:pPr>
      <w:r w:rsidRPr="00B37EF3">
        <w:rPr>
          <w:rFonts w:ascii="Arial" w:hAnsi="Arial" w:cs="Arial"/>
          <w:lang w:eastAsia="en-US"/>
        </w:rPr>
        <w:t xml:space="preserve">UK legislation to control exposure to PM </w:t>
      </w:r>
      <w:r w:rsidR="00F35B66" w:rsidRPr="00B37EF3">
        <w:rPr>
          <w:rFonts w:ascii="Arial" w:hAnsi="Arial" w:cs="Arial"/>
          <w:lang w:eastAsia="en-US"/>
        </w:rPr>
        <w:t xml:space="preserve">was </w:t>
      </w:r>
      <w:r w:rsidR="00122C98" w:rsidRPr="00B37EF3">
        <w:rPr>
          <w:rFonts w:ascii="Arial" w:hAnsi="Arial" w:cs="Arial"/>
          <w:lang w:eastAsia="en-US"/>
        </w:rPr>
        <w:t xml:space="preserve">first </w:t>
      </w:r>
      <w:r w:rsidRPr="00B37EF3">
        <w:rPr>
          <w:rFonts w:ascii="Arial" w:hAnsi="Arial" w:cs="Arial"/>
          <w:lang w:eastAsia="en-US"/>
        </w:rPr>
        <w:t>developed during the 1990s. The focus was initially on controlling exposure to short-lived peak concentrations, as the epidemiological evidence at the time indicated that health effects were primarily associated with these peaks. A 24-hour standard for PM</w:t>
      </w:r>
      <w:r w:rsidRPr="00B37EF3">
        <w:rPr>
          <w:rFonts w:ascii="Arial" w:hAnsi="Arial" w:cs="Arial"/>
          <w:vertAlign w:val="subscript"/>
          <w:lang w:eastAsia="en-US"/>
        </w:rPr>
        <w:t>10</w:t>
      </w:r>
      <w:r w:rsidR="00F35B66" w:rsidRPr="00B37EF3">
        <w:rPr>
          <w:rFonts w:ascii="Arial" w:hAnsi="Arial" w:cs="Arial"/>
          <w:lang w:eastAsia="en-US"/>
        </w:rPr>
        <w:t xml:space="preserve"> of </w:t>
      </w:r>
      <w:r w:rsidRPr="00B37EF3">
        <w:rPr>
          <w:rFonts w:ascii="Arial" w:hAnsi="Arial" w:cs="Arial"/>
          <w:lang w:eastAsia="en-US"/>
        </w:rPr>
        <w:t>50 </w:t>
      </w:r>
      <w:proofErr w:type="spellStart"/>
      <w:r w:rsidR="00F35B66" w:rsidRPr="00B37EF3">
        <w:rPr>
          <w:rFonts w:ascii="Arial" w:hAnsi="Arial" w:cs="Arial"/>
          <w:lang w:eastAsia="en-US"/>
        </w:rPr>
        <w:t>μ</w:t>
      </w:r>
      <w:r w:rsidRPr="00B37EF3">
        <w:rPr>
          <w:rFonts w:ascii="Arial" w:hAnsi="Arial" w:cs="Arial"/>
          <w:lang w:eastAsia="en-US"/>
        </w:rPr>
        <w:t>g</w:t>
      </w:r>
      <w:proofErr w:type="spellEnd"/>
      <w:r w:rsidRPr="00B37EF3">
        <w:rPr>
          <w:rFonts w:ascii="Arial" w:hAnsi="Arial" w:cs="Arial"/>
          <w:lang w:eastAsia="en-US"/>
        </w:rPr>
        <w:t>/m</w:t>
      </w:r>
      <w:r w:rsidRPr="00B37EF3">
        <w:rPr>
          <w:rFonts w:ascii="Arial" w:hAnsi="Arial" w:cs="Arial"/>
          <w:vertAlign w:val="superscript"/>
          <w:lang w:eastAsia="en-US"/>
        </w:rPr>
        <w:t>3</w:t>
      </w:r>
      <w:r w:rsidRPr="00B37EF3">
        <w:rPr>
          <w:rFonts w:ascii="Arial" w:hAnsi="Arial" w:cs="Arial"/>
          <w:lang w:eastAsia="en-US"/>
        </w:rPr>
        <w:t xml:space="preserve"> was therefore intr</w:t>
      </w:r>
      <w:r w:rsidR="00F35B66" w:rsidRPr="00B37EF3">
        <w:rPr>
          <w:rFonts w:ascii="Arial" w:hAnsi="Arial" w:cs="Arial"/>
          <w:lang w:eastAsia="en-US"/>
        </w:rPr>
        <w:t>oduced</w:t>
      </w:r>
      <w:r w:rsidRPr="00B37EF3">
        <w:rPr>
          <w:rFonts w:ascii="Arial" w:hAnsi="Arial" w:cs="Arial"/>
          <w:lang w:eastAsia="en-US"/>
        </w:rPr>
        <w:t>. The use of such air quality standards has meant that control strategies have primarily been aimed at reducing polluta</w:t>
      </w:r>
      <w:r w:rsidR="00F35B66" w:rsidRPr="00B37EF3">
        <w:rPr>
          <w:rFonts w:ascii="Arial" w:hAnsi="Arial" w:cs="Arial"/>
          <w:lang w:eastAsia="en-US"/>
        </w:rPr>
        <w:t>nt concentrations at hot spots</w:t>
      </w:r>
      <w:r w:rsidRPr="00B37EF3">
        <w:rPr>
          <w:rFonts w:ascii="Arial" w:hAnsi="Arial" w:cs="Arial"/>
          <w:lang w:eastAsia="en-US"/>
        </w:rPr>
        <w:t>, where monitoring has shown the standard can be exceeded. These hot spots have most commonly been identified alongside busy roads. The re-orientation of attention towards PM</w:t>
      </w:r>
      <w:r w:rsidRPr="00B37EF3">
        <w:rPr>
          <w:rFonts w:ascii="Arial" w:hAnsi="Arial" w:cs="Arial"/>
          <w:vertAlign w:val="subscript"/>
          <w:lang w:eastAsia="en-US"/>
        </w:rPr>
        <w:t>2.5</w:t>
      </w:r>
      <w:r w:rsidRPr="00B37EF3">
        <w:rPr>
          <w:rFonts w:ascii="Arial" w:hAnsi="Arial" w:cs="Arial"/>
          <w:lang w:eastAsia="en-US"/>
        </w:rPr>
        <w:t>, coupled with the evidence that long-term concentrations were more significant in health terms than short-term peaks, has led to changes in legislation. The UK introduced the idea of a PM</w:t>
      </w:r>
      <w:r w:rsidRPr="00B37EF3">
        <w:rPr>
          <w:rFonts w:ascii="Arial" w:hAnsi="Arial" w:cs="Arial"/>
          <w:vertAlign w:val="subscript"/>
          <w:lang w:eastAsia="en-US"/>
        </w:rPr>
        <w:t>2.5</w:t>
      </w:r>
      <w:r w:rsidRPr="00B37EF3">
        <w:rPr>
          <w:rFonts w:ascii="Arial" w:hAnsi="Arial" w:cs="Arial"/>
          <w:lang w:eastAsia="en-US"/>
        </w:rPr>
        <w:t xml:space="preserve"> standard in its Air Quality Strategy update </w:t>
      </w:r>
      <w:r w:rsidRPr="00B37EF3">
        <w:rPr>
          <w:rFonts w:ascii="Arial" w:hAnsi="Arial" w:cs="Arial"/>
          <w:b/>
          <w:lang w:eastAsia="en-US"/>
        </w:rPr>
        <w:t>(Defra 2007)</w:t>
      </w:r>
      <w:r w:rsidRPr="00B37EF3">
        <w:rPr>
          <w:rFonts w:ascii="Arial" w:hAnsi="Arial" w:cs="Arial"/>
          <w:lang w:eastAsia="en-US"/>
        </w:rPr>
        <w:t xml:space="preserve">. EU Directive 2008/50/EC is </w:t>
      </w:r>
      <w:r w:rsidR="00F35B66" w:rsidRPr="00B37EF3">
        <w:rPr>
          <w:rFonts w:ascii="Arial" w:hAnsi="Arial" w:cs="Arial"/>
          <w:lang w:eastAsia="en-US"/>
        </w:rPr>
        <w:t xml:space="preserve">now </w:t>
      </w:r>
      <w:r w:rsidRPr="00B37EF3">
        <w:rPr>
          <w:rFonts w:ascii="Arial" w:hAnsi="Arial" w:cs="Arial"/>
          <w:lang w:eastAsia="en-US"/>
        </w:rPr>
        <w:t xml:space="preserve">transposed into UK law through the Air Quality Standards Regulations 2010 </w:t>
      </w:r>
      <w:r w:rsidRPr="00B37EF3">
        <w:rPr>
          <w:rFonts w:ascii="Arial" w:hAnsi="Arial" w:cs="Arial"/>
          <w:b/>
          <w:lang w:eastAsia="en-US"/>
        </w:rPr>
        <w:t>(</w:t>
      </w:r>
      <w:proofErr w:type="spellStart"/>
      <w:r w:rsidRPr="00B37EF3">
        <w:rPr>
          <w:rFonts w:ascii="Arial" w:hAnsi="Arial" w:cs="Arial"/>
          <w:b/>
          <w:lang w:eastAsia="en-US"/>
        </w:rPr>
        <w:t>Laxen</w:t>
      </w:r>
      <w:proofErr w:type="spellEnd"/>
      <w:r w:rsidRPr="00B37EF3">
        <w:rPr>
          <w:rFonts w:ascii="Arial" w:hAnsi="Arial" w:cs="Arial"/>
          <w:b/>
          <w:lang w:eastAsia="en-US"/>
        </w:rPr>
        <w:t xml:space="preserve"> </w:t>
      </w:r>
      <w:r w:rsidR="009334F4" w:rsidRPr="00B37EF3">
        <w:rPr>
          <w:rFonts w:ascii="Arial" w:hAnsi="Arial" w:cs="Arial"/>
          <w:b/>
          <w:lang w:eastAsia="en-US"/>
        </w:rPr>
        <w:t>et al</w:t>
      </w:r>
      <w:r w:rsidRPr="00B37EF3">
        <w:rPr>
          <w:rFonts w:ascii="Arial" w:hAnsi="Arial" w:cs="Arial"/>
          <w:b/>
          <w:lang w:eastAsia="en-US"/>
        </w:rPr>
        <w:t>. 2010)</w:t>
      </w:r>
      <w:r w:rsidRPr="00B37EF3">
        <w:rPr>
          <w:rFonts w:ascii="Arial" w:hAnsi="Arial" w:cs="Arial"/>
          <w:lang w:eastAsia="en-US"/>
        </w:rPr>
        <w:t>.</w:t>
      </w:r>
    </w:p>
    <w:p w:rsidR="00212AF4" w:rsidRPr="00B37EF3" w:rsidRDefault="00212AF4" w:rsidP="00774E7F">
      <w:pPr>
        <w:pStyle w:val="Level4PB2"/>
        <w:spacing w:before="200" w:after="160"/>
        <w:rPr>
          <w:rFonts w:ascii="Arial" w:hAnsi="Arial" w:cs="Arial"/>
          <w:lang w:val="en-AU"/>
        </w:rPr>
      </w:pPr>
      <w:r w:rsidRPr="00B37EF3">
        <w:rPr>
          <w:rFonts w:ascii="Arial" w:hAnsi="Arial" w:cs="Arial"/>
          <w:lang w:val="en-AU"/>
        </w:rPr>
        <w:t>Canada</w:t>
      </w:r>
    </w:p>
    <w:p w:rsidR="00CA7E27" w:rsidRPr="00B37EF3" w:rsidRDefault="00CA7E27" w:rsidP="00074856">
      <w:pPr>
        <w:spacing w:after="300"/>
        <w:rPr>
          <w:rFonts w:ascii="Arial" w:hAnsi="Arial" w:cs="Arial"/>
        </w:rPr>
      </w:pPr>
      <w:r w:rsidRPr="00B37EF3">
        <w:rPr>
          <w:rFonts w:ascii="Arial" w:hAnsi="Arial" w:cs="Arial"/>
        </w:rPr>
        <w:t xml:space="preserve">Environment Canada and Health Canada have recently established new </w:t>
      </w:r>
      <w:r w:rsidR="00AA184A" w:rsidRPr="00B37EF3">
        <w:rPr>
          <w:rFonts w:ascii="Arial" w:hAnsi="Arial" w:cs="Arial"/>
        </w:rPr>
        <w:t xml:space="preserve">national </w:t>
      </w:r>
      <w:r w:rsidRPr="00B37EF3">
        <w:rPr>
          <w:rFonts w:ascii="Arial" w:hAnsi="Arial" w:cs="Arial"/>
        </w:rPr>
        <w:t>air quality standards for PM</w:t>
      </w:r>
      <w:r w:rsidRPr="00B37EF3">
        <w:rPr>
          <w:rFonts w:ascii="Arial" w:hAnsi="Arial" w:cs="Arial"/>
          <w:vertAlign w:val="subscript"/>
        </w:rPr>
        <w:t>2.5</w:t>
      </w:r>
      <w:r w:rsidRPr="00B37EF3">
        <w:rPr>
          <w:rFonts w:ascii="Arial" w:hAnsi="Arial" w:cs="Arial"/>
        </w:rPr>
        <w:t xml:space="preserve"> and ground-level ozone. </w:t>
      </w:r>
      <w:r w:rsidR="00406EA5" w:rsidRPr="00B37EF3">
        <w:rPr>
          <w:rFonts w:ascii="Arial" w:hAnsi="Arial" w:cs="Arial"/>
        </w:rPr>
        <w:t xml:space="preserve">The new air quality standards were established by the federal government under the Canadian </w:t>
      </w:r>
      <w:r w:rsidR="00406EA5" w:rsidRPr="00B37EF3">
        <w:rPr>
          <w:rFonts w:ascii="Arial" w:hAnsi="Arial" w:cs="Arial"/>
          <w:i/>
        </w:rPr>
        <w:t>Environmental Protection Act 1999</w:t>
      </w:r>
      <w:r w:rsidR="00406EA5" w:rsidRPr="00B37EF3">
        <w:rPr>
          <w:rFonts w:ascii="Arial" w:hAnsi="Arial" w:cs="Arial"/>
        </w:rPr>
        <w:t xml:space="preserve">, on </w:t>
      </w:r>
      <w:r w:rsidR="00617878" w:rsidRPr="00B37EF3">
        <w:rPr>
          <w:rFonts w:ascii="Arial" w:hAnsi="Arial" w:cs="Arial"/>
        </w:rPr>
        <w:t xml:space="preserve">25 </w:t>
      </w:r>
      <w:r w:rsidR="00406EA5" w:rsidRPr="00B37EF3">
        <w:rPr>
          <w:rFonts w:ascii="Arial" w:hAnsi="Arial" w:cs="Arial"/>
        </w:rPr>
        <w:t>May 2013. The provinces and territories will undertake actions to achieve the standards. For the first time in Canada, the standards include a long-term (annual) target for PM</w:t>
      </w:r>
      <w:r w:rsidR="00406EA5" w:rsidRPr="00B37EF3">
        <w:rPr>
          <w:rFonts w:ascii="Arial" w:hAnsi="Arial" w:cs="Arial"/>
          <w:vertAlign w:val="subscript"/>
        </w:rPr>
        <w:t>2.5</w:t>
      </w:r>
      <w:r w:rsidR="00406EA5" w:rsidRPr="00B37EF3">
        <w:rPr>
          <w:rFonts w:ascii="Arial" w:hAnsi="Arial" w:cs="Arial"/>
        </w:rPr>
        <w:t xml:space="preserve">. </w:t>
      </w:r>
      <w:r w:rsidRPr="00B37EF3">
        <w:rPr>
          <w:rFonts w:ascii="Arial" w:hAnsi="Arial" w:cs="Arial"/>
        </w:rPr>
        <w:t>These standards are more stringent and more comprehensive than the previous Canada-wid</w:t>
      </w:r>
      <w:r w:rsidR="00D6640D" w:rsidRPr="00B37EF3">
        <w:rPr>
          <w:rFonts w:ascii="Arial" w:hAnsi="Arial" w:cs="Arial"/>
        </w:rPr>
        <w:t>e s</w:t>
      </w:r>
      <w:r w:rsidR="00406EA5" w:rsidRPr="00B37EF3">
        <w:rPr>
          <w:rFonts w:ascii="Arial" w:hAnsi="Arial" w:cs="Arial"/>
        </w:rPr>
        <w:t>tandards for PM</w:t>
      </w:r>
      <w:r w:rsidR="00406EA5" w:rsidRPr="00B37EF3">
        <w:rPr>
          <w:rFonts w:ascii="Arial" w:hAnsi="Arial" w:cs="Arial"/>
          <w:vertAlign w:val="subscript"/>
        </w:rPr>
        <w:t>2.5</w:t>
      </w:r>
      <w:r w:rsidR="00406EA5" w:rsidRPr="00B37EF3">
        <w:rPr>
          <w:rFonts w:ascii="Arial" w:hAnsi="Arial" w:cs="Arial"/>
        </w:rPr>
        <w:t xml:space="preserve"> and ozone</w:t>
      </w:r>
      <w:r w:rsidR="00AA184A" w:rsidRPr="00B37EF3">
        <w:rPr>
          <w:rFonts w:ascii="Arial" w:hAnsi="Arial" w:cs="Arial"/>
        </w:rPr>
        <w:t>. The national standards do not cover PM</w:t>
      </w:r>
      <w:r w:rsidR="00AA184A" w:rsidRPr="00B37EF3">
        <w:rPr>
          <w:rFonts w:ascii="Arial" w:hAnsi="Arial" w:cs="Arial"/>
          <w:vertAlign w:val="subscript"/>
        </w:rPr>
        <w:t>10</w:t>
      </w:r>
      <w:r w:rsidR="00AA184A" w:rsidRPr="00B37EF3">
        <w:rPr>
          <w:rFonts w:ascii="Arial" w:hAnsi="Arial" w:cs="Arial"/>
        </w:rPr>
        <w:t>, but some Canadian provinces, such as British Columbia, do have PM</w:t>
      </w:r>
      <w:r w:rsidR="00AA184A" w:rsidRPr="00B37EF3">
        <w:rPr>
          <w:rFonts w:ascii="Arial" w:hAnsi="Arial" w:cs="Arial"/>
          <w:vertAlign w:val="subscript"/>
        </w:rPr>
        <w:t>10</w:t>
      </w:r>
      <w:r w:rsidR="00AA184A" w:rsidRPr="00B37EF3">
        <w:rPr>
          <w:rFonts w:ascii="Arial" w:hAnsi="Arial" w:cs="Arial"/>
        </w:rPr>
        <w:t xml:space="preserve"> standards.</w:t>
      </w:r>
    </w:p>
    <w:p w:rsidR="00067955" w:rsidRPr="00B37EF3" w:rsidRDefault="00067955" w:rsidP="00774E7F">
      <w:pPr>
        <w:pStyle w:val="Level4PB2"/>
        <w:spacing w:before="200" w:after="160"/>
        <w:rPr>
          <w:rFonts w:ascii="Arial" w:hAnsi="Arial" w:cs="Arial"/>
          <w:lang w:val="en-AU" w:eastAsia="en-US"/>
        </w:rPr>
      </w:pPr>
      <w:r w:rsidRPr="00B37EF3">
        <w:rPr>
          <w:rFonts w:ascii="Arial" w:hAnsi="Arial" w:cs="Arial"/>
          <w:lang w:val="en-AU" w:eastAsia="en-US"/>
        </w:rPr>
        <w:t>New Zealand</w:t>
      </w:r>
    </w:p>
    <w:p w:rsidR="00067955" w:rsidRPr="00B37EF3" w:rsidRDefault="001F3575" w:rsidP="00074856">
      <w:pPr>
        <w:spacing w:after="300"/>
        <w:rPr>
          <w:rFonts w:ascii="Arial" w:hAnsi="Arial" w:cs="Arial"/>
          <w:lang w:eastAsia="en-US"/>
        </w:rPr>
      </w:pPr>
      <w:r w:rsidRPr="00B37EF3">
        <w:rPr>
          <w:rFonts w:ascii="Arial" w:hAnsi="Arial" w:cs="Arial"/>
          <w:lang w:eastAsia="en-US"/>
        </w:rPr>
        <w:t>In New Zealand t</w:t>
      </w:r>
      <w:r w:rsidR="00067955" w:rsidRPr="00B37EF3">
        <w:rPr>
          <w:rFonts w:ascii="Arial" w:hAnsi="Arial" w:cs="Arial"/>
          <w:lang w:eastAsia="en-US"/>
        </w:rPr>
        <w:t>he National Environmental Standards for Air Quality are regulations made under the Resource Management Act 1991</w:t>
      </w:r>
      <w:r w:rsidRPr="00B37EF3">
        <w:rPr>
          <w:rFonts w:ascii="Arial" w:hAnsi="Arial" w:cs="Arial"/>
          <w:lang w:eastAsia="en-US"/>
        </w:rPr>
        <w:t xml:space="preserve">. The </w:t>
      </w:r>
      <w:r w:rsidR="00617878" w:rsidRPr="00B37EF3">
        <w:rPr>
          <w:rFonts w:ascii="Arial" w:hAnsi="Arial" w:cs="Arial"/>
          <w:lang w:eastAsia="en-US"/>
        </w:rPr>
        <w:t>s</w:t>
      </w:r>
      <w:r w:rsidRPr="00B37EF3">
        <w:rPr>
          <w:rFonts w:ascii="Arial" w:hAnsi="Arial" w:cs="Arial"/>
          <w:lang w:eastAsia="en-US"/>
        </w:rPr>
        <w:t xml:space="preserve">tandards were first introduced in 2004, and include a 24-hour limit </w:t>
      </w:r>
      <w:r w:rsidR="001D709E" w:rsidRPr="00B37EF3">
        <w:rPr>
          <w:rFonts w:ascii="Arial" w:hAnsi="Arial" w:cs="Arial"/>
          <w:lang w:eastAsia="en-US"/>
        </w:rPr>
        <w:t>for</w:t>
      </w:r>
      <w:r w:rsidR="00DE604D" w:rsidRPr="00B37EF3">
        <w:rPr>
          <w:rFonts w:ascii="Arial" w:hAnsi="Arial" w:cs="Arial"/>
          <w:lang w:eastAsia="en-US"/>
        </w:rPr>
        <w:t xml:space="preserve"> </w:t>
      </w:r>
      <w:r w:rsidRPr="00B37EF3">
        <w:rPr>
          <w:rFonts w:ascii="Arial" w:hAnsi="Arial" w:cs="Arial"/>
          <w:lang w:eastAsia="en-US"/>
        </w:rPr>
        <w:t>PM</w:t>
      </w:r>
      <w:r w:rsidRPr="00B37EF3">
        <w:rPr>
          <w:rFonts w:ascii="Arial" w:hAnsi="Arial" w:cs="Arial"/>
          <w:vertAlign w:val="subscript"/>
          <w:lang w:eastAsia="en-US"/>
        </w:rPr>
        <w:t>10</w:t>
      </w:r>
      <w:r w:rsidRPr="00B37EF3">
        <w:rPr>
          <w:rFonts w:ascii="Arial" w:hAnsi="Arial" w:cs="Arial"/>
          <w:lang w:eastAsia="en-US"/>
        </w:rPr>
        <w:t xml:space="preserve">. </w:t>
      </w:r>
      <w:r w:rsidR="00067955" w:rsidRPr="00B37EF3">
        <w:rPr>
          <w:rFonts w:ascii="Arial" w:hAnsi="Arial" w:cs="Arial"/>
          <w:lang w:eastAsia="en-US"/>
        </w:rPr>
        <w:t>Regional councils and unitary authorities are responsible for managing air qualit</w:t>
      </w:r>
      <w:r w:rsidR="00122C98" w:rsidRPr="00B37EF3">
        <w:rPr>
          <w:rFonts w:ascii="Arial" w:hAnsi="Arial" w:cs="Arial"/>
          <w:lang w:eastAsia="en-US"/>
        </w:rPr>
        <w:t xml:space="preserve">y under </w:t>
      </w:r>
      <w:r w:rsidR="00617878" w:rsidRPr="00B37EF3">
        <w:rPr>
          <w:rFonts w:ascii="Arial" w:hAnsi="Arial" w:cs="Arial"/>
          <w:lang w:eastAsia="en-US"/>
        </w:rPr>
        <w:t xml:space="preserve">the </w:t>
      </w:r>
      <w:r w:rsidR="00122C98" w:rsidRPr="00B37EF3">
        <w:rPr>
          <w:rFonts w:ascii="Arial" w:hAnsi="Arial" w:cs="Arial"/>
          <w:lang w:eastAsia="en-US"/>
        </w:rPr>
        <w:t xml:space="preserve">Act, and </w:t>
      </w:r>
      <w:r w:rsidR="00067955" w:rsidRPr="00B37EF3">
        <w:rPr>
          <w:rFonts w:ascii="Arial" w:hAnsi="Arial" w:cs="Arial"/>
          <w:lang w:eastAsia="en-US"/>
        </w:rPr>
        <w:t>are required to identify areas where air quality is likel</w:t>
      </w:r>
      <w:r w:rsidR="001D709E" w:rsidRPr="00B37EF3">
        <w:rPr>
          <w:rFonts w:ascii="Arial" w:hAnsi="Arial" w:cs="Arial"/>
          <w:lang w:eastAsia="en-US"/>
        </w:rPr>
        <w:t>y</w:t>
      </w:r>
      <w:r w:rsidR="00067955" w:rsidRPr="00B37EF3">
        <w:rPr>
          <w:rFonts w:ascii="Arial" w:hAnsi="Arial" w:cs="Arial"/>
          <w:lang w:eastAsia="en-US"/>
        </w:rPr>
        <w:t xml:space="preserve">, or </w:t>
      </w:r>
      <w:r w:rsidRPr="00B37EF3">
        <w:rPr>
          <w:rFonts w:ascii="Arial" w:hAnsi="Arial" w:cs="Arial"/>
          <w:lang w:eastAsia="en-US"/>
        </w:rPr>
        <w:t>known, to exceed the standards.</w:t>
      </w:r>
      <w:r w:rsidR="00AE4634" w:rsidRPr="00B37EF3">
        <w:rPr>
          <w:rFonts w:ascii="Arial" w:hAnsi="Arial" w:cs="Arial"/>
          <w:lang w:eastAsia="en-US"/>
        </w:rPr>
        <w:t xml:space="preserve"> Guidelines also exist for annual mean PM</w:t>
      </w:r>
      <w:r w:rsidR="00AE4634" w:rsidRPr="00B37EF3">
        <w:rPr>
          <w:rFonts w:ascii="Arial" w:hAnsi="Arial" w:cs="Arial"/>
          <w:vertAlign w:val="subscript"/>
          <w:lang w:eastAsia="en-US"/>
        </w:rPr>
        <w:t>10</w:t>
      </w:r>
      <w:r w:rsidR="00AE4634" w:rsidRPr="00B37EF3">
        <w:rPr>
          <w:rFonts w:ascii="Arial" w:hAnsi="Arial" w:cs="Arial"/>
          <w:lang w:eastAsia="en-US"/>
        </w:rPr>
        <w:t xml:space="preserve"> and 24-hour PM</w:t>
      </w:r>
      <w:r w:rsidR="00AE4634" w:rsidRPr="00B37EF3">
        <w:rPr>
          <w:rFonts w:ascii="Arial" w:hAnsi="Arial" w:cs="Arial"/>
          <w:vertAlign w:val="subscript"/>
          <w:lang w:eastAsia="en-US"/>
        </w:rPr>
        <w:t>2.5</w:t>
      </w:r>
      <w:r w:rsidR="00AE4634" w:rsidRPr="00B37EF3">
        <w:rPr>
          <w:rFonts w:ascii="Arial" w:hAnsi="Arial" w:cs="Arial"/>
          <w:lang w:eastAsia="en-US"/>
        </w:rPr>
        <w:t>.</w:t>
      </w:r>
    </w:p>
    <w:p w:rsidR="005B1DF1" w:rsidRPr="00B37EF3" w:rsidRDefault="005B1DF1" w:rsidP="00774E7F">
      <w:pPr>
        <w:pStyle w:val="Level4PB2"/>
        <w:spacing w:before="200" w:after="160"/>
        <w:rPr>
          <w:rFonts w:ascii="Arial" w:hAnsi="Arial" w:cs="Arial"/>
          <w:lang w:val="en-AU"/>
        </w:rPr>
      </w:pPr>
      <w:r w:rsidRPr="00B37EF3">
        <w:rPr>
          <w:rFonts w:ascii="Arial" w:hAnsi="Arial" w:cs="Arial"/>
          <w:lang w:val="en-AU"/>
        </w:rPr>
        <w:t>Summary</w:t>
      </w:r>
    </w:p>
    <w:p w:rsidR="000A4E72" w:rsidRPr="00B37EF3" w:rsidRDefault="002B70EE" w:rsidP="00810588">
      <w:pPr>
        <w:spacing w:after="180"/>
        <w:rPr>
          <w:rFonts w:ascii="Arial" w:hAnsi="Arial" w:cs="Arial"/>
        </w:rPr>
      </w:pPr>
      <w:r w:rsidRPr="00B37EF3">
        <w:rPr>
          <w:rFonts w:ascii="Arial" w:hAnsi="Arial" w:cs="Arial"/>
        </w:rPr>
        <w:t xml:space="preserve">The </w:t>
      </w:r>
      <w:r w:rsidR="006F2D72" w:rsidRPr="00B37EF3">
        <w:rPr>
          <w:rFonts w:ascii="Arial" w:hAnsi="Arial" w:cs="Arial"/>
        </w:rPr>
        <w:t xml:space="preserve">WHO guidelines </w:t>
      </w:r>
      <w:r w:rsidRPr="00B37EF3">
        <w:rPr>
          <w:rFonts w:ascii="Arial" w:hAnsi="Arial" w:cs="Arial"/>
        </w:rPr>
        <w:t>and the adopted standards for PM</w:t>
      </w:r>
      <w:r w:rsidRPr="00B37EF3">
        <w:rPr>
          <w:rFonts w:ascii="Arial" w:hAnsi="Arial" w:cs="Arial"/>
          <w:vertAlign w:val="subscript"/>
        </w:rPr>
        <w:t>10</w:t>
      </w:r>
      <w:r w:rsidRPr="00B37EF3">
        <w:rPr>
          <w:rFonts w:ascii="Arial" w:hAnsi="Arial" w:cs="Arial"/>
        </w:rPr>
        <w:t xml:space="preserve"> and PM</w:t>
      </w:r>
      <w:r w:rsidRPr="00B37EF3">
        <w:rPr>
          <w:rFonts w:ascii="Arial" w:hAnsi="Arial" w:cs="Arial"/>
          <w:vertAlign w:val="subscript"/>
        </w:rPr>
        <w:t>2.5</w:t>
      </w:r>
      <w:r w:rsidRPr="00B37EF3">
        <w:rPr>
          <w:rFonts w:ascii="Arial" w:hAnsi="Arial" w:cs="Arial"/>
        </w:rPr>
        <w:t xml:space="preserve"> in Australia and </w:t>
      </w:r>
      <w:r w:rsidR="00A165C9" w:rsidRPr="00B37EF3">
        <w:rPr>
          <w:rFonts w:ascii="Arial" w:hAnsi="Arial" w:cs="Arial"/>
        </w:rPr>
        <w:t>the countries reviewed above</w:t>
      </w:r>
      <w:r w:rsidR="006D38A8" w:rsidRPr="00B37EF3">
        <w:rPr>
          <w:rFonts w:ascii="Arial" w:hAnsi="Arial" w:cs="Arial"/>
        </w:rPr>
        <w:t>, as well as some additional countries and regions,</w:t>
      </w:r>
      <w:r w:rsidRPr="00B37EF3">
        <w:rPr>
          <w:rFonts w:ascii="Arial" w:hAnsi="Arial" w:cs="Arial"/>
        </w:rPr>
        <w:t xml:space="preserve"> are listed in </w:t>
      </w:r>
      <w:fldSimple w:instr=" REF _Ref366843697 \h  \* MERGEFORMAT ">
        <w:r w:rsidR="0085182E" w:rsidRPr="0085182E">
          <w:rPr>
            <w:rFonts w:ascii="Arial" w:hAnsi="Arial" w:cs="Arial"/>
            <w:b/>
          </w:rPr>
          <w:t>Table 4.3</w:t>
        </w:r>
      </w:fldSimple>
      <w:r w:rsidR="000A4E72" w:rsidRPr="00B37EF3">
        <w:rPr>
          <w:rFonts w:ascii="Arial" w:hAnsi="Arial" w:cs="Arial"/>
        </w:rPr>
        <w:t>.</w:t>
      </w:r>
    </w:p>
    <w:p w:rsidR="00810588" w:rsidRPr="00B37EF3" w:rsidRDefault="00810588" w:rsidP="00810588">
      <w:pPr>
        <w:spacing w:after="180"/>
        <w:rPr>
          <w:rFonts w:ascii="Arial" w:hAnsi="Arial" w:cs="Arial"/>
        </w:rPr>
      </w:pPr>
      <w:r w:rsidRPr="00B37EF3">
        <w:rPr>
          <w:rFonts w:ascii="Arial" w:hAnsi="Arial" w:cs="Arial"/>
        </w:rPr>
        <w:t>There is currently no annual mean PM</w:t>
      </w:r>
      <w:r w:rsidRPr="00B37EF3">
        <w:rPr>
          <w:rFonts w:ascii="Arial" w:hAnsi="Arial" w:cs="Arial"/>
          <w:vertAlign w:val="subscript"/>
        </w:rPr>
        <w:t>10</w:t>
      </w:r>
      <w:r w:rsidRPr="00B37EF3">
        <w:rPr>
          <w:rFonts w:ascii="Arial" w:hAnsi="Arial" w:cs="Arial"/>
        </w:rPr>
        <w:t xml:space="preserve"> standard in the AAQ NEPM. It is worth noting that coarse particles are a significant problem in some areas of Australia (</w:t>
      </w:r>
      <w:r w:rsidR="009334F4" w:rsidRPr="00B37EF3">
        <w:rPr>
          <w:rFonts w:ascii="Arial" w:hAnsi="Arial" w:cs="Arial"/>
        </w:rPr>
        <w:t>e.g.</w:t>
      </w:r>
      <w:r w:rsidRPr="00B37EF3">
        <w:rPr>
          <w:rFonts w:ascii="Arial" w:hAnsi="Arial" w:cs="Arial"/>
        </w:rPr>
        <w:t xml:space="preserve"> dust and sea salt contribute significantly to PM</w:t>
      </w:r>
      <w:r w:rsidRPr="00B37EF3">
        <w:rPr>
          <w:rFonts w:ascii="Arial" w:hAnsi="Arial" w:cs="Arial"/>
          <w:vertAlign w:val="subscript"/>
        </w:rPr>
        <w:t>10</w:t>
      </w:r>
      <w:r w:rsidRPr="00B37EF3">
        <w:rPr>
          <w:rFonts w:ascii="Arial" w:hAnsi="Arial" w:cs="Arial"/>
        </w:rPr>
        <w:t>), and the REVIHAAP report concluded that there is increasing evidence for the adverse effects on health of coarse particles</w:t>
      </w:r>
      <w:r w:rsidR="00617878" w:rsidRPr="00B37EF3">
        <w:rPr>
          <w:rFonts w:ascii="Arial" w:hAnsi="Arial" w:cs="Arial"/>
        </w:rPr>
        <w:t xml:space="preserve"> </w:t>
      </w:r>
      <w:r w:rsidR="00617878" w:rsidRPr="00B37EF3">
        <w:rPr>
          <w:rFonts w:ascii="Arial" w:hAnsi="Arial" w:cs="Arial"/>
          <w:b/>
        </w:rPr>
        <w:t>(WHO Regional Office for Europe 2013)</w:t>
      </w:r>
      <w:r w:rsidRPr="00B37EF3">
        <w:rPr>
          <w:rFonts w:ascii="Arial" w:hAnsi="Arial" w:cs="Arial"/>
        </w:rPr>
        <w:t>. This suggests that an annual mean PM</w:t>
      </w:r>
      <w:r w:rsidRPr="00B37EF3">
        <w:rPr>
          <w:rFonts w:ascii="Arial" w:hAnsi="Arial" w:cs="Arial"/>
          <w:vertAlign w:val="subscript"/>
        </w:rPr>
        <w:t>10</w:t>
      </w:r>
      <w:r w:rsidRPr="00B37EF3">
        <w:rPr>
          <w:rFonts w:ascii="Arial" w:hAnsi="Arial" w:cs="Arial"/>
        </w:rPr>
        <w:t xml:space="preserve"> standard </w:t>
      </w:r>
      <w:r w:rsidR="005951D1" w:rsidRPr="00B37EF3">
        <w:rPr>
          <w:rFonts w:ascii="Arial" w:hAnsi="Arial" w:cs="Arial"/>
        </w:rPr>
        <w:t xml:space="preserve">should </w:t>
      </w:r>
      <w:r w:rsidRPr="00B37EF3">
        <w:rPr>
          <w:rFonts w:ascii="Arial" w:hAnsi="Arial" w:cs="Arial"/>
        </w:rPr>
        <w:t xml:space="preserve">be introduced in Australia. </w:t>
      </w:r>
    </w:p>
    <w:p w:rsidR="00810588" w:rsidRPr="00B37EF3" w:rsidRDefault="00810588" w:rsidP="00810588">
      <w:pPr>
        <w:spacing w:after="360"/>
        <w:rPr>
          <w:rFonts w:ascii="Arial" w:hAnsi="Arial" w:cs="Arial"/>
        </w:rPr>
      </w:pPr>
      <w:r w:rsidRPr="00B37EF3">
        <w:rPr>
          <w:rFonts w:ascii="Arial" w:hAnsi="Arial" w:cs="Arial"/>
        </w:rPr>
        <w:lastRenderedPageBreak/>
        <w:t>The WHO numerical guideline for 24-hour PM</w:t>
      </w:r>
      <w:r w:rsidRPr="00B37EF3">
        <w:rPr>
          <w:rFonts w:ascii="Arial" w:hAnsi="Arial" w:cs="Arial"/>
          <w:vertAlign w:val="subscript"/>
        </w:rPr>
        <w:t>10</w:t>
      </w:r>
      <w:r w:rsidRPr="00B37EF3">
        <w:rPr>
          <w:rFonts w:ascii="Arial" w:hAnsi="Arial" w:cs="Arial"/>
        </w:rPr>
        <w:t xml:space="preserve"> of 50 µg/m</w:t>
      </w:r>
      <w:r w:rsidRPr="00B37EF3">
        <w:rPr>
          <w:rFonts w:ascii="Arial" w:hAnsi="Arial" w:cs="Arial"/>
          <w:vertAlign w:val="superscript"/>
        </w:rPr>
        <w:t>3</w:t>
      </w:r>
      <w:r w:rsidRPr="00B37EF3">
        <w:rPr>
          <w:rFonts w:ascii="Arial" w:hAnsi="Arial" w:cs="Arial"/>
        </w:rPr>
        <w:t xml:space="preserve"> has been adopted in Australia and elsewhere (but not in the United States), although the number of permitted exceedances is greater in Australia than in the WHO guideline. However, fewer exceedances of the standard are allowed in Australia than in most other countries/regions (an exception being New Zealand). The REVIHAAP report recommended a re-evaluation of the PM</w:t>
      </w:r>
      <w:r w:rsidRPr="00B37EF3">
        <w:rPr>
          <w:rFonts w:ascii="Arial" w:hAnsi="Arial" w:cs="Arial"/>
          <w:vertAlign w:val="subscript"/>
        </w:rPr>
        <w:t>10</w:t>
      </w:r>
      <w:r w:rsidRPr="00B37EF3">
        <w:rPr>
          <w:rFonts w:ascii="Arial" w:hAnsi="Arial" w:cs="Arial"/>
        </w:rPr>
        <w:t xml:space="preserve"> limit values in Europe.</w:t>
      </w:r>
    </w:p>
    <w:p w:rsidR="00E352D3" w:rsidRPr="00B37EF3" w:rsidRDefault="00C70E4C" w:rsidP="00390C4E">
      <w:pPr>
        <w:pStyle w:val="Caption"/>
        <w:rPr>
          <w:rFonts w:ascii="Arial" w:hAnsi="Arial" w:cs="Arial"/>
          <w:kern w:val="32"/>
        </w:rPr>
      </w:pPr>
      <w:bookmarkStart w:id="63" w:name="_Ref366843697"/>
      <w:r w:rsidRPr="00B37EF3">
        <w:rPr>
          <w:rFonts w:ascii="Arial" w:hAnsi="Arial" w:cs="Arial"/>
        </w:rPr>
        <w:t xml:space="preserve">Table </w:t>
      </w:r>
      <w:r w:rsidR="00BF6019" w:rsidRPr="00B37EF3">
        <w:rPr>
          <w:rFonts w:ascii="Arial" w:hAnsi="Arial" w:cs="Arial"/>
        </w:rPr>
        <w:fldChar w:fldCharType="begin"/>
      </w:r>
      <w:r w:rsidRPr="00B37EF3">
        <w:rPr>
          <w:rFonts w:ascii="Arial" w:hAnsi="Arial" w:cs="Arial"/>
        </w:rPr>
        <w:instrText xml:space="preserve"> STYLEREF 1 \s </w:instrText>
      </w:r>
      <w:r w:rsidR="00BF6019" w:rsidRPr="00B37EF3">
        <w:rPr>
          <w:rFonts w:ascii="Arial" w:hAnsi="Arial" w:cs="Arial"/>
        </w:rPr>
        <w:fldChar w:fldCharType="separate"/>
      </w:r>
      <w:r w:rsidR="0085182E">
        <w:rPr>
          <w:rFonts w:ascii="Arial" w:hAnsi="Arial" w:cs="Arial"/>
          <w:noProof/>
        </w:rPr>
        <w:t>4</w:t>
      </w:r>
      <w:r w:rsidR="00BF6019" w:rsidRPr="00B37EF3">
        <w:rPr>
          <w:rFonts w:ascii="Arial" w:hAnsi="Arial" w:cs="Arial"/>
        </w:rPr>
        <w:fldChar w:fldCharType="end"/>
      </w:r>
      <w:r w:rsidRPr="00B37EF3">
        <w:rPr>
          <w:rFonts w:ascii="Arial" w:hAnsi="Arial" w:cs="Arial"/>
        </w:rPr>
        <w:t>.</w:t>
      </w:r>
      <w:r w:rsidR="00BF6019" w:rsidRPr="00B37EF3">
        <w:rPr>
          <w:rFonts w:ascii="Arial" w:hAnsi="Arial" w:cs="Arial"/>
        </w:rPr>
        <w:fldChar w:fldCharType="begin"/>
      </w:r>
      <w:r w:rsidRPr="00B37EF3">
        <w:rPr>
          <w:rFonts w:ascii="Arial" w:hAnsi="Arial" w:cs="Arial"/>
        </w:rPr>
        <w:instrText xml:space="preserve"> SEQ Table \* ARABIC \s 1 </w:instrText>
      </w:r>
      <w:r w:rsidR="00BF6019" w:rsidRPr="00B37EF3">
        <w:rPr>
          <w:rFonts w:ascii="Arial" w:hAnsi="Arial" w:cs="Arial"/>
        </w:rPr>
        <w:fldChar w:fldCharType="separate"/>
      </w:r>
      <w:r w:rsidR="0085182E">
        <w:rPr>
          <w:rFonts w:ascii="Arial" w:hAnsi="Arial" w:cs="Arial"/>
          <w:noProof/>
        </w:rPr>
        <w:t>3</w:t>
      </w:r>
      <w:r w:rsidR="00BF6019" w:rsidRPr="00B37EF3">
        <w:rPr>
          <w:rFonts w:ascii="Arial" w:hAnsi="Arial" w:cs="Arial"/>
        </w:rPr>
        <w:fldChar w:fldCharType="end"/>
      </w:r>
      <w:bookmarkEnd w:id="63"/>
      <w:r w:rsidRPr="00B37EF3">
        <w:rPr>
          <w:rFonts w:ascii="Arial" w:hAnsi="Arial" w:cs="Arial"/>
        </w:rPr>
        <w:t>: Summary of international air quality standards for PM</w:t>
      </w:r>
      <w:r w:rsidRPr="00B37EF3">
        <w:rPr>
          <w:rFonts w:ascii="Arial" w:hAnsi="Arial" w:cs="Arial"/>
          <w:vertAlign w:val="subscript"/>
        </w:rPr>
        <w:t>10</w:t>
      </w:r>
      <w:r w:rsidRPr="00B37EF3">
        <w:rPr>
          <w:rFonts w:ascii="Arial" w:hAnsi="Arial" w:cs="Arial"/>
        </w:rPr>
        <w:t xml:space="preserve"> and PM</w:t>
      </w:r>
      <w:r w:rsidRPr="00B37EF3">
        <w:rPr>
          <w:rFonts w:ascii="Arial" w:hAnsi="Arial" w:cs="Arial"/>
          <w:vertAlign w:val="subscript"/>
        </w:rPr>
        <w:t>2.5</w:t>
      </w:r>
    </w:p>
    <w:tbl>
      <w:tblPr>
        <w:tblW w:w="7335" w:type="dxa"/>
        <w:jc w:val="center"/>
        <w:tblCellMar>
          <w:left w:w="28" w:type="dxa"/>
          <w:right w:w="28" w:type="dxa"/>
        </w:tblCellMar>
        <w:tblLook w:val="04A0"/>
      </w:tblPr>
      <w:tblGrid>
        <w:gridCol w:w="2135"/>
        <w:gridCol w:w="1318"/>
        <w:gridCol w:w="1372"/>
        <w:gridCol w:w="1138"/>
        <w:gridCol w:w="1372"/>
      </w:tblGrid>
      <w:tr w:rsidR="00714D99" w:rsidRPr="00B37EF3" w:rsidTr="008377C9">
        <w:trPr>
          <w:trHeight w:hRule="exact" w:val="284"/>
          <w:jc w:val="center"/>
        </w:trPr>
        <w:tc>
          <w:tcPr>
            <w:tcW w:w="2135" w:type="dxa"/>
            <w:vMerge w:val="restart"/>
            <w:tcBorders>
              <w:top w:val="single" w:sz="4" w:space="0" w:color="0070C0"/>
              <w:left w:val="single" w:sz="4" w:space="0" w:color="0070C0"/>
              <w:right w:val="single" w:sz="4" w:space="0" w:color="0070C0"/>
            </w:tcBorders>
            <w:shd w:val="clear" w:color="000000" w:fill="0070C0"/>
            <w:vAlign w:val="center"/>
          </w:tcPr>
          <w:p w:rsidR="00714D99" w:rsidRPr="00B37EF3" w:rsidRDefault="00714D99" w:rsidP="002104F4">
            <w:pPr>
              <w:spacing w:after="0" w:line="240" w:lineRule="auto"/>
              <w:jc w:val="center"/>
              <w:rPr>
                <w:rFonts w:ascii="Arial" w:hAnsi="Arial" w:cs="Arial"/>
                <w:b/>
                <w:bCs/>
                <w:color w:val="FFFFFF"/>
                <w:sz w:val="15"/>
                <w:szCs w:val="15"/>
              </w:rPr>
            </w:pPr>
            <w:r w:rsidRPr="00B37EF3">
              <w:rPr>
                <w:rFonts w:ascii="Arial" w:hAnsi="Arial" w:cs="Arial"/>
                <w:b/>
                <w:bCs/>
                <w:color w:val="FFFFFF"/>
                <w:sz w:val="15"/>
                <w:szCs w:val="15"/>
              </w:rPr>
              <w:t>Organisation/</w:t>
            </w:r>
          </w:p>
          <w:p w:rsidR="00714D99" w:rsidRPr="00B37EF3" w:rsidRDefault="00596155" w:rsidP="002104F4">
            <w:pPr>
              <w:spacing w:after="0" w:line="240" w:lineRule="auto"/>
              <w:jc w:val="center"/>
              <w:rPr>
                <w:rFonts w:ascii="Arial" w:hAnsi="Arial" w:cs="Arial"/>
                <w:b/>
                <w:bCs/>
                <w:color w:val="FFFFFF"/>
                <w:sz w:val="15"/>
                <w:szCs w:val="15"/>
              </w:rPr>
            </w:pPr>
            <w:r w:rsidRPr="00B37EF3">
              <w:rPr>
                <w:rFonts w:ascii="Arial" w:hAnsi="Arial" w:cs="Arial"/>
                <w:b/>
                <w:bCs/>
                <w:color w:val="FFFFFF"/>
                <w:sz w:val="15"/>
                <w:szCs w:val="15"/>
              </w:rPr>
              <w:t>C</w:t>
            </w:r>
            <w:r w:rsidR="00714D99" w:rsidRPr="00B37EF3">
              <w:rPr>
                <w:rFonts w:ascii="Arial" w:hAnsi="Arial" w:cs="Arial"/>
                <w:b/>
                <w:bCs/>
                <w:color w:val="FFFFFF"/>
                <w:sz w:val="15"/>
                <w:szCs w:val="15"/>
              </w:rPr>
              <w:t>ountry</w:t>
            </w:r>
            <w:r w:rsidR="00046857" w:rsidRPr="00B37EF3">
              <w:rPr>
                <w:rFonts w:ascii="Arial" w:hAnsi="Arial" w:cs="Arial"/>
                <w:b/>
                <w:bCs/>
                <w:color w:val="FFFFFF"/>
                <w:sz w:val="15"/>
                <w:szCs w:val="15"/>
              </w:rPr>
              <w:t>/Region</w:t>
            </w:r>
          </w:p>
        </w:tc>
        <w:tc>
          <w:tcPr>
            <w:tcW w:w="2690" w:type="dxa"/>
            <w:gridSpan w:val="2"/>
            <w:tcBorders>
              <w:top w:val="nil"/>
              <w:left w:val="nil"/>
              <w:bottom w:val="nil"/>
              <w:right w:val="nil"/>
            </w:tcBorders>
            <w:shd w:val="clear" w:color="000000" w:fill="0070C0"/>
            <w:vAlign w:val="center"/>
          </w:tcPr>
          <w:p w:rsidR="00714D99" w:rsidRPr="00B37EF3" w:rsidRDefault="00714D99" w:rsidP="002104F4">
            <w:pPr>
              <w:spacing w:after="0" w:line="240" w:lineRule="auto"/>
              <w:jc w:val="center"/>
              <w:rPr>
                <w:rFonts w:ascii="Arial" w:hAnsi="Arial" w:cs="Arial"/>
                <w:b/>
                <w:bCs/>
                <w:color w:val="FFFFFF"/>
                <w:sz w:val="15"/>
                <w:szCs w:val="15"/>
              </w:rPr>
            </w:pPr>
            <w:r w:rsidRPr="00B37EF3">
              <w:rPr>
                <w:rFonts w:ascii="Arial" w:hAnsi="Arial" w:cs="Arial"/>
                <w:b/>
                <w:bCs/>
                <w:color w:val="FFFFFF"/>
                <w:sz w:val="15"/>
                <w:szCs w:val="15"/>
              </w:rPr>
              <w:t>PM</w:t>
            </w:r>
            <w:r w:rsidRPr="00B37EF3">
              <w:rPr>
                <w:rFonts w:ascii="Arial" w:hAnsi="Arial" w:cs="Arial"/>
                <w:b/>
                <w:bCs/>
                <w:color w:val="FFFFFF"/>
                <w:sz w:val="15"/>
                <w:szCs w:val="15"/>
                <w:vertAlign w:val="subscript"/>
              </w:rPr>
              <w:t>10</w:t>
            </w:r>
          </w:p>
        </w:tc>
        <w:tc>
          <w:tcPr>
            <w:tcW w:w="2510" w:type="dxa"/>
            <w:gridSpan w:val="2"/>
            <w:tcBorders>
              <w:top w:val="nil"/>
              <w:left w:val="nil"/>
              <w:bottom w:val="nil"/>
              <w:right w:val="nil"/>
            </w:tcBorders>
            <w:shd w:val="clear" w:color="000000" w:fill="0070C0"/>
            <w:vAlign w:val="center"/>
          </w:tcPr>
          <w:p w:rsidR="00714D99" w:rsidRPr="00B37EF3" w:rsidRDefault="00714D99" w:rsidP="002104F4">
            <w:pPr>
              <w:spacing w:after="0" w:line="240" w:lineRule="auto"/>
              <w:jc w:val="center"/>
              <w:rPr>
                <w:rFonts w:ascii="Arial" w:hAnsi="Arial" w:cs="Arial"/>
                <w:b/>
                <w:bCs/>
                <w:color w:val="FFFFFF"/>
                <w:sz w:val="15"/>
                <w:szCs w:val="15"/>
              </w:rPr>
            </w:pPr>
            <w:r w:rsidRPr="00B37EF3">
              <w:rPr>
                <w:rFonts w:ascii="Arial" w:hAnsi="Arial" w:cs="Arial"/>
                <w:b/>
                <w:bCs/>
                <w:color w:val="FFFFFF"/>
                <w:sz w:val="15"/>
                <w:szCs w:val="15"/>
              </w:rPr>
              <w:t>PM</w:t>
            </w:r>
            <w:r w:rsidRPr="00B37EF3">
              <w:rPr>
                <w:rFonts w:ascii="Arial" w:hAnsi="Arial" w:cs="Arial"/>
                <w:b/>
                <w:bCs/>
                <w:color w:val="FFFFFF"/>
                <w:sz w:val="15"/>
                <w:szCs w:val="15"/>
                <w:vertAlign w:val="subscript"/>
              </w:rPr>
              <w:t>2.5</w:t>
            </w:r>
          </w:p>
        </w:tc>
      </w:tr>
      <w:tr w:rsidR="00714D99" w:rsidRPr="00B37EF3" w:rsidTr="008377C9">
        <w:trPr>
          <w:trHeight w:val="675"/>
          <w:jc w:val="center"/>
        </w:trPr>
        <w:tc>
          <w:tcPr>
            <w:tcW w:w="2135" w:type="dxa"/>
            <w:vMerge/>
            <w:tcBorders>
              <w:left w:val="single" w:sz="4" w:space="0" w:color="0070C0"/>
              <w:bottom w:val="single" w:sz="4" w:space="0" w:color="0070C0"/>
              <w:right w:val="single" w:sz="4" w:space="0" w:color="0070C0"/>
            </w:tcBorders>
            <w:shd w:val="clear" w:color="000000" w:fill="0070C0"/>
            <w:vAlign w:val="center"/>
          </w:tcPr>
          <w:p w:rsidR="00714D99" w:rsidRPr="00B37EF3" w:rsidRDefault="00714D99" w:rsidP="002104F4">
            <w:pPr>
              <w:spacing w:after="0" w:line="240" w:lineRule="auto"/>
              <w:jc w:val="center"/>
              <w:rPr>
                <w:rFonts w:ascii="Arial" w:hAnsi="Arial" w:cs="Arial"/>
                <w:b/>
                <w:bCs/>
                <w:color w:val="FFFFFF"/>
                <w:sz w:val="15"/>
                <w:szCs w:val="15"/>
              </w:rPr>
            </w:pPr>
          </w:p>
        </w:tc>
        <w:tc>
          <w:tcPr>
            <w:tcW w:w="1318" w:type="dxa"/>
            <w:tcBorders>
              <w:top w:val="nil"/>
              <w:left w:val="nil"/>
              <w:bottom w:val="single" w:sz="4" w:space="0" w:color="0070C0"/>
              <w:right w:val="nil"/>
            </w:tcBorders>
            <w:shd w:val="clear" w:color="000000" w:fill="0070C0"/>
            <w:vAlign w:val="center"/>
          </w:tcPr>
          <w:p w:rsidR="00714D99" w:rsidRPr="00B37EF3" w:rsidRDefault="00714D99" w:rsidP="002104F4">
            <w:pPr>
              <w:spacing w:after="0" w:line="240" w:lineRule="auto"/>
              <w:jc w:val="center"/>
              <w:rPr>
                <w:rFonts w:ascii="Arial" w:hAnsi="Arial" w:cs="Arial"/>
                <w:b/>
                <w:bCs/>
                <w:color w:val="FFFFFF"/>
                <w:sz w:val="15"/>
                <w:szCs w:val="15"/>
              </w:rPr>
            </w:pPr>
            <w:r w:rsidRPr="00B37EF3">
              <w:rPr>
                <w:rFonts w:ascii="Arial" w:hAnsi="Arial" w:cs="Arial"/>
                <w:b/>
                <w:bCs/>
                <w:color w:val="FFFFFF"/>
                <w:sz w:val="15"/>
                <w:szCs w:val="15"/>
              </w:rPr>
              <w:t>Annual mean standard (µg/m</w:t>
            </w:r>
            <w:r w:rsidRPr="00B37EF3">
              <w:rPr>
                <w:rFonts w:ascii="Arial" w:hAnsi="Arial" w:cs="Arial"/>
                <w:b/>
                <w:bCs/>
                <w:color w:val="FFFFFF"/>
                <w:sz w:val="15"/>
                <w:szCs w:val="15"/>
                <w:vertAlign w:val="superscript"/>
              </w:rPr>
              <w:t>3</w:t>
            </w:r>
            <w:r w:rsidRPr="00B37EF3">
              <w:rPr>
                <w:rFonts w:ascii="Arial" w:hAnsi="Arial" w:cs="Arial"/>
                <w:b/>
                <w:bCs/>
                <w:color w:val="FFFFFF"/>
                <w:sz w:val="15"/>
                <w:szCs w:val="15"/>
              </w:rPr>
              <w:t>)</w:t>
            </w:r>
          </w:p>
        </w:tc>
        <w:tc>
          <w:tcPr>
            <w:tcW w:w="1372" w:type="dxa"/>
            <w:tcBorders>
              <w:top w:val="nil"/>
              <w:left w:val="nil"/>
              <w:bottom w:val="single" w:sz="4" w:space="0" w:color="0070C0"/>
              <w:right w:val="nil"/>
            </w:tcBorders>
            <w:shd w:val="clear" w:color="000000" w:fill="0070C0"/>
            <w:vAlign w:val="center"/>
          </w:tcPr>
          <w:p w:rsidR="00714D99" w:rsidRPr="00B37EF3" w:rsidRDefault="00714D99" w:rsidP="002104F4">
            <w:pPr>
              <w:spacing w:after="0" w:line="240" w:lineRule="auto"/>
              <w:jc w:val="center"/>
              <w:rPr>
                <w:rFonts w:ascii="Arial" w:hAnsi="Arial" w:cs="Arial"/>
                <w:b/>
                <w:bCs/>
                <w:color w:val="FFFFFF"/>
                <w:sz w:val="15"/>
                <w:szCs w:val="15"/>
              </w:rPr>
            </w:pPr>
            <w:r w:rsidRPr="00B37EF3">
              <w:rPr>
                <w:rFonts w:ascii="Arial" w:hAnsi="Arial" w:cs="Arial"/>
                <w:b/>
                <w:bCs/>
                <w:color w:val="FFFFFF"/>
                <w:sz w:val="15"/>
                <w:szCs w:val="15"/>
              </w:rPr>
              <w:t>24-hour standard (µg/m</w:t>
            </w:r>
            <w:r w:rsidRPr="00B37EF3">
              <w:rPr>
                <w:rFonts w:ascii="Arial" w:hAnsi="Arial" w:cs="Arial"/>
                <w:b/>
                <w:bCs/>
                <w:color w:val="FFFFFF"/>
                <w:sz w:val="15"/>
                <w:szCs w:val="15"/>
                <w:vertAlign w:val="superscript"/>
              </w:rPr>
              <w:t>3</w:t>
            </w:r>
            <w:r w:rsidRPr="00B37EF3">
              <w:rPr>
                <w:rFonts w:ascii="Arial" w:hAnsi="Arial" w:cs="Arial"/>
                <w:b/>
                <w:bCs/>
                <w:color w:val="FFFFFF"/>
                <w:sz w:val="15"/>
                <w:szCs w:val="15"/>
              </w:rPr>
              <w:t>)</w:t>
            </w:r>
            <w:r w:rsidRPr="00B37EF3">
              <w:rPr>
                <w:rFonts w:ascii="Arial" w:hAnsi="Arial" w:cs="Arial"/>
                <w:b/>
                <w:color w:val="FFFFFF"/>
                <w:sz w:val="15"/>
                <w:szCs w:val="15"/>
                <w:vertAlign w:val="superscript"/>
              </w:rPr>
              <w:t xml:space="preserve"> (a)</w:t>
            </w:r>
          </w:p>
        </w:tc>
        <w:tc>
          <w:tcPr>
            <w:tcW w:w="1138" w:type="dxa"/>
            <w:tcBorders>
              <w:top w:val="nil"/>
              <w:left w:val="nil"/>
              <w:bottom w:val="single" w:sz="4" w:space="0" w:color="0070C0"/>
              <w:right w:val="nil"/>
            </w:tcBorders>
            <w:shd w:val="clear" w:color="000000" w:fill="0070C0"/>
            <w:vAlign w:val="center"/>
          </w:tcPr>
          <w:p w:rsidR="00714D99" w:rsidRPr="00B37EF3" w:rsidRDefault="00714D99" w:rsidP="002104F4">
            <w:pPr>
              <w:spacing w:after="0" w:line="240" w:lineRule="auto"/>
              <w:jc w:val="center"/>
              <w:rPr>
                <w:rFonts w:ascii="Arial" w:hAnsi="Arial" w:cs="Arial"/>
                <w:b/>
                <w:bCs/>
                <w:color w:val="FFFFFF"/>
                <w:sz w:val="15"/>
                <w:szCs w:val="15"/>
              </w:rPr>
            </w:pPr>
            <w:r w:rsidRPr="00B37EF3">
              <w:rPr>
                <w:rFonts w:ascii="Arial" w:hAnsi="Arial" w:cs="Arial"/>
                <w:b/>
                <w:bCs/>
                <w:color w:val="FFFFFF"/>
                <w:sz w:val="15"/>
                <w:szCs w:val="15"/>
              </w:rPr>
              <w:t>Annual mean standard (µg/m</w:t>
            </w:r>
            <w:r w:rsidRPr="00B37EF3">
              <w:rPr>
                <w:rFonts w:ascii="Arial" w:hAnsi="Arial" w:cs="Arial"/>
                <w:b/>
                <w:bCs/>
                <w:color w:val="FFFFFF"/>
                <w:sz w:val="15"/>
                <w:szCs w:val="15"/>
                <w:vertAlign w:val="superscript"/>
              </w:rPr>
              <w:t>3</w:t>
            </w:r>
            <w:r w:rsidRPr="00B37EF3">
              <w:rPr>
                <w:rFonts w:ascii="Arial" w:hAnsi="Arial" w:cs="Arial"/>
                <w:b/>
                <w:bCs/>
                <w:color w:val="FFFFFF"/>
                <w:sz w:val="15"/>
                <w:szCs w:val="15"/>
              </w:rPr>
              <w:t>)</w:t>
            </w:r>
          </w:p>
        </w:tc>
        <w:tc>
          <w:tcPr>
            <w:tcW w:w="1372" w:type="dxa"/>
            <w:tcBorders>
              <w:top w:val="nil"/>
              <w:left w:val="nil"/>
              <w:bottom w:val="single" w:sz="4" w:space="0" w:color="0070C0"/>
              <w:right w:val="nil"/>
            </w:tcBorders>
            <w:shd w:val="clear" w:color="000000" w:fill="0070C0"/>
            <w:vAlign w:val="center"/>
          </w:tcPr>
          <w:p w:rsidR="00714D99" w:rsidRPr="00B37EF3" w:rsidRDefault="00714D99" w:rsidP="002104F4">
            <w:pPr>
              <w:spacing w:after="0" w:line="240" w:lineRule="auto"/>
              <w:jc w:val="center"/>
              <w:rPr>
                <w:rFonts w:ascii="Arial" w:hAnsi="Arial" w:cs="Arial"/>
                <w:b/>
                <w:bCs/>
                <w:color w:val="FFFFFF"/>
                <w:sz w:val="15"/>
                <w:szCs w:val="15"/>
              </w:rPr>
            </w:pPr>
            <w:r w:rsidRPr="00B37EF3">
              <w:rPr>
                <w:rFonts w:ascii="Arial" w:hAnsi="Arial" w:cs="Arial"/>
                <w:b/>
                <w:bCs/>
                <w:color w:val="FFFFFF"/>
                <w:sz w:val="15"/>
                <w:szCs w:val="15"/>
              </w:rPr>
              <w:t>24-hour standard (µg/m</w:t>
            </w:r>
            <w:r w:rsidRPr="00B37EF3">
              <w:rPr>
                <w:rFonts w:ascii="Arial" w:hAnsi="Arial" w:cs="Arial"/>
                <w:b/>
                <w:bCs/>
                <w:color w:val="FFFFFF"/>
                <w:sz w:val="15"/>
                <w:szCs w:val="15"/>
                <w:vertAlign w:val="superscript"/>
              </w:rPr>
              <w:t>3</w:t>
            </w:r>
            <w:r w:rsidRPr="00B37EF3">
              <w:rPr>
                <w:rFonts w:ascii="Arial" w:hAnsi="Arial" w:cs="Arial"/>
                <w:b/>
                <w:bCs/>
                <w:color w:val="FFFFFF"/>
                <w:sz w:val="15"/>
                <w:szCs w:val="15"/>
              </w:rPr>
              <w:t>)</w:t>
            </w:r>
            <w:r w:rsidRPr="00B37EF3">
              <w:rPr>
                <w:rFonts w:ascii="Arial" w:hAnsi="Arial" w:cs="Arial"/>
                <w:b/>
                <w:color w:val="FFFFFF"/>
                <w:sz w:val="15"/>
                <w:szCs w:val="15"/>
                <w:vertAlign w:val="superscript"/>
              </w:rPr>
              <w:t xml:space="preserve"> (a)</w:t>
            </w:r>
          </w:p>
        </w:tc>
      </w:tr>
      <w:tr w:rsidR="009B6575" w:rsidRPr="00B37EF3" w:rsidTr="008377C9">
        <w:trPr>
          <w:trHeight w:hRule="exact" w:val="340"/>
          <w:jc w:val="center"/>
        </w:trPr>
        <w:tc>
          <w:tcPr>
            <w:tcW w:w="2135" w:type="dxa"/>
            <w:tcBorders>
              <w:top w:val="single" w:sz="4" w:space="0" w:color="0070C0"/>
              <w:left w:val="single" w:sz="4" w:space="0" w:color="0070C0"/>
              <w:bottom w:val="single" w:sz="4" w:space="0" w:color="0070C0"/>
              <w:right w:val="single" w:sz="4" w:space="0" w:color="0070C0"/>
            </w:tcBorders>
            <w:shd w:val="clear" w:color="auto" w:fill="D9D9D9"/>
            <w:noWrap/>
            <w:vAlign w:val="center"/>
          </w:tcPr>
          <w:p w:rsidR="009B6575" w:rsidRPr="00B37EF3" w:rsidRDefault="009B6575" w:rsidP="00046857">
            <w:pPr>
              <w:spacing w:after="0" w:line="240" w:lineRule="auto"/>
              <w:rPr>
                <w:rFonts w:ascii="Arial" w:hAnsi="Arial" w:cs="Arial"/>
                <w:color w:val="000000"/>
                <w:sz w:val="15"/>
                <w:szCs w:val="15"/>
              </w:rPr>
            </w:pPr>
            <w:r w:rsidRPr="00B37EF3">
              <w:rPr>
                <w:rFonts w:ascii="Arial" w:hAnsi="Arial" w:cs="Arial"/>
                <w:color w:val="000000"/>
                <w:sz w:val="15"/>
                <w:szCs w:val="15"/>
              </w:rPr>
              <w:t>WHO</w:t>
            </w:r>
          </w:p>
        </w:tc>
        <w:tc>
          <w:tcPr>
            <w:tcW w:w="1318" w:type="dxa"/>
            <w:tcBorders>
              <w:top w:val="single" w:sz="4" w:space="0" w:color="0070C0"/>
              <w:left w:val="nil"/>
              <w:bottom w:val="single" w:sz="4" w:space="0" w:color="0070C0"/>
              <w:right w:val="dotted" w:sz="4" w:space="0" w:color="0070C0"/>
            </w:tcBorders>
            <w:shd w:val="clear" w:color="auto" w:fill="auto"/>
            <w:noWrap/>
            <w:vAlign w:val="center"/>
          </w:tcPr>
          <w:p w:rsidR="009B6575" w:rsidRPr="00B37EF3" w:rsidRDefault="009B6575" w:rsidP="002104F4">
            <w:pPr>
              <w:spacing w:after="0" w:line="240" w:lineRule="auto"/>
              <w:jc w:val="center"/>
              <w:rPr>
                <w:rFonts w:ascii="Arial" w:hAnsi="Arial" w:cs="Arial"/>
                <w:color w:val="000000"/>
                <w:sz w:val="15"/>
                <w:szCs w:val="15"/>
              </w:rPr>
            </w:pPr>
            <w:r w:rsidRPr="00B37EF3">
              <w:rPr>
                <w:rFonts w:ascii="Arial" w:hAnsi="Arial" w:cs="Arial"/>
                <w:color w:val="000000"/>
                <w:sz w:val="15"/>
                <w:szCs w:val="15"/>
              </w:rPr>
              <w:t>20</w:t>
            </w:r>
          </w:p>
        </w:tc>
        <w:tc>
          <w:tcPr>
            <w:tcW w:w="1372" w:type="dxa"/>
            <w:tcBorders>
              <w:top w:val="single" w:sz="4" w:space="0" w:color="0070C0"/>
              <w:left w:val="dotted" w:sz="4" w:space="0" w:color="0070C0"/>
              <w:bottom w:val="single" w:sz="4" w:space="0" w:color="0070C0"/>
              <w:right w:val="single" w:sz="4" w:space="0" w:color="0070C0"/>
            </w:tcBorders>
            <w:shd w:val="clear" w:color="auto" w:fill="auto"/>
            <w:noWrap/>
            <w:vAlign w:val="center"/>
          </w:tcPr>
          <w:p w:rsidR="009B6575" w:rsidRPr="00B37EF3" w:rsidRDefault="008377C9" w:rsidP="00121376">
            <w:pPr>
              <w:spacing w:after="0" w:line="240" w:lineRule="auto"/>
              <w:jc w:val="center"/>
              <w:rPr>
                <w:rFonts w:ascii="Arial" w:hAnsi="Arial" w:cs="Arial"/>
                <w:color w:val="000000"/>
                <w:sz w:val="15"/>
                <w:szCs w:val="15"/>
              </w:rPr>
            </w:pPr>
            <w:r w:rsidRPr="00B37EF3">
              <w:rPr>
                <w:rFonts w:ascii="Arial" w:hAnsi="Arial" w:cs="Arial"/>
                <w:color w:val="000000"/>
                <w:sz w:val="15"/>
                <w:szCs w:val="15"/>
              </w:rPr>
              <w:t>50</w:t>
            </w:r>
            <w:r w:rsidRPr="00B37EF3">
              <w:rPr>
                <w:rFonts w:ascii="Arial" w:hAnsi="Arial" w:cs="Arial"/>
                <w:color w:val="000000"/>
                <w:sz w:val="15"/>
                <w:szCs w:val="15"/>
                <w:vertAlign w:val="superscript"/>
              </w:rPr>
              <w:t>(b</w:t>
            </w:r>
            <w:r w:rsidR="009B6575" w:rsidRPr="00B37EF3">
              <w:rPr>
                <w:rFonts w:ascii="Arial" w:hAnsi="Arial" w:cs="Arial"/>
                <w:color w:val="000000"/>
                <w:sz w:val="15"/>
                <w:szCs w:val="15"/>
                <w:vertAlign w:val="superscript"/>
              </w:rPr>
              <w:t>)</w:t>
            </w:r>
          </w:p>
        </w:tc>
        <w:tc>
          <w:tcPr>
            <w:tcW w:w="1138" w:type="dxa"/>
            <w:tcBorders>
              <w:top w:val="single" w:sz="4" w:space="0" w:color="0070C0"/>
              <w:left w:val="nil"/>
              <w:bottom w:val="single" w:sz="4" w:space="0" w:color="0070C0"/>
              <w:right w:val="dotted" w:sz="4" w:space="0" w:color="0070C0"/>
            </w:tcBorders>
            <w:shd w:val="clear" w:color="auto" w:fill="auto"/>
            <w:vAlign w:val="center"/>
          </w:tcPr>
          <w:p w:rsidR="009B6575" w:rsidRPr="00B37EF3" w:rsidRDefault="009B6575" w:rsidP="00121376">
            <w:pPr>
              <w:spacing w:after="0" w:line="240" w:lineRule="auto"/>
              <w:jc w:val="center"/>
              <w:rPr>
                <w:rFonts w:ascii="Arial" w:hAnsi="Arial" w:cs="Arial"/>
                <w:color w:val="000000"/>
                <w:sz w:val="15"/>
                <w:szCs w:val="15"/>
              </w:rPr>
            </w:pPr>
            <w:r w:rsidRPr="00B37EF3">
              <w:rPr>
                <w:rFonts w:ascii="Arial" w:hAnsi="Arial" w:cs="Arial"/>
                <w:color w:val="000000"/>
                <w:sz w:val="15"/>
                <w:szCs w:val="15"/>
              </w:rPr>
              <w:t>10</w:t>
            </w:r>
          </w:p>
        </w:tc>
        <w:tc>
          <w:tcPr>
            <w:tcW w:w="1372" w:type="dxa"/>
            <w:tcBorders>
              <w:top w:val="single" w:sz="4" w:space="0" w:color="0070C0"/>
              <w:left w:val="dotted" w:sz="4" w:space="0" w:color="0070C0"/>
              <w:bottom w:val="single" w:sz="4" w:space="0" w:color="0070C0"/>
              <w:right w:val="single" w:sz="4" w:space="0" w:color="0070C0"/>
            </w:tcBorders>
            <w:shd w:val="clear" w:color="auto" w:fill="auto"/>
            <w:vAlign w:val="center"/>
          </w:tcPr>
          <w:p w:rsidR="009B6575" w:rsidRPr="00B37EF3" w:rsidRDefault="009B6575" w:rsidP="00121376">
            <w:pPr>
              <w:spacing w:after="0" w:line="240" w:lineRule="auto"/>
              <w:jc w:val="center"/>
              <w:rPr>
                <w:rFonts w:ascii="Arial" w:hAnsi="Arial" w:cs="Arial"/>
                <w:color w:val="000000"/>
                <w:sz w:val="15"/>
                <w:szCs w:val="15"/>
              </w:rPr>
            </w:pPr>
            <w:r w:rsidRPr="00B37EF3">
              <w:rPr>
                <w:rFonts w:ascii="Arial" w:hAnsi="Arial" w:cs="Arial"/>
                <w:color w:val="000000"/>
                <w:sz w:val="15"/>
                <w:szCs w:val="15"/>
              </w:rPr>
              <w:t>25</w:t>
            </w:r>
            <w:r w:rsidR="008377C9" w:rsidRPr="00B37EF3">
              <w:rPr>
                <w:rFonts w:ascii="Arial" w:hAnsi="Arial" w:cs="Arial"/>
                <w:color w:val="000000"/>
                <w:sz w:val="15"/>
                <w:szCs w:val="15"/>
                <w:vertAlign w:val="superscript"/>
              </w:rPr>
              <w:t>(b</w:t>
            </w:r>
            <w:r w:rsidRPr="00B37EF3">
              <w:rPr>
                <w:rFonts w:ascii="Arial" w:hAnsi="Arial" w:cs="Arial"/>
                <w:color w:val="000000"/>
                <w:sz w:val="15"/>
                <w:szCs w:val="15"/>
                <w:vertAlign w:val="superscript"/>
              </w:rPr>
              <w:t>)</w:t>
            </w:r>
          </w:p>
        </w:tc>
      </w:tr>
      <w:tr w:rsidR="009B6575" w:rsidRPr="00B37EF3" w:rsidTr="008377C9">
        <w:trPr>
          <w:trHeight w:hRule="exact" w:val="340"/>
          <w:jc w:val="center"/>
        </w:trPr>
        <w:tc>
          <w:tcPr>
            <w:tcW w:w="2135" w:type="dxa"/>
            <w:tcBorders>
              <w:top w:val="single" w:sz="4" w:space="0" w:color="0070C0"/>
              <w:left w:val="single" w:sz="4" w:space="0" w:color="0070C0"/>
              <w:bottom w:val="single" w:sz="4" w:space="0" w:color="0070C0"/>
              <w:right w:val="single" w:sz="4" w:space="0" w:color="0070C0"/>
            </w:tcBorders>
            <w:shd w:val="clear" w:color="auto" w:fill="D9D9D9"/>
            <w:noWrap/>
            <w:vAlign w:val="center"/>
          </w:tcPr>
          <w:p w:rsidR="009B6575" w:rsidRPr="00B37EF3" w:rsidRDefault="009B6575" w:rsidP="00046857">
            <w:pPr>
              <w:spacing w:after="0" w:line="240" w:lineRule="auto"/>
              <w:rPr>
                <w:rFonts w:ascii="Arial" w:hAnsi="Arial" w:cs="Arial"/>
                <w:b/>
                <w:color w:val="000000"/>
                <w:sz w:val="15"/>
                <w:szCs w:val="15"/>
              </w:rPr>
            </w:pPr>
            <w:r w:rsidRPr="00B37EF3">
              <w:rPr>
                <w:rFonts w:ascii="Arial" w:hAnsi="Arial" w:cs="Arial"/>
                <w:b/>
                <w:color w:val="000000"/>
                <w:sz w:val="15"/>
                <w:szCs w:val="15"/>
              </w:rPr>
              <w:t>Australia</w:t>
            </w:r>
          </w:p>
        </w:tc>
        <w:tc>
          <w:tcPr>
            <w:tcW w:w="1318" w:type="dxa"/>
            <w:tcBorders>
              <w:top w:val="single" w:sz="4" w:space="0" w:color="0070C0"/>
              <w:left w:val="nil"/>
              <w:bottom w:val="single" w:sz="4" w:space="0" w:color="0070C0"/>
              <w:right w:val="dotted" w:sz="4" w:space="0" w:color="0070C0"/>
            </w:tcBorders>
            <w:shd w:val="clear" w:color="auto" w:fill="auto"/>
            <w:noWrap/>
            <w:vAlign w:val="center"/>
          </w:tcPr>
          <w:p w:rsidR="009B6575" w:rsidRPr="00B37EF3" w:rsidRDefault="00163176" w:rsidP="002104F4">
            <w:pPr>
              <w:spacing w:after="0" w:line="240" w:lineRule="auto"/>
              <w:jc w:val="center"/>
              <w:rPr>
                <w:rFonts w:ascii="Arial" w:hAnsi="Arial" w:cs="Arial"/>
                <w:b/>
                <w:color w:val="000000"/>
                <w:sz w:val="15"/>
                <w:szCs w:val="15"/>
              </w:rPr>
            </w:pPr>
            <w:r w:rsidRPr="00B37EF3">
              <w:rPr>
                <w:rFonts w:ascii="Arial" w:hAnsi="Arial" w:cs="Arial"/>
                <w:b/>
                <w:color w:val="000000"/>
                <w:sz w:val="15"/>
                <w:szCs w:val="15"/>
              </w:rPr>
              <w:t>–</w:t>
            </w:r>
          </w:p>
        </w:tc>
        <w:tc>
          <w:tcPr>
            <w:tcW w:w="1372" w:type="dxa"/>
            <w:tcBorders>
              <w:top w:val="single" w:sz="4" w:space="0" w:color="0070C0"/>
              <w:left w:val="dotted" w:sz="4" w:space="0" w:color="0070C0"/>
              <w:bottom w:val="single" w:sz="4" w:space="0" w:color="0070C0"/>
              <w:right w:val="single" w:sz="4" w:space="0" w:color="0070C0"/>
            </w:tcBorders>
            <w:shd w:val="clear" w:color="auto" w:fill="auto"/>
            <w:noWrap/>
            <w:vAlign w:val="center"/>
          </w:tcPr>
          <w:p w:rsidR="009B6575" w:rsidRPr="00B37EF3" w:rsidRDefault="00714D99" w:rsidP="00121376">
            <w:pPr>
              <w:spacing w:after="0" w:line="240" w:lineRule="auto"/>
              <w:jc w:val="center"/>
              <w:rPr>
                <w:rFonts w:ascii="Arial" w:hAnsi="Arial" w:cs="Arial"/>
                <w:b/>
                <w:color w:val="000000"/>
                <w:sz w:val="15"/>
                <w:szCs w:val="15"/>
              </w:rPr>
            </w:pPr>
            <w:r w:rsidRPr="00B37EF3">
              <w:rPr>
                <w:rFonts w:ascii="Arial" w:hAnsi="Arial" w:cs="Arial"/>
                <w:b/>
                <w:color w:val="000000"/>
                <w:sz w:val="15"/>
                <w:szCs w:val="15"/>
              </w:rPr>
              <w:t>50 (5)</w:t>
            </w:r>
          </w:p>
        </w:tc>
        <w:tc>
          <w:tcPr>
            <w:tcW w:w="1138" w:type="dxa"/>
            <w:tcBorders>
              <w:top w:val="single" w:sz="4" w:space="0" w:color="0070C0"/>
              <w:left w:val="nil"/>
              <w:bottom w:val="single" w:sz="4" w:space="0" w:color="0070C0"/>
              <w:right w:val="dotted" w:sz="4" w:space="0" w:color="0070C0"/>
            </w:tcBorders>
            <w:shd w:val="clear" w:color="auto" w:fill="auto"/>
            <w:vAlign w:val="center"/>
          </w:tcPr>
          <w:p w:rsidR="009B6575" w:rsidRPr="00B37EF3" w:rsidRDefault="00714D99" w:rsidP="00121376">
            <w:pPr>
              <w:spacing w:after="0" w:line="240" w:lineRule="auto"/>
              <w:jc w:val="center"/>
              <w:rPr>
                <w:rFonts w:ascii="Arial" w:hAnsi="Arial" w:cs="Arial"/>
                <w:b/>
                <w:color w:val="000000"/>
                <w:sz w:val="15"/>
                <w:szCs w:val="15"/>
              </w:rPr>
            </w:pPr>
            <w:r w:rsidRPr="00B37EF3">
              <w:rPr>
                <w:rFonts w:ascii="Arial" w:hAnsi="Arial" w:cs="Arial"/>
                <w:b/>
                <w:color w:val="000000"/>
                <w:sz w:val="15"/>
                <w:szCs w:val="15"/>
              </w:rPr>
              <w:t>8</w:t>
            </w:r>
            <w:r w:rsidR="008377C9" w:rsidRPr="00B37EF3">
              <w:rPr>
                <w:rFonts w:ascii="Arial" w:hAnsi="Arial" w:cs="Arial"/>
                <w:b/>
                <w:color w:val="000000"/>
                <w:sz w:val="15"/>
                <w:szCs w:val="15"/>
                <w:vertAlign w:val="superscript"/>
              </w:rPr>
              <w:t>(c</w:t>
            </w:r>
            <w:r w:rsidRPr="00B37EF3">
              <w:rPr>
                <w:rFonts w:ascii="Arial" w:hAnsi="Arial" w:cs="Arial"/>
                <w:b/>
                <w:color w:val="000000"/>
                <w:sz w:val="15"/>
                <w:szCs w:val="15"/>
                <w:vertAlign w:val="superscript"/>
              </w:rPr>
              <w:t>)</w:t>
            </w:r>
          </w:p>
        </w:tc>
        <w:tc>
          <w:tcPr>
            <w:tcW w:w="1372" w:type="dxa"/>
            <w:tcBorders>
              <w:top w:val="single" w:sz="4" w:space="0" w:color="0070C0"/>
              <w:left w:val="dotted" w:sz="4" w:space="0" w:color="0070C0"/>
              <w:bottom w:val="single" w:sz="4" w:space="0" w:color="0070C0"/>
              <w:right w:val="single" w:sz="4" w:space="0" w:color="0070C0"/>
            </w:tcBorders>
            <w:shd w:val="clear" w:color="auto" w:fill="auto"/>
            <w:vAlign w:val="center"/>
          </w:tcPr>
          <w:p w:rsidR="009B6575" w:rsidRPr="00B37EF3" w:rsidRDefault="00714D99" w:rsidP="00121376">
            <w:pPr>
              <w:spacing w:after="0" w:line="240" w:lineRule="auto"/>
              <w:jc w:val="center"/>
              <w:rPr>
                <w:rFonts w:ascii="Arial" w:hAnsi="Arial" w:cs="Arial"/>
                <w:b/>
                <w:color w:val="000000"/>
                <w:sz w:val="15"/>
                <w:szCs w:val="15"/>
              </w:rPr>
            </w:pPr>
            <w:r w:rsidRPr="00B37EF3">
              <w:rPr>
                <w:rFonts w:ascii="Arial" w:hAnsi="Arial" w:cs="Arial"/>
                <w:b/>
                <w:color w:val="000000"/>
                <w:sz w:val="15"/>
                <w:szCs w:val="15"/>
              </w:rPr>
              <w:t>25 (0)</w:t>
            </w:r>
            <w:r w:rsidR="008377C9" w:rsidRPr="00B37EF3">
              <w:rPr>
                <w:rFonts w:ascii="Arial" w:hAnsi="Arial" w:cs="Arial"/>
                <w:b/>
                <w:color w:val="000000"/>
                <w:sz w:val="15"/>
                <w:szCs w:val="15"/>
                <w:vertAlign w:val="superscript"/>
              </w:rPr>
              <w:t>(c</w:t>
            </w:r>
            <w:r w:rsidRPr="00B37EF3">
              <w:rPr>
                <w:rFonts w:ascii="Arial" w:hAnsi="Arial" w:cs="Arial"/>
                <w:b/>
                <w:color w:val="000000"/>
                <w:sz w:val="15"/>
                <w:szCs w:val="15"/>
                <w:vertAlign w:val="superscript"/>
              </w:rPr>
              <w:t>)</w:t>
            </w:r>
          </w:p>
        </w:tc>
      </w:tr>
      <w:tr w:rsidR="009B6575" w:rsidRPr="00B37EF3" w:rsidTr="008377C9">
        <w:trPr>
          <w:trHeight w:hRule="exact" w:val="340"/>
          <w:jc w:val="center"/>
        </w:trPr>
        <w:tc>
          <w:tcPr>
            <w:tcW w:w="2135" w:type="dxa"/>
            <w:tcBorders>
              <w:top w:val="single" w:sz="4" w:space="0" w:color="0070C0"/>
              <w:left w:val="single" w:sz="4" w:space="0" w:color="0070C0"/>
              <w:bottom w:val="single" w:sz="4" w:space="0" w:color="0070C0"/>
              <w:right w:val="single" w:sz="4" w:space="0" w:color="0070C0"/>
            </w:tcBorders>
            <w:shd w:val="clear" w:color="auto" w:fill="D9D9D9"/>
            <w:noWrap/>
            <w:vAlign w:val="center"/>
          </w:tcPr>
          <w:p w:rsidR="009B6575" w:rsidRPr="00B37EF3" w:rsidRDefault="009B6575" w:rsidP="006431AC">
            <w:pPr>
              <w:spacing w:after="0" w:line="240" w:lineRule="auto"/>
              <w:rPr>
                <w:rFonts w:ascii="Arial" w:hAnsi="Arial" w:cs="Arial"/>
                <w:color w:val="000000"/>
                <w:sz w:val="15"/>
                <w:szCs w:val="15"/>
              </w:rPr>
            </w:pPr>
            <w:r w:rsidRPr="00B37EF3">
              <w:rPr>
                <w:rFonts w:ascii="Arial" w:hAnsi="Arial" w:cs="Arial"/>
                <w:color w:val="000000"/>
                <w:sz w:val="15"/>
                <w:szCs w:val="15"/>
              </w:rPr>
              <w:t>Canada</w:t>
            </w:r>
          </w:p>
        </w:tc>
        <w:tc>
          <w:tcPr>
            <w:tcW w:w="1318" w:type="dxa"/>
            <w:tcBorders>
              <w:top w:val="single" w:sz="4" w:space="0" w:color="0070C0"/>
              <w:left w:val="nil"/>
              <w:bottom w:val="single" w:sz="4" w:space="0" w:color="0070C0"/>
              <w:right w:val="dotted" w:sz="4" w:space="0" w:color="0070C0"/>
            </w:tcBorders>
            <w:shd w:val="clear" w:color="auto" w:fill="auto"/>
            <w:noWrap/>
            <w:vAlign w:val="center"/>
          </w:tcPr>
          <w:p w:rsidR="009B6575" w:rsidRPr="00B37EF3" w:rsidRDefault="00163176" w:rsidP="002104F4">
            <w:pPr>
              <w:spacing w:after="0" w:line="240" w:lineRule="auto"/>
              <w:jc w:val="center"/>
              <w:rPr>
                <w:rFonts w:ascii="Arial" w:hAnsi="Arial" w:cs="Arial"/>
                <w:color w:val="000000"/>
                <w:sz w:val="15"/>
                <w:szCs w:val="15"/>
              </w:rPr>
            </w:pPr>
            <w:r w:rsidRPr="00B37EF3">
              <w:rPr>
                <w:rFonts w:ascii="Arial" w:hAnsi="Arial" w:cs="Arial"/>
                <w:color w:val="000000"/>
                <w:sz w:val="15"/>
                <w:szCs w:val="15"/>
              </w:rPr>
              <w:t>–</w:t>
            </w:r>
            <w:r w:rsidR="008377C9" w:rsidRPr="00B37EF3">
              <w:rPr>
                <w:rFonts w:ascii="Arial" w:hAnsi="Arial" w:cs="Arial"/>
                <w:color w:val="000000"/>
                <w:sz w:val="15"/>
                <w:szCs w:val="15"/>
                <w:vertAlign w:val="superscript"/>
              </w:rPr>
              <w:t>(d</w:t>
            </w:r>
            <w:r w:rsidR="006431AC" w:rsidRPr="00B37EF3">
              <w:rPr>
                <w:rFonts w:ascii="Arial" w:hAnsi="Arial" w:cs="Arial"/>
                <w:color w:val="000000"/>
                <w:sz w:val="15"/>
                <w:szCs w:val="15"/>
                <w:vertAlign w:val="superscript"/>
              </w:rPr>
              <w:t>)</w:t>
            </w:r>
          </w:p>
        </w:tc>
        <w:tc>
          <w:tcPr>
            <w:tcW w:w="1372" w:type="dxa"/>
            <w:tcBorders>
              <w:top w:val="single" w:sz="4" w:space="0" w:color="0070C0"/>
              <w:left w:val="dotted" w:sz="4" w:space="0" w:color="0070C0"/>
              <w:bottom w:val="single" w:sz="4" w:space="0" w:color="0070C0"/>
              <w:right w:val="single" w:sz="4" w:space="0" w:color="0070C0"/>
            </w:tcBorders>
            <w:shd w:val="clear" w:color="auto" w:fill="auto"/>
            <w:noWrap/>
            <w:vAlign w:val="center"/>
          </w:tcPr>
          <w:p w:rsidR="009B6575" w:rsidRPr="00B37EF3" w:rsidRDefault="00046857" w:rsidP="00121376">
            <w:pPr>
              <w:spacing w:after="0" w:line="240" w:lineRule="auto"/>
              <w:jc w:val="center"/>
              <w:rPr>
                <w:rFonts w:ascii="Arial" w:hAnsi="Arial" w:cs="Arial"/>
                <w:color w:val="000000"/>
                <w:sz w:val="15"/>
                <w:szCs w:val="15"/>
              </w:rPr>
            </w:pPr>
            <w:r w:rsidRPr="00B37EF3">
              <w:rPr>
                <w:rFonts w:ascii="Arial" w:hAnsi="Arial" w:cs="Arial"/>
                <w:color w:val="000000"/>
                <w:sz w:val="15"/>
                <w:szCs w:val="15"/>
              </w:rPr>
              <w:t>120</w:t>
            </w:r>
            <w:r w:rsidRPr="00B37EF3">
              <w:rPr>
                <w:rFonts w:ascii="Arial" w:hAnsi="Arial" w:cs="Arial"/>
                <w:color w:val="000000"/>
                <w:sz w:val="15"/>
                <w:szCs w:val="15"/>
                <w:vertAlign w:val="superscript"/>
              </w:rPr>
              <w:t>(</w:t>
            </w:r>
            <w:proofErr w:type="spellStart"/>
            <w:r w:rsidR="008377C9" w:rsidRPr="00B37EF3">
              <w:rPr>
                <w:rFonts w:ascii="Arial" w:hAnsi="Arial" w:cs="Arial"/>
                <w:color w:val="000000"/>
                <w:sz w:val="15"/>
                <w:szCs w:val="15"/>
                <w:vertAlign w:val="superscript"/>
              </w:rPr>
              <w:t>d</w:t>
            </w:r>
            <w:r w:rsidR="006431AC" w:rsidRPr="00B37EF3">
              <w:rPr>
                <w:rFonts w:ascii="Arial" w:hAnsi="Arial" w:cs="Arial"/>
                <w:color w:val="000000"/>
                <w:sz w:val="15"/>
                <w:szCs w:val="15"/>
                <w:vertAlign w:val="superscript"/>
              </w:rPr>
              <w:t>,</w:t>
            </w:r>
            <w:r w:rsidR="008377C9" w:rsidRPr="00B37EF3">
              <w:rPr>
                <w:rFonts w:ascii="Arial" w:hAnsi="Arial" w:cs="Arial"/>
                <w:color w:val="000000"/>
                <w:sz w:val="15"/>
                <w:szCs w:val="15"/>
                <w:vertAlign w:val="superscript"/>
              </w:rPr>
              <w:t>e</w:t>
            </w:r>
            <w:proofErr w:type="spellEnd"/>
            <w:r w:rsidRPr="00B37EF3">
              <w:rPr>
                <w:rFonts w:ascii="Arial" w:hAnsi="Arial" w:cs="Arial"/>
                <w:color w:val="000000"/>
                <w:sz w:val="15"/>
                <w:szCs w:val="15"/>
                <w:vertAlign w:val="superscript"/>
              </w:rPr>
              <w:t>)</w:t>
            </w:r>
          </w:p>
        </w:tc>
        <w:tc>
          <w:tcPr>
            <w:tcW w:w="1138" w:type="dxa"/>
            <w:tcBorders>
              <w:top w:val="single" w:sz="4" w:space="0" w:color="0070C0"/>
              <w:left w:val="nil"/>
              <w:bottom w:val="single" w:sz="4" w:space="0" w:color="0070C0"/>
              <w:right w:val="dotted" w:sz="4" w:space="0" w:color="0070C0"/>
            </w:tcBorders>
            <w:shd w:val="clear" w:color="auto" w:fill="auto"/>
            <w:vAlign w:val="center"/>
          </w:tcPr>
          <w:p w:rsidR="009B6575" w:rsidRPr="00B37EF3" w:rsidRDefault="00CA7E27" w:rsidP="00121376">
            <w:pPr>
              <w:spacing w:after="0" w:line="240" w:lineRule="auto"/>
              <w:jc w:val="center"/>
              <w:rPr>
                <w:rFonts w:ascii="Arial" w:hAnsi="Arial" w:cs="Arial"/>
                <w:color w:val="000000"/>
                <w:sz w:val="15"/>
                <w:szCs w:val="15"/>
              </w:rPr>
            </w:pPr>
            <w:r w:rsidRPr="00B37EF3">
              <w:rPr>
                <w:rFonts w:ascii="Arial" w:hAnsi="Arial" w:cs="Arial"/>
                <w:color w:val="000000"/>
                <w:sz w:val="15"/>
                <w:szCs w:val="15"/>
              </w:rPr>
              <w:t>10/8.8</w:t>
            </w:r>
            <w:r w:rsidR="008377C9" w:rsidRPr="00B37EF3">
              <w:rPr>
                <w:rFonts w:ascii="Arial" w:hAnsi="Arial" w:cs="Arial"/>
                <w:color w:val="000000"/>
                <w:sz w:val="15"/>
                <w:szCs w:val="15"/>
                <w:vertAlign w:val="superscript"/>
              </w:rPr>
              <w:t>(f</w:t>
            </w:r>
            <w:r w:rsidRPr="00B37EF3">
              <w:rPr>
                <w:rFonts w:ascii="Arial" w:hAnsi="Arial" w:cs="Arial"/>
                <w:color w:val="000000"/>
                <w:sz w:val="15"/>
                <w:szCs w:val="15"/>
                <w:vertAlign w:val="superscript"/>
              </w:rPr>
              <w:t>)</w:t>
            </w:r>
          </w:p>
        </w:tc>
        <w:tc>
          <w:tcPr>
            <w:tcW w:w="1372" w:type="dxa"/>
            <w:tcBorders>
              <w:top w:val="single" w:sz="4" w:space="0" w:color="0070C0"/>
              <w:left w:val="dotted" w:sz="4" w:space="0" w:color="0070C0"/>
              <w:bottom w:val="single" w:sz="4" w:space="0" w:color="0070C0"/>
              <w:right w:val="single" w:sz="4" w:space="0" w:color="0070C0"/>
            </w:tcBorders>
            <w:shd w:val="clear" w:color="auto" w:fill="auto"/>
            <w:vAlign w:val="center"/>
          </w:tcPr>
          <w:p w:rsidR="009B6575" w:rsidRPr="00B37EF3" w:rsidRDefault="00CA7E27" w:rsidP="00121376">
            <w:pPr>
              <w:spacing w:after="0" w:line="240" w:lineRule="auto"/>
              <w:jc w:val="center"/>
              <w:rPr>
                <w:rFonts w:ascii="Arial" w:hAnsi="Arial" w:cs="Arial"/>
                <w:color w:val="000000"/>
                <w:sz w:val="15"/>
                <w:szCs w:val="15"/>
              </w:rPr>
            </w:pPr>
            <w:r w:rsidRPr="00B37EF3">
              <w:rPr>
                <w:rFonts w:ascii="Arial" w:hAnsi="Arial" w:cs="Arial"/>
                <w:color w:val="000000"/>
                <w:sz w:val="15"/>
                <w:szCs w:val="15"/>
              </w:rPr>
              <w:t>28/27</w:t>
            </w:r>
            <w:r w:rsidR="008377C9" w:rsidRPr="00B37EF3">
              <w:rPr>
                <w:rFonts w:ascii="Arial" w:hAnsi="Arial" w:cs="Arial"/>
                <w:color w:val="000000"/>
                <w:sz w:val="15"/>
                <w:szCs w:val="15"/>
                <w:vertAlign w:val="superscript"/>
              </w:rPr>
              <w:t>(f</w:t>
            </w:r>
            <w:r w:rsidRPr="00B37EF3">
              <w:rPr>
                <w:rFonts w:ascii="Arial" w:hAnsi="Arial" w:cs="Arial"/>
                <w:color w:val="000000"/>
                <w:sz w:val="15"/>
                <w:szCs w:val="15"/>
                <w:vertAlign w:val="superscript"/>
              </w:rPr>
              <w:t>)</w:t>
            </w:r>
          </w:p>
        </w:tc>
      </w:tr>
      <w:tr w:rsidR="00046857" w:rsidRPr="00B37EF3" w:rsidTr="008377C9">
        <w:trPr>
          <w:trHeight w:hRule="exact" w:val="340"/>
          <w:jc w:val="center"/>
        </w:trPr>
        <w:tc>
          <w:tcPr>
            <w:tcW w:w="2135" w:type="dxa"/>
            <w:tcBorders>
              <w:top w:val="single" w:sz="4" w:space="0" w:color="0070C0"/>
              <w:left w:val="single" w:sz="4" w:space="0" w:color="0070C0"/>
              <w:right w:val="single" w:sz="4" w:space="0" w:color="0070C0"/>
            </w:tcBorders>
            <w:shd w:val="clear" w:color="auto" w:fill="D9D9D9"/>
            <w:noWrap/>
            <w:vAlign w:val="center"/>
          </w:tcPr>
          <w:p w:rsidR="00046857" w:rsidRPr="00B37EF3" w:rsidRDefault="00046857" w:rsidP="00046857">
            <w:pPr>
              <w:spacing w:after="0" w:line="240" w:lineRule="auto"/>
              <w:rPr>
                <w:rFonts w:ascii="Arial" w:hAnsi="Arial" w:cs="Arial"/>
                <w:color w:val="000000"/>
                <w:sz w:val="15"/>
                <w:szCs w:val="15"/>
              </w:rPr>
            </w:pPr>
            <w:r w:rsidRPr="00B37EF3">
              <w:rPr>
                <w:rFonts w:ascii="Arial" w:hAnsi="Arial" w:cs="Arial"/>
                <w:color w:val="000000"/>
                <w:sz w:val="15"/>
                <w:szCs w:val="15"/>
              </w:rPr>
              <w:t>China</w:t>
            </w:r>
          </w:p>
        </w:tc>
        <w:tc>
          <w:tcPr>
            <w:tcW w:w="1318" w:type="dxa"/>
            <w:tcBorders>
              <w:top w:val="single" w:sz="4" w:space="0" w:color="0070C0"/>
              <w:left w:val="nil"/>
              <w:right w:val="dotted" w:sz="4" w:space="0" w:color="0070C0"/>
            </w:tcBorders>
            <w:shd w:val="clear" w:color="auto" w:fill="auto"/>
            <w:noWrap/>
            <w:vAlign w:val="center"/>
          </w:tcPr>
          <w:p w:rsidR="00046857" w:rsidRPr="00B37EF3" w:rsidRDefault="00046857" w:rsidP="002104F4">
            <w:pPr>
              <w:spacing w:after="0" w:line="240" w:lineRule="auto"/>
              <w:jc w:val="center"/>
              <w:rPr>
                <w:rFonts w:ascii="Arial" w:hAnsi="Arial" w:cs="Arial"/>
                <w:color w:val="000000"/>
                <w:sz w:val="15"/>
                <w:szCs w:val="15"/>
              </w:rPr>
            </w:pPr>
            <w:r w:rsidRPr="00B37EF3">
              <w:rPr>
                <w:rFonts w:ascii="Arial" w:hAnsi="Arial" w:cs="Arial"/>
                <w:color w:val="000000"/>
                <w:sz w:val="15"/>
                <w:szCs w:val="15"/>
              </w:rPr>
              <w:t>70</w:t>
            </w:r>
          </w:p>
        </w:tc>
        <w:tc>
          <w:tcPr>
            <w:tcW w:w="1372" w:type="dxa"/>
            <w:tcBorders>
              <w:top w:val="single" w:sz="4" w:space="0" w:color="0070C0"/>
              <w:left w:val="dotted" w:sz="4" w:space="0" w:color="0070C0"/>
              <w:right w:val="single" w:sz="4" w:space="0" w:color="0070C0"/>
            </w:tcBorders>
            <w:shd w:val="clear" w:color="auto" w:fill="auto"/>
            <w:noWrap/>
            <w:vAlign w:val="center"/>
          </w:tcPr>
          <w:p w:rsidR="00046857" w:rsidRPr="00B37EF3" w:rsidRDefault="00046857" w:rsidP="00714D99">
            <w:pPr>
              <w:spacing w:after="0" w:line="240" w:lineRule="auto"/>
              <w:jc w:val="center"/>
              <w:rPr>
                <w:rFonts w:ascii="Arial" w:hAnsi="Arial" w:cs="Arial"/>
                <w:color w:val="000000"/>
                <w:sz w:val="15"/>
                <w:szCs w:val="15"/>
              </w:rPr>
            </w:pPr>
            <w:r w:rsidRPr="00B37EF3">
              <w:rPr>
                <w:rFonts w:ascii="Arial" w:hAnsi="Arial" w:cs="Arial"/>
                <w:color w:val="000000"/>
                <w:sz w:val="15"/>
                <w:szCs w:val="15"/>
              </w:rPr>
              <w:t>150</w:t>
            </w:r>
          </w:p>
        </w:tc>
        <w:tc>
          <w:tcPr>
            <w:tcW w:w="1138" w:type="dxa"/>
            <w:tcBorders>
              <w:top w:val="single" w:sz="4" w:space="0" w:color="0070C0"/>
              <w:left w:val="nil"/>
              <w:right w:val="dotted" w:sz="4" w:space="0" w:color="0070C0"/>
            </w:tcBorders>
            <w:shd w:val="clear" w:color="auto" w:fill="auto"/>
            <w:vAlign w:val="center"/>
          </w:tcPr>
          <w:p w:rsidR="00046857" w:rsidRPr="00B37EF3" w:rsidRDefault="00046857" w:rsidP="00121376">
            <w:pPr>
              <w:spacing w:after="0" w:line="240" w:lineRule="auto"/>
              <w:jc w:val="center"/>
              <w:rPr>
                <w:rFonts w:ascii="Arial" w:hAnsi="Arial" w:cs="Arial"/>
                <w:color w:val="000000"/>
                <w:sz w:val="15"/>
                <w:szCs w:val="15"/>
              </w:rPr>
            </w:pPr>
            <w:r w:rsidRPr="00B37EF3">
              <w:rPr>
                <w:rFonts w:ascii="Arial" w:hAnsi="Arial" w:cs="Arial"/>
                <w:color w:val="000000"/>
                <w:sz w:val="15"/>
                <w:szCs w:val="15"/>
              </w:rPr>
              <w:t>35</w:t>
            </w:r>
          </w:p>
        </w:tc>
        <w:tc>
          <w:tcPr>
            <w:tcW w:w="1372" w:type="dxa"/>
            <w:tcBorders>
              <w:top w:val="single" w:sz="4" w:space="0" w:color="0070C0"/>
              <w:left w:val="dotted" w:sz="4" w:space="0" w:color="0070C0"/>
              <w:right w:val="single" w:sz="4" w:space="0" w:color="0070C0"/>
            </w:tcBorders>
            <w:shd w:val="clear" w:color="auto" w:fill="auto"/>
            <w:vAlign w:val="center"/>
          </w:tcPr>
          <w:p w:rsidR="00046857" w:rsidRPr="00B37EF3" w:rsidRDefault="00046857" w:rsidP="00121376">
            <w:pPr>
              <w:spacing w:after="0" w:line="240" w:lineRule="auto"/>
              <w:jc w:val="center"/>
              <w:rPr>
                <w:rFonts w:ascii="Arial" w:hAnsi="Arial" w:cs="Arial"/>
                <w:color w:val="000000"/>
                <w:sz w:val="15"/>
                <w:szCs w:val="15"/>
              </w:rPr>
            </w:pPr>
            <w:r w:rsidRPr="00B37EF3">
              <w:rPr>
                <w:rFonts w:ascii="Arial" w:hAnsi="Arial" w:cs="Arial"/>
                <w:color w:val="000000"/>
                <w:sz w:val="15"/>
                <w:szCs w:val="15"/>
              </w:rPr>
              <w:t>75</w:t>
            </w:r>
          </w:p>
        </w:tc>
      </w:tr>
      <w:tr w:rsidR="00313EA0" w:rsidRPr="00B37EF3" w:rsidTr="008377C9">
        <w:trPr>
          <w:trHeight w:hRule="exact" w:val="340"/>
          <w:jc w:val="center"/>
        </w:trPr>
        <w:tc>
          <w:tcPr>
            <w:tcW w:w="2135" w:type="dxa"/>
            <w:tcBorders>
              <w:top w:val="single" w:sz="4" w:space="0" w:color="0070C0"/>
              <w:left w:val="single" w:sz="4" w:space="0" w:color="0070C0"/>
              <w:right w:val="single" w:sz="4" w:space="0" w:color="0070C0"/>
            </w:tcBorders>
            <w:shd w:val="clear" w:color="auto" w:fill="D9D9D9"/>
            <w:noWrap/>
            <w:vAlign w:val="center"/>
          </w:tcPr>
          <w:p w:rsidR="00313EA0" w:rsidRPr="00B37EF3" w:rsidRDefault="00313EA0" w:rsidP="00046857">
            <w:pPr>
              <w:spacing w:after="0" w:line="240" w:lineRule="auto"/>
              <w:rPr>
                <w:rFonts w:ascii="Arial" w:hAnsi="Arial" w:cs="Arial"/>
                <w:color w:val="000000"/>
                <w:sz w:val="15"/>
                <w:szCs w:val="15"/>
              </w:rPr>
            </w:pPr>
            <w:r w:rsidRPr="00B37EF3">
              <w:rPr>
                <w:rFonts w:ascii="Arial" w:hAnsi="Arial" w:cs="Arial"/>
                <w:color w:val="000000"/>
                <w:sz w:val="15"/>
                <w:szCs w:val="15"/>
              </w:rPr>
              <w:t>European Union</w:t>
            </w:r>
          </w:p>
        </w:tc>
        <w:tc>
          <w:tcPr>
            <w:tcW w:w="1318" w:type="dxa"/>
            <w:tcBorders>
              <w:top w:val="single" w:sz="4" w:space="0" w:color="0070C0"/>
              <w:left w:val="nil"/>
              <w:right w:val="dotted" w:sz="4" w:space="0" w:color="0070C0"/>
            </w:tcBorders>
            <w:shd w:val="clear" w:color="auto" w:fill="auto"/>
            <w:noWrap/>
            <w:vAlign w:val="center"/>
          </w:tcPr>
          <w:p w:rsidR="00313EA0" w:rsidRPr="00B37EF3" w:rsidRDefault="00313EA0" w:rsidP="002104F4">
            <w:pPr>
              <w:spacing w:after="0" w:line="240" w:lineRule="auto"/>
              <w:jc w:val="center"/>
              <w:rPr>
                <w:rFonts w:ascii="Arial" w:hAnsi="Arial" w:cs="Arial"/>
                <w:color w:val="000000"/>
                <w:sz w:val="15"/>
                <w:szCs w:val="15"/>
              </w:rPr>
            </w:pPr>
            <w:r w:rsidRPr="00B37EF3">
              <w:rPr>
                <w:rFonts w:ascii="Arial" w:hAnsi="Arial" w:cs="Arial"/>
                <w:color w:val="000000"/>
                <w:sz w:val="15"/>
                <w:szCs w:val="15"/>
              </w:rPr>
              <w:t>40</w:t>
            </w:r>
          </w:p>
        </w:tc>
        <w:tc>
          <w:tcPr>
            <w:tcW w:w="1372" w:type="dxa"/>
            <w:tcBorders>
              <w:top w:val="single" w:sz="4" w:space="0" w:color="0070C0"/>
              <w:left w:val="dotted" w:sz="4" w:space="0" w:color="0070C0"/>
              <w:right w:val="single" w:sz="4" w:space="0" w:color="0070C0"/>
            </w:tcBorders>
            <w:shd w:val="clear" w:color="auto" w:fill="auto"/>
            <w:noWrap/>
            <w:vAlign w:val="center"/>
          </w:tcPr>
          <w:p w:rsidR="00313EA0" w:rsidRPr="00B37EF3" w:rsidRDefault="00313EA0" w:rsidP="00714D99">
            <w:pPr>
              <w:spacing w:after="0" w:line="240" w:lineRule="auto"/>
              <w:jc w:val="center"/>
              <w:rPr>
                <w:rFonts w:ascii="Arial" w:hAnsi="Arial" w:cs="Arial"/>
                <w:color w:val="000000"/>
                <w:sz w:val="15"/>
                <w:szCs w:val="15"/>
              </w:rPr>
            </w:pPr>
            <w:r w:rsidRPr="00B37EF3">
              <w:rPr>
                <w:rFonts w:ascii="Arial" w:hAnsi="Arial" w:cs="Arial"/>
                <w:color w:val="000000"/>
                <w:sz w:val="15"/>
                <w:szCs w:val="15"/>
              </w:rPr>
              <w:t>50 (35)</w:t>
            </w:r>
          </w:p>
        </w:tc>
        <w:tc>
          <w:tcPr>
            <w:tcW w:w="1138" w:type="dxa"/>
            <w:tcBorders>
              <w:top w:val="single" w:sz="4" w:space="0" w:color="0070C0"/>
              <w:left w:val="nil"/>
              <w:right w:val="dotted" w:sz="4" w:space="0" w:color="0070C0"/>
            </w:tcBorders>
            <w:shd w:val="clear" w:color="auto" w:fill="auto"/>
            <w:vAlign w:val="center"/>
          </w:tcPr>
          <w:p w:rsidR="00313EA0" w:rsidRPr="00B37EF3" w:rsidRDefault="00313EA0" w:rsidP="002D2B0C">
            <w:pPr>
              <w:spacing w:after="0" w:line="240" w:lineRule="auto"/>
              <w:jc w:val="center"/>
              <w:rPr>
                <w:rFonts w:ascii="Arial" w:hAnsi="Arial" w:cs="Arial"/>
                <w:color w:val="000000"/>
                <w:sz w:val="15"/>
                <w:szCs w:val="15"/>
              </w:rPr>
            </w:pPr>
            <w:r w:rsidRPr="00B37EF3">
              <w:rPr>
                <w:rFonts w:ascii="Arial" w:hAnsi="Arial" w:cs="Arial"/>
                <w:color w:val="000000"/>
                <w:sz w:val="15"/>
                <w:szCs w:val="15"/>
              </w:rPr>
              <w:t>25</w:t>
            </w:r>
            <w:r w:rsidR="00046857" w:rsidRPr="00B37EF3">
              <w:rPr>
                <w:rFonts w:ascii="Arial" w:hAnsi="Arial" w:cs="Arial"/>
                <w:color w:val="000000"/>
                <w:sz w:val="15"/>
                <w:szCs w:val="15"/>
                <w:vertAlign w:val="superscript"/>
              </w:rPr>
              <w:t>(</w:t>
            </w:r>
            <w:r w:rsidR="002D2B0C" w:rsidRPr="00B37EF3">
              <w:rPr>
                <w:rFonts w:ascii="Arial" w:hAnsi="Arial" w:cs="Arial"/>
                <w:color w:val="000000"/>
                <w:sz w:val="15"/>
                <w:szCs w:val="15"/>
                <w:vertAlign w:val="superscript"/>
              </w:rPr>
              <w:t>g</w:t>
            </w:r>
            <w:r w:rsidRPr="00B37EF3">
              <w:rPr>
                <w:rFonts w:ascii="Arial" w:hAnsi="Arial" w:cs="Arial"/>
                <w:color w:val="000000"/>
                <w:sz w:val="15"/>
                <w:szCs w:val="15"/>
                <w:vertAlign w:val="superscript"/>
              </w:rPr>
              <w:t>)</w:t>
            </w:r>
          </w:p>
        </w:tc>
        <w:tc>
          <w:tcPr>
            <w:tcW w:w="1372" w:type="dxa"/>
            <w:tcBorders>
              <w:top w:val="single" w:sz="4" w:space="0" w:color="0070C0"/>
              <w:left w:val="dotted" w:sz="4" w:space="0" w:color="0070C0"/>
              <w:right w:val="single" w:sz="4" w:space="0" w:color="0070C0"/>
            </w:tcBorders>
            <w:shd w:val="clear" w:color="auto" w:fill="auto"/>
            <w:vAlign w:val="center"/>
          </w:tcPr>
          <w:p w:rsidR="00313EA0" w:rsidRPr="00B37EF3" w:rsidRDefault="00163176" w:rsidP="00121376">
            <w:pPr>
              <w:spacing w:after="0" w:line="240" w:lineRule="auto"/>
              <w:jc w:val="center"/>
              <w:rPr>
                <w:rFonts w:ascii="Arial" w:hAnsi="Arial" w:cs="Arial"/>
                <w:color w:val="000000"/>
                <w:sz w:val="15"/>
                <w:szCs w:val="15"/>
              </w:rPr>
            </w:pPr>
            <w:r w:rsidRPr="00B37EF3">
              <w:rPr>
                <w:rFonts w:ascii="Arial" w:hAnsi="Arial" w:cs="Arial"/>
                <w:color w:val="000000"/>
                <w:sz w:val="15"/>
                <w:szCs w:val="15"/>
              </w:rPr>
              <w:t>–</w:t>
            </w:r>
          </w:p>
        </w:tc>
      </w:tr>
      <w:tr w:rsidR="009B6575" w:rsidRPr="00B37EF3" w:rsidTr="008377C9">
        <w:trPr>
          <w:trHeight w:hRule="exact" w:val="340"/>
          <w:jc w:val="center"/>
        </w:trPr>
        <w:tc>
          <w:tcPr>
            <w:tcW w:w="2135" w:type="dxa"/>
            <w:tcBorders>
              <w:top w:val="single" w:sz="4" w:space="0" w:color="0070C0"/>
              <w:left w:val="single" w:sz="4" w:space="0" w:color="0070C0"/>
              <w:bottom w:val="single" w:sz="4" w:space="0" w:color="0070C0"/>
              <w:right w:val="single" w:sz="4" w:space="0" w:color="0070C0"/>
            </w:tcBorders>
            <w:shd w:val="clear" w:color="auto" w:fill="D9D9D9"/>
            <w:noWrap/>
            <w:vAlign w:val="center"/>
          </w:tcPr>
          <w:p w:rsidR="009B6575" w:rsidRPr="00B37EF3" w:rsidRDefault="009B6575" w:rsidP="00046857">
            <w:pPr>
              <w:spacing w:after="0" w:line="240" w:lineRule="auto"/>
              <w:rPr>
                <w:rFonts w:ascii="Arial" w:hAnsi="Arial" w:cs="Arial"/>
                <w:color w:val="000000"/>
                <w:sz w:val="15"/>
                <w:szCs w:val="15"/>
              </w:rPr>
            </w:pPr>
            <w:r w:rsidRPr="00B37EF3">
              <w:rPr>
                <w:rFonts w:ascii="Arial" w:hAnsi="Arial" w:cs="Arial"/>
                <w:color w:val="000000"/>
                <w:sz w:val="15"/>
                <w:szCs w:val="15"/>
              </w:rPr>
              <w:t>New Zealand</w:t>
            </w:r>
          </w:p>
        </w:tc>
        <w:tc>
          <w:tcPr>
            <w:tcW w:w="1318" w:type="dxa"/>
            <w:tcBorders>
              <w:top w:val="single" w:sz="4" w:space="0" w:color="0070C0"/>
              <w:left w:val="nil"/>
              <w:bottom w:val="single" w:sz="4" w:space="0" w:color="0070C0"/>
              <w:right w:val="dotted" w:sz="4" w:space="0" w:color="0070C0"/>
            </w:tcBorders>
            <w:shd w:val="clear" w:color="auto" w:fill="auto"/>
            <w:noWrap/>
            <w:vAlign w:val="center"/>
          </w:tcPr>
          <w:p w:rsidR="009B6575" w:rsidRPr="00B37EF3" w:rsidRDefault="00AE4634" w:rsidP="002104F4">
            <w:pPr>
              <w:spacing w:after="0" w:line="240" w:lineRule="auto"/>
              <w:jc w:val="center"/>
              <w:rPr>
                <w:rFonts w:ascii="Arial" w:hAnsi="Arial" w:cs="Arial"/>
                <w:color w:val="000000"/>
                <w:sz w:val="15"/>
                <w:szCs w:val="15"/>
              </w:rPr>
            </w:pPr>
            <w:r w:rsidRPr="00B37EF3">
              <w:rPr>
                <w:rFonts w:ascii="Arial" w:hAnsi="Arial" w:cs="Arial"/>
                <w:color w:val="000000"/>
                <w:sz w:val="15"/>
                <w:szCs w:val="15"/>
              </w:rPr>
              <w:t>20</w:t>
            </w:r>
            <w:r w:rsidR="008377C9" w:rsidRPr="00B37EF3">
              <w:rPr>
                <w:rFonts w:ascii="Arial" w:hAnsi="Arial" w:cs="Arial"/>
                <w:color w:val="000000"/>
                <w:sz w:val="15"/>
                <w:szCs w:val="15"/>
                <w:vertAlign w:val="superscript"/>
              </w:rPr>
              <w:t>(h</w:t>
            </w:r>
            <w:r w:rsidRPr="00B37EF3">
              <w:rPr>
                <w:rFonts w:ascii="Arial" w:hAnsi="Arial" w:cs="Arial"/>
                <w:color w:val="000000"/>
                <w:sz w:val="15"/>
                <w:szCs w:val="15"/>
                <w:vertAlign w:val="superscript"/>
              </w:rPr>
              <w:t>)</w:t>
            </w:r>
          </w:p>
        </w:tc>
        <w:tc>
          <w:tcPr>
            <w:tcW w:w="1372" w:type="dxa"/>
            <w:tcBorders>
              <w:top w:val="single" w:sz="4" w:space="0" w:color="0070C0"/>
              <w:left w:val="dotted" w:sz="4" w:space="0" w:color="0070C0"/>
              <w:bottom w:val="single" w:sz="4" w:space="0" w:color="0070C0"/>
              <w:right w:val="single" w:sz="4" w:space="0" w:color="0070C0"/>
            </w:tcBorders>
            <w:shd w:val="clear" w:color="auto" w:fill="auto"/>
            <w:noWrap/>
            <w:vAlign w:val="center"/>
          </w:tcPr>
          <w:p w:rsidR="009B6575" w:rsidRPr="00B37EF3" w:rsidRDefault="00067955" w:rsidP="00121376">
            <w:pPr>
              <w:spacing w:after="0" w:line="240" w:lineRule="auto"/>
              <w:jc w:val="center"/>
              <w:rPr>
                <w:rFonts w:ascii="Arial" w:hAnsi="Arial" w:cs="Arial"/>
                <w:color w:val="000000"/>
                <w:sz w:val="15"/>
                <w:szCs w:val="15"/>
              </w:rPr>
            </w:pPr>
            <w:r w:rsidRPr="00B37EF3">
              <w:rPr>
                <w:rFonts w:ascii="Arial" w:hAnsi="Arial" w:cs="Arial"/>
                <w:color w:val="000000"/>
                <w:sz w:val="15"/>
                <w:szCs w:val="15"/>
              </w:rPr>
              <w:t>50 (1)</w:t>
            </w:r>
          </w:p>
        </w:tc>
        <w:tc>
          <w:tcPr>
            <w:tcW w:w="1138" w:type="dxa"/>
            <w:tcBorders>
              <w:top w:val="single" w:sz="4" w:space="0" w:color="0070C0"/>
              <w:left w:val="nil"/>
              <w:bottom w:val="single" w:sz="4" w:space="0" w:color="0070C0"/>
              <w:right w:val="dotted" w:sz="4" w:space="0" w:color="0070C0"/>
            </w:tcBorders>
            <w:shd w:val="clear" w:color="auto" w:fill="auto"/>
            <w:vAlign w:val="center"/>
          </w:tcPr>
          <w:p w:rsidR="009B6575" w:rsidRPr="00B37EF3" w:rsidRDefault="009B6575" w:rsidP="00121376">
            <w:pPr>
              <w:spacing w:after="0" w:line="240" w:lineRule="auto"/>
              <w:jc w:val="center"/>
              <w:rPr>
                <w:rFonts w:ascii="Arial" w:hAnsi="Arial" w:cs="Arial"/>
                <w:color w:val="000000"/>
                <w:sz w:val="15"/>
                <w:szCs w:val="15"/>
              </w:rPr>
            </w:pPr>
            <w:r w:rsidRPr="00B37EF3">
              <w:rPr>
                <w:rFonts w:ascii="Arial" w:hAnsi="Arial" w:cs="Arial"/>
                <w:color w:val="000000"/>
                <w:sz w:val="15"/>
                <w:szCs w:val="15"/>
              </w:rPr>
              <w:t> </w:t>
            </w:r>
            <w:r w:rsidR="00163176" w:rsidRPr="00B37EF3">
              <w:rPr>
                <w:rFonts w:ascii="Arial" w:hAnsi="Arial" w:cs="Arial"/>
                <w:color w:val="000000"/>
                <w:sz w:val="15"/>
                <w:szCs w:val="15"/>
              </w:rPr>
              <w:t>–</w:t>
            </w:r>
          </w:p>
        </w:tc>
        <w:tc>
          <w:tcPr>
            <w:tcW w:w="1372" w:type="dxa"/>
            <w:tcBorders>
              <w:top w:val="single" w:sz="4" w:space="0" w:color="0070C0"/>
              <w:left w:val="dotted" w:sz="4" w:space="0" w:color="0070C0"/>
              <w:bottom w:val="single" w:sz="4" w:space="0" w:color="0070C0"/>
              <w:right w:val="single" w:sz="4" w:space="0" w:color="0070C0"/>
            </w:tcBorders>
            <w:shd w:val="clear" w:color="auto" w:fill="auto"/>
            <w:vAlign w:val="center"/>
          </w:tcPr>
          <w:p w:rsidR="009B6575" w:rsidRPr="00B37EF3" w:rsidRDefault="009B6575" w:rsidP="00121376">
            <w:pPr>
              <w:spacing w:after="0" w:line="240" w:lineRule="auto"/>
              <w:jc w:val="center"/>
              <w:rPr>
                <w:rFonts w:ascii="Arial" w:hAnsi="Arial" w:cs="Arial"/>
                <w:color w:val="000000"/>
                <w:sz w:val="15"/>
                <w:szCs w:val="15"/>
              </w:rPr>
            </w:pPr>
            <w:r w:rsidRPr="00B37EF3">
              <w:rPr>
                <w:rFonts w:ascii="Arial" w:hAnsi="Arial" w:cs="Arial"/>
                <w:color w:val="000000"/>
                <w:sz w:val="15"/>
                <w:szCs w:val="15"/>
              </w:rPr>
              <w:t> </w:t>
            </w:r>
            <w:r w:rsidR="00AE4634" w:rsidRPr="00B37EF3">
              <w:rPr>
                <w:rFonts w:ascii="Arial" w:hAnsi="Arial" w:cs="Arial"/>
                <w:color w:val="000000"/>
                <w:sz w:val="15"/>
                <w:szCs w:val="15"/>
              </w:rPr>
              <w:t>25</w:t>
            </w:r>
            <w:r w:rsidR="008377C9" w:rsidRPr="00B37EF3">
              <w:rPr>
                <w:rFonts w:ascii="Arial" w:hAnsi="Arial" w:cs="Arial"/>
                <w:color w:val="000000"/>
                <w:sz w:val="15"/>
                <w:szCs w:val="15"/>
                <w:vertAlign w:val="superscript"/>
              </w:rPr>
              <w:t>(h</w:t>
            </w:r>
            <w:r w:rsidR="00AE4634" w:rsidRPr="00B37EF3">
              <w:rPr>
                <w:rFonts w:ascii="Arial" w:hAnsi="Arial" w:cs="Arial"/>
                <w:color w:val="000000"/>
                <w:sz w:val="15"/>
                <w:szCs w:val="15"/>
                <w:vertAlign w:val="superscript"/>
              </w:rPr>
              <w:t>)</w:t>
            </w:r>
          </w:p>
        </w:tc>
      </w:tr>
      <w:tr w:rsidR="00046857" w:rsidRPr="00B37EF3" w:rsidTr="008377C9">
        <w:trPr>
          <w:trHeight w:hRule="exact" w:val="340"/>
          <w:jc w:val="center"/>
        </w:trPr>
        <w:tc>
          <w:tcPr>
            <w:tcW w:w="2135" w:type="dxa"/>
            <w:tcBorders>
              <w:top w:val="single" w:sz="4" w:space="0" w:color="0070C0"/>
              <w:left w:val="single" w:sz="4" w:space="0" w:color="0070C0"/>
              <w:bottom w:val="single" w:sz="4" w:space="0" w:color="0070C0"/>
              <w:right w:val="single" w:sz="4" w:space="0" w:color="0070C0"/>
            </w:tcBorders>
            <w:shd w:val="clear" w:color="auto" w:fill="D9D9D9"/>
            <w:noWrap/>
            <w:vAlign w:val="center"/>
          </w:tcPr>
          <w:p w:rsidR="00046857" w:rsidRPr="00B37EF3" w:rsidRDefault="00046857" w:rsidP="00046857">
            <w:pPr>
              <w:spacing w:after="0" w:line="240" w:lineRule="auto"/>
              <w:rPr>
                <w:rFonts w:ascii="Arial" w:hAnsi="Arial" w:cs="Arial"/>
                <w:color w:val="000000"/>
                <w:sz w:val="15"/>
                <w:szCs w:val="15"/>
              </w:rPr>
            </w:pPr>
            <w:r w:rsidRPr="00B37EF3">
              <w:rPr>
                <w:rFonts w:ascii="Arial" w:hAnsi="Arial" w:cs="Arial"/>
                <w:color w:val="000000"/>
                <w:sz w:val="15"/>
                <w:szCs w:val="15"/>
              </w:rPr>
              <w:t>Singapore</w:t>
            </w:r>
          </w:p>
        </w:tc>
        <w:tc>
          <w:tcPr>
            <w:tcW w:w="1318" w:type="dxa"/>
            <w:tcBorders>
              <w:top w:val="single" w:sz="4" w:space="0" w:color="0070C0"/>
              <w:left w:val="nil"/>
              <w:bottom w:val="single" w:sz="4" w:space="0" w:color="0070C0"/>
              <w:right w:val="dotted" w:sz="4" w:space="0" w:color="0070C0"/>
            </w:tcBorders>
            <w:shd w:val="clear" w:color="auto" w:fill="auto"/>
            <w:noWrap/>
            <w:vAlign w:val="center"/>
          </w:tcPr>
          <w:p w:rsidR="00046857" w:rsidRPr="00B37EF3" w:rsidRDefault="00046857" w:rsidP="002104F4">
            <w:pPr>
              <w:spacing w:after="0" w:line="240" w:lineRule="auto"/>
              <w:jc w:val="center"/>
              <w:rPr>
                <w:rFonts w:ascii="Arial" w:hAnsi="Arial" w:cs="Arial"/>
                <w:color w:val="000000"/>
                <w:sz w:val="15"/>
                <w:szCs w:val="15"/>
              </w:rPr>
            </w:pPr>
            <w:r w:rsidRPr="00B37EF3">
              <w:rPr>
                <w:rFonts w:ascii="Arial" w:hAnsi="Arial" w:cs="Arial"/>
                <w:color w:val="000000"/>
                <w:sz w:val="15"/>
                <w:szCs w:val="15"/>
              </w:rPr>
              <w:t>20</w:t>
            </w:r>
          </w:p>
        </w:tc>
        <w:tc>
          <w:tcPr>
            <w:tcW w:w="1372" w:type="dxa"/>
            <w:tcBorders>
              <w:top w:val="single" w:sz="4" w:space="0" w:color="0070C0"/>
              <w:left w:val="dotted" w:sz="4" w:space="0" w:color="0070C0"/>
              <w:bottom w:val="single" w:sz="4" w:space="0" w:color="0070C0"/>
              <w:right w:val="single" w:sz="4" w:space="0" w:color="0070C0"/>
            </w:tcBorders>
            <w:shd w:val="clear" w:color="auto" w:fill="auto"/>
            <w:noWrap/>
            <w:vAlign w:val="center"/>
          </w:tcPr>
          <w:p w:rsidR="00046857" w:rsidRPr="00B37EF3" w:rsidRDefault="00046857" w:rsidP="00121376">
            <w:pPr>
              <w:spacing w:after="0" w:line="240" w:lineRule="auto"/>
              <w:jc w:val="center"/>
              <w:rPr>
                <w:rFonts w:ascii="Arial" w:hAnsi="Arial" w:cs="Arial"/>
                <w:color w:val="000000"/>
                <w:sz w:val="15"/>
                <w:szCs w:val="15"/>
              </w:rPr>
            </w:pPr>
            <w:r w:rsidRPr="00B37EF3">
              <w:rPr>
                <w:rFonts w:ascii="Arial" w:hAnsi="Arial" w:cs="Arial"/>
                <w:color w:val="000000"/>
                <w:sz w:val="15"/>
                <w:szCs w:val="15"/>
              </w:rPr>
              <w:t>50</w:t>
            </w:r>
          </w:p>
        </w:tc>
        <w:tc>
          <w:tcPr>
            <w:tcW w:w="1138" w:type="dxa"/>
            <w:tcBorders>
              <w:top w:val="single" w:sz="4" w:space="0" w:color="0070C0"/>
              <w:left w:val="nil"/>
              <w:bottom w:val="single" w:sz="4" w:space="0" w:color="0070C0"/>
              <w:right w:val="dotted" w:sz="4" w:space="0" w:color="0070C0"/>
            </w:tcBorders>
            <w:shd w:val="clear" w:color="auto" w:fill="auto"/>
            <w:vAlign w:val="center"/>
          </w:tcPr>
          <w:p w:rsidR="00046857" w:rsidRPr="00B37EF3" w:rsidRDefault="00046857" w:rsidP="00121376">
            <w:pPr>
              <w:spacing w:after="0" w:line="240" w:lineRule="auto"/>
              <w:jc w:val="center"/>
              <w:rPr>
                <w:rFonts w:ascii="Arial" w:hAnsi="Arial" w:cs="Arial"/>
                <w:color w:val="000000"/>
                <w:sz w:val="15"/>
                <w:szCs w:val="15"/>
              </w:rPr>
            </w:pPr>
            <w:r w:rsidRPr="00B37EF3">
              <w:rPr>
                <w:rFonts w:ascii="Arial" w:hAnsi="Arial" w:cs="Arial"/>
                <w:color w:val="000000"/>
                <w:sz w:val="15"/>
                <w:szCs w:val="15"/>
              </w:rPr>
              <w:t>12</w:t>
            </w:r>
            <w:r w:rsidR="008377C9" w:rsidRPr="00B37EF3">
              <w:rPr>
                <w:rFonts w:ascii="Arial" w:hAnsi="Arial" w:cs="Arial"/>
                <w:color w:val="000000"/>
                <w:sz w:val="15"/>
                <w:szCs w:val="15"/>
                <w:vertAlign w:val="superscript"/>
              </w:rPr>
              <w:t>(</w:t>
            </w:r>
            <w:proofErr w:type="spellStart"/>
            <w:r w:rsidR="008377C9" w:rsidRPr="00B37EF3">
              <w:rPr>
                <w:rFonts w:ascii="Arial" w:hAnsi="Arial" w:cs="Arial"/>
                <w:color w:val="000000"/>
                <w:sz w:val="15"/>
                <w:szCs w:val="15"/>
                <w:vertAlign w:val="superscript"/>
              </w:rPr>
              <w:t>i</w:t>
            </w:r>
            <w:proofErr w:type="spellEnd"/>
            <w:r w:rsidRPr="00B37EF3">
              <w:rPr>
                <w:rFonts w:ascii="Arial" w:hAnsi="Arial" w:cs="Arial"/>
                <w:color w:val="000000"/>
                <w:sz w:val="15"/>
                <w:szCs w:val="15"/>
                <w:vertAlign w:val="superscript"/>
              </w:rPr>
              <w:t>)</w:t>
            </w:r>
          </w:p>
        </w:tc>
        <w:tc>
          <w:tcPr>
            <w:tcW w:w="1372" w:type="dxa"/>
            <w:tcBorders>
              <w:top w:val="single" w:sz="4" w:space="0" w:color="0070C0"/>
              <w:left w:val="dotted" w:sz="4" w:space="0" w:color="0070C0"/>
              <w:bottom w:val="single" w:sz="4" w:space="0" w:color="0070C0"/>
              <w:right w:val="single" w:sz="4" w:space="0" w:color="0070C0"/>
            </w:tcBorders>
            <w:shd w:val="clear" w:color="auto" w:fill="auto"/>
            <w:vAlign w:val="center"/>
          </w:tcPr>
          <w:p w:rsidR="00046857" w:rsidRPr="00B37EF3" w:rsidRDefault="00046857" w:rsidP="00121376">
            <w:pPr>
              <w:spacing w:after="0" w:line="240" w:lineRule="auto"/>
              <w:jc w:val="center"/>
              <w:rPr>
                <w:rFonts w:ascii="Arial" w:hAnsi="Arial" w:cs="Arial"/>
                <w:color w:val="000000"/>
                <w:sz w:val="15"/>
                <w:szCs w:val="15"/>
              </w:rPr>
            </w:pPr>
            <w:r w:rsidRPr="00B37EF3">
              <w:rPr>
                <w:rFonts w:ascii="Arial" w:hAnsi="Arial" w:cs="Arial"/>
                <w:color w:val="000000"/>
                <w:sz w:val="15"/>
                <w:szCs w:val="15"/>
              </w:rPr>
              <w:t>37.5</w:t>
            </w:r>
            <w:r w:rsidR="008377C9" w:rsidRPr="00B37EF3">
              <w:rPr>
                <w:rFonts w:ascii="Arial" w:hAnsi="Arial" w:cs="Arial"/>
                <w:color w:val="000000"/>
                <w:sz w:val="15"/>
                <w:szCs w:val="15"/>
                <w:vertAlign w:val="superscript"/>
              </w:rPr>
              <w:t>(</w:t>
            </w:r>
            <w:proofErr w:type="spellStart"/>
            <w:r w:rsidR="008377C9" w:rsidRPr="00B37EF3">
              <w:rPr>
                <w:rFonts w:ascii="Arial" w:hAnsi="Arial" w:cs="Arial"/>
                <w:color w:val="000000"/>
                <w:sz w:val="15"/>
                <w:szCs w:val="15"/>
                <w:vertAlign w:val="superscript"/>
              </w:rPr>
              <w:t>i</w:t>
            </w:r>
            <w:proofErr w:type="spellEnd"/>
            <w:r w:rsidRPr="00B37EF3">
              <w:rPr>
                <w:rFonts w:ascii="Arial" w:hAnsi="Arial" w:cs="Arial"/>
                <w:color w:val="000000"/>
                <w:sz w:val="15"/>
                <w:szCs w:val="15"/>
                <w:vertAlign w:val="superscript"/>
              </w:rPr>
              <w:t>)</w:t>
            </w:r>
          </w:p>
        </w:tc>
      </w:tr>
      <w:tr w:rsidR="009B6575" w:rsidRPr="00B37EF3" w:rsidTr="008377C9">
        <w:trPr>
          <w:trHeight w:hRule="exact" w:val="340"/>
          <w:jc w:val="center"/>
        </w:trPr>
        <w:tc>
          <w:tcPr>
            <w:tcW w:w="2135" w:type="dxa"/>
            <w:tcBorders>
              <w:top w:val="single" w:sz="4" w:space="0" w:color="0070C0"/>
              <w:left w:val="single" w:sz="4" w:space="0" w:color="0070C0"/>
              <w:bottom w:val="single" w:sz="4" w:space="0" w:color="0070C0"/>
              <w:right w:val="single" w:sz="4" w:space="0" w:color="0070C0"/>
            </w:tcBorders>
            <w:shd w:val="clear" w:color="auto" w:fill="D9D9D9"/>
            <w:noWrap/>
            <w:vAlign w:val="center"/>
          </w:tcPr>
          <w:p w:rsidR="009B6575" w:rsidRPr="00B37EF3" w:rsidRDefault="00046857" w:rsidP="00046857">
            <w:pPr>
              <w:spacing w:after="0" w:line="240" w:lineRule="auto"/>
              <w:rPr>
                <w:rFonts w:ascii="Arial" w:hAnsi="Arial" w:cs="Arial"/>
                <w:color w:val="000000"/>
                <w:sz w:val="15"/>
                <w:szCs w:val="15"/>
              </w:rPr>
            </w:pPr>
            <w:r w:rsidRPr="00B37EF3">
              <w:rPr>
                <w:rFonts w:ascii="Arial" w:hAnsi="Arial" w:cs="Arial"/>
                <w:color w:val="000000"/>
                <w:sz w:val="15"/>
                <w:szCs w:val="15"/>
              </w:rPr>
              <w:t>UK (all</w:t>
            </w:r>
            <w:r w:rsidR="009B6575" w:rsidRPr="00B37EF3">
              <w:rPr>
                <w:rFonts w:ascii="Arial" w:hAnsi="Arial" w:cs="Arial"/>
                <w:color w:val="000000"/>
                <w:sz w:val="15"/>
                <w:szCs w:val="15"/>
              </w:rPr>
              <w:t>)</w:t>
            </w:r>
          </w:p>
        </w:tc>
        <w:tc>
          <w:tcPr>
            <w:tcW w:w="1318" w:type="dxa"/>
            <w:tcBorders>
              <w:top w:val="single" w:sz="4" w:space="0" w:color="0070C0"/>
              <w:left w:val="nil"/>
              <w:bottom w:val="single" w:sz="4" w:space="0" w:color="0070C0"/>
              <w:right w:val="dotted" w:sz="4" w:space="0" w:color="0070C0"/>
            </w:tcBorders>
            <w:shd w:val="clear" w:color="auto" w:fill="auto"/>
            <w:noWrap/>
            <w:vAlign w:val="center"/>
          </w:tcPr>
          <w:p w:rsidR="009B6575" w:rsidRPr="00B37EF3" w:rsidRDefault="009B6575" w:rsidP="002104F4">
            <w:pPr>
              <w:spacing w:after="0" w:line="240" w:lineRule="auto"/>
              <w:jc w:val="center"/>
              <w:rPr>
                <w:rFonts w:ascii="Arial" w:hAnsi="Arial" w:cs="Arial"/>
                <w:color w:val="000000"/>
                <w:sz w:val="15"/>
                <w:szCs w:val="15"/>
              </w:rPr>
            </w:pPr>
            <w:r w:rsidRPr="00B37EF3">
              <w:rPr>
                <w:rFonts w:ascii="Arial" w:hAnsi="Arial" w:cs="Arial"/>
                <w:color w:val="000000"/>
                <w:sz w:val="15"/>
                <w:szCs w:val="15"/>
              </w:rPr>
              <w:t>40</w:t>
            </w:r>
          </w:p>
        </w:tc>
        <w:tc>
          <w:tcPr>
            <w:tcW w:w="1372" w:type="dxa"/>
            <w:tcBorders>
              <w:top w:val="single" w:sz="4" w:space="0" w:color="0070C0"/>
              <w:left w:val="dotted" w:sz="4" w:space="0" w:color="0070C0"/>
              <w:bottom w:val="single" w:sz="4" w:space="0" w:color="0070C0"/>
              <w:right w:val="single" w:sz="4" w:space="0" w:color="0070C0"/>
            </w:tcBorders>
            <w:shd w:val="clear" w:color="auto" w:fill="auto"/>
            <w:noWrap/>
            <w:vAlign w:val="center"/>
          </w:tcPr>
          <w:p w:rsidR="009B6575" w:rsidRPr="00B37EF3" w:rsidRDefault="009B6575" w:rsidP="00121376">
            <w:pPr>
              <w:spacing w:after="0" w:line="240" w:lineRule="auto"/>
              <w:jc w:val="center"/>
              <w:rPr>
                <w:rFonts w:ascii="Arial" w:hAnsi="Arial" w:cs="Arial"/>
                <w:color w:val="000000"/>
                <w:sz w:val="15"/>
                <w:szCs w:val="15"/>
              </w:rPr>
            </w:pPr>
            <w:r w:rsidRPr="00B37EF3">
              <w:rPr>
                <w:rFonts w:ascii="Arial" w:hAnsi="Arial" w:cs="Arial"/>
                <w:color w:val="000000"/>
                <w:sz w:val="15"/>
                <w:szCs w:val="15"/>
              </w:rPr>
              <w:t>50 (35)</w:t>
            </w:r>
          </w:p>
        </w:tc>
        <w:tc>
          <w:tcPr>
            <w:tcW w:w="1138" w:type="dxa"/>
            <w:tcBorders>
              <w:top w:val="single" w:sz="4" w:space="0" w:color="0070C0"/>
              <w:left w:val="nil"/>
              <w:bottom w:val="single" w:sz="4" w:space="0" w:color="0070C0"/>
              <w:right w:val="dotted" w:sz="4" w:space="0" w:color="0070C0"/>
            </w:tcBorders>
            <w:shd w:val="clear" w:color="auto" w:fill="auto"/>
            <w:vAlign w:val="center"/>
          </w:tcPr>
          <w:p w:rsidR="009B6575" w:rsidRPr="00B37EF3" w:rsidRDefault="009B6575" w:rsidP="00121376">
            <w:pPr>
              <w:spacing w:after="0" w:line="240" w:lineRule="auto"/>
              <w:jc w:val="center"/>
              <w:rPr>
                <w:rFonts w:ascii="Arial" w:hAnsi="Arial" w:cs="Arial"/>
                <w:color w:val="000000"/>
                <w:sz w:val="15"/>
                <w:szCs w:val="15"/>
              </w:rPr>
            </w:pPr>
            <w:r w:rsidRPr="00B37EF3">
              <w:rPr>
                <w:rFonts w:ascii="Arial" w:hAnsi="Arial" w:cs="Arial"/>
                <w:color w:val="000000"/>
                <w:sz w:val="15"/>
                <w:szCs w:val="15"/>
              </w:rPr>
              <w:t>25</w:t>
            </w:r>
          </w:p>
        </w:tc>
        <w:tc>
          <w:tcPr>
            <w:tcW w:w="1372" w:type="dxa"/>
            <w:tcBorders>
              <w:top w:val="single" w:sz="4" w:space="0" w:color="0070C0"/>
              <w:left w:val="dotted" w:sz="4" w:space="0" w:color="0070C0"/>
              <w:bottom w:val="single" w:sz="4" w:space="0" w:color="0070C0"/>
              <w:right w:val="single" w:sz="4" w:space="0" w:color="0070C0"/>
            </w:tcBorders>
            <w:shd w:val="clear" w:color="auto" w:fill="auto"/>
            <w:vAlign w:val="center"/>
          </w:tcPr>
          <w:p w:rsidR="009B6575" w:rsidRPr="00B37EF3" w:rsidRDefault="00163176" w:rsidP="00121376">
            <w:pPr>
              <w:spacing w:after="0" w:line="240" w:lineRule="auto"/>
              <w:jc w:val="center"/>
              <w:rPr>
                <w:rFonts w:ascii="Arial" w:hAnsi="Arial" w:cs="Arial"/>
                <w:color w:val="000000"/>
                <w:sz w:val="15"/>
                <w:szCs w:val="15"/>
              </w:rPr>
            </w:pPr>
            <w:r w:rsidRPr="00B37EF3">
              <w:rPr>
                <w:rFonts w:ascii="Arial" w:hAnsi="Arial" w:cs="Arial"/>
                <w:color w:val="000000"/>
                <w:sz w:val="15"/>
                <w:szCs w:val="15"/>
              </w:rPr>
              <w:t>–</w:t>
            </w:r>
          </w:p>
        </w:tc>
      </w:tr>
      <w:tr w:rsidR="009B6575" w:rsidRPr="00B37EF3" w:rsidTr="008377C9">
        <w:trPr>
          <w:trHeight w:hRule="exact" w:val="340"/>
          <w:jc w:val="center"/>
        </w:trPr>
        <w:tc>
          <w:tcPr>
            <w:tcW w:w="2135" w:type="dxa"/>
            <w:tcBorders>
              <w:top w:val="single" w:sz="4" w:space="0" w:color="0070C0"/>
              <w:left w:val="single" w:sz="4" w:space="0" w:color="0070C0"/>
              <w:bottom w:val="single" w:sz="4" w:space="0" w:color="0070C0"/>
              <w:right w:val="single" w:sz="4" w:space="0" w:color="0070C0"/>
            </w:tcBorders>
            <w:shd w:val="clear" w:color="auto" w:fill="D9D9D9"/>
            <w:noWrap/>
            <w:vAlign w:val="center"/>
          </w:tcPr>
          <w:p w:rsidR="009B6575" w:rsidRPr="00B37EF3" w:rsidRDefault="009B6575" w:rsidP="00046857">
            <w:pPr>
              <w:spacing w:after="0" w:line="240" w:lineRule="auto"/>
              <w:rPr>
                <w:rFonts w:ascii="Arial" w:hAnsi="Arial" w:cs="Arial"/>
                <w:color w:val="000000"/>
                <w:sz w:val="15"/>
                <w:szCs w:val="15"/>
              </w:rPr>
            </w:pPr>
            <w:r w:rsidRPr="00B37EF3">
              <w:rPr>
                <w:rFonts w:ascii="Arial" w:hAnsi="Arial" w:cs="Arial"/>
                <w:color w:val="000000"/>
                <w:sz w:val="15"/>
                <w:szCs w:val="15"/>
              </w:rPr>
              <w:t>UK (Scotland)</w:t>
            </w:r>
          </w:p>
        </w:tc>
        <w:tc>
          <w:tcPr>
            <w:tcW w:w="1318" w:type="dxa"/>
            <w:tcBorders>
              <w:top w:val="single" w:sz="4" w:space="0" w:color="0070C0"/>
              <w:left w:val="nil"/>
              <w:bottom w:val="single" w:sz="4" w:space="0" w:color="0070C0"/>
              <w:right w:val="dotted" w:sz="4" w:space="0" w:color="0070C0"/>
            </w:tcBorders>
            <w:shd w:val="clear" w:color="auto" w:fill="auto"/>
            <w:noWrap/>
            <w:vAlign w:val="center"/>
          </w:tcPr>
          <w:p w:rsidR="009B6575" w:rsidRPr="00B37EF3" w:rsidRDefault="009B6575" w:rsidP="002104F4">
            <w:pPr>
              <w:spacing w:after="0" w:line="240" w:lineRule="auto"/>
              <w:jc w:val="center"/>
              <w:rPr>
                <w:rFonts w:ascii="Arial" w:hAnsi="Arial" w:cs="Arial"/>
                <w:color w:val="000000"/>
                <w:sz w:val="15"/>
                <w:szCs w:val="15"/>
              </w:rPr>
            </w:pPr>
            <w:r w:rsidRPr="00B37EF3">
              <w:rPr>
                <w:rFonts w:ascii="Arial" w:hAnsi="Arial" w:cs="Arial"/>
                <w:color w:val="000000"/>
                <w:sz w:val="15"/>
                <w:szCs w:val="15"/>
              </w:rPr>
              <w:t>18</w:t>
            </w:r>
          </w:p>
        </w:tc>
        <w:tc>
          <w:tcPr>
            <w:tcW w:w="1372" w:type="dxa"/>
            <w:tcBorders>
              <w:top w:val="single" w:sz="4" w:space="0" w:color="0070C0"/>
              <w:left w:val="dotted" w:sz="4" w:space="0" w:color="0070C0"/>
              <w:bottom w:val="single" w:sz="4" w:space="0" w:color="0070C0"/>
              <w:right w:val="single" w:sz="4" w:space="0" w:color="0070C0"/>
            </w:tcBorders>
            <w:shd w:val="clear" w:color="auto" w:fill="auto"/>
            <w:noWrap/>
            <w:vAlign w:val="center"/>
          </w:tcPr>
          <w:p w:rsidR="009B6575" w:rsidRPr="00B37EF3" w:rsidRDefault="009B6575" w:rsidP="00121376">
            <w:pPr>
              <w:spacing w:after="0" w:line="240" w:lineRule="auto"/>
              <w:jc w:val="center"/>
              <w:rPr>
                <w:rFonts w:ascii="Arial" w:hAnsi="Arial" w:cs="Arial"/>
                <w:color w:val="000000"/>
                <w:sz w:val="15"/>
                <w:szCs w:val="15"/>
              </w:rPr>
            </w:pPr>
            <w:r w:rsidRPr="00B37EF3">
              <w:rPr>
                <w:rFonts w:ascii="Arial" w:hAnsi="Arial" w:cs="Arial"/>
                <w:color w:val="000000"/>
                <w:sz w:val="15"/>
                <w:szCs w:val="15"/>
              </w:rPr>
              <w:t>50 (7)</w:t>
            </w:r>
          </w:p>
        </w:tc>
        <w:tc>
          <w:tcPr>
            <w:tcW w:w="1138" w:type="dxa"/>
            <w:tcBorders>
              <w:top w:val="single" w:sz="4" w:space="0" w:color="0070C0"/>
              <w:left w:val="nil"/>
              <w:bottom w:val="single" w:sz="4" w:space="0" w:color="0070C0"/>
              <w:right w:val="dotted" w:sz="4" w:space="0" w:color="0070C0"/>
            </w:tcBorders>
            <w:shd w:val="clear" w:color="auto" w:fill="auto"/>
            <w:vAlign w:val="center"/>
          </w:tcPr>
          <w:p w:rsidR="009B6575" w:rsidRPr="00B37EF3" w:rsidRDefault="009B6575" w:rsidP="00121376">
            <w:pPr>
              <w:spacing w:after="0" w:line="240" w:lineRule="auto"/>
              <w:jc w:val="center"/>
              <w:rPr>
                <w:rFonts w:ascii="Arial" w:hAnsi="Arial" w:cs="Arial"/>
                <w:color w:val="000000"/>
                <w:sz w:val="15"/>
                <w:szCs w:val="15"/>
              </w:rPr>
            </w:pPr>
            <w:r w:rsidRPr="00B37EF3">
              <w:rPr>
                <w:rFonts w:ascii="Arial" w:hAnsi="Arial" w:cs="Arial"/>
                <w:color w:val="000000"/>
                <w:sz w:val="15"/>
                <w:szCs w:val="15"/>
              </w:rPr>
              <w:t>12</w:t>
            </w:r>
          </w:p>
        </w:tc>
        <w:tc>
          <w:tcPr>
            <w:tcW w:w="1372" w:type="dxa"/>
            <w:tcBorders>
              <w:top w:val="single" w:sz="4" w:space="0" w:color="0070C0"/>
              <w:left w:val="dotted" w:sz="4" w:space="0" w:color="0070C0"/>
              <w:bottom w:val="single" w:sz="4" w:space="0" w:color="0070C0"/>
              <w:right w:val="single" w:sz="4" w:space="0" w:color="0070C0"/>
            </w:tcBorders>
            <w:shd w:val="clear" w:color="auto" w:fill="auto"/>
            <w:vAlign w:val="center"/>
          </w:tcPr>
          <w:p w:rsidR="009B6575" w:rsidRPr="00B37EF3" w:rsidRDefault="00163176" w:rsidP="00121376">
            <w:pPr>
              <w:spacing w:after="0" w:line="240" w:lineRule="auto"/>
              <w:jc w:val="center"/>
              <w:rPr>
                <w:rFonts w:ascii="Arial" w:hAnsi="Arial" w:cs="Arial"/>
                <w:color w:val="000000"/>
                <w:sz w:val="15"/>
                <w:szCs w:val="15"/>
              </w:rPr>
            </w:pPr>
            <w:r w:rsidRPr="00B37EF3">
              <w:rPr>
                <w:rFonts w:ascii="Arial" w:hAnsi="Arial" w:cs="Arial"/>
                <w:color w:val="000000"/>
                <w:sz w:val="15"/>
                <w:szCs w:val="15"/>
              </w:rPr>
              <w:t>–</w:t>
            </w:r>
          </w:p>
        </w:tc>
      </w:tr>
      <w:tr w:rsidR="009B6575" w:rsidRPr="00B37EF3" w:rsidTr="008377C9">
        <w:trPr>
          <w:trHeight w:hRule="exact" w:val="340"/>
          <w:jc w:val="center"/>
        </w:trPr>
        <w:tc>
          <w:tcPr>
            <w:tcW w:w="2135" w:type="dxa"/>
            <w:tcBorders>
              <w:top w:val="single" w:sz="4" w:space="0" w:color="0070C0"/>
              <w:left w:val="single" w:sz="4" w:space="0" w:color="0070C0"/>
              <w:bottom w:val="single" w:sz="4" w:space="0" w:color="0070C0"/>
              <w:right w:val="single" w:sz="4" w:space="0" w:color="0070C0"/>
            </w:tcBorders>
            <w:shd w:val="clear" w:color="auto" w:fill="D9D9D9"/>
            <w:noWrap/>
            <w:vAlign w:val="center"/>
          </w:tcPr>
          <w:p w:rsidR="009B6575" w:rsidRPr="00B37EF3" w:rsidRDefault="009B6575" w:rsidP="00046857">
            <w:pPr>
              <w:spacing w:after="0" w:line="240" w:lineRule="auto"/>
              <w:rPr>
                <w:rFonts w:ascii="Arial" w:hAnsi="Arial" w:cs="Arial"/>
                <w:color w:val="000000"/>
                <w:sz w:val="15"/>
                <w:szCs w:val="15"/>
              </w:rPr>
            </w:pPr>
            <w:r w:rsidRPr="00B37EF3">
              <w:rPr>
                <w:rFonts w:ascii="Arial" w:hAnsi="Arial" w:cs="Arial"/>
                <w:color w:val="000000"/>
                <w:sz w:val="15"/>
                <w:szCs w:val="15"/>
              </w:rPr>
              <w:t>U</w:t>
            </w:r>
            <w:r w:rsidR="005F5551" w:rsidRPr="00B37EF3">
              <w:rPr>
                <w:rFonts w:ascii="Arial" w:hAnsi="Arial" w:cs="Arial"/>
                <w:color w:val="000000"/>
                <w:sz w:val="15"/>
                <w:szCs w:val="15"/>
              </w:rPr>
              <w:t xml:space="preserve">nited </w:t>
            </w:r>
            <w:r w:rsidRPr="00B37EF3">
              <w:rPr>
                <w:rFonts w:ascii="Arial" w:hAnsi="Arial" w:cs="Arial"/>
                <w:color w:val="000000"/>
                <w:sz w:val="15"/>
                <w:szCs w:val="15"/>
              </w:rPr>
              <w:t>S</w:t>
            </w:r>
            <w:r w:rsidR="005F5551" w:rsidRPr="00B37EF3">
              <w:rPr>
                <w:rFonts w:ascii="Arial" w:hAnsi="Arial" w:cs="Arial"/>
                <w:color w:val="000000"/>
                <w:sz w:val="15"/>
                <w:szCs w:val="15"/>
              </w:rPr>
              <w:t>tates</w:t>
            </w:r>
            <w:r w:rsidR="00046857" w:rsidRPr="00B37EF3">
              <w:rPr>
                <w:rFonts w:ascii="Arial" w:hAnsi="Arial" w:cs="Arial"/>
                <w:color w:val="000000"/>
                <w:sz w:val="15"/>
                <w:szCs w:val="15"/>
              </w:rPr>
              <w:t xml:space="preserve"> (all)</w:t>
            </w:r>
          </w:p>
        </w:tc>
        <w:tc>
          <w:tcPr>
            <w:tcW w:w="1318" w:type="dxa"/>
            <w:tcBorders>
              <w:top w:val="single" w:sz="4" w:space="0" w:color="0070C0"/>
              <w:left w:val="nil"/>
              <w:bottom w:val="single" w:sz="4" w:space="0" w:color="0070C0"/>
              <w:right w:val="dotted" w:sz="4" w:space="0" w:color="0070C0"/>
            </w:tcBorders>
            <w:shd w:val="clear" w:color="auto" w:fill="auto"/>
            <w:noWrap/>
            <w:vAlign w:val="center"/>
          </w:tcPr>
          <w:p w:rsidR="009B6575" w:rsidRPr="00B37EF3" w:rsidRDefault="00163176" w:rsidP="002104F4">
            <w:pPr>
              <w:spacing w:after="0" w:line="240" w:lineRule="auto"/>
              <w:jc w:val="center"/>
              <w:rPr>
                <w:rFonts w:ascii="Arial" w:hAnsi="Arial" w:cs="Arial"/>
                <w:color w:val="000000"/>
                <w:sz w:val="15"/>
                <w:szCs w:val="15"/>
              </w:rPr>
            </w:pPr>
            <w:r w:rsidRPr="00B37EF3">
              <w:rPr>
                <w:rFonts w:ascii="Arial" w:hAnsi="Arial" w:cs="Arial"/>
                <w:color w:val="000000"/>
                <w:sz w:val="15"/>
                <w:szCs w:val="15"/>
              </w:rPr>
              <w:t>–</w:t>
            </w:r>
          </w:p>
        </w:tc>
        <w:tc>
          <w:tcPr>
            <w:tcW w:w="1372" w:type="dxa"/>
            <w:tcBorders>
              <w:top w:val="single" w:sz="4" w:space="0" w:color="0070C0"/>
              <w:left w:val="dotted" w:sz="4" w:space="0" w:color="0070C0"/>
              <w:bottom w:val="single" w:sz="4" w:space="0" w:color="0070C0"/>
              <w:right w:val="single" w:sz="4" w:space="0" w:color="0070C0"/>
            </w:tcBorders>
            <w:shd w:val="clear" w:color="auto" w:fill="auto"/>
            <w:noWrap/>
            <w:vAlign w:val="center"/>
          </w:tcPr>
          <w:p w:rsidR="009B6575" w:rsidRPr="00B37EF3" w:rsidRDefault="009B6575" w:rsidP="00121376">
            <w:pPr>
              <w:spacing w:after="0" w:line="240" w:lineRule="auto"/>
              <w:jc w:val="center"/>
              <w:rPr>
                <w:rFonts w:ascii="Arial" w:hAnsi="Arial" w:cs="Arial"/>
                <w:color w:val="000000"/>
                <w:sz w:val="15"/>
                <w:szCs w:val="15"/>
              </w:rPr>
            </w:pPr>
            <w:r w:rsidRPr="00B37EF3">
              <w:rPr>
                <w:rFonts w:ascii="Arial" w:hAnsi="Arial" w:cs="Arial"/>
                <w:color w:val="000000"/>
                <w:sz w:val="15"/>
                <w:szCs w:val="15"/>
              </w:rPr>
              <w:t>150 (1)</w:t>
            </w:r>
            <w:r w:rsidR="008377C9" w:rsidRPr="00B37EF3">
              <w:rPr>
                <w:rFonts w:ascii="Arial" w:hAnsi="Arial" w:cs="Arial"/>
                <w:color w:val="000000"/>
                <w:sz w:val="15"/>
                <w:szCs w:val="15"/>
                <w:vertAlign w:val="superscript"/>
              </w:rPr>
              <w:t>(j</w:t>
            </w:r>
            <w:r w:rsidR="00AF32A9" w:rsidRPr="00B37EF3">
              <w:rPr>
                <w:rFonts w:ascii="Arial" w:hAnsi="Arial" w:cs="Arial"/>
                <w:color w:val="000000"/>
                <w:sz w:val="15"/>
                <w:szCs w:val="15"/>
                <w:vertAlign w:val="superscript"/>
              </w:rPr>
              <w:t>)</w:t>
            </w:r>
          </w:p>
        </w:tc>
        <w:tc>
          <w:tcPr>
            <w:tcW w:w="1138" w:type="dxa"/>
            <w:tcBorders>
              <w:top w:val="single" w:sz="4" w:space="0" w:color="0070C0"/>
              <w:left w:val="nil"/>
              <w:bottom w:val="single" w:sz="4" w:space="0" w:color="0070C0"/>
              <w:right w:val="dotted" w:sz="4" w:space="0" w:color="0070C0"/>
            </w:tcBorders>
            <w:shd w:val="clear" w:color="auto" w:fill="auto"/>
            <w:vAlign w:val="center"/>
          </w:tcPr>
          <w:p w:rsidR="009B6575" w:rsidRPr="00B37EF3" w:rsidRDefault="009B6575" w:rsidP="00121376">
            <w:pPr>
              <w:spacing w:after="0" w:line="240" w:lineRule="auto"/>
              <w:jc w:val="center"/>
              <w:rPr>
                <w:rFonts w:ascii="Arial" w:hAnsi="Arial" w:cs="Arial"/>
                <w:color w:val="000000"/>
                <w:sz w:val="15"/>
                <w:szCs w:val="15"/>
              </w:rPr>
            </w:pPr>
            <w:r w:rsidRPr="00B37EF3">
              <w:rPr>
                <w:rFonts w:ascii="Arial" w:hAnsi="Arial" w:cs="Arial"/>
                <w:color w:val="000000"/>
                <w:sz w:val="15"/>
                <w:szCs w:val="15"/>
              </w:rPr>
              <w:t>12</w:t>
            </w:r>
            <w:r w:rsidR="008377C9" w:rsidRPr="00B37EF3">
              <w:rPr>
                <w:rFonts w:ascii="Arial" w:hAnsi="Arial" w:cs="Arial"/>
                <w:color w:val="000000"/>
                <w:sz w:val="15"/>
                <w:szCs w:val="15"/>
                <w:vertAlign w:val="superscript"/>
              </w:rPr>
              <w:t>(j</w:t>
            </w:r>
            <w:r w:rsidR="00AF32A9" w:rsidRPr="00B37EF3">
              <w:rPr>
                <w:rFonts w:ascii="Arial" w:hAnsi="Arial" w:cs="Arial"/>
                <w:color w:val="000000"/>
                <w:sz w:val="15"/>
                <w:szCs w:val="15"/>
                <w:vertAlign w:val="superscript"/>
              </w:rPr>
              <w:t>)</w:t>
            </w:r>
          </w:p>
        </w:tc>
        <w:tc>
          <w:tcPr>
            <w:tcW w:w="1372" w:type="dxa"/>
            <w:tcBorders>
              <w:top w:val="single" w:sz="4" w:space="0" w:color="0070C0"/>
              <w:left w:val="dotted" w:sz="4" w:space="0" w:color="0070C0"/>
              <w:bottom w:val="single" w:sz="4" w:space="0" w:color="0070C0"/>
              <w:right w:val="single" w:sz="4" w:space="0" w:color="0070C0"/>
            </w:tcBorders>
            <w:shd w:val="clear" w:color="auto" w:fill="auto"/>
            <w:vAlign w:val="center"/>
          </w:tcPr>
          <w:p w:rsidR="009B6575" w:rsidRPr="00B37EF3" w:rsidRDefault="009B6575" w:rsidP="00121376">
            <w:pPr>
              <w:spacing w:after="0" w:line="240" w:lineRule="auto"/>
              <w:jc w:val="center"/>
              <w:rPr>
                <w:rFonts w:ascii="Arial" w:hAnsi="Arial" w:cs="Arial"/>
                <w:color w:val="000000"/>
                <w:sz w:val="15"/>
                <w:szCs w:val="15"/>
              </w:rPr>
            </w:pPr>
            <w:r w:rsidRPr="00B37EF3">
              <w:rPr>
                <w:rFonts w:ascii="Arial" w:hAnsi="Arial" w:cs="Arial"/>
                <w:color w:val="000000"/>
                <w:sz w:val="15"/>
                <w:szCs w:val="15"/>
              </w:rPr>
              <w:t>35</w:t>
            </w:r>
            <w:r w:rsidR="00AE4634" w:rsidRPr="00B37EF3">
              <w:rPr>
                <w:rFonts w:ascii="Arial" w:hAnsi="Arial" w:cs="Arial"/>
                <w:color w:val="000000"/>
                <w:sz w:val="15"/>
                <w:szCs w:val="15"/>
                <w:vertAlign w:val="superscript"/>
              </w:rPr>
              <w:t>(</w:t>
            </w:r>
            <w:proofErr w:type="spellStart"/>
            <w:r w:rsidR="008377C9" w:rsidRPr="00B37EF3">
              <w:rPr>
                <w:rFonts w:ascii="Arial" w:hAnsi="Arial" w:cs="Arial"/>
                <w:color w:val="000000"/>
                <w:sz w:val="15"/>
                <w:szCs w:val="15"/>
                <w:vertAlign w:val="superscript"/>
              </w:rPr>
              <w:t>j,k</w:t>
            </w:r>
            <w:proofErr w:type="spellEnd"/>
            <w:r w:rsidR="00AF32A9" w:rsidRPr="00B37EF3">
              <w:rPr>
                <w:rFonts w:ascii="Arial" w:hAnsi="Arial" w:cs="Arial"/>
                <w:color w:val="000000"/>
                <w:sz w:val="15"/>
                <w:szCs w:val="15"/>
                <w:vertAlign w:val="superscript"/>
              </w:rPr>
              <w:t>)</w:t>
            </w:r>
          </w:p>
        </w:tc>
      </w:tr>
      <w:tr w:rsidR="00046857" w:rsidRPr="00B37EF3" w:rsidTr="008377C9">
        <w:trPr>
          <w:trHeight w:hRule="exact" w:val="340"/>
          <w:jc w:val="center"/>
        </w:trPr>
        <w:tc>
          <w:tcPr>
            <w:tcW w:w="2135" w:type="dxa"/>
            <w:tcBorders>
              <w:top w:val="single" w:sz="4" w:space="0" w:color="0070C0"/>
              <w:left w:val="single" w:sz="4" w:space="0" w:color="0070C0"/>
              <w:bottom w:val="single" w:sz="4" w:space="0" w:color="0070C0"/>
              <w:right w:val="single" w:sz="4" w:space="0" w:color="0070C0"/>
            </w:tcBorders>
            <w:shd w:val="clear" w:color="auto" w:fill="D9D9D9"/>
            <w:noWrap/>
            <w:vAlign w:val="center"/>
          </w:tcPr>
          <w:p w:rsidR="00046857" w:rsidRPr="00B37EF3" w:rsidRDefault="00046857" w:rsidP="00046857">
            <w:pPr>
              <w:spacing w:after="0" w:line="240" w:lineRule="auto"/>
              <w:rPr>
                <w:rFonts w:ascii="Arial" w:hAnsi="Arial" w:cs="Arial"/>
                <w:color w:val="000000"/>
                <w:sz w:val="15"/>
                <w:szCs w:val="15"/>
              </w:rPr>
            </w:pPr>
            <w:r w:rsidRPr="00B37EF3">
              <w:rPr>
                <w:rFonts w:ascii="Arial" w:hAnsi="Arial" w:cs="Arial"/>
                <w:color w:val="000000"/>
                <w:sz w:val="15"/>
                <w:szCs w:val="15"/>
              </w:rPr>
              <w:t>U</w:t>
            </w:r>
            <w:r w:rsidR="005F5551" w:rsidRPr="00B37EF3">
              <w:rPr>
                <w:rFonts w:ascii="Arial" w:hAnsi="Arial" w:cs="Arial"/>
                <w:color w:val="000000"/>
                <w:sz w:val="15"/>
                <w:szCs w:val="15"/>
              </w:rPr>
              <w:t xml:space="preserve">nited </w:t>
            </w:r>
            <w:r w:rsidRPr="00B37EF3">
              <w:rPr>
                <w:rFonts w:ascii="Arial" w:hAnsi="Arial" w:cs="Arial"/>
                <w:color w:val="000000"/>
                <w:sz w:val="15"/>
                <w:szCs w:val="15"/>
              </w:rPr>
              <w:t>S</w:t>
            </w:r>
            <w:r w:rsidR="005F5551" w:rsidRPr="00B37EF3">
              <w:rPr>
                <w:rFonts w:ascii="Arial" w:hAnsi="Arial" w:cs="Arial"/>
                <w:color w:val="000000"/>
                <w:sz w:val="15"/>
                <w:szCs w:val="15"/>
              </w:rPr>
              <w:t>tates</w:t>
            </w:r>
            <w:r w:rsidRPr="00B37EF3">
              <w:rPr>
                <w:rFonts w:ascii="Arial" w:hAnsi="Arial" w:cs="Arial"/>
                <w:color w:val="000000"/>
                <w:sz w:val="15"/>
                <w:szCs w:val="15"/>
              </w:rPr>
              <w:t xml:space="preserve"> (California)</w:t>
            </w:r>
          </w:p>
        </w:tc>
        <w:tc>
          <w:tcPr>
            <w:tcW w:w="1318" w:type="dxa"/>
            <w:tcBorders>
              <w:top w:val="single" w:sz="4" w:space="0" w:color="0070C0"/>
              <w:left w:val="nil"/>
              <w:bottom w:val="single" w:sz="4" w:space="0" w:color="0070C0"/>
              <w:right w:val="dotted" w:sz="4" w:space="0" w:color="0070C0"/>
            </w:tcBorders>
            <w:shd w:val="clear" w:color="auto" w:fill="auto"/>
            <w:noWrap/>
            <w:vAlign w:val="center"/>
          </w:tcPr>
          <w:p w:rsidR="00046857" w:rsidRPr="00B37EF3" w:rsidRDefault="00046857" w:rsidP="002104F4">
            <w:pPr>
              <w:spacing w:after="0" w:line="240" w:lineRule="auto"/>
              <w:jc w:val="center"/>
              <w:rPr>
                <w:rFonts w:ascii="Arial" w:hAnsi="Arial" w:cs="Arial"/>
                <w:color w:val="000000"/>
                <w:sz w:val="15"/>
                <w:szCs w:val="15"/>
              </w:rPr>
            </w:pPr>
            <w:r w:rsidRPr="00B37EF3">
              <w:rPr>
                <w:rFonts w:ascii="Arial" w:hAnsi="Arial" w:cs="Arial"/>
                <w:color w:val="000000"/>
                <w:sz w:val="15"/>
                <w:szCs w:val="15"/>
              </w:rPr>
              <w:t>20</w:t>
            </w:r>
          </w:p>
        </w:tc>
        <w:tc>
          <w:tcPr>
            <w:tcW w:w="1372" w:type="dxa"/>
            <w:tcBorders>
              <w:top w:val="single" w:sz="4" w:space="0" w:color="0070C0"/>
              <w:left w:val="dotted" w:sz="4" w:space="0" w:color="0070C0"/>
              <w:bottom w:val="single" w:sz="4" w:space="0" w:color="0070C0"/>
              <w:right w:val="single" w:sz="4" w:space="0" w:color="0070C0"/>
            </w:tcBorders>
            <w:shd w:val="clear" w:color="auto" w:fill="auto"/>
            <w:noWrap/>
            <w:vAlign w:val="center"/>
          </w:tcPr>
          <w:p w:rsidR="00046857" w:rsidRPr="00B37EF3" w:rsidRDefault="00046857" w:rsidP="00121376">
            <w:pPr>
              <w:spacing w:after="0" w:line="240" w:lineRule="auto"/>
              <w:jc w:val="center"/>
              <w:rPr>
                <w:rFonts w:ascii="Arial" w:hAnsi="Arial" w:cs="Arial"/>
                <w:color w:val="000000"/>
                <w:sz w:val="15"/>
                <w:szCs w:val="15"/>
              </w:rPr>
            </w:pPr>
            <w:r w:rsidRPr="00B37EF3">
              <w:rPr>
                <w:rFonts w:ascii="Arial" w:hAnsi="Arial" w:cs="Arial"/>
                <w:color w:val="000000"/>
                <w:sz w:val="15"/>
                <w:szCs w:val="15"/>
              </w:rPr>
              <w:t>50</w:t>
            </w:r>
          </w:p>
        </w:tc>
        <w:tc>
          <w:tcPr>
            <w:tcW w:w="1138" w:type="dxa"/>
            <w:tcBorders>
              <w:top w:val="single" w:sz="4" w:space="0" w:color="0070C0"/>
              <w:left w:val="nil"/>
              <w:bottom w:val="single" w:sz="4" w:space="0" w:color="0070C0"/>
              <w:right w:val="dotted" w:sz="4" w:space="0" w:color="0070C0"/>
            </w:tcBorders>
            <w:shd w:val="clear" w:color="auto" w:fill="auto"/>
            <w:vAlign w:val="center"/>
          </w:tcPr>
          <w:p w:rsidR="00046857" w:rsidRPr="00B37EF3" w:rsidRDefault="00046857" w:rsidP="00121376">
            <w:pPr>
              <w:spacing w:after="0" w:line="240" w:lineRule="auto"/>
              <w:jc w:val="center"/>
              <w:rPr>
                <w:rFonts w:ascii="Arial" w:hAnsi="Arial" w:cs="Arial"/>
                <w:color w:val="000000"/>
                <w:sz w:val="15"/>
                <w:szCs w:val="15"/>
              </w:rPr>
            </w:pPr>
            <w:r w:rsidRPr="00B37EF3">
              <w:rPr>
                <w:rFonts w:ascii="Arial" w:hAnsi="Arial" w:cs="Arial"/>
                <w:color w:val="000000"/>
                <w:sz w:val="15"/>
                <w:szCs w:val="15"/>
              </w:rPr>
              <w:t>12</w:t>
            </w:r>
          </w:p>
        </w:tc>
        <w:tc>
          <w:tcPr>
            <w:tcW w:w="1372" w:type="dxa"/>
            <w:tcBorders>
              <w:top w:val="single" w:sz="4" w:space="0" w:color="0070C0"/>
              <w:left w:val="dotted" w:sz="4" w:space="0" w:color="0070C0"/>
              <w:bottom w:val="single" w:sz="4" w:space="0" w:color="0070C0"/>
              <w:right w:val="single" w:sz="4" w:space="0" w:color="0070C0"/>
            </w:tcBorders>
            <w:shd w:val="clear" w:color="auto" w:fill="auto"/>
            <w:vAlign w:val="center"/>
          </w:tcPr>
          <w:p w:rsidR="00046857" w:rsidRPr="00B37EF3" w:rsidRDefault="00163176" w:rsidP="00121376">
            <w:pPr>
              <w:spacing w:after="0" w:line="240" w:lineRule="auto"/>
              <w:jc w:val="center"/>
              <w:rPr>
                <w:rFonts w:ascii="Arial" w:hAnsi="Arial" w:cs="Arial"/>
                <w:color w:val="000000"/>
                <w:sz w:val="15"/>
                <w:szCs w:val="15"/>
              </w:rPr>
            </w:pPr>
            <w:r w:rsidRPr="00B37EF3">
              <w:rPr>
                <w:rFonts w:ascii="Arial" w:hAnsi="Arial" w:cs="Arial"/>
                <w:color w:val="000000"/>
                <w:sz w:val="15"/>
                <w:szCs w:val="15"/>
              </w:rPr>
              <w:t>–</w:t>
            </w:r>
          </w:p>
        </w:tc>
      </w:tr>
      <w:tr w:rsidR="00810588" w:rsidRPr="00B37EF3" w:rsidTr="008377C9">
        <w:trPr>
          <w:trHeight w:hRule="exact" w:val="1643"/>
          <w:jc w:val="center"/>
        </w:trPr>
        <w:tc>
          <w:tcPr>
            <w:tcW w:w="3453" w:type="dxa"/>
            <w:gridSpan w:val="2"/>
            <w:tcBorders>
              <w:top w:val="single" w:sz="4" w:space="0" w:color="0070C0"/>
            </w:tcBorders>
            <w:shd w:val="clear" w:color="auto" w:fill="auto"/>
            <w:noWrap/>
          </w:tcPr>
          <w:p w:rsidR="00810588" w:rsidRPr="00B37EF3" w:rsidRDefault="00810588" w:rsidP="00810588">
            <w:pPr>
              <w:pStyle w:val="ListParagraph"/>
              <w:numPr>
                <w:ilvl w:val="3"/>
                <w:numId w:val="16"/>
              </w:numPr>
              <w:spacing w:before="60" w:after="0" w:line="240" w:lineRule="auto"/>
              <w:ind w:left="459" w:right="121" w:hanging="307"/>
              <w:rPr>
                <w:rFonts w:ascii="Arial" w:hAnsi="Arial" w:cs="Arial"/>
                <w:sz w:val="14"/>
                <w:szCs w:val="14"/>
              </w:rPr>
            </w:pPr>
            <w:r w:rsidRPr="00B37EF3">
              <w:rPr>
                <w:rFonts w:ascii="Arial" w:hAnsi="Arial" w:cs="Arial"/>
                <w:sz w:val="14"/>
                <w:szCs w:val="14"/>
              </w:rPr>
              <w:t>Number in brackets shows allowed exceedances per year</w:t>
            </w:r>
          </w:p>
          <w:p w:rsidR="008377C9" w:rsidRPr="00B37EF3" w:rsidRDefault="008377C9" w:rsidP="00810588">
            <w:pPr>
              <w:pStyle w:val="ListParagraph"/>
              <w:numPr>
                <w:ilvl w:val="3"/>
                <w:numId w:val="16"/>
              </w:numPr>
              <w:spacing w:before="60" w:after="0" w:line="240" w:lineRule="auto"/>
              <w:ind w:left="459" w:right="121" w:hanging="307"/>
              <w:rPr>
                <w:rFonts w:ascii="Arial" w:hAnsi="Arial" w:cs="Arial"/>
                <w:sz w:val="14"/>
                <w:szCs w:val="14"/>
              </w:rPr>
            </w:pPr>
            <w:r w:rsidRPr="00B37EF3">
              <w:rPr>
                <w:rFonts w:ascii="Arial" w:hAnsi="Arial" w:cs="Arial"/>
                <w:sz w:val="14"/>
                <w:szCs w:val="14"/>
              </w:rPr>
              <w:t>Stated as 99</w:t>
            </w:r>
            <w:r w:rsidRPr="00B37EF3">
              <w:rPr>
                <w:rFonts w:ascii="Arial" w:hAnsi="Arial" w:cs="Arial"/>
                <w:sz w:val="14"/>
                <w:szCs w:val="14"/>
                <w:vertAlign w:val="superscript"/>
              </w:rPr>
              <w:t>th</w:t>
            </w:r>
            <w:r w:rsidRPr="00B37EF3">
              <w:rPr>
                <w:rFonts w:ascii="Arial" w:hAnsi="Arial" w:cs="Arial"/>
                <w:sz w:val="14"/>
                <w:szCs w:val="14"/>
              </w:rPr>
              <w:t xml:space="preserve"> percentile</w:t>
            </w:r>
          </w:p>
          <w:p w:rsidR="00810588" w:rsidRPr="00B37EF3" w:rsidRDefault="00810588" w:rsidP="00810588">
            <w:pPr>
              <w:pStyle w:val="ListParagraph"/>
              <w:numPr>
                <w:ilvl w:val="3"/>
                <w:numId w:val="16"/>
              </w:numPr>
              <w:spacing w:before="60" w:after="0" w:line="240" w:lineRule="auto"/>
              <w:ind w:left="459" w:right="121" w:hanging="307"/>
              <w:rPr>
                <w:rFonts w:ascii="Arial" w:hAnsi="Arial" w:cs="Arial"/>
                <w:sz w:val="14"/>
                <w:szCs w:val="14"/>
              </w:rPr>
            </w:pPr>
            <w:r w:rsidRPr="00B37EF3">
              <w:rPr>
                <w:rFonts w:ascii="Arial" w:hAnsi="Arial" w:cs="Arial"/>
                <w:sz w:val="14"/>
                <w:szCs w:val="14"/>
              </w:rPr>
              <w:t>Advisory standard</w:t>
            </w:r>
          </w:p>
          <w:p w:rsidR="00810588" w:rsidRPr="00B37EF3" w:rsidRDefault="00810588" w:rsidP="00810588">
            <w:pPr>
              <w:pStyle w:val="ListParagraph"/>
              <w:numPr>
                <w:ilvl w:val="3"/>
                <w:numId w:val="16"/>
              </w:numPr>
              <w:spacing w:before="60" w:after="0" w:line="240" w:lineRule="auto"/>
              <w:ind w:left="459" w:right="121" w:hanging="307"/>
              <w:rPr>
                <w:rFonts w:ascii="Arial" w:hAnsi="Arial" w:cs="Arial"/>
                <w:sz w:val="14"/>
                <w:szCs w:val="14"/>
              </w:rPr>
            </w:pPr>
            <w:r w:rsidRPr="00B37EF3">
              <w:rPr>
                <w:rFonts w:ascii="Arial" w:hAnsi="Arial" w:cs="Arial"/>
                <w:sz w:val="14"/>
                <w:szCs w:val="14"/>
              </w:rPr>
              <w:t>Some provinces have standards for PM</w:t>
            </w:r>
            <w:r w:rsidRPr="00B37EF3">
              <w:rPr>
                <w:rFonts w:ascii="Arial" w:hAnsi="Arial" w:cs="Arial"/>
                <w:sz w:val="14"/>
                <w:szCs w:val="14"/>
                <w:vertAlign w:val="subscript"/>
              </w:rPr>
              <w:t>10</w:t>
            </w:r>
          </w:p>
          <w:p w:rsidR="00810588" w:rsidRPr="00B37EF3" w:rsidRDefault="00810588" w:rsidP="00810588">
            <w:pPr>
              <w:pStyle w:val="ListParagraph"/>
              <w:numPr>
                <w:ilvl w:val="3"/>
                <w:numId w:val="16"/>
              </w:numPr>
              <w:spacing w:before="60" w:after="0" w:line="240" w:lineRule="auto"/>
              <w:ind w:left="459" w:right="121" w:hanging="307"/>
              <w:rPr>
                <w:rFonts w:ascii="Arial" w:hAnsi="Arial" w:cs="Arial"/>
                <w:sz w:val="14"/>
                <w:szCs w:val="14"/>
              </w:rPr>
            </w:pPr>
            <w:r w:rsidRPr="00B37EF3">
              <w:rPr>
                <w:rFonts w:ascii="Arial" w:hAnsi="Arial" w:cs="Arial"/>
                <w:sz w:val="14"/>
                <w:szCs w:val="14"/>
              </w:rPr>
              <w:t>Objective</w:t>
            </w:r>
          </w:p>
          <w:p w:rsidR="00810588" w:rsidRPr="00B37EF3" w:rsidRDefault="00810588" w:rsidP="00810588">
            <w:pPr>
              <w:pStyle w:val="ListParagraph"/>
              <w:numPr>
                <w:ilvl w:val="3"/>
                <w:numId w:val="16"/>
              </w:numPr>
              <w:spacing w:before="60" w:after="0" w:line="240" w:lineRule="auto"/>
              <w:ind w:left="459" w:right="121" w:hanging="307"/>
              <w:rPr>
                <w:rFonts w:ascii="Arial" w:hAnsi="Arial" w:cs="Arial"/>
                <w:sz w:val="14"/>
                <w:szCs w:val="14"/>
              </w:rPr>
            </w:pPr>
            <w:r w:rsidRPr="00B37EF3">
              <w:rPr>
                <w:rFonts w:ascii="Arial" w:hAnsi="Arial" w:cs="Arial"/>
                <w:sz w:val="14"/>
                <w:szCs w:val="14"/>
              </w:rPr>
              <w:t>By 2015/2020</w:t>
            </w:r>
          </w:p>
          <w:p w:rsidR="00810588" w:rsidRPr="00B37EF3" w:rsidRDefault="00810588" w:rsidP="00810588">
            <w:pPr>
              <w:spacing w:after="0" w:line="240" w:lineRule="auto"/>
              <w:rPr>
                <w:rFonts w:ascii="Arial" w:hAnsi="Arial" w:cs="Arial"/>
                <w:color w:val="000000"/>
                <w:sz w:val="15"/>
                <w:szCs w:val="15"/>
              </w:rPr>
            </w:pPr>
          </w:p>
        </w:tc>
        <w:tc>
          <w:tcPr>
            <w:tcW w:w="3882" w:type="dxa"/>
            <w:gridSpan w:val="3"/>
            <w:tcBorders>
              <w:top w:val="single" w:sz="4" w:space="0" w:color="0070C0"/>
            </w:tcBorders>
            <w:shd w:val="clear" w:color="auto" w:fill="auto"/>
            <w:noWrap/>
          </w:tcPr>
          <w:p w:rsidR="00810588" w:rsidRPr="00B37EF3" w:rsidRDefault="00810588" w:rsidP="00810588">
            <w:pPr>
              <w:pStyle w:val="ListParagraph"/>
              <w:numPr>
                <w:ilvl w:val="3"/>
                <w:numId w:val="16"/>
              </w:numPr>
              <w:spacing w:before="60" w:after="0" w:line="240" w:lineRule="auto"/>
              <w:ind w:left="434" w:right="31" w:hanging="284"/>
              <w:rPr>
                <w:rFonts w:ascii="Arial" w:hAnsi="Arial" w:cs="Arial"/>
                <w:sz w:val="14"/>
                <w:szCs w:val="14"/>
              </w:rPr>
            </w:pPr>
            <w:r w:rsidRPr="00B37EF3">
              <w:rPr>
                <w:rFonts w:ascii="Arial" w:hAnsi="Arial" w:cs="Arial"/>
                <w:sz w:val="14"/>
                <w:szCs w:val="14"/>
              </w:rPr>
              <w:t>The 25 µg/m</w:t>
            </w:r>
            <w:r w:rsidRPr="00B37EF3">
              <w:rPr>
                <w:rFonts w:ascii="Arial" w:hAnsi="Arial" w:cs="Arial"/>
                <w:sz w:val="14"/>
                <w:szCs w:val="14"/>
                <w:vertAlign w:val="superscript"/>
              </w:rPr>
              <w:t>3</w:t>
            </w:r>
            <w:r w:rsidRPr="00B37EF3">
              <w:rPr>
                <w:rFonts w:ascii="Arial" w:hAnsi="Arial" w:cs="Arial"/>
                <w:sz w:val="14"/>
                <w:szCs w:val="14"/>
              </w:rPr>
              <w:t xml:space="preserve"> value is initially a target, but will become a limit in 2015. There is also an indicative ‘Stage 2’ limit of 20 µg/m</w:t>
            </w:r>
            <w:r w:rsidRPr="00B37EF3">
              <w:rPr>
                <w:rFonts w:ascii="Arial" w:hAnsi="Arial" w:cs="Arial"/>
                <w:sz w:val="14"/>
                <w:szCs w:val="14"/>
                <w:vertAlign w:val="superscript"/>
              </w:rPr>
              <w:t>3</w:t>
            </w:r>
            <w:r w:rsidRPr="00B37EF3">
              <w:rPr>
                <w:rFonts w:ascii="Arial" w:hAnsi="Arial" w:cs="Arial"/>
                <w:sz w:val="14"/>
                <w:szCs w:val="14"/>
              </w:rPr>
              <w:t xml:space="preserve"> for 2020.</w:t>
            </w:r>
          </w:p>
          <w:p w:rsidR="00810588" w:rsidRPr="00B37EF3" w:rsidRDefault="00810588" w:rsidP="00810588">
            <w:pPr>
              <w:pStyle w:val="ListParagraph"/>
              <w:numPr>
                <w:ilvl w:val="3"/>
                <w:numId w:val="16"/>
              </w:numPr>
              <w:spacing w:before="60" w:after="0" w:line="240" w:lineRule="auto"/>
              <w:ind w:left="434" w:right="31" w:hanging="284"/>
              <w:rPr>
                <w:rFonts w:ascii="Arial" w:hAnsi="Arial" w:cs="Arial"/>
                <w:sz w:val="14"/>
                <w:szCs w:val="14"/>
              </w:rPr>
            </w:pPr>
            <w:r w:rsidRPr="00B37EF3">
              <w:rPr>
                <w:rFonts w:ascii="Arial" w:hAnsi="Arial" w:cs="Arial"/>
                <w:sz w:val="14"/>
                <w:szCs w:val="14"/>
              </w:rPr>
              <w:t>Guideline</w:t>
            </w:r>
          </w:p>
          <w:p w:rsidR="00810588" w:rsidRPr="00B37EF3" w:rsidRDefault="00810588" w:rsidP="00810588">
            <w:pPr>
              <w:pStyle w:val="ListParagraph"/>
              <w:numPr>
                <w:ilvl w:val="3"/>
                <w:numId w:val="16"/>
              </w:numPr>
              <w:spacing w:before="60" w:after="0" w:line="240" w:lineRule="auto"/>
              <w:ind w:left="434" w:right="31" w:hanging="284"/>
              <w:rPr>
                <w:rFonts w:ascii="Arial" w:hAnsi="Arial" w:cs="Arial"/>
                <w:sz w:val="14"/>
                <w:szCs w:val="14"/>
              </w:rPr>
            </w:pPr>
            <w:r w:rsidRPr="00B37EF3">
              <w:rPr>
                <w:rFonts w:ascii="Arial" w:hAnsi="Arial" w:cs="Arial"/>
                <w:sz w:val="14"/>
                <w:szCs w:val="14"/>
              </w:rPr>
              <w:t>By 2020</w:t>
            </w:r>
          </w:p>
          <w:p w:rsidR="00810588" w:rsidRPr="00B37EF3" w:rsidRDefault="00810588" w:rsidP="00810588">
            <w:pPr>
              <w:pStyle w:val="ListParagraph"/>
              <w:numPr>
                <w:ilvl w:val="3"/>
                <w:numId w:val="16"/>
              </w:numPr>
              <w:spacing w:before="60" w:after="0" w:line="240" w:lineRule="auto"/>
              <w:ind w:left="434" w:right="31" w:hanging="284"/>
              <w:rPr>
                <w:rFonts w:ascii="Arial" w:hAnsi="Arial" w:cs="Arial"/>
                <w:sz w:val="14"/>
                <w:szCs w:val="14"/>
              </w:rPr>
            </w:pPr>
            <w:r w:rsidRPr="00B37EF3">
              <w:rPr>
                <w:rFonts w:ascii="Arial" w:hAnsi="Arial" w:cs="Arial"/>
                <w:sz w:val="14"/>
                <w:szCs w:val="14"/>
              </w:rPr>
              <w:t>Averaged over three years</w:t>
            </w:r>
          </w:p>
          <w:p w:rsidR="00810588" w:rsidRPr="00B37EF3" w:rsidRDefault="00810588" w:rsidP="00810588">
            <w:pPr>
              <w:pStyle w:val="ListParagraph"/>
              <w:numPr>
                <w:ilvl w:val="3"/>
                <w:numId w:val="16"/>
              </w:numPr>
              <w:spacing w:before="60" w:after="0" w:line="240" w:lineRule="auto"/>
              <w:ind w:left="434" w:right="31" w:hanging="284"/>
              <w:rPr>
                <w:rFonts w:ascii="Arial" w:hAnsi="Arial" w:cs="Arial"/>
                <w:sz w:val="14"/>
                <w:szCs w:val="14"/>
              </w:rPr>
            </w:pPr>
            <w:r w:rsidRPr="00B37EF3">
              <w:rPr>
                <w:rFonts w:ascii="Arial" w:hAnsi="Arial" w:cs="Arial"/>
                <w:sz w:val="14"/>
                <w:szCs w:val="14"/>
              </w:rPr>
              <w:t>Stated as 98</w:t>
            </w:r>
            <w:r w:rsidRPr="00B37EF3">
              <w:rPr>
                <w:rFonts w:ascii="Arial" w:hAnsi="Arial" w:cs="Arial"/>
                <w:sz w:val="14"/>
                <w:szCs w:val="14"/>
                <w:vertAlign w:val="superscript"/>
              </w:rPr>
              <w:t>th</w:t>
            </w:r>
            <w:r w:rsidRPr="00B37EF3">
              <w:rPr>
                <w:rFonts w:ascii="Arial" w:hAnsi="Arial" w:cs="Arial"/>
                <w:sz w:val="14"/>
                <w:szCs w:val="14"/>
              </w:rPr>
              <w:t xml:space="preserve"> percentile</w:t>
            </w:r>
          </w:p>
        </w:tc>
      </w:tr>
    </w:tbl>
    <w:p w:rsidR="009B6575" w:rsidRPr="00B37EF3" w:rsidRDefault="009B6575" w:rsidP="00810588">
      <w:pPr>
        <w:spacing w:after="0" w:line="240" w:lineRule="auto"/>
        <w:rPr>
          <w:rFonts w:ascii="Arial" w:hAnsi="Arial" w:cs="Arial"/>
        </w:rPr>
      </w:pPr>
    </w:p>
    <w:p w:rsidR="006B4A56" w:rsidRPr="00B37EF3" w:rsidRDefault="00374349" w:rsidP="00810588">
      <w:pPr>
        <w:spacing w:after="180"/>
        <w:rPr>
          <w:rFonts w:ascii="Arial" w:hAnsi="Arial" w:cs="Arial"/>
        </w:rPr>
      </w:pPr>
      <w:r w:rsidRPr="00B37EF3">
        <w:rPr>
          <w:rFonts w:ascii="Arial" w:hAnsi="Arial" w:cs="Arial"/>
        </w:rPr>
        <w:t>The annual advisory mean standard for PM</w:t>
      </w:r>
      <w:r w:rsidRPr="00B37EF3">
        <w:rPr>
          <w:rFonts w:ascii="Arial" w:hAnsi="Arial" w:cs="Arial"/>
          <w:vertAlign w:val="subscript"/>
        </w:rPr>
        <w:t>2.5</w:t>
      </w:r>
      <w:r w:rsidRPr="00B37EF3">
        <w:rPr>
          <w:rFonts w:ascii="Arial" w:hAnsi="Arial" w:cs="Arial"/>
        </w:rPr>
        <w:t xml:space="preserve"> in Australia is lower than the current WHO guideline</w:t>
      </w:r>
      <w:r w:rsidR="006B4A56" w:rsidRPr="00B37EF3">
        <w:rPr>
          <w:rFonts w:ascii="Arial" w:hAnsi="Arial" w:cs="Arial"/>
        </w:rPr>
        <w:t xml:space="preserve">, and is </w:t>
      </w:r>
      <w:r w:rsidRPr="00B37EF3">
        <w:rPr>
          <w:rFonts w:ascii="Arial" w:hAnsi="Arial" w:cs="Arial"/>
        </w:rPr>
        <w:t xml:space="preserve">numerically </w:t>
      </w:r>
      <w:r w:rsidR="006B4A56" w:rsidRPr="00B37EF3">
        <w:rPr>
          <w:rFonts w:ascii="Arial" w:hAnsi="Arial" w:cs="Arial"/>
        </w:rPr>
        <w:t>the lowest of the countries included in the review. At the moment, for annual average PM</w:t>
      </w:r>
      <w:r w:rsidR="006B4A56" w:rsidRPr="00B37EF3">
        <w:rPr>
          <w:rFonts w:ascii="Arial" w:hAnsi="Arial" w:cs="Arial"/>
          <w:vertAlign w:val="subscript"/>
        </w:rPr>
        <w:t>2.5</w:t>
      </w:r>
      <w:r w:rsidR="006B4A56" w:rsidRPr="00B37EF3">
        <w:rPr>
          <w:rFonts w:ascii="Arial" w:hAnsi="Arial" w:cs="Arial"/>
        </w:rPr>
        <w:t xml:space="preserve"> there is a considerable gap between the WHO guideline of 10 </w:t>
      </w:r>
      <w:r w:rsidR="006B4A56" w:rsidRPr="00B37EF3">
        <w:rPr>
          <w:rFonts w:ascii="Arial" w:hAnsi="Arial" w:cs="Arial"/>
          <w:bCs/>
        </w:rPr>
        <w:t>µ</w:t>
      </w:r>
      <w:r w:rsidR="006B4A56" w:rsidRPr="00B37EF3">
        <w:rPr>
          <w:rFonts w:ascii="Arial" w:hAnsi="Arial" w:cs="Arial"/>
        </w:rPr>
        <w:t>g/m</w:t>
      </w:r>
      <w:r w:rsidR="006B4A56" w:rsidRPr="00B37EF3">
        <w:rPr>
          <w:rFonts w:ascii="Arial" w:hAnsi="Arial" w:cs="Arial"/>
          <w:vertAlign w:val="superscript"/>
        </w:rPr>
        <w:t>3</w:t>
      </w:r>
      <w:r w:rsidR="006B4A56" w:rsidRPr="00B37EF3">
        <w:rPr>
          <w:rFonts w:ascii="Arial" w:hAnsi="Arial" w:cs="Arial"/>
        </w:rPr>
        <w:t xml:space="preserve"> and the United States standard of 12 </w:t>
      </w:r>
      <w:r w:rsidR="006B4A56" w:rsidRPr="00B37EF3">
        <w:rPr>
          <w:rFonts w:ascii="Arial" w:hAnsi="Arial" w:cs="Arial"/>
          <w:bCs/>
        </w:rPr>
        <w:t>µ</w:t>
      </w:r>
      <w:r w:rsidR="006B4A56" w:rsidRPr="00B37EF3">
        <w:rPr>
          <w:rFonts w:ascii="Arial" w:hAnsi="Arial" w:cs="Arial"/>
        </w:rPr>
        <w:t>g/m</w:t>
      </w:r>
      <w:r w:rsidR="006B4A56" w:rsidRPr="00B37EF3">
        <w:rPr>
          <w:rFonts w:ascii="Arial" w:hAnsi="Arial" w:cs="Arial"/>
          <w:vertAlign w:val="superscript"/>
        </w:rPr>
        <w:t>3</w:t>
      </w:r>
      <w:r w:rsidR="006B4A56" w:rsidRPr="00B37EF3">
        <w:rPr>
          <w:rFonts w:ascii="Arial" w:hAnsi="Arial" w:cs="Arial"/>
        </w:rPr>
        <w:t>. The EU limit values are much higher, and one of the recommendations of the REVIHAAP report was that these should be lowered. The report also concluded that there is a need for an additional PM</w:t>
      </w:r>
      <w:r w:rsidR="006B4A56" w:rsidRPr="00B37EF3">
        <w:rPr>
          <w:rFonts w:ascii="Arial" w:hAnsi="Arial" w:cs="Arial"/>
          <w:vertAlign w:val="subscript"/>
        </w:rPr>
        <w:t>2.5</w:t>
      </w:r>
      <w:r w:rsidR="006B4A56" w:rsidRPr="00B37EF3">
        <w:rPr>
          <w:rFonts w:ascii="Arial" w:hAnsi="Arial" w:cs="Arial"/>
        </w:rPr>
        <w:t xml:space="preserve"> short-term (24-hour) limit value in Europe. </w:t>
      </w:r>
      <w:r w:rsidR="002D2B0C" w:rsidRPr="00B37EF3">
        <w:rPr>
          <w:rFonts w:ascii="Arial" w:hAnsi="Arial" w:cs="Arial"/>
        </w:rPr>
        <w:t>I</w:t>
      </w:r>
      <w:r w:rsidR="006B4A56" w:rsidRPr="00B37EF3">
        <w:rPr>
          <w:rFonts w:ascii="Arial" w:hAnsi="Arial" w:cs="Arial"/>
        </w:rPr>
        <w:t>t will be important to update the current WHO guidelines, as recent long-term studies show associations between PM and mortality at levels well below the current annual WHO air quality guideline for PM</w:t>
      </w:r>
      <w:r w:rsidR="006B4A56" w:rsidRPr="00B37EF3">
        <w:rPr>
          <w:rFonts w:ascii="Arial" w:hAnsi="Arial" w:cs="Arial"/>
          <w:vertAlign w:val="subscript"/>
        </w:rPr>
        <w:t>2.5</w:t>
      </w:r>
      <w:r w:rsidR="006B4A56" w:rsidRPr="00B37EF3">
        <w:rPr>
          <w:rFonts w:ascii="Arial" w:hAnsi="Arial" w:cs="Arial"/>
        </w:rPr>
        <w:t xml:space="preserve"> of 10 </w:t>
      </w:r>
      <w:proofErr w:type="spellStart"/>
      <w:r w:rsidR="006B4A56" w:rsidRPr="00B37EF3">
        <w:rPr>
          <w:rFonts w:ascii="Arial" w:hAnsi="Arial" w:cs="Arial"/>
        </w:rPr>
        <w:t>μg</w:t>
      </w:r>
      <w:proofErr w:type="spellEnd"/>
      <w:r w:rsidR="006B4A56" w:rsidRPr="00B37EF3">
        <w:rPr>
          <w:rFonts w:ascii="Arial" w:hAnsi="Arial" w:cs="Arial"/>
        </w:rPr>
        <w:t>/m</w:t>
      </w:r>
      <w:r w:rsidR="006B4A56" w:rsidRPr="00B37EF3">
        <w:rPr>
          <w:rFonts w:ascii="Arial" w:hAnsi="Arial" w:cs="Arial"/>
          <w:vertAlign w:val="superscript"/>
        </w:rPr>
        <w:t>3</w:t>
      </w:r>
      <w:r w:rsidR="006B4A56" w:rsidRPr="00B37EF3">
        <w:rPr>
          <w:rFonts w:ascii="Arial" w:hAnsi="Arial" w:cs="Arial"/>
        </w:rPr>
        <w:t>.</w:t>
      </w:r>
    </w:p>
    <w:p w:rsidR="00896CDE" w:rsidRPr="00B37EF3" w:rsidRDefault="00896CDE" w:rsidP="00810588">
      <w:pPr>
        <w:spacing w:after="180"/>
        <w:rPr>
          <w:rFonts w:ascii="Arial" w:hAnsi="Arial" w:cs="Arial"/>
        </w:rPr>
      </w:pPr>
      <w:r w:rsidRPr="00B37EF3">
        <w:rPr>
          <w:rFonts w:ascii="Arial" w:hAnsi="Arial" w:cs="Arial"/>
        </w:rPr>
        <w:t xml:space="preserve">The </w:t>
      </w:r>
      <w:r w:rsidR="006F0C27" w:rsidRPr="00B37EF3">
        <w:rPr>
          <w:rFonts w:ascii="Arial" w:hAnsi="Arial" w:cs="Arial"/>
        </w:rPr>
        <w:t xml:space="preserve">WHO </w:t>
      </w:r>
      <w:r w:rsidRPr="00B37EF3">
        <w:rPr>
          <w:rFonts w:ascii="Arial" w:hAnsi="Arial" w:cs="Arial"/>
        </w:rPr>
        <w:t>2005 global update recommended a 24-hour guideline for PM</w:t>
      </w:r>
      <w:r w:rsidRPr="00B37EF3">
        <w:rPr>
          <w:rFonts w:ascii="Arial" w:hAnsi="Arial" w:cs="Arial"/>
          <w:vertAlign w:val="subscript"/>
        </w:rPr>
        <w:t>2.5</w:t>
      </w:r>
      <w:r w:rsidRPr="00B37EF3">
        <w:rPr>
          <w:rFonts w:ascii="Arial" w:hAnsi="Arial" w:cs="Arial"/>
        </w:rPr>
        <w:t xml:space="preserve"> of 25 </w:t>
      </w:r>
      <w:proofErr w:type="spellStart"/>
      <w:r w:rsidRPr="00B37EF3">
        <w:rPr>
          <w:rFonts w:ascii="Arial" w:hAnsi="Arial" w:cs="Arial"/>
        </w:rPr>
        <w:t>μg</w:t>
      </w:r>
      <w:proofErr w:type="spellEnd"/>
      <w:r w:rsidRPr="00B37EF3">
        <w:rPr>
          <w:rFonts w:ascii="Arial" w:hAnsi="Arial" w:cs="Arial"/>
        </w:rPr>
        <w:t>/m</w:t>
      </w:r>
      <w:r w:rsidRPr="00B37EF3">
        <w:rPr>
          <w:rFonts w:ascii="Arial" w:hAnsi="Arial" w:cs="Arial"/>
          <w:vertAlign w:val="superscript"/>
        </w:rPr>
        <w:t>3</w:t>
      </w:r>
      <w:r w:rsidR="00F22582" w:rsidRPr="00B37EF3">
        <w:rPr>
          <w:rFonts w:ascii="Arial" w:hAnsi="Arial" w:cs="Arial"/>
        </w:rPr>
        <w:t xml:space="preserve">. This has </w:t>
      </w:r>
      <w:r w:rsidR="00E32D49" w:rsidRPr="00B37EF3">
        <w:rPr>
          <w:rFonts w:ascii="Arial" w:hAnsi="Arial" w:cs="Arial"/>
        </w:rPr>
        <w:t xml:space="preserve">been </w:t>
      </w:r>
      <w:r w:rsidRPr="00B37EF3">
        <w:rPr>
          <w:rFonts w:ascii="Arial" w:hAnsi="Arial" w:cs="Arial"/>
        </w:rPr>
        <w:t>adopted as the advisory rep</w:t>
      </w:r>
      <w:r w:rsidR="00E32D49" w:rsidRPr="00B37EF3">
        <w:rPr>
          <w:rFonts w:ascii="Arial" w:hAnsi="Arial" w:cs="Arial"/>
        </w:rPr>
        <w:t xml:space="preserve">orting standard in the </w:t>
      </w:r>
      <w:r w:rsidR="00EF24F8" w:rsidRPr="00B37EF3">
        <w:rPr>
          <w:rFonts w:ascii="Arial" w:hAnsi="Arial" w:cs="Arial"/>
        </w:rPr>
        <w:t>AAQ NEPM</w:t>
      </w:r>
      <w:r w:rsidR="00E32D49" w:rsidRPr="00B37EF3">
        <w:rPr>
          <w:rFonts w:ascii="Arial" w:hAnsi="Arial" w:cs="Arial"/>
        </w:rPr>
        <w:t>.</w:t>
      </w:r>
    </w:p>
    <w:p w:rsidR="00374349" w:rsidRPr="00B37EF3" w:rsidRDefault="002D2B0C" w:rsidP="00374349">
      <w:pPr>
        <w:pStyle w:val="BulletArrows"/>
        <w:spacing w:after="240"/>
        <w:rPr>
          <w:rFonts w:ascii="Arial" w:hAnsi="Arial"/>
          <w:color w:val="auto"/>
        </w:rPr>
      </w:pPr>
      <w:r w:rsidRPr="00B37EF3">
        <w:rPr>
          <w:rFonts w:ascii="Arial" w:hAnsi="Arial"/>
          <w:color w:val="auto"/>
        </w:rPr>
        <w:t>Although t</w:t>
      </w:r>
      <w:r w:rsidR="00374349" w:rsidRPr="00B37EF3">
        <w:rPr>
          <w:rFonts w:ascii="Arial" w:hAnsi="Arial"/>
          <w:color w:val="auto"/>
        </w:rPr>
        <w:t xml:space="preserve">he Australian PM standards are numerically lower than, or equivalent to, those in other countries and regions, it is not straightforward to interpret such comparisons and they do not necessarily mean that the Australian standards are more stringent. For example, to a large degree the lower standards in Australia are made possible by relatively low natural background concentrations and the absence of significant anthropogenic </w:t>
      </w:r>
      <w:proofErr w:type="spellStart"/>
      <w:r w:rsidR="00374349" w:rsidRPr="00B37EF3">
        <w:rPr>
          <w:rFonts w:ascii="Arial" w:hAnsi="Arial"/>
          <w:color w:val="auto"/>
        </w:rPr>
        <w:t>transboundary</w:t>
      </w:r>
      <w:proofErr w:type="spellEnd"/>
      <w:r w:rsidR="00374349" w:rsidRPr="00B37EF3">
        <w:rPr>
          <w:rFonts w:ascii="Arial" w:hAnsi="Arial"/>
          <w:color w:val="auto"/>
        </w:rPr>
        <w:t xml:space="preserve"> pollution (which is a major issue in Europe, for example). However, as noted earlier, there would still be health benefits in Australia from setting the PM standards as low as reasonably achievable. </w:t>
      </w:r>
      <w:r w:rsidRPr="00B37EF3">
        <w:rPr>
          <w:rFonts w:ascii="Arial" w:hAnsi="Arial"/>
          <w:color w:val="auto"/>
        </w:rPr>
        <w:t>T</w:t>
      </w:r>
      <w:r w:rsidR="00374349" w:rsidRPr="00B37EF3">
        <w:rPr>
          <w:rFonts w:ascii="Arial" w:hAnsi="Arial"/>
          <w:color w:val="auto"/>
        </w:rPr>
        <w:t xml:space="preserve">here are </w:t>
      </w:r>
      <w:r w:rsidRPr="00B37EF3">
        <w:rPr>
          <w:rFonts w:ascii="Arial" w:hAnsi="Arial"/>
          <w:color w:val="auto"/>
        </w:rPr>
        <w:t xml:space="preserve">also </w:t>
      </w:r>
      <w:r w:rsidR="00374349" w:rsidRPr="00B37EF3">
        <w:rPr>
          <w:rFonts w:ascii="Arial" w:hAnsi="Arial"/>
          <w:color w:val="auto"/>
        </w:rPr>
        <w:t>differences in implementation; there is no legal requirement for compliance with the standards and goals in Australia, whereas there is in other countries and regions.</w:t>
      </w:r>
    </w:p>
    <w:p w:rsidR="00C83795" w:rsidRPr="00B37EF3" w:rsidRDefault="007A7E0B" w:rsidP="00C15550">
      <w:pPr>
        <w:spacing w:after="360"/>
        <w:rPr>
          <w:rFonts w:ascii="Arial" w:hAnsi="Arial" w:cs="Arial"/>
          <w:b/>
          <w:bCs/>
          <w:color w:val="0076C0"/>
          <w:kern w:val="32"/>
        </w:rPr>
      </w:pPr>
      <w:r w:rsidRPr="00B37EF3">
        <w:rPr>
          <w:rFonts w:ascii="Arial" w:hAnsi="Arial" w:cs="Arial"/>
        </w:rPr>
        <w:t xml:space="preserve">Options for the numerical values and form of the standard in the </w:t>
      </w:r>
      <w:r w:rsidR="00EF24F8" w:rsidRPr="00B37EF3">
        <w:rPr>
          <w:rFonts w:ascii="Arial" w:hAnsi="Arial" w:cs="Arial"/>
        </w:rPr>
        <w:t>AAQ NEPM</w:t>
      </w:r>
      <w:r w:rsidRPr="00B37EF3">
        <w:rPr>
          <w:rFonts w:ascii="Arial" w:hAnsi="Arial" w:cs="Arial"/>
        </w:rPr>
        <w:t xml:space="preserve"> are discussed in </w:t>
      </w:r>
      <w:r w:rsidRPr="00B37EF3">
        <w:rPr>
          <w:rFonts w:ascii="Arial" w:hAnsi="Arial" w:cs="Arial"/>
          <w:b/>
        </w:rPr>
        <w:t xml:space="preserve">Chapter 7 </w:t>
      </w:r>
      <w:r w:rsidRPr="00B37EF3">
        <w:rPr>
          <w:rFonts w:ascii="Arial" w:hAnsi="Arial" w:cs="Arial"/>
        </w:rPr>
        <w:t>and</w:t>
      </w:r>
      <w:r w:rsidRPr="00B37EF3">
        <w:rPr>
          <w:rFonts w:ascii="Arial" w:hAnsi="Arial" w:cs="Arial"/>
          <w:b/>
        </w:rPr>
        <w:t xml:space="preserve"> Chapter 8.</w:t>
      </w:r>
      <w:r w:rsidRPr="00B37EF3">
        <w:rPr>
          <w:rFonts w:ascii="Arial" w:hAnsi="Arial" w:cs="Arial"/>
        </w:rPr>
        <w:t xml:space="preserve"> Given that the existing Australian standards are generally lower than, or equivalent to the WHO </w:t>
      </w:r>
      <w:r w:rsidRPr="00B37EF3">
        <w:rPr>
          <w:rFonts w:ascii="Arial" w:hAnsi="Arial" w:cs="Arial"/>
        </w:rPr>
        <w:lastRenderedPageBreak/>
        <w:t>guidelines and the standards in o</w:t>
      </w:r>
      <w:r w:rsidR="00AD2F75" w:rsidRPr="00B37EF3">
        <w:rPr>
          <w:rFonts w:ascii="Arial" w:hAnsi="Arial" w:cs="Arial"/>
        </w:rPr>
        <w:t xml:space="preserve">ther countries, </w:t>
      </w:r>
      <w:r w:rsidR="009B09E8" w:rsidRPr="00B37EF3">
        <w:rPr>
          <w:rFonts w:ascii="Arial" w:hAnsi="Arial" w:cs="Arial"/>
        </w:rPr>
        <w:t xml:space="preserve">it </w:t>
      </w:r>
      <w:r w:rsidR="00AD2F75" w:rsidRPr="00B37EF3">
        <w:rPr>
          <w:rFonts w:ascii="Arial" w:hAnsi="Arial" w:cs="Arial"/>
        </w:rPr>
        <w:t xml:space="preserve">is </w:t>
      </w:r>
      <w:r w:rsidRPr="00B37EF3">
        <w:rPr>
          <w:rFonts w:ascii="Arial" w:hAnsi="Arial" w:cs="Arial"/>
        </w:rPr>
        <w:t xml:space="preserve">important to focus on the achievability of the </w:t>
      </w:r>
      <w:r w:rsidR="009B09E8" w:rsidRPr="00B37EF3">
        <w:rPr>
          <w:rFonts w:ascii="Arial" w:hAnsi="Arial" w:cs="Arial"/>
        </w:rPr>
        <w:t xml:space="preserve">various </w:t>
      </w:r>
      <w:r w:rsidRPr="00B37EF3">
        <w:rPr>
          <w:rFonts w:ascii="Arial" w:hAnsi="Arial" w:cs="Arial"/>
        </w:rPr>
        <w:t>options</w:t>
      </w:r>
      <w:r w:rsidR="009B09E8" w:rsidRPr="00B37EF3">
        <w:rPr>
          <w:rFonts w:ascii="Arial" w:hAnsi="Arial" w:cs="Arial"/>
        </w:rPr>
        <w:t xml:space="preserve"> for varying the </w:t>
      </w:r>
      <w:r w:rsidR="00EF24F8" w:rsidRPr="00B37EF3">
        <w:rPr>
          <w:rFonts w:ascii="Arial" w:hAnsi="Arial" w:cs="Arial"/>
        </w:rPr>
        <w:t>AAQ NEPM</w:t>
      </w:r>
      <w:r w:rsidRPr="00B37EF3">
        <w:rPr>
          <w:rFonts w:ascii="Arial" w:hAnsi="Arial" w:cs="Arial"/>
        </w:rPr>
        <w:t>.</w:t>
      </w:r>
      <w:r w:rsidR="009B09E8" w:rsidRPr="00B37EF3">
        <w:rPr>
          <w:rFonts w:ascii="Arial" w:hAnsi="Arial" w:cs="Arial"/>
        </w:rPr>
        <w:t xml:space="preserve"> This analysis is presented in </w:t>
      </w:r>
      <w:r w:rsidR="009B09E8" w:rsidRPr="00B37EF3">
        <w:rPr>
          <w:rFonts w:ascii="Arial" w:hAnsi="Arial" w:cs="Arial"/>
          <w:b/>
        </w:rPr>
        <w:t>Chapter 5</w:t>
      </w:r>
      <w:r w:rsidR="009B09E8" w:rsidRPr="00B37EF3">
        <w:rPr>
          <w:rFonts w:ascii="Arial" w:hAnsi="Arial" w:cs="Arial"/>
        </w:rPr>
        <w:t>.</w:t>
      </w:r>
      <w:r w:rsidRPr="00B37EF3">
        <w:rPr>
          <w:rFonts w:ascii="Arial" w:hAnsi="Arial" w:cs="Arial"/>
          <w:bCs/>
          <w:color w:val="0076C0"/>
          <w:kern w:val="32"/>
        </w:rPr>
        <w:t xml:space="preserve"> </w:t>
      </w:r>
    </w:p>
    <w:p w:rsidR="005D439F" w:rsidRPr="00B37EF3" w:rsidRDefault="005D439F" w:rsidP="000F787E">
      <w:pPr>
        <w:pStyle w:val="Heading3"/>
        <w:rPr>
          <w:rFonts w:ascii="Arial" w:hAnsi="Arial"/>
          <w:lang w:eastAsia="en-US"/>
        </w:rPr>
      </w:pPr>
      <w:bookmarkStart w:id="64" w:name="_Ref368994577"/>
      <w:bookmarkStart w:id="65" w:name="_Toc394011101"/>
      <w:r w:rsidRPr="00B37EF3">
        <w:rPr>
          <w:rFonts w:ascii="Arial" w:hAnsi="Arial"/>
          <w:lang w:eastAsia="en-US"/>
        </w:rPr>
        <w:t>Exposure</w:t>
      </w:r>
      <w:r w:rsidR="00284AC3" w:rsidRPr="00B37EF3">
        <w:rPr>
          <w:rFonts w:ascii="Arial" w:hAnsi="Arial"/>
          <w:lang w:eastAsia="en-US"/>
        </w:rPr>
        <w:t xml:space="preserve"> </w:t>
      </w:r>
      <w:r w:rsidRPr="00B37EF3">
        <w:rPr>
          <w:rFonts w:ascii="Arial" w:hAnsi="Arial"/>
          <w:lang w:eastAsia="en-US"/>
        </w:rPr>
        <w:t>reduction</w:t>
      </w:r>
      <w:bookmarkEnd w:id="64"/>
      <w:bookmarkEnd w:id="65"/>
    </w:p>
    <w:p w:rsidR="005D439F" w:rsidRPr="00B37EF3" w:rsidRDefault="005D439F" w:rsidP="00DB5D5F">
      <w:pPr>
        <w:pStyle w:val="Level4PB2"/>
        <w:rPr>
          <w:rFonts w:ascii="Arial" w:hAnsi="Arial" w:cs="Arial"/>
          <w:lang w:val="en-AU"/>
        </w:rPr>
      </w:pPr>
      <w:r w:rsidRPr="00B37EF3">
        <w:rPr>
          <w:rFonts w:ascii="Arial" w:hAnsi="Arial" w:cs="Arial"/>
          <w:lang w:val="en-AU"/>
        </w:rPr>
        <w:t>Rationale</w:t>
      </w:r>
      <w:r w:rsidR="00CE6B8D" w:rsidRPr="00B37EF3">
        <w:rPr>
          <w:rFonts w:ascii="Arial" w:hAnsi="Arial" w:cs="Arial"/>
          <w:lang w:val="en-AU"/>
        </w:rPr>
        <w:t xml:space="preserve"> and general approaches</w:t>
      </w:r>
    </w:p>
    <w:p w:rsidR="009B09E8" w:rsidRPr="00B37EF3" w:rsidRDefault="005D439F" w:rsidP="00810588">
      <w:pPr>
        <w:spacing w:after="180"/>
        <w:rPr>
          <w:rFonts w:ascii="Arial" w:hAnsi="Arial" w:cs="Arial"/>
        </w:rPr>
      </w:pPr>
      <w:r w:rsidRPr="00B37EF3">
        <w:rPr>
          <w:rFonts w:ascii="Arial" w:hAnsi="Arial" w:cs="Arial"/>
        </w:rPr>
        <w:t xml:space="preserve">As noted above, </w:t>
      </w:r>
      <w:r w:rsidR="005A4F9B" w:rsidRPr="00B37EF3">
        <w:rPr>
          <w:rFonts w:ascii="Arial" w:hAnsi="Arial" w:cs="Arial"/>
        </w:rPr>
        <w:t xml:space="preserve">most </w:t>
      </w:r>
      <w:r w:rsidRPr="00B37EF3">
        <w:rPr>
          <w:rFonts w:ascii="Arial" w:hAnsi="Arial" w:cs="Arial"/>
        </w:rPr>
        <w:t xml:space="preserve">monitoring and assessment to date has largely been directed towards evaluating air quality </w:t>
      </w:r>
      <w:r w:rsidR="0087080F" w:rsidRPr="00B37EF3">
        <w:rPr>
          <w:rFonts w:ascii="Arial" w:hAnsi="Arial" w:cs="Arial"/>
        </w:rPr>
        <w:t xml:space="preserve">against </w:t>
      </w:r>
      <w:r w:rsidRPr="00B37EF3">
        <w:rPr>
          <w:rFonts w:ascii="Arial" w:hAnsi="Arial" w:cs="Arial"/>
        </w:rPr>
        <w:t xml:space="preserve">standards and goals at specific locations. </w:t>
      </w:r>
      <w:r w:rsidR="009B09E8" w:rsidRPr="00B37EF3">
        <w:rPr>
          <w:rFonts w:ascii="Arial" w:hAnsi="Arial" w:cs="Arial"/>
        </w:rPr>
        <w:t>However, o</w:t>
      </w:r>
      <w:r w:rsidRPr="00B37EF3">
        <w:rPr>
          <w:rFonts w:ascii="Arial" w:hAnsi="Arial" w:cs="Arial"/>
        </w:rPr>
        <w:t>ver the typical range of ambient PM concentrations the relationship between the concentration and the health response is, broadly speaking, linear.</w:t>
      </w:r>
      <w:r w:rsidR="00D6640D" w:rsidRPr="00B37EF3">
        <w:rPr>
          <w:rFonts w:ascii="Arial" w:hAnsi="Arial" w:cs="Arial"/>
        </w:rPr>
        <w:t xml:space="preserve"> This means that sensitive individuals </w:t>
      </w:r>
      <w:r w:rsidR="00284AC3" w:rsidRPr="00B37EF3">
        <w:rPr>
          <w:rFonts w:ascii="Arial" w:hAnsi="Arial" w:cs="Arial"/>
        </w:rPr>
        <w:t>–</w:t>
      </w:r>
      <w:r w:rsidR="00D6640D" w:rsidRPr="00B37EF3">
        <w:rPr>
          <w:rFonts w:ascii="Arial" w:hAnsi="Arial" w:cs="Arial"/>
        </w:rPr>
        <w:t xml:space="preserve"> such as asthmatics and people with respiratory or cardiovascular disease </w:t>
      </w:r>
      <w:r w:rsidR="00284AC3" w:rsidRPr="00B37EF3">
        <w:rPr>
          <w:rFonts w:ascii="Arial" w:hAnsi="Arial" w:cs="Arial"/>
        </w:rPr>
        <w:t>–</w:t>
      </w:r>
      <w:r w:rsidR="00D6640D" w:rsidRPr="00B37EF3">
        <w:rPr>
          <w:rFonts w:ascii="Arial" w:hAnsi="Arial" w:cs="Arial"/>
        </w:rPr>
        <w:t xml:space="preserve"> may be affected even where a</w:t>
      </w:r>
      <w:r w:rsidR="002B37CF" w:rsidRPr="00B37EF3">
        <w:rPr>
          <w:rFonts w:ascii="Arial" w:hAnsi="Arial" w:cs="Arial"/>
        </w:rPr>
        <w:t>n</w:t>
      </w:r>
      <w:r w:rsidR="00D6640D" w:rsidRPr="00B37EF3">
        <w:rPr>
          <w:rFonts w:ascii="Arial" w:hAnsi="Arial" w:cs="Arial"/>
        </w:rPr>
        <w:t xml:space="preserve"> </w:t>
      </w:r>
      <w:r w:rsidR="00EF24F8" w:rsidRPr="00B37EF3">
        <w:rPr>
          <w:rFonts w:ascii="Arial" w:hAnsi="Arial" w:cs="Arial"/>
        </w:rPr>
        <w:t>AAQ NEPM</w:t>
      </w:r>
      <w:r w:rsidR="00D6640D" w:rsidRPr="00B37EF3">
        <w:rPr>
          <w:rFonts w:ascii="Arial" w:hAnsi="Arial" w:cs="Arial"/>
        </w:rPr>
        <w:t xml:space="preserve"> standard is not exceeded</w:t>
      </w:r>
      <w:r w:rsidR="00D6640D" w:rsidRPr="00B37EF3">
        <w:rPr>
          <w:rStyle w:val="FootnoteReference"/>
          <w:rFonts w:ascii="Arial" w:hAnsi="Arial" w:cs="Arial"/>
        </w:rPr>
        <w:footnoteReference w:id="16"/>
      </w:r>
      <w:r w:rsidR="00D6640D" w:rsidRPr="00B37EF3">
        <w:rPr>
          <w:rFonts w:ascii="Arial" w:hAnsi="Arial" w:cs="Arial"/>
        </w:rPr>
        <w:t>.</w:t>
      </w:r>
      <w:r w:rsidRPr="00B37EF3">
        <w:rPr>
          <w:rFonts w:ascii="Arial" w:hAnsi="Arial" w:cs="Arial"/>
        </w:rPr>
        <w:t xml:space="preserve"> </w:t>
      </w:r>
      <w:r w:rsidR="009B09E8" w:rsidRPr="00B37EF3">
        <w:rPr>
          <w:rFonts w:ascii="Arial" w:hAnsi="Arial" w:cs="Arial"/>
        </w:rPr>
        <w:t>There is therefore</w:t>
      </w:r>
      <w:r w:rsidRPr="00B37EF3">
        <w:rPr>
          <w:rFonts w:ascii="Arial" w:hAnsi="Arial" w:cs="Arial"/>
        </w:rPr>
        <w:t xml:space="preserve"> still a health benefit (and cost saving) to be gained from any reduction in ov</w:t>
      </w:r>
      <w:r w:rsidR="009B09E8" w:rsidRPr="00B37EF3">
        <w:rPr>
          <w:rFonts w:ascii="Arial" w:hAnsi="Arial" w:cs="Arial"/>
        </w:rPr>
        <w:t>erall population exposure</w:t>
      </w:r>
      <w:r w:rsidR="009B09E8" w:rsidRPr="00B37EF3">
        <w:rPr>
          <w:rStyle w:val="FootnoteReference"/>
          <w:rFonts w:ascii="Arial" w:hAnsi="Arial" w:cs="Arial"/>
        </w:rPr>
        <w:footnoteReference w:id="17"/>
      </w:r>
      <w:r w:rsidR="00D94082" w:rsidRPr="00B37EF3">
        <w:rPr>
          <w:rFonts w:ascii="Arial" w:hAnsi="Arial" w:cs="Arial"/>
        </w:rPr>
        <w:t>.</w:t>
      </w:r>
      <w:r w:rsidR="009B09E8" w:rsidRPr="00B37EF3">
        <w:rPr>
          <w:rFonts w:ascii="Arial" w:hAnsi="Arial" w:cs="Arial"/>
        </w:rPr>
        <w:t xml:space="preserve"> </w:t>
      </w:r>
    </w:p>
    <w:p w:rsidR="00D6640D" w:rsidRPr="00B37EF3" w:rsidRDefault="00D6640D" w:rsidP="00810588">
      <w:pPr>
        <w:spacing w:after="180"/>
        <w:rPr>
          <w:rFonts w:ascii="Arial" w:hAnsi="Arial" w:cs="Arial"/>
        </w:rPr>
      </w:pPr>
      <w:r w:rsidRPr="00B37EF3">
        <w:rPr>
          <w:rFonts w:ascii="Arial" w:hAnsi="Arial" w:cs="Arial"/>
        </w:rPr>
        <w:t xml:space="preserve">Overall health outcomes are driven by large-scale population exposure to the prevailing background PM concentration. </w:t>
      </w:r>
      <w:r w:rsidR="005D439F" w:rsidRPr="00B37EF3">
        <w:rPr>
          <w:rFonts w:ascii="Arial" w:hAnsi="Arial" w:cs="Arial"/>
        </w:rPr>
        <w:t>By way of example, the health benefits associated with reducing the average PM concentration by 1 µg/m</w:t>
      </w:r>
      <w:r w:rsidR="005D439F" w:rsidRPr="00B37EF3">
        <w:rPr>
          <w:rFonts w:ascii="Arial" w:hAnsi="Arial" w:cs="Arial"/>
          <w:vertAlign w:val="superscript"/>
        </w:rPr>
        <w:t>3</w:t>
      </w:r>
      <w:r w:rsidR="005D439F" w:rsidRPr="00B37EF3">
        <w:rPr>
          <w:rFonts w:ascii="Arial" w:hAnsi="Arial" w:cs="Arial"/>
        </w:rPr>
        <w:t xml:space="preserve"> across a population of 100,000 people are ten times greater than those from reducing the average PM concentration by 10 µg/m</w:t>
      </w:r>
      <w:r w:rsidR="005D439F" w:rsidRPr="00B37EF3">
        <w:rPr>
          <w:rFonts w:ascii="Arial" w:hAnsi="Arial" w:cs="Arial"/>
          <w:vertAlign w:val="superscript"/>
        </w:rPr>
        <w:t>3</w:t>
      </w:r>
      <w:r w:rsidR="005D439F" w:rsidRPr="00B37EF3">
        <w:rPr>
          <w:rFonts w:ascii="Arial" w:hAnsi="Arial" w:cs="Arial"/>
        </w:rPr>
        <w:t xml:space="preserve"> across a population of 1000 people. These benefits are not affected by the absolute concentration. Thus, for a given population</w:t>
      </w:r>
      <w:r w:rsidR="00284AC3" w:rsidRPr="00B37EF3">
        <w:rPr>
          <w:rFonts w:ascii="Arial" w:hAnsi="Arial" w:cs="Arial"/>
        </w:rPr>
        <w:t>,</w:t>
      </w:r>
      <w:r w:rsidR="005D439F" w:rsidRPr="00B37EF3">
        <w:rPr>
          <w:rFonts w:ascii="Arial" w:hAnsi="Arial" w:cs="Arial"/>
        </w:rPr>
        <w:t xml:space="preserve"> reducing the average PM concentration from 28 µg/m</w:t>
      </w:r>
      <w:r w:rsidR="005D439F" w:rsidRPr="00B37EF3">
        <w:rPr>
          <w:rFonts w:ascii="Arial" w:hAnsi="Arial" w:cs="Arial"/>
          <w:vertAlign w:val="superscript"/>
        </w:rPr>
        <w:t>3</w:t>
      </w:r>
      <w:r w:rsidR="00284AC3" w:rsidRPr="00B37EF3">
        <w:rPr>
          <w:rFonts w:ascii="Arial" w:hAnsi="Arial" w:cs="Arial"/>
        </w:rPr>
        <w:t xml:space="preserve"> </w:t>
      </w:r>
      <w:r w:rsidR="005D439F" w:rsidRPr="00B37EF3">
        <w:rPr>
          <w:rFonts w:ascii="Arial" w:hAnsi="Arial" w:cs="Arial"/>
        </w:rPr>
        <w:t>to 27 µg/m</w:t>
      </w:r>
      <w:r w:rsidR="005D439F" w:rsidRPr="00B37EF3">
        <w:rPr>
          <w:rFonts w:ascii="Arial" w:hAnsi="Arial" w:cs="Arial"/>
          <w:vertAlign w:val="superscript"/>
        </w:rPr>
        <w:t>3</w:t>
      </w:r>
      <w:r w:rsidR="005D439F" w:rsidRPr="00B37EF3">
        <w:rPr>
          <w:rFonts w:ascii="Arial" w:hAnsi="Arial" w:cs="Arial"/>
        </w:rPr>
        <w:t xml:space="preserve"> is expected to deliver the same health benefits as reducing the average concentration from 8 µg/m</w:t>
      </w:r>
      <w:r w:rsidR="005D439F" w:rsidRPr="00B37EF3">
        <w:rPr>
          <w:rFonts w:ascii="Arial" w:hAnsi="Arial" w:cs="Arial"/>
          <w:vertAlign w:val="superscript"/>
        </w:rPr>
        <w:t>3</w:t>
      </w:r>
      <w:r w:rsidR="005D439F" w:rsidRPr="00B37EF3">
        <w:rPr>
          <w:rFonts w:ascii="Arial" w:hAnsi="Arial" w:cs="Arial"/>
        </w:rPr>
        <w:t xml:space="preserve"> to 7 µg/m</w:t>
      </w:r>
      <w:r w:rsidR="005D439F" w:rsidRPr="00B37EF3">
        <w:rPr>
          <w:rFonts w:ascii="Arial" w:hAnsi="Arial" w:cs="Arial"/>
          <w:vertAlign w:val="superscript"/>
        </w:rPr>
        <w:t>3</w:t>
      </w:r>
      <w:r w:rsidR="005D439F" w:rsidRPr="00B37EF3">
        <w:rPr>
          <w:rFonts w:ascii="Arial" w:hAnsi="Arial" w:cs="Arial"/>
        </w:rPr>
        <w:t xml:space="preserve"> </w:t>
      </w:r>
      <w:r w:rsidR="005D439F" w:rsidRPr="00B37EF3">
        <w:rPr>
          <w:rFonts w:ascii="Arial" w:hAnsi="Arial" w:cs="Arial"/>
          <w:b/>
        </w:rPr>
        <w:t>(</w:t>
      </w:r>
      <w:proofErr w:type="spellStart"/>
      <w:r w:rsidR="005D439F" w:rsidRPr="00B37EF3">
        <w:rPr>
          <w:rFonts w:ascii="Arial" w:hAnsi="Arial" w:cs="Arial"/>
          <w:b/>
        </w:rPr>
        <w:t>Bawden</w:t>
      </w:r>
      <w:proofErr w:type="spellEnd"/>
      <w:r w:rsidR="005D439F" w:rsidRPr="00B37EF3">
        <w:rPr>
          <w:rFonts w:ascii="Arial" w:hAnsi="Arial" w:cs="Arial"/>
          <w:b/>
        </w:rPr>
        <w:t xml:space="preserve"> </w:t>
      </w:r>
      <w:r w:rsidR="009334F4" w:rsidRPr="00B37EF3">
        <w:rPr>
          <w:rFonts w:ascii="Arial" w:hAnsi="Arial" w:cs="Arial"/>
          <w:b/>
        </w:rPr>
        <w:t>et al</w:t>
      </w:r>
      <w:r w:rsidR="005D439F" w:rsidRPr="00B37EF3">
        <w:rPr>
          <w:rFonts w:ascii="Arial" w:hAnsi="Arial" w:cs="Arial"/>
          <w:b/>
        </w:rPr>
        <w:t>. 2012)</w:t>
      </w:r>
      <w:r w:rsidR="005D439F" w:rsidRPr="00B37EF3">
        <w:rPr>
          <w:rFonts w:ascii="Arial" w:hAnsi="Arial" w:cs="Arial"/>
        </w:rPr>
        <w:t>.</w:t>
      </w:r>
    </w:p>
    <w:p w:rsidR="00D6640D" w:rsidRPr="00B37EF3" w:rsidRDefault="009B09E8" w:rsidP="00810588">
      <w:pPr>
        <w:spacing w:after="180"/>
        <w:rPr>
          <w:rFonts w:ascii="Arial" w:hAnsi="Arial" w:cs="Arial"/>
        </w:rPr>
      </w:pPr>
      <w:r w:rsidRPr="00B37EF3">
        <w:rPr>
          <w:rFonts w:ascii="Arial" w:hAnsi="Arial" w:cs="Arial"/>
        </w:rPr>
        <w:t xml:space="preserve">Whilst air quality standards have an important role to play in driving down PM concentrations where exceedances are measured or predicted, localised remedial actions are unlikely to lead to large-scale reductions in population exposure. In addition, in areas of higher population density where there are no exceedances of the standards, there is currently no driver to implement measures to reduce exposure to PM </w:t>
      </w:r>
      <w:r w:rsidRPr="00B37EF3">
        <w:rPr>
          <w:rFonts w:ascii="Arial" w:hAnsi="Arial" w:cs="Arial"/>
          <w:b/>
        </w:rPr>
        <w:t>(</w:t>
      </w:r>
      <w:proofErr w:type="spellStart"/>
      <w:r w:rsidRPr="00B37EF3">
        <w:rPr>
          <w:rFonts w:ascii="Arial" w:hAnsi="Arial" w:cs="Arial"/>
          <w:b/>
        </w:rPr>
        <w:t>Bawden</w:t>
      </w:r>
      <w:proofErr w:type="spellEnd"/>
      <w:r w:rsidRPr="00B37EF3">
        <w:rPr>
          <w:rFonts w:ascii="Arial" w:hAnsi="Arial" w:cs="Arial"/>
          <w:b/>
        </w:rPr>
        <w:t xml:space="preserve"> </w:t>
      </w:r>
      <w:r w:rsidR="009334F4" w:rsidRPr="00B37EF3">
        <w:rPr>
          <w:rFonts w:ascii="Arial" w:hAnsi="Arial" w:cs="Arial"/>
          <w:b/>
        </w:rPr>
        <w:t>et al.</w:t>
      </w:r>
      <w:r w:rsidRPr="00B37EF3">
        <w:rPr>
          <w:rFonts w:ascii="Arial" w:hAnsi="Arial" w:cs="Arial"/>
          <w:b/>
        </w:rPr>
        <w:t xml:space="preserve"> 2012)</w:t>
      </w:r>
      <w:r w:rsidRPr="00B37EF3">
        <w:rPr>
          <w:rFonts w:ascii="Arial" w:hAnsi="Arial" w:cs="Arial"/>
        </w:rPr>
        <w:t>.</w:t>
      </w:r>
      <w:r w:rsidR="00D6640D" w:rsidRPr="00B37EF3">
        <w:rPr>
          <w:rFonts w:ascii="Arial" w:hAnsi="Arial" w:cs="Arial"/>
          <w:lang w:eastAsia="en-US"/>
        </w:rPr>
        <w:t xml:space="preserve"> </w:t>
      </w:r>
      <w:r w:rsidR="005D439F" w:rsidRPr="00B37EF3">
        <w:rPr>
          <w:rFonts w:ascii="Arial" w:hAnsi="Arial" w:cs="Arial"/>
          <w:lang w:eastAsia="en-US"/>
        </w:rPr>
        <w:t xml:space="preserve">One approach that is being implemented internationally </w:t>
      </w:r>
      <w:r w:rsidR="00D6640D" w:rsidRPr="00B37EF3">
        <w:rPr>
          <w:rFonts w:ascii="Arial" w:hAnsi="Arial" w:cs="Arial"/>
          <w:lang w:eastAsia="en-US"/>
        </w:rPr>
        <w:t xml:space="preserve">to address this issue </w:t>
      </w:r>
      <w:r w:rsidR="005D439F" w:rsidRPr="00B37EF3">
        <w:rPr>
          <w:rFonts w:ascii="Arial" w:hAnsi="Arial" w:cs="Arial"/>
          <w:lang w:eastAsia="en-US"/>
        </w:rPr>
        <w:t>is to add an exposur</w:t>
      </w:r>
      <w:r w:rsidR="009C2445" w:rsidRPr="00B37EF3">
        <w:rPr>
          <w:rFonts w:ascii="Arial" w:hAnsi="Arial" w:cs="Arial"/>
          <w:lang w:eastAsia="en-US"/>
        </w:rPr>
        <w:t xml:space="preserve">e-reduction overlay </w:t>
      </w:r>
      <w:r w:rsidR="00D6640D" w:rsidRPr="00B37EF3">
        <w:rPr>
          <w:rFonts w:ascii="Arial" w:hAnsi="Arial" w:cs="Arial"/>
          <w:lang w:eastAsia="en-US"/>
        </w:rPr>
        <w:t xml:space="preserve">for non-threshold pollutants </w:t>
      </w:r>
      <w:r w:rsidR="009C2445" w:rsidRPr="00B37EF3">
        <w:rPr>
          <w:rFonts w:ascii="Arial" w:hAnsi="Arial" w:cs="Arial"/>
          <w:lang w:eastAsia="en-US"/>
        </w:rPr>
        <w:t xml:space="preserve">to air quality </w:t>
      </w:r>
      <w:r w:rsidR="00D6640D" w:rsidRPr="00B37EF3">
        <w:rPr>
          <w:rFonts w:ascii="Arial" w:hAnsi="Arial" w:cs="Arial"/>
          <w:lang w:eastAsia="en-US"/>
        </w:rPr>
        <w:t>standards</w:t>
      </w:r>
      <w:r w:rsidR="005D439F" w:rsidRPr="00B37EF3">
        <w:rPr>
          <w:rFonts w:ascii="Arial" w:hAnsi="Arial" w:cs="Arial"/>
        </w:rPr>
        <w:t>.</w:t>
      </w:r>
      <w:r w:rsidR="00D6640D" w:rsidRPr="00B37EF3">
        <w:rPr>
          <w:rFonts w:ascii="Arial" w:hAnsi="Arial" w:cs="Arial"/>
        </w:rPr>
        <w:t xml:space="preserve"> The scientific support for the exposure-reduction approach to managing PM air quality has been strengthened by the REVIHAAP findings </w:t>
      </w:r>
      <w:r w:rsidR="00D6640D" w:rsidRPr="00B37EF3">
        <w:rPr>
          <w:rFonts w:ascii="Arial" w:hAnsi="Arial" w:cs="Arial"/>
          <w:b/>
        </w:rPr>
        <w:t>(WHO Regional Office for Europe 2013)</w:t>
      </w:r>
      <w:r w:rsidR="00D6640D" w:rsidRPr="00B37EF3">
        <w:rPr>
          <w:rFonts w:ascii="Arial" w:hAnsi="Arial" w:cs="Arial"/>
        </w:rPr>
        <w:t>.</w:t>
      </w:r>
    </w:p>
    <w:p w:rsidR="005D439F" w:rsidRPr="00B37EF3" w:rsidRDefault="005D439F" w:rsidP="00810588">
      <w:pPr>
        <w:spacing w:after="180"/>
        <w:rPr>
          <w:rFonts w:ascii="Arial" w:hAnsi="Arial" w:cs="Arial"/>
          <w:lang w:eastAsia="en-US"/>
        </w:rPr>
      </w:pPr>
      <w:proofErr w:type="spellStart"/>
      <w:r w:rsidRPr="00B37EF3">
        <w:rPr>
          <w:rFonts w:ascii="Arial" w:hAnsi="Arial" w:cs="Arial"/>
          <w:b/>
        </w:rPr>
        <w:t>Bawden</w:t>
      </w:r>
      <w:proofErr w:type="spellEnd"/>
      <w:r w:rsidRPr="00B37EF3">
        <w:rPr>
          <w:rFonts w:ascii="Arial" w:hAnsi="Arial" w:cs="Arial"/>
          <w:b/>
        </w:rPr>
        <w:t xml:space="preserve"> </w:t>
      </w:r>
      <w:r w:rsidR="009334F4" w:rsidRPr="00B37EF3">
        <w:rPr>
          <w:rFonts w:ascii="Arial" w:hAnsi="Arial" w:cs="Arial"/>
          <w:b/>
        </w:rPr>
        <w:t>et al.</w:t>
      </w:r>
      <w:r w:rsidRPr="00B37EF3">
        <w:rPr>
          <w:rFonts w:ascii="Arial" w:hAnsi="Arial" w:cs="Arial"/>
          <w:b/>
        </w:rPr>
        <w:t xml:space="preserve"> (2012)</w:t>
      </w:r>
      <w:r w:rsidRPr="00B37EF3">
        <w:rPr>
          <w:rFonts w:ascii="Arial" w:hAnsi="Arial" w:cs="Arial"/>
        </w:rPr>
        <w:t xml:space="preserve"> emphasised the importance of drawing a distinction between approaches which maximise equity (whereby individuals most at risk of exposure to the highest concentrations are protected to a uniform, minimum standard</w:t>
      </w:r>
      <w:r w:rsidR="00ED4870" w:rsidRPr="00B37EF3">
        <w:rPr>
          <w:rFonts w:ascii="Arial" w:hAnsi="Arial" w:cs="Arial"/>
        </w:rPr>
        <w:t>)</w:t>
      </w:r>
      <w:r w:rsidRPr="00B37EF3">
        <w:rPr>
          <w:rFonts w:ascii="Arial" w:hAnsi="Arial" w:cs="Arial"/>
        </w:rPr>
        <w:t xml:space="preserve">, and those which maximise efficiency (which relates to the ability to maximise health benefits across the population, </w:t>
      </w:r>
      <w:r w:rsidR="009334F4" w:rsidRPr="00B37EF3">
        <w:rPr>
          <w:rFonts w:ascii="Arial" w:hAnsi="Arial" w:cs="Arial"/>
        </w:rPr>
        <w:t>e.g.</w:t>
      </w:r>
      <w:r w:rsidRPr="00B37EF3">
        <w:rPr>
          <w:rFonts w:ascii="Arial" w:hAnsi="Arial" w:cs="Arial"/>
        </w:rPr>
        <w:t xml:space="preserve"> life-years saved). </w:t>
      </w:r>
      <w:r w:rsidR="00EF24F8" w:rsidRPr="00B37EF3">
        <w:rPr>
          <w:rFonts w:ascii="Arial" w:hAnsi="Arial" w:cs="Arial"/>
        </w:rPr>
        <w:t>AAQ NEPM</w:t>
      </w:r>
      <w:r w:rsidRPr="00B37EF3">
        <w:rPr>
          <w:rFonts w:ascii="Arial" w:hAnsi="Arial" w:cs="Arial"/>
        </w:rPr>
        <w:t xml:space="preserve"> standards for PM have an important role to play in maximising equity, but can be usefully complemented by an exposure-reduction approach which seeks to maximise efficiency.</w:t>
      </w:r>
      <w:r w:rsidR="009B09E8" w:rsidRPr="00B37EF3">
        <w:rPr>
          <w:rFonts w:ascii="Arial" w:hAnsi="Arial" w:cs="Arial"/>
        </w:rPr>
        <w:t xml:space="preserve"> </w:t>
      </w:r>
      <w:r w:rsidR="00D6640D" w:rsidRPr="00B37EF3">
        <w:rPr>
          <w:rFonts w:ascii="Arial" w:hAnsi="Arial" w:cs="Arial"/>
        </w:rPr>
        <w:t>T</w:t>
      </w:r>
      <w:r w:rsidRPr="00B37EF3">
        <w:rPr>
          <w:rFonts w:ascii="Arial" w:hAnsi="Arial" w:cs="Arial"/>
        </w:rPr>
        <w:t xml:space="preserve">o ensure equity the </w:t>
      </w:r>
      <w:r w:rsidR="00D6640D" w:rsidRPr="00B37EF3">
        <w:rPr>
          <w:rFonts w:ascii="Arial" w:hAnsi="Arial" w:cs="Arial"/>
        </w:rPr>
        <w:t xml:space="preserve">exposure-reduction </w:t>
      </w:r>
      <w:r w:rsidRPr="00B37EF3">
        <w:rPr>
          <w:rFonts w:ascii="Arial" w:hAnsi="Arial" w:cs="Arial"/>
        </w:rPr>
        <w:t>approach should be combined with a traditional air quality standard to provide a minimum degree of health protection everywhere.</w:t>
      </w:r>
    </w:p>
    <w:p w:rsidR="00CE6B8D" w:rsidRPr="00B37EF3" w:rsidRDefault="00AD2F75" w:rsidP="00810588">
      <w:pPr>
        <w:spacing w:after="120"/>
        <w:rPr>
          <w:rFonts w:ascii="Arial" w:hAnsi="Arial" w:cs="Arial"/>
          <w:lang w:eastAsia="en-US"/>
        </w:rPr>
      </w:pPr>
      <w:r w:rsidRPr="00B37EF3">
        <w:rPr>
          <w:rFonts w:ascii="Arial" w:hAnsi="Arial" w:cs="Arial"/>
          <w:lang w:eastAsia="en-US"/>
        </w:rPr>
        <w:t xml:space="preserve">The </w:t>
      </w:r>
      <w:r w:rsidR="00EF24F8" w:rsidRPr="00B37EF3">
        <w:rPr>
          <w:rFonts w:ascii="Arial" w:hAnsi="Arial" w:cs="Arial"/>
          <w:lang w:eastAsia="en-US"/>
        </w:rPr>
        <w:t>AAQ NEPM</w:t>
      </w:r>
      <w:r w:rsidRPr="00B37EF3">
        <w:rPr>
          <w:rFonts w:ascii="Arial" w:hAnsi="Arial" w:cs="Arial"/>
          <w:lang w:eastAsia="en-US"/>
        </w:rPr>
        <w:t xml:space="preserve"> review suggested that t</w:t>
      </w:r>
      <w:r w:rsidR="005D439F" w:rsidRPr="00B37EF3">
        <w:rPr>
          <w:rFonts w:ascii="Arial" w:hAnsi="Arial" w:cs="Arial"/>
          <w:lang w:eastAsia="en-US"/>
        </w:rPr>
        <w:t xml:space="preserve">he EU approach </w:t>
      </w:r>
      <w:r w:rsidR="00D6640D" w:rsidRPr="00B37EF3">
        <w:rPr>
          <w:rFonts w:ascii="Arial" w:hAnsi="Arial" w:cs="Arial"/>
          <w:lang w:eastAsia="en-US"/>
        </w:rPr>
        <w:t xml:space="preserve">(see below) </w:t>
      </w:r>
      <w:r w:rsidR="005D439F" w:rsidRPr="00B37EF3">
        <w:rPr>
          <w:rFonts w:ascii="Arial" w:hAnsi="Arial" w:cs="Arial"/>
          <w:lang w:eastAsia="en-US"/>
        </w:rPr>
        <w:t>provides an appropriate m</w:t>
      </w:r>
      <w:r w:rsidR="00D6640D" w:rsidRPr="00B37EF3">
        <w:rPr>
          <w:rFonts w:ascii="Arial" w:hAnsi="Arial" w:cs="Arial"/>
          <w:lang w:eastAsia="en-US"/>
        </w:rPr>
        <w:t>odel as a basis for an exposure-</w:t>
      </w:r>
      <w:r w:rsidR="005D439F" w:rsidRPr="00B37EF3">
        <w:rPr>
          <w:rFonts w:ascii="Arial" w:hAnsi="Arial" w:cs="Arial"/>
          <w:lang w:eastAsia="en-US"/>
        </w:rPr>
        <w:t xml:space="preserve">reduction framework for inclusion in the </w:t>
      </w:r>
      <w:r w:rsidR="00EF24F8" w:rsidRPr="00B37EF3">
        <w:rPr>
          <w:rFonts w:ascii="Arial" w:hAnsi="Arial" w:cs="Arial"/>
          <w:lang w:eastAsia="en-US"/>
        </w:rPr>
        <w:t>AAQ NEPM</w:t>
      </w:r>
      <w:r w:rsidR="005D439F" w:rsidRPr="00B37EF3">
        <w:rPr>
          <w:rFonts w:ascii="Arial" w:hAnsi="Arial" w:cs="Arial"/>
          <w:lang w:eastAsia="en-US"/>
        </w:rPr>
        <w:t xml:space="preserve"> </w:t>
      </w:r>
      <w:r w:rsidR="005D439F" w:rsidRPr="00B37EF3">
        <w:rPr>
          <w:rFonts w:ascii="Arial" w:hAnsi="Arial" w:cs="Arial"/>
          <w:b/>
          <w:lang w:eastAsia="en-US"/>
        </w:rPr>
        <w:t>(NEPC 2011a)</w:t>
      </w:r>
      <w:r w:rsidR="005D439F" w:rsidRPr="00B37EF3">
        <w:rPr>
          <w:rFonts w:ascii="Arial" w:hAnsi="Arial" w:cs="Arial"/>
          <w:lang w:eastAsia="en-US"/>
        </w:rPr>
        <w:t>.</w:t>
      </w:r>
      <w:r w:rsidRPr="00B37EF3">
        <w:rPr>
          <w:rFonts w:ascii="Arial" w:hAnsi="Arial" w:cs="Arial"/>
          <w:lang w:eastAsia="en-US"/>
        </w:rPr>
        <w:t xml:space="preserve"> </w:t>
      </w:r>
      <w:r w:rsidR="002155A1" w:rsidRPr="00B37EF3">
        <w:rPr>
          <w:rFonts w:ascii="Arial" w:hAnsi="Arial" w:cs="Arial"/>
          <w:lang w:eastAsia="en-US"/>
        </w:rPr>
        <w:t>However</w:t>
      </w:r>
      <w:r w:rsidR="00D6640D" w:rsidRPr="00B37EF3">
        <w:rPr>
          <w:rFonts w:ascii="Arial" w:hAnsi="Arial" w:cs="Arial"/>
          <w:lang w:eastAsia="en-US"/>
        </w:rPr>
        <w:t xml:space="preserve">, it is not the only one. </w:t>
      </w:r>
      <w:proofErr w:type="spellStart"/>
      <w:r w:rsidR="00CE6B8D" w:rsidRPr="00B37EF3">
        <w:rPr>
          <w:rFonts w:ascii="Arial" w:hAnsi="Arial" w:cs="Arial"/>
          <w:b/>
          <w:lang w:eastAsia="en-US"/>
        </w:rPr>
        <w:t>Bawden</w:t>
      </w:r>
      <w:proofErr w:type="spellEnd"/>
      <w:r w:rsidR="00CE6B8D" w:rsidRPr="00B37EF3">
        <w:rPr>
          <w:rFonts w:ascii="Arial" w:hAnsi="Arial" w:cs="Arial"/>
          <w:b/>
          <w:lang w:eastAsia="en-US"/>
        </w:rPr>
        <w:t xml:space="preserve"> </w:t>
      </w:r>
      <w:r w:rsidR="009334F4" w:rsidRPr="00B37EF3">
        <w:rPr>
          <w:rFonts w:ascii="Arial" w:hAnsi="Arial" w:cs="Arial"/>
          <w:b/>
          <w:lang w:eastAsia="en-US"/>
        </w:rPr>
        <w:t>et al</w:t>
      </w:r>
      <w:r w:rsidR="00CE6B8D" w:rsidRPr="00B37EF3">
        <w:rPr>
          <w:rFonts w:ascii="Arial" w:hAnsi="Arial" w:cs="Arial"/>
          <w:b/>
          <w:lang w:eastAsia="en-US"/>
        </w:rPr>
        <w:t>. (2012)</w:t>
      </w:r>
      <w:r w:rsidR="00CE6B8D" w:rsidRPr="00B37EF3">
        <w:rPr>
          <w:rFonts w:ascii="Arial" w:hAnsi="Arial" w:cs="Arial"/>
        </w:rPr>
        <w:t xml:space="preserve"> </w:t>
      </w:r>
      <w:r w:rsidR="00D6640D" w:rsidRPr="00B37EF3">
        <w:rPr>
          <w:rFonts w:ascii="Arial" w:hAnsi="Arial" w:cs="Arial"/>
        </w:rPr>
        <w:t>identified t</w:t>
      </w:r>
      <w:r w:rsidR="00DB5D5F" w:rsidRPr="00B37EF3">
        <w:rPr>
          <w:rFonts w:ascii="Arial" w:hAnsi="Arial" w:cs="Arial"/>
        </w:rPr>
        <w:t>he following</w:t>
      </w:r>
      <w:r w:rsidR="00D6640D" w:rsidRPr="00B37EF3">
        <w:rPr>
          <w:rFonts w:ascii="Arial" w:hAnsi="Arial" w:cs="Arial"/>
        </w:rPr>
        <w:t xml:space="preserve"> main</w:t>
      </w:r>
      <w:r w:rsidR="00CE6B8D" w:rsidRPr="00B37EF3">
        <w:rPr>
          <w:rFonts w:ascii="Arial" w:hAnsi="Arial" w:cs="Arial"/>
        </w:rPr>
        <w:t xml:space="preserve"> approaches to </w:t>
      </w:r>
      <w:r w:rsidR="00DB5D5F" w:rsidRPr="00B37EF3">
        <w:rPr>
          <w:rFonts w:ascii="Arial" w:hAnsi="Arial" w:cs="Arial"/>
        </w:rPr>
        <w:t>an exposure-</w:t>
      </w:r>
      <w:r w:rsidR="00CE6B8D" w:rsidRPr="00B37EF3">
        <w:rPr>
          <w:rFonts w:ascii="Arial" w:hAnsi="Arial" w:cs="Arial"/>
        </w:rPr>
        <w:t>red</w:t>
      </w:r>
      <w:r w:rsidR="00D6640D" w:rsidRPr="00B37EF3">
        <w:rPr>
          <w:rFonts w:ascii="Arial" w:hAnsi="Arial" w:cs="Arial"/>
        </w:rPr>
        <w:t>uction framework</w:t>
      </w:r>
      <w:r w:rsidR="00CE6B8D" w:rsidRPr="00B37EF3">
        <w:rPr>
          <w:rFonts w:ascii="Arial" w:hAnsi="Arial" w:cs="Arial"/>
        </w:rPr>
        <w:t>:</w:t>
      </w:r>
    </w:p>
    <w:p w:rsidR="00CE6B8D" w:rsidRPr="00B37EF3" w:rsidRDefault="00284AC3" w:rsidP="006A5626">
      <w:pPr>
        <w:pStyle w:val="BulletArrows"/>
        <w:numPr>
          <w:ilvl w:val="0"/>
          <w:numId w:val="61"/>
        </w:numPr>
        <w:tabs>
          <w:tab w:val="left" w:pos="567"/>
        </w:tabs>
        <w:rPr>
          <w:rFonts w:ascii="Arial" w:hAnsi="Arial"/>
        </w:rPr>
      </w:pPr>
      <w:r w:rsidRPr="00B37EF3">
        <w:rPr>
          <w:rFonts w:ascii="Arial" w:hAnsi="Arial"/>
        </w:rPr>
        <w:t>e</w:t>
      </w:r>
      <w:r w:rsidR="00DB5D5F" w:rsidRPr="00B37EF3">
        <w:rPr>
          <w:rFonts w:ascii="Arial" w:hAnsi="Arial"/>
        </w:rPr>
        <w:t>mission-reduction approaches</w:t>
      </w:r>
    </w:p>
    <w:p w:rsidR="00DB5D5F" w:rsidRPr="00B37EF3" w:rsidRDefault="00284AC3" w:rsidP="006A5626">
      <w:pPr>
        <w:pStyle w:val="BulletArrows"/>
        <w:numPr>
          <w:ilvl w:val="0"/>
          <w:numId w:val="61"/>
        </w:numPr>
        <w:tabs>
          <w:tab w:val="left" w:pos="567"/>
        </w:tabs>
        <w:rPr>
          <w:rFonts w:ascii="Arial" w:hAnsi="Arial"/>
        </w:rPr>
      </w:pPr>
      <w:r w:rsidRPr="00B37EF3">
        <w:rPr>
          <w:rFonts w:ascii="Arial" w:hAnsi="Arial"/>
        </w:rPr>
        <w:t>e</w:t>
      </w:r>
      <w:r w:rsidR="00DB5D5F" w:rsidRPr="00B37EF3">
        <w:rPr>
          <w:rFonts w:ascii="Arial" w:hAnsi="Arial"/>
        </w:rPr>
        <w:t>xposure-reduction approaches</w:t>
      </w:r>
    </w:p>
    <w:p w:rsidR="00DB5D5F" w:rsidRPr="00B37EF3" w:rsidRDefault="00284AC3" w:rsidP="006A5626">
      <w:pPr>
        <w:pStyle w:val="BulletArrows"/>
        <w:numPr>
          <w:ilvl w:val="0"/>
          <w:numId w:val="61"/>
        </w:numPr>
        <w:tabs>
          <w:tab w:val="left" w:pos="567"/>
        </w:tabs>
        <w:rPr>
          <w:rFonts w:ascii="Arial" w:hAnsi="Arial"/>
        </w:rPr>
      </w:pPr>
      <w:r w:rsidRPr="00B37EF3">
        <w:rPr>
          <w:rFonts w:ascii="Arial" w:hAnsi="Arial"/>
        </w:rPr>
        <w:t>a</w:t>
      </w:r>
      <w:r w:rsidR="00DB5D5F" w:rsidRPr="00B37EF3">
        <w:rPr>
          <w:rFonts w:ascii="Arial" w:hAnsi="Arial"/>
        </w:rPr>
        <w:t>ir pollution indices</w:t>
      </w:r>
    </w:p>
    <w:p w:rsidR="00DB5D5F" w:rsidRPr="00D07181" w:rsidRDefault="00284AC3" w:rsidP="00D07181">
      <w:pPr>
        <w:pStyle w:val="BulletArrows"/>
        <w:numPr>
          <w:ilvl w:val="0"/>
          <w:numId w:val="61"/>
        </w:numPr>
        <w:tabs>
          <w:tab w:val="left" w:pos="567"/>
        </w:tabs>
        <w:rPr>
          <w:rFonts w:ascii="Arial" w:hAnsi="Arial"/>
        </w:rPr>
      </w:pPr>
      <w:proofErr w:type="gramStart"/>
      <w:r w:rsidRPr="00D07181">
        <w:rPr>
          <w:rFonts w:ascii="Arial" w:hAnsi="Arial"/>
        </w:rPr>
        <w:t>d</w:t>
      </w:r>
      <w:r w:rsidR="00DB5D5F" w:rsidRPr="00D07181">
        <w:rPr>
          <w:rFonts w:ascii="Arial" w:hAnsi="Arial"/>
        </w:rPr>
        <w:t>amage</w:t>
      </w:r>
      <w:proofErr w:type="gramEnd"/>
      <w:r w:rsidR="00DB5D5F" w:rsidRPr="00D07181">
        <w:rPr>
          <w:rFonts w:ascii="Arial" w:hAnsi="Arial"/>
        </w:rPr>
        <w:t xml:space="preserve"> cost approaches</w:t>
      </w:r>
      <w:r w:rsidR="00DE604D" w:rsidRPr="00D07181">
        <w:rPr>
          <w:rFonts w:ascii="Arial" w:hAnsi="Arial"/>
        </w:rPr>
        <w:t>.</w:t>
      </w:r>
    </w:p>
    <w:p w:rsidR="00DB5D5F" w:rsidRPr="00B37EF3" w:rsidRDefault="00DB5D5F" w:rsidP="001929E4">
      <w:pPr>
        <w:spacing w:after="300"/>
        <w:rPr>
          <w:rFonts w:ascii="Arial" w:hAnsi="Arial" w:cs="Arial"/>
        </w:rPr>
      </w:pPr>
      <w:r w:rsidRPr="00B37EF3">
        <w:rPr>
          <w:rFonts w:ascii="Arial" w:hAnsi="Arial" w:cs="Arial"/>
        </w:rPr>
        <w:t>Some examples of these approaches are summarised below</w:t>
      </w:r>
      <w:r w:rsidR="00DE604D" w:rsidRPr="00B37EF3">
        <w:rPr>
          <w:rFonts w:ascii="Arial" w:hAnsi="Arial" w:cs="Arial"/>
        </w:rPr>
        <w:t>.</w:t>
      </w:r>
    </w:p>
    <w:p w:rsidR="00DB5D5F" w:rsidRPr="00B37EF3" w:rsidRDefault="006E64A6" w:rsidP="00DB5D5F">
      <w:pPr>
        <w:pStyle w:val="Heading4"/>
        <w:rPr>
          <w:rFonts w:ascii="Arial" w:hAnsi="Arial" w:cs="Arial"/>
        </w:rPr>
      </w:pPr>
      <w:r w:rsidRPr="00B37EF3">
        <w:rPr>
          <w:rFonts w:ascii="Arial" w:hAnsi="Arial" w:cs="Arial"/>
        </w:rPr>
        <w:lastRenderedPageBreak/>
        <w:t>Emission</w:t>
      </w:r>
      <w:r w:rsidR="00DB5D5F" w:rsidRPr="00B37EF3">
        <w:rPr>
          <w:rFonts w:ascii="Arial" w:hAnsi="Arial" w:cs="Arial"/>
        </w:rPr>
        <w:t>-reduction approaches</w:t>
      </w:r>
    </w:p>
    <w:p w:rsidR="00DB5D5F" w:rsidRPr="00B37EF3" w:rsidRDefault="00DB5D5F" w:rsidP="00810588">
      <w:pPr>
        <w:spacing w:after="180"/>
        <w:rPr>
          <w:rFonts w:ascii="Arial" w:hAnsi="Arial" w:cs="Arial"/>
        </w:rPr>
      </w:pPr>
      <w:r w:rsidRPr="00B37EF3">
        <w:rPr>
          <w:rFonts w:ascii="Arial" w:hAnsi="Arial" w:cs="Arial"/>
        </w:rPr>
        <w:t xml:space="preserve">The 1979 </w:t>
      </w:r>
      <w:r w:rsidRPr="00B37EF3">
        <w:rPr>
          <w:rFonts w:ascii="Arial" w:hAnsi="Arial" w:cs="Arial"/>
          <w:i/>
        </w:rPr>
        <w:t xml:space="preserve">Geneva Convention on Long Range </w:t>
      </w:r>
      <w:proofErr w:type="spellStart"/>
      <w:r w:rsidRPr="00B37EF3">
        <w:rPr>
          <w:rFonts w:ascii="Arial" w:hAnsi="Arial" w:cs="Arial"/>
          <w:i/>
        </w:rPr>
        <w:t>Transboundary</w:t>
      </w:r>
      <w:proofErr w:type="spellEnd"/>
      <w:r w:rsidRPr="00B37EF3">
        <w:rPr>
          <w:rFonts w:ascii="Arial" w:hAnsi="Arial" w:cs="Arial"/>
          <w:i/>
        </w:rPr>
        <w:t xml:space="preserve"> Air Pollution</w:t>
      </w:r>
      <w:r w:rsidRPr="00B37EF3">
        <w:rPr>
          <w:rFonts w:ascii="Arial" w:hAnsi="Arial" w:cs="Arial"/>
        </w:rPr>
        <w:t xml:space="preserve"> (CLRTAP) </w:t>
      </w:r>
      <w:r w:rsidRPr="00B37EF3">
        <w:rPr>
          <w:rFonts w:ascii="Arial" w:hAnsi="Arial" w:cs="Arial"/>
          <w:b/>
        </w:rPr>
        <w:t>(UNECE 1979)</w:t>
      </w:r>
      <w:r w:rsidRPr="00B37EF3">
        <w:rPr>
          <w:rFonts w:ascii="Arial" w:hAnsi="Arial" w:cs="Arial"/>
        </w:rPr>
        <w:t xml:space="preserve"> was the first internationally-binding instrument to tackle the problems of air pollution on a broad, regional basis. It has been extended by eight specific protocols. The 1999 Protocol to Abate Acidification, Eutrophication, and Ground-level Ozone </w:t>
      </w:r>
      <w:r w:rsidRPr="00B37EF3">
        <w:rPr>
          <w:rFonts w:ascii="Arial" w:hAnsi="Arial" w:cs="Arial"/>
          <w:b/>
        </w:rPr>
        <w:t>(UNECE 2005)</w:t>
      </w:r>
      <w:r w:rsidRPr="00B37EF3">
        <w:rPr>
          <w:rFonts w:ascii="Arial" w:hAnsi="Arial" w:cs="Arial"/>
        </w:rPr>
        <w:t>, more commonly referred to as the - Gothenburg Protocol - sets emissions ceilings, which were to be attained by 2010, for four pollutants: SO</w:t>
      </w:r>
      <w:r w:rsidRPr="00B37EF3">
        <w:rPr>
          <w:rFonts w:ascii="Arial" w:hAnsi="Arial" w:cs="Arial"/>
          <w:vertAlign w:val="subscript"/>
        </w:rPr>
        <w:t>X</w:t>
      </w:r>
      <w:r w:rsidRPr="00B37EF3">
        <w:rPr>
          <w:rFonts w:ascii="Arial" w:hAnsi="Arial" w:cs="Arial"/>
        </w:rPr>
        <w:t>, NO</w:t>
      </w:r>
      <w:r w:rsidRPr="00B37EF3">
        <w:rPr>
          <w:rFonts w:ascii="Arial" w:hAnsi="Arial" w:cs="Arial"/>
          <w:vertAlign w:val="subscript"/>
        </w:rPr>
        <w:t>X</w:t>
      </w:r>
      <w:r w:rsidRPr="00B37EF3">
        <w:rPr>
          <w:rFonts w:ascii="Arial" w:hAnsi="Arial" w:cs="Arial"/>
        </w:rPr>
        <w:t>, VOCs and NH</w:t>
      </w:r>
      <w:r w:rsidRPr="00B37EF3">
        <w:rPr>
          <w:rFonts w:ascii="Arial" w:hAnsi="Arial" w:cs="Arial"/>
          <w:vertAlign w:val="subscript"/>
        </w:rPr>
        <w:t>3</w:t>
      </w:r>
      <w:r w:rsidRPr="00B37EF3">
        <w:rPr>
          <w:rFonts w:ascii="Arial" w:hAnsi="Arial" w:cs="Arial"/>
        </w:rPr>
        <w:t xml:space="preserve">. The Protocol has been recently </w:t>
      </w:r>
      <w:r w:rsidR="006E64A6" w:rsidRPr="00B37EF3">
        <w:rPr>
          <w:rFonts w:ascii="Arial" w:hAnsi="Arial" w:cs="Arial"/>
        </w:rPr>
        <w:t xml:space="preserve">extended </w:t>
      </w:r>
      <w:r w:rsidRPr="00B37EF3">
        <w:rPr>
          <w:rFonts w:ascii="Arial" w:hAnsi="Arial" w:cs="Arial"/>
        </w:rPr>
        <w:t>to include emissions ceilings for PM</w:t>
      </w:r>
      <w:r w:rsidRPr="00B37EF3">
        <w:rPr>
          <w:rFonts w:ascii="Arial" w:hAnsi="Arial" w:cs="Arial"/>
          <w:vertAlign w:val="subscript"/>
        </w:rPr>
        <w:t>2.5</w:t>
      </w:r>
      <w:r w:rsidRPr="00B37EF3">
        <w:rPr>
          <w:rFonts w:ascii="Arial" w:hAnsi="Arial" w:cs="Arial"/>
        </w:rPr>
        <w:t xml:space="preserve"> and measures to prioritise the reduction of short-lived climate pollutants (</w:t>
      </w:r>
      <w:r w:rsidR="009334F4" w:rsidRPr="00B37EF3">
        <w:rPr>
          <w:rFonts w:ascii="Arial" w:hAnsi="Arial" w:cs="Arial"/>
        </w:rPr>
        <w:t>e.g.</w:t>
      </w:r>
      <w:r w:rsidRPr="00B37EF3">
        <w:rPr>
          <w:rFonts w:ascii="Arial" w:hAnsi="Arial" w:cs="Arial"/>
        </w:rPr>
        <w:t xml:space="preserve"> elemental carbon).</w:t>
      </w:r>
    </w:p>
    <w:p w:rsidR="00DB5D5F" w:rsidRPr="00B37EF3" w:rsidRDefault="00DB5D5F" w:rsidP="00C15550">
      <w:pPr>
        <w:spacing w:after="300"/>
        <w:rPr>
          <w:rFonts w:ascii="Arial" w:hAnsi="Arial" w:cs="Arial"/>
        </w:rPr>
      </w:pPr>
      <w:r w:rsidRPr="00B37EF3">
        <w:rPr>
          <w:rFonts w:ascii="Arial" w:hAnsi="Arial" w:cs="Arial"/>
        </w:rPr>
        <w:t>The National Emissions Ceiling Directive</w:t>
      </w:r>
      <w:r w:rsidR="00BA5012" w:rsidRPr="00B37EF3">
        <w:rPr>
          <w:rFonts w:ascii="Arial" w:hAnsi="Arial" w:cs="Arial"/>
        </w:rPr>
        <w:t xml:space="preserve"> (NEC</w:t>
      </w:r>
      <w:r w:rsidR="006A559A" w:rsidRPr="00B37EF3">
        <w:rPr>
          <w:rFonts w:ascii="Arial" w:hAnsi="Arial" w:cs="Arial"/>
        </w:rPr>
        <w:t xml:space="preserve"> Directive</w:t>
      </w:r>
      <w:r w:rsidRPr="00B37EF3">
        <w:rPr>
          <w:rFonts w:ascii="Arial" w:hAnsi="Arial" w:cs="Arial"/>
        </w:rPr>
        <w:t>) (2001/81/EC)</w:t>
      </w:r>
      <w:r w:rsidR="00BA5012" w:rsidRPr="00B37EF3">
        <w:rPr>
          <w:rFonts w:ascii="Arial" w:hAnsi="Arial" w:cs="Arial"/>
        </w:rPr>
        <w:t>,</w:t>
      </w:r>
      <w:r w:rsidRPr="00B37EF3">
        <w:rPr>
          <w:rFonts w:ascii="Arial" w:hAnsi="Arial" w:cs="Arial"/>
        </w:rPr>
        <w:t xml:space="preserve"> which came into force in 2001, sets upper limits for each </w:t>
      </w:r>
      <w:r w:rsidR="006E64A6" w:rsidRPr="00B37EF3">
        <w:rPr>
          <w:rFonts w:ascii="Arial" w:hAnsi="Arial" w:cs="Arial"/>
        </w:rPr>
        <w:t xml:space="preserve">EU Member State </w:t>
      </w:r>
      <w:r w:rsidR="00BA5012" w:rsidRPr="00B37EF3">
        <w:rPr>
          <w:rFonts w:ascii="Arial" w:hAnsi="Arial" w:cs="Arial"/>
        </w:rPr>
        <w:t xml:space="preserve">for </w:t>
      </w:r>
      <w:r w:rsidRPr="00B37EF3">
        <w:rPr>
          <w:rFonts w:ascii="Arial" w:hAnsi="Arial" w:cs="Arial"/>
        </w:rPr>
        <w:t>total emis</w:t>
      </w:r>
      <w:r w:rsidR="00BA5012" w:rsidRPr="00B37EF3">
        <w:rPr>
          <w:rFonts w:ascii="Arial" w:hAnsi="Arial" w:cs="Arial"/>
        </w:rPr>
        <w:t>sions in 2010</w:t>
      </w:r>
      <w:r w:rsidR="006A559A" w:rsidRPr="00B37EF3">
        <w:rPr>
          <w:rFonts w:ascii="Arial" w:hAnsi="Arial" w:cs="Arial"/>
        </w:rPr>
        <w:t xml:space="preserve"> and thereafter</w:t>
      </w:r>
      <w:r w:rsidR="00BA5012" w:rsidRPr="00B37EF3">
        <w:rPr>
          <w:rFonts w:ascii="Arial" w:hAnsi="Arial" w:cs="Arial"/>
        </w:rPr>
        <w:t xml:space="preserve">. </w:t>
      </w:r>
      <w:r w:rsidR="00BA5012" w:rsidRPr="00B37EF3">
        <w:rPr>
          <w:rFonts w:ascii="Arial" w:hAnsi="Arial" w:cs="Arial"/>
          <w:lang w:eastAsia="en-US"/>
        </w:rPr>
        <w:t>In the NEC Directive the key controls in relation to PM have been on emissions of SIA precursors: NO</w:t>
      </w:r>
      <w:r w:rsidR="00BA5012" w:rsidRPr="00B37EF3">
        <w:rPr>
          <w:rFonts w:ascii="Arial" w:hAnsi="Arial" w:cs="Arial"/>
          <w:vertAlign w:val="subscript"/>
          <w:lang w:eastAsia="en-US"/>
        </w:rPr>
        <w:t>X</w:t>
      </w:r>
      <w:r w:rsidR="00BA5012" w:rsidRPr="00B37EF3">
        <w:rPr>
          <w:rFonts w:ascii="Arial" w:hAnsi="Arial" w:cs="Arial"/>
          <w:lang w:eastAsia="en-US"/>
        </w:rPr>
        <w:t xml:space="preserve">, </w:t>
      </w:r>
      <w:proofErr w:type="spellStart"/>
      <w:r w:rsidR="00BA5012" w:rsidRPr="00B37EF3">
        <w:rPr>
          <w:rFonts w:ascii="Arial" w:hAnsi="Arial" w:cs="Arial"/>
          <w:lang w:eastAsia="en-US"/>
        </w:rPr>
        <w:t>SO</w:t>
      </w:r>
      <w:r w:rsidR="00BA5012" w:rsidRPr="00B37EF3">
        <w:rPr>
          <w:rFonts w:ascii="Arial" w:hAnsi="Arial" w:cs="Arial"/>
          <w:vertAlign w:val="subscript"/>
          <w:lang w:eastAsia="en-US"/>
        </w:rPr>
        <w:t>x</w:t>
      </w:r>
      <w:proofErr w:type="spellEnd"/>
      <w:r w:rsidR="00BA5012" w:rsidRPr="00B37EF3">
        <w:rPr>
          <w:rFonts w:ascii="Arial" w:hAnsi="Arial" w:cs="Arial"/>
          <w:lang w:eastAsia="en-US"/>
        </w:rPr>
        <w:t xml:space="preserve"> and NH</w:t>
      </w:r>
      <w:r w:rsidR="00BA5012" w:rsidRPr="00B37EF3">
        <w:rPr>
          <w:rFonts w:ascii="Arial" w:hAnsi="Arial" w:cs="Arial"/>
          <w:vertAlign w:val="subscript"/>
          <w:lang w:eastAsia="en-US"/>
        </w:rPr>
        <w:t>3</w:t>
      </w:r>
      <w:r w:rsidR="00BA5012" w:rsidRPr="00B37EF3">
        <w:rPr>
          <w:rFonts w:ascii="Arial" w:hAnsi="Arial" w:cs="Arial"/>
          <w:lang w:eastAsia="en-US"/>
        </w:rPr>
        <w:t>. Emissions of VOCs are a</w:t>
      </w:r>
      <w:r w:rsidR="006E64A6" w:rsidRPr="00B37EF3">
        <w:rPr>
          <w:rFonts w:ascii="Arial" w:hAnsi="Arial" w:cs="Arial"/>
          <w:lang w:eastAsia="en-US"/>
        </w:rPr>
        <w:t>lso covered</w:t>
      </w:r>
      <w:r w:rsidR="00BA5012" w:rsidRPr="00B37EF3">
        <w:rPr>
          <w:rFonts w:ascii="Arial" w:hAnsi="Arial" w:cs="Arial"/>
          <w:lang w:eastAsia="en-US"/>
        </w:rPr>
        <w:t>, but as precursors of ozone rather than as pr</w:t>
      </w:r>
      <w:r w:rsidR="006E64A6" w:rsidRPr="00B37EF3">
        <w:rPr>
          <w:rFonts w:ascii="Arial" w:hAnsi="Arial" w:cs="Arial"/>
          <w:lang w:eastAsia="en-US"/>
        </w:rPr>
        <w:t>ecursors of SOA</w:t>
      </w:r>
      <w:r w:rsidR="00BA5012" w:rsidRPr="00B37EF3">
        <w:rPr>
          <w:rFonts w:ascii="Arial" w:hAnsi="Arial" w:cs="Arial"/>
          <w:lang w:eastAsia="en-US"/>
        </w:rPr>
        <w:t>.</w:t>
      </w:r>
      <w:r w:rsidR="00BA5012" w:rsidRPr="00B37EF3">
        <w:rPr>
          <w:rFonts w:ascii="Arial" w:hAnsi="Arial" w:cs="Arial"/>
        </w:rPr>
        <w:t xml:space="preserve"> </w:t>
      </w:r>
      <w:r w:rsidR="006E64A6" w:rsidRPr="00B37EF3">
        <w:rPr>
          <w:rFonts w:ascii="Arial" w:hAnsi="Arial" w:cs="Arial"/>
        </w:rPr>
        <w:t xml:space="preserve">The emission ceilings set within the </w:t>
      </w:r>
      <w:r w:rsidRPr="00B37EF3">
        <w:rPr>
          <w:rFonts w:ascii="Arial" w:hAnsi="Arial" w:cs="Arial"/>
        </w:rPr>
        <w:t>D</w:t>
      </w:r>
      <w:r w:rsidR="00BA5012" w:rsidRPr="00B37EF3">
        <w:rPr>
          <w:rFonts w:ascii="Arial" w:hAnsi="Arial" w:cs="Arial"/>
        </w:rPr>
        <w:t>irective</w:t>
      </w:r>
      <w:r w:rsidR="0087080F" w:rsidRPr="00B37EF3">
        <w:rPr>
          <w:rFonts w:ascii="Arial" w:hAnsi="Arial" w:cs="Arial"/>
        </w:rPr>
        <w:t xml:space="preserve"> </w:t>
      </w:r>
      <w:r w:rsidRPr="00B37EF3">
        <w:rPr>
          <w:rFonts w:ascii="Arial" w:hAnsi="Arial" w:cs="Arial"/>
        </w:rPr>
        <w:t>are complementary to, or more stringent than, those established within the Gothenburg Protocol. It is expected that a revised NEC</w:t>
      </w:r>
      <w:r w:rsidR="00BA5012" w:rsidRPr="00B37EF3">
        <w:rPr>
          <w:rFonts w:ascii="Arial" w:hAnsi="Arial" w:cs="Arial"/>
        </w:rPr>
        <w:t xml:space="preserve"> </w:t>
      </w:r>
      <w:r w:rsidRPr="00B37EF3">
        <w:rPr>
          <w:rFonts w:ascii="Arial" w:hAnsi="Arial" w:cs="Arial"/>
        </w:rPr>
        <w:t>D</w:t>
      </w:r>
      <w:r w:rsidR="00BA5012" w:rsidRPr="00B37EF3">
        <w:rPr>
          <w:rFonts w:ascii="Arial" w:hAnsi="Arial" w:cs="Arial"/>
        </w:rPr>
        <w:t>irective</w:t>
      </w:r>
      <w:r w:rsidRPr="00B37EF3">
        <w:rPr>
          <w:rFonts w:ascii="Arial" w:hAnsi="Arial" w:cs="Arial"/>
        </w:rPr>
        <w:t xml:space="preserve"> will set new emissions ceilings to be met by 2020, and possibly beyond, and will be extended to include emissions of primary PM</w:t>
      </w:r>
      <w:r w:rsidRPr="00B37EF3">
        <w:rPr>
          <w:rFonts w:ascii="Arial" w:hAnsi="Arial" w:cs="Arial"/>
          <w:vertAlign w:val="subscript"/>
        </w:rPr>
        <w:t>2.5</w:t>
      </w:r>
      <w:r w:rsidRPr="00B37EF3">
        <w:rPr>
          <w:rFonts w:ascii="Arial" w:hAnsi="Arial" w:cs="Arial"/>
        </w:rPr>
        <w:t>.</w:t>
      </w:r>
    </w:p>
    <w:p w:rsidR="00DB5D5F" w:rsidRPr="00B37EF3" w:rsidRDefault="00DB5D5F" w:rsidP="00DB5D5F">
      <w:pPr>
        <w:pStyle w:val="Heading4"/>
        <w:rPr>
          <w:rFonts w:ascii="Arial" w:hAnsi="Arial" w:cs="Arial"/>
        </w:rPr>
      </w:pPr>
      <w:r w:rsidRPr="00B37EF3">
        <w:rPr>
          <w:rFonts w:ascii="Arial" w:hAnsi="Arial" w:cs="Arial"/>
        </w:rPr>
        <w:t>Exposure-reduction approaches</w:t>
      </w:r>
    </w:p>
    <w:p w:rsidR="00DB5D5F" w:rsidRPr="00B37EF3" w:rsidRDefault="00DB5D5F" w:rsidP="00810588">
      <w:pPr>
        <w:spacing w:after="180"/>
        <w:rPr>
          <w:rFonts w:ascii="Arial" w:hAnsi="Arial" w:cs="Arial"/>
        </w:rPr>
      </w:pPr>
      <w:r w:rsidRPr="00B37EF3">
        <w:rPr>
          <w:rFonts w:ascii="Arial" w:hAnsi="Arial" w:cs="Arial"/>
        </w:rPr>
        <w:t>The exposure-reduction approach is currently applied in the European Union. Directive 2008/50/EC included a new exposure-reduction approach for PM</w:t>
      </w:r>
      <w:r w:rsidRPr="00B37EF3">
        <w:rPr>
          <w:rFonts w:ascii="Arial" w:hAnsi="Arial" w:cs="Arial"/>
          <w:vertAlign w:val="subscript"/>
        </w:rPr>
        <w:t>2.5</w:t>
      </w:r>
      <w:r w:rsidRPr="00B37EF3">
        <w:rPr>
          <w:rFonts w:ascii="Arial" w:hAnsi="Arial" w:cs="Arial"/>
        </w:rPr>
        <w:t xml:space="preserve"> that was introduced in recognition of PM as a non-threshold pollutant. </w:t>
      </w:r>
      <w:r w:rsidRPr="00B37EF3">
        <w:rPr>
          <w:rFonts w:ascii="Arial" w:hAnsi="Arial" w:cs="Arial"/>
          <w:lang w:eastAsia="en-US"/>
        </w:rPr>
        <w:t>This new approach is based on the concept that greater benefits could be obtained from a general reduction in exposure than by a policy ai</w:t>
      </w:r>
      <w:r w:rsidR="005A4F9B" w:rsidRPr="00B37EF3">
        <w:rPr>
          <w:rFonts w:ascii="Arial" w:hAnsi="Arial" w:cs="Arial"/>
          <w:lang w:eastAsia="en-US"/>
        </w:rPr>
        <w:t>med at reducing concentrations at</w:t>
      </w:r>
      <w:r w:rsidRPr="00B37EF3">
        <w:rPr>
          <w:rFonts w:ascii="Arial" w:hAnsi="Arial" w:cs="Arial"/>
          <w:lang w:eastAsia="en-US"/>
        </w:rPr>
        <w:t xml:space="preserve"> hot spots.</w:t>
      </w:r>
      <w:r w:rsidRPr="00B37EF3">
        <w:rPr>
          <w:rFonts w:ascii="Arial" w:hAnsi="Arial" w:cs="Arial"/>
        </w:rPr>
        <w:t xml:space="preserve"> The approach aims at a general reduction of concentrations in the urban background to ensure that large sections of the population benefit from improved air quality.</w:t>
      </w:r>
      <w:r w:rsidR="004B4989" w:rsidRPr="00B37EF3">
        <w:rPr>
          <w:rFonts w:ascii="Arial" w:hAnsi="Arial" w:cs="Arial"/>
        </w:rPr>
        <w:t xml:space="preserve"> </w:t>
      </w:r>
      <w:r w:rsidRPr="00B37EF3">
        <w:rPr>
          <w:rFonts w:ascii="Arial" w:hAnsi="Arial" w:cs="Arial"/>
        </w:rPr>
        <w:t xml:space="preserve">However, to ensure a minimum degree of health protection everywhere, the new approach is combined with a limit value (see </w:t>
      </w:r>
      <w:r w:rsidRPr="00B37EF3">
        <w:rPr>
          <w:rFonts w:ascii="Arial" w:hAnsi="Arial" w:cs="Arial"/>
          <w:b/>
        </w:rPr>
        <w:t xml:space="preserve">Section </w:t>
      </w:r>
      <w:fldSimple w:instr=" REF _Ref365638678 \n \h  \* MERGEFORMAT ">
        <w:r w:rsidR="0085182E">
          <w:rPr>
            <w:rFonts w:ascii="Arial" w:hAnsi="Arial" w:cs="Arial"/>
            <w:b/>
          </w:rPr>
          <w:t>4.2.1</w:t>
        </w:r>
      </w:fldSimple>
      <w:r w:rsidRPr="00B37EF3">
        <w:rPr>
          <w:rFonts w:ascii="Arial" w:hAnsi="Arial" w:cs="Arial"/>
        </w:rPr>
        <w:t>).</w:t>
      </w:r>
    </w:p>
    <w:p w:rsidR="005A4F9B" w:rsidRPr="00B37EF3" w:rsidRDefault="00DB5D5F" w:rsidP="00810588">
      <w:pPr>
        <w:spacing w:after="180"/>
        <w:rPr>
          <w:rFonts w:ascii="Arial" w:hAnsi="Arial" w:cs="Arial"/>
        </w:rPr>
      </w:pPr>
      <w:r w:rsidRPr="00B37EF3">
        <w:rPr>
          <w:rFonts w:ascii="Arial" w:hAnsi="Arial" w:cs="Arial"/>
        </w:rPr>
        <w:t>The EU exposure-reduction approach is based on monitoring. Member States are required to establish a minimum of one sampling station per million inhabitants</w:t>
      </w:r>
      <w:r w:rsidR="005A4F9B" w:rsidRPr="00B37EF3">
        <w:rPr>
          <w:rFonts w:ascii="Arial" w:hAnsi="Arial" w:cs="Arial"/>
        </w:rPr>
        <w:t>,</w:t>
      </w:r>
      <w:r w:rsidRPr="00B37EF3">
        <w:rPr>
          <w:rFonts w:ascii="Arial" w:hAnsi="Arial" w:cs="Arial"/>
        </w:rPr>
        <w:t xml:space="preserve"> summed over the agglomerations in excess of 100,000 inhabitants. Exposur</w:t>
      </w:r>
      <w:r w:rsidRPr="00B37EF3">
        <w:rPr>
          <w:rFonts w:ascii="Arial" w:hAnsi="Arial" w:cs="Arial"/>
          <w:lang w:eastAsia="en-US"/>
        </w:rPr>
        <w:t>e is assessed using an average exposure indicator (AEI). The AEI is calculated as a three-year running</w:t>
      </w:r>
      <w:r w:rsidRPr="00B37EF3">
        <w:rPr>
          <w:rFonts w:ascii="Arial" w:hAnsi="Arial" w:cs="Arial"/>
          <w:vertAlign w:val="superscript"/>
        </w:rPr>
        <w:footnoteReference w:id="18"/>
      </w:r>
      <w:r w:rsidRPr="00B37EF3">
        <w:rPr>
          <w:rFonts w:ascii="Arial" w:hAnsi="Arial" w:cs="Arial"/>
          <w:lang w:eastAsia="en-US"/>
        </w:rPr>
        <w:t xml:space="preserve"> annual mean PM</w:t>
      </w:r>
      <w:r w:rsidRPr="00B37EF3">
        <w:rPr>
          <w:rFonts w:ascii="Arial" w:hAnsi="Arial" w:cs="Arial"/>
          <w:vertAlign w:val="subscript"/>
          <w:lang w:eastAsia="en-US"/>
        </w:rPr>
        <w:t>2.5</w:t>
      </w:r>
      <w:r w:rsidRPr="00B37EF3">
        <w:rPr>
          <w:rFonts w:ascii="Arial" w:hAnsi="Arial" w:cs="Arial"/>
          <w:lang w:eastAsia="en-US"/>
        </w:rPr>
        <w:t xml:space="preserve"> concentration, averaged over all urban background sampling sites in a Member State. </w:t>
      </w:r>
      <w:r w:rsidRPr="00B37EF3">
        <w:rPr>
          <w:rFonts w:ascii="Arial" w:hAnsi="Arial" w:cs="Arial"/>
        </w:rPr>
        <w:t>The exposure</w:t>
      </w:r>
      <w:r w:rsidR="00DE0603" w:rsidRPr="00B37EF3">
        <w:rPr>
          <w:rFonts w:ascii="Arial" w:hAnsi="Arial" w:cs="Arial"/>
        </w:rPr>
        <w:t>-</w:t>
      </w:r>
      <w:r w:rsidRPr="00B37EF3">
        <w:rPr>
          <w:rFonts w:ascii="Arial" w:hAnsi="Arial" w:cs="Arial"/>
        </w:rPr>
        <w:t>reduction target</w:t>
      </w:r>
      <w:r w:rsidRPr="00B37EF3">
        <w:rPr>
          <w:rStyle w:val="FootnoteReference"/>
          <w:rFonts w:ascii="Arial" w:hAnsi="Arial" w:cs="Arial"/>
        </w:rPr>
        <w:footnoteReference w:id="19"/>
      </w:r>
      <w:r w:rsidRPr="00B37EF3">
        <w:rPr>
          <w:rFonts w:ascii="Arial" w:hAnsi="Arial" w:cs="Arial"/>
          <w:lang w:eastAsia="en-US"/>
        </w:rPr>
        <w:t xml:space="preserve"> </w:t>
      </w:r>
      <w:r w:rsidRPr="00B37EF3">
        <w:rPr>
          <w:rFonts w:ascii="Arial" w:hAnsi="Arial" w:cs="Arial"/>
        </w:rPr>
        <w:t xml:space="preserve">applicable to each Member State is a percentage reduction by 2020, relative to the reference year AEI in 2010, as shown in </w:t>
      </w:r>
      <w:fldSimple w:instr=" REF _Ref365463093 \h  \* MERGEFORMAT ">
        <w:r w:rsidR="0085182E" w:rsidRPr="0085182E">
          <w:rPr>
            <w:rFonts w:ascii="Arial" w:hAnsi="Arial" w:cs="Arial"/>
            <w:b/>
          </w:rPr>
          <w:t>Table 4.4</w:t>
        </w:r>
      </w:fldSimple>
      <w:r w:rsidRPr="00B37EF3">
        <w:rPr>
          <w:rFonts w:ascii="Arial" w:hAnsi="Arial" w:cs="Arial"/>
        </w:rPr>
        <w:t>.</w:t>
      </w:r>
      <w:r w:rsidR="00810588" w:rsidRPr="00B37EF3">
        <w:rPr>
          <w:rFonts w:ascii="Arial" w:hAnsi="Arial" w:cs="Arial"/>
        </w:rPr>
        <w:t xml:space="preserve"> </w:t>
      </w:r>
      <w:r w:rsidR="005A4F9B" w:rsidRPr="00B37EF3">
        <w:rPr>
          <w:rFonts w:ascii="Arial" w:hAnsi="Arial" w:cs="Arial"/>
        </w:rPr>
        <w:t>A lower threshold level at 8.5 µg/m</w:t>
      </w:r>
      <w:r w:rsidR="005A4F9B" w:rsidRPr="00B37EF3">
        <w:rPr>
          <w:rFonts w:ascii="Arial" w:hAnsi="Arial" w:cs="Arial"/>
          <w:vertAlign w:val="superscript"/>
        </w:rPr>
        <w:t>3</w:t>
      </w:r>
      <w:r w:rsidR="005A4F9B" w:rsidRPr="00B37EF3">
        <w:rPr>
          <w:rFonts w:ascii="Arial" w:hAnsi="Arial" w:cs="Arial"/>
        </w:rPr>
        <w:t xml:space="preserve"> was selected as the AEI concentration below which no additional reduction would be required. </w:t>
      </w:r>
      <w:r w:rsidR="007C642A" w:rsidRPr="00B37EF3">
        <w:rPr>
          <w:rFonts w:ascii="Arial" w:hAnsi="Arial" w:cs="Arial"/>
        </w:rPr>
        <w:t>This was selected, in part, to reflect</w:t>
      </w:r>
      <w:r w:rsidR="005A4F9B" w:rsidRPr="00B37EF3">
        <w:rPr>
          <w:rFonts w:ascii="Arial" w:hAnsi="Arial" w:cs="Arial"/>
        </w:rPr>
        <w:t xml:space="preserve"> the ‘natural background’ level across much of Europe, below which actions by individual Member States would have very limited effect in reducing concentrations further.</w:t>
      </w:r>
    </w:p>
    <w:p w:rsidR="00810588" w:rsidRPr="00B37EF3" w:rsidRDefault="00810588" w:rsidP="00810588">
      <w:pPr>
        <w:spacing w:after="180"/>
        <w:rPr>
          <w:rFonts w:ascii="Arial" w:hAnsi="Arial" w:cs="Arial"/>
        </w:rPr>
      </w:pPr>
      <w:r w:rsidRPr="00B37EF3">
        <w:rPr>
          <w:rFonts w:ascii="Arial" w:hAnsi="Arial" w:cs="Arial"/>
        </w:rPr>
        <w:t>The Directive also sets an ‘Exposure Concentration Obligation’, expressed as an AEI of 20 µg/m</w:t>
      </w:r>
      <w:r w:rsidRPr="00B37EF3">
        <w:rPr>
          <w:rFonts w:ascii="Arial" w:hAnsi="Arial" w:cs="Arial"/>
          <w:vertAlign w:val="superscript"/>
        </w:rPr>
        <w:t>3</w:t>
      </w:r>
      <w:r w:rsidRPr="00B37EF3">
        <w:rPr>
          <w:rFonts w:ascii="Arial" w:hAnsi="Arial" w:cs="Arial"/>
        </w:rPr>
        <w:t>, to be met by 2015 (calculated as the three-year running mean concentration averaged over all sampling points for the years 2013, 2014 and 2015). This sets a minimum obligation on all Member States.</w:t>
      </w:r>
    </w:p>
    <w:p w:rsidR="00810588" w:rsidRPr="00B37EF3" w:rsidRDefault="00810588" w:rsidP="00810588">
      <w:pPr>
        <w:spacing w:after="180"/>
        <w:rPr>
          <w:rFonts w:ascii="Arial" w:hAnsi="Arial" w:cs="Arial"/>
          <w:lang w:eastAsia="en-US"/>
        </w:rPr>
      </w:pPr>
      <w:r w:rsidRPr="00B37EF3">
        <w:rPr>
          <w:rFonts w:ascii="Arial" w:hAnsi="Arial" w:cs="Arial"/>
          <w:lang w:eastAsia="en-US"/>
        </w:rPr>
        <w:t>A number of legislative approaches are being taken to reduce exposure to PM</w:t>
      </w:r>
      <w:r w:rsidRPr="00B37EF3">
        <w:rPr>
          <w:rFonts w:ascii="Arial" w:hAnsi="Arial" w:cs="Arial"/>
          <w:vertAlign w:val="subscript"/>
          <w:lang w:eastAsia="en-US"/>
        </w:rPr>
        <w:t>2.5</w:t>
      </w:r>
      <w:r w:rsidRPr="00B37EF3">
        <w:rPr>
          <w:rFonts w:ascii="Arial" w:hAnsi="Arial" w:cs="Arial"/>
          <w:lang w:eastAsia="en-US"/>
        </w:rPr>
        <w:t>.</w:t>
      </w:r>
      <w:r w:rsidRPr="00B37EF3">
        <w:rPr>
          <w:rFonts w:ascii="Arial" w:hAnsi="Arial" w:cs="Arial"/>
        </w:rPr>
        <w:t xml:space="preserve"> </w:t>
      </w:r>
      <w:r w:rsidRPr="00B37EF3">
        <w:rPr>
          <w:rFonts w:ascii="Arial" w:hAnsi="Arial" w:cs="Arial"/>
          <w:lang w:eastAsia="en-US"/>
        </w:rPr>
        <w:t xml:space="preserve">These include controls on motor vehicle emissions, controls on industrial sources and controls introduced by local authorities to address individual hot spots. As noted above, </w:t>
      </w:r>
      <w:r w:rsidRPr="00B37EF3">
        <w:rPr>
          <w:rFonts w:ascii="Arial" w:hAnsi="Arial" w:cs="Arial"/>
        </w:rPr>
        <w:t>the NEC Directive and CLRTAP both aim to reduce emissions at the national level, and influence background concentrations of PM</w:t>
      </w:r>
      <w:r w:rsidRPr="00B37EF3">
        <w:rPr>
          <w:rFonts w:ascii="Arial" w:hAnsi="Arial" w:cs="Arial"/>
          <w:vertAlign w:val="subscript"/>
        </w:rPr>
        <w:t>2.5</w:t>
      </w:r>
      <w:r w:rsidRPr="00B37EF3">
        <w:rPr>
          <w:rFonts w:ascii="Arial" w:hAnsi="Arial" w:cs="Arial"/>
        </w:rPr>
        <w:t>.</w:t>
      </w:r>
      <w:r w:rsidRPr="00B37EF3">
        <w:rPr>
          <w:rFonts w:ascii="Arial" w:hAnsi="Arial" w:cs="Arial"/>
          <w:lang w:eastAsia="en-US"/>
        </w:rPr>
        <w:t xml:space="preserve"> </w:t>
      </w:r>
    </w:p>
    <w:p w:rsidR="00810588" w:rsidRPr="00B37EF3" w:rsidRDefault="00810588" w:rsidP="00810588">
      <w:pPr>
        <w:spacing w:after="180"/>
        <w:rPr>
          <w:rFonts w:ascii="Arial" w:hAnsi="Arial" w:cs="Arial"/>
        </w:rPr>
      </w:pPr>
    </w:p>
    <w:p w:rsidR="00DB5D5F" w:rsidRPr="00B37EF3" w:rsidRDefault="00DB5D5F" w:rsidP="00DB5D5F">
      <w:pPr>
        <w:pStyle w:val="CaptionPB"/>
        <w:spacing w:before="0"/>
        <w:rPr>
          <w:rFonts w:ascii="Arial" w:hAnsi="Arial" w:cs="Arial"/>
          <w:color w:val="0070C0"/>
        </w:rPr>
      </w:pPr>
      <w:bookmarkStart w:id="66" w:name="_Ref365463093"/>
      <w:bookmarkStart w:id="67" w:name="_Toc342376542"/>
      <w:r w:rsidRPr="00B37EF3">
        <w:rPr>
          <w:rFonts w:ascii="Arial" w:hAnsi="Arial" w:cs="Arial"/>
          <w:color w:val="0070C0"/>
        </w:rPr>
        <w:lastRenderedPageBreak/>
        <w:t xml:space="preserve">Table </w:t>
      </w:r>
      <w:r w:rsidR="00BF6019" w:rsidRPr="00B37EF3">
        <w:rPr>
          <w:rFonts w:ascii="Arial" w:hAnsi="Arial" w:cs="Arial"/>
          <w:color w:val="0070C0"/>
        </w:rPr>
        <w:fldChar w:fldCharType="begin"/>
      </w:r>
      <w:r w:rsidRPr="00B37EF3">
        <w:rPr>
          <w:rFonts w:ascii="Arial" w:hAnsi="Arial" w:cs="Arial"/>
          <w:color w:val="0070C0"/>
        </w:rPr>
        <w:instrText xml:space="preserve"> STYLEREF 1 \s </w:instrText>
      </w:r>
      <w:r w:rsidR="00BF6019" w:rsidRPr="00B37EF3">
        <w:rPr>
          <w:rFonts w:ascii="Arial" w:hAnsi="Arial" w:cs="Arial"/>
          <w:color w:val="0070C0"/>
        </w:rPr>
        <w:fldChar w:fldCharType="separate"/>
      </w:r>
      <w:r w:rsidR="0085182E">
        <w:rPr>
          <w:rFonts w:ascii="Arial" w:hAnsi="Arial" w:cs="Arial"/>
          <w:noProof/>
          <w:color w:val="0070C0"/>
        </w:rPr>
        <w:t>4</w:t>
      </w:r>
      <w:r w:rsidR="00BF6019" w:rsidRPr="00B37EF3">
        <w:rPr>
          <w:rFonts w:ascii="Arial" w:hAnsi="Arial" w:cs="Arial"/>
          <w:color w:val="0070C0"/>
        </w:rPr>
        <w:fldChar w:fldCharType="end"/>
      </w:r>
      <w:r w:rsidRPr="00B37EF3">
        <w:rPr>
          <w:rFonts w:ascii="Arial" w:hAnsi="Arial" w:cs="Arial"/>
          <w:color w:val="0070C0"/>
        </w:rPr>
        <w:t>.</w:t>
      </w:r>
      <w:r w:rsidR="00BF6019" w:rsidRPr="00B37EF3">
        <w:rPr>
          <w:rFonts w:ascii="Arial" w:hAnsi="Arial" w:cs="Arial"/>
          <w:color w:val="0070C0"/>
        </w:rPr>
        <w:fldChar w:fldCharType="begin"/>
      </w:r>
      <w:r w:rsidRPr="00B37EF3">
        <w:rPr>
          <w:rFonts w:ascii="Arial" w:hAnsi="Arial" w:cs="Arial"/>
          <w:color w:val="0070C0"/>
        </w:rPr>
        <w:instrText xml:space="preserve"> SEQ Table \* ARABIC \s 1 </w:instrText>
      </w:r>
      <w:r w:rsidR="00BF6019" w:rsidRPr="00B37EF3">
        <w:rPr>
          <w:rFonts w:ascii="Arial" w:hAnsi="Arial" w:cs="Arial"/>
          <w:color w:val="0070C0"/>
        </w:rPr>
        <w:fldChar w:fldCharType="separate"/>
      </w:r>
      <w:r w:rsidR="0085182E">
        <w:rPr>
          <w:rFonts w:ascii="Arial" w:hAnsi="Arial" w:cs="Arial"/>
          <w:noProof/>
          <w:color w:val="0070C0"/>
        </w:rPr>
        <w:t>4</w:t>
      </w:r>
      <w:r w:rsidR="00BF6019" w:rsidRPr="00B37EF3">
        <w:rPr>
          <w:rFonts w:ascii="Arial" w:hAnsi="Arial" w:cs="Arial"/>
          <w:color w:val="0070C0"/>
        </w:rPr>
        <w:fldChar w:fldCharType="end"/>
      </w:r>
      <w:bookmarkEnd w:id="66"/>
      <w:r w:rsidRPr="00B37EF3">
        <w:rPr>
          <w:rFonts w:ascii="Arial" w:hAnsi="Arial" w:cs="Arial"/>
          <w:color w:val="0070C0"/>
        </w:rPr>
        <w:t>: EU exposure</w:t>
      </w:r>
      <w:r w:rsidR="00DE0603" w:rsidRPr="00B37EF3">
        <w:rPr>
          <w:rFonts w:ascii="Arial" w:hAnsi="Arial" w:cs="Arial"/>
          <w:color w:val="0070C0"/>
        </w:rPr>
        <w:t>-</w:t>
      </w:r>
      <w:r w:rsidRPr="00B37EF3">
        <w:rPr>
          <w:rFonts w:ascii="Arial" w:hAnsi="Arial" w:cs="Arial"/>
          <w:color w:val="0070C0"/>
        </w:rPr>
        <w:t>reduction targets for PM</w:t>
      </w:r>
      <w:r w:rsidRPr="00B37EF3">
        <w:rPr>
          <w:rFonts w:ascii="Arial" w:hAnsi="Arial" w:cs="Arial"/>
          <w:color w:val="0070C0"/>
          <w:vertAlign w:val="subscript"/>
        </w:rPr>
        <w:t>2.5</w:t>
      </w:r>
      <w:bookmarkEnd w:id="67"/>
    </w:p>
    <w:tbl>
      <w:tblPr>
        <w:tblW w:w="5847"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009"/>
        <w:gridCol w:w="3838"/>
      </w:tblGrid>
      <w:tr w:rsidR="00DB5D5F" w:rsidRPr="00B37EF3" w:rsidTr="001929E4">
        <w:trPr>
          <w:trHeight w:val="509"/>
          <w:jc w:val="center"/>
        </w:trPr>
        <w:tc>
          <w:tcPr>
            <w:tcW w:w="2009" w:type="dxa"/>
            <w:shd w:val="clear" w:color="auto" w:fill="0070C0"/>
            <w:vAlign w:val="center"/>
          </w:tcPr>
          <w:p w:rsidR="00DB5D5F" w:rsidRPr="00B37EF3" w:rsidRDefault="00DB5D5F" w:rsidP="00885B82">
            <w:pPr>
              <w:keepNext/>
              <w:tabs>
                <w:tab w:val="left" w:pos="6804"/>
              </w:tabs>
              <w:spacing w:after="0" w:line="240" w:lineRule="auto"/>
              <w:ind w:right="85"/>
              <w:jc w:val="center"/>
              <w:rPr>
                <w:rFonts w:ascii="Arial" w:hAnsi="Arial" w:cs="Arial"/>
                <w:b/>
                <w:bCs/>
                <w:caps/>
                <w:color w:val="FFFFFF"/>
                <w:kern w:val="32"/>
                <w:sz w:val="15"/>
                <w:szCs w:val="15"/>
              </w:rPr>
            </w:pPr>
            <w:r w:rsidRPr="00B37EF3">
              <w:rPr>
                <w:rFonts w:ascii="Arial" w:hAnsi="Arial" w:cs="Arial"/>
                <w:b/>
                <w:color w:val="FFFFFF"/>
                <w:kern w:val="32"/>
                <w:sz w:val="15"/>
                <w:szCs w:val="15"/>
              </w:rPr>
              <w:t>Initial concentration in 2010 (µg/m</w:t>
            </w:r>
            <w:r w:rsidRPr="00B37EF3">
              <w:rPr>
                <w:rFonts w:ascii="Arial" w:hAnsi="Arial" w:cs="Arial"/>
                <w:b/>
                <w:color w:val="FFFFFF"/>
                <w:kern w:val="32"/>
                <w:sz w:val="15"/>
                <w:szCs w:val="15"/>
                <w:vertAlign w:val="superscript"/>
              </w:rPr>
              <w:t>3</w:t>
            </w:r>
            <w:r w:rsidRPr="00B37EF3">
              <w:rPr>
                <w:rFonts w:ascii="Arial" w:hAnsi="Arial" w:cs="Arial"/>
                <w:b/>
                <w:color w:val="FFFFFF"/>
                <w:kern w:val="32"/>
                <w:sz w:val="15"/>
                <w:szCs w:val="15"/>
              </w:rPr>
              <w:t>)</w:t>
            </w:r>
          </w:p>
        </w:tc>
        <w:tc>
          <w:tcPr>
            <w:tcW w:w="3838" w:type="dxa"/>
            <w:shd w:val="clear" w:color="auto" w:fill="0070C0"/>
            <w:vAlign w:val="center"/>
          </w:tcPr>
          <w:p w:rsidR="00DB5D5F" w:rsidRPr="00B37EF3" w:rsidRDefault="00DB5D5F" w:rsidP="00885B82">
            <w:pPr>
              <w:keepNext/>
              <w:tabs>
                <w:tab w:val="left" w:pos="6804"/>
              </w:tabs>
              <w:spacing w:after="0" w:line="240" w:lineRule="auto"/>
              <w:ind w:right="85"/>
              <w:jc w:val="center"/>
              <w:rPr>
                <w:rFonts w:ascii="Arial" w:hAnsi="Arial" w:cs="Arial"/>
                <w:b/>
                <w:color w:val="FFFFFF"/>
                <w:kern w:val="32"/>
                <w:sz w:val="15"/>
                <w:szCs w:val="15"/>
              </w:rPr>
            </w:pPr>
            <w:r w:rsidRPr="00B37EF3">
              <w:rPr>
                <w:rFonts w:ascii="Arial" w:hAnsi="Arial" w:cs="Arial"/>
                <w:b/>
                <w:color w:val="FFFFFF"/>
                <w:kern w:val="32"/>
                <w:sz w:val="15"/>
                <w:szCs w:val="15"/>
              </w:rPr>
              <w:t>Reduction target by 2020 (%)</w:t>
            </w:r>
          </w:p>
        </w:tc>
      </w:tr>
      <w:tr w:rsidR="00DB5D5F" w:rsidRPr="00B37EF3" w:rsidTr="001929E4">
        <w:trPr>
          <w:trHeight w:hRule="exact" w:val="340"/>
          <w:jc w:val="center"/>
        </w:trPr>
        <w:tc>
          <w:tcPr>
            <w:tcW w:w="2009" w:type="dxa"/>
            <w:shd w:val="clear" w:color="auto" w:fill="auto"/>
            <w:vAlign w:val="center"/>
          </w:tcPr>
          <w:p w:rsidR="00DB5D5F" w:rsidRPr="00B37EF3" w:rsidRDefault="00DB5D5F" w:rsidP="00885B82">
            <w:pPr>
              <w:keepNext/>
              <w:tabs>
                <w:tab w:val="left" w:pos="6804"/>
              </w:tabs>
              <w:spacing w:after="0" w:line="240" w:lineRule="auto"/>
              <w:ind w:right="85"/>
              <w:jc w:val="center"/>
              <w:rPr>
                <w:rFonts w:ascii="Arial" w:hAnsi="Arial" w:cs="Arial"/>
                <w:b/>
                <w:bCs/>
                <w:caps/>
                <w:kern w:val="32"/>
                <w:sz w:val="15"/>
                <w:szCs w:val="15"/>
              </w:rPr>
            </w:pPr>
            <w:r w:rsidRPr="00B37EF3">
              <w:rPr>
                <w:rFonts w:ascii="Arial" w:hAnsi="Arial" w:cs="Arial"/>
                <w:kern w:val="32"/>
                <w:sz w:val="15"/>
                <w:szCs w:val="15"/>
              </w:rPr>
              <w:t>≤ 8.5</w:t>
            </w:r>
          </w:p>
        </w:tc>
        <w:tc>
          <w:tcPr>
            <w:tcW w:w="3838" w:type="dxa"/>
            <w:shd w:val="clear" w:color="auto" w:fill="auto"/>
            <w:vAlign w:val="center"/>
          </w:tcPr>
          <w:p w:rsidR="00DB5D5F" w:rsidRPr="00B37EF3" w:rsidRDefault="00DB5D5F" w:rsidP="00885B82">
            <w:pPr>
              <w:keepNext/>
              <w:tabs>
                <w:tab w:val="left" w:pos="6804"/>
              </w:tabs>
              <w:spacing w:after="0" w:line="240" w:lineRule="auto"/>
              <w:ind w:right="85"/>
              <w:jc w:val="center"/>
              <w:rPr>
                <w:rFonts w:ascii="Arial" w:hAnsi="Arial" w:cs="Arial"/>
                <w:kern w:val="32"/>
                <w:sz w:val="15"/>
                <w:szCs w:val="15"/>
              </w:rPr>
            </w:pPr>
            <w:r w:rsidRPr="00B37EF3">
              <w:rPr>
                <w:rFonts w:ascii="Arial" w:hAnsi="Arial" w:cs="Arial"/>
                <w:kern w:val="32"/>
                <w:sz w:val="15"/>
                <w:szCs w:val="15"/>
              </w:rPr>
              <w:t>0%</w:t>
            </w:r>
          </w:p>
        </w:tc>
      </w:tr>
      <w:tr w:rsidR="00DB5D5F" w:rsidRPr="00B37EF3" w:rsidTr="001929E4">
        <w:trPr>
          <w:trHeight w:hRule="exact" w:val="340"/>
          <w:jc w:val="center"/>
        </w:trPr>
        <w:tc>
          <w:tcPr>
            <w:tcW w:w="2009" w:type="dxa"/>
            <w:shd w:val="clear" w:color="auto" w:fill="auto"/>
            <w:vAlign w:val="center"/>
          </w:tcPr>
          <w:p w:rsidR="00DB5D5F" w:rsidRPr="00B37EF3" w:rsidRDefault="00DB5D5F" w:rsidP="00885B82">
            <w:pPr>
              <w:keepNext/>
              <w:tabs>
                <w:tab w:val="left" w:pos="6804"/>
              </w:tabs>
              <w:spacing w:after="0" w:line="240" w:lineRule="auto"/>
              <w:ind w:right="85"/>
              <w:jc w:val="center"/>
              <w:rPr>
                <w:rFonts w:ascii="Arial" w:hAnsi="Arial" w:cs="Arial"/>
                <w:kern w:val="32"/>
                <w:sz w:val="15"/>
                <w:szCs w:val="15"/>
              </w:rPr>
            </w:pPr>
            <w:r w:rsidRPr="00B37EF3">
              <w:rPr>
                <w:rFonts w:ascii="Arial" w:hAnsi="Arial" w:cs="Arial"/>
                <w:kern w:val="32"/>
                <w:sz w:val="15"/>
                <w:szCs w:val="15"/>
              </w:rPr>
              <w:t>&gt;8.5 to &lt;13</w:t>
            </w:r>
          </w:p>
        </w:tc>
        <w:tc>
          <w:tcPr>
            <w:tcW w:w="3838" w:type="dxa"/>
            <w:shd w:val="clear" w:color="auto" w:fill="auto"/>
            <w:vAlign w:val="center"/>
          </w:tcPr>
          <w:p w:rsidR="00DB5D5F" w:rsidRPr="00B37EF3" w:rsidRDefault="00DB5D5F" w:rsidP="00885B82">
            <w:pPr>
              <w:keepNext/>
              <w:tabs>
                <w:tab w:val="left" w:pos="6804"/>
              </w:tabs>
              <w:spacing w:after="0" w:line="240" w:lineRule="auto"/>
              <w:ind w:right="85"/>
              <w:jc w:val="center"/>
              <w:rPr>
                <w:rFonts w:ascii="Arial" w:hAnsi="Arial" w:cs="Arial"/>
                <w:kern w:val="32"/>
                <w:sz w:val="15"/>
                <w:szCs w:val="15"/>
              </w:rPr>
            </w:pPr>
            <w:r w:rsidRPr="00B37EF3">
              <w:rPr>
                <w:rFonts w:ascii="Arial" w:hAnsi="Arial" w:cs="Arial"/>
                <w:kern w:val="32"/>
                <w:sz w:val="15"/>
                <w:szCs w:val="15"/>
              </w:rPr>
              <w:t>10%</w:t>
            </w:r>
          </w:p>
        </w:tc>
      </w:tr>
      <w:tr w:rsidR="00DB5D5F" w:rsidRPr="00B37EF3" w:rsidTr="001929E4">
        <w:trPr>
          <w:trHeight w:hRule="exact" w:val="340"/>
          <w:jc w:val="center"/>
        </w:trPr>
        <w:tc>
          <w:tcPr>
            <w:tcW w:w="2009" w:type="dxa"/>
            <w:shd w:val="clear" w:color="auto" w:fill="auto"/>
            <w:vAlign w:val="center"/>
          </w:tcPr>
          <w:p w:rsidR="00DB5D5F" w:rsidRPr="00B37EF3" w:rsidRDefault="00DB5D5F" w:rsidP="00885B82">
            <w:pPr>
              <w:keepNext/>
              <w:tabs>
                <w:tab w:val="left" w:pos="6804"/>
              </w:tabs>
              <w:spacing w:after="0" w:line="240" w:lineRule="auto"/>
              <w:ind w:right="85"/>
              <w:jc w:val="center"/>
              <w:rPr>
                <w:rFonts w:ascii="Arial" w:hAnsi="Arial" w:cs="Arial"/>
                <w:kern w:val="32"/>
                <w:sz w:val="15"/>
                <w:szCs w:val="15"/>
              </w:rPr>
            </w:pPr>
            <w:r w:rsidRPr="00B37EF3">
              <w:rPr>
                <w:rFonts w:ascii="Arial" w:hAnsi="Arial" w:cs="Arial"/>
                <w:kern w:val="32"/>
                <w:sz w:val="15"/>
                <w:szCs w:val="15"/>
              </w:rPr>
              <w:t>13 to &lt;18</w:t>
            </w:r>
          </w:p>
        </w:tc>
        <w:tc>
          <w:tcPr>
            <w:tcW w:w="3838" w:type="dxa"/>
            <w:shd w:val="clear" w:color="auto" w:fill="auto"/>
            <w:vAlign w:val="center"/>
          </w:tcPr>
          <w:p w:rsidR="00DB5D5F" w:rsidRPr="00B37EF3" w:rsidRDefault="00DB5D5F" w:rsidP="00885B82">
            <w:pPr>
              <w:keepNext/>
              <w:tabs>
                <w:tab w:val="left" w:pos="6804"/>
              </w:tabs>
              <w:spacing w:after="0" w:line="240" w:lineRule="auto"/>
              <w:ind w:right="85"/>
              <w:jc w:val="center"/>
              <w:rPr>
                <w:rFonts w:ascii="Arial" w:hAnsi="Arial" w:cs="Arial"/>
                <w:kern w:val="32"/>
                <w:sz w:val="15"/>
                <w:szCs w:val="15"/>
              </w:rPr>
            </w:pPr>
            <w:r w:rsidRPr="00B37EF3">
              <w:rPr>
                <w:rFonts w:ascii="Arial" w:hAnsi="Arial" w:cs="Arial"/>
                <w:kern w:val="32"/>
                <w:sz w:val="15"/>
                <w:szCs w:val="15"/>
              </w:rPr>
              <w:t>15%</w:t>
            </w:r>
          </w:p>
        </w:tc>
      </w:tr>
      <w:tr w:rsidR="00DB5D5F" w:rsidRPr="00B37EF3" w:rsidTr="001929E4">
        <w:trPr>
          <w:trHeight w:hRule="exact" w:val="340"/>
          <w:jc w:val="center"/>
        </w:trPr>
        <w:tc>
          <w:tcPr>
            <w:tcW w:w="2009" w:type="dxa"/>
            <w:shd w:val="clear" w:color="auto" w:fill="auto"/>
            <w:vAlign w:val="center"/>
          </w:tcPr>
          <w:p w:rsidR="00DB5D5F" w:rsidRPr="00B37EF3" w:rsidRDefault="00DB5D5F" w:rsidP="00885B82">
            <w:pPr>
              <w:keepNext/>
              <w:tabs>
                <w:tab w:val="left" w:pos="6804"/>
              </w:tabs>
              <w:spacing w:after="0" w:line="240" w:lineRule="auto"/>
              <w:ind w:right="85"/>
              <w:jc w:val="center"/>
              <w:rPr>
                <w:rFonts w:ascii="Arial" w:hAnsi="Arial" w:cs="Arial"/>
                <w:kern w:val="32"/>
                <w:sz w:val="15"/>
                <w:szCs w:val="15"/>
              </w:rPr>
            </w:pPr>
            <w:r w:rsidRPr="00B37EF3">
              <w:rPr>
                <w:rFonts w:ascii="Arial" w:hAnsi="Arial" w:cs="Arial"/>
                <w:kern w:val="32"/>
                <w:sz w:val="15"/>
                <w:szCs w:val="15"/>
              </w:rPr>
              <w:t>18 to &lt;22</w:t>
            </w:r>
          </w:p>
        </w:tc>
        <w:tc>
          <w:tcPr>
            <w:tcW w:w="3838" w:type="dxa"/>
            <w:shd w:val="clear" w:color="auto" w:fill="auto"/>
            <w:vAlign w:val="center"/>
          </w:tcPr>
          <w:p w:rsidR="00DB5D5F" w:rsidRPr="00B37EF3" w:rsidRDefault="00DB5D5F" w:rsidP="00885B82">
            <w:pPr>
              <w:keepNext/>
              <w:tabs>
                <w:tab w:val="left" w:pos="6804"/>
              </w:tabs>
              <w:spacing w:after="0" w:line="240" w:lineRule="auto"/>
              <w:ind w:right="85"/>
              <w:jc w:val="center"/>
              <w:rPr>
                <w:rFonts w:ascii="Arial" w:hAnsi="Arial" w:cs="Arial"/>
                <w:kern w:val="32"/>
                <w:sz w:val="15"/>
                <w:szCs w:val="15"/>
              </w:rPr>
            </w:pPr>
            <w:r w:rsidRPr="00B37EF3">
              <w:rPr>
                <w:rFonts w:ascii="Arial" w:hAnsi="Arial" w:cs="Arial"/>
                <w:kern w:val="32"/>
                <w:sz w:val="15"/>
                <w:szCs w:val="15"/>
              </w:rPr>
              <w:t>20%</w:t>
            </w:r>
          </w:p>
        </w:tc>
      </w:tr>
      <w:tr w:rsidR="00DB5D5F" w:rsidRPr="00B37EF3" w:rsidTr="001929E4">
        <w:trPr>
          <w:trHeight w:hRule="exact" w:val="340"/>
          <w:jc w:val="center"/>
        </w:trPr>
        <w:tc>
          <w:tcPr>
            <w:tcW w:w="2009" w:type="dxa"/>
            <w:shd w:val="clear" w:color="auto" w:fill="auto"/>
            <w:vAlign w:val="center"/>
          </w:tcPr>
          <w:p w:rsidR="00DB5D5F" w:rsidRPr="00B37EF3" w:rsidRDefault="00DB5D5F" w:rsidP="00885B82">
            <w:pPr>
              <w:keepNext/>
              <w:tabs>
                <w:tab w:val="left" w:pos="6804"/>
              </w:tabs>
              <w:spacing w:after="0" w:line="240" w:lineRule="auto"/>
              <w:ind w:right="85"/>
              <w:jc w:val="center"/>
              <w:rPr>
                <w:rFonts w:ascii="Arial" w:hAnsi="Arial" w:cs="Arial"/>
                <w:kern w:val="32"/>
                <w:sz w:val="15"/>
                <w:szCs w:val="15"/>
              </w:rPr>
            </w:pPr>
            <w:r w:rsidRPr="00B37EF3">
              <w:rPr>
                <w:rFonts w:ascii="Arial" w:hAnsi="Arial" w:cs="Arial"/>
                <w:kern w:val="32"/>
                <w:sz w:val="15"/>
                <w:szCs w:val="15"/>
              </w:rPr>
              <w:t>≥ 22</w:t>
            </w:r>
          </w:p>
        </w:tc>
        <w:tc>
          <w:tcPr>
            <w:tcW w:w="3838" w:type="dxa"/>
            <w:shd w:val="clear" w:color="auto" w:fill="auto"/>
            <w:vAlign w:val="center"/>
          </w:tcPr>
          <w:p w:rsidR="00DB5D5F" w:rsidRPr="00B37EF3" w:rsidRDefault="00DB5D5F" w:rsidP="00885B82">
            <w:pPr>
              <w:keepNext/>
              <w:tabs>
                <w:tab w:val="left" w:pos="6804"/>
              </w:tabs>
              <w:spacing w:after="0" w:line="240" w:lineRule="auto"/>
              <w:ind w:right="85"/>
              <w:jc w:val="center"/>
              <w:rPr>
                <w:rFonts w:ascii="Arial" w:hAnsi="Arial" w:cs="Arial"/>
                <w:kern w:val="32"/>
                <w:sz w:val="15"/>
                <w:szCs w:val="15"/>
              </w:rPr>
            </w:pPr>
            <w:r w:rsidRPr="00B37EF3">
              <w:rPr>
                <w:rFonts w:ascii="Arial" w:hAnsi="Arial" w:cs="Arial"/>
                <w:kern w:val="32"/>
                <w:sz w:val="15"/>
                <w:szCs w:val="15"/>
              </w:rPr>
              <w:t>All appropriate measures to achieve 18 µg/m</w:t>
            </w:r>
            <w:r w:rsidRPr="00B37EF3">
              <w:rPr>
                <w:rFonts w:ascii="Arial" w:hAnsi="Arial" w:cs="Arial"/>
                <w:kern w:val="32"/>
                <w:sz w:val="15"/>
                <w:szCs w:val="15"/>
                <w:vertAlign w:val="superscript"/>
              </w:rPr>
              <w:t>3</w:t>
            </w:r>
          </w:p>
        </w:tc>
      </w:tr>
    </w:tbl>
    <w:p w:rsidR="00DB5D5F" w:rsidRPr="00B37EF3" w:rsidRDefault="00DB5D5F" w:rsidP="00DB5D5F">
      <w:pPr>
        <w:rPr>
          <w:rFonts w:ascii="Arial" w:hAnsi="Arial" w:cs="Arial"/>
          <w:color w:val="FF0000"/>
        </w:rPr>
      </w:pPr>
    </w:p>
    <w:p w:rsidR="00DB5D5F" w:rsidRPr="00B37EF3" w:rsidRDefault="00DB5D5F" w:rsidP="00810588">
      <w:pPr>
        <w:spacing w:after="180"/>
        <w:rPr>
          <w:rFonts w:ascii="Arial" w:hAnsi="Arial" w:cs="Arial"/>
        </w:rPr>
      </w:pPr>
      <w:r w:rsidRPr="00B37EF3">
        <w:rPr>
          <w:rFonts w:ascii="Arial" w:hAnsi="Arial" w:cs="Arial"/>
        </w:rPr>
        <w:t>In the UK the government has set an annual mean objective for PM</w:t>
      </w:r>
      <w:r w:rsidRPr="00B37EF3">
        <w:rPr>
          <w:rFonts w:ascii="Arial" w:hAnsi="Arial" w:cs="Arial"/>
          <w:vertAlign w:val="subscript"/>
        </w:rPr>
        <w:t>2.5</w:t>
      </w:r>
      <w:r w:rsidRPr="00B37EF3">
        <w:rPr>
          <w:rFonts w:ascii="Arial" w:hAnsi="Arial" w:cs="Arial"/>
        </w:rPr>
        <w:t xml:space="preserve"> of 25 </w:t>
      </w:r>
      <w:proofErr w:type="spellStart"/>
      <w:r w:rsidRPr="00B37EF3">
        <w:rPr>
          <w:rFonts w:ascii="Arial" w:hAnsi="Arial" w:cs="Arial"/>
        </w:rPr>
        <w:t>μg</w:t>
      </w:r>
      <w:proofErr w:type="spellEnd"/>
      <w:r w:rsidRPr="00B37EF3">
        <w:rPr>
          <w:rFonts w:ascii="Arial" w:hAnsi="Arial" w:cs="Arial"/>
        </w:rPr>
        <w:t>/m</w:t>
      </w:r>
      <w:r w:rsidRPr="00B37EF3">
        <w:rPr>
          <w:rFonts w:ascii="Arial" w:hAnsi="Arial" w:cs="Arial"/>
          <w:vertAlign w:val="superscript"/>
        </w:rPr>
        <w:t>3</w:t>
      </w:r>
      <w:r w:rsidRPr="00B37EF3">
        <w:rPr>
          <w:rFonts w:ascii="Arial" w:hAnsi="Arial" w:cs="Arial"/>
        </w:rPr>
        <w:t xml:space="preserve"> which applies at all relevant locations in England, Wales and Northern Ireland from 2020. This is likely to be achieved throughout the UK. The Air Quality Strategy has also set an exposure-reduction objective, which is a 15% reduction between 2010 and 2020. This will either be the same as, or possibly more stringent than the EU target. In Scotland the annual mean objective for PM</w:t>
      </w:r>
      <w:r w:rsidRPr="00B37EF3">
        <w:rPr>
          <w:rFonts w:ascii="Arial" w:hAnsi="Arial" w:cs="Arial"/>
          <w:vertAlign w:val="subscript"/>
        </w:rPr>
        <w:t>2.5</w:t>
      </w:r>
      <w:r w:rsidRPr="00B37EF3">
        <w:rPr>
          <w:rFonts w:ascii="Arial" w:hAnsi="Arial" w:cs="Arial"/>
        </w:rPr>
        <w:t xml:space="preserve"> has been set at 12 </w:t>
      </w:r>
      <w:proofErr w:type="spellStart"/>
      <w:r w:rsidRPr="00B37EF3">
        <w:rPr>
          <w:rFonts w:ascii="Arial" w:hAnsi="Arial" w:cs="Arial"/>
        </w:rPr>
        <w:t>μg</w:t>
      </w:r>
      <w:proofErr w:type="spellEnd"/>
      <w:r w:rsidRPr="00B37EF3">
        <w:rPr>
          <w:rFonts w:ascii="Arial" w:hAnsi="Arial" w:cs="Arial"/>
        </w:rPr>
        <w:t>/m</w:t>
      </w:r>
      <w:r w:rsidRPr="00B37EF3">
        <w:rPr>
          <w:rFonts w:ascii="Arial" w:hAnsi="Arial" w:cs="Arial"/>
          <w:vertAlign w:val="superscript"/>
        </w:rPr>
        <w:t>3</w:t>
      </w:r>
      <w:r w:rsidRPr="00B37EF3">
        <w:rPr>
          <w:rFonts w:ascii="Arial" w:hAnsi="Arial" w:cs="Arial"/>
        </w:rPr>
        <w:t xml:space="preserve"> to be achieved by 2020 at all relevant locations. Given that the measured kerbside concentration in Glasgow was 23 </w:t>
      </w:r>
      <w:proofErr w:type="spellStart"/>
      <w:r w:rsidRPr="00B37EF3">
        <w:rPr>
          <w:rFonts w:ascii="Arial" w:hAnsi="Arial" w:cs="Arial"/>
        </w:rPr>
        <w:t>μg</w:t>
      </w:r>
      <w:proofErr w:type="spellEnd"/>
      <w:r w:rsidRPr="00B37EF3">
        <w:rPr>
          <w:rFonts w:ascii="Arial" w:hAnsi="Arial" w:cs="Arial"/>
        </w:rPr>
        <w:t>/m</w:t>
      </w:r>
      <w:r w:rsidRPr="00B37EF3">
        <w:rPr>
          <w:rFonts w:ascii="Arial" w:hAnsi="Arial" w:cs="Arial"/>
          <w:vertAlign w:val="superscript"/>
        </w:rPr>
        <w:t>3</w:t>
      </w:r>
      <w:r w:rsidRPr="00B37EF3">
        <w:rPr>
          <w:rFonts w:ascii="Arial" w:hAnsi="Arial" w:cs="Arial"/>
        </w:rPr>
        <w:t xml:space="preserve"> in 2010, it is highly likely that the objective is currently being exceeded at roadside sites in major urban areas in Scotland. There is thus a risk that the Scottish objective for PM</w:t>
      </w:r>
      <w:r w:rsidRPr="00B37EF3">
        <w:rPr>
          <w:rFonts w:ascii="Arial" w:hAnsi="Arial" w:cs="Arial"/>
          <w:vertAlign w:val="subscript"/>
        </w:rPr>
        <w:t>2.5</w:t>
      </w:r>
      <w:r w:rsidRPr="00B37EF3">
        <w:rPr>
          <w:rFonts w:ascii="Arial" w:hAnsi="Arial" w:cs="Arial"/>
        </w:rPr>
        <w:t xml:space="preserve"> may still be exceeded in 2020 </w:t>
      </w:r>
      <w:r w:rsidRPr="00B37EF3">
        <w:rPr>
          <w:rFonts w:ascii="Arial" w:hAnsi="Arial" w:cs="Arial"/>
          <w:b/>
        </w:rPr>
        <w:t>(AQEG 2012)</w:t>
      </w:r>
      <w:r w:rsidRPr="00B37EF3">
        <w:rPr>
          <w:rFonts w:ascii="Arial" w:hAnsi="Arial" w:cs="Arial"/>
        </w:rPr>
        <w:t>.</w:t>
      </w:r>
    </w:p>
    <w:p w:rsidR="00DB5D5F" w:rsidRPr="00B37EF3" w:rsidRDefault="00DB5D5F" w:rsidP="00810588">
      <w:pPr>
        <w:spacing w:after="180"/>
        <w:rPr>
          <w:rFonts w:ascii="Arial" w:hAnsi="Arial" w:cs="Arial"/>
          <w:u w:val="single"/>
        </w:rPr>
      </w:pPr>
      <w:r w:rsidRPr="00B37EF3">
        <w:rPr>
          <w:rFonts w:ascii="Arial" w:hAnsi="Arial" w:cs="Arial"/>
        </w:rPr>
        <w:t>Whilst not</w:t>
      </w:r>
      <w:r w:rsidR="003C2D33" w:rsidRPr="00B37EF3">
        <w:rPr>
          <w:rFonts w:ascii="Arial" w:hAnsi="Arial" w:cs="Arial"/>
        </w:rPr>
        <w:t xml:space="preserve"> representing a formal exposure-reduction approach, the Canada-W</w:t>
      </w:r>
      <w:r w:rsidRPr="00B37EF3">
        <w:rPr>
          <w:rFonts w:ascii="Arial" w:hAnsi="Arial" w:cs="Arial"/>
        </w:rPr>
        <w:t>ide Standards (CWS) for PM and ozone</w:t>
      </w:r>
      <w:r w:rsidRPr="00B37EF3">
        <w:rPr>
          <w:rFonts w:ascii="Arial" w:hAnsi="Arial" w:cs="Arial"/>
          <w:b/>
          <w:color w:val="FF0000"/>
        </w:rPr>
        <w:t xml:space="preserve"> </w:t>
      </w:r>
      <w:r w:rsidRPr="00B37EF3">
        <w:rPr>
          <w:rFonts w:ascii="Arial" w:hAnsi="Arial" w:cs="Arial"/>
        </w:rPr>
        <w:t xml:space="preserve">include the implementation of ‘continuous improvement’ (CI) and ‘keeping-clean-areas-clean’ (KCAC) </w:t>
      </w:r>
      <w:r w:rsidR="009938C5" w:rsidRPr="00B37EF3">
        <w:rPr>
          <w:rFonts w:ascii="Arial" w:hAnsi="Arial" w:cs="Arial"/>
        </w:rPr>
        <w:t xml:space="preserve">programs </w:t>
      </w:r>
      <w:r w:rsidRPr="00B37EF3">
        <w:rPr>
          <w:rFonts w:ascii="Arial" w:hAnsi="Arial" w:cs="Arial"/>
        </w:rPr>
        <w:t xml:space="preserve">where ambient concentrations are below the CWS levels. This is not a mandatory requirement, but jurisdictions with ambient </w:t>
      </w:r>
      <w:r w:rsidR="006A559A" w:rsidRPr="00B37EF3">
        <w:rPr>
          <w:rFonts w:ascii="Arial" w:hAnsi="Arial" w:cs="Arial"/>
        </w:rPr>
        <w:t xml:space="preserve">concentrations </w:t>
      </w:r>
      <w:r w:rsidRPr="00B37EF3">
        <w:rPr>
          <w:rFonts w:ascii="Arial" w:hAnsi="Arial" w:cs="Arial"/>
        </w:rPr>
        <w:t xml:space="preserve">below the CWS </w:t>
      </w:r>
      <w:r w:rsidR="006A559A" w:rsidRPr="00B37EF3">
        <w:rPr>
          <w:rFonts w:ascii="Arial" w:hAnsi="Arial" w:cs="Arial"/>
        </w:rPr>
        <w:t xml:space="preserve">levels </w:t>
      </w:r>
      <w:r w:rsidRPr="00B37EF3">
        <w:rPr>
          <w:rFonts w:ascii="Arial" w:hAnsi="Arial" w:cs="Arial"/>
        </w:rPr>
        <w:t xml:space="preserve">are expected to focus implementation measures on CI/KCAC </w:t>
      </w:r>
      <w:r w:rsidRPr="00B37EF3">
        <w:rPr>
          <w:rFonts w:ascii="Arial" w:hAnsi="Arial" w:cs="Arial"/>
          <w:b/>
        </w:rPr>
        <w:t>(CCME 2006, 2007)</w:t>
      </w:r>
      <w:r w:rsidRPr="00B37EF3">
        <w:rPr>
          <w:rFonts w:ascii="Arial" w:hAnsi="Arial" w:cs="Arial"/>
        </w:rPr>
        <w:t>.</w:t>
      </w:r>
    </w:p>
    <w:p w:rsidR="00DB5D5F" w:rsidRPr="00B37EF3" w:rsidRDefault="00DB5D5F" w:rsidP="00810588">
      <w:pPr>
        <w:spacing w:after="140"/>
        <w:rPr>
          <w:rFonts w:ascii="Arial" w:hAnsi="Arial" w:cs="Arial"/>
        </w:rPr>
      </w:pPr>
      <w:r w:rsidRPr="00B37EF3">
        <w:rPr>
          <w:rFonts w:ascii="Arial" w:hAnsi="Arial" w:cs="Arial"/>
        </w:rPr>
        <w:t xml:space="preserve">CI/KCAC </w:t>
      </w:r>
      <w:r w:rsidR="009938C5" w:rsidRPr="00B37EF3">
        <w:rPr>
          <w:rFonts w:ascii="Arial" w:hAnsi="Arial" w:cs="Arial"/>
        </w:rPr>
        <w:t xml:space="preserve">programs </w:t>
      </w:r>
      <w:r w:rsidRPr="00B37EF3">
        <w:rPr>
          <w:rFonts w:ascii="Arial" w:hAnsi="Arial" w:cs="Arial"/>
        </w:rPr>
        <w:t>are required to address the following pollutants:</w:t>
      </w:r>
    </w:p>
    <w:p w:rsidR="00DB5D5F" w:rsidRPr="00B37EF3" w:rsidRDefault="00F97F64" w:rsidP="006A5626">
      <w:pPr>
        <w:pStyle w:val="BulletArrows"/>
        <w:numPr>
          <w:ilvl w:val="0"/>
          <w:numId w:val="62"/>
        </w:numPr>
        <w:spacing w:after="140"/>
        <w:rPr>
          <w:rFonts w:ascii="Arial" w:hAnsi="Arial"/>
        </w:rPr>
      </w:pPr>
      <w:r w:rsidRPr="00B37EF3">
        <w:rPr>
          <w:rFonts w:ascii="Arial" w:hAnsi="Arial"/>
        </w:rPr>
        <w:t>i</w:t>
      </w:r>
      <w:r w:rsidR="00DB5D5F" w:rsidRPr="00B37EF3">
        <w:rPr>
          <w:rFonts w:ascii="Arial" w:hAnsi="Arial"/>
        </w:rPr>
        <w:t>n the ambient environment:</w:t>
      </w:r>
      <w:r w:rsidR="004B4989" w:rsidRPr="00B37EF3">
        <w:rPr>
          <w:rFonts w:ascii="Arial" w:hAnsi="Arial"/>
        </w:rPr>
        <w:t xml:space="preserve"> </w:t>
      </w:r>
      <w:r w:rsidR="00DB5D5F" w:rsidRPr="00B37EF3">
        <w:rPr>
          <w:rFonts w:ascii="Arial" w:hAnsi="Arial"/>
        </w:rPr>
        <w:t>ozone and PM</w:t>
      </w:r>
      <w:r w:rsidR="00DB5D5F" w:rsidRPr="00B37EF3">
        <w:rPr>
          <w:rFonts w:ascii="Arial" w:hAnsi="Arial"/>
          <w:vertAlign w:val="subscript"/>
        </w:rPr>
        <w:t>2.5</w:t>
      </w:r>
    </w:p>
    <w:p w:rsidR="00DB5D5F" w:rsidRPr="00B37EF3" w:rsidRDefault="00F97F64" w:rsidP="006A5626">
      <w:pPr>
        <w:pStyle w:val="BulletArrows"/>
        <w:numPr>
          <w:ilvl w:val="0"/>
          <w:numId w:val="62"/>
        </w:numPr>
        <w:spacing w:after="180"/>
        <w:rPr>
          <w:rFonts w:ascii="Arial" w:hAnsi="Arial"/>
        </w:rPr>
      </w:pPr>
      <w:proofErr w:type="gramStart"/>
      <w:r w:rsidRPr="00B37EF3">
        <w:rPr>
          <w:rFonts w:ascii="Arial" w:hAnsi="Arial"/>
        </w:rPr>
        <w:t>i</w:t>
      </w:r>
      <w:r w:rsidR="00DB5D5F" w:rsidRPr="00B37EF3">
        <w:rPr>
          <w:rFonts w:ascii="Arial" w:hAnsi="Arial"/>
        </w:rPr>
        <w:t>n</w:t>
      </w:r>
      <w:proofErr w:type="gramEnd"/>
      <w:r w:rsidR="00DB5D5F" w:rsidRPr="00B37EF3">
        <w:rPr>
          <w:rFonts w:ascii="Arial" w:hAnsi="Arial"/>
        </w:rPr>
        <w:t xml:space="preserve"> emissions:</w:t>
      </w:r>
      <w:r w:rsidR="004B4989" w:rsidRPr="00B37EF3">
        <w:rPr>
          <w:rFonts w:ascii="Arial" w:hAnsi="Arial"/>
        </w:rPr>
        <w:t xml:space="preserve"> </w:t>
      </w:r>
      <w:r w:rsidR="00DB5D5F" w:rsidRPr="00B37EF3">
        <w:rPr>
          <w:rFonts w:ascii="Arial" w:hAnsi="Arial"/>
        </w:rPr>
        <w:t>direct PM</w:t>
      </w:r>
      <w:r w:rsidR="00DB5D5F" w:rsidRPr="00B37EF3">
        <w:rPr>
          <w:rFonts w:ascii="Arial" w:hAnsi="Arial"/>
          <w:vertAlign w:val="subscript"/>
        </w:rPr>
        <w:t>2.5</w:t>
      </w:r>
      <w:r w:rsidR="00DB5D5F" w:rsidRPr="00B37EF3">
        <w:rPr>
          <w:rFonts w:ascii="Arial" w:hAnsi="Arial"/>
        </w:rPr>
        <w:t xml:space="preserve"> emissions, the PM</w:t>
      </w:r>
      <w:r w:rsidR="00DB5D5F" w:rsidRPr="00B37EF3">
        <w:rPr>
          <w:rFonts w:ascii="Arial" w:hAnsi="Arial"/>
          <w:vertAlign w:val="subscript"/>
        </w:rPr>
        <w:t>2.5</w:t>
      </w:r>
      <w:r w:rsidR="00DB5D5F" w:rsidRPr="00B37EF3">
        <w:rPr>
          <w:rFonts w:ascii="Arial" w:hAnsi="Arial"/>
        </w:rPr>
        <w:t xml:space="preserve"> and ozone precursors NO</w:t>
      </w:r>
      <w:r w:rsidR="00DB5D5F" w:rsidRPr="00B37EF3">
        <w:rPr>
          <w:rFonts w:ascii="Arial" w:hAnsi="Arial"/>
          <w:vertAlign w:val="subscript"/>
        </w:rPr>
        <w:t>x</w:t>
      </w:r>
      <w:r w:rsidR="00DB5D5F" w:rsidRPr="00B37EF3">
        <w:rPr>
          <w:rFonts w:ascii="Arial" w:hAnsi="Arial"/>
        </w:rPr>
        <w:t xml:space="preserve"> and VOCs, and the PM</w:t>
      </w:r>
      <w:r w:rsidR="00DB5D5F" w:rsidRPr="00B37EF3">
        <w:rPr>
          <w:rFonts w:ascii="Arial" w:hAnsi="Arial"/>
          <w:vertAlign w:val="subscript"/>
        </w:rPr>
        <w:t>2.5</w:t>
      </w:r>
      <w:r w:rsidR="00DB5D5F" w:rsidRPr="00B37EF3">
        <w:rPr>
          <w:rFonts w:ascii="Arial" w:hAnsi="Arial"/>
        </w:rPr>
        <w:t xml:space="preserve"> precursors SO</w:t>
      </w:r>
      <w:r w:rsidR="00DB5D5F" w:rsidRPr="00B37EF3">
        <w:rPr>
          <w:rFonts w:ascii="Arial" w:hAnsi="Arial"/>
          <w:vertAlign w:val="subscript"/>
        </w:rPr>
        <w:t>2</w:t>
      </w:r>
      <w:r w:rsidR="00DB5D5F" w:rsidRPr="00B37EF3">
        <w:rPr>
          <w:rFonts w:ascii="Arial" w:hAnsi="Arial"/>
        </w:rPr>
        <w:t xml:space="preserve"> and NH</w:t>
      </w:r>
      <w:r w:rsidR="00DB5D5F" w:rsidRPr="00B37EF3">
        <w:rPr>
          <w:rFonts w:ascii="Arial" w:hAnsi="Arial"/>
          <w:vertAlign w:val="subscript"/>
        </w:rPr>
        <w:t>3</w:t>
      </w:r>
      <w:r w:rsidR="00DE604D" w:rsidRPr="00B37EF3">
        <w:rPr>
          <w:rFonts w:ascii="Arial" w:hAnsi="Arial"/>
          <w:vertAlign w:val="subscript"/>
        </w:rPr>
        <w:t>.</w:t>
      </w:r>
    </w:p>
    <w:p w:rsidR="00DB5D5F" w:rsidRPr="00B37EF3" w:rsidRDefault="00DB5D5F" w:rsidP="001929E4">
      <w:pPr>
        <w:spacing w:after="300"/>
        <w:rPr>
          <w:rFonts w:ascii="Arial" w:hAnsi="Arial" w:cs="Arial"/>
        </w:rPr>
      </w:pPr>
      <w:r w:rsidRPr="00B37EF3">
        <w:rPr>
          <w:rFonts w:ascii="Arial" w:hAnsi="Arial" w:cs="Arial"/>
        </w:rPr>
        <w:t xml:space="preserve">Specific targets for reductions in pollutant concentrations or emissions have not been set, but </w:t>
      </w:r>
      <w:r w:rsidR="003C2D33" w:rsidRPr="00B37EF3">
        <w:rPr>
          <w:rFonts w:ascii="Arial" w:hAnsi="Arial" w:cs="Arial"/>
        </w:rPr>
        <w:t xml:space="preserve">the Canadian </w:t>
      </w:r>
      <w:r w:rsidRPr="00B37EF3">
        <w:rPr>
          <w:rFonts w:ascii="Arial" w:hAnsi="Arial" w:cs="Arial"/>
        </w:rPr>
        <w:t>jurisdictions are required to provid</w:t>
      </w:r>
      <w:r w:rsidR="003C2D33" w:rsidRPr="00B37EF3">
        <w:rPr>
          <w:rFonts w:ascii="Arial" w:hAnsi="Arial" w:cs="Arial"/>
        </w:rPr>
        <w:t>e comprehensive reports at five-</w:t>
      </w:r>
      <w:r w:rsidRPr="00B37EF3">
        <w:rPr>
          <w:rFonts w:ascii="Arial" w:hAnsi="Arial" w:cs="Arial"/>
        </w:rPr>
        <w:t>year intervals (including progress on CI/KCAC)</w:t>
      </w:r>
      <w:r w:rsidR="003C2D33" w:rsidRPr="00B37EF3">
        <w:rPr>
          <w:rFonts w:ascii="Arial" w:hAnsi="Arial" w:cs="Arial"/>
        </w:rPr>
        <w:t>,</w:t>
      </w:r>
      <w:r w:rsidRPr="00B37EF3">
        <w:rPr>
          <w:rFonts w:ascii="Arial" w:hAnsi="Arial" w:cs="Arial"/>
        </w:rPr>
        <w:t xml:space="preserve"> and should i</w:t>
      </w:r>
      <w:r w:rsidR="003C2D33" w:rsidRPr="00B37EF3">
        <w:rPr>
          <w:rFonts w:ascii="Arial" w:hAnsi="Arial" w:cs="Arial"/>
        </w:rPr>
        <w:t>nclude all significant emission-</w:t>
      </w:r>
      <w:r w:rsidRPr="00B37EF3">
        <w:rPr>
          <w:rFonts w:ascii="Arial" w:hAnsi="Arial" w:cs="Arial"/>
        </w:rPr>
        <w:t>reduction actions.</w:t>
      </w:r>
    </w:p>
    <w:p w:rsidR="00DB5D5F" w:rsidRPr="00B37EF3" w:rsidRDefault="00DB5D5F" w:rsidP="00DB5D5F">
      <w:pPr>
        <w:pStyle w:val="Heading4"/>
        <w:rPr>
          <w:rFonts w:ascii="Arial" w:hAnsi="Arial" w:cs="Arial"/>
        </w:rPr>
      </w:pPr>
      <w:r w:rsidRPr="00B37EF3">
        <w:rPr>
          <w:rFonts w:ascii="Arial" w:hAnsi="Arial" w:cs="Arial"/>
        </w:rPr>
        <w:t>Air pollution indices</w:t>
      </w:r>
    </w:p>
    <w:p w:rsidR="00DB5D5F" w:rsidRPr="00B37EF3" w:rsidRDefault="00DB5D5F" w:rsidP="00DB5D5F">
      <w:pPr>
        <w:rPr>
          <w:rFonts w:ascii="Arial" w:hAnsi="Arial" w:cs="Arial"/>
        </w:rPr>
      </w:pPr>
      <w:r w:rsidRPr="00B37EF3">
        <w:rPr>
          <w:rFonts w:ascii="Arial" w:hAnsi="Arial" w:cs="Arial"/>
        </w:rPr>
        <w:t>The NSW Air Quality Index</w:t>
      </w:r>
      <w:r w:rsidR="00A83C94" w:rsidRPr="00B37EF3">
        <w:rPr>
          <w:rFonts w:ascii="Arial" w:hAnsi="Arial" w:cs="Arial"/>
        </w:rPr>
        <w:t xml:space="preserve"> (AQI)</w:t>
      </w:r>
      <w:r w:rsidRPr="00B37EF3">
        <w:rPr>
          <w:rFonts w:ascii="Arial" w:hAnsi="Arial" w:cs="Arial"/>
        </w:rPr>
        <w:t xml:space="preserve"> is a derive</w:t>
      </w:r>
      <w:r w:rsidR="00A83C94" w:rsidRPr="00B37EF3">
        <w:rPr>
          <w:rFonts w:ascii="Arial" w:hAnsi="Arial" w:cs="Arial"/>
        </w:rPr>
        <w:t xml:space="preserve">d value based on </w:t>
      </w:r>
      <w:r w:rsidRPr="00B37EF3">
        <w:rPr>
          <w:rFonts w:ascii="Arial" w:hAnsi="Arial" w:cs="Arial"/>
        </w:rPr>
        <w:t>hourly pollutant readings. The AQI is</w:t>
      </w:r>
      <w:r w:rsidR="00A83C94" w:rsidRPr="00B37EF3">
        <w:rPr>
          <w:rFonts w:ascii="Arial" w:hAnsi="Arial" w:cs="Arial"/>
        </w:rPr>
        <w:t xml:space="preserve"> calculated for each pollutant on an hourly basis. </w:t>
      </w:r>
      <w:r w:rsidRPr="00B37EF3">
        <w:rPr>
          <w:rFonts w:ascii="Arial" w:hAnsi="Arial" w:cs="Arial"/>
        </w:rPr>
        <w:t xml:space="preserve">The </w:t>
      </w:r>
      <w:r w:rsidR="00A83C94" w:rsidRPr="00B37EF3">
        <w:rPr>
          <w:rFonts w:ascii="Arial" w:hAnsi="Arial" w:cs="Arial"/>
        </w:rPr>
        <w:t>‘</w:t>
      </w:r>
      <w:r w:rsidRPr="00B37EF3">
        <w:rPr>
          <w:rFonts w:ascii="Arial" w:hAnsi="Arial" w:cs="Arial"/>
        </w:rPr>
        <w:t>Site AQI</w:t>
      </w:r>
      <w:r w:rsidR="00A83C94" w:rsidRPr="00B37EF3">
        <w:rPr>
          <w:rFonts w:ascii="Arial" w:hAnsi="Arial" w:cs="Arial"/>
        </w:rPr>
        <w:t>’</w:t>
      </w:r>
      <w:r w:rsidRPr="00B37EF3">
        <w:rPr>
          <w:rFonts w:ascii="Arial" w:hAnsi="Arial" w:cs="Arial"/>
        </w:rPr>
        <w:t xml:space="preserve"> that is reported is the highest calculated AQI value from all of the p</w:t>
      </w:r>
      <w:r w:rsidR="001929E4" w:rsidRPr="00B37EF3">
        <w:rPr>
          <w:rFonts w:ascii="Arial" w:hAnsi="Arial" w:cs="Arial"/>
        </w:rPr>
        <w:t>ollutants measured over the preceding</w:t>
      </w:r>
      <w:r w:rsidRPr="00B37EF3">
        <w:rPr>
          <w:rFonts w:ascii="Arial" w:hAnsi="Arial" w:cs="Arial"/>
        </w:rPr>
        <w:t xml:space="preserve"> 24 hours at each individual monitoring station.</w:t>
      </w:r>
      <w:r w:rsidR="004B4989" w:rsidRPr="00B37EF3">
        <w:rPr>
          <w:rFonts w:ascii="Arial" w:hAnsi="Arial" w:cs="Arial"/>
        </w:rPr>
        <w:t xml:space="preserve"> </w:t>
      </w:r>
      <w:r w:rsidRPr="00B37EF3">
        <w:rPr>
          <w:rFonts w:ascii="Arial" w:hAnsi="Arial" w:cs="Arial"/>
        </w:rPr>
        <w:t xml:space="preserve">The </w:t>
      </w:r>
      <w:r w:rsidR="00A83C94" w:rsidRPr="00B37EF3">
        <w:rPr>
          <w:rFonts w:ascii="Arial" w:hAnsi="Arial" w:cs="Arial"/>
        </w:rPr>
        <w:t>‘</w:t>
      </w:r>
      <w:r w:rsidRPr="00B37EF3">
        <w:rPr>
          <w:rFonts w:ascii="Arial" w:hAnsi="Arial" w:cs="Arial"/>
        </w:rPr>
        <w:t>Region AQI</w:t>
      </w:r>
      <w:r w:rsidR="00A83C94" w:rsidRPr="00B37EF3">
        <w:rPr>
          <w:rFonts w:ascii="Arial" w:hAnsi="Arial" w:cs="Arial"/>
        </w:rPr>
        <w:t>’</w:t>
      </w:r>
      <w:r w:rsidRPr="00B37EF3">
        <w:rPr>
          <w:rFonts w:ascii="Arial" w:hAnsi="Arial" w:cs="Arial"/>
        </w:rPr>
        <w:t xml:space="preserve"> is the highest site AQI for all monitoring stations in the region.</w:t>
      </w:r>
    </w:p>
    <w:p w:rsidR="00DB5D5F" w:rsidRPr="00B37EF3" w:rsidRDefault="00A83C94" w:rsidP="00810588">
      <w:pPr>
        <w:spacing w:after="180"/>
        <w:rPr>
          <w:rFonts w:ascii="Arial" w:hAnsi="Arial" w:cs="Arial"/>
        </w:rPr>
      </w:pPr>
      <w:r w:rsidRPr="00B37EF3">
        <w:rPr>
          <w:rFonts w:ascii="Arial" w:hAnsi="Arial" w:cs="Arial"/>
        </w:rPr>
        <w:t xml:space="preserve">The </w:t>
      </w:r>
      <w:r w:rsidR="00DB5D5F" w:rsidRPr="00B37EF3">
        <w:rPr>
          <w:rFonts w:ascii="Arial" w:hAnsi="Arial" w:cs="Arial"/>
        </w:rPr>
        <w:t>UK Da</w:t>
      </w:r>
      <w:r w:rsidRPr="00B37EF3">
        <w:rPr>
          <w:rFonts w:ascii="Arial" w:hAnsi="Arial" w:cs="Arial"/>
        </w:rPr>
        <w:t>ily Air Quality Index (DAQI)</w:t>
      </w:r>
      <w:r w:rsidR="00DB5D5F" w:rsidRPr="00B37EF3">
        <w:rPr>
          <w:rFonts w:ascii="Arial" w:hAnsi="Arial" w:cs="Arial"/>
        </w:rPr>
        <w:t xml:space="preserve"> operates in a sim</w:t>
      </w:r>
      <w:r w:rsidRPr="00B37EF3">
        <w:rPr>
          <w:rFonts w:ascii="Arial" w:hAnsi="Arial" w:cs="Arial"/>
        </w:rPr>
        <w:t xml:space="preserve">ilar manner to the NSW system. </w:t>
      </w:r>
      <w:r w:rsidR="00DB5D5F" w:rsidRPr="00B37EF3">
        <w:rPr>
          <w:rFonts w:ascii="Arial" w:hAnsi="Arial" w:cs="Arial"/>
        </w:rPr>
        <w:t>The UK system uses an index numbered 1</w:t>
      </w:r>
      <w:r w:rsidR="00F97F64" w:rsidRPr="00B37EF3">
        <w:rPr>
          <w:rFonts w:ascii="Arial" w:hAnsi="Arial" w:cs="Arial"/>
        </w:rPr>
        <w:t>–</w:t>
      </w:r>
      <w:r w:rsidRPr="00B37EF3">
        <w:rPr>
          <w:rFonts w:ascii="Arial" w:hAnsi="Arial" w:cs="Arial"/>
        </w:rPr>
        <w:t>10, divided into four bands (‘Low’, ‘Moderate’</w:t>
      </w:r>
      <w:r w:rsidR="00DB5D5F" w:rsidRPr="00B37EF3">
        <w:rPr>
          <w:rFonts w:ascii="Arial" w:hAnsi="Arial" w:cs="Arial"/>
        </w:rPr>
        <w:t xml:space="preserve">, </w:t>
      </w:r>
      <w:r w:rsidRPr="00B37EF3">
        <w:rPr>
          <w:rFonts w:ascii="Arial" w:hAnsi="Arial" w:cs="Arial"/>
        </w:rPr>
        <w:t>‘High’ and ‘Very High’</w:t>
      </w:r>
      <w:r w:rsidR="00DB5D5F" w:rsidRPr="00B37EF3">
        <w:rPr>
          <w:rFonts w:ascii="Arial" w:hAnsi="Arial" w:cs="Arial"/>
        </w:rPr>
        <w:t>) to provide information in a simple manner.</w:t>
      </w:r>
      <w:r w:rsidR="004B4989" w:rsidRPr="00B37EF3">
        <w:rPr>
          <w:rFonts w:ascii="Arial" w:hAnsi="Arial" w:cs="Arial"/>
        </w:rPr>
        <w:t xml:space="preserve"> </w:t>
      </w:r>
      <w:r w:rsidR="00DB5D5F" w:rsidRPr="00B37EF3">
        <w:rPr>
          <w:rFonts w:ascii="Arial" w:hAnsi="Arial" w:cs="Arial"/>
        </w:rPr>
        <w:t>The overall air pollution index for a site or region is determined by the highest concentration of f</w:t>
      </w:r>
      <w:r w:rsidRPr="00B37EF3">
        <w:rPr>
          <w:rFonts w:ascii="Arial" w:hAnsi="Arial" w:cs="Arial"/>
        </w:rPr>
        <w:t>ive pollutants (NO</w:t>
      </w:r>
      <w:r w:rsidRPr="00B37EF3">
        <w:rPr>
          <w:rFonts w:ascii="Arial" w:hAnsi="Arial" w:cs="Arial"/>
          <w:vertAlign w:val="subscript"/>
        </w:rPr>
        <w:t>2</w:t>
      </w:r>
      <w:r w:rsidRPr="00B37EF3">
        <w:rPr>
          <w:rFonts w:ascii="Arial" w:hAnsi="Arial" w:cs="Arial"/>
        </w:rPr>
        <w:t>, SO</w:t>
      </w:r>
      <w:r w:rsidRPr="00B37EF3">
        <w:rPr>
          <w:rFonts w:ascii="Arial" w:hAnsi="Arial" w:cs="Arial"/>
          <w:vertAlign w:val="subscript"/>
        </w:rPr>
        <w:t>2</w:t>
      </w:r>
      <w:r w:rsidRPr="00B37EF3">
        <w:rPr>
          <w:rFonts w:ascii="Arial" w:hAnsi="Arial" w:cs="Arial"/>
        </w:rPr>
        <w:t>, O</w:t>
      </w:r>
      <w:r w:rsidRPr="00B37EF3">
        <w:rPr>
          <w:rFonts w:ascii="Arial" w:hAnsi="Arial" w:cs="Arial"/>
          <w:vertAlign w:val="subscript"/>
        </w:rPr>
        <w:t>3</w:t>
      </w:r>
      <w:r w:rsidR="00DB5D5F" w:rsidRPr="00B37EF3">
        <w:rPr>
          <w:rFonts w:ascii="Arial" w:hAnsi="Arial" w:cs="Arial"/>
        </w:rPr>
        <w:t>, PM</w:t>
      </w:r>
      <w:r w:rsidR="00DB5D5F" w:rsidRPr="00B37EF3">
        <w:rPr>
          <w:rFonts w:ascii="Arial" w:hAnsi="Arial" w:cs="Arial"/>
          <w:vertAlign w:val="subscript"/>
        </w:rPr>
        <w:t>10</w:t>
      </w:r>
      <w:r w:rsidR="00DB5D5F" w:rsidRPr="00B37EF3">
        <w:rPr>
          <w:rFonts w:ascii="Arial" w:hAnsi="Arial" w:cs="Arial"/>
        </w:rPr>
        <w:t xml:space="preserve"> and PM</w:t>
      </w:r>
      <w:r w:rsidR="00DB5D5F" w:rsidRPr="00B37EF3">
        <w:rPr>
          <w:rFonts w:ascii="Arial" w:hAnsi="Arial" w:cs="Arial"/>
          <w:vertAlign w:val="subscript"/>
        </w:rPr>
        <w:t>2.5</w:t>
      </w:r>
      <w:r w:rsidR="00DB5D5F" w:rsidRPr="00B37EF3">
        <w:rPr>
          <w:rFonts w:ascii="Arial" w:hAnsi="Arial" w:cs="Arial"/>
        </w:rPr>
        <w:t>).</w:t>
      </w:r>
      <w:r w:rsidR="004B4989" w:rsidRPr="00B37EF3">
        <w:rPr>
          <w:rFonts w:ascii="Arial" w:hAnsi="Arial" w:cs="Arial"/>
        </w:rPr>
        <w:t xml:space="preserve"> </w:t>
      </w:r>
      <w:r w:rsidR="00DB5D5F" w:rsidRPr="00B37EF3">
        <w:rPr>
          <w:rFonts w:ascii="Arial" w:hAnsi="Arial" w:cs="Arial"/>
        </w:rPr>
        <w:t>Th</w:t>
      </w:r>
      <w:r w:rsidRPr="00B37EF3">
        <w:rPr>
          <w:rFonts w:ascii="Arial" w:hAnsi="Arial" w:cs="Arial"/>
        </w:rPr>
        <w:t xml:space="preserve">e index is updated every hour. </w:t>
      </w:r>
      <w:r w:rsidR="00DB5D5F" w:rsidRPr="00B37EF3">
        <w:rPr>
          <w:rFonts w:ascii="Arial" w:hAnsi="Arial" w:cs="Arial"/>
        </w:rPr>
        <w:t>The primary function of the DAQI is to provide information to members of the public, specifically with regard to health alerts for at-risk individuals.</w:t>
      </w:r>
      <w:r w:rsidR="004B4989" w:rsidRPr="00B37EF3">
        <w:rPr>
          <w:rFonts w:ascii="Arial" w:hAnsi="Arial" w:cs="Arial"/>
        </w:rPr>
        <w:t xml:space="preserve"> </w:t>
      </w:r>
      <w:r w:rsidR="00DB5D5F" w:rsidRPr="00B37EF3">
        <w:rPr>
          <w:rFonts w:ascii="Arial" w:hAnsi="Arial" w:cs="Arial"/>
        </w:rPr>
        <w:t>However, the DAQI also provides information that is used to support the UK Government’s annual reporting on the air quality indicator for sustainable development.</w:t>
      </w:r>
    </w:p>
    <w:p w:rsidR="00DB5D5F" w:rsidRPr="00B37EF3" w:rsidRDefault="00DB5D5F" w:rsidP="001929E4">
      <w:pPr>
        <w:spacing w:after="300"/>
        <w:rPr>
          <w:rFonts w:ascii="Arial" w:hAnsi="Arial" w:cs="Arial"/>
        </w:rPr>
      </w:pPr>
      <w:r w:rsidRPr="00B37EF3">
        <w:rPr>
          <w:rFonts w:ascii="Arial" w:hAnsi="Arial" w:cs="Arial"/>
        </w:rPr>
        <w:t>Whilst air pollution indices are useful in conveying information to members of the public, they are primarily focused on short-term pollutant concentrations, whereas the focus of exposure reduction for PM</w:t>
      </w:r>
      <w:r w:rsidRPr="00B37EF3">
        <w:rPr>
          <w:rFonts w:ascii="Arial" w:hAnsi="Arial" w:cs="Arial"/>
          <w:vertAlign w:val="subscript"/>
        </w:rPr>
        <w:t>2.5</w:t>
      </w:r>
      <w:r w:rsidRPr="00B37EF3">
        <w:rPr>
          <w:rFonts w:ascii="Arial" w:hAnsi="Arial" w:cs="Arial"/>
        </w:rPr>
        <w:t xml:space="preserve"> is f</w:t>
      </w:r>
      <w:r w:rsidR="00CB0AAF" w:rsidRPr="00B37EF3">
        <w:rPr>
          <w:rFonts w:ascii="Arial" w:hAnsi="Arial" w:cs="Arial"/>
        </w:rPr>
        <w:t>ocused on a reduction in long-term</w:t>
      </w:r>
      <w:r w:rsidRPr="00B37EF3">
        <w:rPr>
          <w:rFonts w:ascii="Arial" w:hAnsi="Arial" w:cs="Arial"/>
        </w:rPr>
        <w:t xml:space="preserve"> (e.g</w:t>
      </w:r>
      <w:r w:rsidR="00A83C94" w:rsidRPr="00B37EF3">
        <w:rPr>
          <w:rFonts w:ascii="Arial" w:hAnsi="Arial" w:cs="Arial"/>
        </w:rPr>
        <w:t xml:space="preserve">. annual mean) exposure. </w:t>
      </w:r>
      <w:r w:rsidRPr="00B37EF3">
        <w:rPr>
          <w:rFonts w:ascii="Arial" w:hAnsi="Arial" w:cs="Arial"/>
        </w:rPr>
        <w:t>Where air pollution indices are used to support reporting of improvements to annual mean PM</w:t>
      </w:r>
      <w:r w:rsidRPr="00B37EF3">
        <w:rPr>
          <w:rFonts w:ascii="Arial" w:hAnsi="Arial" w:cs="Arial"/>
          <w:vertAlign w:val="subscript"/>
        </w:rPr>
        <w:t>2.5</w:t>
      </w:r>
      <w:r w:rsidRPr="00B37EF3">
        <w:rPr>
          <w:rFonts w:ascii="Arial" w:hAnsi="Arial" w:cs="Arial"/>
        </w:rPr>
        <w:t xml:space="preserve"> concentrations, no attempt is made to apply any form of population weighting to the data</w:t>
      </w:r>
      <w:r w:rsidR="00EB3931" w:rsidRPr="00B37EF3">
        <w:rPr>
          <w:rFonts w:ascii="Arial" w:hAnsi="Arial" w:cs="Arial"/>
        </w:rPr>
        <w:t>,</w:t>
      </w:r>
      <w:r w:rsidRPr="00B37EF3">
        <w:rPr>
          <w:rFonts w:ascii="Arial" w:hAnsi="Arial" w:cs="Arial"/>
        </w:rPr>
        <w:t xml:space="preserve"> which is an important consideration for exposure reduction.</w:t>
      </w:r>
    </w:p>
    <w:p w:rsidR="00DB5D5F" w:rsidRPr="00B37EF3" w:rsidRDefault="00C42C7B" w:rsidP="00DB5D5F">
      <w:pPr>
        <w:pStyle w:val="Heading4"/>
        <w:rPr>
          <w:rFonts w:ascii="Arial" w:hAnsi="Arial" w:cs="Arial"/>
        </w:rPr>
      </w:pPr>
      <w:r w:rsidRPr="00B37EF3">
        <w:rPr>
          <w:rFonts w:ascii="Arial" w:hAnsi="Arial" w:cs="Arial"/>
        </w:rPr>
        <w:lastRenderedPageBreak/>
        <w:t>Damage cost a</w:t>
      </w:r>
      <w:r w:rsidR="00DB5D5F" w:rsidRPr="00B37EF3">
        <w:rPr>
          <w:rFonts w:ascii="Arial" w:hAnsi="Arial" w:cs="Arial"/>
        </w:rPr>
        <w:t>pproaches</w:t>
      </w:r>
    </w:p>
    <w:p w:rsidR="00DB5D5F" w:rsidRPr="00B37EF3" w:rsidRDefault="00DB5D5F" w:rsidP="00810588">
      <w:pPr>
        <w:spacing w:after="180"/>
        <w:rPr>
          <w:rFonts w:ascii="Arial" w:hAnsi="Arial" w:cs="Arial"/>
        </w:rPr>
      </w:pPr>
      <w:r w:rsidRPr="00B37EF3">
        <w:rPr>
          <w:rFonts w:ascii="Arial" w:hAnsi="Arial" w:cs="Arial"/>
        </w:rPr>
        <w:t>Damage costs are used as a means of approximating the impacts of changes in air pollution</w:t>
      </w:r>
      <w:r w:rsidR="001929E4" w:rsidRPr="00B37EF3">
        <w:rPr>
          <w:rFonts w:ascii="Arial" w:hAnsi="Arial" w:cs="Arial"/>
        </w:rPr>
        <w:t xml:space="preserve"> (and exposure to it)</w:t>
      </w:r>
      <w:r w:rsidRPr="00B37EF3">
        <w:rPr>
          <w:rFonts w:ascii="Arial" w:hAnsi="Arial" w:cs="Arial"/>
        </w:rPr>
        <w:t>.</w:t>
      </w:r>
      <w:r w:rsidR="004B4989" w:rsidRPr="00B37EF3">
        <w:rPr>
          <w:rFonts w:ascii="Arial" w:hAnsi="Arial" w:cs="Arial"/>
        </w:rPr>
        <w:t xml:space="preserve"> </w:t>
      </w:r>
      <w:r w:rsidRPr="00B37EF3">
        <w:rPr>
          <w:rFonts w:ascii="Arial" w:hAnsi="Arial" w:cs="Arial"/>
        </w:rPr>
        <w:t>These costs estimate the marginal health benefits, or external cost savings, associated with each tonne of pollutant emission that is reduced. Damage costs for a specific country or jurisdiction are usually generated via a full impact pathway approach utilising location-specific inputs and data (i.e. using emission estimates, regional air quality modelling, monitoring data and population statistics). This approach provides the most robust and accurate damage costs for that region.</w:t>
      </w:r>
    </w:p>
    <w:p w:rsidR="00DB5D5F" w:rsidRPr="00B37EF3" w:rsidRDefault="00DB5D5F" w:rsidP="00C15550">
      <w:pPr>
        <w:spacing w:after="300"/>
        <w:rPr>
          <w:rFonts w:ascii="Arial" w:eastAsia="Calibri" w:hAnsi="Arial" w:cs="Arial"/>
          <w:bCs/>
          <w:kern w:val="32"/>
          <w:szCs w:val="22"/>
        </w:rPr>
      </w:pPr>
      <w:r w:rsidRPr="00B37EF3">
        <w:rPr>
          <w:rFonts w:ascii="Arial" w:eastAsia="Calibri" w:hAnsi="Arial" w:cs="Arial"/>
          <w:bCs/>
          <w:kern w:val="32"/>
          <w:szCs w:val="22"/>
        </w:rPr>
        <w:t xml:space="preserve">A recent study was completed for </w:t>
      </w:r>
      <w:r w:rsidR="00F97F64" w:rsidRPr="00B37EF3">
        <w:rPr>
          <w:rFonts w:ascii="Arial" w:eastAsia="Calibri" w:hAnsi="Arial" w:cs="Arial"/>
          <w:bCs/>
          <w:kern w:val="32"/>
          <w:szCs w:val="22"/>
        </w:rPr>
        <w:t xml:space="preserve">the </w:t>
      </w:r>
      <w:r w:rsidRPr="00B37EF3">
        <w:rPr>
          <w:rFonts w:ascii="Arial" w:eastAsia="Calibri" w:hAnsi="Arial" w:cs="Arial"/>
          <w:bCs/>
          <w:kern w:val="32"/>
          <w:szCs w:val="22"/>
        </w:rPr>
        <w:t xml:space="preserve">NSW </w:t>
      </w:r>
      <w:r w:rsidR="002D2B0C" w:rsidRPr="00B37EF3">
        <w:rPr>
          <w:rFonts w:ascii="Arial" w:eastAsia="Calibri" w:hAnsi="Arial" w:cs="Arial"/>
          <w:bCs/>
          <w:kern w:val="32"/>
          <w:szCs w:val="22"/>
        </w:rPr>
        <w:t xml:space="preserve">Environment Protection Authority (NSW </w:t>
      </w:r>
      <w:r w:rsidRPr="00B37EF3">
        <w:rPr>
          <w:rFonts w:ascii="Arial" w:eastAsia="Calibri" w:hAnsi="Arial" w:cs="Arial"/>
          <w:bCs/>
          <w:kern w:val="32"/>
          <w:szCs w:val="22"/>
        </w:rPr>
        <w:t>EPA</w:t>
      </w:r>
      <w:r w:rsidR="002D2B0C" w:rsidRPr="00B37EF3">
        <w:rPr>
          <w:rFonts w:ascii="Arial" w:eastAsia="Calibri" w:hAnsi="Arial" w:cs="Arial"/>
          <w:bCs/>
          <w:kern w:val="32"/>
          <w:szCs w:val="22"/>
        </w:rPr>
        <w:t>)</w:t>
      </w:r>
      <w:r w:rsidRPr="00B37EF3">
        <w:rPr>
          <w:rFonts w:ascii="Arial" w:eastAsia="Calibri" w:hAnsi="Arial" w:cs="Arial"/>
          <w:bCs/>
          <w:kern w:val="32"/>
          <w:szCs w:val="22"/>
        </w:rPr>
        <w:t xml:space="preserve"> that reviewed international approaches for determining damage costs and derived a damage cost function for air pollution in Australia </w:t>
      </w:r>
      <w:r w:rsidRPr="00B37EF3">
        <w:rPr>
          <w:rFonts w:ascii="Arial" w:eastAsia="Calibri" w:hAnsi="Arial" w:cs="Arial"/>
          <w:b/>
          <w:bCs/>
          <w:kern w:val="32"/>
          <w:szCs w:val="22"/>
        </w:rPr>
        <w:t xml:space="preserve">(Aust </w:t>
      </w:r>
      <w:r w:rsidR="009334F4" w:rsidRPr="00B37EF3">
        <w:rPr>
          <w:rFonts w:ascii="Arial" w:eastAsia="Calibri" w:hAnsi="Arial" w:cs="Arial"/>
          <w:b/>
          <w:bCs/>
          <w:kern w:val="32"/>
          <w:szCs w:val="22"/>
        </w:rPr>
        <w:t>et al.</w:t>
      </w:r>
      <w:r w:rsidRPr="00B37EF3">
        <w:rPr>
          <w:rFonts w:ascii="Arial" w:eastAsia="Calibri" w:hAnsi="Arial" w:cs="Arial"/>
          <w:b/>
          <w:bCs/>
          <w:kern w:val="32"/>
          <w:szCs w:val="22"/>
        </w:rPr>
        <w:t xml:space="preserve"> 2013)</w:t>
      </w:r>
      <w:r w:rsidR="00013124" w:rsidRPr="00B37EF3">
        <w:rPr>
          <w:rFonts w:ascii="Arial" w:eastAsia="Calibri" w:hAnsi="Arial" w:cs="Arial"/>
          <w:bCs/>
          <w:kern w:val="32"/>
          <w:szCs w:val="22"/>
        </w:rPr>
        <w:t xml:space="preserve">. </w:t>
      </w:r>
      <w:r w:rsidRPr="00B37EF3">
        <w:rPr>
          <w:rFonts w:ascii="Arial" w:eastAsia="Calibri" w:hAnsi="Arial" w:cs="Arial"/>
          <w:bCs/>
          <w:kern w:val="32"/>
          <w:szCs w:val="22"/>
        </w:rPr>
        <w:t xml:space="preserve">The review found that Australia currently lacks sufficient and readily available PM emission modelling information to permit a full impact pathway process and, by extension, to generate a set of accurate, location-specific damage costs. </w:t>
      </w:r>
      <w:r w:rsidRPr="00B37EF3">
        <w:rPr>
          <w:rFonts w:ascii="Arial" w:eastAsia="Calibri" w:hAnsi="Arial" w:cs="Arial"/>
        </w:rPr>
        <w:t>Consequently, an alternative/interim method was provided for calculating damage costs which can be used until more reliable dat</w:t>
      </w:r>
      <w:r w:rsidR="00013124" w:rsidRPr="00B37EF3">
        <w:rPr>
          <w:rFonts w:ascii="Arial" w:eastAsia="Calibri" w:hAnsi="Arial" w:cs="Arial"/>
        </w:rPr>
        <w:t xml:space="preserve">a are available for Australia. </w:t>
      </w:r>
      <w:r w:rsidRPr="00B37EF3">
        <w:rPr>
          <w:rFonts w:ascii="Arial" w:eastAsia="Calibri" w:hAnsi="Arial" w:cs="Arial"/>
        </w:rPr>
        <w:t>The alternative method was based on transferring Defra/IGCB</w:t>
      </w:r>
      <w:r w:rsidRPr="00B37EF3">
        <w:rPr>
          <w:rStyle w:val="FootnoteReference"/>
          <w:rFonts w:ascii="Arial" w:eastAsia="Calibri" w:hAnsi="Arial" w:cs="Arial"/>
        </w:rPr>
        <w:footnoteReference w:id="20"/>
      </w:r>
      <w:r w:rsidRPr="00B37EF3">
        <w:rPr>
          <w:rFonts w:ascii="Arial" w:eastAsia="Calibri" w:hAnsi="Arial" w:cs="Arial"/>
        </w:rPr>
        <w:t xml:space="preserve"> damage costs from the UK.</w:t>
      </w:r>
      <w:r w:rsidR="00013124" w:rsidRPr="00B37EF3">
        <w:rPr>
          <w:rFonts w:ascii="Arial" w:eastAsia="Calibri" w:hAnsi="Arial" w:cs="Arial"/>
        </w:rPr>
        <w:t xml:space="preserve"> </w:t>
      </w:r>
      <w:r w:rsidRPr="00B37EF3">
        <w:rPr>
          <w:rFonts w:ascii="Arial" w:eastAsia="Calibri" w:hAnsi="Arial" w:cs="Arial"/>
        </w:rPr>
        <w:t>It is important to note that the proposed damage cost method does not include damage costs for secondary PM due to the lack of information regarding second</w:t>
      </w:r>
      <w:r w:rsidR="00013124" w:rsidRPr="00B37EF3">
        <w:rPr>
          <w:rFonts w:ascii="Arial" w:eastAsia="Calibri" w:hAnsi="Arial" w:cs="Arial"/>
        </w:rPr>
        <w:t xml:space="preserve">ary PM formation in Australia. </w:t>
      </w:r>
      <w:r w:rsidRPr="00B37EF3">
        <w:rPr>
          <w:rFonts w:ascii="Arial" w:eastAsia="Calibri" w:hAnsi="Arial" w:cs="Arial"/>
        </w:rPr>
        <w:t xml:space="preserve">This is important as the secondary </w:t>
      </w:r>
      <w:r w:rsidRPr="00B37EF3">
        <w:rPr>
          <w:rFonts w:ascii="Arial" w:hAnsi="Arial" w:cs="Arial"/>
        </w:rPr>
        <w:t>component is likely to represent some 25</w:t>
      </w:r>
      <w:r w:rsidR="00F97F64" w:rsidRPr="00B37EF3">
        <w:rPr>
          <w:rFonts w:ascii="Arial" w:hAnsi="Arial" w:cs="Arial"/>
        </w:rPr>
        <w:t>–</w:t>
      </w:r>
      <w:r w:rsidRPr="00B37EF3">
        <w:rPr>
          <w:rFonts w:ascii="Arial" w:hAnsi="Arial" w:cs="Arial"/>
        </w:rPr>
        <w:t>50% of the total PM</w:t>
      </w:r>
      <w:r w:rsidRPr="00B37EF3">
        <w:rPr>
          <w:rFonts w:ascii="Arial" w:hAnsi="Arial" w:cs="Arial"/>
          <w:vertAlign w:val="subscript"/>
        </w:rPr>
        <w:t>2.5</w:t>
      </w:r>
      <w:r w:rsidRPr="00B37EF3">
        <w:rPr>
          <w:rFonts w:ascii="Arial" w:hAnsi="Arial" w:cs="Arial"/>
        </w:rPr>
        <w:t xml:space="preserve"> exposure burden.</w:t>
      </w:r>
      <w:r w:rsidR="00E33B69" w:rsidRPr="00B37EF3">
        <w:rPr>
          <w:rFonts w:ascii="Arial" w:eastAsia="Calibri" w:hAnsi="Arial" w:cs="Arial"/>
          <w:bCs/>
          <w:kern w:val="32"/>
          <w:szCs w:val="22"/>
        </w:rPr>
        <w:t xml:space="preserve"> </w:t>
      </w:r>
    </w:p>
    <w:p w:rsidR="00CE6B8D" w:rsidRPr="00B37EF3" w:rsidRDefault="00CE6B8D" w:rsidP="00DB5D5F">
      <w:pPr>
        <w:pStyle w:val="Level4PB2"/>
        <w:rPr>
          <w:rFonts w:ascii="Arial" w:hAnsi="Arial" w:cs="Arial"/>
          <w:lang w:val="en-AU" w:eastAsia="en-US"/>
        </w:rPr>
      </w:pPr>
      <w:bookmarkStart w:id="68" w:name="_Ref369606758"/>
      <w:r w:rsidRPr="00B37EF3">
        <w:rPr>
          <w:rFonts w:ascii="Arial" w:hAnsi="Arial" w:cs="Arial"/>
          <w:lang w:val="en-AU" w:eastAsia="en-US"/>
        </w:rPr>
        <w:t>Requirements</w:t>
      </w:r>
      <w:bookmarkEnd w:id="68"/>
    </w:p>
    <w:p w:rsidR="00CE6B8D" w:rsidRPr="00B37EF3" w:rsidRDefault="00CE6B8D" w:rsidP="00810588">
      <w:pPr>
        <w:spacing w:after="140"/>
        <w:rPr>
          <w:rFonts w:ascii="Arial" w:hAnsi="Arial" w:cs="Arial"/>
          <w:lang w:eastAsia="en-US"/>
        </w:rPr>
      </w:pPr>
      <w:r w:rsidRPr="00B37EF3">
        <w:rPr>
          <w:rFonts w:ascii="Arial" w:hAnsi="Arial" w:cs="Arial"/>
          <w:lang w:eastAsia="en-US"/>
        </w:rPr>
        <w:t xml:space="preserve">To understand and quantify population exposure accurately requires information on both the long-term average spatial distribution of air pollution and the spatial distribution of the population in the area of interest. </w:t>
      </w:r>
      <w:r w:rsidRPr="00B37EF3">
        <w:rPr>
          <w:rFonts w:ascii="Arial" w:hAnsi="Arial" w:cs="Arial"/>
          <w:b/>
          <w:lang w:eastAsia="en-US"/>
        </w:rPr>
        <w:t>NEPC (2011a)</w:t>
      </w:r>
      <w:r w:rsidRPr="00B37EF3">
        <w:rPr>
          <w:rFonts w:ascii="Arial" w:hAnsi="Arial" w:cs="Arial"/>
          <w:lang w:eastAsia="en-US"/>
        </w:rPr>
        <w:t xml:space="preserve"> point</w:t>
      </w:r>
      <w:r w:rsidR="00F97F64" w:rsidRPr="00B37EF3">
        <w:rPr>
          <w:rFonts w:ascii="Arial" w:hAnsi="Arial" w:cs="Arial"/>
          <w:lang w:eastAsia="en-US"/>
        </w:rPr>
        <w:t>s</w:t>
      </w:r>
      <w:r w:rsidRPr="00B37EF3">
        <w:rPr>
          <w:rFonts w:ascii="Arial" w:hAnsi="Arial" w:cs="Arial"/>
          <w:lang w:eastAsia="en-US"/>
        </w:rPr>
        <w:t xml:space="preserve"> out that the tools and data </w:t>
      </w:r>
      <w:r w:rsidR="001929E4" w:rsidRPr="00B37EF3">
        <w:rPr>
          <w:rFonts w:ascii="Arial" w:hAnsi="Arial" w:cs="Arial"/>
          <w:lang w:eastAsia="en-US"/>
        </w:rPr>
        <w:t xml:space="preserve">that would be required </w:t>
      </w:r>
      <w:r w:rsidRPr="00B37EF3">
        <w:rPr>
          <w:rFonts w:ascii="Arial" w:hAnsi="Arial" w:cs="Arial"/>
          <w:lang w:eastAsia="en-US"/>
        </w:rPr>
        <w:t xml:space="preserve">to develop such an </w:t>
      </w:r>
      <w:r w:rsidR="001929E4" w:rsidRPr="00B37EF3">
        <w:rPr>
          <w:rFonts w:ascii="Arial" w:hAnsi="Arial" w:cs="Arial"/>
          <w:lang w:eastAsia="en-US"/>
        </w:rPr>
        <w:t xml:space="preserve">exposure-reduction system </w:t>
      </w:r>
      <w:r w:rsidRPr="00B37EF3">
        <w:rPr>
          <w:rFonts w:ascii="Arial" w:hAnsi="Arial" w:cs="Arial"/>
          <w:lang w:eastAsia="en-US"/>
        </w:rPr>
        <w:t>include:</w:t>
      </w:r>
    </w:p>
    <w:p w:rsidR="00CE6B8D" w:rsidRPr="00B37EF3" w:rsidRDefault="00F97F64" w:rsidP="006A5626">
      <w:pPr>
        <w:pStyle w:val="BulletArrows"/>
        <w:numPr>
          <w:ilvl w:val="0"/>
          <w:numId w:val="63"/>
        </w:numPr>
        <w:spacing w:after="140"/>
        <w:rPr>
          <w:rFonts w:ascii="Arial" w:hAnsi="Arial"/>
        </w:rPr>
      </w:pPr>
      <w:r w:rsidRPr="00B37EF3">
        <w:rPr>
          <w:rFonts w:ascii="Arial" w:hAnsi="Arial"/>
        </w:rPr>
        <w:t>d</w:t>
      </w:r>
      <w:r w:rsidR="001929E4" w:rsidRPr="00B37EF3">
        <w:rPr>
          <w:rFonts w:ascii="Arial" w:hAnsi="Arial"/>
        </w:rPr>
        <w:t xml:space="preserve">etailed </w:t>
      </w:r>
      <w:r w:rsidR="00B44448" w:rsidRPr="00B37EF3">
        <w:rPr>
          <w:rFonts w:ascii="Arial" w:hAnsi="Arial"/>
        </w:rPr>
        <w:t xml:space="preserve">emissions </w:t>
      </w:r>
      <w:r w:rsidR="00CE6B8D" w:rsidRPr="00B37EF3">
        <w:rPr>
          <w:rFonts w:ascii="Arial" w:hAnsi="Arial"/>
        </w:rPr>
        <w:t xml:space="preserve">inventories based on a relatively fine </w:t>
      </w:r>
      <w:r w:rsidR="001929E4" w:rsidRPr="00B37EF3">
        <w:rPr>
          <w:rFonts w:ascii="Arial" w:hAnsi="Arial"/>
        </w:rPr>
        <w:t xml:space="preserve">spatial </w:t>
      </w:r>
      <w:r w:rsidR="00CE6B8D" w:rsidRPr="00B37EF3">
        <w:rPr>
          <w:rFonts w:ascii="Arial" w:hAnsi="Arial"/>
        </w:rPr>
        <w:t>grid</w:t>
      </w:r>
    </w:p>
    <w:p w:rsidR="00CE6B8D" w:rsidRPr="00B37EF3" w:rsidRDefault="00F97F64" w:rsidP="006A5626">
      <w:pPr>
        <w:pStyle w:val="BulletArrows"/>
        <w:numPr>
          <w:ilvl w:val="0"/>
          <w:numId w:val="63"/>
        </w:numPr>
        <w:spacing w:after="140"/>
        <w:rPr>
          <w:rFonts w:ascii="Arial" w:hAnsi="Arial"/>
        </w:rPr>
      </w:pPr>
      <w:proofErr w:type="gramStart"/>
      <w:r w:rsidRPr="00B37EF3">
        <w:rPr>
          <w:rFonts w:ascii="Arial" w:hAnsi="Arial"/>
        </w:rPr>
        <w:t>c</w:t>
      </w:r>
      <w:r w:rsidR="00CE6B8D" w:rsidRPr="00B37EF3">
        <w:rPr>
          <w:rFonts w:ascii="Arial" w:hAnsi="Arial"/>
        </w:rPr>
        <w:t>omprehensive</w:t>
      </w:r>
      <w:proofErr w:type="gramEnd"/>
      <w:r w:rsidR="00CE6B8D" w:rsidRPr="00B37EF3">
        <w:rPr>
          <w:rFonts w:ascii="Arial" w:hAnsi="Arial"/>
        </w:rPr>
        <w:t xml:space="preserve"> </w:t>
      </w:r>
      <w:proofErr w:type="spellStart"/>
      <w:r w:rsidR="00CE6B8D" w:rsidRPr="00B37EF3">
        <w:rPr>
          <w:rFonts w:ascii="Arial" w:hAnsi="Arial"/>
        </w:rPr>
        <w:t>airshed</w:t>
      </w:r>
      <w:proofErr w:type="spellEnd"/>
      <w:r w:rsidR="00CE6B8D" w:rsidRPr="00B37EF3">
        <w:rPr>
          <w:rFonts w:ascii="Arial" w:hAnsi="Arial"/>
        </w:rPr>
        <w:t xml:space="preserve"> models. The role of modelling should be strengthened and appropriate modelling approaches to generate reports on population exposure patterns be incorporated into the </w:t>
      </w:r>
      <w:r w:rsidR="00EF24F8" w:rsidRPr="00B37EF3">
        <w:rPr>
          <w:rFonts w:ascii="Arial" w:hAnsi="Arial"/>
        </w:rPr>
        <w:t>AAQ NEPM</w:t>
      </w:r>
    </w:p>
    <w:p w:rsidR="00CE6B8D" w:rsidRPr="00B37EF3" w:rsidRDefault="00F97F64" w:rsidP="006A5626">
      <w:pPr>
        <w:pStyle w:val="BulletArrows"/>
        <w:numPr>
          <w:ilvl w:val="0"/>
          <w:numId w:val="63"/>
        </w:numPr>
        <w:spacing w:after="240"/>
        <w:rPr>
          <w:rFonts w:ascii="Arial" w:hAnsi="Arial"/>
        </w:rPr>
      </w:pPr>
      <w:proofErr w:type="gramStart"/>
      <w:r w:rsidRPr="00B37EF3">
        <w:rPr>
          <w:rFonts w:ascii="Arial" w:hAnsi="Arial"/>
        </w:rPr>
        <w:t>h</w:t>
      </w:r>
      <w:r w:rsidR="00CE6B8D" w:rsidRPr="00B37EF3">
        <w:rPr>
          <w:rFonts w:ascii="Arial" w:hAnsi="Arial"/>
        </w:rPr>
        <w:t>igh-quality</w:t>
      </w:r>
      <w:proofErr w:type="gramEnd"/>
      <w:r w:rsidR="00CE6B8D" w:rsidRPr="00B37EF3">
        <w:rPr>
          <w:rFonts w:ascii="Arial" w:hAnsi="Arial"/>
        </w:rPr>
        <w:t xml:space="preserve"> consistent data from the existing </w:t>
      </w:r>
      <w:r w:rsidR="00EF24F8" w:rsidRPr="00B37EF3">
        <w:rPr>
          <w:rFonts w:ascii="Arial" w:hAnsi="Arial"/>
        </w:rPr>
        <w:t>AAQ NEPM</w:t>
      </w:r>
      <w:r w:rsidR="00CE6B8D" w:rsidRPr="00B37EF3">
        <w:rPr>
          <w:rFonts w:ascii="Arial" w:hAnsi="Arial"/>
        </w:rPr>
        <w:t xml:space="preserve"> monitoring networks. The current </w:t>
      </w:r>
      <w:r w:rsidR="00EF24F8" w:rsidRPr="00B37EF3">
        <w:rPr>
          <w:rFonts w:ascii="Arial" w:hAnsi="Arial"/>
        </w:rPr>
        <w:t>AAQ NEPM</w:t>
      </w:r>
      <w:r w:rsidR="00CE6B8D" w:rsidRPr="00B37EF3">
        <w:rPr>
          <w:rFonts w:ascii="Arial" w:hAnsi="Arial"/>
        </w:rPr>
        <w:t xml:space="preserve"> monitoring networks alone cannot give sufficient spatial coverage of all urban </w:t>
      </w:r>
      <w:proofErr w:type="spellStart"/>
      <w:r w:rsidR="00CE6B8D" w:rsidRPr="00B37EF3">
        <w:rPr>
          <w:rFonts w:ascii="Arial" w:hAnsi="Arial"/>
        </w:rPr>
        <w:t>airsheds</w:t>
      </w:r>
      <w:proofErr w:type="spellEnd"/>
      <w:r w:rsidR="00CE6B8D" w:rsidRPr="00B37EF3">
        <w:rPr>
          <w:rFonts w:ascii="Arial" w:hAnsi="Arial"/>
        </w:rPr>
        <w:t xml:space="preserve"> to provide detailed information on the exposure of all the population. Rather, they can only provide an indication of the exposure in the area represented by each performance monitoring site.</w:t>
      </w:r>
    </w:p>
    <w:p w:rsidR="00CE6B8D" w:rsidRPr="00B37EF3" w:rsidRDefault="00CE6B8D" w:rsidP="00121376">
      <w:pPr>
        <w:rPr>
          <w:rFonts w:ascii="Arial" w:hAnsi="Arial" w:cs="Arial"/>
        </w:rPr>
      </w:pPr>
      <w:r w:rsidRPr="00B37EF3">
        <w:rPr>
          <w:rFonts w:ascii="Arial" w:hAnsi="Arial" w:cs="Arial"/>
          <w:lang w:eastAsia="en-US"/>
        </w:rPr>
        <w:t>If these were to be adopted they would require significant investment.</w:t>
      </w:r>
      <w:r w:rsidR="006431AC" w:rsidRPr="00B37EF3">
        <w:rPr>
          <w:rFonts w:ascii="Arial" w:hAnsi="Arial" w:cs="Arial"/>
          <w:lang w:eastAsia="en-US"/>
        </w:rPr>
        <w:t xml:space="preserve"> For example, </w:t>
      </w:r>
      <w:proofErr w:type="spellStart"/>
      <w:r w:rsidR="006431AC" w:rsidRPr="00B37EF3">
        <w:rPr>
          <w:rFonts w:ascii="Arial" w:hAnsi="Arial" w:cs="Arial"/>
          <w:b/>
          <w:lang w:eastAsia="en-US"/>
        </w:rPr>
        <w:t>Bawden</w:t>
      </w:r>
      <w:proofErr w:type="spellEnd"/>
      <w:r w:rsidR="006431AC" w:rsidRPr="00B37EF3">
        <w:rPr>
          <w:rFonts w:ascii="Arial" w:hAnsi="Arial" w:cs="Arial"/>
          <w:b/>
          <w:lang w:eastAsia="en-US"/>
        </w:rPr>
        <w:t xml:space="preserve"> </w:t>
      </w:r>
      <w:r w:rsidR="009334F4" w:rsidRPr="00B37EF3">
        <w:rPr>
          <w:rFonts w:ascii="Arial" w:hAnsi="Arial" w:cs="Arial"/>
          <w:b/>
          <w:lang w:eastAsia="en-US"/>
        </w:rPr>
        <w:t>et al</w:t>
      </w:r>
      <w:r w:rsidR="006431AC" w:rsidRPr="00B37EF3">
        <w:rPr>
          <w:rFonts w:ascii="Arial" w:hAnsi="Arial" w:cs="Arial"/>
          <w:b/>
          <w:lang w:eastAsia="en-US"/>
        </w:rPr>
        <w:t>. (2012)</w:t>
      </w:r>
      <w:r w:rsidR="006431AC" w:rsidRPr="00B37EF3">
        <w:rPr>
          <w:rFonts w:ascii="Arial" w:hAnsi="Arial" w:cs="Arial"/>
          <w:lang w:eastAsia="en-US"/>
        </w:rPr>
        <w:t xml:space="preserve"> estimated that </w:t>
      </w:r>
      <w:r w:rsidR="0004079A" w:rsidRPr="00B37EF3">
        <w:rPr>
          <w:rFonts w:ascii="Arial" w:hAnsi="Arial" w:cs="Arial"/>
          <w:lang w:eastAsia="en-US"/>
        </w:rPr>
        <w:t>it would cost around $750,000 for a jurisdiction to establish a regional emissions inventory</w:t>
      </w:r>
      <w:r w:rsidR="001929E4" w:rsidRPr="00B37EF3">
        <w:rPr>
          <w:rFonts w:ascii="Arial" w:hAnsi="Arial" w:cs="Arial"/>
          <w:lang w:eastAsia="en-US"/>
        </w:rPr>
        <w:t>,</w:t>
      </w:r>
      <w:r w:rsidR="0004079A" w:rsidRPr="00B37EF3">
        <w:rPr>
          <w:rFonts w:ascii="Arial" w:hAnsi="Arial" w:cs="Arial"/>
          <w:lang w:eastAsia="en-US"/>
        </w:rPr>
        <w:t xml:space="preserve"> and then around $150,000 per year to update and maintain it.</w:t>
      </w:r>
    </w:p>
    <w:p w:rsidR="00262C2F" w:rsidRPr="00B37EF3" w:rsidRDefault="00262C2F" w:rsidP="00FB1FAB">
      <w:pPr>
        <w:rPr>
          <w:rFonts w:ascii="Arial" w:hAnsi="Arial" w:cs="Arial"/>
        </w:rPr>
      </w:pPr>
      <w:bookmarkStart w:id="69" w:name="_Toc340058273"/>
    </w:p>
    <w:p w:rsidR="007D4F73" w:rsidRPr="00B37EF3" w:rsidRDefault="00BF6019" w:rsidP="007D4F73">
      <w:pPr>
        <w:jc w:val="center"/>
        <w:rPr>
          <w:rFonts w:ascii="Arial" w:hAnsi="Arial" w:cs="Arial"/>
          <w:color w:val="FF0000"/>
        </w:rPr>
      </w:pPr>
      <w:r>
        <w:rPr>
          <w:rFonts w:ascii="Arial" w:hAnsi="Arial" w:cs="Arial"/>
          <w:noProof/>
          <w:color w:val="FF0000"/>
        </w:rPr>
      </w:r>
      <w:r>
        <w:rPr>
          <w:rFonts w:ascii="Arial" w:hAnsi="Arial" w:cs="Arial"/>
          <w:noProof/>
          <w:color w:val="FF0000"/>
        </w:rPr>
        <w:pict>
          <v:shape id="AutoShape 24" o:spid="_x0000_s1037" type="#_x0000_t176" style="width:433.7pt;height:66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" fillcolor="#b8cce4" strokecolor="#4f81bd" strokeweight="2.5pt">
            <v:fill opacity="13107f"/>
            <v:shadow color="#868686"/>
            <v:textbox>
              <w:txbxContent>
                <w:p w:rsidR="0085182E" w:rsidRPr="00491187" w:rsidRDefault="0085182E" w:rsidP="007D4F73">
                  <w:pPr>
                    <w:jc w:val="center"/>
                    <w:rPr>
                      <w:b/>
                      <w:color w:val="0070C0"/>
                      <w:sz w:val="24"/>
                      <w:szCs w:val="24"/>
                    </w:rPr>
                  </w:pPr>
                  <w:r w:rsidRPr="00491187">
                    <w:rPr>
                      <w:b/>
                      <w:color w:val="0070C0"/>
                      <w:sz w:val="24"/>
                      <w:szCs w:val="24"/>
                    </w:rPr>
                    <w:t>Key Points from Chapter 4</w:t>
                  </w:r>
                </w:p>
                <w:p w:rsidR="0085182E" w:rsidRPr="001E5613" w:rsidRDefault="0085182E" w:rsidP="007D4F73">
                  <w:pPr>
                    <w:pStyle w:val="BulletArrows"/>
                    <w:spacing w:after="240"/>
                    <w:rPr>
                      <w:b/>
                      <w:i/>
                      <w:color w:val="auto"/>
                      <w:szCs w:val="18"/>
                    </w:rPr>
                  </w:pPr>
                  <w:r w:rsidRPr="001E5613">
                    <w:rPr>
                      <w:b/>
                      <w:i/>
                      <w:color w:val="auto"/>
                      <w:szCs w:val="18"/>
                    </w:rPr>
                    <w:t>Air quality management in Australia</w:t>
                  </w:r>
                </w:p>
                <w:p w:rsidR="0085182E" w:rsidRPr="0005661A" w:rsidRDefault="0085182E" w:rsidP="007E2A1E">
                  <w:pPr>
                    <w:pStyle w:val="BulletArrows"/>
                    <w:numPr>
                      <w:ilvl w:val="0"/>
                      <w:numId w:val="1"/>
                    </w:numPr>
                    <w:spacing w:after="160"/>
                    <w:ind w:left="284" w:hanging="284"/>
                    <w:rPr>
                      <w:color w:val="auto"/>
                      <w:szCs w:val="18"/>
                    </w:rPr>
                  </w:pPr>
                  <w:r w:rsidRPr="0005661A">
                    <w:rPr>
                      <w:color w:val="auto"/>
                      <w:szCs w:val="18"/>
                    </w:rPr>
                    <w:t xml:space="preserve">The AAQ NEPM provides a consistent framework for the monitoring and reporting of ambient air quality in Australia. </w:t>
                  </w:r>
                  <w:r>
                    <w:rPr>
                      <w:color w:val="auto"/>
                      <w:szCs w:val="18"/>
                    </w:rPr>
                    <w:t>T</w:t>
                  </w:r>
                  <w:r w:rsidRPr="00331104">
                    <w:rPr>
                      <w:color w:val="auto"/>
                      <w:szCs w:val="18"/>
                    </w:rPr>
                    <w:t>he AAQ NEPM standards for PM are based on measurements at sites that reflect the general exposure of populations in large metropolitan</w:t>
                  </w:r>
                  <w:r>
                    <w:rPr>
                      <w:color w:val="auto"/>
                      <w:szCs w:val="18"/>
                    </w:rPr>
                    <w:t xml:space="preserve"> areas</w:t>
                  </w:r>
                  <w:r w:rsidRPr="00331104">
                    <w:rPr>
                      <w:color w:val="auto"/>
                      <w:szCs w:val="18"/>
                    </w:rPr>
                    <w:t xml:space="preserve">. </w:t>
                  </w:r>
                  <w:r w:rsidRPr="0005661A">
                    <w:rPr>
                      <w:color w:val="auto"/>
                      <w:szCs w:val="18"/>
                    </w:rPr>
                    <w:t xml:space="preserve">All Australian </w:t>
                  </w:r>
                  <w:r>
                    <w:rPr>
                      <w:color w:val="auto"/>
                      <w:szCs w:val="18"/>
                    </w:rPr>
                    <w:t>s</w:t>
                  </w:r>
                  <w:r w:rsidRPr="0005661A">
                    <w:rPr>
                      <w:color w:val="auto"/>
                      <w:szCs w:val="18"/>
                    </w:rPr>
                    <w:t xml:space="preserve">tates and </w:t>
                  </w:r>
                  <w:r>
                    <w:rPr>
                      <w:color w:val="auto"/>
                      <w:szCs w:val="18"/>
                    </w:rPr>
                    <w:t>t</w:t>
                  </w:r>
                  <w:r w:rsidRPr="0005661A">
                    <w:rPr>
                      <w:color w:val="auto"/>
                      <w:szCs w:val="18"/>
                    </w:rPr>
                    <w:t>erritories re</w:t>
                  </w:r>
                  <w:r>
                    <w:rPr>
                      <w:color w:val="auto"/>
                      <w:szCs w:val="18"/>
                    </w:rPr>
                    <w:t>port annually against the AAQ NEPM.</w:t>
                  </w:r>
                </w:p>
                <w:p w:rsidR="0085182E" w:rsidRPr="0005661A" w:rsidRDefault="0085182E" w:rsidP="00331104">
                  <w:pPr>
                    <w:pStyle w:val="BulletArrows"/>
                    <w:numPr>
                      <w:ilvl w:val="0"/>
                      <w:numId w:val="1"/>
                    </w:numPr>
                    <w:spacing w:after="160"/>
                    <w:ind w:left="284" w:hanging="284"/>
                    <w:rPr>
                      <w:color w:val="auto"/>
                      <w:szCs w:val="18"/>
                    </w:rPr>
                  </w:pPr>
                  <w:r>
                    <w:rPr>
                      <w:color w:val="auto"/>
                      <w:szCs w:val="18"/>
                    </w:rPr>
                    <w:t>J</w:t>
                  </w:r>
                  <w:r w:rsidRPr="0005661A">
                    <w:rPr>
                      <w:color w:val="auto"/>
                      <w:szCs w:val="18"/>
                    </w:rPr>
                    <w:t>urisdictions also have legislation or guidance on air quality which includes design goals, licence conditions</w:t>
                  </w:r>
                  <w:r>
                    <w:rPr>
                      <w:color w:val="auto"/>
                      <w:szCs w:val="18"/>
                    </w:rPr>
                    <w:t xml:space="preserve">, </w:t>
                  </w:r>
                  <w:r w:rsidRPr="002A2116">
                    <w:rPr>
                      <w:color w:val="auto"/>
                      <w:szCs w:val="18"/>
                    </w:rPr>
                    <w:t>etc</w:t>
                  </w:r>
                  <w:r>
                    <w:rPr>
                      <w:color w:val="auto"/>
                      <w:szCs w:val="18"/>
                    </w:rPr>
                    <w:t>.</w:t>
                  </w:r>
                  <w:r w:rsidRPr="00331104">
                    <w:rPr>
                      <w:color w:val="auto"/>
                      <w:szCs w:val="18"/>
                    </w:rPr>
                    <w:t xml:space="preserve"> Individual jurisdictions can employ compl</w:t>
                  </w:r>
                  <w:r>
                    <w:rPr>
                      <w:color w:val="auto"/>
                      <w:szCs w:val="18"/>
                    </w:rPr>
                    <w:t>e</w:t>
                  </w:r>
                  <w:r w:rsidRPr="00331104">
                    <w:rPr>
                      <w:color w:val="auto"/>
                      <w:szCs w:val="18"/>
                    </w:rPr>
                    <w:t>mentary methods to inform development applications for proposed infrastructure and industrial proposals in a variety of locations and contexts.</w:t>
                  </w:r>
                </w:p>
                <w:p w:rsidR="0085182E" w:rsidRPr="001D709E" w:rsidRDefault="0085182E" w:rsidP="001D709E">
                  <w:pPr>
                    <w:pStyle w:val="BulletArrows"/>
                    <w:numPr>
                      <w:ilvl w:val="0"/>
                      <w:numId w:val="1"/>
                    </w:numPr>
                    <w:spacing w:after="240"/>
                    <w:ind w:left="284" w:hanging="284"/>
                    <w:rPr>
                      <w:color w:val="auto"/>
                      <w:szCs w:val="18"/>
                    </w:rPr>
                  </w:pPr>
                  <w:r>
                    <w:rPr>
                      <w:color w:val="auto"/>
                      <w:szCs w:val="18"/>
                    </w:rPr>
                    <w:t>The</w:t>
                  </w:r>
                  <w:r w:rsidRPr="001D709E">
                    <w:rPr>
                      <w:color w:val="auto"/>
                      <w:szCs w:val="18"/>
                    </w:rPr>
                    <w:t xml:space="preserve"> first stage of the </w:t>
                  </w:r>
                  <w:r>
                    <w:rPr>
                      <w:color w:val="auto"/>
                      <w:szCs w:val="18"/>
                    </w:rPr>
                    <w:t xml:space="preserve">AAQ NEPM Review </w:t>
                  </w:r>
                  <w:r w:rsidRPr="001D709E">
                    <w:rPr>
                      <w:color w:val="auto"/>
                      <w:szCs w:val="18"/>
                    </w:rPr>
                    <w:t>focuses on PM</w:t>
                  </w:r>
                  <w:r>
                    <w:rPr>
                      <w:color w:val="auto"/>
                      <w:szCs w:val="18"/>
                    </w:rPr>
                    <w:t>,</w:t>
                  </w:r>
                  <w:r w:rsidRPr="001D709E">
                    <w:rPr>
                      <w:color w:val="auto"/>
                      <w:szCs w:val="18"/>
                    </w:rPr>
                    <w:t xml:space="preserve"> </w:t>
                  </w:r>
                  <w:r>
                    <w:rPr>
                      <w:color w:val="auto"/>
                      <w:szCs w:val="18"/>
                    </w:rPr>
                    <w:t xml:space="preserve">due to the current levels </w:t>
                  </w:r>
                  <w:r w:rsidRPr="001D709E">
                    <w:rPr>
                      <w:color w:val="auto"/>
                      <w:szCs w:val="18"/>
                    </w:rPr>
                    <w:t>in the atmosphere, the current population exposure, the size of the health benefits to be gained, and the range of available cost-ef</w:t>
                  </w:r>
                  <w:r>
                    <w:rPr>
                      <w:color w:val="auto"/>
                      <w:szCs w:val="18"/>
                    </w:rPr>
                    <w:t xml:space="preserve">fective actions for reducing </w:t>
                  </w:r>
                  <w:r w:rsidRPr="001D709E">
                    <w:rPr>
                      <w:color w:val="auto"/>
                      <w:szCs w:val="18"/>
                    </w:rPr>
                    <w:t>emissions and concentrations.</w:t>
                  </w:r>
                </w:p>
                <w:p w:rsidR="0085182E" w:rsidRPr="001E5613" w:rsidRDefault="0085182E" w:rsidP="007D4F73">
                  <w:pPr>
                    <w:pStyle w:val="BulletArrows"/>
                    <w:spacing w:after="240"/>
                    <w:rPr>
                      <w:b/>
                      <w:i/>
                      <w:color w:val="auto"/>
                      <w:szCs w:val="18"/>
                    </w:rPr>
                  </w:pPr>
                  <w:r w:rsidRPr="001E5613">
                    <w:rPr>
                      <w:b/>
                      <w:i/>
                      <w:color w:val="auto"/>
                      <w:szCs w:val="18"/>
                    </w:rPr>
                    <w:t>NEPM standards</w:t>
                  </w:r>
                </w:p>
                <w:p w:rsidR="0085182E" w:rsidRPr="000377CC" w:rsidRDefault="0085182E" w:rsidP="007E2A1E">
                  <w:pPr>
                    <w:pStyle w:val="BulletArrows"/>
                    <w:numPr>
                      <w:ilvl w:val="0"/>
                      <w:numId w:val="1"/>
                    </w:numPr>
                    <w:spacing w:after="160"/>
                    <w:ind w:left="284" w:hanging="284"/>
                    <w:rPr>
                      <w:color w:val="auto"/>
                      <w:szCs w:val="18"/>
                    </w:rPr>
                  </w:pPr>
                  <w:r w:rsidRPr="000377CC">
                    <w:rPr>
                      <w:color w:val="auto"/>
                      <w:szCs w:val="18"/>
                    </w:rPr>
                    <w:t>There is currently no annual mean PM</w:t>
                  </w:r>
                  <w:r w:rsidRPr="000377CC">
                    <w:rPr>
                      <w:color w:val="auto"/>
                      <w:szCs w:val="18"/>
                      <w:vertAlign w:val="subscript"/>
                    </w:rPr>
                    <w:t>10</w:t>
                  </w:r>
                  <w:r w:rsidRPr="000377CC">
                    <w:rPr>
                      <w:color w:val="auto"/>
                      <w:szCs w:val="18"/>
                    </w:rPr>
                    <w:t xml:space="preserve"> standard in the AAQ NEPM. The increasing evidence for the adverse effects on health of coarse particles suggests that an annual mean PM</w:t>
                  </w:r>
                  <w:r w:rsidRPr="000377CC">
                    <w:rPr>
                      <w:color w:val="auto"/>
                      <w:szCs w:val="18"/>
                      <w:vertAlign w:val="subscript"/>
                    </w:rPr>
                    <w:t>10</w:t>
                  </w:r>
                  <w:r w:rsidRPr="000377CC">
                    <w:rPr>
                      <w:color w:val="auto"/>
                      <w:szCs w:val="18"/>
                    </w:rPr>
                    <w:t xml:space="preserve"> standard </w:t>
                  </w:r>
                  <w:r>
                    <w:rPr>
                      <w:color w:val="auto"/>
                      <w:szCs w:val="18"/>
                    </w:rPr>
                    <w:t>should</w:t>
                  </w:r>
                  <w:r w:rsidRPr="000377CC">
                    <w:rPr>
                      <w:color w:val="auto"/>
                      <w:szCs w:val="18"/>
                    </w:rPr>
                    <w:t xml:space="preserve"> be introduced in Australia. </w:t>
                  </w:r>
                </w:p>
                <w:p w:rsidR="0085182E" w:rsidRPr="000377CC" w:rsidRDefault="0085182E" w:rsidP="007E2A1E">
                  <w:pPr>
                    <w:pStyle w:val="BulletArrows"/>
                    <w:numPr>
                      <w:ilvl w:val="0"/>
                      <w:numId w:val="1"/>
                    </w:numPr>
                    <w:spacing w:after="160"/>
                    <w:ind w:left="284" w:hanging="284"/>
                    <w:rPr>
                      <w:color w:val="auto"/>
                      <w:szCs w:val="18"/>
                    </w:rPr>
                  </w:pPr>
                  <w:r w:rsidRPr="000377CC">
                    <w:rPr>
                      <w:color w:val="auto"/>
                      <w:szCs w:val="18"/>
                    </w:rPr>
                    <w:t>The WHO guideline for 24-hour PM</w:t>
                  </w:r>
                  <w:r w:rsidRPr="000377CC">
                    <w:rPr>
                      <w:color w:val="auto"/>
                      <w:szCs w:val="18"/>
                      <w:vertAlign w:val="subscript"/>
                    </w:rPr>
                    <w:t>10</w:t>
                  </w:r>
                  <w:r w:rsidRPr="000377CC">
                    <w:rPr>
                      <w:color w:val="auto"/>
                      <w:szCs w:val="18"/>
                    </w:rPr>
                    <w:t xml:space="preserve"> of 50 µg/m</w:t>
                  </w:r>
                  <w:r w:rsidRPr="000377CC">
                    <w:rPr>
                      <w:color w:val="auto"/>
                      <w:szCs w:val="18"/>
                      <w:vertAlign w:val="superscript"/>
                    </w:rPr>
                    <w:t>3</w:t>
                  </w:r>
                  <w:r w:rsidRPr="000377CC">
                    <w:rPr>
                      <w:color w:val="auto"/>
                      <w:szCs w:val="18"/>
                    </w:rPr>
                    <w:t xml:space="preserve"> has been adopted in Australia.</w:t>
                  </w:r>
                </w:p>
                <w:p w:rsidR="0085182E" w:rsidRPr="00E27987" w:rsidRDefault="0085182E" w:rsidP="00A634E3">
                  <w:pPr>
                    <w:pStyle w:val="BulletArrows"/>
                    <w:numPr>
                      <w:ilvl w:val="0"/>
                      <w:numId w:val="1"/>
                    </w:numPr>
                    <w:spacing w:after="160"/>
                    <w:ind w:left="284" w:hanging="284"/>
                    <w:rPr>
                      <w:color w:val="auto"/>
                      <w:szCs w:val="18"/>
                    </w:rPr>
                  </w:pPr>
                  <w:r w:rsidRPr="000377CC">
                    <w:rPr>
                      <w:color w:val="auto"/>
                      <w:szCs w:val="18"/>
                    </w:rPr>
                    <w:t xml:space="preserve">The </w:t>
                  </w:r>
                  <w:r>
                    <w:rPr>
                      <w:color w:val="auto"/>
                      <w:szCs w:val="18"/>
                    </w:rPr>
                    <w:t>advisory annual mean standard</w:t>
                  </w:r>
                  <w:r w:rsidRPr="000377CC">
                    <w:rPr>
                      <w:color w:val="auto"/>
                      <w:szCs w:val="18"/>
                    </w:rPr>
                    <w:t xml:space="preserve"> for PM</w:t>
                  </w:r>
                  <w:r w:rsidRPr="000377CC">
                    <w:rPr>
                      <w:color w:val="auto"/>
                      <w:szCs w:val="18"/>
                      <w:vertAlign w:val="subscript"/>
                    </w:rPr>
                    <w:t>2.5</w:t>
                  </w:r>
                  <w:r w:rsidRPr="000377CC">
                    <w:rPr>
                      <w:color w:val="auto"/>
                      <w:szCs w:val="18"/>
                    </w:rPr>
                    <w:t xml:space="preserve"> in Australia </w:t>
                  </w:r>
                  <w:r>
                    <w:rPr>
                      <w:color w:val="auto"/>
                      <w:szCs w:val="18"/>
                    </w:rPr>
                    <w:t xml:space="preserve">is </w:t>
                  </w:r>
                  <w:r w:rsidRPr="000377CC">
                    <w:rPr>
                      <w:color w:val="auto"/>
                      <w:szCs w:val="18"/>
                    </w:rPr>
                    <w:t>8 µg/m</w:t>
                  </w:r>
                  <w:r w:rsidRPr="000377CC">
                    <w:rPr>
                      <w:color w:val="auto"/>
                      <w:szCs w:val="18"/>
                      <w:vertAlign w:val="superscript"/>
                    </w:rPr>
                    <w:t>3</w:t>
                  </w:r>
                  <w:r w:rsidRPr="000377CC" w:rsidDel="002B1F8C">
                    <w:rPr>
                      <w:color w:val="auto"/>
                      <w:szCs w:val="18"/>
                    </w:rPr>
                    <w:t xml:space="preserve"> </w:t>
                  </w:r>
                  <w:r w:rsidRPr="000377CC">
                    <w:rPr>
                      <w:color w:val="auto"/>
                      <w:szCs w:val="18"/>
                    </w:rPr>
                    <w:t>The WHO 24-hour guideline for PM</w:t>
                  </w:r>
                  <w:r w:rsidRPr="000377CC">
                    <w:rPr>
                      <w:color w:val="auto"/>
                      <w:szCs w:val="18"/>
                      <w:vertAlign w:val="subscript"/>
                    </w:rPr>
                    <w:t>2.5</w:t>
                  </w:r>
                  <w:r w:rsidRPr="000377CC">
                    <w:rPr>
                      <w:color w:val="auto"/>
                      <w:szCs w:val="18"/>
                    </w:rPr>
                    <w:t xml:space="preserve"> of 25 </w:t>
                  </w:r>
                  <w:proofErr w:type="spellStart"/>
                  <w:r w:rsidRPr="000377CC">
                    <w:rPr>
                      <w:color w:val="auto"/>
                      <w:szCs w:val="18"/>
                    </w:rPr>
                    <w:t>μg</w:t>
                  </w:r>
                  <w:proofErr w:type="spellEnd"/>
                  <w:r w:rsidRPr="000377CC">
                    <w:rPr>
                      <w:color w:val="auto"/>
                      <w:szCs w:val="18"/>
                    </w:rPr>
                    <w:t>/m</w:t>
                  </w:r>
                  <w:r w:rsidRPr="001E5613">
                    <w:rPr>
                      <w:color w:val="auto"/>
                      <w:szCs w:val="18"/>
                      <w:vertAlign w:val="superscript"/>
                    </w:rPr>
                    <w:t>3</w:t>
                  </w:r>
                  <w:r w:rsidRPr="000377CC">
                    <w:rPr>
                      <w:color w:val="auto"/>
                      <w:szCs w:val="18"/>
                    </w:rPr>
                    <w:t xml:space="preserve"> has already been ad</w:t>
                  </w:r>
                  <w:r>
                    <w:rPr>
                      <w:color w:val="auto"/>
                      <w:szCs w:val="18"/>
                    </w:rPr>
                    <w:t xml:space="preserve">opted as the advisory </w:t>
                  </w:r>
                  <w:r w:rsidRPr="000377CC">
                    <w:rPr>
                      <w:color w:val="auto"/>
                      <w:szCs w:val="18"/>
                    </w:rPr>
                    <w:t>standard in the AAQ NEPM.</w:t>
                  </w:r>
                </w:p>
                <w:p w:rsidR="0085182E" w:rsidRPr="001E5613" w:rsidRDefault="0085182E" w:rsidP="007D4F73">
                  <w:pPr>
                    <w:pStyle w:val="BulletArrows"/>
                    <w:rPr>
                      <w:b/>
                      <w:i/>
                      <w:color w:val="auto"/>
                      <w:szCs w:val="18"/>
                    </w:rPr>
                  </w:pPr>
                  <w:r>
                    <w:rPr>
                      <w:b/>
                      <w:i/>
                      <w:color w:val="auto"/>
                      <w:szCs w:val="18"/>
                    </w:rPr>
                    <w:t>Expos</w:t>
                  </w:r>
                  <w:r w:rsidRPr="001E5613">
                    <w:rPr>
                      <w:b/>
                      <w:i/>
                      <w:color w:val="auto"/>
                      <w:szCs w:val="18"/>
                    </w:rPr>
                    <w:t>ure</w:t>
                  </w:r>
                  <w:r>
                    <w:rPr>
                      <w:b/>
                      <w:i/>
                      <w:color w:val="auto"/>
                      <w:szCs w:val="18"/>
                    </w:rPr>
                    <w:t xml:space="preserve"> </w:t>
                  </w:r>
                  <w:r w:rsidRPr="001E5613">
                    <w:rPr>
                      <w:b/>
                      <w:i/>
                      <w:color w:val="auto"/>
                      <w:szCs w:val="18"/>
                    </w:rPr>
                    <w:t>reduction</w:t>
                  </w:r>
                </w:p>
                <w:p w:rsidR="0085182E" w:rsidRPr="001E5613" w:rsidRDefault="0085182E" w:rsidP="007E2A1E">
                  <w:pPr>
                    <w:pStyle w:val="BulletArrows"/>
                    <w:numPr>
                      <w:ilvl w:val="0"/>
                      <w:numId w:val="1"/>
                    </w:numPr>
                    <w:spacing w:after="160"/>
                    <w:ind w:left="284" w:hanging="284"/>
                    <w:rPr>
                      <w:color w:val="auto"/>
                      <w:szCs w:val="18"/>
                    </w:rPr>
                  </w:pPr>
                  <w:r w:rsidRPr="001E5613">
                    <w:rPr>
                      <w:color w:val="auto"/>
                      <w:szCs w:val="18"/>
                    </w:rPr>
                    <w:t>Overall health outcomes (and costs) are driven by large-scale population exposure to the prevailing backg</w:t>
                  </w:r>
                  <w:r>
                    <w:rPr>
                      <w:color w:val="auto"/>
                      <w:szCs w:val="18"/>
                    </w:rPr>
                    <w:t>round PM concentration. W</w:t>
                  </w:r>
                  <w:r w:rsidRPr="001E5613">
                    <w:rPr>
                      <w:color w:val="auto"/>
                      <w:szCs w:val="18"/>
                    </w:rPr>
                    <w:t xml:space="preserve">here </w:t>
                  </w:r>
                  <w:r>
                    <w:rPr>
                      <w:color w:val="auto"/>
                      <w:szCs w:val="18"/>
                    </w:rPr>
                    <w:t>there are no exceedances of air quality standards</w:t>
                  </w:r>
                  <w:r w:rsidRPr="001E5613">
                    <w:rPr>
                      <w:color w:val="auto"/>
                      <w:szCs w:val="18"/>
                    </w:rPr>
                    <w:t xml:space="preserve"> there is currently no driver to implement measures to reduce exposure to PM.</w:t>
                  </w:r>
                </w:p>
                <w:p w:rsidR="0085182E" w:rsidRPr="001E5613" w:rsidRDefault="0085182E" w:rsidP="0033001D">
                  <w:pPr>
                    <w:pStyle w:val="BulletArrows"/>
                    <w:numPr>
                      <w:ilvl w:val="0"/>
                      <w:numId w:val="1"/>
                    </w:numPr>
                    <w:spacing w:after="160"/>
                    <w:ind w:left="284" w:hanging="284"/>
                    <w:rPr>
                      <w:color w:val="auto"/>
                      <w:szCs w:val="18"/>
                    </w:rPr>
                  </w:pPr>
                  <w:r w:rsidRPr="001E5613">
                    <w:rPr>
                      <w:color w:val="auto"/>
                      <w:szCs w:val="18"/>
                    </w:rPr>
                    <w:t>The scientific support for the exposure-reduction approach to managing PM air quality has been strengthened by the latest health findings.</w:t>
                  </w:r>
                </w:p>
                <w:p w:rsidR="0085182E" w:rsidRDefault="0085182E" w:rsidP="006A5626">
                  <w:pPr>
                    <w:pStyle w:val="BulletArrows"/>
                    <w:numPr>
                      <w:ilvl w:val="0"/>
                      <w:numId w:val="1"/>
                    </w:numPr>
                    <w:spacing w:after="160"/>
                    <w:ind w:left="284" w:hanging="284"/>
                    <w:rPr>
                      <w:color w:val="auto"/>
                      <w:szCs w:val="18"/>
                    </w:rPr>
                  </w:pPr>
                  <w:r w:rsidRPr="001E5613">
                    <w:rPr>
                      <w:color w:val="auto"/>
                      <w:szCs w:val="18"/>
                    </w:rPr>
                    <w:t>The</w:t>
                  </w:r>
                  <w:r>
                    <w:rPr>
                      <w:color w:val="auto"/>
                      <w:szCs w:val="18"/>
                    </w:rPr>
                    <w:t xml:space="preserve"> tools and data that would be required for a precise understanding of exposure to PM across Australia </w:t>
                  </w:r>
                  <w:r w:rsidRPr="001E5613">
                    <w:rPr>
                      <w:color w:val="auto"/>
                      <w:szCs w:val="18"/>
                    </w:rPr>
                    <w:t xml:space="preserve">would include detailed source inventories, comprehensive </w:t>
                  </w:r>
                  <w:proofErr w:type="spellStart"/>
                  <w:r w:rsidRPr="001E5613">
                    <w:rPr>
                      <w:color w:val="auto"/>
                      <w:szCs w:val="18"/>
                    </w:rPr>
                    <w:t>airshed</w:t>
                  </w:r>
                  <w:proofErr w:type="spellEnd"/>
                  <w:r w:rsidRPr="001E5613">
                    <w:rPr>
                      <w:color w:val="auto"/>
                      <w:szCs w:val="18"/>
                    </w:rPr>
                    <w:t xml:space="preserve"> models and high-quality consistent data from the exis</w:t>
                  </w:r>
                  <w:r>
                    <w:rPr>
                      <w:color w:val="auto"/>
                      <w:szCs w:val="18"/>
                    </w:rPr>
                    <w:t>ting AAQ NEPM monitoring networks. These</w:t>
                  </w:r>
                  <w:r w:rsidRPr="001E5613">
                    <w:rPr>
                      <w:color w:val="auto"/>
                      <w:szCs w:val="18"/>
                    </w:rPr>
                    <w:t xml:space="preserve"> would require significant investment</w:t>
                  </w:r>
                  <w:r>
                    <w:rPr>
                      <w:color w:val="auto"/>
                      <w:szCs w:val="18"/>
                    </w:rPr>
                    <w:t>.</w:t>
                  </w:r>
                </w:p>
                <w:p w:rsidR="0085182E" w:rsidRPr="0005661A" w:rsidRDefault="0085182E" w:rsidP="007E2A1E">
                  <w:pPr>
                    <w:pStyle w:val="BulletArrows"/>
                    <w:numPr>
                      <w:ilvl w:val="0"/>
                      <w:numId w:val="1"/>
                    </w:numPr>
                    <w:spacing w:after="0"/>
                    <w:ind w:left="284" w:hanging="284"/>
                    <w:rPr>
                      <w:color w:val="auto"/>
                      <w:szCs w:val="18"/>
                    </w:rPr>
                  </w:pPr>
                  <w:r w:rsidRPr="00271378">
                    <w:rPr>
                      <w:color w:val="auto"/>
                      <w:szCs w:val="18"/>
                    </w:rPr>
                    <w:t>However, undertaking first step</w:t>
                  </w:r>
                  <w:r>
                    <w:rPr>
                      <w:color w:val="auto"/>
                      <w:szCs w:val="18"/>
                    </w:rPr>
                    <w:t>s</w:t>
                  </w:r>
                  <w:r w:rsidRPr="00271378">
                    <w:rPr>
                      <w:color w:val="auto"/>
                      <w:szCs w:val="18"/>
                    </w:rPr>
                    <w:t xml:space="preserve"> towards characterising exposure based on the existing monitoring network would require little or no investment on the part of the jurisdictions</w:t>
                  </w:r>
                  <w:r>
                    <w:rPr>
                      <w:color w:val="auto"/>
                      <w:szCs w:val="18"/>
                    </w:rPr>
                    <w:t>.</w:t>
                  </w:r>
                </w:p>
              </w:txbxContent>
            </v:textbox>
            <w10:wrap type="none"/>
            <w10:anchorlock/>
          </v:shape>
        </w:pict>
      </w:r>
    </w:p>
    <w:p w:rsidR="007D4F73" w:rsidRPr="00B37EF3" w:rsidRDefault="00BF6019" w:rsidP="007D4F73">
      <w:pPr>
        <w:jc w:val="center"/>
        <w:rPr>
          <w:rFonts w:ascii="Arial" w:hAnsi="Arial" w:cs="Arial"/>
          <w:color w:val="FF0000"/>
        </w:rPr>
      </w:pPr>
      <w:r>
        <w:rPr>
          <w:rFonts w:ascii="Arial" w:hAnsi="Arial" w:cs="Arial"/>
          <w:noProof/>
          <w:color w:val="FF0000"/>
        </w:rPr>
      </w:r>
      <w:r>
        <w:rPr>
          <w:rFonts w:ascii="Arial" w:hAnsi="Arial" w:cs="Arial"/>
          <w:noProof/>
          <w:color w:val="FF0000"/>
        </w:rPr>
        <w:pict>
          <v:shape id="AutoShape 26" o:spid="_x0000_s1036" type="#_x0000_t176" style="width:433.7pt;height:1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" fillcolor="#fbd4b4" strokecolor="#f79646" strokeweight="2.5pt">
            <v:fill opacity="13107f"/>
            <v:shadow color="#868686"/>
            <v:textbox>
              <w:txbxContent>
                <w:p w:rsidR="0085182E" w:rsidRPr="0043291D" w:rsidRDefault="0085182E" w:rsidP="007D4F73">
                  <w:pPr>
                    <w:jc w:val="center"/>
                    <w:rPr>
                      <w:b/>
                      <w:color w:val="E36C0A"/>
                      <w:sz w:val="24"/>
                      <w:szCs w:val="24"/>
                    </w:rPr>
                  </w:pPr>
                  <w:r w:rsidRPr="0043291D">
                    <w:rPr>
                      <w:b/>
                      <w:color w:val="E36C0A"/>
                      <w:sz w:val="24"/>
                      <w:szCs w:val="24"/>
                    </w:rPr>
                    <w:t>Proposed questions for consultation: Policy context and legislation</w:t>
                  </w:r>
                </w:p>
                <w:p w:rsidR="0085182E" w:rsidRPr="006A5626" w:rsidRDefault="0085182E" w:rsidP="006E11F4">
                  <w:pPr>
                    <w:pStyle w:val="BulletArrows"/>
                    <w:numPr>
                      <w:ilvl w:val="0"/>
                      <w:numId w:val="22"/>
                    </w:numPr>
                  </w:pPr>
                  <w:r w:rsidRPr="006A5626">
                    <w:t>Have all aspects of the current air quality management framework in Australia been adequately described? If not, please provide further details.</w:t>
                  </w:r>
                </w:p>
                <w:p w:rsidR="0085182E" w:rsidRPr="006A5626" w:rsidRDefault="0085182E" w:rsidP="006E11F4">
                  <w:pPr>
                    <w:pStyle w:val="BulletArrows"/>
                    <w:numPr>
                      <w:ilvl w:val="0"/>
                      <w:numId w:val="22"/>
                    </w:numPr>
                  </w:pPr>
                  <w:r w:rsidRPr="006A5626">
                    <w:t>Have any significant regulatory developments, local or international, been overlooked? Please provide information.</w:t>
                  </w:r>
                </w:p>
                <w:p w:rsidR="0085182E" w:rsidRPr="006A5626" w:rsidRDefault="0085182E" w:rsidP="006E11F4">
                  <w:pPr>
                    <w:pStyle w:val="BulletArrows"/>
                    <w:numPr>
                      <w:ilvl w:val="0"/>
                      <w:numId w:val="22"/>
                    </w:numPr>
                    <w:spacing w:after="360"/>
                  </w:pPr>
                  <w:r w:rsidRPr="006A5626">
                    <w:rPr>
                      <w:color w:val="auto"/>
                      <w:szCs w:val="18"/>
                    </w:rPr>
                    <w:t>What are your views on the feasibility of an exposure-reduction framework for PM in Australia?</w:t>
                  </w:r>
                </w:p>
                <w:p w:rsidR="0085182E" w:rsidRPr="00DA109F" w:rsidRDefault="0085182E" w:rsidP="006E11F4">
                  <w:pPr>
                    <w:pStyle w:val="BulletArrows"/>
                    <w:numPr>
                      <w:ilvl w:val="0"/>
                      <w:numId w:val="22"/>
                    </w:numPr>
                    <w:ind w:left="426" w:hanging="284"/>
                    <w:rPr>
                      <w:color w:val="auto"/>
                      <w:szCs w:val="18"/>
                    </w:rPr>
                  </w:pPr>
                </w:p>
              </w:txbxContent>
            </v:textbox>
            <w10:wrap type="none"/>
            <w10:anchorlock/>
          </v:shape>
        </w:pict>
      </w:r>
    </w:p>
    <w:p w:rsidR="007D4F73" w:rsidRPr="00B37EF3" w:rsidRDefault="007D4F73" w:rsidP="007D4F73">
      <w:pPr>
        <w:jc w:val="center"/>
        <w:rPr>
          <w:rFonts w:ascii="Arial" w:hAnsi="Arial" w:cs="Arial"/>
        </w:rPr>
      </w:pPr>
    </w:p>
    <w:p w:rsidR="007D4F73" w:rsidRPr="00B37EF3" w:rsidRDefault="007D4F73" w:rsidP="007D4F73">
      <w:pPr>
        <w:jc w:val="center"/>
        <w:rPr>
          <w:rFonts w:ascii="Arial" w:hAnsi="Arial" w:cs="Arial"/>
        </w:rPr>
      </w:pPr>
    </w:p>
    <w:p w:rsidR="00E33B69" w:rsidRPr="00B37EF3" w:rsidRDefault="00E33B69" w:rsidP="00FB1FAB">
      <w:pPr>
        <w:rPr>
          <w:rFonts w:ascii="Arial" w:hAnsi="Arial" w:cs="Arial"/>
        </w:rPr>
      </w:pPr>
    </w:p>
    <w:p w:rsidR="00692A6D" w:rsidRPr="006574FD" w:rsidRDefault="00692A6D" w:rsidP="002C6E3A">
      <w:pPr>
        <w:rPr>
          <w:rFonts w:ascii="Arial" w:hAnsi="Arial" w:cs="Arial"/>
          <w:i/>
        </w:rPr>
        <w:sectPr w:rsidR="00692A6D" w:rsidRPr="006574FD" w:rsidSect="006A5626">
          <w:headerReference w:type="even" r:id="rId46"/>
          <w:headerReference w:type="default" r:id="rId47"/>
          <w:footerReference w:type="default" r:id="rId48"/>
          <w:headerReference w:type="first" r:id="rId49"/>
          <w:pgSz w:w="11906" w:h="16838" w:code="9"/>
          <w:pgMar w:top="1440" w:right="1440" w:bottom="1440" w:left="1440" w:header="284" w:footer="244" w:gutter="0"/>
          <w:cols w:space="255"/>
          <w:docGrid w:linePitch="360"/>
        </w:sectPr>
      </w:pPr>
      <w:bookmarkStart w:id="70" w:name="_Ref365456033"/>
    </w:p>
    <w:p w:rsidR="00A33606" w:rsidRPr="00B37EF3" w:rsidRDefault="00A33606" w:rsidP="00B37EF3">
      <w:pPr>
        <w:pStyle w:val="Heading1"/>
        <w:tabs>
          <w:tab w:val="clear" w:pos="432"/>
          <w:tab w:val="num" w:pos="0"/>
        </w:tabs>
        <w:rPr>
          <w:rFonts w:ascii="Arial" w:hAnsi="Arial"/>
        </w:rPr>
      </w:pPr>
      <w:bookmarkStart w:id="71" w:name="_Toc394011102"/>
      <w:r w:rsidRPr="00B37EF3">
        <w:rPr>
          <w:rFonts w:ascii="Arial" w:hAnsi="Arial"/>
        </w:rPr>
        <w:lastRenderedPageBreak/>
        <w:t>Airborne particulate matter in Australia</w:t>
      </w:r>
      <w:bookmarkEnd w:id="70"/>
      <w:bookmarkEnd w:id="71"/>
    </w:p>
    <w:p w:rsidR="00A33606" w:rsidRPr="00B37EF3" w:rsidRDefault="0052102C" w:rsidP="00A33606">
      <w:pPr>
        <w:pStyle w:val="Heading2"/>
        <w:rPr>
          <w:rFonts w:ascii="Arial" w:hAnsi="Arial"/>
        </w:rPr>
      </w:pPr>
      <w:bookmarkStart w:id="72" w:name="_Toc394011103"/>
      <w:bookmarkStart w:id="73" w:name="_Toc340058270"/>
      <w:r w:rsidRPr="00B37EF3">
        <w:rPr>
          <w:rFonts w:ascii="Arial" w:hAnsi="Arial"/>
        </w:rPr>
        <w:t>S</w:t>
      </w:r>
      <w:r w:rsidR="00A33606" w:rsidRPr="00B37EF3">
        <w:rPr>
          <w:rFonts w:ascii="Arial" w:hAnsi="Arial"/>
        </w:rPr>
        <w:t>ources</w:t>
      </w:r>
      <w:bookmarkEnd w:id="72"/>
    </w:p>
    <w:p w:rsidR="00A33606" w:rsidRPr="00B37EF3" w:rsidRDefault="00A33606" w:rsidP="00491187">
      <w:pPr>
        <w:spacing w:after="200"/>
        <w:rPr>
          <w:rFonts w:ascii="Arial" w:hAnsi="Arial" w:cs="Arial"/>
          <w:lang w:eastAsia="en-US"/>
        </w:rPr>
      </w:pPr>
      <w:r w:rsidRPr="00B37EF3">
        <w:rPr>
          <w:rFonts w:ascii="Arial" w:hAnsi="Arial" w:cs="Arial"/>
        </w:rPr>
        <w:t xml:space="preserve">When characterising </w:t>
      </w:r>
      <w:r w:rsidR="00DC5EBC" w:rsidRPr="00B37EF3">
        <w:rPr>
          <w:rFonts w:ascii="Arial" w:hAnsi="Arial" w:cs="Arial"/>
        </w:rPr>
        <w:t xml:space="preserve">anthropogenic </w:t>
      </w:r>
      <w:r w:rsidR="00491187" w:rsidRPr="00B37EF3">
        <w:rPr>
          <w:rFonts w:ascii="Arial" w:hAnsi="Arial" w:cs="Arial"/>
        </w:rPr>
        <w:t>air pollutants</w:t>
      </w:r>
      <w:r w:rsidRPr="00B37EF3">
        <w:rPr>
          <w:rFonts w:ascii="Arial" w:hAnsi="Arial" w:cs="Arial"/>
        </w:rPr>
        <w:t xml:space="preserve"> in Australia </w:t>
      </w:r>
      <w:r w:rsidR="00D61F44" w:rsidRPr="00B37EF3">
        <w:rPr>
          <w:rFonts w:ascii="Arial" w:hAnsi="Arial" w:cs="Arial"/>
        </w:rPr>
        <w:t xml:space="preserve">a distinction </w:t>
      </w:r>
      <w:r w:rsidR="00662A67" w:rsidRPr="00B37EF3">
        <w:rPr>
          <w:rFonts w:ascii="Arial" w:hAnsi="Arial" w:cs="Arial"/>
        </w:rPr>
        <w:t>h</w:t>
      </w:r>
      <w:r w:rsidRPr="00B37EF3">
        <w:rPr>
          <w:rFonts w:ascii="Arial" w:hAnsi="Arial" w:cs="Arial"/>
        </w:rPr>
        <w:t xml:space="preserve">as often been </w:t>
      </w:r>
      <w:r w:rsidR="00D61F44" w:rsidRPr="00B37EF3">
        <w:rPr>
          <w:rFonts w:ascii="Arial" w:hAnsi="Arial" w:cs="Arial"/>
        </w:rPr>
        <w:t>made</w:t>
      </w:r>
      <w:r w:rsidRPr="00B37EF3">
        <w:rPr>
          <w:rFonts w:ascii="Arial" w:hAnsi="Arial" w:cs="Arial"/>
        </w:rPr>
        <w:t xml:space="preserve"> between</w:t>
      </w:r>
      <w:r w:rsidR="00491187" w:rsidRPr="00B37EF3">
        <w:rPr>
          <w:rFonts w:ascii="Arial" w:hAnsi="Arial" w:cs="Arial"/>
        </w:rPr>
        <w:t xml:space="preserve"> emissions from</w:t>
      </w:r>
      <w:r w:rsidRPr="00B37EF3">
        <w:rPr>
          <w:rFonts w:ascii="Arial" w:hAnsi="Arial" w:cs="Arial"/>
        </w:rPr>
        <w:t xml:space="preserve"> point sources and </w:t>
      </w:r>
      <w:r w:rsidR="00491187" w:rsidRPr="00B37EF3">
        <w:rPr>
          <w:rFonts w:ascii="Arial" w:hAnsi="Arial" w:cs="Arial"/>
        </w:rPr>
        <w:t xml:space="preserve">emissions from </w:t>
      </w:r>
      <w:r w:rsidRPr="00B37EF3">
        <w:rPr>
          <w:rFonts w:ascii="Arial" w:hAnsi="Arial" w:cs="Arial"/>
        </w:rPr>
        <w:t>diffuse sources.</w:t>
      </w:r>
      <w:r w:rsidR="000B0432" w:rsidRPr="00B37EF3">
        <w:rPr>
          <w:rFonts w:ascii="Arial" w:hAnsi="Arial" w:cs="Arial"/>
        </w:rPr>
        <w:t xml:space="preserve"> </w:t>
      </w:r>
      <w:r w:rsidR="000B0432" w:rsidRPr="00B37EF3">
        <w:rPr>
          <w:rFonts w:ascii="Arial" w:hAnsi="Arial" w:cs="Arial"/>
          <w:lang w:eastAsia="en-US"/>
        </w:rPr>
        <w:t xml:space="preserve">A </w:t>
      </w:r>
      <w:r w:rsidR="00D61F44" w:rsidRPr="00B37EF3">
        <w:rPr>
          <w:rFonts w:ascii="Arial" w:hAnsi="Arial" w:cs="Arial"/>
          <w:lang w:eastAsia="en-US"/>
        </w:rPr>
        <w:t xml:space="preserve">classic </w:t>
      </w:r>
      <w:r w:rsidR="000B0432" w:rsidRPr="00B37EF3">
        <w:rPr>
          <w:rFonts w:ascii="Arial" w:hAnsi="Arial" w:cs="Arial"/>
          <w:lang w:eastAsia="en-US"/>
        </w:rPr>
        <w:t xml:space="preserve">point source would be a stack at an industrial plant or </w:t>
      </w:r>
      <w:r w:rsidRPr="00B37EF3">
        <w:rPr>
          <w:rFonts w:ascii="Arial" w:hAnsi="Arial" w:cs="Arial"/>
          <w:lang w:eastAsia="en-US"/>
        </w:rPr>
        <w:t>p</w:t>
      </w:r>
      <w:r w:rsidR="000B0432" w:rsidRPr="00B37EF3">
        <w:rPr>
          <w:rFonts w:ascii="Arial" w:hAnsi="Arial" w:cs="Arial"/>
          <w:lang w:eastAsia="en-US"/>
        </w:rPr>
        <w:t>ower station</w:t>
      </w:r>
      <w:r w:rsidRPr="00B37EF3">
        <w:rPr>
          <w:rFonts w:ascii="Arial" w:hAnsi="Arial" w:cs="Arial"/>
          <w:lang w:eastAsia="en-US"/>
        </w:rPr>
        <w:t xml:space="preserve">. </w:t>
      </w:r>
      <w:r w:rsidR="000B0432" w:rsidRPr="00B37EF3">
        <w:rPr>
          <w:rFonts w:ascii="Arial" w:hAnsi="Arial" w:cs="Arial"/>
          <w:lang w:eastAsia="en-US"/>
        </w:rPr>
        <w:t xml:space="preserve">For some pollutants – such as </w:t>
      </w:r>
      <w:r w:rsidR="00681339" w:rsidRPr="00B37EF3">
        <w:rPr>
          <w:rFonts w:ascii="Arial" w:hAnsi="Arial" w:cs="Arial"/>
          <w:lang w:eastAsia="en-US"/>
        </w:rPr>
        <w:t>SO</w:t>
      </w:r>
      <w:r w:rsidR="00681339" w:rsidRPr="00B37EF3">
        <w:rPr>
          <w:rFonts w:ascii="Arial" w:hAnsi="Arial" w:cs="Arial"/>
          <w:vertAlign w:val="subscript"/>
          <w:lang w:eastAsia="en-US"/>
        </w:rPr>
        <w:t>2</w:t>
      </w:r>
      <w:r w:rsidR="000B0432" w:rsidRPr="00B37EF3">
        <w:rPr>
          <w:rFonts w:ascii="Arial" w:hAnsi="Arial" w:cs="Arial"/>
          <w:lang w:eastAsia="en-US"/>
        </w:rPr>
        <w:t xml:space="preserve"> </w:t>
      </w:r>
      <w:r w:rsidR="00D61F44" w:rsidRPr="00B37EF3">
        <w:rPr>
          <w:rFonts w:ascii="Arial" w:hAnsi="Arial" w:cs="Arial"/>
          <w:lang w:eastAsia="en-US"/>
        </w:rPr>
        <w:t xml:space="preserve">– </w:t>
      </w:r>
      <w:r w:rsidR="000B0432" w:rsidRPr="00B37EF3">
        <w:rPr>
          <w:rFonts w:ascii="Arial" w:hAnsi="Arial" w:cs="Arial"/>
          <w:lang w:eastAsia="en-US"/>
        </w:rPr>
        <w:t>these types of source dominate regional emissions. Diffuse sources include motor vehicles, bush</w:t>
      </w:r>
      <w:r w:rsidR="00EB3931" w:rsidRPr="00B37EF3">
        <w:rPr>
          <w:rFonts w:ascii="Arial" w:hAnsi="Arial" w:cs="Arial"/>
          <w:lang w:eastAsia="en-US"/>
        </w:rPr>
        <w:t xml:space="preserve"> </w:t>
      </w:r>
      <w:r w:rsidR="00803460" w:rsidRPr="00B37EF3">
        <w:rPr>
          <w:rFonts w:ascii="Arial" w:hAnsi="Arial" w:cs="Arial"/>
          <w:lang w:eastAsia="en-US"/>
        </w:rPr>
        <w:t xml:space="preserve">fires, </w:t>
      </w:r>
      <w:r w:rsidR="000B0432" w:rsidRPr="00B37EF3">
        <w:rPr>
          <w:rFonts w:ascii="Arial" w:hAnsi="Arial" w:cs="Arial"/>
          <w:lang w:eastAsia="en-US"/>
        </w:rPr>
        <w:t>variou</w:t>
      </w:r>
      <w:r w:rsidR="00803460" w:rsidRPr="00B37EF3">
        <w:rPr>
          <w:rFonts w:ascii="Arial" w:hAnsi="Arial" w:cs="Arial"/>
          <w:lang w:eastAsia="en-US"/>
        </w:rPr>
        <w:t xml:space="preserve">s types of planned burning, </w:t>
      </w:r>
      <w:r w:rsidR="000B0432" w:rsidRPr="00B37EF3">
        <w:rPr>
          <w:rFonts w:ascii="Arial" w:hAnsi="Arial" w:cs="Arial"/>
          <w:lang w:eastAsia="en-US"/>
        </w:rPr>
        <w:t>fugitive dust from industrial, transport and agricultural activities, domestic and commercial solvents, service stations</w:t>
      </w:r>
      <w:r w:rsidR="00803460" w:rsidRPr="00B37EF3">
        <w:rPr>
          <w:rFonts w:ascii="Arial" w:hAnsi="Arial" w:cs="Arial"/>
          <w:lang w:eastAsia="en-US"/>
        </w:rPr>
        <w:t>, and domestic lawn</w:t>
      </w:r>
      <w:r w:rsidR="000B0432" w:rsidRPr="00B37EF3">
        <w:rPr>
          <w:rFonts w:ascii="Arial" w:hAnsi="Arial" w:cs="Arial"/>
          <w:lang w:eastAsia="en-US"/>
        </w:rPr>
        <w:t>mowers. Diffuse sources are important contributors to PM</w:t>
      </w:r>
      <w:r w:rsidR="000B0432" w:rsidRPr="00B37EF3">
        <w:rPr>
          <w:rFonts w:ascii="Arial" w:hAnsi="Arial" w:cs="Arial"/>
          <w:vertAlign w:val="subscript"/>
          <w:lang w:eastAsia="en-US"/>
        </w:rPr>
        <w:t>10</w:t>
      </w:r>
      <w:r w:rsidR="000B0432" w:rsidRPr="00B37EF3">
        <w:rPr>
          <w:rFonts w:ascii="Arial" w:hAnsi="Arial" w:cs="Arial"/>
          <w:lang w:eastAsia="en-US"/>
        </w:rPr>
        <w:t xml:space="preserve"> and PM</w:t>
      </w:r>
      <w:r w:rsidR="000B0432" w:rsidRPr="00B37EF3">
        <w:rPr>
          <w:rFonts w:ascii="Arial" w:hAnsi="Arial" w:cs="Arial"/>
          <w:vertAlign w:val="subscript"/>
          <w:lang w:eastAsia="en-US"/>
        </w:rPr>
        <w:t>2.5</w:t>
      </w:r>
      <w:r w:rsidR="000B0432" w:rsidRPr="00B37EF3">
        <w:rPr>
          <w:rFonts w:ascii="Arial" w:hAnsi="Arial" w:cs="Arial"/>
          <w:lang w:eastAsia="en-US"/>
        </w:rPr>
        <w:t>, and their nature means that they are also generally more challenging to address through regulation. Motor vehicles in particular have a large impact on air quality and human health in urban areas</w:t>
      </w:r>
      <w:r w:rsidR="00803460" w:rsidRPr="00B37EF3">
        <w:rPr>
          <w:rFonts w:ascii="Arial" w:hAnsi="Arial" w:cs="Arial"/>
          <w:lang w:eastAsia="en-US"/>
        </w:rPr>
        <w:t>,</w:t>
      </w:r>
      <w:r w:rsidR="000B0432" w:rsidRPr="00B37EF3">
        <w:rPr>
          <w:rFonts w:ascii="Arial" w:hAnsi="Arial" w:cs="Arial"/>
          <w:lang w:eastAsia="en-US"/>
        </w:rPr>
        <w:t xml:space="preserve"> where they are ubiquitous and close to the population. D</w:t>
      </w:r>
      <w:r w:rsidRPr="00B37EF3">
        <w:rPr>
          <w:rFonts w:ascii="Arial" w:hAnsi="Arial" w:cs="Arial"/>
          <w:lang w:eastAsia="en-US"/>
        </w:rPr>
        <w:t>ischarges from major industrial and power-generation facilities are elevated and thus have less infl</w:t>
      </w:r>
      <w:r w:rsidR="000B0432" w:rsidRPr="00B37EF3">
        <w:rPr>
          <w:rFonts w:ascii="Arial" w:hAnsi="Arial" w:cs="Arial"/>
          <w:lang w:eastAsia="en-US"/>
        </w:rPr>
        <w:t xml:space="preserve">uence at ground level </w:t>
      </w:r>
      <w:r w:rsidRPr="00B37EF3">
        <w:rPr>
          <w:rFonts w:ascii="Arial" w:hAnsi="Arial" w:cs="Arial"/>
          <w:b/>
          <w:lang w:eastAsia="en-US"/>
        </w:rPr>
        <w:t>(SEC 2011)</w:t>
      </w:r>
      <w:r w:rsidRPr="00B37EF3">
        <w:rPr>
          <w:rFonts w:ascii="Arial" w:hAnsi="Arial" w:cs="Arial"/>
          <w:lang w:eastAsia="en-US"/>
        </w:rPr>
        <w:t>.</w:t>
      </w:r>
    </w:p>
    <w:p w:rsidR="00DC5EBC" w:rsidRPr="00B37EF3" w:rsidRDefault="00DC5EBC" w:rsidP="00DC5EBC">
      <w:pPr>
        <w:spacing w:after="360"/>
        <w:rPr>
          <w:rFonts w:ascii="Arial" w:hAnsi="Arial" w:cs="Arial"/>
          <w:lang w:eastAsia="en-US"/>
        </w:rPr>
      </w:pPr>
      <w:r w:rsidRPr="00B37EF3">
        <w:rPr>
          <w:rFonts w:ascii="Arial" w:hAnsi="Arial" w:cs="Arial"/>
        </w:rPr>
        <w:t xml:space="preserve">The differences in the </w:t>
      </w:r>
      <w:r w:rsidR="00D61F44" w:rsidRPr="00B37EF3">
        <w:rPr>
          <w:rFonts w:ascii="Arial" w:hAnsi="Arial" w:cs="Arial"/>
        </w:rPr>
        <w:t xml:space="preserve">contributors </w:t>
      </w:r>
      <w:r w:rsidRPr="00B37EF3">
        <w:rPr>
          <w:rFonts w:ascii="Arial" w:hAnsi="Arial" w:cs="Arial"/>
        </w:rPr>
        <w:t>to total anthropogenic PM emissions in non-urban and metropolitan areas are illustrated by references to the NSW GMR in</w:t>
      </w:r>
      <w:r w:rsidR="00166F7D" w:rsidRPr="00B37EF3">
        <w:rPr>
          <w:rFonts w:ascii="Arial" w:hAnsi="Arial" w:cs="Arial"/>
          <w:b/>
        </w:rPr>
        <w:t xml:space="preserve"> </w:t>
      </w:r>
      <w:fldSimple w:instr=" REF _Ref369001941 \h  \* MERGEFORMAT ">
        <w:r w:rsidR="0085182E" w:rsidRPr="0085182E">
          <w:rPr>
            <w:rFonts w:ascii="Arial" w:hAnsi="Arial" w:cs="Arial"/>
            <w:b/>
          </w:rPr>
          <w:t>Figure 5.1</w:t>
        </w:r>
      </w:fldSimple>
      <w:r w:rsidRPr="00B37EF3">
        <w:rPr>
          <w:rFonts w:ascii="Arial" w:hAnsi="Arial" w:cs="Arial"/>
        </w:rPr>
        <w:t>. For both PM</w:t>
      </w:r>
      <w:r w:rsidRPr="00B37EF3">
        <w:rPr>
          <w:rFonts w:ascii="Arial" w:hAnsi="Arial" w:cs="Arial"/>
          <w:vertAlign w:val="subscript"/>
        </w:rPr>
        <w:t>10</w:t>
      </w:r>
      <w:r w:rsidRPr="00B37EF3">
        <w:rPr>
          <w:rFonts w:ascii="Arial" w:hAnsi="Arial" w:cs="Arial"/>
        </w:rPr>
        <w:t xml:space="preserve"> and PM</w:t>
      </w:r>
      <w:r w:rsidRPr="00B37EF3">
        <w:rPr>
          <w:rFonts w:ascii="Arial" w:hAnsi="Arial" w:cs="Arial"/>
          <w:vertAlign w:val="subscript"/>
        </w:rPr>
        <w:t>2.5</w:t>
      </w:r>
      <w:r w:rsidRPr="00B37EF3">
        <w:rPr>
          <w:rFonts w:ascii="Arial" w:hAnsi="Arial" w:cs="Arial"/>
        </w:rPr>
        <w:t xml:space="preserve"> the main contributor in non-urban areas is industry (mainly coal mines in the NSW GMR). Other common </w:t>
      </w:r>
      <w:r w:rsidR="00803460" w:rsidRPr="00B37EF3">
        <w:rPr>
          <w:rFonts w:ascii="Arial" w:hAnsi="Arial" w:cs="Arial"/>
        </w:rPr>
        <w:t xml:space="preserve">natural </w:t>
      </w:r>
      <w:r w:rsidRPr="00B37EF3">
        <w:rPr>
          <w:rFonts w:ascii="Arial" w:hAnsi="Arial" w:cs="Arial"/>
        </w:rPr>
        <w:t>non-urban sources of PM</w:t>
      </w:r>
      <w:r w:rsidR="00803460" w:rsidRPr="00B37EF3">
        <w:rPr>
          <w:rFonts w:ascii="Arial" w:hAnsi="Arial" w:cs="Arial"/>
        </w:rPr>
        <w:t xml:space="preserve"> (not shown in the </w:t>
      </w:r>
      <w:r w:rsidR="00D61F44" w:rsidRPr="00B37EF3">
        <w:rPr>
          <w:rFonts w:ascii="Arial" w:hAnsi="Arial" w:cs="Arial"/>
        </w:rPr>
        <w:t>f</w:t>
      </w:r>
      <w:r w:rsidR="00803460" w:rsidRPr="00B37EF3">
        <w:rPr>
          <w:rFonts w:ascii="Arial" w:hAnsi="Arial" w:cs="Arial"/>
        </w:rPr>
        <w:t xml:space="preserve">igure) are wild fires and windblown dust </w:t>
      </w:r>
      <w:r w:rsidRPr="00B37EF3">
        <w:rPr>
          <w:rFonts w:ascii="Arial" w:hAnsi="Arial" w:cs="Arial"/>
          <w:b/>
        </w:rPr>
        <w:t>(SEC</w:t>
      </w:r>
      <w:r w:rsidR="00D61F44" w:rsidRPr="00B37EF3">
        <w:rPr>
          <w:rFonts w:ascii="Arial" w:hAnsi="Arial" w:cs="Arial"/>
          <w:b/>
        </w:rPr>
        <w:t> </w:t>
      </w:r>
      <w:r w:rsidRPr="00B37EF3">
        <w:rPr>
          <w:rFonts w:ascii="Arial" w:hAnsi="Arial" w:cs="Arial"/>
          <w:b/>
        </w:rPr>
        <w:t>2011)</w:t>
      </w:r>
      <w:r w:rsidRPr="00B37EF3">
        <w:rPr>
          <w:rFonts w:ascii="Arial" w:hAnsi="Arial" w:cs="Arial"/>
        </w:rPr>
        <w:t>. In Sydney, domestic-commercial and on-road mobile sources become much more important, especially for PM</w:t>
      </w:r>
      <w:r w:rsidRPr="00B37EF3">
        <w:rPr>
          <w:rFonts w:ascii="Arial" w:hAnsi="Arial" w:cs="Arial"/>
          <w:vertAlign w:val="subscript"/>
        </w:rPr>
        <w:t>2.5</w:t>
      </w:r>
      <w:r w:rsidRPr="00B37EF3">
        <w:rPr>
          <w:rFonts w:ascii="Arial" w:hAnsi="Arial" w:cs="Arial"/>
          <w:lang w:eastAsia="en-US"/>
        </w:rPr>
        <w:t xml:space="preserve"> </w:t>
      </w:r>
      <w:r w:rsidR="00744747" w:rsidRPr="00B37EF3">
        <w:rPr>
          <w:rFonts w:ascii="Arial" w:hAnsi="Arial" w:cs="Arial"/>
          <w:lang w:eastAsia="en-US"/>
        </w:rPr>
        <w:t xml:space="preserve">in the case of the former. </w:t>
      </w:r>
      <w:r w:rsidRPr="00B37EF3">
        <w:rPr>
          <w:rFonts w:ascii="Arial" w:hAnsi="Arial" w:cs="Arial"/>
          <w:lang w:eastAsia="en-US"/>
        </w:rPr>
        <w:t xml:space="preserve">There are also significant temporal variations in emissions. For example, in the cooler southern regions of Australia domestic wood combustion is an important source of PM during the autumn and winter months. </w:t>
      </w:r>
    </w:p>
    <w:p w:rsidR="00A33606" w:rsidRPr="00B37EF3" w:rsidRDefault="006D7F17" w:rsidP="00174B96">
      <w:pPr>
        <w:spacing w:after="0"/>
        <w:jc w:val="center"/>
        <w:rPr>
          <w:rFonts w:ascii="Arial" w:hAnsi="Arial" w:cs="Arial"/>
          <w:lang w:eastAsia="en-US"/>
        </w:rPr>
      </w:pPr>
      <w:r w:rsidRPr="00B37EF3">
        <w:rPr>
          <w:rFonts w:ascii="Arial" w:hAnsi="Arial" w:cs="Arial"/>
          <w:noProof/>
        </w:rPr>
        <w:drawing>
          <wp:inline distT="0" distB="0" distL="0" distR="0">
            <wp:extent cx="4460875" cy="4023360"/>
            <wp:effectExtent l="19050" t="19050" r="15875" b="1524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34" t="824" r="1015" b="2802"/>
                    <a:stretch>
                      <a:fillRect/>
                    </a:stretch>
                  </pic:blipFill>
                  <pic:spPr bwMode="auto">
                    <a:xfrm>
                      <a:off x="0" y="0"/>
                      <a:ext cx="4460875" cy="4023360"/>
                    </a:xfrm>
                    <a:prstGeom prst="rect">
                      <a:avLst/>
                    </a:prstGeom>
                    <a:noFill/>
                    <a:ln w="9525" cmpd="sng">
                      <a:solidFill>
                        <a:srgbClr val="0070C0"/>
                      </a:solidFill>
                      <a:miter lim="800000"/>
                      <a:headEnd/>
                      <a:tailEnd/>
                    </a:ln>
                    <a:effectLst/>
                  </pic:spPr>
                </pic:pic>
              </a:graphicData>
            </a:graphic>
          </wp:inline>
        </w:drawing>
      </w:r>
    </w:p>
    <w:p w:rsidR="0052102C" w:rsidRPr="00B37EF3" w:rsidRDefault="0052102C" w:rsidP="00491187">
      <w:pPr>
        <w:pStyle w:val="Caption"/>
        <w:keepNext w:val="0"/>
        <w:widowControl w:val="0"/>
        <w:spacing w:after="0"/>
        <w:ind w:left="992" w:right="947"/>
        <w:rPr>
          <w:rFonts w:ascii="Arial" w:hAnsi="Arial" w:cs="Arial"/>
          <w:lang w:eastAsia="en-US"/>
        </w:rPr>
      </w:pPr>
      <w:bookmarkStart w:id="74" w:name="_Ref369001941"/>
      <w:r w:rsidRPr="00B37EF3">
        <w:rPr>
          <w:rFonts w:ascii="Arial" w:hAnsi="Arial" w:cs="Arial"/>
        </w:rPr>
        <w:t xml:space="preserve">Figure </w:t>
      </w:r>
      <w:r w:rsidR="00BF6019" w:rsidRPr="00B37EF3">
        <w:rPr>
          <w:rFonts w:ascii="Arial" w:hAnsi="Arial" w:cs="Arial"/>
        </w:rPr>
        <w:fldChar w:fldCharType="begin"/>
      </w:r>
      <w:r w:rsidRPr="00B37EF3">
        <w:rPr>
          <w:rFonts w:ascii="Arial" w:hAnsi="Arial" w:cs="Arial"/>
        </w:rPr>
        <w:instrText xml:space="preserve"> STYLEREF 1 \s </w:instrText>
      </w:r>
      <w:r w:rsidR="00BF6019" w:rsidRPr="00B37EF3">
        <w:rPr>
          <w:rFonts w:ascii="Arial" w:hAnsi="Arial" w:cs="Arial"/>
        </w:rPr>
        <w:fldChar w:fldCharType="separate"/>
      </w:r>
      <w:r w:rsidR="0085182E">
        <w:rPr>
          <w:rFonts w:ascii="Arial" w:hAnsi="Arial" w:cs="Arial"/>
          <w:noProof/>
        </w:rPr>
        <w:t>5</w:t>
      </w:r>
      <w:r w:rsidR="00BF6019" w:rsidRPr="00B37EF3">
        <w:rPr>
          <w:rFonts w:ascii="Arial" w:hAnsi="Arial" w:cs="Arial"/>
        </w:rPr>
        <w:fldChar w:fldCharType="end"/>
      </w:r>
      <w:r w:rsidRPr="00B37EF3">
        <w:rPr>
          <w:rFonts w:ascii="Arial" w:hAnsi="Arial" w:cs="Arial"/>
        </w:rPr>
        <w:t>.</w:t>
      </w:r>
      <w:r w:rsidR="00BF6019" w:rsidRPr="00B37EF3">
        <w:rPr>
          <w:rFonts w:ascii="Arial" w:hAnsi="Arial" w:cs="Arial"/>
        </w:rPr>
        <w:fldChar w:fldCharType="begin"/>
      </w:r>
      <w:r w:rsidRPr="00B37EF3">
        <w:rPr>
          <w:rFonts w:ascii="Arial" w:hAnsi="Arial" w:cs="Arial"/>
        </w:rPr>
        <w:instrText xml:space="preserve"> SEQ Figure \* ARABIC \s 1 </w:instrText>
      </w:r>
      <w:r w:rsidR="00BF6019" w:rsidRPr="00B37EF3">
        <w:rPr>
          <w:rFonts w:ascii="Arial" w:hAnsi="Arial" w:cs="Arial"/>
        </w:rPr>
        <w:fldChar w:fldCharType="separate"/>
      </w:r>
      <w:r w:rsidR="0085182E">
        <w:rPr>
          <w:rFonts w:ascii="Arial" w:hAnsi="Arial" w:cs="Arial"/>
          <w:noProof/>
        </w:rPr>
        <w:t>1</w:t>
      </w:r>
      <w:r w:rsidR="00BF6019" w:rsidRPr="00B37EF3">
        <w:rPr>
          <w:rFonts w:ascii="Arial" w:hAnsi="Arial" w:cs="Arial"/>
        </w:rPr>
        <w:fldChar w:fldCharType="end"/>
      </w:r>
      <w:bookmarkEnd w:id="74"/>
      <w:r w:rsidRPr="00B37EF3">
        <w:rPr>
          <w:rFonts w:ascii="Arial" w:hAnsi="Arial" w:cs="Arial"/>
        </w:rPr>
        <w:t xml:space="preserve">: </w:t>
      </w:r>
      <w:r w:rsidR="00803460" w:rsidRPr="00B37EF3">
        <w:rPr>
          <w:rFonts w:ascii="Arial" w:hAnsi="Arial" w:cs="Arial"/>
        </w:rPr>
        <w:t>Anthropogenic e</w:t>
      </w:r>
      <w:r w:rsidR="00587E2F" w:rsidRPr="00B37EF3">
        <w:rPr>
          <w:rFonts w:ascii="Arial" w:hAnsi="Arial" w:cs="Arial"/>
        </w:rPr>
        <w:t>missions of PM</w:t>
      </w:r>
      <w:r w:rsidR="00587E2F" w:rsidRPr="00B37EF3">
        <w:rPr>
          <w:rFonts w:ascii="Arial" w:hAnsi="Arial" w:cs="Arial"/>
          <w:vertAlign w:val="subscript"/>
        </w:rPr>
        <w:t>10</w:t>
      </w:r>
      <w:r w:rsidR="00587E2F" w:rsidRPr="00B37EF3">
        <w:rPr>
          <w:rFonts w:ascii="Arial" w:hAnsi="Arial" w:cs="Arial"/>
        </w:rPr>
        <w:t xml:space="preserve"> and PM</w:t>
      </w:r>
      <w:r w:rsidR="00587E2F" w:rsidRPr="00B37EF3">
        <w:rPr>
          <w:rFonts w:ascii="Arial" w:hAnsi="Arial" w:cs="Arial"/>
          <w:vertAlign w:val="subscript"/>
        </w:rPr>
        <w:t xml:space="preserve">2.5 </w:t>
      </w:r>
      <w:r w:rsidR="00587E2F" w:rsidRPr="00B37EF3">
        <w:rPr>
          <w:rFonts w:ascii="Arial" w:hAnsi="Arial" w:cs="Arial"/>
        </w:rPr>
        <w:t>in the NSW GMR and Sydney during 2008 (each pie chart shows tonnes emitted per year and percentage contribution to total anthropogenic emissions</w:t>
      </w:r>
      <w:r w:rsidR="00166F7D" w:rsidRPr="00B37EF3">
        <w:rPr>
          <w:rFonts w:ascii="Arial" w:hAnsi="Arial" w:cs="Arial"/>
        </w:rPr>
        <w:t>)</w:t>
      </w:r>
      <w:r w:rsidR="00587E2F" w:rsidRPr="00B37EF3">
        <w:rPr>
          <w:rFonts w:ascii="Arial" w:hAnsi="Arial" w:cs="Arial"/>
        </w:rPr>
        <w:t xml:space="preserve"> (adapted from</w:t>
      </w:r>
      <w:r w:rsidR="00587E2F" w:rsidRPr="00B37EF3">
        <w:rPr>
          <w:rFonts w:ascii="Arial" w:hAnsi="Arial" w:cs="Arial"/>
          <w:color w:val="0070C0"/>
        </w:rPr>
        <w:t xml:space="preserve"> NSW EPA 2012)</w:t>
      </w:r>
    </w:p>
    <w:p w:rsidR="003B344E" w:rsidRPr="00B37EF3" w:rsidRDefault="00A33606" w:rsidP="00A33606">
      <w:pPr>
        <w:pStyle w:val="Heading2"/>
        <w:rPr>
          <w:rFonts w:ascii="Arial" w:hAnsi="Arial"/>
        </w:rPr>
      </w:pPr>
      <w:bookmarkStart w:id="75" w:name="_Toc394011104"/>
      <w:r w:rsidRPr="00B37EF3">
        <w:rPr>
          <w:rFonts w:ascii="Arial" w:hAnsi="Arial"/>
        </w:rPr>
        <w:lastRenderedPageBreak/>
        <w:t>Emission</w:t>
      </w:r>
      <w:r w:rsidR="003B344E" w:rsidRPr="00B37EF3">
        <w:rPr>
          <w:rFonts w:ascii="Arial" w:hAnsi="Arial"/>
        </w:rPr>
        <w:t>s of PM</w:t>
      </w:r>
      <w:bookmarkEnd w:id="75"/>
    </w:p>
    <w:p w:rsidR="00A33606" w:rsidRPr="00B37EF3" w:rsidRDefault="00B44448" w:rsidP="000F787E">
      <w:pPr>
        <w:pStyle w:val="Heading3"/>
        <w:rPr>
          <w:rFonts w:ascii="Arial" w:hAnsi="Arial"/>
        </w:rPr>
      </w:pPr>
      <w:bookmarkStart w:id="76" w:name="_Toc394011105"/>
      <w:r w:rsidRPr="00B37EF3">
        <w:rPr>
          <w:rFonts w:ascii="Arial" w:hAnsi="Arial"/>
        </w:rPr>
        <w:t xml:space="preserve">Emissions </w:t>
      </w:r>
      <w:r w:rsidR="00A33606" w:rsidRPr="00B37EF3">
        <w:rPr>
          <w:rFonts w:ascii="Arial" w:hAnsi="Arial"/>
        </w:rPr>
        <w:t>inventories</w:t>
      </w:r>
      <w:bookmarkEnd w:id="76"/>
    </w:p>
    <w:p w:rsidR="00A33606" w:rsidRPr="00B37EF3" w:rsidRDefault="00A33606" w:rsidP="00A33606">
      <w:pPr>
        <w:rPr>
          <w:rFonts w:ascii="Arial" w:hAnsi="Arial" w:cs="Arial"/>
        </w:rPr>
      </w:pPr>
      <w:r w:rsidRPr="00B37EF3">
        <w:rPr>
          <w:rFonts w:ascii="Arial" w:hAnsi="Arial" w:cs="Arial"/>
        </w:rPr>
        <w:t xml:space="preserve">The emissions of air pollutants to the atmosphere are quantified in </w:t>
      </w:r>
      <w:r w:rsidR="00B44448" w:rsidRPr="00B37EF3">
        <w:rPr>
          <w:rFonts w:ascii="Arial" w:hAnsi="Arial" w:cs="Arial"/>
        </w:rPr>
        <w:t xml:space="preserve">emissions </w:t>
      </w:r>
      <w:r w:rsidRPr="00B37EF3">
        <w:rPr>
          <w:rFonts w:ascii="Arial" w:hAnsi="Arial" w:cs="Arial"/>
        </w:rPr>
        <w:t>inventories. In Australia there</w:t>
      </w:r>
      <w:r w:rsidR="00B410F6" w:rsidRPr="00B37EF3">
        <w:rPr>
          <w:rFonts w:ascii="Arial" w:hAnsi="Arial" w:cs="Arial"/>
        </w:rPr>
        <w:t xml:space="preserve"> are two main types of </w:t>
      </w:r>
      <w:r w:rsidRPr="00B37EF3">
        <w:rPr>
          <w:rFonts w:ascii="Arial" w:hAnsi="Arial" w:cs="Arial"/>
        </w:rPr>
        <w:t xml:space="preserve">inventory: the National Pollutant Inventory (NPI) and regional (state-based) inventories. The current status of these was reviewed by </w:t>
      </w:r>
      <w:proofErr w:type="spellStart"/>
      <w:r w:rsidRPr="00B37EF3">
        <w:rPr>
          <w:rFonts w:ascii="Arial" w:hAnsi="Arial" w:cs="Arial"/>
          <w:b/>
        </w:rPr>
        <w:t>Bawden</w:t>
      </w:r>
      <w:proofErr w:type="spellEnd"/>
      <w:r w:rsidRPr="00B37EF3">
        <w:rPr>
          <w:rFonts w:ascii="Arial" w:hAnsi="Arial" w:cs="Arial"/>
          <w:b/>
        </w:rPr>
        <w:t xml:space="preserve"> </w:t>
      </w:r>
      <w:r w:rsidR="009334F4" w:rsidRPr="00B37EF3">
        <w:rPr>
          <w:rFonts w:ascii="Arial" w:hAnsi="Arial" w:cs="Arial"/>
          <w:b/>
        </w:rPr>
        <w:t>et al</w:t>
      </w:r>
      <w:r w:rsidRPr="00B37EF3">
        <w:rPr>
          <w:rFonts w:ascii="Arial" w:hAnsi="Arial" w:cs="Arial"/>
          <w:b/>
        </w:rPr>
        <w:t>. (2012)</w:t>
      </w:r>
      <w:r w:rsidRPr="00B37EF3">
        <w:rPr>
          <w:rFonts w:ascii="Arial" w:hAnsi="Arial" w:cs="Arial"/>
        </w:rPr>
        <w:t>.</w:t>
      </w:r>
      <w:r w:rsidRPr="00B37EF3">
        <w:rPr>
          <w:rFonts w:ascii="Arial" w:hAnsi="Arial" w:cs="Arial"/>
          <w:b/>
          <w:bCs/>
          <w:kern w:val="32"/>
        </w:rPr>
        <w:t xml:space="preserve"> </w:t>
      </w:r>
    </w:p>
    <w:p w:rsidR="00A33606" w:rsidRPr="00B37EF3" w:rsidRDefault="00A33606" w:rsidP="00DB5D5F">
      <w:pPr>
        <w:pStyle w:val="Level4PB2"/>
        <w:rPr>
          <w:rFonts w:ascii="Arial" w:hAnsi="Arial" w:cs="Arial"/>
          <w:lang w:val="en-AU"/>
        </w:rPr>
      </w:pPr>
      <w:r w:rsidRPr="00B37EF3">
        <w:rPr>
          <w:rFonts w:ascii="Arial" w:hAnsi="Arial" w:cs="Arial"/>
          <w:lang w:val="en-AU"/>
        </w:rPr>
        <w:t>NPI</w:t>
      </w:r>
    </w:p>
    <w:p w:rsidR="00596155" w:rsidRPr="00B37EF3" w:rsidRDefault="00596155" w:rsidP="00596155">
      <w:pPr>
        <w:rPr>
          <w:rFonts w:ascii="Arial" w:hAnsi="Arial" w:cs="Arial"/>
        </w:rPr>
      </w:pPr>
      <w:r w:rsidRPr="00B37EF3">
        <w:rPr>
          <w:rFonts w:ascii="Arial" w:hAnsi="Arial" w:cs="Arial"/>
        </w:rPr>
        <w:t>Australia’s National Pollutant Inventory (NPI) is a broad-</w:t>
      </w:r>
      <w:r w:rsidR="004E6B3C" w:rsidRPr="00B37EF3">
        <w:rPr>
          <w:rFonts w:ascii="Arial" w:hAnsi="Arial" w:cs="Arial"/>
        </w:rPr>
        <w:t>based</w:t>
      </w:r>
      <w:r w:rsidRPr="00B37EF3">
        <w:rPr>
          <w:rFonts w:ascii="Arial" w:hAnsi="Arial" w:cs="Arial"/>
        </w:rPr>
        <w:t xml:space="preserve"> mechanism for </w:t>
      </w:r>
      <w:r w:rsidR="004E6B3C" w:rsidRPr="00B37EF3">
        <w:rPr>
          <w:rFonts w:ascii="Arial" w:hAnsi="Arial" w:cs="Arial"/>
        </w:rPr>
        <w:t>collect</w:t>
      </w:r>
      <w:r w:rsidRPr="00B37EF3">
        <w:rPr>
          <w:rFonts w:ascii="Arial" w:hAnsi="Arial" w:cs="Arial"/>
        </w:rPr>
        <w:t>ing</w:t>
      </w:r>
      <w:r w:rsidR="004E6B3C" w:rsidRPr="00B37EF3">
        <w:rPr>
          <w:rFonts w:ascii="Arial" w:hAnsi="Arial" w:cs="Arial"/>
        </w:rPr>
        <w:t xml:space="preserve"> data on pollutant emissions to air, land and water</w:t>
      </w:r>
      <w:r w:rsidRPr="00B37EF3">
        <w:rPr>
          <w:rFonts w:ascii="Arial" w:hAnsi="Arial" w:cs="Arial"/>
        </w:rPr>
        <w:t>. The legislative f</w:t>
      </w:r>
      <w:r w:rsidR="00B410F6" w:rsidRPr="00B37EF3">
        <w:rPr>
          <w:rFonts w:ascii="Arial" w:hAnsi="Arial" w:cs="Arial"/>
        </w:rPr>
        <w:t>ramework underpinning it is the</w:t>
      </w:r>
      <w:r w:rsidRPr="00B37EF3">
        <w:rPr>
          <w:rFonts w:ascii="Arial" w:hAnsi="Arial" w:cs="Arial"/>
        </w:rPr>
        <w:t xml:space="preserve"> </w:t>
      </w:r>
      <w:r w:rsidR="00744747" w:rsidRPr="00B37EF3">
        <w:rPr>
          <w:rFonts w:ascii="Arial" w:hAnsi="Arial" w:cs="Arial"/>
        </w:rPr>
        <w:t xml:space="preserve">National Pollutant Inventory NEPM (NPI </w:t>
      </w:r>
      <w:r w:rsidR="00EF24F8" w:rsidRPr="00B37EF3">
        <w:rPr>
          <w:rFonts w:ascii="Arial" w:hAnsi="Arial" w:cs="Arial"/>
        </w:rPr>
        <w:t>NEPM</w:t>
      </w:r>
      <w:r w:rsidRPr="00B37EF3">
        <w:rPr>
          <w:rFonts w:ascii="Arial" w:hAnsi="Arial" w:cs="Arial"/>
        </w:rPr>
        <w:t>). The main purpose of the NPI is to collect and publish information about emissions of substances on a geographical basis to hel</w:t>
      </w:r>
      <w:r w:rsidR="00B410F6" w:rsidRPr="00B37EF3">
        <w:rPr>
          <w:rFonts w:ascii="Arial" w:hAnsi="Arial" w:cs="Arial"/>
        </w:rPr>
        <w:t>p environmental decision-</w:t>
      </w:r>
      <w:r w:rsidR="00782BA8" w:rsidRPr="00B37EF3">
        <w:rPr>
          <w:rFonts w:ascii="Arial" w:hAnsi="Arial" w:cs="Arial"/>
        </w:rPr>
        <w:t>making and to provide the public with information</w:t>
      </w:r>
      <w:r w:rsidRPr="00B37EF3">
        <w:rPr>
          <w:rFonts w:ascii="Arial" w:hAnsi="Arial" w:cs="Arial"/>
        </w:rPr>
        <w:t>.</w:t>
      </w:r>
    </w:p>
    <w:p w:rsidR="00782BA8" w:rsidRPr="00B37EF3" w:rsidRDefault="00596155" w:rsidP="00142200">
      <w:pPr>
        <w:spacing w:after="360"/>
        <w:rPr>
          <w:rFonts w:ascii="Arial" w:hAnsi="Arial" w:cs="Arial"/>
        </w:rPr>
      </w:pPr>
      <w:r w:rsidRPr="00B37EF3">
        <w:rPr>
          <w:rFonts w:ascii="Arial" w:hAnsi="Arial" w:cs="Arial"/>
        </w:rPr>
        <w:t>Data are</w:t>
      </w:r>
      <w:r w:rsidR="004E6B3C" w:rsidRPr="00B37EF3">
        <w:rPr>
          <w:rFonts w:ascii="Arial" w:hAnsi="Arial" w:cs="Arial"/>
        </w:rPr>
        <w:t xml:space="preserve"> collected and published annually from industrial facilities that trigger certain reporting thresholds (such as fuel used or to</w:t>
      </w:r>
      <w:r w:rsidR="00782BA8" w:rsidRPr="00B37EF3">
        <w:rPr>
          <w:rFonts w:ascii="Arial" w:hAnsi="Arial" w:cs="Arial"/>
        </w:rPr>
        <w:t>tal po</w:t>
      </w:r>
      <w:r w:rsidR="00721151" w:rsidRPr="00B37EF3">
        <w:rPr>
          <w:rFonts w:ascii="Arial" w:hAnsi="Arial" w:cs="Arial"/>
        </w:rPr>
        <w:t>llutant emitted</w:t>
      </w:r>
      <w:r w:rsidR="00782BA8" w:rsidRPr="00B37EF3">
        <w:rPr>
          <w:rFonts w:ascii="Arial" w:hAnsi="Arial" w:cs="Arial"/>
        </w:rPr>
        <w:t>). The number of pollutants reported to the NPI varies depending on the reporting threshold</w:t>
      </w:r>
      <w:r w:rsidR="00744747" w:rsidRPr="00B37EF3">
        <w:rPr>
          <w:rFonts w:ascii="Arial" w:hAnsi="Arial" w:cs="Arial"/>
        </w:rPr>
        <w:t>s that are</w:t>
      </w:r>
      <w:r w:rsidR="00782BA8" w:rsidRPr="00B37EF3">
        <w:rPr>
          <w:rFonts w:ascii="Arial" w:hAnsi="Arial" w:cs="Arial"/>
        </w:rPr>
        <w:t xml:space="preserve"> triggered. </w:t>
      </w:r>
      <w:r w:rsidR="00B410F6" w:rsidRPr="00B37EF3">
        <w:rPr>
          <w:rFonts w:ascii="Arial" w:hAnsi="Arial" w:cs="Arial"/>
        </w:rPr>
        <w:t>Only PM</w:t>
      </w:r>
      <w:r w:rsidR="00B410F6" w:rsidRPr="00B37EF3">
        <w:rPr>
          <w:rFonts w:ascii="Arial" w:hAnsi="Arial" w:cs="Arial"/>
          <w:vertAlign w:val="subscript"/>
        </w:rPr>
        <w:t>2.5</w:t>
      </w:r>
      <w:r w:rsidR="00B410F6" w:rsidRPr="00B37EF3">
        <w:rPr>
          <w:rFonts w:ascii="Arial" w:hAnsi="Arial" w:cs="Arial"/>
        </w:rPr>
        <w:t xml:space="preserve"> </w:t>
      </w:r>
      <w:r w:rsidR="00744747" w:rsidRPr="00B37EF3">
        <w:rPr>
          <w:rFonts w:ascii="Arial" w:hAnsi="Arial" w:cs="Arial"/>
        </w:rPr>
        <w:t xml:space="preserve">emissions </w:t>
      </w:r>
      <w:r w:rsidR="00B410F6" w:rsidRPr="00B37EF3">
        <w:rPr>
          <w:rFonts w:ascii="Arial" w:hAnsi="Arial" w:cs="Arial"/>
        </w:rPr>
        <w:t>from combustion sources are reportable under the NPI.</w:t>
      </w:r>
      <w:r w:rsidR="004B4989" w:rsidRPr="00B37EF3">
        <w:rPr>
          <w:rFonts w:ascii="Arial" w:hAnsi="Arial" w:cs="Arial"/>
        </w:rPr>
        <w:t xml:space="preserve"> </w:t>
      </w:r>
      <w:r w:rsidR="00B410F6" w:rsidRPr="00B37EF3">
        <w:rPr>
          <w:rFonts w:ascii="Arial" w:hAnsi="Arial" w:cs="Arial"/>
        </w:rPr>
        <w:t>PM</w:t>
      </w:r>
      <w:r w:rsidR="00B410F6" w:rsidRPr="00B37EF3">
        <w:rPr>
          <w:rFonts w:ascii="Arial" w:hAnsi="Arial" w:cs="Arial"/>
          <w:vertAlign w:val="subscript"/>
        </w:rPr>
        <w:t>2.5</w:t>
      </w:r>
      <w:r w:rsidR="00B410F6" w:rsidRPr="00B37EF3">
        <w:rPr>
          <w:rFonts w:ascii="Arial" w:hAnsi="Arial" w:cs="Arial"/>
        </w:rPr>
        <w:t xml:space="preserve"> from other industrial sources, such as wind erosion or material handling </w:t>
      </w:r>
      <w:r w:rsidR="00744747" w:rsidRPr="00B37EF3">
        <w:rPr>
          <w:rFonts w:ascii="Arial" w:hAnsi="Arial" w:cs="Arial"/>
        </w:rPr>
        <w:t xml:space="preserve">at coal mines </w:t>
      </w:r>
      <w:r w:rsidR="00B410F6" w:rsidRPr="00B37EF3">
        <w:rPr>
          <w:rFonts w:ascii="Arial" w:hAnsi="Arial" w:cs="Arial"/>
        </w:rPr>
        <w:t>are not reported or covered by the NPI.</w:t>
      </w:r>
      <w:r w:rsidR="00B410F6" w:rsidRPr="00B37EF3">
        <w:rPr>
          <w:rFonts w:ascii="Arial" w:hAnsi="Arial" w:cs="Arial"/>
          <w:color w:val="FF0000"/>
        </w:rPr>
        <w:t xml:space="preserve"> </w:t>
      </w:r>
      <w:r w:rsidR="00782BA8" w:rsidRPr="00B37EF3">
        <w:rPr>
          <w:rFonts w:ascii="Arial" w:hAnsi="Arial" w:cs="Arial"/>
        </w:rPr>
        <w:t>Emissions from d</w:t>
      </w:r>
      <w:r w:rsidR="004E6B3C" w:rsidRPr="00B37EF3">
        <w:rPr>
          <w:rFonts w:ascii="Arial" w:hAnsi="Arial" w:cs="Arial"/>
        </w:rPr>
        <w:t>iffuse sources</w:t>
      </w:r>
      <w:r w:rsidR="00782BA8" w:rsidRPr="00B37EF3">
        <w:rPr>
          <w:rFonts w:ascii="Arial" w:hAnsi="Arial" w:cs="Arial"/>
        </w:rPr>
        <w:t xml:space="preserve"> are</w:t>
      </w:r>
      <w:r w:rsidR="004E6B3C" w:rsidRPr="00B37EF3">
        <w:rPr>
          <w:rFonts w:ascii="Arial" w:hAnsi="Arial" w:cs="Arial"/>
        </w:rPr>
        <w:t xml:space="preserve"> reported by jurisdictions on a peri</w:t>
      </w:r>
      <w:r w:rsidR="00782BA8" w:rsidRPr="00B37EF3">
        <w:rPr>
          <w:rFonts w:ascii="Arial" w:hAnsi="Arial" w:cs="Arial"/>
        </w:rPr>
        <w:t xml:space="preserve">od agreed by each jurisdiction. </w:t>
      </w:r>
      <w:r w:rsidR="004E6B3C" w:rsidRPr="00B37EF3">
        <w:rPr>
          <w:rFonts w:ascii="Arial" w:hAnsi="Arial" w:cs="Arial"/>
        </w:rPr>
        <w:t xml:space="preserve">The NPI reporting facilities, </w:t>
      </w:r>
      <w:proofErr w:type="spellStart"/>
      <w:r w:rsidR="004E6B3C" w:rsidRPr="00B37EF3">
        <w:rPr>
          <w:rFonts w:ascii="Arial" w:hAnsi="Arial" w:cs="Arial"/>
        </w:rPr>
        <w:t>airsheds</w:t>
      </w:r>
      <w:proofErr w:type="spellEnd"/>
      <w:r w:rsidR="004E6B3C" w:rsidRPr="00B37EF3">
        <w:rPr>
          <w:rFonts w:ascii="Arial" w:hAnsi="Arial" w:cs="Arial"/>
        </w:rPr>
        <w:t xml:space="preserve"> and catchments </w:t>
      </w:r>
      <w:r w:rsidR="00B410F6" w:rsidRPr="00B37EF3">
        <w:rPr>
          <w:rFonts w:ascii="Arial" w:hAnsi="Arial" w:cs="Arial"/>
        </w:rPr>
        <w:t>in Australia</w:t>
      </w:r>
      <w:r w:rsidR="004E6B3C" w:rsidRPr="00B37EF3">
        <w:rPr>
          <w:rFonts w:ascii="Arial" w:hAnsi="Arial" w:cs="Arial"/>
        </w:rPr>
        <w:t xml:space="preserve"> are shown in</w:t>
      </w:r>
      <w:r w:rsidRPr="00B37EF3">
        <w:rPr>
          <w:rFonts w:ascii="Arial" w:hAnsi="Arial" w:cs="Arial"/>
        </w:rPr>
        <w:t xml:space="preserve"> </w:t>
      </w:r>
      <w:fldSimple w:instr=" REF _Ref365920330 \h  \* MERGEFORMAT ">
        <w:r w:rsidR="0085182E" w:rsidRPr="0085182E">
          <w:rPr>
            <w:rFonts w:ascii="Arial" w:hAnsi="Arial" w:cs="Arial"/>
            <w:b/>
          </w:rPr>
          <w:t>Figure 5.2</w:t>
        </w:r>
      </w:fldSimple>
      <w:r w:rsidR="004E6B3C" w:rsidRPr="00B37EF3">
        <w:rPr>
          <w:rFonts w:ascii="Arial" w:hAnsi="Arial" w:cs="Arial"/>
        </w:rPr>
        <w:t>.</w:t>
      </w:r>
      <w:r w:rsidR="00782BA8" w:rsidRPr="00B37EF3">
        <w:rPr>
          <w:rFonts w:ascii="Arial" w:hAnsi="Arial" w:cs="Arial"/>
        </w:rPr>
        <w:t xml:space="preserve"> Regions included in the diffuse studies cover more than 75 per cent of Australia’s population </w:t>
      </w:r>
      <w:r w:rsidR="00782BA8" w:rsidRPr="00B37EF3">
        <w:rPr>
          <w:rFonts w:ascii="Arial" w:hAnsi="Arial" w:cs="Arial"/>
          <w:b/>
        </w:rPr>
        <w:t>(DEWHA 2009)</w:t>
      </w:r>
      <w:r w:rsidR="00782BA8" w:rsidRPr="00B37EF3">
        <w:rPr>
          <w:rFonts w:ascii="Arial" w:hAnsi="Arial" w:cs="Arial"/>
        </w:rPr>
        <w:t>.</w:t>
      </w:r>
    </w:p>
    <w:p w:rsidR="00C12A1F" w:rsidRPr="00B37EF3" w:rsidRDefault="006D7F17" w:rsidP="004E6B3C">
      <w:pPr>
        <w:pStyle w:val="Caption"/>
        <w:rPr>
          <w:rFonts w:ascii="Arial" w:hAnsi="Arial" w:cs="Arial"/>
          <w:color w:val="FF0000"/>
        </w:rPr>
      </w:pPr>
      <w:bookmarkStart w:id="77" w:name="_Ref325711146"/>
      <w:bookmarkStart w:id="78" w:name="_Toc342376540"/>
      <w:r w:rsidRPr="00B37EF3">
        <w:rPr>
          <w:rFonts w:ascii="Arial" w:hAnsi="Arial" w:cs="Arial"/>
          <w:noProof/>
          <w:color w:val="FF0000"/>
        </w:rPr>
        <w:drawing>
          <wp:inline distT="0" distB="0" distL="0" distR="0">
            <wp:extent cx="5446395" cy="3594100"/>
            <wp:effectExtent l="0" t="0" r="1905" b="6350"/>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6395" cy="3594100"/>
                    </a:xfrm>
                    <a:prstGeom prst="rect">
                      <a:avLst/>
                    </a:prstGeom>
                    <a:noFill/>
                    <a:ln>
                      <a:noFill/>
                    </a:ln>
                  </pic:spPr>
                </pic:pic>
              </a:graphicData>
            </a:graphic>
          </wp:inline>
        </w:drawing>
      </w:r>
    </w:p>
    <w:p w:rsidR="004E6B3C" w:rsidRPr="00B37EF3" w:rsidRDefault="00596155" w:rsidP="00596155">
      <w:pPr>
        <w:pStyle w:val="Caption"/>
        <w:rPr>
          <w:rFonts w:ascii="Arial" w:hAnsi="Arial" w:cs="Arial"/>
        </w:rPr>
      </w:pPr>
      <w:bookmarkStart w:id="79" w:name="_Ref365920330"/>
      <w:bookmarkEnd w:id="77"/>
      <w:r w:rsidRPr="00B37EF3">
        <w:rPr>
          <w:rFonts w:ascii="Arial" w:hAnsi="Arial" w:cs="Arial"/>
        </w:rPr>
        <w:t xml:space="preserve">Figure </w:t>
      </w:r>
      <w:r w:rsidR="00BF6019" w:rsidRPr="00B37EF3">
        <w:rPr>
          <w:rFonts w:ascii="Arial" w:hAnsi="Arial" w:cs="Arial"/>
        </w:rPr>
        <w:fldChar w:fldCharType="begin"/>
      </w:r>
      <w:r w:rsidRPr="00B37EF3">
        <w:rPr>
          <w:rFonts w:ascii="Arial" w:hAnsi="Arial" w:cs="Arial"/>
        </w:rPr>
        <w:instrText xml:space="preserve"> STYLEREF 1 \s </w:instrText>
      </w:r>
      <w:r w:rsidR="00BF6019" w:rsidRPr="00B37EF3">
        <w:rPr>
          <w:rFonts w:ascii="Arial" w:hAnsi="Arial" w:cs="Arial"/>
        </w:rPr>
        <w:fldChar w:fldCharType="separate"/>
      </w:r>
      <w:r w:rsidR="0085182E">
        <w:rPr>
          <w:rFonts w:ascii="Arial" w:hAnsi="Arial" w:cs="Arial"/>
          <w:noProof/>
        </w:rPr>
        <w:t>5</w:t>
      </w:r>
      <w:r w:rsidR="00BF6019" w:rsidRPr="00B37EF3">
        <w:rPr>
          <w:rFonts w:ascii="Arial" w:hAnsi="Arial" w:cs="Arial"/>
        </w:rPr>
        <w:fldChar w:fldCharType="end"/>
      </w:r>
      <w:r w:rsidRPr="00B37EF3">
        <w:rPr>
          <w:rFonts w:ascii="Arial" w:hAnsi="Arial" w:cs="Arial"/>
        </w:rPr>
        <w:t>.</w:t>
      </w:r>
      <w:r w:rsidR="00BF6019" w:rsidRPr="00B37EF3">
        <w:rPr>
          <w:rFonts w:ascii="Arial" w:hAnsi="Arial" w:cs="Arial"/>
        </w:rPr>
        <w:fldChar w:fldCharType="begin"/>
      </w:r>
      <w:r w:rsidRPr="00B37EF3">
        <w:rPr>
          <w:rFonts w:ascii="Arial" w:hAnsi="Arial" w:cs="Arial"/>
        </w:rPr>
        <w:instrText xml:space="preserve"> SEQ Figure \* ARABIC \s 1 </w:instrText>
      </w:r>
      <w:r w:rsidR="00BF6019" w:rsidRPr="00B37EF3">
        <w:rPr>
          <w:rFonts w:ascii="Arial" w:hAnsi="Arial" w:cs="Arial"/>
        </w:rPr>
        <w:fldChar w:fldCharType="separate"/>
      </w:r>
      <w:r w:rsidR="0085182E">
        <w:rPr>
          <w:rFonts w:ascii="Arial" w:hAnsi="Arial" w:cs="Arial"/>
          <w:noProof/>
        </w:rPr>
        <w:t>2</w:t>
      </w:r>
      <w:r w:rsidR="00BF6019" w:rsidRPr="00B37EF3">
        <w:rPr>
          <w:rFonts w:ascii="Arial" w:hAnsi="Arial" w:cs="Arial"/>
        </w:rPr>
        <w:fldChar w:fldCharType="end"/>
      </w:r>
      <w:bookmarkEnd w:id="79"/>
      <w:r w:rsidRPr="00B37EF3">
        <w:rPr>
          <w:rFonts w:ascii="Arial" w:hAnsi="Arial" w:cs="Arial"/>
        </w:rPr>
        <w:t xml:space="preserve">: </w:t>
      </w:r>
      <w:r w:rsidR="004E6B3C" w:rsidRPr="00B37EF3">
        <w:rPr>
          <w:rFonts w:ascii="Arial" w:hAnsi="Arial" w:cs="Arial"/>
        </w:rPr>
        <w:t xml:space="preserve">NPI reporting facilities, </w:t>
      </w:r>
      <w:proofErr w:type="spellStart"/>
      <w:r w:rsidR="004E6B3C" w:rsidRPr="00B37EF3">
        <w:rPr>
          <w:rFonts w:ascii="Arial" w:hAnsi="Arial" w:cs="Arial"/>
        </w:rPr>
        <w:t>airsheds</w:t>
      </w:r>
      <w:proofErr w:type="spellEnd"/>
      <w:r w:rsidR="004E6B3C" w:rsidRPr="00B37EF3">
        <w:rPr>
          <w:rFonts w:ascii="Arial" w:hAnsi="Arial" w:cs="Arial"/>
        </w:rPr>
        <w:t xml:space="preserve"> and c</w:t>
      </w:r>
      <w:r w:rsidR="004E6B3C" w:rsidRPr="00B37EF3">
        <w:rPr>
          <w:rFonts w:ascii="Arial" w:hAnsi="Arial" w:cs="Arial"/>
          <w:color w:val="0070C0"/>
        </w:rPr>
        <w:t>atchments (DEWHA 2009)</w:t>
      </w:r>
      <w:bookmarkEnd w:id="78"/>
    </w:p>
    <w:p w:rsidR="004E6B3C" w:rsidRPr="00B37EF3" w:rsidRDefault="004E6B3C" w:rsidP="00782BA8">
      <w:pPr>
        <w:spacing w:after="0"/>
        <w:rPr>
          <w:rFonts w:ascii="Arial" w:hAnsi="Arial" w:cs="Arial"/>
        </w:rPr>
      </w:pPr>
    </w:p>
    <w:p w:rsidR="003D74F9" w:rsidRPr="00B37EF3" w:rsidRDefault="003D74F9" w:rsidP="003D74F9">
      <w:pPr>
        <w:rPr>
          <w:rFonts w:ascii="Arial" w:hAnsi="Arial" w:cs="Arial"/>
        </w:rPr>
      </w:pPr>
      <w:r w:rsidRPr="00B37EF3">
        <w:rPr>
          <w:rFonts w:ascii="Arial" w:hAnsi="Arial" w:cs="Arial"/>
        </w:rPr>
        <w:t xml:space="preserve">The NPI emissions data do not, in general, have the temporal and spatial variation that would be required for detailed air quality modelling purposes. There is </w:t>
      </w:r>
      <w:r w:rsidR="00B410F6" w:rsidRPr="00B37EF3">
        <w:rPr>
          <w:rFonts w:ascii="Arial" w:hAnsi="Arial" w:cs="Arial"/>
        </w:rPr>
        <w:t xml:space="preserve">also </w:t>
      </w:r>
      <w:r w:rsidRPr="00B37EF3">
        <w:rPr>
          <w:rFonts w:ascii="Arial" w:hAnsi="Arial" w:cs="Arial"/>
        </w:rPr>
        <w:t xml:space="preserve">no requirement within the NPI for data suppliers to provide the source parameters that are needed for air quality modelling, such as stack height, exit temperature, exit velocity or stack diameter </w:t>
      </w:r>
      <w:r w:rsidRPr="00B37EF3">
        <w:rPr>
          <w:rFonts w:ascii="Arial" w:hAnsi="Arial" w:cs="Arial"/>
          <w:b/>
        </w:rPr>
        <w:t>(</w:t>
      </w:r>
      <w:proofErr w:type="spellStart"/>
      <w:r w:rsidRPr="00B37EF3">
        <w:rPr>
          <w:rFonts w:ascii="Arial" w:hAnsi="Arial" w:cs="Arial"/>
          <w:b/>
        </w:rPr>
        <w:t>Bawden</w:t>
      </w:r>
      <w:proofErr w:type="spellEnd"/>
      <w:r w:rsidRPr="00B37EF3">
        <w:rPr>
          <w:rFonts w:ascii="Arial" w:hAnsi="Arial" w:cs="Arial"/>
          <w:b/>
        </w:rPr>
        <w:t xml:space="preserve"> </w:t>
      </w:r>
      <w:r w:rsidR="009334F4" w:rsidRPr="00B37EF3">
        <w:rPr>
          <w:rFonts w:ascii="Arial" w:hAnsi="Arial" w:cs="Arial"/>
          <w:b/>
        </w:rPr>
        <w:t>et al</w:t>
      </w:r>
      <w:r w:rsidRPr="00B37EF3">
        <w:rPr>
          <w:rFonts w:ascii="Arial" w:hAnsi="Arial" w:cs="Arial"/>
          <w:b/>
        </w:rPr>
        <w:t>. 2012)</w:t>
      </w:r>
      <w:r w:rsidRPr="00B37EF3">
        <w:rPr>
          <w:rFonts w:ascii="Arial" w:hAnsi="Arial" w:cs="Arial"/>
        </w:rPr>
        <w:t>.</w:t>
      </w:r>
    </w:p>
    <w:p w:rsidR="00A33606" w:rsidRPr="00B37EF3" w:rsidRDefault="00A33606" w:rsidP="00DB5D5F">
      <w:pPr>
        <w:pStyle w:val="Level4PB2"/>
        <w:rPr>
          <w:rFonts w:ascii="Arial" w:hAnsi="Arial" w:cs="Arial"/>
          <w:lang w:val="en-AU"/>
        </w:rPr>
      </w:pPr>
      <w:r w:rsidRPr="00B37EF3">
        <w:rPr>
          <w:rFonts w:ascii="Arial" w:hAnsi="Arial" w:cs="Arial"/>
          <w:lang w:val="en-AU"/>
        </w:rPr>
        <w:lastRenderedPageBreak/>
        <w:t>Regional inventories</w:t>
      </w:r>
    </w:p>
    <w:p w:rsidR="00A33606" w:rsidRPr="00B37EF3" w:rsidRDefault="00A33606" w:rsidP="00A33606">
      <w:pPr>
        <w:rPr>
          <w:rFonts w:ascii="Arial" w:hAnsi="Arial" w:cs="Arial"/>
        </w:rPr>
      </w:pPr>
      <w:r w:rsidRPr="00B37EF3">
        <w:rPr>
          <w:rFonts w:ascii="Arial" w:hAnsi="Arial" w:cs="Arial"/>
        </w:rPr>
        <w:t xml:space="preserve">Regional air </w:t>
      </w:r>
      <w:r w:rsidR="00B44448" w:rsidRPr="00B37EF3">
        <w:rPr>
          <w:rFonts w:ascii="Arial" w:hAnsi="Arial" w:cs="Arial"/>
        </w:rPr>
        <w:t xml:space="preserve">emissions </w:t>
      </w:r>
      <w:r w:rsidRPr="00B37EF3">
        <w:rPr>
          <w:rFonts w:ascii="Arial" w:hAnsi="Arial" w:cs="Arial"/>
        </w:rPr>
        <w:t>inventories are maintained by some jurisdictions to inform air quality management decisions and policy analysis</w:t>
      </w:r>
      <w:r w:rsidR="003D74F9" w:rsidRPr="00B37EF3">
        <w:rPr>
          <w:rFonts w:ascii="Arial" w:hAnsi="Arial" w:cs="Arial"/>
        </w:rPr>
        <w:t xml:space="preserve">, to determine the effectiveness of regulation, and to facilitate air pollution modelling. </w:t>
      </w:r>
      <w:r w:rsidRPr="00B37EF3">
        <w:rPr>
          <w:rFonts w:ascii="Arial" w:hAnsi="Arial" w:cs="Arial"/>
        </w:rPr>
        <w:t>Five juri</w:t>
      </w:r>
      <w:r w:rsidR="00744747" w:rsidRPr="00B37EF3">
        <w:rPr>
          <w:rFonts w:ascii="Arial" w:hAnsi="Arial" w:cs="Arial"/>
        </w:rPr>
        <w:t>sdictions in Australia – includ</w:t>
      </w:r>
      <w:r w:rsidRPr="00B37EF3">
        <w:rPr>
          <w:rFonts w:ascii="Arial" w:hAnsi="Arial" w:cs="Arial"/>
        </w:rPr>
        <w:t>ing the major urban centres (i.e. Sydney, Melbourne, Brisbane, Perth an</w:t>
      </w:r>
      <w:r w:rsidR="00744747" w:rsidRPr="00B37EF3">
        <w:rPr>
          <w:rFonts w:ascii="Arial" w:hAnsi="Arial" w:cs="Arial"/>
        </w:rPr>
        <w:t xml:space="preserve">d Adelaide) </w:t>
      </w:r>
      <w:r w:rsidR="00D61F44" w:rsidRPr="00B37EF3">
        <w:rPr>
          <w:rFonts w:ascii="Arial" w:hAnsi="Arial" w:cs="Arial"/>
        </w:rPr>
        <w:t>–</w:t>
      </w:r>
      <w:r w:rsidR="00744747" w:rsidRPr="00B37EF3">
        <w:rPr>
          <w:rFonts w:ascii="Arial" w:hAnsi="Arial" w:cs="Arial"/>
        </w:rPr>
        <w:t xml:space="preserve"> currently use </w:t>
      </w:r>
      <w:r w:rsidR="00B44448" w:rsidRPr="00B37EF3">
        <w:rPr>
          <w:rFonts w:ascii="Arial" w:hAnsi="Arial" w:cs="Arial"/>
        </w:rPr>
        <w:t xml:space="preserve">emissions </w:t>
      </w:r>
      <w:r w:rsidRPr="00B37EF3">
        <w:rPr>
          <w:rFonts w:ascii="Arial" w:hAnsi="Arial" w:cs="Arial"/>
        </w:rPr>
        <w:t xml:space="preserve">inventories to manage air quality in some way. </w:t>
      </w:r>
    </w:p>
    <w:p w:rsidR="00E031A0" w:rsidRPr="00B37EF3" w:rsidRDefault="00A33606" w:rsidP="00F40168">
      <w:pPr>
        <w:spacing w:after="360"/>
        <w:rPr>
          <w:rFonts w:ascii="Arial" w:hAnsi="Arial" w:cs="Arial"/>
        </w:rPr>
      </w:pPr>
      <w:r w:rsidRPr="00B37EF3">
        <w:rPr>
          <w:rFonts w:ascii="Arial" w:hAnsi="Arial" w:cs="Arial"/>
        </w:rPr>
        <w:t xml:space="preserve">A summary of the current status of each regional inventory is provided in </w:t>
      </w:r>
      <w:fldSimple w:instr=" REF _Ref341693511 \h  \* MERGEFORMAT ">
        <w:r w:rsidR="0085182E" w:rsidRPr="0085182E">
          <w:rPr>
            <w:rFonts w:ascii="Arial" w:hAnsi="Arial" w:cs="Arial"/>
            <w:b/>
          </w:rPr>
          <w:t>Table 5.1</w:t>
        </w:r>
      </w:fldSimple>
      <w:r w:rsidRPr="00B37EF3">
        <w:rPr>
          <w:rFonts w:ascii="Arial" w:hAnsi="Arial" w:cs="Arial"/>
        </w:rPr>
        <w:t xml:space="preserve">. The remaining jurisdictions (Tasmania, Northern Territory and ACT) have developed inventories in the past, but these have been less detailed and are not being updated. </w:t>
      </w:r>
    </w:p>
    <w:p w:rsidR="00A33606" w:rsidRPr="00B37EF3" w:rsidRDefault="00A33606" w:rsidP="00782BA8">
      <w:pPr>
        <w:pStyle w:val="Caption"/>
        <w:ind w:left="567" w:right="804" w:hanging="283"/>
        <w:rPr>
          <w:rFonts w:ascii="Arial" w:hAnsi="Arial" w:cs="Arial"/>
        </w:rPr>
      </w:pPr>
      <w:bookmarkStart w:id="80" w:name="_Ref341693511"/>
      <w:bookmarkStart w:id="81" w:name="_Toc340042005"/>
      <w:r w:rsidRPr="00B37EF3">
        <w:rPr>
          <w:rFonts w:ascii="Arial" w:hAnsi="Arial" w:cs="Arial"/>
        </w:rPr>
        <w:t xml:space="preserve">Table </w:t>
      </w:r>
      <w:r w:rsidR="00BF6019" w:rsidRPr="00B37EF3">
        <w:rPr>
          <w:rFonts w:ascii="Arial" w:hAnsi="Arial" w:cs="Arial"/>
        </w:rPr>
        <w:fldChar w:fldCharType="begin"/>
      </w:r>
      <w:r w:rsidRPr="00B37EF3">
        <w:rPr>
          <w:rFonts w:ascii="Arial" w:hAnsi="Arial" w:cs="Arial"/>
        </w:rPr>
        <w:instrText xml:space="preserve"> STYLEREF 1 \s </w:instrText>
      </w:r>
      <w:r w:rsidR="00BF6019" w:rsidRPr="00B37EF3">
        <w:rPr>
          <w:rFonts w:ascii="Arial" w:hAnsi="Arial" w:cs="Arial"/>
        </w:rPr>
        <w:fldChar w:fldCharType="separate"/>
      </w:r>
      <w:r w:rsidR="0085182E">
        <w:rPr>
          <w:rFonts w:ascii="Arial" w:hAnsi="Arial" w:cs="Arial"/>
          <w:noProof/>
        </w:rPr>
        <w:t>5</w:t>
      </w:r>
      <w:r w:rsidR="00BF6019" w:rsidRPr="00B37EF3">
        <w:rPr>
          <w:rFonts w:ascii="Arial" w:hAnsi="Arial" w:cs="Arial"/>
        </w:rPr>
        <w:fldChar w:fldCharType="end"/>
      </w:r>
      <w:r w:rsidRPr="00B37EF3">
        <w:rPr>
          <w:rFonts w:ascii="Arial" w:hAnsi="Arial" w:cs="Arial"/>
        </w:rPr>
        <w:t>.</w:t>
      </w:r>
      <w:r w:rsidR="00BF6019" w:rsidRPr="00B37EF3">
        <w:rPr>
          <w:rFonts w:ascii="Arial" w:hAnsi="Arial" w:cs="Arial"/>
        </w:rPr>
        <w:fldChar w:fldCharType="begin"/>
      </w:r>
      <w:r w:rsidRPr="00B37EF3">
        <w:rPr>
          <w:rFonts w:ascii="Arial" w:hAnsi="Arial" w:cs="Arial"/>
        </w:rPr>
        <w:instrText xml:space="preserve"> SEQ Table \* ARABIC \s 1 </w:instrText>
      </w:r>
      <w:r w:rsidR="00BF6019" w:rsidRPr="00B37EF3">
        <w:rPr>
          <w:rFonts w:ascii="Arial" w:hAnsi="Arial" w:cs="Arial"/>
        </w:rPr>
        <w:fldChar w:fldCharType="separate"/>
      </w:r>
      <w:r w:rsidR="0085182E">
        <w:rPr>
          <w:rFonts w:ascii="Arial" w:hAnsi="Arial" w:cs="Arial"/>
          <w:noProof/>
        </w:rPr>
        <w:t>1</w:t>
      </w:r>
      <w:r w:rsidR="00BF6019" w:rsidRPr="00B37EF3">
        <w:rPr>
          <w:rFonts w:ascii="Arial" w:hAnsi="Arial" w:cs="Arial"/>
        </w:rPr>
        <w:fldChar w:fldCharType="end"/>
      </w:r>
      <w:bookmarkEnd w:id="80"/>
      <w:r w:rsidRPr="00B37EF3">
        <w:rPr>
          <w:rFonts w:ascii="Arial" w:hAnsi="Arial" w:cs="Arial"/>
        </w:rPr>
        <w:t xml:space="preserve">: Summary of current status of </w:t>
      </w:r>
      <w:r w:rsidR="00B44448" w:rsidRPr="00B37EF3">
        <w:rPr>
          <w:rFonts w:ascii="Arial" w:hAnsi="Arial" w:cs="Arial"/>
        </w:rPr>
        <w:t xml:space="preserve">emissions </w:t>
      </w:r>
      <w:r w:rsidRPr="00B37EF3">
        <w:rPr>
          <w:rFonts w:ascii="Arial" w:hAnsi="Arial" w:cs="Arial"/>
        </w:rPr>
        <w:t xml:space="preserve">inventories for major Australian urban centres </w:t>
      </w:r>
      <w:r w:rsidRPr="00B37EF3">
        <w:rPr>
          <w:rFonts w:ascii="Arial" w:hAnsi="Arial" w:cs="Arial"/>
          <w:color w:val="0070C0"/>
        </w:rPr>
        <w:t>(</w:t>
      </w:r>
      <w:bookmarkEnd w:id="81"/>
      <w:proofErr w:type="spellStart"/>
      <w:r w:rsidRPr="00B37EF3">
        <w:rPr>
          <w:rFonts w:ascii="Arial" w:hAnsi="Arial" w:cs="Arial"/>
          <w:color w:val="0070C0"/>
        </w:rPr>
        <w:t>Bawden</w:t>
      </w:r>
      <w:proofErr w:type="spellEnd"/>
      <w:r w:rsidRPr="00B37EF3">
        <w:rPr>
          <w:rFonts w:ascii="Arial" w:hAnsi="Arial" w:cs="Arial"/>
          <w:color w:val="0070C0"/>
        </w:rPr>
        <w:t xml:space="preserve"> </w:t>
      </w:r>
      <w:r w:rsidR="009334F4" w:rsidRPr="00B37EF3">
        <w:rPr>
          <w:rFonts w:ascii="Arial" w:hAnsi="Arial" w:cs="Arial"/>
          <w:color w:val="0070C0"/>
        </w:rPr>
        <w:t>et al</w:t>
      </w:r>
      <w:r w:rsidRPr="00B37EF3">
        <w:rPr>
          <w:rFonts w:ascii="Arial" w:hAnsi="Arial" w:cs="Arial"/>
          <w:color w:val="0070C0"/>
        </w:rPr>
        <w:t>. 2012)</w:t>
      </w:r>
    </w:p>
    <w:tbl>
      <w:tblPr>
        <w:tblW w:w="8800" w:type="dxa"/>
        <w:jc w:val="center"/>
        <w:tblBorders>
          <w:top w:val="single" w:sz="4" w:space="0" w:color="0076C0"/>
          <w:left w:val="single" w:sz="4" w:space="0" w:color="0076C0"/>
          <w:bottom w:val="single" w:sz="4" w:space="0" w:color="0076C0"/>
          <w:right w:val="single" w:sz="4" w:space="0" w:color="0076C0"/>
          <w:insideH w:val="single" w:sz="4" w:space="0" w:color="0076C0"/>
          <w:insideV w:val="single" w:sz="4" w:space="0" w:color="0076C0"/>
        </w:tblBorders>
        <w:tblLayout w:type="fixed"/>
        <w:tblLook w:val="04A0"/>
      </w:tblPr>
      <w:tblGrid>
        <w:gridCol w:w="1746"/>
        <w:gridCol w:w="1499"/>
        <w:gridCol w:w="1761"/>
        <w:gridCol w:w="1783"/>
        <w:gridCol w:w="2011"/>
      </w:tblGrid>
      <w:tr w:rsidR="00A33606" w:rsidRPr="00B37EF3" w:rsidTr="00CE16F4">
        <w:trPr>
          <w:trHeight w:hRule="exact" w:val="340"/>
          <w:tblHeader/>
          <w:jc w:val="center"/>
        </w:trPr>
        <w:tc>
          <w:tcPr>
            <w:tcW w:w="1746" w:type="dxa"/>
            <w:shd w:val="clear" w:color="auto" w:fill="0076C0"/>
            <w:vAlign w:val="center"/>
          </w:tcPr>
          <w:p w:rsidR="00A33606" w:rsidRPr="00B37EF3" w:rsidRDefault="00A33606" w:rsidP="00CE16F4">
            <w:pPr>
              <w:spacing w:after="0" w:line="240" w:lineRule="auto"/>
              <w:jc w:val="center"/>
              <w:rPr>
                <w:rFonts w:ascii="Arial" w:hAnsi="Arial" w:cs="Arial"/>
                <w:b/>
                <w:color w:val="FFFFFF"/>
                <w:sz w:val="14"/>
                <w:szCs w:val="14"/>
                <w:vertAlign w:val="superscript"/>
              </w:rPr>
            </w:pPr>
            <w:r w:rsidRPr="00B37EF3">
              <w:rPr>
                <w:rFonts w:ascii="Arial" w:hAnsi="Arial" w:cs="Arial"/>
                <w:b/>
                <w:color w:val="FFFFFF"/>
                <w:sz w:val="14"/>
                <w:szCs w:val="14"/>
              </w:rPr>
              <w:t xml:space="preserve">NSW GMR </w:t>
            </w:r>
            <w:r w:rsidRPr="00B37EF3">
              <w:rPr>
                <w:rFonts w:ascii="Arial" w:hAnsi="Arial" w:cs="Arial"/>
                <w:b/>
                <w:color w:val="FFFFFF"/>
                <w:sz w:val="14"/>
                <w:szCs w:val="14"/>
                <w:vertAlign w:val="superscript"/>
              </w:rPr>
              <w:t>(a)</w:t>
            </w:r>
          </w:p>
        </w:tc>
        <w:tc>
          <w:tcPr>
            <w:tcW w:w="1499" w:type="dxa"/>
            <w:shd w:val="clear" w:color="auto" w:fill="0076C0"/>
            <w:vAlign w:val="center"/>
          </w:tcPr>
          <w:p w:rsidR="00A33606" w:rsidRPr="00B37EF3" w:rsidRDefault="00A33606" w:rsidP="00CE16F4">
            <w:pPr>
              <w:spacing w:after="0" w:line="240" w:lineRule="auto"/>
              <w:jc w:val="center"/>
              <w:rPr>
                <w:rFonts w:ascii="Arial" w:hAnsi="Arial" w:cs="Arial"/>
                <w:b/>
                <w:color w:val="FFFFFF"/>
                <w:sz w:val="14"/>
                <w:szCs w:val="14"/>
              </w:rPr>
            </w:pPr>
            <w:r w:rsidRPr="00B37EF3">
              <w:rPr>
                <w:rFonts w:ascii="Arial" w:hAnsi="Arial" w:cs="Arial"/>
                <w:b/>
                <w:color w:val="FFFFFF"/>
                <w:sz w:val="14"/>
                <w:szCs w:val="14"/>
              </w:rPr>
              <w:t>Victoria</w:t>
            </w:r>
          </w:p>
        </w:tc>
        <w:tc>
          <w:tcPr>
            <w:tcW w:w="1761" w:type="dxa"/>
            <w:shd w:val="clear" w:color="auto" w:fill="0076C0"/>
            <w:vAlign w:val="center"/>
          </w:tcPr>
          <w:p w:rsidR="00A33606" w:rsidRPr="00B37EF3" w:rsidRDefault="00A33606" w:rsidP="00CE16F4">
            <w:pPr>
              <w:spacing w:after="0" w:line="240" w:lineRule="auto"/>
              <w:jc w:val="center"/>
              <w:rPr>
                <w:rFonts w:ascii="Arial" w:hAnsi="Arial" w:cs="Arial"/>
                <w:b/>
                <w:color w:val="FFFFFF"/>
                <w:sz w:val="14"/>
                <w:szCs w:val="14"/>
                <w:vertAlign w:val="superscript"/>
              </w:rPr>
            </w:pPr>
            <w:r w:rsidRPr="00B37EF3">
              <w:rPr>
                <w:rFonts w:ascii="Arial" w:hAnsi="Arial" w:cs="Arial"/>
                <w:b/>
                <w:color w:val="FFFFFF"/>
                <w:sz w:val="14"/>
                <w:szCs w:val="14"/>
              </w:rPr>
              <w:t xml:space="preserve">SEQ </w:t>
            </w:r>
            <w:r w:rsidRPr="00B37EF3">
              <w:rPr>
                <w:rFonts w:ascii="Arial" w:hAnsi="Arial" w:cs="Arial"/>
                <w:b/>
                <w:color w:val="FFFFFF"/>
                <w:sz w:val="14"/>
                <w:szCs w:val="14"/>
                <w:vertAlign w:val="superscript"/>
              </w:rPr>
              <w:t>(b)</w:t>
            </w:r>
          </w:p>
        </w:tc>
        <w:tc>
          <w:tcPr>
            <w:tcW w:w="1783" w:type="dxa"/>
            <w:shd w:val="clear" w:color="auto" w:fill="0076C0"/>
            <w:vAlign w:val="center"/>
          </w:tcPr>
          <w:p w:rsidR="00A33606" w:rsidRPr="00B37EF3" w:rsidRDefault="00A33606" w:rsidP="00CE16F4">
            <w:pPr>
              <w:spacing w:after="0" w:line="240" w:lineRule="auto"/>
              <w:jc w:val="center"/>
              <w:rPr>
                <w:rFonts w:ascii="Arial" w:hAnsi="Arial" w:cs="Arial"/>
                <w:b/>
                <w:color w:val="FFFFFF"/>
                <w:sz w:val="14"/>
                <w:szCs w:val="14"/>
              </w:rPr>
            </w:pPr>
            <w:r w:rsidRPr="00B37EF3">
              <w:rPr>
                <w:rFonts w:ascii="Arial" w:hAnsi="Arial" w:cs="Arial"/>
                <w:b/>
                <w:color w:val="FFFFFF"/>
                <w:sz w:val="14"/>
                <w:szCs w:val="14"/>
              </w:rPr>
              <w:t>Perth</w:t>
            </w:r>
          </w:p>
        </w:tc>
        <w:tc>
          <w:tcPr>
            <w:tcW w:w="2011" w:type="dxa"/>
            <w:shd w:val="clear" w:color="auto" w:fill="0076C0"/>
            <w:vAlign w:val="center"/>
          </w:tcPr>
          <w:p w:rsidR="00A33606" w:rsidRPr="00B37EF3" w:rsidRDefault="00A33606" w:rsidP="00CE16F4">
            <w:pPr>
              <w:spacing w:after="0" w:line="240" w:lineRule="auto"/>
              <w:jc w:val="center"/>
              <w:rPr>
                <w:rFonts w:ascii="Arial" w:hAnsi="Arial" w:cs="Arial"/>
                <w:b/>
                <w:color w:val="FFFFFF"/>
                <w:sz w:val="14"/>
                <w:szCs w:val="14"/>
              </w:rPr>
            </w:pPr>
            <w:r w:rsidRPr="00B37EF3">
              <w:rPr>
                <w:rFonts w:ascii="Arial" w:hAnsi="Arial" w:cs="Arial"/>
                <w:b/>
                <w:color w:val="FFFFFF"/>
                <w:sz w:val="14"/>
                <w:szCs w:val="14"/>
              </w:rPr>
              <w:t>Adelaide</w:t>
            </w:r>
          </w:p>
        </w:tc>
      </w:tr>
      <w:tr w:rsidR="00A33606" w:rsidRPr="00B37EF3" w:rsidTr="00CE16F4">
        <w:trPr>
          <w:trHeight w:hRule="exact" w:val="284"/>
          <w:jc w:val="center"/>
        </w:trPr>
        <w:tc>
          <w:tcPr>
            <w:tcW w:w="8800" w:type="dxa"/>
            <w:gridSpan w:val="5"/>
            <w:tcBorders>
              <w:bottom w:val="single" w:sz="4" w:space="0" w:color="0076C0"/>
            </w:tcBorders>
            <w:shd w:val="clear" w:color="auto" w:fill="D9F1FF"/>
          </w:tcPr>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Base year</w:t>
            </w:r>
          </w:p>
        </w:tc>
      </w:tr>
      <w:tr w:rsidR="00A33606" w:rsidRPr="00B37EF3" w:rsidTr="00CE16F4">
        <w:trPr>
          <w:jc w:val="center"/>
        </w:trPr>
        <w:tc>
          <w:tcPr>
            <w:tcW w:w="1746" w:type="dxa"/>
            <w:shd w:val="clear" w:color="auto" w:fill="auto"/>
          </w:tcPr>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2008</w:t>
            </w:r>
          </w:p>
        </w:tc>
        <w:tc>
          <w:tcPr>
            <w:tcW w:w="1499" w:type="dxa"/>
            <w:shd w:val="clear" w:color="auto" w:fill="auto"/>
          </w:tcPr>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2006</w:t>
            </w:r>
          </w:p>
        </w:tc>
        <w:tc>
          <w:tcPr>
            <w:tcW w:w="1761" w:type="dxa"/>
            <w:shd w:val="clear" w:color="auto" w:fill="auto"/>
          </w:tcPr>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2000</w:t>
            </w:r>
          </w:p>
        </w:tc>
        <w:tc>
          <w:tcPr>
            <w:tcW w:w="1783" w:type="dxa"/>
            <w:shd w:val="clear" w:color="auto" w:fill="auto"/>
          </w:tcPr>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 xml:space="preserve">Motor vehicles: </w:t>
            </w:r>
            <w:r w:rsidR="00B44448" w:rsidRPr="00B37EF3">
              <w:rPr>
                <w:rFonts w:ascii="Arial" w:hAnsi="Arial" w:cs="Arial"/>
                <w:color w:val="auto"/>
                <w:sz w:val="14"/>
                <w:szCs w:val="14"/>
                <w:lang w:eastAsia="en-AU"/>
              </w:rPr>
              <w:br/>
            </w:r>
            <w:r w:rsidRPr="00B37EF3">
              <w:rPr>
                <w:rFonts w:ascii="Arial" w:hAnsi="Arial" w:cs="Arial"/>
                <w:color w:val="auto"/>
                <w:sz w:val="14"/>
                <w:szCs w:val="14"/>
                <w:lang w:eastAsia="en-AU"/>
              </w:rPr>
              <w:t>2006</w:t>
            </w:r>
            <w:r w:rsidR="00B44448" w:rsidRPr="00B37EF3">
              <w:rPr>
                <w:rFonts w:ascii="Arial" w:hAnsi="Arial" w:cs="Arial"/>
                <w:color w:val="auto"/>
                <w:sz w:val="14"/>
                <w:szCs w:val="14"/>
                <w:lang w:eastAsia="en-AU"/>
              </w:rPr>
              <w:t>–</w:t>
            </w:r>
            <w:r w:rsidRPr="00B37EF3">
              <w:rPr>
                <w:rFonts w:ascii="Arial" w:hAnsi="Arial" w:cs="Arial"/>
                <w:color w:val="auto"/>
                <w:sz w:val="14"/>
                <w:szCs w:val="14"/>
                <w:lang w:eastAsia="en-AU"/>
              </w:rPr>
              <w:t>07; Other sources: 1998</w:t>
            </w:r>
            <w:r w:rsidR="00B44448" w:rsidRPr="00B37EF3">
              <w:rPr>
                <w:rFonts w:ascii="Arial" w:hAnsi="Arial" w:cs="Arial"/>
                <w:color w:val="auto"/>
                <w:sz w:val="14"/>
                <w:szCs w:val="14"/>
                <w:lang w:eastAsia="en-AU"/>
              </w:rPr>
              <w:t>–</w:t>
            </w:r>
            <w:r w:rsidRPr="00B37EF3">
              <w:rPr>
                <w:rFonts w:ascii="Arial" w:hAnsi="Arial" w:cs="Arial"/>
                <w:color w:val="auto"/>
                <w:sz w:val="14"/>
                <w:szCs w:val="14"/>
                <w:lang w:eastAsia="en-AU"/>
              </w:rPr>
              <w:t>99</w:t>
            </w:r>
          </w:p>
        </w:tc>
        <w:tc>
          <w:tcPr>
            <w:tcW w:w="2011" w:type="dxa"/>
            <w:shd w:val="clear" w:color="auto" w:fill="auto"/>
          </w:tcPr>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Motor vehicles: 2006; Other sources: 1998</w:t>
            </w:r>
            <w:r w:rsidR="00B44448" w:rsidRPr="00B37EF3">
              <w:rPr>
                <w:rFonts w:ascii="Arial" w:hAnsi="Arial" w:cs="Arial"/>
                <w:color w:val="auto"/>
                <w:sz w:val="14"/>
                <w:szCs w:val="14"/>
                <w:lang w:eastAsia="en-AU"/>
              </w:rPr>
              <w:t>–</w:t>
            </w:r>
            <w:r w:rsidRPr="00B37EF3">
              <w:rPr>
                <w:rFonts w:ascii="Arial" w:hAnsi="Arial" w:cs="Arial"/>
                <w:color w:val="auto"/>
                <w:sz w:val="14"/>
                <w:szCs w:val="14"/>
                <w:lang w:eastAsia="en-AU"/>
              </w:rPr>
              <w:t>99</w:t>
            </w:r>
          </w:p>
        </w:tc>
      </w:tr>
      <w:tr w:rsidR="00A33606" w:rsidRPr="00B37EF3" w:rsidTr="00CE16F4">
        <w:trPr>
          <w:trHeight w:hRule="exact" w:val="284"/>
          <w:jc w:val="center"/>
        </w:trPr>
        <w:tc>
          <w:tcPr>
            <w:tcW w:w="8800" w:type="dxa"/>
            <w:gridSpan w:val="5"/>
            <w:tcBorders>
              <w:bottom w:val="single" w:sz="4" w:space="0" w:color="0076C0"/>
            </w:tcBorders>
            <w:shd w:val="clear" w:color="auto" w:fill="D9F1FF"/>
          </w:tcPr>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Projection years</w:t>
            </w:r>
          </w:p>
        </w:tc>
      </w:tr>
      <w:tr w:rsidR="00A33606" w:rsidRPr="00B37EF3" w:rsidTr="00CE16F4">
        <w:trPr>
          <w:jc w:val="center"/>
        </w:trPr>
        <w:tc>
          <w:tcPr>
            <w:tcW w:w="1746" w:type="dxa"/>
            <w:shd w:val="clear" w:color="auto" w:fill="auto"/>
          </w:tcPr>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2011, 2016, 2021, 2026, 2031, 2036</w:t>
            </w:r>
          </w:p>
        </w:tc>
        <w:tc>
          <w:tcPr>
            <w:tcW w:w="1499" w:type="dxa"/>
            <w:shd w:val="clear" w:color="auto" w:fill="auto"/>
          </w:tcPr>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2030</w:t>
            </w:r>
          </w:p>
        </w:tc>
        <w:tc>
          <w:tcPr>
            <w:tcW w:w="1761" w:type="dxa"/>
            <w:shd w:val="clear" w:color="auto" w:fill="auto"/>
          </w:tcPr>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2005 and 2011 for some source groups</w:t>
            </w:r>
          </w:p>
        </w:tc>
        <w:tc>
          <w:tcPr>
            <w:tcW w:w="1783" w:type="dxa"/>
            <w:shd w:val="clear" w:color="auto" w:fill="auto"/>
          </w:tcPr>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None</w:t>
            </w:r>
          </w:p>
        </w:tc>
        <w:tc>
          <w:tcPr>
            <w:tcW w:w="2011" w:type="dxa"/>
            <w:shd w:val="clear" w:color="auto" w:fill="auto"/>
          </w:tcPr>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None</w:t>
            </w:r>
          </w:p>
        </w:tc>
      </w:tr>
      <w:tr w:rsidR="00A33606" w:rsidRPr="00B37EF3" w:rsidTr="00CE16F4">
        <w:trPr>
          <w:trHeight w:hRule="exact" w:val="284"/>
          <w:jc w:val="center"/>
        </w:trPr>
        <w:tc>
          <w:tcPr>
            <w:tcW w:w="8800" w:type="dxa"/>
            <w:gridSpan w:val="5"/>
            <w:shd w:val="clear" w:color="auto" w:fill="D9F1FF"/>
          </w:tcPr>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All major sources included</w:t>
            </w:r>
          </w:p>
        </w:tc>
      </w:tr>
      <w:tr w:rsidR="00A33606" w:rsidRPr="00B37EF3" w:rsidTr="00CE16F4">
        <w:trPr>
          <w:jc w:val="center"/>
        </w:trPr>
        <w:tc>
          <w:tcPr>
            <w:tcW w:w="1746" w:type="dxa"/>
          </w:tcPr>
          <w:p w:rsidR="00A33606" w:rsidRPr="00B37EF3" w:rsidRDefault="00A33606" w:rsidP="00CE16F4">
            <w:pPr>
              <w:pStyle w:val="TableContentText"/>
              <w:spacing w:before="60" w:after="60"/>
              <w:rPr>
                <w:rFonts w:ascii="Arial" w:hAnsi="Arial" w:cs="Arial"/>
                <w:b/>
                <w:color w:val="00B050"/>
                <w:sz w:val="14"/>
                <w:szCs w:val="14"/>
                <w:lang w:eastAsia="en-AU"/>
              </w:rPr>
            </w:pPr>
            <w:r w:rsidRPr="00B37EF3">
              <w:rPr>
                <w:rFonts w:ascii="Arial" w:hAnsi="Arial" w:cs="Arial"/>
                <w:b/>
                <w:color w:val="00B050"/>
                <w:sz w:val="14"/>
                <w:szCs w:val="14"/>
                <w:lang w:eastAsia="en-AU"/>
              </w:rPr>
              <w:t>Yes</w:t>
            </w:r>
          </w:p>
        </w:tc>
        <w:tc>
          <w:tcPr>
            <w:tcW w:w="1499" w:type="dxa"/>
          </w:tcPr>
          <w:p w:rsidR="00A33606" w:rsidRPr="00B37EF3" w:rsidRDefault="00A33606" w:rsidP="00CE16F4">
            <w:pPr>
              <w:pStyle w:val="TableContentText"/>
              <w:spacing w:before="60" w:after="60"/>
              <w:rPr>
                <w:rFonts w:ascii="Arial" w:hAnsi="Arial" w:cs="Arial"/>
                <w:b/>
                <w:color w:val="FF0000"/>
                <w:sz w:val="14"/>
                <w:szCs w:val="14"/>
                <w:lang w:eastAsia="en-AU"/>
              </w:rPr>
            </w:pPr>
            <w:r w:rsidRPr="00B37EF3">
              <w:rPr>
                <w:rFonts w:ascii="Arial" w:hAnsi="Arial" w:cs="Arial"/>
                <w:b/>
                <w:color w:val="FF0000"/>
                <w:sz w:val="14"/>
                <w:szCs w:val="14"/>
                <w:lang w:eastAsia="en-AU"/>
              </w:rPr>
              <w:t>No</w:t>
            </w:r>
          </w:p>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 xml:space="preserve">The most significant source not included is marine aerosol. </w:t>
            </w:r>
          </w:p>
        </w:tc>
        <w:tc>
          <w:tcPr>
            <w:tcW w:w="1761" w:type="dxa"/>
          </w:tcPr>
          <w:p w:rsidR="00A33606" w:rsidRPr="00B37EF3" w:rsidRDefault="00A33606" w:rsidP="00CE16F4">
            <w:pPr>
              <w:pStyle w:val="TableContentText"/>
              <w:spacing w:before="60" w:after="60"/>
              <w:rPr>
                <w:rFonts w:ascii="Arial" w:hAnsi="Arial" w:cs="Arial"/>
                <w:b/>
                <w:color w:val="FF0000"/>
                <w:sz w:val="14"/>
                <w:szCs w:val="14"/>
                <w:lang w:eastAsia="en-AU"/>
              </w:rPr>
            </w:pPr>
            <w:r w:rsidRPr="00B37EF3">
              <w:rPr>
                <w:rFonts w:ascii="Arial" w:hAnsi="Arial" w:cs="Arial"/>
                <w:b/>
                <w:color w:val="FF0000"/>
                <w:sz w:val="14"/>
                <w:szCs w:val="14"/>
                <w:lang w:eastAsia="en-AU"/>
              </w:rPr>
              <w:t>No</w:t>
            </w:r>
          </w:p>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No fugitive windborne, marine aerosols, paved road dust.</w:t>
            </w:r>
          </w:p>
        </w:tc>
        <w:tc>
          <w:tcPr>
            <w:tcW w:w="1783" w:type="dxa"/>
          </w:tcPr>
          <w:p w:rsidR="00A33606" w:rsidRPr="00B37EF3" w:rsidRDefault="00A33606" w:rsidP="00CE16F4">
            <w:pPr>
              <w:pStyle w:val="TableContentText"/>
              <w:spacing w:before="60" w:after="60"/>
              <w:rPr>
                <w:rFonts w:ascii="Arial" w:hAnsi="Arial" w:cs="Arial"/>
                <w:b/>
                <w:color w:val="FF0000"/>
                <w:sz w:val="14"/>
                <w:szCs w:val="14"/>
                <w:lang w:eastAsia="en-AU"/>
              </w:rPr>
            </w:pPr>
            <w:r w:rsidRPr="00B37EF3">
              <w:rPr>
                <w:rFonts w:ascii="Arial" w:hAnsi="Arial" w:cs="Arial"/>
                <w:b/>
                <w:color w:val="FF0000"/>
                <w:sz w:val="14"/>
                <w:szCs w:val="14"/>
                <w:lang w:eastAsia="en-AU"/>
              </w:rPr>
              <w:t>No</w:t>
            </w:r>
          </w:p>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Fugitive windborne and marine aerosols were not included.</w:t>
            </w:r>
          </w:p>
        </w:tc>
        <w:tc>
          <w:tcPr>
            <w:tcW w:w="2011" w:type="dxa"/>
          </w:tcPr>
          <w:p w:rsidR="00A33606" w:rsidRPr="00B37EF3" w:rsidRDefault="00A33606" w:rsidP="00CE16F4">
            <w:pPr>
              <w:pStyle w:val="TableContentText"/>
              <w:spacing w:before="60" w:after="60"/>
              <w:rPr>
                <w:rFonts w:ascii="Arial" w:hAnsi="Arial" w:cs="Arial"/>
                <w:b/>
                <w:color w:val="FF0000"/>
                <w:sz w:val="14"/>
                <w:szCs w:val="14"/>
                <w:lang w:eastAsia="en-AU"/>
              </w:rPr>
            </w:pPr>
            <w:r w:rsidRPr="00B37EF3">
              <w:rPr>
                <w:rFonts w:ascii="Arial" w:hAnsi="Arial" w:cs="Arial"/>
                <w:b/>
                <w:color w:val="FF0000"/>
                <w:sz w:val="14"/>
                <w:szCs w:val="14"/>
                <w:lang w:eastAsia="en-AU"/>
              </w:rPr>
              <w:t>No</w:t>
            </w:r>
          </w:p>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Biogenic/</w:t>
            </w:r>
            <w:proofErr w:type="spellStart"/>
            <w:r w:rsidRPr="00B37EF3">
              <w:rPr>
                <w:rFonts w:ascii="Arial" w:hAnsi="Arial" w:cs="Arial"/>
                <w:color w:val="auto"/>
                <w:sz w:val="14"/>
                <w:szCs w:val="14"/>
                <w:lang w:eastAsia="en-AU"/>
              </w:rPr>
              <w:t>geogenic</w:t>
            </w:r>
            <w:proofErr w:type="spellEnd"/>
            <w:r w:rsidRPr="00B37EF3">
              <w:rPr>
                <w:rFonts w:ascii="Arial" w:hAnsi="Arial" w:cs="Arial"/>
                <w:color w:val="auto"/>
                <w:sz w:val="14"/>
                <w:szCs w:val="14"/>
                <w:lang w:eastAsia="en-AU"/>
              </w:rPr>
              <w:t xml:space="preserve"> emission sources have not been estimated for the Adelaide </w:t>
            </w:r>
            <w:proofErr w:type="spellStart"/>
            <w:r w:rsidRPr="00B37EF3">
              <w:rPr>
                <w:rFonts w:ascii="Arial" w:hAnsi="Arial" w:cs="Arial"/>
                <w:color w:val="auto"/>
                <w:sz w:val="14"/>
                <w:szCs w:val="14"/>
                <w:lang w:eastAsia="en-AU"/>
              </w:rPr>
              <w:t>airshed</w:t>
            </w:r>
            <w:proofErr w:type="spellEnd"/>
            <w:r w:rsidRPr="00B37EF3">
              <w:rPr>
                <w:rFonts w:ascii="Arial" w:hAnsi="Arial" w:cs="Arial"/>
                <w:color w:val="auto"/>
                <w:sz w:val="14"/>
                <w:szCs w:val="14"/>
                <w:lang w:eastAsia="en-AU"/>
              </w:rPr>
              <w:t>.</w:t>
            </w:r>
          </w:p>
        </w:tc>
      </w:tr>
      <w:tr w:rsidR="00A33606" w:rsidRPr="00B37EF3" w:rsidTr="00CE16F4">
        <w:trPr>
          <w:trHeight w:hRule="exact" w:val="284"/>
          <w:jc w:val="center"/>
        </w:trPr>
        <w:tc>
          <w:tcPr>
            <w:tcW w:w="8800" w:type="dxa"/>
            <w:gridSpan w:val="5"/>
            <w:shd w:val="clear" w:color="auto" w:fill="D9F1FF"/>
          </w:tcPr>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Model ready</w:t>
            </w:r>
          </w:p>
        </w:tc>
      </w:tr>
      <w:tr w:rsidR="00A33606" w:rsidRPr="00B37EF3" w:rsidTr="00CE16F4">
        <w:trPr>
          <w:trHeight w:val="1451"/>
          <w:jc w:val="center"/>
        </w:trPr>
        <w:tc>
          <w:tcPr>
            <w:tcW w:w="1746" w:type="dxa"/>
          </w:tcPr>
          <w:p w:rsidR="00A33606" w:rsidRPr="00B37EF3" w:rsidRDefault="00A33606" w:rsidP="00CE16F4">
            <w:pPr>
              <w:pStyle w:val="TableContentText"/>
              <w:spacing w:before="60" w:after="60"/>
              <w:rPr>
                <w:rFonts w:ascii="Arial" w:hAnsi="Arial" w:cs="Arial"/>
                <w:b/>
                <w:color w:val="00B050"/>
                <w:sz w:val="14"/>
                <w:szCs w:val="14"/>
                <w:lang w:eastAsia="en-AU"/>
              </w:rPr>
            </w:pPr>
            <w:r w:rsidRPr="00B37EF3">
              <w:rPr>
                <w:rFonts w:ascii="Arial" w:hAnsi="Arial" w:cs="Arial"/>
                <w:b/>
                <w:color w:val="00B050"/>
                <w:sz w:val="14"/>
                <w:szCs w:val="14"/>
                <w:lang w:eastAsia="en-AU"/>
              </w:rPr>
              <w:t>Yes</w:t>
            </w:r>
          </w:p>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Inventory suitable for regional air quality modelling and readily exportable in model-ready formats.</w:t>
            </w:r>
          </w:p>
        </w:tc>
        <w:tc>
          <w:tcPr>
            <w:tcW w:w="1499" w:type="dxa"/>
          </w:tcPr>
          <w:p w:rsidR="00A33606" w:rsidRPr="00B37EF3" w:rsidRDefault="00A33606" w:rsidP="00CE16F4">
            <w:pPr>
              <w:pStyle w:val="TableContentText"/>
              <w:spacing w:before="60" w:after="60"/>
              <w:rPr>
                <w:rFonts w:ascii="Arial" w:hAnsi="Arial" w:cs="Arial"/>
                <w:b/>
                <w:color w:val="00B050"/>
                <w:sz w:val="14"/>
                <w:szCs w:val="14"/>
                <w:lang w:eastAsia="en-AU"/>
              </w:rPr>
            </w:pPr>
            <w:r w:rsidRPr="00B37EF3">
              <w:rPr>
                <w:rFonts w:ascii="Arial" w:hAnsi="Arial" w:cs="Arial"/>
                <w:b/>
                <w:color w:val="00B050"/>
                <w:sz w:val="14"/>
                <w:szCs w:val="14"/>
                <w:lang w:eastAsia="en-AU"/>
              </w:rPr>
              <w:t>Yes</w:t>
            </w:r>
          </w:p>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EPA Victoria currently updating inventory to a base year of 2011.</w:t>
            </w:r>
          </w:p>
        </w:tc>
        <w:tc>
          <w:tcPr>
            <w:tcW w:w="1761" w:type="dxa"/>
          </w:tcPr>
          <w:p w:rsidR="00A33606" w:rsidRPr="00B37EF3" w:rsidRDefault="00A33606" w:rsidP="00CE16F4">
            <w:pPr>
              <w:pStyle w:val="TableContentText"/>
              <w:spacing w:before="60" w:after="60"/>
              <w:rPr>
                <w:rFonts w:ascii="Arial" w:hAnsi="Arial" w:cs="Arial"/>
                <w:b/>
                <w:color w:val="FF0000"/>
                <w:sz w:val="14"/>
                <w:szCs w:val="14"/>
                <w:lang w:eastAsia="en-AU"/>
              </w:rPr>
            </w:pPr>
            <w:r w:rsidRPr="00B37EF3">
              <w:rPr>
                <w:rFonts w:ascii="Arial" w:hAnsi="Arial" w:cs="Arial"/>
                <w:b/>
                <w:color w:val="FF0000"/>
                <w:sz w:val="14"/>
                <w:szCs w:val="14"/>
                <w:lang w:eastAsia="en-AU"/>
              </w:rPr>
              <w:t>No</w:t>
            </w:r>
          </w:p>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Inventory will be in a format suitable for regional air quality modelling when current update is completed.</w:t>
            </w:r>
          </w:p>
        </w:tc>
        <w:tc>
          <w:tcPr>
            <w:tcW w:w="1783" w:type="dxa"/>
          </w:tcPr>
          <w:p w:rsidR="00A33606" w:rsidRPr="00B37EF3" w:rsidRDefault="00A33606" w:rsidP="00CE16F4">
            <w:pPr>
              <w:pStyle w:val="TableContentText"/>
              <w:spacing w:before="60" w:after="60"/>
              <w:rPr>
                <w:rFonts w:ascii="Arial" w:hAnsi="Arial" w:cs="Arial"/>
                <w:b/>
                <w:color w:val="FF0000"/>
                <w:sz w:val="14"/>
                <w:szCs w:val="14"/>
                <w:lang w:eastAsia="en-AU"/>
              </w:rPr>
            </w:pPr>
            <w:r w:rsidRPr="00B37EF3">
              <w:rPr>
                <w:rFonts w:ascii="Arial" w:hAnsi="Arial" w:cs="Arial"/>
                <w:b/>
                <w:color w:val="FF0000"/>
                <w:sz w:val="14"/>
                <w:szCs w:val="14"/>
                <w:lang w:eastAsia="en-AU"/>
              </w:rPr>
              <w:t>No</w:t>
            </w:r>
          </w:p>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Inventory designed for diffuse sources only. Spatial and temporal variation of emissions not assigned.</w:t>
            </w:r>
          </w:p>
        </w:tc>
        <w:tc>
          <w:tcPr>
            <w:tcW w:w="2011" w:type="dxa"/>
          </w:tcPr>
          <w:p w:rsidR="00A33606" w:rsidRPr="00B37EF3" w:rsidRDefault="00A33606" w:rsidP="00CE16F4">
            <w:pPr>
              <w:pStyle w:val="TableContentText"/>
              <w:spacing w:before="60" w:after="60"/>
              <w:rPr>
                <w:rFonts w:ascii="Arial" w:hAnsi="Arial" w:cs="Arial"/>
                <w:b/>
                <w:color w:val="FF0000"/>
                <w:sz w:val="14"/>
                <w:szCs w:val="14"/>
                <w:lang w:eastAsia="en-AU"/>
              </w:rPr>
            </w:pPr>
            <w:r w:rsidRPr="00B37EF3">
              <w:rPr>
                <w:rFonts w:ascii="Arial" w:hAnsi="Arial" w:cs="Arial"/>
                <w:b/>
                <w:color w:val="FF0000"/>
                <w:sz w:val="14"/>
                <w:szCs w:val="14"/>
                <w:lang w:eastAsia="en-AU"/>
              </w:rPr>
              <w:t>No</w:t>
            </w:r>
          </w:p>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Inventory designed for diffuse sources only. Spatial/ temporal variation of emissions not assigned. Significant emission sources (</w:t>
            </w:r>
            <w:r w:rsidR="009334F4" w:rsidRPr="00B37EF3">
              <w:rPr>
                <w:rFonts w:ascii="Arial" w:hAnsi="Arial" w:cs="Arial"/>
                <w:color w:val="auto"/>
                <w:sz w:val="14"/>
                <w:szCs w:val="14"/>
                <w:lang w:eastAsia="en-AU"/>
              </w:rPr>
              <w:t>e.g.</w:t>
            </w:r>
            <w:r w:rsidRPr="00B37EF3">
              <w:rPr>
                <w:rFonts w:ascii="Arial" w:hAnsi="Arial" w:cs="Arial"/>
                <w:color w:val="auto"/>
                <w:sz w:val="14"/>
                <w:szCs w:val="14"/>
                <w:lang w:eastAsia="en-AU"/>
              </w:rPr>
              <w:t xml:space="preserve"> biogenic) excluded.</w:t>
            </w:r>
          </w:p>
        </w:tc>
      </w:tr>
      <w:tr w:rsidR="00A33606" w:rsidRPr="00B37EF3" w:rsidTr="00CE16F4">
        <w:trPr>
          <w:trHeight w:hRule="exact" w:val="284"/>
          <w:jc w:val="center"/>
        </w:trPr>
        <w:tc>
          <w:tcPr>
            <w:tcW w:w="8800" w:type="dxa"/>
            <w:gridSpan w:val="5"/>
            <w:shd w:val="clear" w:color="auto" w:fill="D9F1FF"/>
          </w:tcPr>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Primary pollutants</w:t>
            </w:r>
          </w:p>
        </w:tc>
      </w:tr>
      <w:tr w:rsidR="00A33606" w:rsidRPr="00B37EF3" w:rsidTr="00CE16F4">
        <w:trPr>
          <w:jc w:val="center"/>
        </w:trPr>
        <w:tc>
          <w:tcPr>
            <w:tcW w:w="1746" w:type="dxa"/>
          </w:tcPr>
          <w:p w:rsidR="00A33606" w:rsidRPr="00B37EF3" w:rsidRDefault="00A33606" w:rsidP="00CE16F4">
            <w:pPr>
              <w:pStyle w:val="TableContentText"/>
              <w:spacing w:before="60" w:after="60"/>
              <w:rPr>
                <w:rFonts w:ascii="Arial" w:hAnsi="Arial" w:cs="Arial"/>
                <w:b/>
                <w:color w:val="00B050"/>
                <w:sz w:val="14"/>
                <w:szCs w:val="14"/>
                <w:lang w:eastAsia="en-AU"/>
              </w:rPr>
            </w:pPr>
            <w:r w:rsidRPr="00B37EF3">
              <w:rPr>
                <w:rFonts w:ascii="Arial" w:hAnsi="Arial" w:cs="Arial"/>
                <w:b/>
                <w:color w:val="00B050"/>
                <w:sz w:val="14"/>
                <w:szCs w:val="14"/>
                <w:lang w:eastAsia="en-AU"/>
              </w:rPr>
              <w:t>Yes</w:t>
            </w:r>
          </w:p>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TSP, PM</w:t>
            </w:r>
            <w:r w:rsidRPr="00B37EF3">
              <w:rPr>
                <w:rFonts w:ascii="Arial" w:hAnsi="Arial" w:cs="Arial"/>
                <w:color w:val="auto"/>
                <w:sz w:val="14"/>
                <w:szCs w:val="14"/>
                <w:vertAlign w:val="subscript"/>
                <w:lang w:eastAsia="en-AU"/>
              </w:rPr>
              <w:t>10</w:t>
            </w:r>
            <w:r w:rsidRPr="00B37EF3">
              <w:rPr>
                <w:rFonts w:ascii="Arial" w:hAnsi="Arial" w:cs="Arial"/>
                <w:color w:val="auto"/>
                <w:sz w:val="14"/>
                <w:szCs w:val="14"/>
                <w:lang w:eastAsia="en-AU"/>
              </w:rPr>
              <w:t>, PM</w:t>
            </w:r>
            <w:r w:rsidRPr="00B37EF3">
              <w:rPr>
                <w:rFonts w:ascii="Arial" w:hAnsi="Arial" w:cs="Arial"/>
                <w:color w:val="auto"/>
                <w:sz w:val="14"/>
                <w:szCs w:val="14"/>
                <w:vertAlign w:val="subscript"/>
                <w:lang w:eastAsia="en-AU"/>
              </w:rPr>
              <w:t>2.5</w:t>
            </w:r>
          </w:p>
        </w:tc>
        <w:tc>
          <w:tcPr>
            <w:tcW w:w="1499" w:type="dxa"/>
          </w:tcPr>
          <w:p w:rsidR="00A33606" w:rsidRPr="00B37EF3" w:rsidRDefault="00A33606" w:rsidP="00CE16F4">
            <w:pPr>
              <w:pStyle w:val="TableContentText"/>
              <w:spacing w:before="60" w:after="60"/>
              <w:rPr>
                <w:rFonts w:ascii="Arial" w:hAnsi="Arial" w:cs="Arial"/>
                <w:b/>
                <w:color w:val="00B050"/>
                <w:sz w:val="14"/>
                <w:szCs w:val="14"/>
                <w:lang w:eastAsia="en-AU"/>
              </w:rPr>
            </w:pPr>
            <w:r w:rsidRPr="00B37EF3">
              <w:rPr>
                <w:rFonts w:ascii="Arial" w:hAnsi="Arial" w:cs="Arial"/>
                <w:b/>
                <w:color w:val="00B050"/>
                <w:sz w:val="14"/>
                <w:szCs w:val="14"/>
                <w:lang w:eastAsia="en-AU"/>
              </w:rPr>
              <w:t>Yes</w:t>
            </w:r>
          </w:p>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TSP, PM</w:t>
            </w:r>
            <w:r w:rsidRPr="00B37EF3">
              <w:rPr>
                <w:rFonts w:ascii="Arial" w:hAnsi="Arial" w:cs="Arial"/>
                <w:color w:val="auto"/>
                <w:sz w:val="14"/>
                <w:szCs w:val="14"/>
                <w:vertAlign w:val="subscript"/>
                <w:lang w:eastAsia="en-AU"/>
              </w:rPr>
              <w:t>10</w:t>
            </w:r>
            <w:r w:rsidRPr="00B37EF3">
              <w:rPr>
                <w:rFonts w:ascii="Arial" w:hAnsi="Arial" w:cs="Arial"/>
                <w:color w:val="auto"/>
                <w:sz w:val="14"/>
                <w:szCs w:val="14"/>
                <w:lang w:eastAsia="en-AU"/>
              </w:rPr>
              <w:t>, PM</w:t>
            </w:r>
            <w:r w:rsidRPr="00B37EF3">
              <w:rPr>
                <w:rFonts w:ascii="Arial" w:hAnsi="Arial" w:cs="Arial"/>
                <w:color w:val="auto"/>
                <w:sz w:val="14"/>
                <w:szCs w:val="14"/>
                <w:vertAlign w:val="subscript"/>
                <w:lang w:eastAsia="en-AU"/>
              </w:rPr>
              <w:t>2.5</w:t>
            </w:r>
          </w:p>
        </w:tc>
        <w:tc>
          <w:tcPr>
            <w:tcW w:w="1761" w:type="dxa"/>
          </w:tcPr>
          <w:p w:rsidR="00A33606" w:rsidRPr="00B37EF3" w:rsidRDefault="00A33606" w:rsidP="00CE16F4">
            <w:pPr>
              <w:pStyle w:val="TableContentText"/>
              <w:spacing w:before="60" w:after="60"/>
              <w:rPr>
                <w:rFonts w:ascii="Arial" w:hAnsi="Arial" w:cs="Arial"/>
                <w:b/>
                <w:color w:val="00B050"/>
                <w:sz w:val="14"/>
                <w:szCs w:val="14"/>
                <w:lang w:eastAsia="en-AU"/>
              </w:rPr>
            </w:pPr>
            <w:r w:rsidRPr="00B37EF3">
              <w:rPr>
                <w:rFonts w:ascii="Arial" w:hAnsi="Arial" w:cs="Arial"/>
                <w:b/>
                <w:color w:val="00B050"/>
                <w:sz w:val="14"/>
                <w:szCs w:val="14"/>
                <w:lang w:eastAsia="en-AU"/>
              </w:rPr>
              <w:t>Yes</w:t>
            </w:r>
          </w:p>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TSP, PM</w:t>
            </w:r>
            <w:r w:rsidRPr="00B37EF3">
              <w:rPr>
                <w:rFonts w:ascii="Arial" w:hAnsi="Arial" w:cs="Arial"/>
                <w:color w:val="auto"/>
                <w:sz w:val="14"/>
                <w:szCs w:val="14"/>
                <w:vertAlign w:val="subscript"/>
                <w:lang w:eastAsia="en-AU"/>
              </w:rPr>
              <w:t>10</w:t>
            </w:r>
            <w:r w:rsidRPr="00B37EF3">
              <w:rPr>
                <w:rFonts w:ascii="Arial" w:hAnsi="Arial" w:cs="Arial"/>
                <w:color w:val="auto"/>
                <w:sz w:val="14"/>
                <w:szCs w:val="14"/>
                <w:lang w:eastAsia="en-AU"/>
              </w:rPr>
              <w:t>, PM</w:t>
            </w:r>
            <w:r w:rsidRPr="00B37EF3">
              <w:rPr>
                <w:rFonts w:ascii="Arial" w:hAnsi="Arial" w:cs="Arial"/>
                <w:color w:val="auto"/>
                <w:sz w:val="14"/>
                <w:szCs w:val="14"/>
                <w:vertAlign w:val="subscript"/>
                <w:lang w:eastAsia="en-AU"/>
              </w:rPr>
              <w:t>2.5</w:t>
            </w:r>
          </w:p>
        </w:tc>
        <w:tc>
          <w:tcPr>
            <w:tcW w:w="1783" w:type="dxa"/>
          </w:tcPr>
          <w:p w:rsidR="00A33606" w:rsidRPr="00B37EF3" w:rsidRDefault="00A33606" w:rsidP="00CE16F4">
            <w:pPr>
              <w:pStyle w:val="TableContentText"/>
              <w:spacing w:before="60" w:after="60"/>
              <w:rPr>
                <w:rFonts w:ascii="Arial" w:hAnsi="Arial" w:cs="Arial"/>
                <w:b/>
                <w:color w:val="FF0000"/>
                <w:sz w:val="14"/>
                <w:szCs w:val="14"/>
                <w:lang w:eastAsia="en-AU"/>
              </w:rPr>
            </w:pPr>
            <w:r w:rsidRPr="00B37EF3">
              <w:rPr>
                <w:rFonts w:ascii="Arial" w:hAnsi="Arial" w:cs="Arial"/>
                <w:b/>
                <w:color w:val="FF0000"/>
                <w:sz w:val="14"/>
                <w:szCs w:val="14"/>
                <w:lang w:eastAsia="en-AU"/>
              </w:rPr>
              <w:t>No</w:t>
            </w:r>
          </w:p>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PM</w:t>
            </w:r>
            <w:r w:rsidRPr="00B37EF3">
              <w:rPr>
                <w:rFonts w:ascii="Arial" w:hAnsi="Arial" w:cs="Arial"/>
                <w:color w:val="auto"/>
                <w:sz w:val="14"/>
                <w:szCs w:val="14"/>
                <w:vertAlign w:val="subscript"/>
                <w:lang w:eastAsia="en-AU"/>
              </w:rPr>
              <w:t>10</w:t>
            </w:r>
            <w:r w:rsidRPr="00B37EF3">
              <w:rPr>
                <w:rFonts w:ascii="Arial" w:hAnsi="Arial" w:cs="Arial"/>
                <w:color w:val="auto"/>
                <w:sz w:val="14"/>
                <w:szCs w:val="14"/>
                <w:lang w:eastAsia="en-AU"/>
              </w:rPr>
              <w:t xml:space="preserve"> and PM</w:t>
            </w:r>
            <w:r w:rsidRPr="00B37EF3">
              <w:rPr>
                <w:rFonts w:ascii="Arial" w:hAnsi="Arial" w:cs="Arial"/>
                <w:color w:val="auto"/>
                <w:sz w:val="14"/>
                <w:szCs w:val="14"/>
                <w:vertAlign w:val="subscript"/>
                <w:lang w:eastAsia="en-AU"/>
              </w:rPr>
              <w:t>2.5</w:t>
            </w:r>
            <w:r w:rsidRPr="00B37EF3">
              <w:rPr>
                <w:rFonts w:ascii="Arial" w:hAnsi="Arial" w:cs="Arial"/>
                <w:color w:val="auto"/>
                <w:sz w:val="14"/>
                <w:szCs w:val="14"/>
                <w:lang w:eastAsia="en-AU"/>
              </w:rPr>
              <w:t xml:space="preserve"> are included, but not TSP.</w:t>
            </w:r>
          </w:p>
        </w:tc>
        <w:tc>
          <w:tcPr>
            <w:tcW w:w="2011" w:type="dxa"/>
          </w:tcPr>
          <w:p w:rsidR="00A33606" w:rsidRPr="00B37EF3" w:rsidRDefault="00A33606" w:rsidP="00CE16F4">
            <w:pPr>
              <w:pStyle w:val="TableContentText"/>
              <w:spacing w:before="60" w:after="60"/>
              <w:rPr>
                <w:rFonts w:ascii="Arial" w:hAnsi="Arial" w:cs="Arial"/>
                <w:b/>
                <w:color w:val="FF0000"/>
                <w:sz w:val="14"/>
                <w:szCs w:val="14"/>
                <w:lang w:eastAsia="en-AU"/>
              </w:rPr>
            </w:pPr>
            <w:r w:rsidRPr="00B37EF3">
              <w:rPr>
                <w:rFonts w:ascii="Arial" w:hAnsi="Arial" w:cs="Arial"/>
                <w:b/>
                <w:color w:val="FF0000"/>
                <w:sz w:val="14"/>
                <w:szCs w:val="14"/>
                <w:lang w:eastAsia="en-AU"/>
              </w:rPr>
              <w:t>No</w:t>
            </w:r>
          </w:p>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PM</w:t>
            </w:r>
            <w:r w:rsidRPr="00B37EF3">
              <w:rPr>
                <w:rFonts w:ascii="Arial" w:hAnsi="Arial" w:cs="Arial"/>
                <w:color w:val="auto"/>
                <w:sz w:val="14"/>
                <w:szCs w:val="14"/>
                <w:vertAlign w:val="subscript"/>
                <w:lang w:eastAsia="en-AU"/>
              </w:rPr>
              <w:t>10</w:t>
            </w:r>
            <w:r w:rsidRPr="00B37EF3">
              <w:rPr>
                <w:rFonts w:ascii="Arial" w:hAnsi="Arial" w:cs="Arial"/>
                <w:color w:val="auto"/>
                <w:sz w:val="14"/>
                <w:szCs w:val="14"/>
                <w:lang w:eastAsia="en-AU"/>
              </w:rPr>
              <w:t xml:space="preserve"> and PM</w:t>
            </w:r>
            <w:r w:rsidRPr="00B37EF3">
              <w:rPr>
                <w:rFonts w:ascii="Arial" w:hAnsi="Arial" w:cs="Arial"/>
                <w:color w:val="auto"/>
                <w:sz w:val="14"/>
                <w:szCs w:val="14"/>
                <w:vertAlign w:val="subscript"/>
                <w:lang w:eastAsia="en-AU"/>
              </w:rPr>
              <w:t>2.5</w:t>
            </w:r>
            <w:r w:rsidRPr="00B37EF3">
              <w:rPr>
                <w:rFonts w:ascii="Arial" w:hAnsi="Arial" w:cs="Arial"/>
                <w:color w:val="auto"/>
                <w:sz w:val="14"/>
                <w:szCs w:val="14"/>
                <w:lang w:eastAsia="en-AU"/>
              </w:rPr>
              <w:t xml:space="preserve"> are included, but not TSP.</w:t>
            </w:r>
          </w:p>
        </w:tc>
      </w:tr>
      <w:tr w:rsidR="00A33606" w:rsidRPr="00B37EF3" w:rsidTr="00CE16F4">
        <w:trPr>
          <w:trHeight w:hRule="exact" w:val="284"/>
          <w:jc w:val="center"/>
        </w:trPr>
        <w:tc>
          <w:tcPr>
            <w:tcW w:w="8800" w:type="dxa"/>
            <w:gridSpan w:val="5"/>
            <w:shd w:val="clear" w:color="auto" w:fill="D9F1FF"/>
          </w:tcPr>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Secondary precursor pollutants</w:t>
            </w:r>
          </w:p>
        </w:tc>
      </w:tr>
      <w:tr w:rsidR="00A33606" w:rsidRPr="00B37EF3" w:rsidTr="00CE16F4">
        <w:trPr>
          <w:jc w:val="center"/>
        </w:trPr>
        <w:tc>
          <w:tcPr>
            <w:tcW w:w="1746" w:type="dxa"/>
          </w:tcPr>
          <w:p w:rsidR="00A33606" w:rsidRPr="00B37EF3" w:rsidRDefault="00A33606" w:rsidP="00CE16F4">
            <w:pPr>
              <w:pStyle w:val="TableContentText"/>
              <w:spacing w:before="60" w:after="60"/>
              <w:rPr>
                <w:rFonts w:ascii="Arial" w:hAnsi="Arial" w:cs="Arial"/>
                <w:b/>
                <w:color w:val="FF0000"/>
                <w:sz w:val="14"/>
                <w:szCs w:val="14"/>
                <w:lang w:eastAsia="en-AU"/>
              </w:rPr>
            </w:pPr>
            <w:r w:rsidRPr="00B37EF3">
              <w:rPr>
                <w:rFonts w:ascii="Arial" w:hAnsi="Arial" w:cs="Arial"/>
                <w:b/>
                <w:color w:val="FF0000"/>
                <w:sz w:val="14"/>
                <w:szCs w:val="14"/>
                <w:lang w:eastAsia="en-AU"/>
              </w:rPr>
              <w:t>No</w:t>
            </w:r>
          </w:p>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Does not include elemental/organic carbon.</w:t>
            </w:r>
          </w:p>
        </w:tc>
        <w:tc>
          <w:tcPr>
            <w:tcW w:w="1499" w:type="dxa"/>
          </w:tcPr>
          <w:p w:rsidR="00A33606" w:rsidRPr="00B37EF3" w:rsidRDefault="00A33606" w:rsidP="00CE16F4">
            <w:pPr>
              <w:pStyle w:val="TableContentText"/>
              <w:spacing w:before="60" w:after="60"/>
              <w:rPr>
                <w:rFonts w:ascii="Arial" w:hAnsi="Arial" w:cs="Arial"/>
                <w:b/>
                <w:color w:val="00B050"/>
                <w:sz w:val="14"/>
                <w:szCs w:val="14"/>
                <w:lang w:eastAsia="en-AU"/>
              </w:rPr>
            </w:pPr>
            <w:r w:rsidRPr="00B37EF3">
              <w:rPr>
                <w:rFonts w:ascii="Arial" w:hAnsi="Arial" w:cs="Arial"/>
                <w:b/>
                <w:color w:val="00B050"/>
                <w:sz w:val="14"/>
                <w:szCs w:val="14"/>
                <w:lang w:eastAsia="en-AU"/>
              </w:rPr>
              <w:t>Yes</w:t>
            </w:r>
          </w:p>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Includes emissions of all substances.</w:t>
            </w:r>
          </w:p>
        </w:tc>
        <w:tc>
          <w:tcPr>
            <w:tcW w:w="1761" w:type="dxa"/>
          </w:tcPr>
          <w:p w:rsidR="00A33606" w:rsidRPr="00B37EF3" w:rsidRDefault="00A33606" w:rsidP="00CE16F4">
            <w:pPr>
              <w:pStyle w:val="TableContentText"/>
              <w:spacing w:before="60" w:after="60"/>
              <w:rPr>
                <w:rFonts w:ascii="Arial" w:hAnsi="Arial" w:cs="Arial"/>
                <w:b/>
                <w:color w:val="FF0000"/>
                <w:sz w:val="14"/>
                <w:szCs w:val="14"/>
                <w:lang w:eastAsia="en-AU"/>
              </w:rPr>
            </w:pPr>
            <w:r w:rsidRPr="00B37EF3">
              <w:rPr>
                <w:rFonts w:ascii="Arial" w:hAnsi="Arial" w:cs="Arial"/>
                <w:b/>
                <w:color w:val="FF0000"/>
                <w:sz w:val="14"/>
                <w:szCs w:val="14"/>
                <w:lang w:eastAsia="en-AU"/>
              </w:rPr>
              <w:t>No</w:t>
            </w:r>
          </w:p>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Does not include SO</w:t>
            </w:r>
            <w:r w:rsidRPr="00B37EF3">
              <w:rPr>
                <w:rFonts w:ascii="Arial" w:hAnsi="Arial" w:cs="Arial"/>
                <w:color w:val="auto"/>
                <w:sz w:val="14"/>
                <w:szCs w:val="14"/>
                <w:vertAlign w:val="subscript"/>
                <w:lang w:eastAsia="en-AU"/>
              </w:rPr>
              <w:t>3</w:t>
            </w:r>
            <w:r w:rsidRPr="00B37EF3">
              <w:rPr>
                <w:rFonts w:ascii="Arial" w:hAnsi="Arial" w:cs="Arial"/>
                <w:color w:val="auto"/>
                <w:sz w:val="14"/>
                <w:szCs w:val="14"/>
                <w:lang w:eastAsia="en-AU"/>
              </w:rPr>
              <w:t xml:space="preserve"> or elemental/organic carbon.</w:t>
            </w:r>
          </w:p>
        </w:tc>
        <w:tc>
          <w:tcPr>
            <w:tcW w:w="1783" w:type="dxa"/>
          </w:tcPr>
          <w:p w:rsidR="00A33606" w:rsidRPr="00B37EF3" w:rsidRDefault="00A33606" w:rsidP="00CE16F4">
            <w:pPr>
              <w:pStyle w:val="TableContentText"/>
              <w:spacing w:before="60" w:after="60"/>
              <w:rPr>
                <w:rFonts w:ascii="Arial" w:hAnsi="Arial" w:cs="Arial"/>
                <w:b/>
                <w:color w:val="FF0000"/>
                <w:sz w:val="14"/>
                <w:szCs w:val="14"/>
                <w:lang w:eastAsia="en-AU"/>
              </w:rPr>
            </w:pPr>
            <w:r w:rsidRPr="00B37EF3">
              <w:rPr>
                <w:rFonts w:ascii="Arial" w:hAnsi="Arial" w:cs="Arial"/>
                <w:b/>
                <w:color w:val="FF0000"/>
                <w:sz w:val="14"/>
                <w:szCs w:val="14"/>
                <w:lang w:eastAsia="en-AU"/>
              </w:rPr>
              <w:t>No</w:t>
            </w:r>
          </w:p>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Does not include SO</w:t>
            </w:r>
            <w:r w:rsidRPr="00B37EF3">
              <w:rPr>
                <w:rFonts w:ascii="Arial" w:hAnsi="Arial" w:cs="Arial"/>
                <w:color w:val="auto"/>
                <w:sz w:val="14"/>
                <w:szCs w:val="14"/>
                <w:vertAlign w:val="subscript"/>
                <w:lang w:eastAsia="en-AU"/>
              </w:rPr>
              <w:t>3</w:t>
            </w:r>
            <w:r w:rsidRPr="00B37EF3">
              <w:rPr>
                <w:rFonts w:ascii="Arial" w:hAnsi="Arial" w:cs="Arial"/>
                <w:color w:val="auto"/>
                <w:sz w:val="14"/>
                <w:szCs w:val="14"/>
                <w:lang w:eastAsia="en-AU"/>
              </w:rPr>
              <w:t xml:space="preserve"> or elemental/organic carbon.</w:t>
            </w:r>
          </w:p>
        </w:tc>
        <w:tc>
          <w:tcPr>
            <w:tcW w:w="2011" w:type="dxa"/>
          </w:tcPr>
          <w:p w:rsidR="00A33606" w:rsidRPr="00B37EF3" w:rsidRDefault="00A33606" w:rsidP="00CE16F4">
            <w:pPr>
              <w:pStyle w:val="TableContentText"/>
              <w:spacing w:before="60" w:after="60"/>
              <w:rPr>
                <w:rFonts w:ascii="Arial" w:hAnsi="Arial" w:cs="Arial"/>
                <w:b/>
                <w:color w:val="FF0000"/>
                <w:sz w:val="14"/>
                <w:szCs w:val="14"/>
                <w:lang w:eastAsia="en-AU"/>
              </w:rPr>
            </w:pPr>
            <w:r w:rsidRPr="00B37EF3">
              <w:rPr>
                <w:rFonts w:ascii="Arial" w:hAnsi="Arial" w:cs="Arial"/>
                <w:b/>
                <w:color w:val="FF0000"/>
                <w:sz w:val="14"/>
                <w:szCs w:val="14"/>
                <w:lang w:eastAsia="en-AU"/>
              </w:rPr>
              <w:t>No</w:t>
            </w:r>
          </w:p>
          <w:p w:rsidR="00A33606" w:rsidRPr="00B37EF3" w:rsidRDefault="00A33606" w:rsidP="00CE16F4">
            <w:pPr>
              <w:pStyle w:val="TableContentText"/>
              <w:spacing w:before="60" w:after="60"/>
              <w:rPr>
                <w:rFonts w:ascii="Arial" w:hAnsi="Arial" w:cs="Arial"/>
                <w:color w:val="auto"/>
                <w:sz w:val="14"/>
                <w:szCs w:val="14"/>
                <w:lang w:eastAsia="en-AU"/>
              </w:rPr>
            </w:pPr>
            <w:r w:rsidRPr="00B37EF3">
              <w:rPr>
                <w:rFonts w:ascii="Arial" w:hAnsi="Arial" w:cs="Arial"/>
                <w:color w:val="auto"/>
                <w:sz w:val="14"/>
                <w:szCs w:val="14"/>
                <w:lang w:eastAsia="en-AU"/>
              </w:rPr>
              <w:t>Does not include SO</w:t>
            </w:r>
            <w:r w:rsidRPr="00B37EF3">
              <w:rPr>
                <w:rFonts w:ascii="Arial" w:hAnsi="Arial" w:cs="Arial"/>
                <w:color w:val="auto"/>
                <w:sz w:val="14"/>
                <w:szCs w:val="14"/>
                <w:vertAlign w:val="subscript"/>
                <w:lang w:eastAsia="en-AU"/>
              </w:rPr>
              <w:t>3</w:t>
            </w:r>
            <w:r w:rsidRPr="00B37EF3">
              <w:rPr>
                <w:rFonts w:ascii="Arial" w:hAnsi="Arial" w:cs="Arial"/>
                <w:color w:val="auto"/>
                <w:sz w:val="14"/>
                <w:szCs w:val="14"/>
                <w:lang w:eastAsia="en-AU"/>
              </w:rPr>
              <w:t xml:space="preserve"> or elemental/organic carbon.</w:t>
            </w:r>
          </w:p>
        </w:tc>
      </w:tr>
    </w:tbl>
    <w:p w:rsidR="00A33606" w:rsidRPr="00B37EF3" w:rsidRDefault="00A33606" w:rsidP="00A33606">
      <w:pPr>
        <w:tabs>
          <w:tab w:val="center" w:pos="4153"/>
          <w:tab w:val="right" w:pos="8306"/>
        </w:tabs>
        <w:spacing w:before="120" w:after="0"/>
        <w:ind w:left="709" w:hanging="283"/>
        <w:rPr>
          <w:rFonts w:ascii="Arial" w:hAnsi="Arial" w:cs="Arial"/>
          <w:kern w:val="32"/>
          <w:sz w:val="14"/>
          <w:szCs w:val="14"/>
        </w:rPr>
      </w:pPr>
      <w:r w:rsidRPr="00B37EF3">
        <w:rPr>
          <w:rFonts w:ascii="Arial" w:hAnsi="Arial" w:cs="Arial"/>
          <w:kern w:val="32"/>
          <w:sz w:val="14"/>
          <w:szCs w:val="14"/>
        </w:rPr>
        <w:t>(a) NSW GMR: NSW Greater Metropolitan Region</w:t>
      </w:r>
    </w:p>
    <w:p w:rsidR="00A33606" w:rsidRPr="00B37EF3" w:rsidRDefault="00A33606" w:rsidP="00A33606">
      <w:pPr>
        <w:tabs>
          <w:tab w:val="center" w:pos="4153"/>
          <w:tab w:val="right" w:pos="8306"/>
        </w:tabs>
        <w:spacing w:after="60"/>
        <w:ind w:left="709" w:hanging="283"/>
        <w:rPr>
          <w:rFonts w:ascii="Arial" w:hAnsi="Arial" w:cs="Arial"/>
          <w:kern w:val="32"/>
          <w:sz w:val="14"/>
          <w:szCs w:val="14"/>
        </w:rPr>
      </w:pPr>
      <w:r w:rsidRPr="00B37EF3">
        <w:rPr>
          <w:rFonts w:ascii="Arial" w:hAnsi="Arial" w:cs="Arial"/>
          <w:kern w:val="32"/>
          <w:sz w:val="14"/>
          <w:szCs w:val="14"/>
        </w:rPr>
        <w:t>(b) SEQ: South-East Queensland</w:t>
      </w:r>
    </w:p>
    <w:p w:rsidR="00A33606" w:rsidRPr="00B37EF3" w:rsidRDefault="00A33606" w:rsidP="00E031A0">
      <w:pPr>
        <w:spacing w:after="0"/>
        <w:rPr>
          <w:rFonts w:ascii="Arial" w:hAnsi="Arial" w:cs="Arial"/>
        </w:rPr>
      </w:pPr>
    </w:p>
    <w:p w:rsidR="00E031A0" w:rsidRPr="00B37EF3" w:rsidRDefault="004E6B3C" w:rsidP="00E031A0">
      <w:pPr>
        <w:rPr>
          <w:rFonts w:ascii="Arial" w:hAnsi="Arial" w:cs="Arial"/>
        </w:rPr>
      </w:pPr>
      <w:r w:rsidRPr="00B37EF3">
        <w:rPr>
          <w:rFonts w:ascii="Arial" w:hAnsi="Arial" w:cs="Arial"/>
        </w:rPr>
        <w:t>No official methodology or guidebook exists for compiling regional air emi</w:t>
      </w:r>
      <w:r w:rsidR="00B410F6" w:rsidRPr="00B37EF3">
        <w:rPr>
          <w:rFonts w:ascii="Arial" w:hAnsi="Arial" w:cs="Arial"/>
        </w:rPr>
        <w:t xml:space="preserve">ssions inventories in Australia, although </w:t>
      </w:r>
      <w:r w:rsidRPr="00B37EF3">
        <w:rPr>
          <w:rFonts w:ascii="Arial" w:hAnsi="Arial" w:cs="Arial"/>
        </w:rPr>
        <w:t xml:space="preserve">manuals </w:t>
      </w:r>
      <w:r w:rsidR="00B410F6" w:rsidRPr="00B37EF3">
        <w:rPr>
          <w:rFonts w:ascii="Arial" w:hAnsi="Arial" w:cs="Arial"/>
        </w:rPr>
        <w:t xml:space="preserve">for specific sources </w:t>
      </w:r>
      <w:r w:rsidRPr="00B37EF3">
        <w:rPr>
          <w:rFonts w:ascii="Arial" w:hAnsi="Arial" w:cs="Arial"/>
        </w:rPr>
        <w:t>are published by the Commonwealth Government for estimating emissions for the NPI.</w:t>
      </w:r>
      <w:r w:rsidR="004B4989" w:rsidRPr="00B37EF3">
        <w:rPr>
          <w:rFonts w:ascii="Arial" w:hAnsi="Arial" w:cs="Arial"/>
        </w:rPr>
        <w:t xml:space="preserve"> </w:t>
      </w:r>
      <w:r w:rsidRPr="00B37EF3">
        <w:rPr>
          <w:rFonts w:ascii="Arial" w:hAnsi="Arial" w:cs="Arial"/>
        </w:rPr>
        <w:t xml:space="preserve">These manuals have facilitated a certain level of consistency in constructing regional </w:t>
      </w:r>
      <w:r w:rsidR="00B44448" w:rsidRPr="00B37EF3">
        <w:rPr>
          <w:rFonts w:ascii="Arial" w:hAnsi="Arial" w:cs="Arial"/>
        </w:rPr>
        <w:t xml:space="preserve">emissions </w:t>
      </w:r>
      <w:r w:rsidRPr="00B37EF3">
        <w:rPr>
          <w:rFonts w:ascii="Arial" w:hAnsi="Arial" w:cs="Arial"/>
        </w:rPr>
        <w:t>inventories</w:t>
      </w:r>
      <w:r w:rsidR="00B44448" w:rsidRPr="00B37EF3">
        <w:rPr>
          <w:rFonts w:ascii="Arial" w:hAnsi="Arial" w:cs="Arial"/>
        </w:rPr>
        <w:t>;</w:t>
      </w:r>
      <w:r w:rsidR="004B4989" w:rsidRPr="00B37EF3">
        <w:rPr>
          <w:rFonts w:ascii="Arial" w:hAnsi="Arial" w:cs="Arial"/>
        </w:rPr>
        <w:t xml:space="preserve"> </w:t>
      </w:r>
      <w:r w:rsidR="00B44448" w:rsidRPr="00B37EF3">
        <w:rPr>
          <w:rFonts w:ascii="Arial" w:hAnsi="Arial" w:cs="Arial"/>
        </w:rPr>
        <w:t>h</w:t>
      </w:r>
      <w:r w:rsidRPr="00B37EF3">
        <w:rPr>
          <w:rFonts w:ascii="Arial" w:hAnsi="Arial" w:cs="Arial"/>
        </w:rPr>
        <w:t xml:space="preserve">owever, </w:t>
      </w:r>
      <w:r w:rsidR="00744747" w:rsidRPr="00B37EF3">
        <w:rPr>
          <w:rFonts w:ascii="Arial" w:hAnsi="Arial" w:cs="Arial"/>
        </w:rPr>
        <w:t xml:space="preserve">for some sources the techniques are </w:t>
      </w:r>
      <w:r w:rsidRPr="00B37EF3">
        <w:rPr>
          <w:rFonts w:ascii="Arial" w:hAnsi="Arial" w:cs="Arial"/>
        </w:rPr>
        <w:t>out</w:t>
      </w:r>
      <w:r w:rsidR="00744747" w:rsidRPr="00B37EF3">
        <w:rPr>
          <w:rFonts w:ascii="Arial" w:hAnsi="Arial" w:cs="Arial"/>
        </w:rPr>
        <w:t xml:space="preserve"> of date</w:t>
      </w:r>
      <w:r w:rsidRPr="00B37EF3">
        <w:rPr>
          <w:rFonts w:ascii="Arial" w:hAnsi="Arial" w:cs="Arial"/>
        </w:rPr>
        <w:t>.</w:t>
      </w:r>
      <w:r w:rsidR="004B4989" w:rsidRPr="00B37EF3">
        <w:rPr>
          <w:rFonts w:ascii="Arial" w:hAnsi="Arial" w:cs="Arial"/>
        </w:rPr>
        <w:t xml:space="preserve"> </w:t>
      </w:r>
      <w:r w:rsidRPr="00B37EF3">
        <w:rPr>
          <w:rFonts w:ascii="Arial" w:hAnsi="Arial" w:cs="Arial"/>
        </w:rPr>
        <w:t>Consequently, some jurisdictions now prefer to use more up-to-date methodologies</w:t>
      </w:r>
      <w:r w:rsidR="00E031A0" w:rsidRPr="00B37EF3">
        <w:rPr>
          <w:rFonts w:ascii="Arial" w:hAnsi="Arial" w:cs="Arial"/>
        </w:rPr>
        <w:t>, typically from overseas.</w:t>
      </w:r>
    </w:p>
    <w:p w:rsidR="00E031A0" w:rsidRPr="00B37EF3" w:rsidRDefault="00E031A0" w:rsidP="00F40168">
      <w:pPr>
        <w:spacing w:after="360"/>
        <w:rPr>
          <w:rFonts w:ascii="Arial" w:hAnsi="Arial" w:cs="Arial"/>
          <w:color w:val="FF0000"/>
        </w:rPr>
      </w:pPr>
      <w:r w:rsidRPr="00B37EF3">
        <w:rPr>
          <w:rFonts w:ascii="Arial" w:hAnsi="Arial" w:cs="Arial"/>
        </w:rPr>
        <w:t xml:space="preserve">At present there is no consistency across the inventories; the methodology </w:t>
      </w:r>
      <w:r w:rsidR="00744747" w:rsidRPr="00B37EF3">
        <w:rPr>
          <w:rFonts w:ascii="Arial" w:hAnsi="Arial" w:cs="Arial"/>
        </w:rPr>
        <w:t xml:space="preserve">used </w:t>
      </w:r>
      <w:r w:rsidRPr="00B37EF3">
        <w:rPr>
          <w:rFonts w:ascii="Arial" w:hAnsi="Arial" w:cs="Arial"/>
        </w:rPr>
        <w:t xml:space="preserve">to estimate emissions from each source is likely to differ significantly, and some inventories are not suitable for regional air quality modelling. </w:t>
      </w:r>
      <w:r w:rsidR="004E6B3C" w:rsidRPr="00B37EF3">
        <w:rPr>
          <w:rFonts w:ascii="Arial" w:hAnsi="Arial" w:cs="Arial"/>
        </w:rPr>
        <w:t>The subs</w:t>
      </w:r>
      <w:r w:rsidR="00744747" w:rsidRPr="00B37EF3">
        <w:rPr>
          <w:rFonts w:ascii="Arial" w:hAnsi="Arial" w:cs="Arial"/>
        </w:rPr>
        <w:t xml:space="preserve">tances included in each </w:t>
      </w:r>
      <w:r w:rsidR="004E6B3C" w:rsidRPr="00B37EF3">
        <w:rPr>
          <w:rFonts w:ascii="Arial" w:hAnsi="Arial" w:cs="Arial"/>
        </w:rPr>
        <w:t>inve</w:t>
      </w:r>
      <w:r w:rsidR="00744747" w:rsidRPr="00B37EF3">
        <w:rPr>
          <w:rFonts w:ascii="Arial" w:hAnsi="Arial" w:cs="Arial"/>
        </w:rPr>
        <w:t xml:space="preserve">ntory also vary from </w:t>
      </w:r>
      <w:r w:rsidR="004E6B3C" w:rsidRPr="00B37EF3">
        <w:rPr>
          <w:rFonts w:ascii="Arial" w:hAnsi="Arial" w:cs="Arial"/>
        </w:rPr>
        <w:t>jurisdi</w:t>
      </w:r>
      <w:r w:rsidR="00744747" w:rsidRPr="00B37EF3">
        <w:rPr>
          <w:rFonts w:ascii="Arial" w:hAnsi="Arial" w:cs="Arial"/>
        </w:rPr>
        <w:t>ction to jurisdiction</w:t>
      </w:r>
      <w:r w:rsidRPr="00B37EF3">
        <w:rPr>
          <w:rFonts w:ascii="Arial" w:hAnsi="Arial" w:cs="Arial"/>
        </w:rPr>
        <w:t xml:space="preserve"> </w:t>
      </w:r>
      <w:r w:rsidRPr="00B37EF3">
        <w:rPr>
          <w:rFonts w:ascii="Arial" w:hAnsi="Arial" w:cs="Arial"/>
          <w:b/>
        </w:rPr>
        <w:t>(</w:t>
      </w:r>
      <w:proofErr w:type="spellStart"/>
      <w:r w:rsidRPr="00B37EF3">
        <w:rPr>
          <w:rFonts w:ascii="Arial" w:hAnsi="Arial" w:cs="Arial"/>
          <w:b/>
        </w:rPr>
        <w:t>Bawden</w:t>
      </w:r>
      <w:proofErr w:type="spellEnd"/>
      <w:r w:rsidRPr="00B37EF3">
        <w:rPr>
          <w:rFonts w:ascii="Arial" w:hAnsi="Arial" w:cs="Arial"/>
          <w:b/>
        </w:rPr>
        <w:t xml:space="preserve"> </w:t>
      </w:r>
      <w:r w:rsidR="009334F4" w:rsidRPr="00B37EF3">
        <w:rPr>
          <w:rFonts w:ascii="Arial" w:hAnsi="Arial" w:cs="Arial"/>
          <w:b/>
        </w:rPr>
        <w:t>et al</w:t>
      </w:r>
      <w:r w:rsidRPr="00B37EF3">
        <w:rPr>
          <w:rFonts w:ascii="Arial" w:hAnsi="Arial" w:cs="Arial"/>
          <w:b/>
        </w:rPr>
        <w:t>. 2012)</w:t>
      </w:r>
      <w:r w:rsidRPr="00B37EF3">
        <w:rPr>
          <w:rFonts w:ascii="Arial" w:hAnsi="Arial" w:cs="Arial"/>
        </w:rPr>
        <w:t>.</w:t>
      </w:r>
      <w:r w:rsidR="004E6B3C" w:rsidRPr="00B37EF3">
        <w:rPr>
          <w:rFonts w:ascii="Arial" w:hAnsi="Arial" w:cs="Arial"/>
        </w:rPr>
        <w:t xml:space="preserve"> </w:t>
      </w:r>
    </w:p>
    <w:p w:rsidR="00C134CC" w:rsidRPr="00B37EF3" w:rsidRDefault="00C134CC" w:rsidP="000F787E">
      <w:pPr>
        <w:pStyle w:val="Heading3"/>
        <w:rPr>
          <w:rFonts w:ascii="Arial" w:hAnsi="Arial"/>
        </w:rPr>
      </w:pPr>
      <w:bookmarkStart w:id="82" w:name="_Toc394011106"/>
      <w:r w:rsidRPr="00B37EF3">
        <w:rPr>
          <w:rFonts w:ascii="Arial" w:hAnsi="Arial"/>
        </w:rPr>
        <w:lastRenderedPageBreak/>
        <w:t>Emission projections</w:t>
      </w:r>
      <w:bookmarkEnd w:id="82"/>
    </w:p>
    <w:p w:rsidR="00364F5C" w:rsidRPr="00B37EF3" w:rsidRDefault="00B410F6" w:rsidP="008501B3">
      <w:pPr>
        <w:spacing w:after="200"/>
        <w:rPr>
          <w:rFonts w:ascii="Arial" w:hAnsi="Arial" w:cs="Arial"/>
        </w:rPr>
      </w:pPr>
      <w:r w:rsidRPr="00B37EF3">
        <w:rPr>
          <w:rFonts w:ascii="Arial" w:hAnsi="Arial" w:cs="Arial"/>
        </w:rPr>
        <w:t xml:space="preserve">Projecting emissions into the future is very important for enabling policymakers to develop air quality management strategies. However, the quality of the emission projections in the different Australian jurisdictions varies substantially. </w:t>
      </w:r>
      <w:r w:rsidR="008A1D47" w:rsidRPr="00B37EF3">
        <w:rPr>
          <w:rFonts w:ascii="Arial" w:hAnsi="Arial" w:cs="Arial"/>
        </w:rPr>
        <w:t>Emission projections for PM</w:t>
      </w:r>
      <w:r w:rsidR="008A1D47" w:rsidRPr="00B37EF3">
        <w:rPr>
          <w:rFonts w:ascii="Arial" w:hAnsi="Arial" w:cs="Arial"/>
          <w:vertAlign w:val="subscript"/>
        </w:rPr>
        <w:t>10</w:t>
      </w:r>
      <w:r w:rsidR="008A1D47" w:rsidRPr="00B37EF3">
        <w:rPr>
          <w:rFonts w:ascii="Arial" w:hAnsi="Arial" w:cs="Arial"/>
        </w:rPr>
        <w:t xml:space="preserve"> and PM</w:t>
      </w:r>
      <w:r w:rsidR="008A1D47" w:rsidRPr="00B37EF3">
        <w:rPr>
          <w:rFonts w:ascii="Arial" w:hAnsi="Arial" w:cs="Arial"/>
          <w:vertAlign w:val="subscript"/>
        </w:rPr>
        <w:t>2.5</w:t>
      </w:r>
      <w:r w:rsidR="008A1D47" w:rsidRPr="00B37EF3">
        <w:rPr>
          <w:rFonts w:ascii="Arial" w:hAnsi="Arial" w:cs="Arial"/>
        </w:rPr>
        <w:t xml:space="preserve"> in each jur</w:t>
      </w:r>
      <w:r w:rsidRPr="00B37EF3">
        <w:rPr>
          <w:rFonts w:ascii="Arial" w:hAnsi="Arial" w:cs="Arial"/>
        </w:rPr>
        <w:t>isdiction under a</w:t>
      </w:r>
      <w:r w:rsidR="008A1D47" w:rsidRPr="00B37EF3">
        <w:rPr>
          <w:rFonts w:ascii="Arial" w:hAnsi="Arial" w:cs="Arial"/>
        </w:rPr>
        <w:t xml:space="preserve"> </w:t>
      </w:r>
      <w:r w:rsidR="00E047E2" w:rsidRPr="00B37EF3">
        <w:rPr>
          <w:rFonts w:ascii="Arial" w:hAnsi="Arial" w:cs="Arial"/>
        </w:rPr>
        <w:t>‘business-as-</w:t>
      </w:r>
      <w:r w:rsidRPr="00B37EF3">
        <w:rPr>
          <w:rFonts w:ascii="Arial" w:hAnsi="Arial" w:cs="Arial"/>
        </w:rPr>
        <w:t>usual’ (</w:t>
      </w:r>
      <w:r w:rsidR="008A1D47" w:rsidRPr="00B37EF3">
        <w:rPr>
          <w:rFonts w:ascii="Arial" w:hAnsi="Arial" w:cs="Arial"/>
        </w:rPr>
        <w:t>BAU</w:t>
      </w:r>
      <w:r w:rsidRPr="00B37EF3">
        <w:rPr>
          <w:rFonts w:ascii="Arial" w:hAnsi="Arial" w:cs="Arial"/>
        </w:rPr>
        <w:t>)</w:t>
      </w:r>
      <w:r w:rsidR="008A1D47" w:rsidRPr="00B37EF3">
        <w:rPr>
          <w:rFonts w:ascii="Arial" w:hAnsi="Arial" w:cs="Arial"/>
        </w:rPr>
        <w:t xml:space="preserve"> scenario </w:t>
      </w:r>
      <w:r w:rsidR="00C92196" w:rsidRPr="00B37EF3">
        <w:rPr>
          <w:rFonts w:ascii="Arial" w:hAnsi="Arial" w:cs="Arial"/>
        </w:rPr>
        <w:t>for the period 2011</w:t>
      </w:r>
      <w:r w:rsidR="00B44448" w:rsidRPr="00B37EF3">
        <w:rPr>
          <w:rFonts w:ascii="Arial" w:hAnsi="Arial" w:cs="Arial"/>
        </w:rPr>
        <w:t>–</w:t>
      </w:r>
      <w:r w:rsidR="00C92196" w:rsidRPr="00B37EF3">
        <w:rPr>
          <w:rFonts w:ascii="Arial" w:hAnsi="Arial" w:cs="Arial"/>
        </w:rPr>
        <w:t xml:space="preserve">2036 </w:t>
      </w:r>
      <w:r w:rsidR="008A1D47" w:rsidRPr="00B37EF3">
        <w:rPr>
          <w:rFonts w:ascii="Arial" w:hAnsi="Arial" w:cs="Arial"/>
        </w:rPr>
        <w:t xml:space="preserve">were derived in the Economic Analysis project </w:t>
      </w:r>
      <w:r w:rsidR="008A1D47" w:rsidRPr="00B37EF3">
        <w:rPr>
          <w:rFonts w:ascii="Arial" w:hAnsi="Arial" w:cs="Arial"/>
          <w:b/>
        </w:rPr>
        <w:t xml:space="preserve">(Boulter </w:t>
      </w:r>
      <w:r w:rsidR="00B44448" w:rsidRPr="00B37EF3">
        <w:rPr>
          <w:rFonts w:ascii="Arial" w:hAnsi="Arial" w:cs="Arial"/>
          <w:b/>
        </w:rPr>
        <w:t xml:space="preserve">&amp; </w:t>
      </w:r>
      <w:r w:rsidR="008A1D47" w:rsidRPr="00B37EF3">
        <w:rPr>
          <w:rFonts w:ascii="Arial" w:hAnsi="Arial" w:cs="Arial"/>
          <w:b/>
        </w:rPr>
        <w:t>Kulkarni 2013)</w:t>
      </w:r>
      <w:r w:rsidR="008A1D47" w:rsidRPr="00B37EF3">
        <w:rPr>
          <w:rFonts w:ascii="Arial" w:hAnsi="Arial" w:cs="Arial"/>
        </w:rPr>
        <w:t xml:space="preserve">. </w:t>
      </w:r>
      <w:r w:rsidRPr="00B37EF3">
        <w:rPr>
          <w:rFonts w:ascii="Arial" w:hAnsi="Arial" w:cs="Arial"/>
        </w:rPr>
        <w:t xml:space="preserve">The BAU scenario defined a base case against which the impacts of measures to reduce anthropogenic emissions could be evaluated. </w:t>
      </w:r>
      <w:r w:rsidR="00364F5C" w:rsidRPr="00B37EF3">
        <w:rPr>
          <w:rFonts w:ascii="Arial" w:hAnsi="Arial" w:cs="Arial"/>
        </w:rPr>
        <w:t xml:space="preserve">In the BAU scenario existing emission controls and expected trends </w:t>
      </w:r>
      <w:r w:rsidR="008501B3" w:rsidRPr="00B37EF3">
        <w:rPr>
          <w:rFonts w:ascii="Arial" w:hAnsi="Arial" w:cs="Arial"/>
        </w:rPr>
        <w:t xml:space="preserve">in economic activity, population growth and various other factors </w:t>
      </w:r>
      <w:r w:rsidR="00364F5C" w:rsidRPr="00B37EF3">
        <w:rPr>
          <w:rFonts w:ascii="Arial" w:hAnsi="Arial" w:cs="Arial"/>
        </w:rPr>
        <w:t xml:space="preserve">were allowed to continue, and there were no additional interventions to reduce air pollution. </w:t>
      </w:r>
    </w:p>
    <w:p w:rsidR="00AC7148" w:rsidRPr="00B37EF3" w:rsidRDefault="00B410F6" w:rsidP="00491187">
      <w:pPr>
        <w:widowControl w:val="0"/>
        <w:spacing w:after="160"/>
        <w:rPr>
          <w:rFonts w:ascii="Arial" w:hAnsi="Arial" w:cs="Arial"/>
          <w:color w:val="000000"/>
        </w:rPr>
      </w:pPr>
      <w:r w:rsidRPr="00B37EF3">
        <w:rPr>
          <w:rFonts w:ascii="Arial" w:hAnsi="Arial" w:cs="Arial"/>
        </w:rPr>
        <w:t>T</w:t>
      </w:r>
      <w:r w:rsidR="00AC7148" w:rsidRPr="00B37EF3">
        <w:rPr>
          <w:rFonts w:ascii="Arial" w:hAnsi="Arial" w:cs="Arial"/>
        </w:rPr>
        <w:t xml:space="preserve">he approaches for NSW and Victoria were more </w:t>
      </w:r>
      <w:r w:rsidR="00AC7148" w:rsidRPr="00B37EF3">
        <w:rPr>
          <w:rFonts w:ascii="Arial" w:hAnsi="Arial" w:cs="Arial"/>
          <w:color w:val="000000"/>
        </w:rPr>
        <w:t xml:space="preserve">sophisticated than those for the other jurisdictions, and were based upon the projections supplied by </w:t>
      </w:r>
      <w:r w:rsidR="00744747" w:rsidRPr="00B37EF3">
        <w:rPr>
          <w:rFonts w:ascii="Arial" w:hAnsi="Arial" w:cs="Arial"/>
          <w:color w:val="000000"/>
        </w:rPr>
        <w:t>the respective EPAs. To fill any</w:t>
      </w:r>
      <w:r w:rsidR="00AC7148" w:rsidRPr="00B37EF3">
        <w:rPr>
          <w:rFonts w:ascii="Arial" w:hAnsi="Arial" w:cs="Arial"/>
          <w:color w:val="000000"/>
        </w:rPr>
        <w:t xml:space="preserve"> gaps in the NSW and Victoria data</w:t>
      </w:r>
      <w:r w:rsidR="00744747" w:rsidRPr="00B37EF3">
        <w:rPr>
          <w:rStyle w:val="FootnoteReference"/>
          <w:rFonts w:ascii="Arial" w:hAnsi="Arial" w:cs="Arial"/>
          <w:color w:val="000000"/>
        </w:rPr>
        <w:footnoteReference w:id="21"/>
      </w:r>
      <w:r w:rsidR="00AC7148" w:rsidRPr="00B37EF3">
        <w:rPr>
          <w:rFonts w:ascii="Arial" w:hAnsi="Arial" w:cs="Arial"/>
          <w:color w:val="000000"/>
        </w:rPr>
        <w:t>, and also to determine the projections for the other jurisdictions, some basic assumptions were made concerning future activity and emissions relative to the original inventories. Emissions were estimated using a combination of the following:</w:t>
      </w:r>
    </w:p>
    <w:p w:rsidR="00AC7148" w:rsidRPr="00B37EF3" w:rsidRDefault="00024BFF" w:rsidP="00CF10DD">
      <w:pPr>
        <w:pStyle w:val="BulletArrows"/>
        <w:widowControl w:val="0"/>
        <w:numPr>
          <w:ilvl w:val="0"/>
          <w:numId w:val="97"/>
        </w:numPr>
        <w:spacing w:after="160"/>
        <w:rPr>
          <w:rFonts w:ascii="Arial" w:hAnsi="Arial"/>
        </w:rPr>
      </w:pPr>
      <w:r w:rsidRPr="00B37EF3">
        <w:rPr>
          <w:rFonts w:ascii="Arial" w:hAnsi="Arial"/>
        </w:rPr>
        <w:t>p</w:t>
      </w:r>
      <w:r w:rsidR="00AC7148" w:rsidRPr="00B37EF3">
        <w:rPr>
          <w:rFonts w:ascii="Arial" w:hAnsi="Arial"/>
        </w:rPr>
        <w:t xml:space="preserve">opulation projections for the states and the main conurbations from </w:t>
      </w:r>
      <w:r w:rsidR="00AC7148" w:rsidRPr="00B37EF3">
        <w:rPr>
          <w:rFonts w:ascii="Arial" w:hAnsi="Arial"/>
          <w:b/>
        </w:rPr>
        <w:t>ABS (2008)</w:t>
      </w:r>
    </w:p>
    <w:p w:rsidR="00AC7148" w:rsidRPr="00B37EF3" w:rsidRDefault="00024BFF" w:rsidP="00CF10DD">
      <w:pPr>
        <w:pStyle w:val="BulletArrows"/>
        <w:widowControl w:val="0"/>
        <w:numPr>
          <w:ilvl w:val="0"/>
          <w:numId w:val="97"/>
        </w:numPr>
        <w:spacing w:after="160"/>
        <w:rPr>
          <w:rFonts w:ascii="Arial" w:hAnsi="Arial"/>
        </w:rPr>
      </w:pPr>
      <w:proofErr w:type="gramStart"/>
      <w:r w:rsidRPr="00B37EF3">
        <w:rPr>
          <w:rFonts w:ascii="Arial" w:hAnsi="Arial"/>
        </w:rPr>
        <w:t>e</w:t>
      </w:r>
      <w:r w:rsidR="00AC7148" w:rsidRPr="00B37EF3">
        <w:rPr>
          <w:rFonts w:ascii="Arial" w:hAnsi="Arial"/>
        </w:rPr>
        <w:t>conomic</w:t>
      </w:r>
      <w:proofErr w:type="gramEnd"/>
      <w:r w:rsidR="00AC7148" w:rsidRPr="00B37EF3">
        <w:rPr>
          <w:rFonts w:ascii="Arial" w:hAnsi="Arial"/>
        </w:rPr>
        <w:t xml:space="preserve"> growth based on historical ‘gross value added’ (GVA) by industry from</w:t>
      </w:r>
      <w:r w:rsidR="00237704" w:rsidRPr="00B37EF3">
        <w:rPr>
          <w:rFonts w:ascii="Arial" w:hAnsi="Arial"/>
        </w:rPr>
        <w:t xml:space="preserve"> Australian Bureau of Statistics (</w:t>
      </w:r>
      <w:r w:rsidR="00AC7148" w:rsidRPr="00B37EF3">
        <w:rPr>
          <w:rFonts w:ascii="Arial" w:hAnsi="Arial"/>
        </w:rPr>
        <w:t>ABS</w:t>
      </w:r>
      <w:r w:rsidR="00237704" w:rsidRPr="00B37EF3">
        <w:rPr>
          <w:rFonts w:ascii="Arial" w:hAnsi="Arial"/>
        </w:rPr>
        <w:t>)</w:t>
      </w:r>
      <w:r w:rsidR="00AC7148" w:rsidRPr="00B37EF3">
        <w:rPr>
          <w:rFonts w:ascii="Arial" w:hAnsi="Arial"/>
        </w:rPr>
        <w:t xml:space="preserve"> Catalogue 5220.0 (</w:t>
      </w:r>
      <w:r w:rsidR="00AC7148" w:rsidRPr="00B37EF3">
        <w:rPr>
          <w:rFonts w:ascii="Arial" w:hAnsi="Arial"/>
          <w:i/>
        </w:rPr>
        <w:t xml:space="preserve">Australian National Accounts </w:t>
      </w:r>
      <w:r w:rsidRPr="00B37EF3">
        <w:rPr>
          <w:rFonts w:ascii="Arial" w:hAnsi="Arial"/>
          <w:i/>
        </w:rPr>
        <w:t>–</w:t>
      </w:r>
      <w:r w:rsidR="00AC7148" w:rsidRPr="00B37EF3">
        <w:rPr>
          <w:rFonts w:ascii="Arial" w:hAnsi="Arial"/>
          <w:i/>
        </w:rPr>
        <w:t xml:space="preserve"> State Accounts</w:t>
      </w:r>
      <w:r w:rsidR="00AC7148" w:rsidRPr="00B37EF3">
        <w:rPr>
          <w:rFonts w:ascii="Arial" w:hAnsi="Arial"/>
        </w:rPr>
        <w:t>)</w:t>
      </w:r>
      <w:r w:rsidR="00AC7148" w:rsidRPr="00B37EF3">
        <w:rPr>
          <w:rStyle w:val="FootnoteReference"/>
          <w:rFonts w:ascii="Arial" w:hAnsi="Arial"/>
        </w:rPr>
        <w:footnoteReference w:id="22"/>
      </w:r>
      <w:r w:rsidR="00166F7D" w:rsidRPr="00B37EF3">
        <w:rPr>
          <w:rFonts w:ascii="Arial" w:hAnsi="Arial"/>
        </w:rPr>
        <w:t xml:space="preserve">. Annual average </w:t>
      </w:r>
      <w:r w:rsidR="00AC7148" w:rsidRPr="00B37EF3">
        <w:rPr>
          <w:rFonts w:ascii="Arial" w:hAnsi="Arial"/>
        </w:rPr>
        <w:t>changes in GVA were determined for each state and for each type of industry</w:t>
      </w:r>
    </w:p>
    <w:p w:rsidR="00AC7148" w:rsidRPr="00B37EF3" w:rsidRDefault="00024BFF" w:rsidP="00CF10DD">
      <w:pPr>
        <w:pStyle w:val="BulletArrows"/>
        <w:numPr>
          <w:ilvl w:val="0"/>
          <w:numId w:val="97"/>
        </w:numPr>
        <w:spacing w:after="240"/>
        <w:rPr>
          <w:rFonts w:ascii="Arial" w:hAnsi="Arial"/>
        </w:rPr>
      </w:pPr>
      <w:proofErr w:type="gramStart"/>
      <w:r w:rsidRPr="00B37EF3">
        <w:rPr>
          <w:rFonts w:ascii="Arial" w:hAnsi="Arial"/>
        </w:rPr>
        <w:t>n</w:t>
      </w:r>
      <w:r w:rsidR="00AC7148" w:rsidRPr="00B37EF3">
        <w:rPr>
          <w:rFonts w:ascii="Arial" w:hAnsi="Arial"/>
        </w:rPr>
        <w:t>ational</w:t>
      </w:r>
      <w:proofErr w:type="gramEnd"/>
      <w:r w:rsidR="00AC7148" w:rsidRPr="00B37EF3">
        <w:rPr>
          <w:rFonts w:ascii="Arial" w:hAnsi="Arial"/>
        </w:rPr>
        <w:t xml:space="preserve"> projections of PM</w:t>
      </w:r>
      <w:r w:rsidR="00AC7148" w:rsidRPr="00B37EF3">
        <w:rPr>
          <w:rFonts w:ascii="Arial" w:hAnsi="Arial"/>
          <w:vertAlign w:val="subscript"/>
        </w:rPr>
        <w:t>10</w:t>
      </w:r>
      <w:r w:rsidR="00AC7148" w:rsidRPr="00B37EF3">
        <w:rPr>
          <w:rFonts w:ascii="Arial" w:hAnsi="Arial"/>
        </w:rPr>
        <w:t xml:space="preserve"> and PM</w:t>
      </w:r>
      <w:r w:rsidR="00AC7148" w:rsidRPr="00B37EF3">
        <w:rPr>
          <w:rFonts w:ascii="Arial" w:hAnsi="Arial"/>
          <w:vertAlign w:val="subscript"/>
        </w:rPr>
        <w:t>2.5</w:t>
      </w:r>
      <w:r w:rsidR="00AC7148" w:rsidRPr="00B37EF3">
        <w:rPr>
          <w:rFonts w:ascii="Arial" w:hAnsi="Arial"/>
        </w:rPr>
        <w:t xml:space="preserve"> emissions from </w:t>
      </w:r>
      <w:r w:rsidR="00AC7148" w:rsidRPr="00B37EF3">
        <w:rPr>
          <w:rFonts w:ascii="Arial" w:hAnsi="Arial"/>
          <w:b/>
        </w:rPr>
        <w:t>BITRE (2010)</w:t>
      </w:r>
      <w:r w:rsidR="00AC7148" w:rsidRPr="00B37EF3">
        <w:rPr>
          <w:rFonts w:ascii="Arial" w:hAnsi="Arial"/>
        </w:rPr>
        <w:t>, which were used to fill gaps for road vehicles and other transport modes.</w:t>
      </w:r>
    </w:p>
    <w:p w:rsidR="00C92196" w:rsidRPr="00B37EF3" w:rsidRDefault="00C92196" w:rsidP="00C92196">
      <w:pPr>
        <w:rPr>
          <w:rFonts w:ascii="Arial" w:hAnsi="Arial" w:cs="Arial"/>
        </w:rPr>
      </w:pPr>
      <w:r w:rsidRPr="00B37EF3">
        <w:rPr>
          <w:rFonts w:ascii="Arial" w:hAnsi="Arial" w:cs="Arial"/>
        </w:rPr>
        <w:t xml:space="preserve">The projections are shown in </w:t>
      </w:r>
      <w:r w:rsidR="00DB7A31">
        <w:rPr>
          <w:rFonts w:ascii="Arial" w:hAnsi="Arial" w:cs="Arial"/>
        </w:rPr>
        <w:t>Figure 5.3 to Figure 5.10. It should be n</w:t>
      </w:r>
      <w:r w:rsidRPr="00B37EF3">
        <w:rPr>
          <w:rFonts w:ascii="Arial" w:hAnsi="Arial" w:cs="Arial"/>
        </w:rPr>
        <w:t xml:space="preserve">oted that the nomenclature used in the </w:t>
      </w:r>
      <w:r w:rsidR="00B44448" w:rsidRPr="00B37EF3">
        <w:rPr>
          <w:rFonts w:ascii="Arial" w:hAnsi="Arial" w:cs="Arial"/>
        </w:rPr>
        <w:t xml:space="preserve">emissions </w:t>
      </w:r>
      <w:r w:rsidRPr="00B37EF3">
        <w:rPr>
          <w:rFonts w:ascii="Arial" w:hAnsi="Arial" w:cs="Arial"/>
        </w:rPr>
        <w:t>inventory varied from jurisdiction to jurisdiction. Consequently, the sectors of activity in the graphs are not always directly comparable between jurisdictions.</w:t>
      </w:r>
    </w:p>
    <w:p w:rsidR="004762BB" w:rsidRPr="00B37EF3" w:rsidRDefault="00C92196" w:rsidP="00C92196">
      <w:pPr>
        <w:rPr>
          <w:rFonts w:ascii="Arial" w:hAnsi="Arial" w:cs="Arial"/>
        </w:rPr>
      </w:pPr>
      <w:r w:rsidRPr="00B37EF3">
        <w:rPr>
          <w:rFonts w:ascii="Arial" w:hAnsi="Arial" w:cs="Arial"/>
        </w:rPr>
        <w:t xml:space="preserve">It can be seen that </w:t>
      </w:r>
      <w:r w:rsidR="00055F84" w:rsidRPr="00B37EF3">
        <w:rPr>
          <w:rFonts w:ascii="Arial" w:hAnsi="Arial" w:cs="Arial"/>
        </w:rPr>
        <w:t>in all jurisdictions emissions of PM</w:t>
      </w:r>
      <w:r w:rsidR="00055F84" w:rsidRPr="00B37EF3">
        <w:rPr>
          <w:rFonts w:ascii="Arial" w:hAnsi="Arial" w:cs="Arial"/>
          <w:vertAlign w:val="subscript"/>
        </w:rPr>
        <w:t>10</w:t>
      </w:r>
      <w:r w:rsidR="00055F84" w:rsidRPr="00B37EF3">
        <w:rPr>
          <w:rFonts w:ascii="Arial" w:hAnsi="Arial" w:cs="Arial"/>
        </w:rPr>
        <w:t xml:space="preserve"> and PM</w:t>
      </w:r>
      <w:r w:rsidR="00055F84" w:rsidRPr="00B37EF3">
        <w:rPr>
          <w:rFonts w:ascii="Arial" w:hAnsi="Arial" w:cs="Arial"/>
          <w:vertAlign w:val="subscript"/>
        </w:rPr>
        <w:t>2.5</w:t>
      </w:r>
      <w:r w:rsidR="00055F84" w:rsidRPr="00B37EF3">
        <w:rPr>
          <w:rFonts w:ascii="Arial" w:hAnsi="Arial" w:cs="Arial"/>
        </w:rPr>
        <w:t xml:space="preserve"> were projected to increase between 2011 and 2036, although </w:t>
      </w:r>
      <w:r w:rsidRPr="00B37EF3">
        <w:rPr>
          <w:rFonts w:ascii="Arial" w:hAnsi="Arial" w:cs="Arial"/>
        </w:rPr>
        <w:t>the p</w:t>
      </w:r>
      <w:r w:rsidR="00CE7705" w:rsidRPr="00B37EF3">
        <w:rPr>
          <w:rFonts w:ascii="Arial" w:hAnsi="Arial" w:cs="Arial"/>
        </w:rPr>
        <w:t>rojections varied considerably</w:t>
      </w:r>
      <w:r w:rsidRPr="00B37EF3">
        <w:rPr>
          <w:rFonts w:ascii="Arial" w:hAnsi="Arial" w:cs="Arial"/>
        </w:rPr>
        <w:t xml:space="preserve">. In some jurisdictions the projections indicated a substantial increase in emissions between 2011 and 2036. For example, </w:t>
      </w:r>
      <w:r w:rsidR="00055F84" w:rsidRPr="00B37EF3">
        <w:rPr>
          <w:rFonts w:ascii="Arial" w:hAnsi="Arial" w:cs="Arial"/>
        </w:rPr>
        <w:t>in NSW, Queensland and WA there was an increase in PM</w:t>
      </w:r>
      <w:r w:rsidR="00055F84" w:rsidRPr="00B37EF3">
        <w:rPr>
          <w:rFonts w:ascii="Arial" w:hAnsi="Arial" w:cs="Arial"/>
          <w:vertAlign w:val="subscript"/>
        </w:rPr>
        <w:t>10</w:t>
      </w:r>
      <w:r w:rsidR="00055F84" w:rsidRPr="00B37EF3">
        <w:rPr>
          <w:rFonts w:ascii="Arial" w:hAnsi="Arial" w:cs="Arial"/>
        </w:rPr>
        <w:t xml:space="preserve"> emissions of around 65%, whereas in Victoria and SA it was around 10%. The increase in PM</w:t>
      </w:r>
      <w:r w:rsidR="00055F84" w:rsidRPr="00B37EF3">
        <w:rPr>
          <w:rFonts w:ascii="Arial" w:hAnsi="Arial" w:cs="Arial"/>
          <w:vertAlign w:val="subscript"/>
        </w:rPr>
        <w:t>2.5</w:t>
      </w:r>
      <w:r w:rsidR="00055F84" w:rsidRPr="00B37EF3">
        <w:rPr>
          <w:rFonts w:ascii="Arial" w:hAnsi="Arial" w:cs="Arial"/>
        </w:rPr>
        <w:t xml:space="preserve"> emissions ranged from 8% in Victoria to around 65% in WA.</w:t>
      </w:r>
    </w:p>
    <w:p w:rsidR="00C92196" w:rsidRDefault="004762BB" w:rsidP="00C92196">
      <w:pPr>
        <w:rPr>
          <w:rFonts w:ascii="Arial" w:hAnsi="Arial" w:cs="Arial"/>
        </w:rPr>
      </w:pPr>
      <w:r w:rsidRPr="00B37EF3">
        <w:rPr>
          <w:rFonts w:ascii="Arial" w:hAnsi="Arial" w:cs="Arial"/>
        </w:rPr>
        <w:t>In addition, the most important sectors of activity were different in each jurisdiction. In NSW the most important source of PM</w:t>
      </w:r>
      <w:r w:rsidRPr="00B37EF3">
        <w:rPr>
          <w:rFonts w:ascii="Arial" w:hAnsi="Arial" w:cs="Arial"/>
          <w:vertAlign w:val="subscript"/>
        </w:rPr>
        <w:t>10</w:t>
      </w:r>
      <w:r w:rsidRPr="00B37EF3">
        <w:rPr>
          <w:rFonts w:ascii="Arial" w:hAnsi="Arial" w:cs="Arial"/>
        </w:rPr>
        <w:t xml:space="preserve"> and PM</w:t>
      </w:r>
      <w:r w:rsidRPr="00B37EF3">
        <w:rPr>
          <w:rFonts w:ascii="Arial" w:hAnsi="Arial" w:cs="Arial"/>
          <w:vertAlign w:val="subscript"/>
        </w:rPr>
        <w:t>2.5</w:t>
      </w:r>
      <w:r w:rsidRPr="00B37EF3">
        <w:rPr>
          <w:rFonts w:ascii="Arial" w:hAnsi="Arial" w:cs="Arial"/>
        </w:rPr>
        <w:t xml:space="preserve"> was coal dust, and this sector was responsible for most of the projected growth in emissions. Domestic/commercial sources (notably wood heaters)</w:t>
      </w:r>
      <w:r w:rsidR="00CE7705" w:rsidRPr="00B37EF3">
        <w:rPr>
          <w:rFonts w:ascii="Arial" w:hAnsi="Arial" w:cs="Arial"/>
        </w:rPr>
        <w:t xml:space="preserve"> were the most important </w:t>
      </w:r>
      <w:r w:rsidRPr="00B37EF3">
        <w:rPr>
          <w:rFonts w:ascii="Arial" w:hAnsi="Arial" w:cs="Arial"/>
        </w:rPr>
        <w:t xml:space="preserve">in Tasmania. </w:t>
      </w:r>
      <w:r w:rsidR="003318C6" w:rsidRPr="00B37EF3">
        <w:rPr>
          <w:rFonts w:ascii="Arial" w:hAnsi="Arial" w:cs="Arial"/>
        </w:rPr>
        <w:t xml:space="preserve">In Victoria, the largest sources are wood heaters, industry and diesel vehicles. </w:t>
      </w:r>
      <w:r w:rsidRPr="00B37EF3">
        <w:rPr>
          <w:rFonts w:ascii="Arial" w:hAnsi="Arial" w:cs="Arial"/>
        </w:rPr>
        <w:t>Mobile sou</w:t>
      </w:r>
      <w:r w:rsidR="006B4A70" w:rsidRPr="00B37EF3">
        <w:rPr>
          <w:rFonts w:ascii="Arial" w:hAnsi="Arial" w:cs="Arial"/>
        </w:rPr>
        <w:t>rces were also important contributors to</w:t>
      </w:r>
      <w:r w:rsidRPr="00B37EF3">
        <w:rPr>
          <w:rFonts w:ascii="Arial" w:hAnsi="Arial" w:cs="Arial"/>
        </w:rPr>
        <w:t xml:space="preserve"> PM</w:t>
      </w:r>
      <w:r w:rsidRPr="00B37EF3">
        <w:rPr>
          <w:rFonts w:ascii="Arial" w:hAnsi="Arial" w:cs="Arial"/>
          <w:vertAlign w:val="subscript"/>
        </w:rPr>
        <w:t>10</w:t>
      </w:r>
      <w:r w:rsidRPr="00B37EF3">
        <w:rPr>
          <w:rFonts w:ascii="Arial" w:hAnsi="Arial" w:cs="Arial"/>
        </w:rPr>
        <w:t xml:space="preserve"> and PM</w:t>
      </w:r>
      <w:r w:rsidRPr="00B37EF3">
        <w:rPr>
          <w:rFonts w:ascii="Arial" w:hAnsi="Arial" w:cs="Arial"/>
          <w:vertAlign w:val="subscript"/>
        </w:rPr>
        <w:t>2.5</w:t>
      </w:r>
      <w:r w:rsidRPr="00B37EF3">
        <w:rPr>
          <w:rFonts w:ascii="Arial" w:hAnsi="Arial" w:cs="Arial"/>
        </w:rPr>
        <w:t xml:space="preserve"> in some jurisdictions.</w:t>
      </w:r>
    </w:p>
    <w:p w:rsidR="00160CF6" w:rsidRDefault="00160CF6" w:rsidP="00C92196">
      <w:pPr>
        <w:rPr>
          <w:rFonts w:ascii="Arial" w:hAnsi="Arial" w:cs="Arial"/>
        </w:rPr>
      </w:pPr>
    </w:p>
    <w:p w:rsidR="00160CF6" w:rsidRPr="006A5626" w:rsidRDefault="00160CF6" w:rsidP="006A5626">
      <w:pPr>
        <w:pStyle w:val="Caption"/>
      </w:pPr>
      <w:r>
        <w:br w:type="page"/>
      </w:r>
      <w:r w:rsidRPr="006A5626">
        <w:lastRenderedPageBreak/>
        <w:t xml:space="preserve">Figure </w:t>
      </w:r>
      <w:r w:rsidR="00BF6019" w:rsidRPr="006A5626">
        <w:fldChar w:fldCharType="begin"/>
      </w:r>
      <w:r w:rsidRPr="006A5626">
        <w:instrText xml:space="preserve"> STYLEREF 1 \s </w:instrText>
      </w:r>
      <w:r w:rsidR="00BF6019" w:rsidRPr="006A5626">
        <w:fldChar w:fldCharType="separate"/>
      </w:r>
      <w:r w:rsidR="0085182E">
        <w:rPr>
          <w:noProof/>
        </w:rPr>
        <w:t>5</w:t>
      </w:r>
      <w:r w:rsidR="00BF6019" w:rsidRPr="006A5626">
        <w:fldChar w:fldCharType="end"/>
      </w:r>
      <w:r w:rsidRPr="006A5626">
        <w:t>.</w:t>
      </w:r>
      <w:r w:rsidR="00BF6019" w:rsidRPr="006A5626">
        <w:fldChar w:fldCharType="begin"/>
      </w:r>
      <w:r w:rsidRPr="006A5626">
        <w:instrText xml:space="preserve"> SEQ Figure \* ARABIC \s 1 </w:instrText>
      </w:r>
      <w:r w:rsidR="00BF6019" w:rsidRPr="006A5626">
        <w:fldChar w:fldCharType="separate"/>
      </w:r>
      <w:r w:rsidR="0085182E">
        <w:rPr>
          <w:noProof/>
        </w:rPr>
        <w:t>3</w:t>
      </w:r>
      <w:r w:rsidR="00BF6019" w:rsidRPr="006A5626">
        <w:fldChar w:fldCharType="end"/>
      </w:r>
      <w:r w:rsidRPr="006A5626">
        <w:t xml:space="preserve">: Projected emissions of PM10 and PM2.5 in NSW (Sydney GMR </w:t>
      </w:r>
      <w:proofErr w:type="spellStart"/>
      <w:r w:rsidRPr="006A5626">
        <w:t>airshed</w:t>
      </w:r>
      <w:proofErr w:type="spellEnd"/>
      <w:r w:rsidRPr="006A5626">
        <w:t>)</w:t>
      </w:r>
    </w:p>
    <w:p w:rsidR="00364F5C" w:rsidRPr="006574FD" w:rsidRDefault="006D7F17" w:rsidP="00C92196">
      <w:pPr>
        <w:spacing w:after="80" w:line="240" w:lineRule="auto"/>
        <w:jc w:val="center"/>
        <w:rPr>
          <w:rFonts w:ascii="Arial" w:hAnsi="Arial" w:cs="Arial"/>
          <w:i/>
          <w:color w:val="FF0000"/>
        </w:rPr>
      </w:pPr>
      <w:r>
        <w:rPr>
          <w:rFonts w:ascii="Arial" w:hAnsi="Arial" w:cs="Arial"/>
          <w:i/>
          <w:noProof/>
        </w:rPr>
        <w:drawing>
          <wp:inline distT="0" distB="0" distL="0" distR="0">
            <wp:extent cx="5543550" cy="1838325"/>
            <wp:effectExtent l="19050" t="19050" r="19050" b="28575"/>
            <wp:docPr id="7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28" t="1794" r="3244" b="2010"/>
                    <a:stretch>
                      <a:fillRect/>
                    </a:stretch>
                  </pic:blipFill>
                  <pic:spPr bwMode="auto">
                    <a:xfrm>
                      <a:off x="0" y="0"/>
                      <a:ext cx="5543550" cy="1838325"/>
                    </a:xfrm>
                    <a:prstGeom prst="rect">
                      <a:avLst/>
                    </a:prstGeom>
                    <a:noFill/>
                    <a:ln w="6350">
                      <a:solidFill>
                        <a:srgbClr val="0070C0"/>
                      </a:solidFill>
                      <a:miter lim="800000"/>
                      <a:headEnd/>
                      <a:tailEnd/>
                    </a:ln>
                    <a:effectLst/>
                  </pic:spPr>
                </pic:pic>
              </a:graphicData>
            </a:graphic>
          </wp:inline>
        </w:drawing>
      </w:r>
    </w:p>
    <w:p w:rsidR="00160CF6" w:rsidRDefault="00160CF6" w:rsidP="00016295">
      <w:pPr>
        <w:spacing w:after="0" w:line="240" w:lineRule="auto"/>
        <w:rPr>
          <w:rFonts w:ascii="Arial" w:hAnsi="Arial" w:cs="Arial"/>
        </w:rPr>
      </w:pPr>
      <w:bookmarkStart w:id="83" w:name="_Ref352522502"/>
    </w:p>
    <w:p w:rsidR="00160CF6" w:rsidRDefault="00160CF6" w:rsidP="00016295">
      <w:pPr>
        <w:spacing w:after="0" w:line="240" w:lineRule="auto"/>
        <w:rPr>
          <w:rFonts w:ascii="Arial" w:hAnsi="Arial" w:cs="Arial"/>
        </w:rPr>
      </w:pPr>
    </w:p>
    <w:p w:rsidR="00160CF6" w:rsidRDefault="00160CF6" w:rsidP="00016295">
      <w:pPr>
        <w:spacing w:after="0" w:line="240" w:lineRule="auto"/>
        <w:rPr>
          <w:rFonts w:ascii="Arial" w:hAnsi="Arial" w:cs="Arial"/>
        </w:rPr>
      </w:pPr>
    </w:p>
    <w:p w:rsidR="00160CF6" w:rsidRPr="006A5626" w:rsidRDefault="00160CF6" w:rsidP="006A5626">
      <w:pPr>
        <w:pStyle w:val="Caption"/>
      </w:pPr>
      <w:r w:rsidRPr="006A5626">
        <w:t xml:space="preserve">Figure </w:t>
      </w:r>
      <w:r w:rsidR="00BF6019" w:rsidRPr="006A5626">
        <w:fldChar w:fldCharType="begin"/>
      </w:r>
      <w:r w:rsidRPr="006A5626">
        <w:instrText xml:space="preserve"> STYLEREF 1 \s </w:instrText>
      </w:r>
      <w:r w:rsidR="00BF6019" w:rsidRPr="006A5626">
        <w:fldChar w:fldCharType="separate"/>
      </w:r>
      <w:r w:rsidR="0085182E">
        <w:rPr>
          <w:noProof/>
        </w:rPr>
        <w:t>5</w:t>
      </w:r>
      <w:r w:rsidR="00BF6019" w:rsidRPr="006A5626">
        <w:fldChar w:fldCharType="end"/>
      </w:r>
      <w:r w:rsidRPr="006A5626">
        <w:t>.</w:t>
      </w:r>
      <w:r w:rsidR="00BF6019" w:rsidRPr="006A5626">
        <w:fldChar w:fldCharType="begin"/>
      </w:r>
      <w:r w:rsidRPr="006A5626">
        <w:instrText xml:space="preserve"> SEQ Figure \* ARABIC \s 1 </w:instrText>
      </w:r>
      <w:r w:rsidR="00BF6019" w:rsidRPr="006A5626">
        <w:fldChar w:fldCharType="separate"/>
      </w:r>
      <w:r w:rsidR="0085182E">
        <w:rPr>
          <w:noProof/>
        </w:rPr>
        <w:t>4</w:t>
      </w:r>
      <w:r w:rsidR="00BF6019" w:rsidRPr="006A5626">
        <w:fldChar w:fldCharType="end"/>
      </w:r>
      <w:r w:rsidRPr="006A5626">
        <w:t xml:space="preserve">: Projected emissions of PM10 and PM2.5 in VIC (Port Phillip </w:t>
      </w:r>
      <w:proofErr w:type="spellStart"/>
      <w:r w:rsidRPr="006A5626">
        <w:t>airshed</w:t>
      </w:r>
      <w:proofErr w:type="spellEnd"/>
      <w:r w:rsidRPr="006A5626">
        <w:t>)</w:t>
      </w:r>
    </w:p>
    <w:bookmarkEnd w:id="83"/>
    <w:p w:rsidR="00D406CC" w:rsidRPr="00B37EF3" w:rsidRDefault="006D7F17" w:rsidP="00C92196">
      <w:pPr>
        <w:spacing w:after="80" w:line="240" w:lineRule="auto"/>
        <w:jc w:val="center"/>
        <w:rPr>
          <w:rFonts w:ascii="Arial" w:hAnsi="Arial" w:cs="Arial"/>
          <w:color w:val="FF0000"/>
        </w:rPr>
      </w:pPr>
      <w:r w:rsidRPr="00B37EF3">
        <w:rPr>
          <w:rFonts w:ascii="Arial" w:hAnsi="Arial" w:cs="Arial"/>
          <w:noProof/>
        </w:rPr>
        <w:drawing>
          <wp:inline distT="0" distB="0" distL="0" distR="0">
            <wp:extent cx="5549900" cy="1860550"/>
            <wp:effectExtent l="19050" t="19050" r="12700" b="25400"/>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28" r="2963" b="1794"/>
                    <a:stretch>
                      <a:fillRect/>
                    </a:stretch>
                  </pic:blipFill>
                  <pic:spPr bwMode="auto">
                    <a:xfrm>
                      <a:off x="0" y="0"/>
                      <a:ext cx="5549900" cy="1860550"/>
                    </a:xfrm>
                    <a:prstGeom prst="rect">
                      <a:avLst/>
                    </a:prstGeom>
                    <a:noFill/>
                    <a:ln w="6350" cmpd="sng">
                      <a:solidFill>
                        <a:srgbClr val="0070C0"/>
                      </a:solidFill>
                      <a:miter lim="800000"/>
                      <a:headEnd/>
                      <a:tailEnd/>
                    </a:ln>
                    <a:effectLst/>
                  </pic:spPr>
                </pic:pic>
              </a:graphicData>
            </a:graphic>
          </wp:inline>
        </w:drawing>
      </w:r>
    </w:p>
    <w:p w:rsidR="00160CF6" w:rsidRDefault="00160CF6" w:rsidP="006A5626">
      <w:pPr>
        <w:pStyle w:val="Caption"/>
      </w:pPr>
    </w:p>
    <w:p w:rsidR="00160CF6" w:rsidRPr="008839CB" w:rsidRDefault="00160CF6" w:rsidP="006A5626"/>
    <w:p w:rsidR="00160CF6" w:rsidRDefault="00160CF6" w:rsidP="006A5626">
      <w:pPr>
        <w:pStyle w:val="Caption"/>
      </w:pPr>
      <w:r w:rsidRPr="00B37EF3">
        <w:t xml:space="preserve">Figure </w:t>
      </w:r>
      <w:r w:rsidR="00BF6019" w:rsidRPr="00B37EF3">
        <w:fldChar w:fldCharType="begin"/>
      </w:r>
      <w:r w:rsidRPr="00B37EF3">
        <w:instrText xml:space="preserve"> STYLEREF 1 \s </w:instrText>
      </w:r>
      <w:r w:rsidR="00BF6019" w:rsidRPr="00B37EF3">
        <w:fldChar w:fldCharType="separate"/>
      </w:r>
      <w:r w:rsidR="0085182E">
        <w:rPr>
          <w:noProof/>
        </w:rPr>
        <w:t>5</w:t>
      </w:r>
      <w:r w:rsidR="00BF6019" w:rsidRPr="00B37EF3">
        <w:fldChar w:fldCharType="end"/>
      </w:r>
      <w:r w:rsidRPr="00B37EF3">
        <w:t>.</w:t>
      </w:r>
      <w:r w:rsidR="00BF6019" w:rsidRPr="00B37EF3">
        <w:fldChar w:fldCharType="begin"/>
      </w:r>
      <w:r w:rsidRPr="00B37EF3">
        <w:instrText xml:space="preserve"> SEQ Figure \* ARABIC \s 1 </w:instrText>
      </w:r>
      <w:r w:rsidR="00BF6019" w:rsidRPr="00B37EF3">
        <w:fldChar w:fldCharType="separate"/>
      </w:r>
      <w:r w:rsidR="0085182E">
        <w:rPr>
          <w:noProof/>
        </w:rPr>
        <w:t>5</w:t>
      </w:r>
      <w:r w:rsidR="00BF6019" w:rsidRPr="00B37EF3">
        <w:fldChar w:fldCharType="end"/>
      </w:r>
      <w:r w:rsidRPr="00B37EF3">
        <w:t>: Projected emissions of PM</w:t>
      </w:r>
      <w:r w:rsidRPr="00B37EF3">
        <w:rPr>
          <w:vertAlign w:val="subscript"/>
        </w:rPr>
        <w:t>10</w:t>
      </w:r>
      <w:r w:rsidRPr="00B37EF3">
        <w:t xml:space="preserve"> and PM</w:t>
      </w:r>
      <w:r w:rsidRPr="00B37EF3">
        <w:rPr>
          <w:vertAlign w:val="subscript"/>
        </w:rPr>
        <w:t>2.5</w:t>
      </w:r>
      <w:r w:rsidRPr="00B37EF3">
        <w:t xml:space="preserve"> in QLD (SEQ </w:t>
      </w:r>
      <w:proofErr w:type="spellStart"/>
      <w:r w:rsidRPr="00B37EF3">
        <w:t>airshed</w:t>
      </w:r>
      <w:proofErr w:type="spellEnd"/>
      <w:r w:rsidRPr="00B37EF3">
        <w:t>)</w:t>
      </w:r>
    </w:p>
    <w:p w:rsidR="00016295" w:rsidRPr="00B37EF3" w:rsidRDefault="006D7F17" w:rsidP="00C92196">
      <w:pPr>
        <w:spacing w:after="80" w:line="240" w:lineRule="auto"/>
        <w:jc w:val="center"/>
        <w:rPr>
          <w:rFonts w:ascii="Arial" w:hAnsi="Arial" w:cs="Arial"/>
          <w:color w:val="FF0000"/>
        </w:rPr>
      </w:pPr>
      <w:r>
        <w:rPr>
          <w:rFonts w:ascii="Arial" w:hAnsi="Arial" w:cs="Arial"/>
          <w:noProof/>
        </w:rPr>
        <w:drawing>
          <wp:inline distT="0" distB="0" distL="0" distR="0">
            <wp:extent cx="5543550" cy="1724025"/>
            <wp:effectExtent l="19050" t="19050" r="19050" b="28575"/>
            <wp:docPr id="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25" t="1610" r="2493" b="2853"/>
                    <a:stretch>
                      <a:fillRect/>
                    </a:stretch>
                  </pic:blipFill>
                  <pic:spPr bwMode="auto">
                    <a:xfrm>
                      <a:off x="0" y="0"/>
                      <a:ext cx="5543550" cy="1724025"/>
                    </a:xfrm>
                    <a:prstGeom prst="rect">
                      <a:avLst/>
                    </a:prstGeom>
                    <a:noFill/>
                    <a:ln w="6350">
                      <a:solidFill>
                        <a:srgbClr val="0070C0"/>
                      </a:solidFill>
                      <a:miter lim="800000"/>
                      <a:headEnd/>
                      <a:tailEnd/>
                    </a:ln>
                    <a:effectLst/>
                  </pic:spPr>
                </pic:pic>
              </a:graphicData>
            </a:graphic>
          </wp:inline>
        </w:drawing>
      </w:r>
    </w:p>
    <w:p w:rsidR="00160CF6" w:rsidRDefault="00160CF6" w:rsidP="00016295">
      <w:pPr>
        <w:spacing w:after="0" w:line="240" w:lineRule="auto"/>
        <w:rPr>
          <w:rFonts w:ascii="Arial" w:hAnsi="Arial" w:cs="Arial"/>
          <w:color w:val="FF0000"/>
          <w:sz w:val="26"/>
          <w:szCs w:val="26"/>
        </w:rPr>
      </w:pPr>
    </w:p>
    <w:p w:rsidR="00160CF6" w:rsidRPr="006A5626" w:rsidRDefault="00160CF6" w:rsidP="006A5626">
      <w:pPr>
        <w:pStyle w:val="Caption"/>
      </w:pPr>
      <w:r w:rsidRPr="006A5626">
        <w:lastRenderedPageBreak/>
        <w:t xml:space="preserve">Figure </w:t>
      </w:r>
      <w:r w:rsidR="00BF6019" w:rsidRPr="006A5626">
        <w:fldChar w:fldCharType="begin"/>
      </w:r>
      <w:r w:rsidRPr="006A5626">
        <w:instrText xml:space="preserve"> STYLEREF 1 \s </w:instrText>
      </w:r>
      <w:r w:rsidR="00BF6019" w:rsidRPr="006A5626">
        <w:fldChar w:fldCharType="separate"/>
      </w:r>
      <w:r w:rsidR="0085182E">
        <w:rPr>
          <w:noProof/>
        </w:rPr>
        <w:t>5</w:t>
      </w:r>
      <w:r w:rsidR="00BF6019" w:rsidRPr="006A5626">
        <w:fldChar w:fldCharType="end"/>
      </w:r>
      <w:r w:rsidRPr="006A5626">
        <w:t>.</w:t>
      </w:r>
      <w:r w:rsidR="00BF6019" w:rsidRPr="006A5626">
        <w:fldChar w:fldCharType="begin"/>
      </w:r>
      <w:r w:rsidRPr="006A5626">
        <w:instrText xml:space="preserve"> SEQ Figure \* ARABIC \s 1 </w:instrText>
      </w:r>
      <w:r w:rsidR="00BF6019" w:rsidRPr="006A5626">
        <w:fldChar w:fldCharType="separate"/>
      </w:r>
      <w:r w:rsidR="0085182E">
        <w:rPr>
          <w:noProof/>
        </w:rPr>
        <w:t>6</w:t>
      </w:r>
      <w:r w:rsidR="00BF6019" w:rsidRPr="006A5626">
        <w:fldChar w:fldCharType="end"/>
      </w:r>
      <w:r w:rsidRPr="006A5626">
        <w:t xml:space="preserve">: Projected emissions of PM10 and PM2.5 in SA (Adelaide </w:t>
      </w:r>
      <w:proofErr w:type="spellStart"/>
      <w:r w:rsidRPr="006A5626">
        <w:t>airshed</w:t>
      </w:r>
      <w:proofErr w:type="spellEnd"/>
      <w:r w:rsidRPr="006A5626">
        <w:t>)</w:t>
      </w:r>
    </w:p>
    <w:p w:rsidR="00364F5C" w:rsidRPr="00B37EF3" w:rsidRDefault="006D7F17" w:rsidP="006B4A70">
      <w:pPr>
        <w:tabs>
          <w:tab w:val="left" w:pos="5812"/>
        </w:tabs>
        <w:spacing w:after="80" w:line="240" w:lineRule="auto"/>
        <w:jc w:val="center"/>
        <w:rPr>
          <w:rFonts w:ascii="Arial" w:hAnsi="Arial" w:cs="Arial"/>
          <w:color w:val="FF0000"/>
        </w:rPr>
      </w:pPr>
      <w:r w:rsidRPr="00B37EF3">
        <w:rPr>
          <w:rFonts w:ascii="Arial" w:hAnsi="Arial" w:cs="Arial"/>
          <w:noProof/>
        </w:rPr>
        <w:drawing>
          <wp:inline distT="0" distB="0" distL="0" distR="0">
            <wp:extent cx="5542280" cy="1772920"/>
            <wp:effectExtent l="19050" t="19050" r="20320" b="17780"/>
            <wp:docPr id="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96" t="1611" r="4218" b="1611"/>
                    <a:stretch>
                      <a:fillRect/>
                    </a:stretch>
                  </pic:blipFill>
                  <pic:spPr bwMode="auto">
                    <a:xfrm>
                      <a:off x="0" y="0"/>
                      <a:ext cx="5542280" cy="1772920"/>
                    </a:xfrm>
                    <a:prstGeom prst="rect">
                      <a:avLst/>
                    </a:prstGeom>
                    <a:noFill/>
                    <a:ln w="6350" cmpd="sng">
                      <a:solidFill>
                        <a:srgbClr val="0070C0"/>
                      </a:solidFill>
                      <a:miter lim="800000"/>
                      <a:headEnd/>
                      <a:tailEnd/>
                    </a:ln>
                    <a:effectLst/>
                  </pic:spPr>
                </pic:pic>
              </a:graphicData>
            </a:graphic>
          </wp:inline>
        </w:drawing>
      </w:r>
    </w:p>
    <w:p w:rsidR="00160CF6" w:rsidRDefault="00160CF6" w:rsidP="00792303">
      <w:pPr>
        <w:spacing w:after="0" w:line="240" w:lineRule="auto"/>
        <w:rPr>
          <w:rFonts w:ascii="Arial" w:hAnsi="Arial" w:cs="Arial"/>
        </w:rPr>
      </w:pPr>
    </w:p>
    <w:p w:rsidR="00160CF6" w:rsidRDefault="00160CF6" w:rsidP="00792303">
      <w:pPr>
        <w:spacing w:after="0" w:line="240" w:lineRule="auto"/>
        <w:rPr>
          <w:rFonts w:ascii="Arial" w:hAnsi="Arial" w:cs="Arial"/>
        </w:rPr>
      </w:pPr>
    </w:p>
    <w:p w:rsidR="00160CF6" w:rsidRDefault="00160CF6" w:rsidP="00160CF6">
      <w:pPr>
        <w:pStyle w:val="Caption"/>
        <w:spacing w:before="0" w:after="0" w:line="240" w:lineRule="auto"/>
        <w:rPr>
          <w:rFonts w:ascii="Arial" w:hAnsi="Arial" w:cs="Arial"/>
        </w:rPr>
      </w:pPr>
    </w:p>
    <w:p w:rsidR="00160CF6" w:rsidRPr="006A5626" w:rsidRDefault="00160CF6" w:rsidP="006A5626">
      <w:pPr>
        <w:pStyle w:val="Caption"/>
      </w:pPr>
      <w:r w:rsidRPr="006A5626">
        <w:t xml:space="preserve">Figure </w:t>
      </w:r>
      <w:r w:rsidR="00BF6019" w:rsidRPr="006A5626">
        <w:fldChar w:fldCharType="begin"/>
      </w:r>
      <w:r w:rsidRPr="006A5626">
        <w:instrText xml:space="preserve"> STYLEREF 1 \s </w:instrText>
      </w:r>
      <w:r w:rsidR="00BF6019" w:rsidRPr="006A5626">
        <w:fldChar w:fldCharType="separate"/>
      </w:r>
      <w:r w:rsidR="0085182E">
        <w:rPr>
          <w:noProof/>
        </w:rPr>
        <w:t>5</w:t>
      </w:r>
      <w:r w:rsidR="00BF6019" w:rsidRPr="006A5626">
        <w:fldChar w:fldCharType="end"/>
      </w:r>
      <w:r w:rsidRPr="006A5626">
        <w:t>.</w:t>
      </w:r>
      <w:r w:rsidR="00BF6019" w:rsidRPr="006A5626">
        <w:fldChar w:fldCharType="begin"/>
      </w:r>
      <w:r w:rsidRPr="006A5626">
        <w:instrText xml:space="preserve"> SEQ Figure \* ARABIC \s 1 </w:instrText>
      </w:r>
      <w:r w:rsidR="00BF6019" w:rsidRPr="006A5626">
        <w:fldChar w:fldCharType="separate"/>
      </w:r>
      <w:r w:rsidR="0085182E">
        <w:rPr>
          <w:noProof/>
        </w:rPr>
        <w:t>7</w:t>
      </w:r>
      <w:r w:rsidR="00BF6019" w:rsidRPr="006A5626">
        <w:fldChar w:fldCharType="end"/>
      </w:r>
      <w:r w:rsidRPr="006A5626">
        <w:t xml:space="preserve">: Projected emissions of PM10 and PM2.5 in WA (Perth </w:t>
      </w:r>
      <w:proofErr w:type="spellStart"/>
      <w:r w:rsidRPr="006A5626">
        <w:t>airshed</w:t>
      </w:r>
      <w:proofErr w:type="spellEnd"/>
      <w:r w:rsidRPr="006A5626">
        <w:t>)</w:t>
      </w:r>
    </w:p>
    <w:p w:rsidR="00364F5C" w:rsidRPr="00B37EF3" w:rsidRDefault="006D7F17" w:rsidP="00C92196">
      <w:pPr>
        <w:spacing w:after="80" w:line="240" w:lineRule="auto"/>
        <w:jc w:val="center"/>
        <w:rPr>
          <w:rFonts w:ascii="Arial" w:hAnsi="Arial" w:cs="Arial"/>
          <w:color w:val="FF0000"/>
        </w:rPr>
      </w:pPr>
      <w:r w:rsidRPr="00B37EF3">
        <w:rPr>
          <w:rFonts w:ascii="Arial" w:hAnsi="Arial" w:cs="Arial"/>
          <w:noProof/>
        </w:rPr>
        <w:drawing>
          <wp:inline distT="0" distB="0" distL="0" distR="0">
            <wp:extent cx="5542280" cy="1749425"/>
            <wp:effectExtent l="19050" t="19050" r="20320" b="22225"/>
            <wp:docPr id="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78" t="1881" r="3387" b="2151"/>
                    <a:stretch>
                      <a:fillRect/>
                    </a:stretch>
                  </pic:blipFill>
                  <pic:spPr bwMode="auto">
                    <a:xfrm>
                      <a:off x="0" y="0"/>
                      <a:ext cx="5542280" cy="1749425"/>
                    </a:xfrm>
                    <a:prstGeom prst="rect">
                      <a:avLst/>
                    </a:prstGeom>
                    <a:noFill/>
                    <a:ln w="6350" cmpd="sng">
                      <a:solidFill>
                        <a:srgbClr val="0070C0"/>
                      </a:solidFill>
                      <a:miter lim="800000"/>
                      <a:headEnd/>
                      <a:tailEnd/>
                    </a:ln>
                    <a:effectLst/>
                  </pic:spPr>
                </pic:pic>
              </a:graphicData>
            </a:graphic>
          </wp:inline>
        </w:drawing>
      </w:r>
    </w:p>
    <w:p w:rsidR="00160CF6" w:rsidRDefault="00160CF6" w:rsidP="00016295">
      <w:pPr>
        <w:spacing w:after="0" w:line="240" w:lineRule="auto"/>
        <w:rPr>
          <w:rFonts w:ascii="Arial" w:hAnsi="Arial" w:cs="Arial"/>
        </w:rPr>
      </w:pPr>
    </w:p>
    <w:p w:rsidR="00160CF6" w:rsidRDefault="00160CF6" w:rsidP="00016295">
      <w:pPr>
        <w:spacing w:after="0" w:line="240" w:lineRule="auto"/>
        <w:rPr>
          <w:rFonts w:ascii="Arial" w:hAnsi="Arial" w:cs="Arial"/>
        </w:rPr>
      </w:pPr>
    </w:p>
    <w:p w:rsidR="00160CF6" w:rsidRDefault="00160CF6" w:rsidP="00016295">
      <w:pPr>
        <w:spacing w:after="0" w:line="240" w:lineRule="auto"/>
        <w:rPr>
          <w:rFonts w:ascii="Arial" w:hAnsi="Arial" w:cs="Arial"/>
        </w:rPr>
      </w:pPr>
    </w:p>
    <w:p w:rsidR="00160CF6" w:rsidRPr="006A5626" w:rsidRDefault="00160CF6" w:rsidP="006A5626">
      <w:pPr>
        <w:pStyle w:val="Caption"/>
      </w:pPr>
      <w:r w:rsidRPr="006A5626">
        <w:t xml:space="preserve">Figure </w:t>
      </w:r>
      <w:r w:rsidR="00BF6019" w:rsidRPr="006A5626">
        <w:fldChar w:fldCharType="begin"/>
      </w:r>
      <w:r w:rsidRPr="006A5626">
        <w:instrText xml:space="preserve"> STYLEREF 1 \s </w:instrText>
      </w:r>
      <w:r w:rsidR="00BF6019" w:rsidRPr="006A5626">
        <w:fldChar w:fldCharType="separate"/>
      </w:r>
      <w:r w:rsidR="0085182E">
        <w:rPr>
          <w:noProof/>
        </w:rPr>
        <w:t>5</w:t>
      </w:r>
      <w:r w:rsidR="00BF6019" w:rsidRPr="006A5626">
        <w:fldChar w:fldCharType="end"/>
      </w:r>
      <w:r w:rsidRPr="006A5626">
        <w:t>.</w:t>
      </w:r>
      <w:r w:rsidR="00BF6019" w:rsidRPr="006A5626">
        <w:fldChar w:fldCharType="begin"/>
      </w:r>
      <w:r w:rsidRPr="006A5626">
        <w:instrText xml:space="preserve"> SEQ Figure \* ARABIC \s 1 </w:instrText>
      </w:r>
      <w:r w:rsidR="00BF6019" w:rsidRPr="006A5626">
        <w:fldChar w:fldCharType="separate"/>
      </w:r>
      <w:r w:rsidR="0085182E">
        <w:rPr>
          <w:noProof/>
        </w:rPr>
        <w:t>8</w:t>
      </w:r>
      <w:r w:rsidR="00BF6019" w:rsidRPr="006A5626">
        <w:fldChar w:fldCharType="end"/>
      </w:r>
      <w:r w:rsidRPr="006A5626">
        <w:t xml:space="preserve">: Projected emissions of PM10 and PM2.5 in TAS (Hobart </w:t>
      </w:r>
      <w:proofErr w:type="spellStart"/>
      <w:r w:rsidRPr="006A5626">
        <w:t>airshed</w:t>
      </w:r>
      <w:proofErr w:type="spellEnd"/>
      <w:r w:rsidRPr="006A5626">
        <w:t>)</w:t>
      </w:r>
    </w:p>
    <w:p w:rsidR="00364F5C" w:rsidRPr="00B37EF3" w:rsidRDefault="006D7F17" w:rsidP="00C92196">
      <w:pPr>
        <w:spacing w:after="80" w:line="240" w:lineRule="auto"/>
        <w:jc w:val="center"/>
        <w:rPr>
          <w:rFonts w:ascii="Arial" w:hAnsi="Arial" w:cs="Arial"/>
          <w:color w:val="FF0000"/>
        </w:rPr>
      </w:pPr>
      <w:r w:rsidRPr="00B37EF3">
        <w:rPr>
          <w:rFonts w:ascii="Arial" w:hAnsi="Arial" w:cs="Arial"/>
          <w:noProof/>
        </w:rPr>
        <w:drawing>
          <wp:inline distT="0" distB="0" distL="0" distR="0">
            <wp:extent cx="5542280" cy="1685925"/>
            <wp:effectExtent l="19050" t="19050" r="20320" b="28575"/>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26" t="1967" r="3314" b="1405"/>
                    <a:stretch>
                      <a:fillRect/>
                    </a:stretch>
                  </pic:blipFill>
                  <pic:spPr bwMode="auto">
                    <a:xfrm>
                      <a:off x="0" y="0"/>
                      <a:ext cx="5542280" cy="1685925"/>
                    </a:xfrm>
                    <a:prstGeom prst="rect">
                      <a:avLst/>
                    </a:prstGeom>
                    <a:noFill/>
                    <a:ln w="6350" cmpd="sng">
                      <a:solidFill>
                        <a:srgbClr val="0070C0"/>
                      </a:solidFill>
                      <a:miter lim="800000"/>
                      <a:headEnd/>
                      <a:tailEnd/>
                    </a:ln>
                    <a:effectLst/>
                  </pic:spPr>
                </pic:pic>
              </a:graphicData>
            </a:graphic>
          </wp:inline>
        </w:drawing>
      </w:r>
    </w:p>
    <w:p w:rsidR="00160CF6" w:rsidRDefault="00160CF6" w:rsidP="00016295">
      <w:pPr>
        <w:spacing w:after="0" w:line="240" w:lineRule="auto"/>
        <w:rPr>
          <w:rFonts w:ascii="Arial" w:hAnsi="Arial" w:cs="Arial"/>
        </w:rPr>
      </w:pPr>
    </w:p>
    <w:p w:rsidR="00364F5C" w:rsidRPr="00B37EF3" w:rsidRDefault="00160CF6" w:rsidP="006A5626">
      <w:pPr>
        <w:pStyle w:val="Caption"/>
        <w:rPr>
          <w:rFonts w:ascii="Arial" w:hAnsi="Arial" w:cs="Arial"/>
          <w:color w:val="FF0000"/>
          <w:sz w:val="26"/>
          <w:szCs w:val="26"/>
        </w:rPr>
      </w:pPr>
      <w:r w:rsidRPr="006A5626">
        <w:lastRenderedPageBreak/>
        <w:t xml:space="preserve">Figure </w:t>
      </w:r>
      <w:r w:rsidR="00BF6019" w:rsidRPr="006A5626">
        <w:fldChar w:fldCharType="begin"/>
      </w:r>
      <w:r w:rsidRPr="006A5626">
        <w:instrText xml:space="preserve"> STYLEREF 1 \s </w:instrText>
      </w:r>
      <w:r w:rsidR="00BF6019" w:rsidRPr="006A5626">
        <w:fldChar w:fldCharType="separate"/>
      </w:r>
      <w:r w:rsidR="0085182E">
        <w:rPr>
          <w:noProof/>
        </w:rPr>
        <w:t>5</w:t>
      </w:r>
      <w:r w:rsidR="00BF6019" w:rsidRPr="006A5626">
        <w:fldChar w:fldCharType="end"/>
      </w:r>
      <w:r w:rsidRPr="006A5626">
        <w:t>.</w:t>
      </w:r>
      <w:r w:rsidR="00BF6019" w:rsidRPr="006A5626">
        <w:fldChar w:fldCharType="begin"/>
      </w:r>
      <w:r w:rsidRPr="006A5626">
        <w:instrText xml:space="preserve"> SEQ Figure \* ARABIC \s 1 </w:instrText>
      </w:r>
      <w:r w:rsidR="00BF6019" w:rsidRPr="006A5626">
        <w:fldChar w:fldCharType="separate"/>
      </w:r>
      <w:r w:rsidR="0085182E">
        <w:rPr>
          <w:noProof/>
        </w:rPr>
        <w:t>9</w:t>
      </w:r>
      <w:r w:rsidR="00BF6019" w:rsidRPr="006A5626">
        <w:fldChar w:fldCharType="end"/>
      </w:r>
      <w:r w:rsidRPr="006A5626">
        <w:t xml:space="preserve">: Projected emissions of PM10 and PM2.5 in NT (Darwin </w:t>
      </w:r>
      <w:proofErr w:type="spellStart"/>
      <w:r w:rsidRPr="006A5626">
        <w:t>airshed</w:t>
      </w:r>
      <w:proofErr w:type="spellEnd"/>
      <w:r w:rsidRPr="006A5626">
        <w:t>)</w:t>
      </w:r>
    </w:p>
    <w:p w:rsidR="00364F5C" w:rsidRPr="00B37EF3" w:rsidRDefault="006D7F17" w:rsidP="00C92196">
      <w:pPr>
        <w:spacing w:after="80" w:line="240" w:lineRule="auto"/>
        <w:jc w:val="center"/>
        <w:rPr>
          <w:rFonts w:ascii="Arial" w:hAnsi="Arial" w:cs="Arial"/>
          <w:color w:val="FF0000"/>
        </w:rPr>
      </w:pPr>
      <w:r w:rsidRPr="00B37EF3">
        <w:rPr>
          <w:rFonts w:ascii="Arial" w:hAnsi="Arial" w:cs="Arial"/>
          <w:noProof/>
        </w:rPr>
        <w:drawing>
          <wp:inline distT="0" distB="0" distL="0" distR="0">
            <wp:extent cx="5542280" cy="1788795"/>
            <wp:effectExtent l="19050" t="19050" r="20320" b="20955"/>
            <wp:docPr id="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26" r="3305" b="2151"/>
                    <a:stretch>
                      <a:fillRect/>
                    </a:stretch>
                  </pic:blipFill>
                  <pic:spPr bwMode="auto">
                    <a:xfrm>
                      <a:off x="0" y="0"/>
                      <a:ext cx="5542280" cy="1788795"/>
                    </a:xfrm>
                    <a:prstGeom prst="rect">
                      <a:avLst/>
                    </a:prstGeom>
                    <a:noFill/>
                    <a:ln w="6350" cmpd="sng">
                      <a:solidFill>
                        <a:srgbClr val="0070C0"/>
                      </a:solidFill>
                      <a:miter lim="800000"/>
                      <a:headEnd/>
                      <a:tailEnd/>
                    </a:ln>
                    <a:effectLst/>
                  </pic:spPr>
                </pic:pic>
              </a:graphicData>
            </a:graphic>
          </wp:inline>
        </w:drawing>
      </w:r>
    </w:p>
    <w:p w:rsidR="00160CF6" w:rsidRPr="006A5626" w:rsidRDefault="00160CF6" w:rsidP="00D07181">
      <w:pPr>
        <w:spacing w:after="200"/>
      </w:pPr>
    </w:p>
    <w:p w:rsidR="00160CF6" w:rsidRPr="006A5626" w:rsidRDefault="00160CF6" w:rsidP="006A5626">
      <w:pPr>
        <w:pStyle w:val="Caption"/>
      </w:pPr>
      <w:r w:rsidRPr="006A5626">
        <w:t xml:space="preserve">Figure </w:t>
      </w:r>
      <w:r w:rsidR="00BF6019" w:rsidRPr="006A5626">
        <w:fldChar w:fldCharType="begin"/>
      </w:r>
      <w:r w:rsidRPr="006A5626">
        <w:instrText xml:space="preserve"> STYLEREF 1 \s </w:instrText>
      </w:r>
      <w:r w:rsidR="00BF6019" w:rsidRPr="006A5626">
        <w:fldChar w:fldCharType="separate"/>
      </w:r>
      <w:r w:rsidR="0085182E">
        <w:rPr>
          <w:noProof/>
        </w:rPr>
        <w:t>5</w:t>
      </w:r>
      <w:r w:rsidR="00BF6019" w:rsidRPr="006A5626">
        <w:fldChar w:fldCharType="end"/>
      </w:r>
      <w:r w:rsidRPr="006A5626">
        <w:t>.</w:t>
      </w:r>
      <w:r w:rsidR="00BF6019" w:rsidRPr="006A5626">
        <w:fldChar w:fldCharType="begin"/>
      </w:r>
      <w:r w:rsidRPr="006A5626">
        <w:instrText xml:space="preserve"> SEQ Figure \* ARABIC \s 1 </w:instrText>
      </w:r>
      <w:r w:rsidR="00BF6019" w:rsidRPr="006A5626">
        <w:fldChar w:fldCharType="separate"/>
      </w:r>
      <w:r w:rsidR="0085182E">
        <w:rPr>
          <w:noProof/>
        </w:rPr>
        <w:t>10</w:t>
      </w:r>
      <w:r w:rsidR="00BF6019" w:rsidRPr="006A5626">
        <w:fldChar w:fldCharType="end"/>
      </w:r>
      <w:r w:rsidRPr="006A5626">
        <w:t xml:space="preserve">: Projected emissions of PM10 and PM2.5 in ACT (Canberra </w:t>
      </w:r>
      <w:proofErr w:type="spellStart"/>
      <w:r w:rsidRPr="006A5626">
        <w:t>airshed</w:t>
      </w:r>
      <w:proofErr w:type="spellEnd"/>
      <w:r w:rsidRPr="006A5626">
        <w:t>)</w:t>
      </w:r>
    </w:p>
    <w:p w:rsidR="00364F5C" w:rsidRPr="00B37EF3" w:rsidRDefault="006D7F17" w:rsidP="00C92196">
      <w:pPr>
        <w:spacing w:after="80" w:line="240" w:lineRule="auto"/>
        <w:jc w:val="center"/>
        <w:rPr>
          <w:rFonts w:ascii="Arial" w:hAnsi="Arial" w:cs="Arial"/>
          <w:color w:val="FF0000"/>
        </w:rPr>
      </w:pPr>
      <w:r w:rsidRPr="00B37EF3">
        <w:rPr>
          <w:rFonts w:ascii="Arial" w:hAnsi="Arial" w:cs="Arial"/>
          <w:noProof/>
        </w:rPr>
        <w:drawing>
          <wp:inline distT="0" distB="0" distL="0" distR="0">
            <wp:extent cx="5542280" cy="1812925"/>
            <wp:effectExtent l="19050" t="19050" r="20320" b="15875"/>
            <wp:docPr id="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93" r="2992" b="5096"/>
                    <a:stretch>
                      <a:fillRect/>
                    </a:stretch>
                  </pic:blipFill>
                  <pic:spPr bwMode="auto">
                    <a:xfrm>
                      <a:off x="0" y="0"/>
                      <a:ext cx="5542280" cy="1812925"/>
                    </a:xfrm>
                    <a:prstGeom prst="rect">
                      <a:avLst/>
                    </a:prstGeom>
                    <a:noFill/>
                    <a:ln w="6350" cmpd="sng">
                      <a:solidFill>
                        <a:srgbClr val="0070C0"/>
                      </a:solidFill>
                      <a:miter lim="800000"/>
                      <a:headEnd/>
                      <a:tailEnd/>
                    </a:ln>
                    <a:effectLst/>
                  </pic:spPr>
                </pic:pic>
              </a:graphicData>
            </a:graphic>
          </wp:inline>
        </w:drawing>
      </w:r>
    </w:p>
    <w:p w:rsidR="00364F5C" w:rsidRPr="00B37EF3" w:rsidRDefault="00364F5C">
      <w:pPr>
        <w:spacing w:after="200" w:line="240" w:lineRule="auto"/>
        <w:rPr>
          <w:rFonts w:ascii="Arial" w:hAnsi="Arial" w:cs="Arial"/>
          <w:color w:val="FF0000"/>
        </w:rPr>
      </w:pPr>
    </w:p>
    <w:p w:rsidR="00A33606" w:rsidRPr="00B37EF3" w:rsidRDefault="003B344E" w:rsidP="00D07181">
      <w:pPr>
        <w:pStyle w:val="Heading2"/>
        <w:spacing w:before="200" w:after="200"/>
        <w:rPr>
          <w:rFonts w:ascii="Arial" w:hAnsi="Arial"/>
        </w:rPr>
      </w:pPr>
      <w:bookmarkStart w:id="84" w:name="_Ref367373490"/>
      <w:bookmarkStart w:id="85" w:name="_Toc394011107"/>
      <w:r w:rsidRPr="00B37EF3">
        <w:rPr>
          <w:rFonts w:ascii="Arial" w:hAnsi="Arial"/>
        </w:rPr>
        <w:t>Ambient PM concentrations</w:t>
      </w:r>
      <w:bookmarkEnd w:id="84"/>
      <w:bookmarkEnd w:id="85"/>
    </w:p>
    <w:p w:rsidR="003B344E" w:rsidRPr="00B37EF3" w:rsidRDefault="003B344E" w:rsidP="00D07181">
      <w:pPr>
        <w:pStyle w:val="Heading3"/>
        <w:spacing w:before="200" w:after="200"/>
        <w:rPr>
          <w:rFonts w:ascii="Arial" w:hAnsi="Arial"/>
        </w:rPr>
      </w:pPr>
      <w:bookmarkStart w:id="86" w:name="_Toc394011108"/>
      <w:r w:rsidRPr="00B37EF3">
        <w:rPr>
          <w:rFonts w:ascii="Arial" w:hAnsi="Arial"/>
        </w:rPr>
        <w:t>Overview</w:t>
      </w:r>
      <w:bookmarkEnd w:id="86"/>
    </w:p>
    <w:p w:rsidR="008501B3" w:rsidRPr="00B37EF3" w:rsidRDefault="008501B3" w:rsidP="00D07181">
      <w:pPr>
        <w:spacing w:after="200"/>
        <w:rPr>
          <w:rFonts w:ascii="Arial" w:hAnsi="Arial" w:cs="Arial"/>
        </w:rPr>
      </w:pPr>
      <w:r w:rsidRPr="00B37EF3">
        <w:rPr>
          <w:rFonts w:ascii="Arial" w:hAnsi="Arial" w:cs="Arial"/>
        </w:rPr>
        <w:t>PM concentrations</w:t>
      </w:r>
      <w:r w:rsidR="00D512EC" w:rsidRPr="00B37EF3">
        <w:rPr>
          <w:rFonts w:ascii="Arial" w:hAnsi="Arial" w:cs="Arial"/>
        </w:rPr>
        <w:t xml:space="preserve"> in Australia </w:t>
      </w:r>
      <w:r w:rsidRPr="00B37EF3">
        <w:rPr>
          <w:rFonts w:ascii="Arial" w:hAnsi="Arial" w:cs="Arial"/>
        </w:rPr>
        <w:t>vary</w:t>
      </w:r>
      <w:r w:rsidR="00D512EC" w:rsidRPr="00B37EF3">
        <w:rPr>
          <w:rFonts w:ascii="Arial" w:hAnsi="Arial" w:cs="Arial"/>
        </w:rPr>
        <w:t xml:space="preserve"> both </w:t>
      </w:r>
      <w:r w:rsidRPr="00B37EF3">
        <w:rPr>
          <w:rFonts w:ascii="Arial" w:hAnsi="Arial" w:cs="Arial"/>
        </w:rPr>
        <w:t>temporally and sp</w:t>
      </w:r>
      <w:r w:rsidR="002402A4" w:rsidRPr="00B37EF3">
        <w:rPr>
          <w:rFonts w:ascii="Arial" w:hAnsi="Arial" w:cs="Arial"/>
        </w:rPr>
        <w:t xml:space="preserve">atially as a consequence of </w:t>
      </w:r>
      <w:r w:rsidRPr="00B37EF3">
        <w:rPr>
          <w:rFonts w:ascii="Arial" w:hAnsi="Arial" w:cs="Arial"/>
        </w:rPr>
        <w:t>many different influencing factors.</w:t>
      </w:r>
      <w:r w:rsidR="00947BBB" w:rsidRPr="00B37EF3">
        <w:rPr>
          <w:rFonts w:ascii="Arial" w:hAnsi="Arial" w:cs="Arial"/>
        </w:rPr>
        <w:t xml:space="preserve"> </w:t>
      </w:r>
      <w:r w:rsidRPr="00B37EF3">
        <w:rPr>
          <w:rFonts w:ascii="Arial" w:hAnsi="Arial" w:cs="Arial"/>
        </w:rPr>
        <w:t xml:space="preserve">In population centres the size of the urban area and the presence of pollution sources </w:t>
      </w:r>
      <w:r w:rsidR="002110AE" w:rsidRPr="00B37EF3">
        <w:rPr>
          <w:rFonts w:ascii="Arial" w:hAnsi="Arial" w:cs="Arial"/>
        </w:rPr>
        <w:t>–</w:t>
      </w:r>
      <w:r w:rsidR="002402A4" w:rsidRPr="00B37EF3">
        <w:rPr>
          <w:rFonts w:ascii="Arial" w:hAnsi="Arial" w:cs="Arial"/>
        </w:rPr>
        <w:t xml:space="preserve"> </w:t>
      </w:r>
      <w:r w:rsidRPr="00B37EF3">
        <w:rPr>
          <w:rFonts w:ascii="Arial" w:hAnsi="Arial" w:cs="Arial"/>
        </w:rPr>
        <w:t xml:space="preserve">such as major industrial facilities </w:t>
      </w:r>
      <w:r w:rsidR="002110AE" w:rsidRPr="00B37EF3">
        <w:rPr>
          <w:rFonts w:ascii="Arial" w:hAnsi="Arial" w:cs="Arial"/>
        </w:rPr>
        <w:t>–</w:t>
      </w:r>
      <w:r w:rsidR="002402A4" w:rsidRPr="00B37EF3">
        <w:rPr>
          <w:rFonts w:ascii="Arial" w:hAnsi="Arial" w:cs="Arial"/>
        </w:rPr>
        <w:t xml:space="preserve"> </w:t>
      </w:r>
      <w:r w:rsidR="00B410F6" w:rsidRPr="00B37EF3">
        <w:rPr>
          <w:rFonts w:ascii="Arial" w:hAnsi="Arial" w:cs="Arial"/>
        </w:rPr>
        <w:t>shape</w:t>
      </w:r>
      <w:r w:rsidRPr="00B37EF3">
        <w:rPr>
          <w:rFonts w:ascii="Arial" w:hAnsi="Arial" w:cs="Arial"/>
        </w:rPr>
        <w:t xml:space="preserve"> the air </w:t>
      </w:r>
      <w:r w:rsidR="002402A4" w:rsidRPr="00B37EF3">
        <w:rPr>
          <w:rFonts w:ascii="Arial" w:hAnsi="Arial" w:cs="Arial"/>
        </w:rPr>
        <w:t>quality</w:t>
      </w:r>
      <w:r w:rsidRPr="00B37EF3">
        <w:rPr>
          <w:rFonts w:ascii="Arial" w:hAnsi="Arial" w:cs="Arial"/>
          <w:lang w:eastAsia="en-US"/>
        </w:rPr>
        <w:t xml:space="preserve"> </w:t>
      </w:r>
      <w:r w:rsidRPr="00B37EF3">
        <w:rPr>
          <w:rFonts w:ascii="Arial" w:hAnsi="Arial" w:cs="Arial"/>
          <w:b/>
          <w:lang w:eastAsia="en-US"/>
        </w:rPr>
        <w:t>(SEC 2011)</w:t>
      </w:r>
      <w:r w:rsidRPr="00B37EF3">
        <w:rPr>
          <w:rFonts w:ascii="Arial" w:hAnsi="Arial" w:cs="Arial"/>
          <w:lang w:eastAsia="en-US"/>
        </w:rPr>
        <w:t xml:space="preserve">. </w:t>
      </w:r>
      <w:r w:rsidRPr="00B37EF3">
        <w:rPr>
          <w:rFonts w:ascii="Arial" w:hAnsi="Arial" w:cs="Arial"/>
        </w:rPr>
        <w:t>S</w:t>
      </w:r>
      <w:r w:rsidR="00D512EC" w:rsidRPr="00B37EF3">
        <w:rPr>
          <w:rFonts w:ascii="Arial" w:hAnsi="Arial" w:cs="Arial"/>
        </w:rPr>
        <w:t>hort</w:t>
      </w:r>
      <w:r w:rsidRPr="00B37EF3">
        <w:rPr>
          <w:rFonts w:ascii="Arial" w:hAnsi="Arial" w:cs="Arial"/>
        </w:rPr>
        <w:t xml:space="preserve">-term meteorological conditions and local topography are </w:t>
      </w:r>
      <w:r w:rsidR="00B410F6" w:rsidRPr="00B37EF3">
        <w:rPr>
          <w:rFonts w:ascii="Arial" w:hAnsi="Arial" w:cs="Arial"/>
        </w:rPr>
        <w:t xml:space="preserve">also </w:t>
      </w:r>
      <w:r w:rsidRPr="00B37EF3">
        <w:rPr>
          <w:rFonts w:ascii="Arial" w:hAnsi="Arial" w:cs="Arial"/>
        </w:rPr>
        <w:t>important</w:t>
      </w:r>
      <w:r w:rsidR="00D512EC" w:rsidRPr="00B37EF3">
        <w:rPr>
          <w:rFonts w:ascii="Arial" w:hAnsi="Arial" w:cs="Arial"/>
        </w:rPr>
        <w:t xml:space="preserve">. </w:t>
      </w:r>
      <w:r w:rsidRPr="00B37EF3">
        <w:rPr>
          <w:rFonts w:ascii="Arial" w:hAnsi="Arial" w:cs="Arial"/>
        </w:rPr>
        <w:t>In</w:t>
      </w:r>
      <w:r w:rsidRPr="00B37EF3">
        <w:rPr>
          <w:rFonts w:ascii="Arial" w:hAnsi="Arial" w:cs="Arial"/>
          <w:lang w:eastAsia="en-US"/>
        </w:rPr>
        <w:t xml:space="preserve"> inland centres such as Canberra, cold nights and clear skies frequently occur in autumn and winter, creating temperature inversions. These trap air pollution (such as wood smoke in winter) near g</w:t>
      </w:r>
      <w:r w:rsidR="002402A4" w:rsidRPr="00B37EF3">
        <w:rPr>
          <w:rFonts w:ascii="Arial" w:hAnsi="Arial" w:cs="Arial"/>
          <w:lang w:eastAsia="en-US"/>
        </w:rPr>
        <w:t>round level, leading to PM</w:t>
      </w:r>
      <w:r w:rsidRPr="00B37EF3">
        <w:rPr>
          <w:rFonts w:ascii="Arial" w:hAnsi="Arial" w:cs="Arial"/>
          <w:lang w:eastAsia="en-US"/>
        </w:rPr>
        <w:t xml:space="preserve"> levels above</w:t>
      </w:r>
      <w:r w:rsidR="002402A4" w:rsidRPr="00B37EF3">
        <w:rPr>
          <w:rFonts w:ascii="Arial" w:hAnsi="Arial" w:cs="Arial"/>
          <w:lang w:eastAsia="en-US"/>
        </w:rPr>
        <w:t xml:space="preserve"> the </w:t>
      </w:r>
      <w:r w:rsidR="00EF24F8" w:rsidRPr="00B37EF3">
        <w:rPr>
          <w:rFonts w:ascii="Arial" w:hAnsi="Arial" w:cs="Arial"/>
          <w:lang w:eastAsia="en-US"/>
        </w:rPr>
        <w:t>AAQ NEPM</w:t>
      </w:r>
      <w:r w:rsidR="002402A4" w:rsidRPr="00B37EF3">
        <w:rPr>
          <w:rFonts w:ascii="Arial" w:hAnsi="Arial" w:cs="Arial"/>
          <w:lang w:eastAsia="en-US"/>
        </w:rPr>
        <w:t xml:space="preserve"> 24-hour standards</w:t>
      </w:r>
      <w:r w:rsidRPr="00B37EF3">
        <w:rPr>
          <w:rFonts w:ascii="Arial" w:hAnsi="Arial" w:cs="Arial"/>
          <w:lang w:eastAsia="en-US"/>
        </w:rPr>
        <w:t xml:space="preserve">. In centres such as Launceston, local valley topography can increase the frequency and strength </w:t>
      </w:r>
      <w:r w:rsidR="002402A4" w:rsidRPr="00B37EF3">
        <w:rPr>
          <w:rFonts w:ascii="Arial" w:hAnsi="Arial" w:cs="Arial"/>
          <w:lang w:eastAsia="en-US"/>
        </w:rPr>
        <w:t xml:space="preserve">of </w:t>
      </w:r>
      <w:r w:rsidRPr="00B37EF3">
        <w:rPr>
          <w:rFonts w:ascii="Arial" w:hAnsi="Arial" w:cs="Arial"/>
          <w:lang w:eastAsia="en-US"/>
        </w:rPr>
        <w:t>inver</w:t>
      </w:r>
      <w:r w:rsidR="002402A4" w:rsidRPr="00B37EF3">
        <w:rPr>
          <w:rFonts w:ascii="Arial" w:hAnsi="Arial" w:cs="Arial"/>
          <w:lang w:eastAsia="en-US"/>
        </w:rPr>
        <w:t>sions, compounding the problems</w:t>
      </w:r>
      <w:r w:rsidRPr="00B37EF3">
        <w:rPr>
          <w:rFonts w:ascii="Arial" w:hAnsi="Arial" w:cs="Arial"/>
          <w:lang w:eastAsia="en-US"/>
        </w:rPr>
        <w:t>.</w:t>
      </w:r>
      <w:r w:rsidRPr="00B37EF3">
        <w:rPr>
          <w:rFonts w:ascii="Arial" w:hAnsi="Arial" w:cs="Arial"/>
          <w:color w:val="FF0000"/>
          <w:lang w:eastAsia="en-US"/>
        </w:rPr>
        <w:t xml:space="preserve"> </w:t>
      </w:r>
      <w:r w:rsidRPr="00B37EF3">
        <w:rPr>
          <w:rFonts w:ascii="Arial" w:hAnsi="Arial" w:cs="Arial"/>
          <w:lang w:eastAsia="en-US"/>
        </w:rPr>
        <w:t xml:space="preserve">Regional topography and the presence of the </w:t>
      </w:r>
      <w:r w:rsidR="00CE7705" w:rsidRPr="00B37EF3">
        <w:rPr>
          <w:rFonts w:ascii="Arial" w:hAnsi="Arial" w:cs="Arial"/>
          <w:lang w:eastAsia="en-US"/>
        </w:rPr>
        <w:t>sea affect the movement</w:t>
      </w:r>
      <w:r w:rsidRPr="00B37EF3">
        <w:rPr>
          <w:rFonts w:ascii="Arial" w:hAnsi="Arial" w:cs="Arial"/>
          <w:lang w:eastAsia="en-US"/>
        </w:rPr>
        <w:t xml:space="preserve"> of air in coastal cities such as Sydney and M</w:t>
      </w:r>
      <w:r w:rsidR="00CE7705" w:rsidRPr="00B37EF3">
        <w:rPr>
          <w:rFonts w:ascii="Arial" w:hAnsi="Arial" w:cs="Arial"/>
          <w:lang w:eastAsia="en-US"/>
        </w:rPr>
        <w:t xml:space="preserve">elbourne, recirculating pollution </w:t>
      </w:r>
      <w:r w:rsidRPr="00B37EF3">
        <w:rPr>
          <w:rFonts w:ascii="Arial" w:hAnsi="Arial" w:cs="Arial"/>
          <w:b/>
          <w:lang w:eastAsia="en-US"/>
        </w:rPr>
        <w:t>(SEC 2011)</w:t>
      </w:r>
      <w:r w:rsidRPr="00B37EF3">
        <w:rPr>
          <w:rFonts w:ascii="Arial" w:hAnsi="Arial" w:cs="Arial"/>
          <w:lang w:eastAsia="en-US"/>
        </w:rPr>
        <w:t>.</w:t>
      </w:r>
    </w:p>
    <w:p w:rsidR="0094498A" w:rsidRPr="00B37EF3" w:rsidRDefault="00701246" w:rsidP="00D07181">
      <w:pPr>
        <w:spacing w:after="200"/>
        <w:rPr>
          <w:rFonts w:ascii="Arial" w:hAnsi="Arial" w:cs="Arial"/>
        </w:rPr>
      </w:pPr>
      <w:r w:rsidRPr="00B37EF3">
        <w:rPr>
          <w:rFonts w:ascii="Arial" w:hAnsi="Arial" w:cs="Arial"/>
        </w:rPr>
        <w:t xml:space="preserve">On a day-to-day basis PM concentrations are very variable. </w:t>
      </w:r>
      <w:r w:rsidR="008501B3" w:rsidRPr="00B37EF3">
        <w:rPr>
          <w:rFonts w:ascii="Arial" w:hAnsi="Arial" w:cs="Arial"/>
        </w:rPr>
        <w:t xml:space="preserve">Extreme events (notably natural bush fires and dust storms) are often associated with the highest levels of pollution. In addition, </w:t>
      </w:r>
      <w:r w:rsidR="008501B3" w:rsidRPr="00B37EF3">
        <w:rPr>
          <w:rFonts w:ascii="Arial" w:hAnsi="Arial" w:cs="Arial"/>
          <w:lang w:eastAsia="en-US"/>
        </w:rPr>
        <w:t xml:space="preserve">the smoke generated by </w:t>
      </w:r>
      <w:r w:rsidR="00B410F6" w:rsidRPr="00B37EF3">
        <w:rPr>
          <w:rFonts w:ascii="Arial" w:hAnsi="Arial" w:cs="Arial"/>
          <w:lang w:eastAsia="en-US"/>
        </w:rPr>
        <w:t>planned burning</w:t>
      </w:r>
      <w:r w:rsidR="0057516F" w:rsidRPr="00B37EF3">
        <w:rPr>
          <w:rFonts w:ascii="Arial" w:hAnsi="Arial" w:cs="Arial"/>
          <w:lang w:eastAsia="en-US"/>
        </w:rPr>
        <w:t xml:space="preserve"> activities has the potential to</w:t>
      </w:r>
      <w:r w:rsidR="00B410F6" w:rsidRPr="00B37EF3">
        <w:rPr>
          <w:rFonts w:ascii="Arial" w:hAnsi="Arial" w:cs="Arial"/>
          <w:lang w:eastAsia="en-US"/>
        </w:rPr>
        <w:t xml:space="preserve"> affect</w:t>
      </w:r>
      <w:r w:rsidR="008501B3" w:rsidRPr="00B37EF3">
        <w:rPr>
          <w:rFonts w:ascii="Arial" w:hAnsi="Arial" w:cs="Arial"/>
          <w:lang w:eastAsia="en-US"/>
        </w:rPr>
        <w:t xml:space="preserve"> health and amenity if they</w:t>
      </w:r>
      <w:r w:rsidR="00B410F6" w:rsidRPr="00B37EF3">
        <w:rPr>
          <w:rFonts w:ascii="Arial" w:hAnsi="Arial" w:cs="Arial"/>
          <w:lang w:eastAsia="en-US"/>
        </w:rPr>
        <w:t xml:space="preserve"> are not well </w:t>
      </w:r>
      <w:r w:rsidR="0057516F" w:rsidRPr="00B37EF3">
        <w:rPr>
          <w:rFonts w:ascii="Arial" w:hAnsi="Arial" w:cs="Arial"/>
          <w:lang w:eastAsia="en-US"/>
        </w:rPr>
        <w:t>executed. However, although the potentially adverse impacts of planned burns need to be recognised and managed, they should be considered in the context of potential benefits, such as a red</w:t>
      </w:r>
      <w:r w:rsidR="008501B3" w:rsidRPr="00B37EF3">
        <w:rPr>
          <w:rFonts w:ascii="Arial" w:hAnsi="Arial" w:cs="Arial"/>
          <w:lang w:eastAsia="en-US"/>
        </w:rPr>
        <w:t>uction in the risk of wild</w:t>
      </w:r>
      <w:r w:rsidR="00EB3931" w:rsidRPr="00B37EF3">
        <w:rPr>
          <w:rFonts w:ascii="Arial" w:hAnsi="Arial" w:cs="Arial"/>
          <w:lang w:eastAsia="en-US"/>
        </w:rPr>
        <w:t xml:space="preserve"> </w:t>
      </w:r>
      <w:r w:rsidR="008501B3" w:rsidRPr="00B37EF3">
        <w:rPr>
          <w:rFonts w:ascii="Arial" w:hAnsi="Arial" w:cs="Arial"/>
          <w:lang w:eastAsia="en-US"/>
        </w:rPr>
        <w:t>fires</w:t>
      </w:r>
      <w:r w:rsidR="0057516F" w:rsidRPr="00B37EF3">
        <w:rPr>
          <w:rFonts w:ascii="Arial" w:hAnsi="Arial" w:cs="Arial"/>
          <w:sz w:val="12"/>
          <w:szCs w:val="12"/>
          <w:lang w:eastAsia="en-US"/>
        </w:rPr>
        <w:t xml:space="preserve"> </w:t>
      </w:r>
      <w:r w:rsidR="0057516F" w:rsidRPr="00B37EF3">
        <w:rPr>
          <w:rFonts w:ascii="Arial" w:hAnsi="Arial" w:cs="Arial"/>
          <w:b/>
          <w:lang w:eastAsia="en-US"/>
        </w:rPr>
        <w:t>(SEC 2011)</w:t>
      </w:r>
      <w:r w:rsidR="0057516F" w:rsidRPr="00B37EF3">
        <w:rPr>
          <w:rFonts w:ascii="Arial" w:hAnsi="Arial" w:cs="Arial"/>
          <w:lang w:eastAsia="en-US"/>
        </w:rPr>
        <w:t>.</w:t>
      </w:r>
    </w:p>
    <w:p w:rsidR="00174B96" w:rsidRPr="00B37EF3" w:rsidRDefault="00701246" w:rsidP="00D07181">
      <w:pPr>
        <w:spacing w:after="200"/>
        <w:rPr>
          <w:rFonts w:ascii="Arial" w:hAnsi="Arial" w:cs="Arial"/>
        </w:rPr>
      </w:pPr>
      <w:r w:rsidRPr="00B37EF3">
        <w:rPr>
          <w:rFonts w:ascii="Arial" w:hAnsi="Arial" w:cs="Arial"/>
        </w:rPr>
        <w:t>These effects, together with a relatively short hist</w:t>
      </w:r>
      <w:r w:rsidR="0094498A" w:rsidRPr="00B37EF3">
        <w:rPr>
          <w:rFonts w:ascii="Arial" w:hAnsi="Arial" w:cs="Arial"/>
        </w:rPr>
        <w:t>orical monitoring record at many</w:t>
      </w:r>
      <w:r w:rsidRPr="00B37EF3">
        <w:rPr>
          <w:rFonts w:ascii="Arial" w:hAnsi="Arial" w:cs="Arial"/>
        </w:rPr>
        <w:t xml:space="preserve"> sites</w:t>
      </w:r>
      <w:r w:rsidR="002110AE" w:rsidRPr="00B37EF3">
        <w:rPr>
          <w:rFonts w:ascii="Arial" w:hAnsi="Arial" w:cs="Arial"/>
        </w:rPr>
        <w:t>,</w:t>
      </w:r>
      <w:r w:rsidR="002402A4" w:rsidRPr="00B37EF3">
        <w:rPr>
          <w:rFonts w:ascii="Arial" w:hAnsi="Arial" w:cs="Arial"/>
        </w:rPr>
        <w:t xml:space="preserve"> and changes in monitoring methods</w:t>
      </w:r>
      <w:r w:rsidRPr="00B37EF3">
        <w:rPr>
          <w:rFonts w:ascii="Arial" w:hAnsi="Arial" w:cs="Arial"/>
        </w:rPr>
        <w:t>, can make the identification of long-term trends problematic.</w:t>
      </w:r>
      <w:r w:rsidR="00174B96" w:rsidRPr="00B37EF3">
        <w:rPr>
          <w:rFonts w:ascii="Arial" w:hAnsi="Arial" w:cs="Arial"/>
        </w:rPr>
        <w:t xml:space="preserve"> It is also worth noting that different </w:t>
      </w:r>
      <w:r w:rsidR="00CE7705" w:rsidRPr="00B37EF3">
        <w:rPr>
          <w:rFonts w:ascii="Arial" w:hAnsi="Arial" w:cs="Arial"/>
        </w:rPr>
        <w:t xml:space="preserve">emission sources </w:t>
      </w:r>
      <w:r w:rsidR="00174B96" w:rsidRPr="00B37EF3">
        <w:rPr>
          <w:rFonts w:ascii="Arial" w:hAnsi="Arial" w:cs="Arial"/>
        </w:rPr>
        <w:t>have different effect</w:t>
      </w:r>
      <w:r w:rsidR="00B410F6" w:rsidRPr="00B37EF3">
        <w:rPr>
          <w:rFonts w:ascii="Arial" w:hAnsi="Arial" w:cs="Arial"/>
        </w:rPr>
        <w:t>s</w:t>
      </w:r>
      <w:r w:rsidR="00174B96" w:rsidRPr="00B37EF3">
        <w:rPr>
          <w:rFonts w:ascii="Arial" w:hAnsi="Arial" w:cs="Arial"/>
        </w:rPr>
        <w:t xml:space="preserve"> on PM. For example, exhaust emissions from road vehicles are almost entirely in the PM</w:t>
      </w:r>
      <w:r w:rsidR="00174B96" w:rsidRPr="00B37EF3">
        <w:rPr>
          <w:rFonts w:ascii="Arial" w:hAnsi="Arial" w:cs="Arial"/>
          <w:vertAlign w:val="subscript"/>
        </w:rPr>
        <w:t>2.5</w:t>
      </w:r>
      <w:r w:rsidR="002402A4" w:rsidRPr="00B37EF3">
        <w:rPr>
          <w:rFonts w:ascii="Arial" w:hAnsi="Arial" w:cs="Arial"/>
        </w:rPr>
        <w:t xml:space="preserve"> fraction, whereas </w:t>
      </w:r>
      <w:r w:rsidR="00174B96" w:rsidRPr="00B37EF3">
        <w:rPr>
          <w:rFonts w:ascii="Arial" w:hAnsi="Arial" w:cs="Arial"/>
        </w:rPr>
        <w:t>non-exhaust particles arising from processes such as tyre wear and brake wear are more likely</w:t>
      </w:r>
      <w:r w:rsidR="00A53396" w:rsidRPr="00B37EF3">
        <w:rPr>
          <w:rFonts w:ascii="Arial" w:hAnsi="Arial" w:cs="Arial"/>
        </w:rPr>
        <w:t xml:space="preserve"> to be in the coarse frac</w:t>
      </w:r>
      <w:r w:rsidR="002402A4" w:rsidRPr="00B37EF3">
        <w:rPr>
          <w:rFonts w:ascii="Arial" w:hAnsi="Arial" w:cs="Arial"/>
        </w:rPr>
        <w:t>tion</w:t>
      </w:r>
      <w:r w:rsidR="00A53396" w:rsidRPr="00B37EF3">
        <w:rPr>
          <w:rFonts w:ascii="Arial" w:hAnsi="Arial" w:cs="Arial"/>
        </w:rPr>
        <w:t>.</w:t>
      </w:r>
      <w:r w:rsidR="00174B96" w:rsidRPr="00B37EF3">
        <w:rPr>
          <w:rFonts w:ascii="Arial" w:hAnsi="Arial" w:cs="Arial"/>
        </w:rPr>
        <w:t xml:space="preserve"> Dust storms tend to have high PM</w:t>
      </w:r>
      <w:r w:rsidR="00174B96" w:rsidRPr="00B37EF3">
        <w:rPr>
          <w:rFonts w:ascii="Arial" w:hAnsi="Arial" w:cs="Arial"/>
          <w:vertAlign w:val="subscript"/>
        </w:rPr>
        <w:t>10</w:t>
      </w:r>
      <w:r w:rsidR="00174B96" w:rsidRPr="00B37EF3">
        <w:rPr>
          <w:rFonts w:ascii="Arial" w:hAnsi="Arial" w:cs="Arial"/>
        </w:rPr>
        <w:t xml:space="preserve"> levels but only moderate effects on </w:t>
      </w:r>
      <w:r w:rsidR="002110AE" w:rsidRPr="00B37EF3">
        <w:rPr>
          <w:rFonts w:ascii="Arial" w:hAnsi="Arial" w:cs="Arial"/>
        </w:rPr>
        <w:t xml:space="preserve">those of </w:t>
      </w:r>
      <w:r w:rsidR="00174B96" w:rsidRPr="00B37EF3">
        <w:rPr>
          <w:rFonts w:ascii="Arial" w:hAnsi="Arial" w:cs="Arial"/>
        </w:rPr>
        <w:t>PM</w:t>
      </w:r>
      <w:r w:rsidR="00174B96" w:rsidRPr="00B37EF3">
        <w:rPr>
          <w:rFonts w:ascii="Arial" w:hAnsi="Arial" w:cs="Arial"/>
          <w:vertAlign w:val="subscript"/>
        </w:rPr>
        <w:t>2.5</w:t>
      </w:r>
      <w:r w:rsidR="00174B96" w:rsidRPr="00B37EF3">
        <w:rPr>
          <w:rFonts w:ascii="Arial" w:hAnsi="Arial" w:cs="Arial"/>
        </w:rPr>
        <w:t>, whereas bush</w:t>
      </w:r>
      <w:r w:rsidR="00EB3931" w:rsidRPr="00B37EF3">
        <w:rPr>
          <w:rFonts w:ascii="Arial" w:hAnsi="Arial" w:cs="Arial"/>
        </w:rPr>
        <w:t xml:space="preserve"> </w:t>
      </w:r>
      <w:r w:rsidR="00174B96" w:rsidRPr="00B37EF3">
        <w:rPr>
          <w:rFonts w:ascii="Arial" w:hAnsi="Arial" w:cs="Arial"/>
        </w:rPr>
        <w:t>fires tend to have high levels of PM</w:t>
      </w:r>
      <w:r w:rsidR="00174B96" w:rsidRPr="00B37EF3">
        <w:rPr>
          <w:rFonts w:ascii="Arial" w:hAnsi="Arial" w:cs="Arial"/>
          <w:vertAlign w:val="subscript"/>
        </w:rPr>
        <w:t>2.5</w:t>
      </w:r>
      <w:r w:rsidR="00174B96" w:rsidRPr="00B37EF3">
        <w:rPr>
          <w:rFonts w:ascii="Arial" w:hAnsi="Arial" w:cs="Arial"/>
        </w:rPr>
        <w:t xml:space="preserve"> but only moderate levels of PM</w:t>
      </w:r>
      <w:r w:rsidR="00174B96" w:rsidRPr="00B37EF3">
        <w:rPr>
          <w:rFonts w:ascii="Arial" w:hAnsi="Arial" w:cs="Arial"/>
          <w:vertAlign w:val="subscript"/>
        </w:rPr>
        <w:t>10</w:t>
      </w:r>
      <w:r w:rsidR="00174B96" w:rsidRPr="00B37EF3">
        <w:rPr>
          <w:rFonts w:ascii="Arial" w:hAnsi="Arial" w:cs="Arial"/>
        </w:rPr>
        <w:t>.</w:t>
      </w:r>
    </w:p>
    <w:p w:rsidR="00A81146" w:rsidRPr="00B37EF3" w:rsidRDefault="00A81146" w:rsidP="0094498A">
      <w:pPr>
        <w:pStyle w:val="Heading3"/>
        <w:rPr>
          <w:rFonts w:ascii="Arial" w:hAnsi="Arial"/>
        </w:rPr>
      </w:pPr>
      <w:bookmarkStart w:id="87" w:name="_Toc394011109"/>
      <w:r w:rsidRPr="00B37EF3">
        <w:rPr>
          <w:rFonts w:ascii="Arial" w:hAnsi="Arial"/>
        </w:rPr>
        <w:lastRenderedPageBreak/>
        <w:t>Analysis of monitoring data</w:t>
      </w:r>
      <w:bookmarkEnd w:id="87"/>
    </w:p>
    <w:p w:rsidR="00511B80" w:rsidRPr="00B37EF3" w:rsidRDefault="00511B80" w:rsidP="00511B80">
      <w:pPr>
        <w:pStyle w:val="Heading4"/>
        <w:rPr>
          <w:rFonts w:ascii="Arial" w:hAnsi="Arial" w:cs="Arial"/>
        </w:rPr>
      </w:pPr>
      <w:r w:rsidRPr="00B37EF3">
        <w:rPr>
          <w:rFonts w:ascii="Arial" w:hAnsi="Arial" w:cs="Arial"/>
        </w:rPr>
        <w:t>Overview</w:t>
      </w:r>
    </w:p>
    <w:p w:rsidR="0094498A" w:rsidRPr="00B37EF3" w:rsidRDefault="00B410F6" w:rsidP="0094498A">
      <w:pPr>
        <w:rPr>
          <w:rFonts w:ascii="Arial" w:hAnsi="Arial" w:cs="Arial"/>
        </w:rPr>
      </w:pPr>
      <w:r w:rsidRPr="00B37EF3">
        <w:rPr>
          <w:rFonts w:ascii="Arial" w:hAnsi="Arial" w:cs="Arial"/>
        </w:rPr>
        <w:t>For this</w:t>
      </w:r>
      <w:r w:rsidR="008501B3" w:rsidRPr="00B37EF3">
        <w:rPr>
          <w:rFonts w:ascii="Arial" w:hAnsi="Arial" w:cs="Arial"/>
        </w:rPr>
        <w:t xml:space="preserve"> </w:t>
      </w:r>
      <w:r w:rsidR="00B05D93" w:rsidRPr="00B37EF3">
        <w:rPr>
          <w:rFonts w:ascii="Arial" w:hAnsi="Arial"/>
        </w:rPr>
        <w:t>Impact Statement</w:t>
      </w:r>
      <w:r w:rsidR="00B05D93" w:rsidRPr="00B37EF3">
        <w:rPr>
          <w:rFonts w:ascii="Arial" w:hAnsi="Arial" w:cs="Arial"/>
        </w:rPr>
        <w:t xml:space="preserve"> </w:t>
      </w:r>
      <w:r w:rsidR="008501B3" w:rsidRPr="00B37EF3">
        <w:rPr>
          <w:rFonts w:ascii="Arial" w:hAnsi="Arial" w:cs="Arial"/>
        </w:rPr>
        <w:t>i</w:t>
      </w:r>
      <w:r w:rsidR="00D512EC" w:rsidRPr="00B37EF3">
        <w:rPr>
          <w:rFonts w:ascii="Arial" w:hAnsi="Arial" w:cs="Arial"/>
        </w:rPr>
        <w:t xml:space="preserve">t was considered important to </w:t>
      </w:r>
      <w:r w:rsidR="0094498A" w:rsidRPr="00B37EF3">
        <w:rPr>
          <w:rFonts w:ascii="Arial" w:hAnsi="Arial" w:cs="Arial"/>
        </w:rPr>
        <w:t>characterise the existing air quality environment in Australia with respect to PM</w:t>
      </w:r>
      <w:r w:rsidR="0094498A" w:rsidRPr="00B37EF3">
        <w:rPr>
          <w:rFonts w:ascii="Arial" w:hAnsi="Arial" w:cs="Arial"/>
          <w:vertAlign w:val="subscript"/>
        </w:rPr>
        <w:t>10</w:t>
      </w:r>
      <w:r w:rsidR="0094498A" w:rsidRPr="00B37EF3">
        <w:rPr>
          <w:rFonts w:ascii="Arial" w:hAnsi="Arial" w:cs="Arial"/>
        </w:rPr>
        <w:t xml:space="preserve"> and PM</w:t>
      </w:r>
      <w:r w:rsidR="0094498A" w:rsidRPr="00B37EF3">
        <w:rPr>
          <w:rFonts w:ascii="Arial" w:hAnsi="Arial" w:cs="Arial"/>
          <w:vertAlign w:val="subscript"/>
        </w:rPr>
        <w:t>2.5</w:t>
      </w:r>
      <w:r w:rsidR="0094498A" w:rsidRPr="00B37EF3">
        <w:rPr>
          <w:rFonts w:ascii="Arial" w:hAnsi="Arial" w:cs="Arial"/>
        </w:rPr>
        <w:t xml:space="preserve">, so that the options for the </w:t>
      </w:r>
      <w:r w:rsidR="00EF24F8" w:rsidRPr="00B37EF3">
        <w:rPr>
          <w:rFonts w:ascii="Arial" w:hAnsi="Arial" w:cs="Arial"/>
        </w:rPr>
        <w:t>AAQ NEPM</w:t>
      </w:r>
      <w:r w:rsidR="0094498A" w:rsidRPr="00B37EF3">
        <w:rPr>
          <w:rFonts w:ascii="Arial" w:hAnsi="Arial" w:cs="Arial"/>
        </w:rPr>
        <w:t xml:space="preserve"> variation could be framed in an appropriate context. This required an analysis of</w:t>
      </w:r>
      <w:r w:rsidR="00D512EC" w:rsidRPr="00B37EF3">
        <w:rPr>
          <w:rFonts w:ascii="Arial" w:hAnsi="Arial" w:cs="Arial"/>
        </w:rPr>
        <w:t xml:space="preserve"> the PM</w:t>
      </w:r>
      <w:r w:rsidR="00D512EC" w:rsidRPr="00B37EF3">
        <w:rPr>
          <w:rFonts w:ascii="Arial" w:hAnsi="Arial" w:cs="Arial"/>
          <w:vertAlign w:val="subscript"/>
        </w:rPr>
        <w:t>10</w:t>
      </w:r>
      <w:r w:rsidR="00D512EC" w:rsidRPr="00B37EF3">
        <w:rPr>
          <w:rFonts w:ascii="Arial" w:hAnsi="Arial" w:cs="Arial"/>
        </w:rPr>
        <w:t xml:space="preserve"> and PM</w:t>
      </w:r>
      <w:r w:rsidR="00D512EC" w:rsidRPr="00B37EF3">
        <w:rPr>
          <w:rFonts w:ascii="Arial" w:hAnsi="Arial" w:cs="Arial"/>
          <w:vertAlign w:val="subscript"/>
        </w:rPr>
        <w:t>2.5</w:t>
      </w:r>
      <w:r w:rsidR="00D512EC" w:rsidRPr="00B37EF3">
        <w:rPr>
          <w:rFonts w:ascii="Arial" w:hAnsi="Arial" w:cs="Arial"/>
        </w:rPr>
        <w:t xml:space="preserve"> data from the air pollution monit</w:t>
      </w:r>
      <w:r w:rsidR="0094498A" w:rsidRPr="00B37EF3">
        <w:rPr>
          <w:rFonts w:ascii="Arial" w:hAnsi="Arial" w:cs="Arial"/>
        </w:rPr>
        <w:t>oring stations in the various jurisdictions.</w:t>
      </w:r>
    </w:p>
    <w:p w:rsidR="00E20E7C" w:rsidRPr="00B37EF3" w:rsidRDefault="00A33606" w:rsidP="0094498A">
      <w:pPr>
        <w:rPr>
          <w:rFonts w:ascii="Arial" w:hAnsi="Arial" w:cs="Arial"/>
        </w:rPr>
      </w:pPr>
      <w:r w:rsidRPr="00B37EF3">
        <w:rPr>
          <w:rFonts w:ascii="Arial" w:hAnsi="Arial" w:cs="Arial"/>
        </w:rPr>
        <w:t>The rationale for monitoring air pollution</w:t>
      </w:r>
      <w:r w:rsidR="00D512EC" w:rsidRPr="00B37EF3">
        <w:rPr>
          <w:rFonts w:ascii="Arial" w:hAnsi="Arial" w:cs="Arial"/>
        </w:rPr>
        <w:t>,</w:t>
      </w:r>
      <w:r w:rsidRPr="00B37EF3">
        <w:rPr>
          <w:rFonts w:ascii="Arial" w:hAnsi="Arial" w:cs="Arial"/>
        </w:rPr>
        <w:t xml:space="preserve"> and the characteristics of the monitoring framework in Australia were described by </w:t>
      </w:r>
      <w:proofErr w:type="spellStart"/>
      <w:r w:rsidRPr="00B37EF3">
        <w:rPr>
          <w:rFonts w:ascii="Arial" w:hAnsi="Arial" w:cs="Arial"/>
          <w:b/>
        </w:rPr>
        <w:t>Bawden</w:t>
      </w:r>
      <w:proofErr w:type="spellEnd"/>
      <w:r w:rsidRPr="00B37EF3">
        <w:rPr>
          <w:rFonts w:ascii="Arial" w:hAnsi="Arial" w:cs="Arial"/>
          <w:b/>
        </w:rPr>
        <w:t xml:space="preserve"> </w:t>
      </w:r>
      <w:r w:rsidR="009334F4" w:rsidRPr="00B37EF3">
        <w:rPr>
          <w:rFonts w:ascii="Arial" w:hAnsi="Arial" w:cs="Arial"/>
          <w:b/>
        </w:rPr>
        <w:t>et al.</w:t>
      </w:r>
      <w:r w:rsidRPr="00B37EF3">
        <w:rPr>
          <w:rFonts w:ascii="Arial" w:hAnsi="Arial" w:cs="Arial"/>
          <w:b/>
        </w:rPr>
        <w:t xml:space="preserve"> (2012)</w:t>
      </w:r>
      <w:r w:rsidRPr="00B37EF3">
        <w:rPr>
          <w:rFonts w:ascii="Arial" w:hAnsi="Arial" w:cs="Arial"/>
        </w:rPr>
        <w:t>. Various methods are used to measure PM</w:t>
      </w:r>
      <w:r w:rsidRPr="00B37EF3">
        <w:rPr>
          <w:rFonts w:ascii="Arial" w:hAnsi="Arial" w:cs="Arial"/>
          <w:vertAlign w:val="subscript"/>
        </w:rPr>
        <w:t>10</w:t>
      </w:r>
      <w:r w:rsidRPr="00B37EF3">
        <w:rPr>
          <w:rFonts w:ascii="Arial" w:hAnsi="Arial" w:cs="Arial"/>
        </w:rPr>
        <w:t xml:space="preserve"> and PM</w:t>
      </w:r>
      <w:r w:rsidRPr="00B37EF3">
        <w:rPr>
          <w:rFonts w:ascii="Arial" w:hAnsi="Arial" w:cs="Arial"/>
          <w:vertAlign w:val="subscript"/>
        </w:rPr>
        <w:t>2.5</w:t>
      </w:r>
      <w:r w:rsidR="00D512EC" w:rsidRPr="00B37EF3">
        <w:rPr>
          <w:rFonts w:ascii="Arial" w:hAnsi="Arial" w:cs="Arial"/>
        </w:rPr>
        <w:t>, and these vary from state to state</w:t>
      </w:r>
      <w:r w:rsidRPr="00B37EF3">
        <w:rPr>
          <w:rFonts w:ascii="Arial" w:hAnsi="Arial" w:cs="Arial"/>
        </w:rPr>
        <w:t>. A summary of the methods used in each jurisdiction is provided in</w:t>
      </w:r>
      <w:r w:rsidR="0052102C" w:rsidRPr="00B37EF3">
        <w:rPr>
          <w:rFonts w:ascii="Arial" w:hAnsi="Arial" w:cs="Arial"/>
          <w:b/>
        </w:rPr>
        <w:t xml:space="preserve"> </w:t>
      </w:r>
      <w:fldSimple w:instr=" REF _Ref365467203 \h  \* MERGEFORMAT ">
        <w:r w:rsidR="0085182E" w:rsidRPr="0085182E">
          <w:rPr>
            <w:rFonts w:ascii="Arial" w:hAnsi="Arial" w:cs="Arial"/>
            <w:b/>
          </w:rPr>
          <w:t>Table 5.2</w:t>
        </w:r>
      </w:fldSimple>
      <w:r w:rsidRPr="00B37EF3">
        <w:rPr>
          <w:rFonts w:ascii="Arial" w:hAnsi="Arial" w:cs="Arial"/>
        </w:rPr>
        <w:t xml:space="preserve">. </w:t>
      </w:r>
      <w:r w:rsidR="00D512EC" w:rsidRPr="00B37EF3">
        <w:rPr>
          <w:rFonts w:ascii="Arial" w:hAnsi="Arial" w:cs="Arial"/>
        </w:rPr>
        <w:t xml:space="preserve">Further details of the actual monitoring stations in the Australian jurisdictions are provided in </w:t>
      </w:r>
      <w:r w:rsidR="00D512EC" w:rsidRPr="00B37EF3">
        <w:rPr>
          <w:rFonts w:ascii="Arial" w:hAnsi="Arial" w:cs="Arial"/>
          <w:b/>
        </w:rPr>
        <w:t>Appendix</w:t>
      </w:r>
      <w:r w:rsidR="0016103C" w:rsidRPr="00B37EF3">
        <w:rPr>
          <w:rFonts w:ascii="Arial" w:hAnsi="Arial" w:cs="Arial"/>
          <w:b/>
        </w:rPr>
        <w:t xml:space="preserve"> D</w:t>
      </w:r>
      <w:r w:rsidR="00D512EC" w:rsidRPr="00B37EF3">
        <w:rPr>
          <w:rFonts w:ascii="Arial" w:hAnsi="Arial" w:cs="Arial"/>
        </w:rPr>
        <w:t>.</w:t>
      </w:r>
    </w:p>
    <w:p w:rsidR="0094498A" w:rsidRPr="00B37EF3" w:rsidRDefault="0094498A" w:rsidP="0094498A">
      <w:pPr>
        <w:rPr>
          <w:rFonts w:ascii="Arial" w:hAnsi="Arial" w:cs="Arial"/>
        </w:rPr>
      </w:pPr>
      <w:r w:rsidRPr="00B37EF3">
        <w:rPr>
          <w:rFonts w:ascii="Arial" w:hAnsi="Arial" w:cs="Arial"/>
        </w:rPr>
        <w:t xml:space="preserve">Monitoring data were obtained from the state authorities as 24-hour average concentrations between 2003 and 2012 inclusive. The treatment of the data and the detailed results are presented in </w:t>
      </w:r>
      <w:r w:rsidR="00174B85" w:rsidRPr="00B37EF3">
        <w:rPr>
          <w:rFonts w:ascii="Arial" w:hAnsi="Arial" w:cs="Arial"/>
          <w:b/>
        </w:rPr>
        <w:t>Appendix </w:t>
      </w:r>
      <w:r w:rsidR="0016103C" w:rsidRPr="00B37EF3">
        <w:rPr>
          <w:rFonts w:ascii="Arial" w:hAnsi="Arial" w:cs="Arial"/>
          <w:b/>
        </w:rPr>
        <w:t>E</w:t>
      </w:r>
      <w:r w:rsidRPr="00B37EF3">
        <w:rPr>
          <w:rFonts w:ascii="Arial" w:hAnsi="Arial" w:cs="Arial"/>
        </w:rPr>
        <w:t xml:space="preserve">. Several aspects were investigated, including inter-annual trends, seasonal patterns, the effect of day of the week, geographical variations and exceedances of air quality standards. In the context of this </w:t>
      </w:r>
      <w:r w:rsidR="00B05D93" w:rsidRPr="00B37EF3">
        <w:rPr>
          <w:rFonts w:ascii="Arial" w:hAnsi="Arial"/>
        </w:rPr>
        <w:t>Impact Statement</w:t>
      </w:r>
      <w:r w:rsidRPr="00B37EF3">
        <w:rPr>
          <w:rFonts w:ascii="Arial" w:hAnsi="Arial" w:cs="Arial"/>
        </w:rPr>
        <w:t>, the most important of these are the inter-annual trends and the exceedances of the air quality standards. Brief summaries of the results for these are provided below.</w:t>
      </w:r>
    </w:p>
    <w:p w:rsidR="0094498A" w:rsidRPr="00B37EF3" w:rsidRDefault="0094498A" w:rsidP="0094498A">
      <w:pPr>
        <w:rPr>
          <w:rFonts w:ascii="Arial" w:hAnsi="Arial" w:cs="Arial"/>
        </w:rPr>
      </w:pPr>
      <w:r w:rsidRPr="00B37EF3">
        <w:rPr>
          <w:rFonts w:ascii="Arial" w:hAnsi="Arial" w:cs="Arial"/>
        </w:rPr>
        <w:t xml:space="preserve">An additional analysis in relation to the options for the </w:t>
      </w:r>
      <w:r w:rsidR="00EF24F8" w:rsidRPr="00B37EF3">
        <w:rPr>
          <w:rFonts w:ascii="Arial" w:hAnsi="Arial" w:cs="Arial"/>
        </w:rPr>
        <w:t>AAQ NEPM</w:t>
      </w:r>
      <w:r w:rsidRPr="00B37EF3">
        <w:rPr>
          <w:rFonts w:ascii="Arial" w:hAnsi="Arial" w:cs="Arial"/>
        </w:rPr>
        <w:t xml:space="preserve"> is provided in </w:t>
      </w:r>
      <w:r w:rsidRPr="00B37EF3">
        <w:rPr>
          <w:rFonts w:ascii="Arial" w:hAnsi="Arial" w:cs="Arial"/>
          <w:b/>
        </w:rPr>
        <w:t>Chapter 8</w:t>
      </w:r>
      <w:r w:rsidRPr="00B37EF3">
        <w:rPr>
          <w:rFonts w:ascii="Arial" w:hAnsi="Arial" w:cs="Arial"/>
        </w:rPr>
        <w:t>.</w:t>
      </w:r>
    </w:p>
    <w:p w:rsidR="00E20E7C" w:rsidRPr="00B37EF3" w:rsidRDefault="00E20E7C" w:rsidP="00E20E7C">
      <w:pPr>
        <w:pStyle w:val="Caption"/>
        <w:rPr>
          <w:rFonts w:ascii="Arial" w:hAnsi="Arial" w:cs="Arial"/>
        </w:rPr>
      </w:pPr>
      <w:bookmarkStart w:id="88" w:name="_Ref365467203"/>
      <w:r w:rsidRPr="00B37EF3">
        <w:rPr>
          <w:rFonts w:ascii="Arial" w:hAnsi="Arial" w:cs="Arial"/>
        </w:rPr>
        <w:t xml:space="preserve">Table </w:t>
      </w:r>
      <w:r w:rsidR="00BF6019" w:rsidRPr="00B37EF3">
        <w:rPr>
          <w:rFonts w:ascii="Arial" w:hAnsi="Arial" w:cs="Arial"/>
        </w:rPr>
        <w:fldChar w:fldCharType="begin"/>
      </w:r>
      <w:r w:rsidRPr="00B37EF3">
        <w:rPr>
          <w:rFonts w:ascii="Arial" w:hAnsi="Arial" w:cs="Arial"/>
        </w:rPr>
        <w:instrText xml:space="preserve"> STYLEREF 1 \s </w:instrText>
      </w:r>
      <w:r w:rsidR="00BF6019" w:rsidRPr="00B37EF3">
        <w:rPr>
          <w:rFonts w:ascii="Arial" w:hAnsi="Arial" w:cs="Arial"/>
        </w:rPr>
        <w:fldChar w:fldCharType="separate"/>
      </w:r>
      <w:r w:rsidR="0085182E">
        <w:rPr>
          <w:rFonts w:ascii="Arial" w:hAnsi="Arial" w:cs="Arial"/>
          <w:noProof/>
        </w:rPr>
        <w:t>5</w:t>
      </w:r>
      <w:r w:rsidR="00BF6019" w:rsidRPr="00B37EF3">
        <w:rPr>
          <w:rFonts w:ascii="Arial" w:hAnsi="Arial" w:cs="Arial"/>
        </w:rPr>
        <w:fldChar w:fldCharType="end"/>
      </w:r>
      <w:r w:rsidRPr="00B37EF3">
        <w:rPr>
          <w:rFonts w:ascii="Arial" w:hAnsi="Arial" w:cs="Arial"/>
        </w:rPr>
        <w:t>.</w:t>
      </w:r>
      <w:r w:rsidR="00BF6019" w:rsidRPr="00B37EF3">
        <w:rPr>
          <w:rFonts w:ascii="Arial" w:hAnsi="Arial" w:cs="Arial"/>
        </w:rPr>
        <w:fldChar w:fldCharType="begin"/>
      </w:r>
      <w:r w:rsidRPr="00B37EF3">
        <w:rPr>
          <w:rFonts w:ascii="Arial" w:hAnsi="Arial" w:cs="Arial"/>
        </w:rPr>
        <w:instrText xml:space="preserve"> SEQ Table \* ARABIC \s 1 </w:instrText>
      </w:r>
      <w:r w:rsidR="00BF6019" w:rsidRPr="00B37EF3">
        <w:rPr>
          <w:rFonts w:ascii="Arial" w:hAnsi="Arial" w:cs="Arial"/>
        </w:rPr>
        <w:fldChar w:fldCharType="separate"/>
      </w:r>
      <w:r w:rsidR="0085182E">
        <w:rPr>
          <w:rFonts w:ascii="Arial" w:hAnsi="Arial" w:cs="Arial"/>
          <w:noProof/>
        </w:rPr>
        <w:t>2</w:t>
      </w:r>
      <w:r w:rsidR="00BF6019" w:rsidRPr="00B37EF3">
        <w:rPr>
          <w:rFonts w:ascii="Arial" w:hAnsi="Arial" w:cs="Arial"/>
        </w:rPr>
        <w:fldChar w:fldCharType="end"/>
      </w:r>
      <w:bookmarkEnd w:id="88"/>
      <w:r w:rsidRPr="00B37EF3">
        <w:rPr>
          <w:rFonts w:ascii="Arial" w:hAnsi="Arial" w:cs="Arial"/>
        </w:rPr>
        <w:t>:</w:t>
      </w:r>
      <w:bookmarkStart w:id="89" w:name="_Toc328664146"/>
      <w:r w:rsidR="00CE7705" w:rsidRPr="00B37EF3">
        <w:rPr>
          <w:rFonts w:ascii="Arial" w:hAnsi="Arial" w:cs="Arial"/>
        </w:rPr>
        <w:t xml:space="preserve"> Main PM</w:t>
      </w:r>
      <w:r w:rsidRPr="00B37EF3">
        <w:rPr>
          <w:rFonts w:ascii="Arial" w:hAnsi="Arial" w:cs="Arial"/>
        </w:rPr>
        <w:t xml:space="preserve"> monitoring methods used by jurisdictions</w:t>
      </w:r>
      <w:bookmarkEnd w:id="89"/>
    </w:p>
    <w:tbl>
      <w:tblPr>
        <w:tblW w:w="3846" w:type="pct"/>
        <w:jc w:val="center"/>
        <w:tblBorders>
          <w:top w:val="single" w:sz="4" w:space="0" w:color="0076C0"/>
          <w:left w:val="single" w:sz="4" w:space="0" w:color="0076C0"/>
          <w:bottom w:val="single" w:sz="4" w:space="0" w:color="0076C0"/>
          <w:right w:val="single" w:sz="4" w:space="0" w:color="0076C0"/>
          <w:insideH w:val="single" w:sz="4" w:space="0" w:color="0076C0"/>
          <w:insideV w:val="single" w:sz="4" w:space="0" w:color="0076C0"/>
        </w:tblBorders>
        <w:tblLook w:val="04A0"/>
      </w:tblPr>
      <w:tblGrid>
        <w:gridCol w:w="1545"/>
        <w:gridCol w:w="2767"/>
        <w:gridCol w:w="2797"/>
      </w:tblGrid>
      <w:tr w:rsidR="00E20E7C" w:rsidRPr="00B37EF3" w:rsidTr="0094498A">
        <w:trPr>
          <w:tblHeader/>
          <w:jc w:val="center"/>
        </w:trPr>
        <w:tc>
          <w:tcPr>
            <w:tcW w:w="1087" w:type="pct"/>
            <w:shd w:val="clear" w:color="auto" w:fill="0076C0"/>
            <w:vAlign w:val="center"/>
          </w:tcPr>
          <w:p w:rsidR="00E20E7C" w:rsidRPr="00B37EF3" w:rsidRDefault="00E20E7C" w:rsidP="0094498A">
            <w:pPr>
              <w:pStyle w:val="TableContentHeading"/>
              <w:spacing w:before="60" w:after="60"/>
              <w:jc w:val="center"/>
              <w:rPr>
                <w:rFonts w:ascii="Arial" w:hAnsi="Arial" w:cs="Arial"/>
                <w:sz w:val="15"/>
                <w:szCs w:val="15"/>
              </w:rPr>
            </w:pPr>
            <w:r w:rsidRPr="00B37EF3">
              <w:rPr>
                <w:rFonts w:ascii="Arial" w:hAnsi="Arial" w:cs="Arial"/>
                <w:sz w:val="15"/>
                <w:szCs w:val="15"/>
              </w:rPr>
              <w:t>Jurisdiction</w:t>
            </w:r>
          </w:p>
        </w:tc>
        <w:tc>
          <w:tcPr>
            <w:tcW w:w="1946" w:type="pct"/>
            <w:shd w:val="clear" w:color="auto" w:fill="0076C0"/>
            <w:vAlign w:val="center"/>
          </w:tcPr>
          <w:p w:rsidR="00E20E7C" w:rsidRPr="00B37EF3" w:rsidRDefault="00E20E7C" w:rsidP="0094498A">
            <w:pPr>
              <w:pStyle w:val="TableContentHeading"/>
              <w:spacing w:before="60" w:after="60"/>
              <w:jc w:val="center"/>
              <w:rPr>
                <w:rFonts w:ascii="Arial" w:hAnsi="Arial" w:cs="Arial"/>
                <w:sz w:val="15"/>
                <w:szCs w:val="15"/>
              </w:rPr>
            </w:pPr>
            <w:r w:rsidRPr="00B37EF3">
              <w:rPr>
                <w:rFonts w:ascii="Arial" w:hAnsi="Arial" w:cs="Arial"/>
                <w:sz w:val="15"/>
                <w:szCs w:val="15"/>
              </w:rPr>
              <w:t>PM</w:t>
            </w:r>
            <w:r w:rsidRPr="00B37EF3">
              <w:rPr>
                <w:rFonts w:ascii="Arial" w:hAnsi="Arial" w:cs="Arial"/>
                <w:sz w:val="15"/>
                <w:szCs w:val="15"/>
                <w:vertAlign w:val="subscript"/>
              </w:rPr>
              <w:t>10</w:t>
            </w:r>
          </w:p>
        </w:tc>
        <w:tc>
          <w:tcPr>
            <w:tcW w:w="1967" w:type="pct"/>
            <w:shd w:val="clear" w:color="auto" w:fill="0076C0"/>
            <w:vAlign w:val="center"/>
          </w:tcPr>
          <w:p w:rsidR="00E20E7C" w:rsidRPr="00B37EF3" w:rsidRDefault="00E20E7C" w:rsidP="0094498A">
            <w:pPr>
              <w:pStyle w:val="TableContentHeading"/>
              <w:spacing w:before="60" w:after="60"/>
              <w:jc w:val="center"/>
              <w:rPr>
                <w:rFonts w:ascii="Arial" w:hAnsi="Arial" w:cs="Arial"/>
                <w:sz w:val="15"/>
                <w:szCs w:val="15"/>
              </w:rPr>
            </w:pPr>
            <w:r w:rsidRPr="00B37EF3">
              <w:rPr>
                <w:rFonts w:ascii="Arial" w:hAnsi="Arial" w:cs="Arial"/>
                <w:sz w:val="15"/>
                <w:szCs w:val="15"/>
              </w:rPr>
              <w:t>PM</w:t>
            </w:r>
            <w:r w:rsidRPr="00B37EF3">
              <w:rPr>
                <w:rFonts w:ascii="Arial" w:hAnsi="Arial" w:cs="Arial"/>
                <w:sz w:val="15"/>
                <w:szCs w:val="15"/>
                <w:vertAlign w:val="subscript"/>
              </w:rPr>
              <w:t>2.5</w:t>
            </w:r>
          </w:p>
        </w:tc>
      </w:tr>
      <w:tr w:rsidR="00E20E7C" w:rsidRPr="00B37EF3" w:rsidTr="0094498A">
        <w:trPr>
          <w:jc w:val="center"/>
        </w:trPr>
        <w:tc>
          <w:tcPr>
            <w:tcW w:w="1087" w:type="pct"/>
            <w:shd w:val="clear" w:color="auto" w:fill="auto"/>
          </w:tcPr>
          <w:p w:rsidR="00E20E7C" w:rsidRPr="00B37EF3" w:rsidRDefault="00E20E7C" w:rsidP="0094498A">
            <w:pPr>
              <w:pStyle w:val="TableContentText"/>
              <w:keepNext/>
              <w:spacing w:before="60" w:after="60"/>
              <w:jc w:val="center"/>
              <w:rPr>
                <w:rFonts w:ascii="Arial" w:hAnsi="Arial" w:cs="Arial"/>
                <w:color w:val="auto"/>
                <w:sz w:val="15"/>
                <w:szCs w:val="15"/>
              </w:rPr>
            </w:pPr>
            <w:r w:rsidRPr="00B37EF3">
              <w:rPr>
                <w:rFonts w:ascii="Arial" w:hAnsi="Arial" w:cs="Arial"/>
                <w:color w:val="auto"/>
                <w:sz w:val="15"/>
                <w:szCs w:val="15"/>
              </w:rPr>
              <w:t>NSW</w:t>
            </w:r>
          </w:p>
        </w:tc>
        <w:tc>
          <w:tcPr>
            <w:tcW w:w="1946" w:type="pct"/>
            <w:shd w:val="clear" w:color="auto" w:fill="auto"/>
          </w:tcPr>
          <w:p w:rsidR="00E20E7C" w:rsidRPr="00B37EF3" w:rsidRDefault="00E20E7C" w:rsidP="0094498A">
            <w:pPr>
              <w:pStyle w:val="TableContentText"/>
              <w:keepNext/>
              <w:spacing w:before="60" w:after="60"/>
              <w:jc w:val="center"/>
              <w:rPr>
                <w:rFonts w:ascii="Arial" w:hAnsi="Arial" w:cs="Arial"/>
                <w:color w:val="auto"/>
                <w:sz w:val="15"/>
                <w:szCs w:val="15"/>
              </w:rPr>
            </w:pPr>
            <w:r w:rsidRPr="00B37EF3">
              <w:rPr>
                <w:rFonts w:ascii="Arial" w:hAnsi="Arial" w:cs="Arial"/>
                <w:color w:val="auto"/>
                <w:sz w:val="15"/>
                <w:szCs w:val="15"/>
              </w:rPr>
              <w:t>Gravimetric reference method</w:t>
            </w:r>
          </w:p>
          <w:p w:rsidR="00E20E7C" w:rsidRPr="00B37EF3" w:rsidRDefault="00E20E7C" w:rsidP="0094498A">
            <w:pPr>
              <w:pStyle w:val="TableContentText"/>
              <w:keepNext/>
              <w:spacing w:before="60" w:after="60"/>
              <w:jc w:val="center"/>
              <w:rPr>
                <w:rFonts w:ascii="Arial" w:hAnsi="Arial" w:cs="Arial"/>
                <w:color w:val="auto"/>
                <w:sz w:val="15"/>
                <w:szCs w:val="15"/>
              </w:rPr>
            </w:pPr>
            <w:r w:rsidRPr="00B37EF3">
              <w:rPr>
                <w:rFonts w:ascii="Arial" w:hAnsi="Arial" w:cs="Arial"/>
                <w:color w:val="auto"/>
                <w:sz w:val="15"/>
                <w:szCs w:val="15"/>
              </w:rPr>
              <w:t>TEOM</w:t>
            </w:r>
          </w:p>
        </w:tc>
        <w:tc>
          <w:tcPr>
            <w:tcW w:w="1967" w:type="pct"/>
            <w:shd w:val="clear" w:color="auto" w:fill="auto"/>
          </w:tcPr>
          <w:p w:rsidR="00E20E7C" w:rsidRPr="00B37EF3" w:rsidRDefault="00E20E7C" w:rsidP="0094498A">
            <w:pPr>
              <w:pStyle w:val="TableContentText"/>
              <w:keepNext/>
              <w:spacing w:before="60" w:after="60"/>
              <w:jc w:val="center"/>
              <w:rPr>
                <w:rFonts w:ascii="Arial" w:hAnsi="Arial" w:cs="Arial"/>
                <w:color w:val="auto"/>
                <w:sz w:val="15"/>
                <w:szCs w:val="15"/>
              </w:rPr>
            </w:pPr>
            <w:r w:rsidRPr="00B37EF3">
              <w:rPr>
                <w:rFonts w:ascii="Arial" w:hAnsi="Arial" w:cs="Arial"/>
                <w:color w:val="auto"/>
                <w:sz w:val="15"/>
                <w:szCs w:val="15"/>
              </w:rPr>
              <w:t>TEOM</w:t>
            </w:r>
          </w:p>
          <w:p w:rsidR="00E20E7C" w:rsidRPr="00B37EF3" w:rsidRDefault="00E20E7C" w:rsidP="0094498A">
            <w:pPr>
              <w:pStyle w:val="TableContentText"/>
              <w:keepNext/>
              <w:spacing w:before="60" w:after="60"/>
              <w:jc w:val="center"/>
              <w:rPr>
                <w:rFonts w:ascii="Arial" w:hAnsi="Arial" w:cs="Arial"/>
                <w:color w:val="auto"/>
                <w:sz w:val="15"/>
                <w:szCs w:val="15"/>
              </w:rPr>
            </w:pPr>
            <w:r w:rsidRPr="00B37EF3">
              <w:rPr>
                <w:rFonts w:ascii="Arial" w:hAnsi="Arial" w:cs="Arial"/>
                <w:color w:val="auto"/>
                <w:sz w:val="15"/>
                <w:szCs w:val="15"/>
              </w:rPr>
              <w:t>BAM</w:t>
            </w:r>
          </w:p>
        </w:tc>
      </w:tr>
      <w:tr w:rsidR="00E20E7C" w:rsidRPr="00B37EF3" w:rsidTr="0094498A">
        <w:trPr>
          <w:jc w:val="center"/>
        </w:trPr>
        <w:tc>
          <w:tcPr>
            <w:tcW w:w="1087" w:type="pct"/>
            <w:shd w:val="clear" w:color="auto" w:fill="auto"/>
          </w:tcPr>
          <w:p w:rsidR="00E20E7C" w:rsidRPr="00B37EF3" w:rsidRDefault="00E20E7C" w:rsidP="0094498A">
            <w:pPr>
              <w:pStyle w:val="TableContentText"/>
              <w:keepNext/>
              <w:spacing w:before="60" w:after="60"/>
              <w:jc w:val="center"/>
              <w:rPr>
                <w:rFonts w:ascii="Arial" w:hAnsi="Arial" w:cs="Arial"/>
                <w:color w:val="auto"/>
                <w:sz w:val="15"/>
                <w:szCs w:val="15"/>
              </w:rPr>
            </w:pPr>
            <w:r w:rsidRPr="00B37EF3">
              <w:rPr>
                <w:rFonts w:ascii="Arial" w:hAnsi="Arial" w:cs="Arial"/>
                <w:color w:val="auto"/>
                <w:sz w:val="15"/>
                <w:szCs w:val="15"/>
              </w:rPr>
              <w:t>VIC</w:t>
            </w:r>
          </w:p>
        </w:tc>
        <w:tc>
          <w:tcPr>
            <w:tcW w:w="1946" w:type="pct"/>
            <w:shd w:val="clear" w:color="auto" w:fill="auto"/>
          </w:tcPr>
          <w:p w:rsidR="00E20E7C" w:rsidRPr="00B37EF3" w:rsidRDefault="00E20E7C" w:rsidP="0094498A">
            <w:pPr>
              <w:pStyle w:val="TableContentText"/>
              <w:keepNext/>
              <w:spacing w:before="60" w:after="60"/>
              <w:jc w:val="center"/>
              <w:rPr>
                <w:rFonts w:ascii="Arial" w:hAnsi="Arial" w:cs="Arial"/>
                <w:color w:val="auto"/>
                <w:sz w:val="15"/>
                <w:szCs w:val="15"/>
              </w:rPr>
            </w:pPr>
            <w:r w:rsidRPr="00B37EF3">
              <w:rPr>
                <w:rFonts w:ascii="Arial" w:hAnsi="Arial" w:cs="Arial"/>
                <w:color w:val="auto"/>
                <w:sz w:val="15"/>
                <w:szCs w:val="15"/>
              </w:rPr>
              <w:t>TEOM</w:t>
            </w:r>
          </w:p>
        </w:tc>
        <w:tc>
          <w:tcPr>
            <w:tcW w:w="1967" w:type="pct"/>
            <w:shd w:val="clear" w:color="auto" w:fill="auto"/>
          </w:tcPr>
          <w:p w:rsidR="00E20E7C" w:rsidRPr="00B37EF3" w:rsidRDefault="00E20E7C" w:rsidP="0094498A">
            <w:pPr>
              <w:pStyle w:val="TableContentText"/>
              <w:keepNext/>
              <w:spacing w:before="60" w:after="60"/>
              <w:jc w:val="center"/>
              <w:rPr>
                <w:rFonts w:ascii="Arial" w:hAnsi="Arial" w:cs="Arial"/>
                <w:color w:val="auto"/>
                <w:sz w:val="15"/>
                <w:szCs w:val="15"/>
              </w:rPr>
            </w:pPr>
            <w:r w:rsidRPr="00B37EF3">
              <w:rPr>
                <w:rFonts w:ascii="Arial" w:hAnsi="Arial" w:cs="Arial"/>
                <w:color w:val="auto"/>
                <w:sz w:val="15"/>
                <w:szCs w:val="15"/>
              </w:rPr>
              <w:t>Gravimetric reference method</w:t>
            </w:r>
          </w:p>
          <w:p w:rsidR="00E20E7C" w:rsidRPr="00B37EF3" w:rsidRDefault="00E20E7C" w:rsidP="0094498A">
            <w:pPr>
              <w:pStyle w:val="TableContentText"/>
              <w:keepNext/>
              <w:spacing w:before="60" w:after="60"/>
              <w:jc w:val="center"/>
              <w:rPr>
                <w:rFonts w:ascii="Arial" w:hAnsi="Arial" w:cs="Arial"/>
                <w:color w:val="auto"/>
                <w:sz w:val="15"/>
                <w:szCs w:val="15"/>
              </w:rPr>
            </w:pPr>
            <w:r w:rsidRPr="00B37EF3">
              <w:rPr>
                <w:rFonts w:ascii="Arial" w:hAnsi="Arial" w:cs="Arial"/>
                <w:color w:val="auto"/>
                <w:sz w:val="15"/>
                <w:szCs w:val="15"/>
              </w:rPr>
              <w:t>TEOM</w:t>
            </w:r>
          </w:p>
        </w:tc>
      </w:tr>
      <w:tr w:rsidR="00E20E7C" w:rsidRPr="00B37EF3" w:rsidTr="0094498A">
        <w:trPr>
          <w:jc w:val="center"/>
        </w:trPr>
        <w:tc>
          <w:tcPr>
            <w:tcW w:w="1087" w:type="pct"/>
            <w:shd w:val="clear" w:color="auto" w:fill="auto"/>
          </w:tcPr>
          <w:p w:rsidR="00E20E7C" w:rsidRPr="00B37EF3" w:rsidRDefault="00E20E7C" w:rsidP="0094498A">
            <w:pPr>
              <w:pStyle w:val="TableContentText"/>
              <w:keepNext/>
              <w:spacing w:before="60" w:after="60"/>
              <w:jc w:val="center"/>
              <w:rPr>
                <w:rFonts w:ascii="Arial" w:hAnsi="Arial" w:cs="Arial"/>
                <w:color w:val="auto"/>
                <w:sz w:val="15"/>
                <w:szCs w:val="15"/>
              </w:rPr>
            </w:pPr>
            <w:r w:rsidRPr="00B37EF3">
              <w:rPr>
                <w:rFonts w:ascii="Arial" w:hAnsi="Arial" w:cs="Arial"/>
                <w:color w:val="auto"/>
                <w:sz w:val="15"/>
                <w:szCs w:val="15"/>
              </w:rPr>
              <w:t>QLD</w:t>
            </w:r>
          </w:p>
        </w:tc>
        <w:tc>
          <w:tcPr>
            <w:tcW w:w="1946" w:type="pct"/>
            <w:shd w:val="clear" w:color="auto" w:fill="auto"/>
          </w:tcPr>
          <w:p w:rsidR="00E20E7C" w:rsidRPr="00B37EF3" w:rsidRDefault="00E20E7C" w:rsidP="0094498A">
            <w:pPr>
              <w:pStyle w:val="TableContentText"/>
              <w:keepNext/>
              <w:spacing w:before="60" w:after="60"/>
              <w:jc w:val="center"/>
              <w:rPr>
                <w:rFonts w:ascii="Arial" w:hAnsi="Arial" w:cs="Arial"/>
                <w:color w:val="auto"/>
                <w:sz w:val="15"/>
                <w:szCs w:val="15"/>
              </w:rPr>
            </w:pPr>
            <w:r w:rsidRPr="00B37EF3">
              <w:rPr>
                <w:rFonts w:ascii="Arial" w:hAnsi="Arial" w:cs="Arial"/>
                <w:color w:val="auto"/>
                <w:sz w:val="15"/>
                <w:szCs w:val="15"/>
              </w:rPr>
              <w:t>FDMS TEOM, TEOM</w:t>
            </w:r>
          </w:p>
        </w:tc>
        <w:tc>
          <w:tcPr>
            <w:tcW w:w="1967" w:type="pct"/>
            <w:shd w:val="clear" w:color="auto" w:fill="auto"/>
          </w:tcPr>
          <w:p w:rsidR="00E20E7C" w:rsidRPr="00B37EF3" w:rsidRDefault="00E20E7C" w:rsidP="0094498A">
            <w:pPr>
              <w:pStyle w:val="TableContentText"/>
              <w:keepNext/>
              <w:spacing w:before="60" w:after="60"/>
              <w:jc w:val="center"/>
              <w:rPr>
                <w:rFonts w:ascii="Arial" w:hAnsi="Arial" w:cs="Arial"/>
                <w:color w:val="auto"/>
                <w:sz w:val="15"/>
                <w:szCs w:val="15"/>
              </w:rPr>
            </w:pPr>
            <w:r w:rsidRPr="00B37EF3">
              <w:rPr>
                <w:rFonts w:ascii="Arial" w:hAnsi="Arial" w:cs="Arial"/>
                <w:color w:val="auto"/>
                <w:sz w:val="15"/>
                <w:szCs w:val="15"/>
              </w:rPr>
              <w:t>FDMS TEOM, TEOM</w:t>
            </w:r>
          </w:p>
        </w:tc>
      </w:tr>
      <w:tr w:rsidR="00E20E7C" w:rsidRPr="00B37EF3" w:rsidTr="0094498A">
        <w:trPr>
          <w:jc w:val="center"/>
        </w:trPr>
        <w:tc>
          <w:tcPr>
            <w:tcW w:w="1087" w:type="pct"/>
            <w:shd w:val="clear" w:color="auto" w:fill="auto"/>
          </w:tcPr>
          <w:p w:rsidR="00E20E7C" w:rsidRPr="00B37EF3" w:rsidRDefault="00E20E7C" w:rsidP="0094498A">
            <w:pPr>
              <w:pStyle w:val="TableContentText"/>
              <w:keepNext/>
              <w:spacing w:before="60" w:after="60"/>
              <w:jc w:val="center"/>
              <w:rPr>
                <w:rFonts w:ascii="Arial" w:hAnsi="Arial" w:cs="Arial"/>
                <w:color w:val="auto"/>
                <w:sz w:val="15"/>
                <w:szCs w:val="15"/>
              </w:rPr>
            </w:pPr>
            <w:r w:rsidRPr="00B37EF3">
              <w:rPr>
                <w:rFonts w:ascii="Arial" w:hAnsi="Arial" w:cs="Arial"/>
                <w:color w:val="auto"/>
                <w:sz w:val="15"/>
                <w:szCs w:val="15"/>
              </w:rPr>
              <w:t>SA</w:t>
            </w:r>
          </w:p>
        </w:tc>
        <w:tc>
          <w:tcPr>
            <w:tcW w:w="1946" w:type="pct"/>
            <w:shd w:val="clear" w:color="auto" w:fill="auto"/>
          </w:tcPr>
          <w:p w:rsidR="00E20E7C" w:rsidRPr="00B37EF3" w:rsidRDefault="00E20E7C" w:rsidP="0094498A">
            <w:pPr>
              <w:pStyle w:val="TableContentText"/>
              <w:keepNext/>
              <w:spacing w:before="60" w:after="60"/>
              <w:jc w:val="center"/>
              <w:rPr>
                <w:rFonts w:ascii="Arial" w:hAnsi="Arial" w:cs="Arial"/>
                <w:color w:val="auto"/>
                <w:sz w:val="15"/>
                <w:szCs w:val="15"/>
              </w:rPr>
            </w:pPr>
            <w:r w:rsidRPr="00B37EF3">
              <w:rPr>
                <w:rFonts w:ascii="Arial" w:hAnsi="Arial" w:cs="Arial"/>
                <w:color w:val="auto"/>
                <w:sz w:val="15"/>
                <w:szCs w:val="15"/>
              </w:rPr>
              <w:t>TEOM</w:t>
            </w:r>
          </w:p>
        </w:tc>
        <w:tc>
          <w:tcPr>
            <w:tcW w:w="1967" w:type="pct"/>
            <w:shd w:val="clear" w:color="auto" w:fill="auto"/>
          </w:tcPr>
          <w:p w:rsidR="00E20E7C" w:rsidRPr="00B37EF3" w:rsidRDefault="00E20E7C" w:rsidP="0094498A">
            <w:pPr>
              <w:pStyle w:val="TableContentText"/>
              <w:keepNext/>
              <w:spacing w:before="60" w:after="60"/>
              <w:jc w:val="center"/>
              <w:rPr>
                <w:rFonts w:ascii="Arial" w:hAnsi="Arial" w:cs="Arial"/>
                <w:color w:val="auto"/>
                <w:sz w:val="15"/>
                <w:szCs w:val="15"/>
              </w:rPr>
            </w:pPr>
            <w:r w:rsidRPr="00B37EF3">
              <w:rPr>
                <w:rFonts w:ascii="Arial" w:hAnsi="Arial" w:cs="Arial"/>
                <w:color w:val="auto"/>
                <w:sz w:val="15"/>
                <w:szCs w:val="15"/>
              </w:rPr>
              <w:t>TEOM</w:t>
            </w:r>
          </w:p>
        </w:tc>
      </w:tr>
      <w:tr w:rsidR="00E20E7C" w:rsidRPr="00B37EF3" w:rsidTr="0094498A">
        <w:trPr>
          <w:jc w:val="center"/>
        </w:trPr>
        <w:tc>
          <w:tcPr>
            <w:tcW w:w="1087" w:type="pct"/>
            <w:shd w:val="clear" w:color="auto" w:fill="auto"/>
          </w:tcPr>
          <w:p w:rsidR="00E20E7C" w:rsidRPr="00B37EF3" w:rsidRDefault="00E20E7C" w:rsidP="0094498A">
            <w:pPr>
              <w:pStyle w:val="TableContentText"/>
              <w:keepNext/>
              <w:spacing w:before="60" w:after="60"/>
              <w:jc w:val="center"/>
              <w:rPr>
                <w:rFonts w:ascii="Arial" w:hAnsi="Arial" w:cs="Arial"/>
                <w:color w:val="auto"/>
                <w:sz w:val="15"/>
                <w:szCs w:val="15"/>
              </w:rPr>
            </w:pPr>
            <w:r w:rsidRPr="00B37EF3">
              <w:rPr>
                <w:rFonts w:ascii="Arial" w:hAnsi="Arial" w:cs="Arial"/>
                <w:color w:val="auto"/>
                <w:sz w:val="15"/>
                <w:szCs w:val="15"/>
              </w:rPr>
              <w:t>WA</w:t>
            </w:r>
          </w:p>
        </w:tc>
        <w:tc>
          <w:tcPr>
            <w:tcW w:w="1946" w:type="pct"/>
            <w:shd w:val="clear" w:color="auto" w:fill="auto"/>
          </w:tcPr>
          <w:p w:rsidR="00E20E7C" w:rsidRPr="00B37EF3" w:rsidRDefault="00E20E7C" w:rsidP="0094498A">
            <w:pPr>
              <w:pStyle w:val="TableContentText"/>
              <w:keepNext/>
              <w:spacing w:before="60" w:after="60"/>
              <w:jc w:val="center"/>
              <w:rPr>
                <w:rFonts w:ascii="Arial" w:hAnsi="Arial" w:cs="Arial"/>
                <w:color w:val="auto"/>
                <w:sz w:val="15"/>
                <w:szCs w:val="15"/>
              </w:rPr>
            </w:pPr>
            <w:r w:rsidRPr="00B37EF3">
              <w:rPr>
                <w:rFonts w:ascii="Arial" w:hAnsi="Arial" w:cs="Arial"/>
                <w:color w:val="auto"/>
                <w:sz w:val="15"/>
                <w:szCs w:val="15"/>
              </w:rPr>
              <w:t>TEOM</w:t>
            </w:r>
          </w:p>
        </w:tc>
        <w:tc>
          <w:tcPr>
            <w:tcW w:w="1967" w:type="pct"/>
            <w:shd w:val="clear" w:color="auto" w:fill="auto"/>
          </w:tcPr>
          <w:p w:rsidR="00E20E7C" w:rsidRPr="00B37EF3" w:rsidRDefault="00E20E7C" w:rsidP="0094498A">
            <w:pPr>
              <w:pStyle w:val="TableContentText"/>
              <w:keepNext/>
              <w:spacing w:before="60" w:after="60"/>
              <w:jc w:val="center"/>
              <w:rPr>
                <w:rFonts w:ascii="Arial" w:hAnsi="Arial" w:cs="Arial"/>
                <w:color w:val="auto"/>
                <w:sz w:val="15"/>
                <w:szCs w:val="15"/>
              </w:rPr>
            </w:pPr>
            <w:r w:rsidRPr="00B37EF3">
              <w:rPr>
                <w:rFonts w:ascii="Arial" w:hAnsi="Arial" w:cs="Arial"/>
                <w:color w:val="auto"/>
                <w:sz w:val="15"/>
                <w:szCs w:val="15"/>
              </w:rPr>
              <w:t>TEOM</w:t>
            </w:r>
          </w:p>
        </w:tc>
      </w:tr>
      <w:tr w:rsidR="00E20E7C" w:rsidRPr="00B37EF3" w:rsidTr="0094498A">
        <w:trPr>
          <w:jc w:val="center"/>
        </w:trPr>
        <w:tc>
          <w:tcPr>
            <w:tcW w:w="1087" w:type="pct"/>
            <w:shd w:val="clear" w:color="auto" w:fill="auto"/>
          </w:tcPr>
          <w:p w:rsidR="00E20E7C" w:rsidRPr="00B37EF3" w:rsidRDefault="00E20E7C" w:rsidP="0094498A">
            <w:pPr>
              <w:pStyle w:val="TableContentText"/>
              <w:keepNext/>
              <w:spacing w:before="60" w:after="60"/>
              <w:jc w:val="center"/>
              <w:rPr>
                <w:rFonts w:ascii="Arial" w:hAnsi="Arial" w:cs="Arial"/>
                <w:color w:val="auto"/>
                <w:sz w:val="15"/>
                <w:szCs w:val="15"/>
              </w:rPr>
            </w:pPr>
            <w:r w:rsidRPr="00B37EF3">
              <w:rPr>
                <w:rFonts w:ascii="Arial" w:hAnsi="Arial" w:cs="Arial"/>
                <w:color w:val="auto"/>
                <w:sz w:val="15"/>
                <w:szCs w:val="15"/>
              </w:rPr>
              <w:t>TAS</w:t>
            </w:r>
          </w:p>
          <w:p w:rsidR="00E20E7C" w:rsidRPr="00B37EF3" w:rsidRDefault="00E20E7C" w:rsidP="0094498A">
            <w:pPr>
              <w:pStyle w:val="TableContentText"/>
              <w:keepNext/>
              <w:spacing w:before="60" w:after="60"/>
              <w:jc w:val="center"/>
              <w:rPr>
                <w:rFonts w:ascii="Arial" w:hAnsi="Arial" w:cs="Arial"/>
                <w:color w:val="auto"/>
                <w:sz w:val="15"/>
                <w:szCs w:val="15"/>
              </w:rPr>
            </w:pPr>
          </w:p>
        </w:tc>
        <w:tc>
          <w:tcPr>
            <w:tcW w:w="1946" w:type="pct"/>
            <w:shd w:val="clear" w:color="auto" w:fill="auto"/>
          </w:tcPr>
          <w:p w:rsidR="00E20E7C" w:rsidRPr="00B37EF3" w:rsidRDefault="00E20E7C" w:rsidP="0094498A">
            <w:pPr>
              <w:pStyle w:val="TableContentText"/>
              <w:keepNext/>
              <w:spacing w:before="60" w:after="60"/>
              <w:jc w:val="center"/>
              <w:rPr>
                <w:rFonts w:ascii="Arial" w:hAnsi="Arial" w:cs="Arial"/>
                <w:color w:val="auto"/>
                <w:sz w:val="15"/>
                <w:szCs w:val="15"/>
              </w:rPr>
            </w:pPr>
            <w:r w:rsidRPr="00B37EF3">
              <w:rPr>
                <w:rFonts w:ascii="Arial" w:hAnsi="Arial" w:cs="Arial"/>
                <w:color w:val="auto"/>
                <w:sz w:val="15"/>
                <w:szCs w:val="15"/>
              </w:rPr>
              <w:t>Gravimetric reference method</w:t>
            </w:r>
          </w:p>
          <w:p w:rsidR="00E20E7C" w:rsidRPr="00B37EF3" w:rsidRDefault="00E20E7C" w:rsidP="0094498A">
            <w:pPr>
              <w:pStyle w:val="TableContentText"/>
              <w:keepNext/>
              <w:spacing w:before="60" w:after="60"/>
              <w:jc w:val="center"/>
              <w:rPr>
                <w:rFonts w:ascii="Arial" w:hAnsi="Arial" w:cs="Arial"/>
                <w:color w:val="auto"/>
                <w:sz w:val="15"/>
                <w:szCs w:val="15"/>
              </w:rPr>
            </w:pPr>
            <w:r w:rsidRPr="00B37EF3">
              <w:rPr>
                <w:rFonts w:ascii="Arial" w:hAnsi="Arial" w:cs="Arial"/>
                <w:color w:val="auto"/>
                <w:sz w:val="15"/>
                <w:szCs w:val="15"/>
              </w:rPr>
              <w:t>TEOM</w:t>
            </w:r>
          </w:p>
          <w:p w:rsidR="00E20E7C" w:rsidRPr="00B37EF3" w:rsidRDefault="00E20E7C" w:rsidP="0094498A">
            <w:pPr>
              <w:pStyle w:val="TableContentText"/>
              <w:keepNext/>
              <w:spacing w:before="60" w:after="60"/>
              <w:jc w:val="center"/>
              <w:rPr>
                <w:rFonts w:ascii="Arial" w:hAnsi="Arial" w:cs="Arial"/>
                <w:color w:val="auto"/>
                <w:sz w:val="15"/>
                <w:szCs w:val="15"/>
              </w:rPr>
            </w:pPr>
            <w:proofErr w:type="spellStart"/>
            <w:r w:rsidRPr="00B37EF3">
              <w:rPr>
                <w:rFonts w:ascii="Arial" w:hAnsi="Arial" w:cs="Arial"/>
                <w:color w:val="auto"/>
                <w:sz w:val="15"/>
                <w:szCs w:val="15"/>
              </w:rPr>
              <w:t>DustTrak</w:t>
            </w:r>
            <w:proofErr w:type="spellEnd"/>
          </w:p>
        </w:tc>
        <w:tc>
          <w:tcPr>
            <w:tcW w:w="1967" w:type="pct"/>
            <w:shd w:val="clear" w:color="auto" w:fill="auto"/>
          </w:tcPr>
          <w:p w:rsidR="00E20E7C" w:rsidRPr="00B37EF3" w:rsidRDefault="00E20E7C" w:rsidP="0094498A">
            <w:pPr>
              <w:pStyle w:val="TableContentText"/>
              <w:keepNext/>
              <w:spacing w:before="60" w:after="60"/>
              <w:jc w:val="center"/>
              <w:rPr>
                <w:rFonts w:ascii="Arial" w:hAnsi="Arial" w:cs="Arial"/>
                <w:color w:val="auto"/>
                <w:sz w:val="15"/>
                <w:szCs w:val="15"/>
              </w:rPr>
            </w:pPr>
            <w:r w:rsidRPr="00B37EF3">
              <w:rPr>
                <w:rFonts w:ascii="Arial" w:hAnsi="Arial" w:cs="Arial"/>
                <w:color w:val="auto"/>
                <w:sz w:val="15"/>
                <w:szCs w:val="15"/>
              </w:rPr>
              <w:t>Gravimetric reference method</w:t>
            </w:r>
          </w:p>
          <w:p w:rsidR="00E20E7C" w:rsidRPr="00B37EF3" w:rsidRDefault="00E20E7C" w:rsidP="0094498A">
            <w:pPr>
              <w:pStyle w:val="TableContentText"/>
              <w:keepNext/>
              <w:spacing w:before="60" w:after="60"/>
              <w:jc w:val="center"/>
              <w:rPr>
                <w:rFonts w:ascii="Arial" w:hAnsi="Arial" w:cs="Arial"/>
                <w:color w:val="auto"/>
                <w:sz w:val="15"/>
                <w:szCs w:val="15"/>
              </w:rPr>
            </w:pPr>
            <w:r w:rsidRPr="00B37EF3">
              <w:rPr>
                <w:rFonts w:ascii="Arial" w:hAnsi="Arial" w:cs="Arial"/>
                <w:color w:val="auto"/>
                <w:sz w:val="15"/>
                <w:szCs w:val="15"/>
              </w:rPr>
              <w:t>TEOM</w:t>
            </w:r>
          </w:p>
          <w:p w:rsidR="00E20E7C" w:rsidRPr="00B37EF3" w:rsidRDefault="00E20E7C" w:rsidP="0094498A">
            <w:pPr>
              <w:pStyle w:val="TableContentText"/>
              <w:keepNext/>
              <w:spacing w:before="60" w:after="60"/>
              <w:jc w:val="center"/>
              <w:rPr>
                <w:rFonts w:ascii="Arial" w:hAnsi="Arial" w:cs="Arial"/>
                <w:color w:val="auto"/>
                <w:sz w:val="15"/>
                <w:szCs w:val="15"/>
              </w:rPr>
            </w:pPr>
            <w:proofErr w:type="spellStart"/>
            <w:r w:rsidRPr="00B37EF3">
              <w:rPr>
                <w:rFonts w:ascii="Arial" w:hAnsi="Arial" w:cs="Arial"/>
                <w:color w:val="auto"/>
                <w:sz w:val="15"/>
                <w:szCs w:val="15"/>
              </w:rPr>
              <w:t>DustTrak</w:t>
            </w:r>
            <w:proofErr w:type="spellEnd"/>
          </w:p>
        </w:tc>
      </w:tr>
      <w:tr w:rsidR="00E20E7C" w:rsidRPr="00B37EF3" w:rsidTr="0094498A">
        <w:trPr>
          <w:jc w:val="center"/>
        </w:trPr>
        <w:tc>
          <w:tcPr>
            <w:tcW w:w="1087" w:type="pct"/>
            <w:tcBorders>
              <w:bottom w:val="single" w:sz="4" w:space="0" w:color="0076C0"/>
            </w:tcBorders>
            <w:shd w:val="clear" w:color="auto" w:fill="auto"/>
          </w:tcPr>
          <w:p w:rsidR="00E20E7C" w:rsidRPr="00B37EF3" w:rsidRDefault="00E20E7C" w:rsidP="0094498A">
            <w:pPr>
              <w:pStyle w:val="TableContentText"/>
              <w:keepNext/>
              <w:spacing w:before="60" w:after="60"/>
              <w:jc w:val="center"/>
              <w:rPr>
                <w:rFonts w:ascii="Arial" w:hAnsi="Arial" w:cs="Arial"/>
                <w:color w:val="auto"/>
                <w:sz w:val="15"/>
                <w:szCs w:val="15"/>
              </w:rPr>
            </w:pPr>
            <w:r w:rsidRPr="00B37EF3">
              <w:rPr>
                <w:rFonts w:ascii="Arial" w:hAnsi="Arial" w:cs="Arial"/>
                <w:color w:val="auto"/>
                <w:sz w:val="15"/>
                <w:szCs w:val="15"/>
              </w:rPr>
              <w:t>NT</w:t>
            </w:r>
          </w:p>
        </w:tc>
        <w:tc>
          <w:tcPr>
            <w:tcW w:w="1946" w:type="pct"/>
            <w:tcBorders>
              <w:bottom w:val="single" w:sz="4" w:space="0" w:color="0076C0"/>
            </w:tcBorders>
            <w:shd w:val="clear" w:color="auto" w:fill="auto"/>
          </w:tcPr>
          <w:p w:rsidR="00E20E7C" w:rsidRPr="00B37EF3" w:rsidRDefault="00E20E7C" w:rsidP="0094498A">
            <w:pPr>
              <w:pStyle w:val="TableContentText"/>
              <w:keepNext/>
              <w:spacing w:before="60" w:after="60"/>
              <w:jc w:val="center"/>
              <w:rPr>
                <w:rFonts w:ascii="Arial" w:hAnsi="Arial" w:cs="Arial"/>
                <w:color w:val="auto"/>
                <w:sz w:val="15"/>
                <w:szCs w:val="15"/>
              </w:rPr>
            </w:pPr>
            <w:proofErr w:type="spellStart"/>
            <w:r w:rsidRPr="00B37EF3">
              <w:rPr>
                <w:rFonts w:ascii="Arial" w:hAnsi="Arial" w:cs="Arial"/>
                <w:color w:val="auto"/>
                <w:sz w:val="15"/>
                <w:szCs w:val="15"/>
              </w:rPr>
              <w:t>Partisol</w:t>
            </w:r>
            <w:proofErr w:type="spellEnd"/>
            <w:r w:rsidRPr="00B37EF3">
              <w:rPr>
                <w:rFonts w:ascii="Arial" w:hAnsi="Arial" w:cs="Arial"/>
                <w:color w:val="auto"/>
                <w:sz w:val="15"/>
                <w:szCs w:val="15"/>
              </w:rPr>
              <w:t xml:space="preserve"> dichotomous sampler</w:t>
            </w:r>
          </w:p>
          <w:p w:rsidR="00E20E7C" w:rsidRPr="00B37EF3" w:rsidRDefault="00E20E7C" w:rsidP="0094498A">
            <w:pPr>
              <w:pStyle w:val="TableContentText"/>
              <w:keepNext/>
              <w:spacing w:before="60" w:after="60"/>
              <w:jc w:val="center"/>
              <w:rPr>
                <w:rFonts w:ascii="Arial" w:hAnsi="Arial" w:cs="Arial"/>
                <w:color w:val="auto"/>
                <w:sz w:val="15"/>
                <w:szCs w:val="15"/>
              </w:rPr>
            </w:pPr>
            <w:r w:rsidRPr="00B37EF3">
              <w:rPr>
                <w:rFonts w:ascii="Arial" w:hAnsi="Arial" w:cs="Arial"/>
                <w:color w:val="auto"/>
                <w:sz w:val="15"/>
                <w:szCs w:val="15"/>
              </w:rPr>
              <w:t>TEOM</w:t>
            </w:r>
          </w:p>
        </w:tc>
        <w:tc>
          <w:tcPr>
            <w:tcW w:w="1967" w:type="pct"/>
            <w:tcBorders>
              <w:bottom w:val="single" w:sz="4" w:space="0" w:color="0076C0"/>
            </w:tcBorders>
            <w:shd w:val="clear" w:color="auto" w:fill="auto"/>
          </w:tcPr>
          <w:p w:rsidR="00E20E7C" w:rsidRPr="00B37EF3" w:rsidRDefault="00E20E7C" w:rsidP="0094498A">
            <w:pPr>
              <w:pStyle w:val="TableContentText"/>
              <w:keepNext/>
              <w:spacing w:before="60" w:after="60"/>
              <w:jc w:val="center"/>
              <w:rPr>
                <w:rFonts w:ascii="Arial" w:hAnsi="Arial" w:cs="Arial"/>
                <w:color w:val="auto"/>
                <w:sz w:val="15"/>
                <w:szCs w:val="15"/>
                <w:vertAlign w:val="superscript"/>
              </w:rPr>
            </w:pPr>
            <w:proofErr w:type="spellStart"/>
            <w:r w:rsidRPr="00B37EF3">
              <w:rPr>
                <w:rFonts w:ascii="Arial" w:hAnsi="Arial" w:cs="Arial"/>
                <w:color w:val="auto"/>
                <w:sz w:val="15"/>
                <w:szCs w:val="15"/>
              </w:rPr>
              <w:t>Partisol</w:t>
            </w:r>
            <w:proofErr w:type="spellEnd"/>
            <w:r w:rsidRPr="00B37EF3">
              <w:rPr>
                <w:rFonts w:ascii="Arial" w:hAnsi="Arial" w:cs="Arial"/>
                <w:color w:val="auto"/>
                <w:sz w:val="15"/>
                <w:szCs w:val="15"/>
              </w:rPr>
              <w:t xml:space="preserve"> dichotomous sampler</w:t>
            </w:r>
          </w:p>
        </w:tc>
      </w:tr>
      <w:tr w:rsidR="00E20E7C" w:rsidRPr="00B37EF3" w:rsidTr="0094498A">
        <w:trPr>
          <w:jc w:val="center"/>
        </w:trPr>
        <w:tc>
          <w:tcPr>
            <w:tcW w:w="1087" w:type="pct"/>
            <w:tcBorders>
              <w:bottom w:val="single" w:sz="4" w:space="0" w:color="0076C0"/>
            </w:tcBorders>
            <w:shd w:val="clear" w:color="auto" w:fill="auto"/>
          </w:tcPr>
          <w:p w:rsidR="00E20E7C" w:rsidRPr="00B37EF3" w:rsidRDefault="00E20E7C" w:rsidP="0094498A">
            <w:pPr>
              <w:pStyle w:val="TableContentText"/>
              <w:keepNext/>
              <w:spacing w:before="60" w:after="60"/>
              <w:jc w:val="center"/>
              <w:rPr>
                <w:rFonts w:ascii="Arial" w:hAnsi="Arial" w:cs="Arial"/>
                <w:color w:val="auto"/>
                <w:sz w:val="15"/>
                <w:szCs w:val="15"/>
              </w:rPr>
            </w:pPr>
            <w:r w:rsidRPr="00B37EF3">
              <w:rPr>
                <w:rFonts w:ascii="Arial" w:hAnsi="Arial" w:cs="Arial"/>
                <w:color w:val="auto"/>
                <w:sz w:val="15"/>
                <w:szCs w:val="15"/>
              </w:rPr>
              <w:t>ACT</w:t>
            </w:r>
          </w:p>
        </w:tc>
        <w:tc>
          <w:tcPr>
            <w:tcW w:w="1946" w:type="pct"/>
            <w:tcBorders>
              <w:bottom w:val="single" w:sz="4" w:space="0" w:color="0076C0"/>
            </w:tcBorders>
            <w:shd w:val="clear" w:color="auto" w:fill="auto"/>
          </w:tcPr>
          <w:p w:rsidR="00E20E7C" w:rsidRPr="00B37EF3" w:rsidRDefault="00E20E7C" w:rsidP="0094498A">
            <w:pPr>
              <w:pStyle w:val="TableContentText"/>
              <w:keepNext/>
              <w:spacing w:before="60" w:after="60"/>
              <w:jc w:val="center"/>
              <w:rPr>
                <w:rFonts w:ascii="Arial" w:hAnsi="Arial" w:cs="Arial"/>
                <w:color w:val="auto"/>
                <w:sz w:val="15"/>
                <w:szCs w:val="15"/>
              </w:rPr>
            </w:pPr>
            <w:r w:rsidRPr="00B37EF3">
              <w:rPr>
                <w:rFonts w:ascii="Arial" w:hAnsi="Arial" w:cs="Arial"/>
                <w:color w:val="auto"/>
                <w:sz w:val="15"/>
                <w:szCs w:val="15"/>
              </w:rPr>
              <w:t>Gravimetric reference method</w:t>
            </w:r>
          </w:p>
          <w:p w:rsidR="00E20E7C" w:rsidRPr="00B37EF3" w:rsidRDefault="00E20E7C" w:rsidP="0094498A">
            <w:pPr>
              <w:pStyle w:val="TableContentText"/>
              <w:keepNext/>
              <w:spacing w:before="60" w:after="60"/>
              <w:jc w:val="center"/>
              <w:rPr>
                <w:rFonts w:ascii="Arial" w:hAnsi="Arial" w:cs="Arial"/>
                <w:color w:val="auto"/>
                <w:sz w:val="15"/>
                <w:szCs w:val="15"/>
              </w:rPr>
            </w:pPr>
            <w:r w:rsidRPr="00B37EF3">
              <w:rPr>
                <w:rFonts w:ascii="Arial" w:hAnsi="Arial" w:cs="Arial"/>
                <w:color w:val="auto"/>
                <w:sz w:val="15"/>
                <w:szCs w:val="15"/>
              </w:rPr>
              <w:t>BAM</w:t>
            </w:r>
          </w:p>
        </w:tc>
        <w:tc>
          <w:tcPr>
            <w:tcW w:w="1967" w:type="pct"/>
            <w:tcBorders>
              <w:bottom w:val="single" w:sz="4" w:space="0" w:color="0076C0"/>
            </w:tcBorders>
            <w:shd w:val="clear" w:color="auto" w:fill="auto"/>
          </w:tcPr>
          <w:p w:rsidR="00E20E7C" w:rsidRPr="00B37EF3" w:rsidRDefault="00E20E7C" w:rsidP="0094498A">
            <w:pPr>
              <w:pStyle w:val="TableContentText"/>
              <w:keepNext/>
              <w:spacing w:before="60" w:after="60"/>
              <w:jc w:val="center"/>
              <w:rPr>
                <w:rFonts w:ascii="Arial" w:hAnsi="Arial" w:cs="Arial"/>
                <w:color w:val="auto"/>
                <w:sz w:val="15"/>
                <w:szCs w:val="15"/>
              </w:rPr>
            </w:pPr>
            <w:r w:rsidRPr="00B37EF3">
              <w:rPr>
                <w:rFonts w:ascii="Arial" w:hAnsi="Arial" w:cs="Arial"/>
                <w:color w:val="auto"/>
                <w:sz w:val="15"/>
                <w:szCs w:val="15"/>
              </w:rPr>
              <w:t>Gravimetric reference method</w:t>
            </w:r>
          </w:p>
          <w:p w:rsidR="00E20E7C" w:rsidRPr="00B37EF3" w:rsidRDefault="00E20E7C" w:rsidP="0094498A">
            <w:pPr>
              <w:pStyle w:val="TableContentText"/>
              <w:keepNext/>
              <w:spacing w:before="60" w:after="60"/>
              <w:jc w:val="center"/>
              <w:rPr>
                <w:rFonts w:ascii="Arial" w:hAnsi="Arial" w:cs="Arial"/>
                <w:color w:val="auto"/>
                <w:sz w:val="15"/>
                <w:szCs w:val="15"/>
              </w:rPr>
            </w:pPr>
            <w:r w:rsidRPr="00B37EF3">
              <w:rPr>
                <w:rFonts w:ascii="Arial" w:hAnsi="Arial" w:cs="Arial"/>
                <w:color w:val="auto"/>
                <w:sz w:val="15"/>
                <w:szCs w:val="15"/>
              </w:rPr>
              <w:t>BAM</w:t>
            </w:r>
          </w:p>
        </w:tc>
      </w:tr>
    </w:tbl>
    <w:p w:rsidR="00E20E7C" w:rsidRPr="00B37EF3" w:rsidRDefault="00E20E7C" w:rsidP="00E20E7C">
      <w:pPr>
        <w:rPr>
          <w:rFonts w:ascii="Arial" w:hAnsi="Arial" w:cs="Arial"/>
        </w:rPr>
      </w:pPr>
    </w:p>
    <w:p w:rsidR="00E20E7C" w:rsidRPr="00B37EF3" w:rsidRDefault="00E20E7C" w:rsidP="005F4E59">
      <w:pPr>
        <w:pStyle w:val="Heading4"/>
        <w:rPr>
          <w:rFonts w:ascii="Arial" w:hAnsi="Arial" w:cs="Arial"/>
        </w:rPr>
      </w:pPr>
      <w:r w:rsidRPr="00B37EF3">
        <w:rPr>
          <w:rFonts w:ascii="Arial" w:hAnsi="Arial" w:cs="Arial"/>
        </w:rPr>
        <w:t>Inter-annual trends</w:t>
      </w:r>
    </w:p>
    <w:p w:rsidR="00E20E7C" w:rsidRPr="00B37EF3" w:rsidRDefault="00E05C95" w:rsidP="00DE4099">
      <w:pPr>
        <w:spacing w:after="360"/>
        <w:rPr>
          <w:rFonts w:ascii="Arial" w:hAnsi="Arial" w:cs="Arial"/>
          <w:lang w:eastAsia="en-US"/>
        </w:rPr>
      </w:pPr>
      <w:r w:rsidRPr="00B37EF3">
        <w:rPr>
          <w:rFonts w:ascii="Arial" w:hAnsi="Arial" w:cs="Arial"/>
        </w:rPr>
        <w:t>Inter-annual</w:t>
      </w:r>
      <w:r w:rsidR="00E20E7C" w:rsidRPr="00B37EF3">
        <w:rPr>
          <w:rFonts w:ascii="Arial" w:hAnsi="Arial" w:cs="Arial"/>
        </w:rPr>
        <w:t xml:space="preserve"> trends were based on annual mean</w:t>
      </w:r>
      <w:r w:rsidR="00A81146" w:rsidRPr="00B37EF3">
        <w:rPr>
          <w:rFonts w:ascii="Arial" w:hAnsi="Arial" w:cs="Arial"/>
        </w:rPr>
        <w:t xml:space="preserve"> concentrations</w:t>
      </w:r>
      <w:r w:rsidR="00E20E7C" w:rsidRPr="00B37EF3">
        <w:rPr>
          <w:rFonts w:ascii="Arial" w:hAnsi="Arial" w:cs="Arial"/>
        </w:rPr>
        <w:t xml:space="preserve"> in each jurisdiction, averaged across all monitoring sites.</w:t>
      </w:r>
      <w:r w:rsidR="00E20E7C" w:rsidRPr="00B37EF3">
        <w:rPr>
          <w:rFonts w:ascii="Arial" w:hAnsi="Arial" w:cs="Arial"/>
          <w:lang w:eastAsia="en-US"/>
        </w:rPr>
        <w:t xml:space="preserve"> An example for PM</w:t>
      </w:r>
      <w:r w:rsidR="00E20E7C" w:rsidRPr="00B37EF3">
        <w:rPr>
          <w:rFonts w:ascii="Arial" w:hAnsi="Arial" w:cs="Arial"/>
          <w:vertAlign w:val="subscript"/>
          <w:lang w:eastAsia="en-US"/>
        </w:rPr>
        <w:t>10</w:t>
      </w:r>
      <w:r w:rsidR="00E20E7C" w:rsidRPr="00B37EF3">
        <w:rPr>
          <w:rFonts w:ascii="Arial" w:hAnsi="Arial" w:cs="Arial"/>
          <w:lang w:eastAsia="en-US"/>
        </w:rPr>
        <w:t xml:space="preserve"> in NSW is shown in </w:t>
      </w:r>
      <w:fldSimple w:instr=" REF _Ref369251348 \h  \* MERGEFORMAT ">
        <w:r w:rsidR="0085182E" w:rsidRPr="0085182E">
          <w:rPr>
            <w:rFonts w:ascii="Arial" w:hAnsi="Arial" w:cs="Arial"/>
            <w:b/>
          </w:rPr>
          <w:t>Figure 5.11</w:t>
        </w:r>
      </w:fldSimple>
      <w:r w:rsidR="00E20E7C" w:rsidRPr="00B37EF3">
        <w:rPr>
          <w:rFonts w:ascii="Arial" w:hAnsi="Arial" w:cs="Arial"/>
          <w:lang w:eastAsia="en-US"/>
        </w:rPr>
        <w:t xml:space="preserve">. In most jurisdictions there </w:t>
      </w:r>
      <w:r w:rsidR="002110AE" w:rsidRPr="00B37EF3">
        <w:rPr>
          <w:rFonts w:ascii="Arial" w:hAnsi="Arial" w:cs="Arial"/>
          <w:lang w:eastAsia="en-US"/>
        </w:rPr>
        <w:t>was</w:t>
      </w:r>
      <w:r w:rsidR="00E20E7C" w:rsidRPr="00B37EF3">
        <w:rPr>
          <w:rFonts w:ascii="Arial" w:hAnsi="Arial" w:cs="Arial"/>
          <w:lang w:eastAsia="en-US"/>
        </w:rPr>
        <w:t xml:space="preserve"> a general reduction in the overall annual mean PM</w:t>
      </w:r>
      <w:r w:rsidR="00E20E7C" w:rsidRPr="00B37EF3">
        <w:rPr>
          <w:rFonts w:ascii="Arial" w:hAnsi="Arial" w:cs="Arial"/>
          <w:vertAlign w:val="subscript"/>
          <w:lang w:eastAsia="en-US"/>
        </w:rPr>
        <w:t>10</w:t>
      </w:r>
      <w:r w:rsidR="00E20E7C" w:rsidRPr="00B37EF3">
        <w:rPr>
          <w:rFonts w:ascii="Arial" w:hAnsi="Arial" w:cs="Arial"/>
          <w:lang w:eastAsia="en-US"/>
        </w:rPr>
        <w:t xml:space="preserve"> and PM</w:t>
      </w:r>
      <w:r w:rsidR="00E20E7C" w:rsidRPr="00B37EF3">
        <w:rPr>
          <w:rFonts w:ascii="Arial" w:hAnsi="Arial" w:cs="Arial"/>
          <w:vertAlign w:val="subscript"/>
          <w:lang w:eastAsia="en-US"/>
        </w:rPr>
        <w:t>2.5</w:t>
      </w:r>
      <w:r w:rsidR="00E20E7C" w:rsidRPr="00B37EF3">
        <w:rPr>
          <w:rFonts w:ascii="Arial" w:hAnsi="Arial" w:cs="Arial"/>
          <w:lang w:eastAsia="en-US"/>
        </w:rPr>
        <w:t xml:space="preserve"> concentrations between 2003 and 2012, although in some jurisdictions concentrations </w:t>
      </w:r>
      <w:r w:rsidR="002110AE" w:rsidRPr="00B37EF3">
        <w:rPr>
          <w:rFonts w:ascii="Arial" w:hAnsi="Arial" w:cs="Arial"/>
          <w:lang w:eastAsia="en-US"/>
        </w:rPr>
        <w:t xml:space="preserve">did </w:t>
      </w:r>
      <w:r w:rsidR="00174B85" w:rsidRPr="00B37EF3">
        <w:rPr>
          <w:rFonts w:ascii="Arial" w:hAnsi="Arial" w:cs="Arial"/>
          <w:lang w:eastAsia="en-US"/>
        </w:rPr>
        <w:t>not decrease significantly</w:t>
      </w:r>
      <w:r w:rsidR="00E20E7C" w:rsidRPr="00B37EF3">
        <w:rPr>
          <w:rFonts w:ascii="Arial" w:hAnsi="Arial" w:cs="Arial"/>
        </w:rPr>
        <w:t>.</w:t>
      </w:r>
    </w:p>
    <w:p w:rsidR="00E20E7C" w:rsidRPr="00B37EF3" w:rsidRDefault="006D7F17" w:rsidP="00E20E7C">
      <w:pPr>
        <w:spacing w:after="120"/>
        <w:jc w:val="center"/>
        <w:rPr>
          <w:rFonts w:ascii="Arial" w:hAnsi="Arial" w:cs="Arial"/>
          <w:lang w:eastAsia="en-US"/>
        </w:rPr>
      </w:pPr>
      <w:r w:rsidRPr="00B37EF3">
        <w:rPr>
          <w:rFonts w:ascii="Arial" w:hAnsi="Arial" w:cs="Arial"/>
          <w:noProof/>
        </w:rPr>
        <w:lastRenderedPageBreak/>
        <w:drawing>
          <wp:inline distT="0" distB="0" distL="0" distR="0">
            <wp:extent cx="4380865" cy="2687320"/>
            <wp:effectExtent l="19050" t="19050" r="19685" b="1778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392" r="4488"/>
                    <a:stretch>
                      <a:fillRect/>
                    </a:stretch>
                  </pic:blipFill>
                  <pic:spPr bwMode="auto">
                    <a:xfrm>
                      <a:off x="0" y="0"/>
                      <a:ext cx="4380865" cy="2687320"/>
                    </a:xfrm>
                    <a:prstGeom prst="rect">
                      <a:avLst/>
                    </a:prstGeom>
                    <a:noFill/>
                    <a:ln w="9525" cmpd="sng">
                      <a:solidFill>
                        <a:srgbClr val="0070C0"/>
                      </a:solidFill>
                      <a:miter lim="800000"/>
                      <a:headEnd/>
                      <a:tailEnd/>
                    </a:ln>
                    <a:effectLst/>
                  </pic:spPr>
                </pic:pic>
              </a:graphicData>
            </a:graphic>
          </wp:inline>
        </w:drawing>
      </w:r>
    </w:p>
    <w:p w:rsidR="00E20E7C" w:rsidRPr="00B37EF3" w:rsidRDefault="00E20E7C" w:rsidP="00E20E7C">
      <w:pPr>
        <w:pStyle w:val="Caption"/>
        <w:ind w:left="1276" w:right="1229"/>
        <w:rPr>
          <w:rFonts w:ascii="Arial" w:hAnsi="Arial" w:cs="Arial"/>
          <w:lang w:eastAsia="en-US"/>
        </w:rPr>
      </w:pPr>
      <w:bookmarkStart w:id="90" w:name="_Ref369251348"/>
      <w:r w:rsidRPr="00B37EF3">
        <w:rPr>
          <w:rFonts w:ascii="Arial" w:hAnsi="Arial" w:cs="Arial"/>
        </w:rPr>
        <w:t xml:space="preserve">Figure </w:t>
      </w:r>
      <w:r w:rsidR="00BF6019" w:rsidRPr="00B37EF3">
        <w:rPr>
          <w:rFonts w:ascii="Arial" w:hAnsi="Arial" w:cs="Arial"/>
        </w:rPr>
        <w:fldChar w:fldCharType="begin"/>
      </w:r>
      <w:r w:rsidRPr="00B37EF3">
        <w:rPr>
          <w:rFonts w:ascii="Arial" w:hAnsi="Arial" w:cs="Arial"/>
        </w:rPr>
        <w:instrText xml:space="preserve"> STYLEREF 1 \s </w:instrText>
      </w:r>
      <w:r w:rsidR="00BF6019" w:rsidRPr="00B37EF3">
        <w:rPr>
          <w:rFonts w:ascii="Arial" w:hAnsi="Arial" w:cs="Arial"/>
        </w:rPr>
        <w:fldChar w:fldCharType="separate"/>
      </w:r>
      <w:r w:rsidR="0085182E">
        <w:rPr>
          <w:rFonts w:ascii="Arial" w:hAnsi="Arial" w:cs="Arial"/>
          <w:noProof/>
        </w:rPr>
        <w:t>5</w:t>
      </w:r>
      <w:r w:rsidR="00BF6019" w:rsidRPr="00B37EF3">
        <w:rPr>
          <w:rFonts w:ascii="Arial" w:hAnsi="Arial" w:cs="Arial"/>
        </w:rPr>
        <w:fldChar w:fldCharType="end"/>
      </w:r>
      <w:r w:rsidRPr="00B37EF3">
        <w:rPr>
          <w:rFonts w:ascii="Arial" w:hAnsi="Arial" w:cs="Arial"/>
        </w:rPr>
        <w:t>.</w:t>
      </w:r>
      <w:r w:rsidR="00BF6019" w:rsidRPr="00B37EF3">
        <w:rPr>
          <w:rFonts w:ascii="Arial" w:hAnsi="Arial" w:cs="Arial"/>
        </w:rPr>
        <w:fldChar w:fldCharType="begin"/>
      </w:r>
      <w:r w:rsidRPr="00B37EF3">
        <w:rPr>
          <w:rFonts w:ascii="Arial" w:hAnsi="Arial" w:cs="Arial"/>
        </w:rPr>
        <w:instrText xml:space="preserve"> SEQ Figure \* ARABIC \s 1 </w:instrText>
      </w:r>
      <w:r w:rsidR="00BF6019" w:rsidRPr="00B37EF3">
        <w:rPr>
          <w:rFonts w:ascii="Arial" w:hAnsi="Arial" w:cs="Arial"/>
        </w:rPr>
        <w:fldChar w:fldCharType="separate"/>
      </w:r>
      <w:r w:rsidR="0085182E">
        <w:rPr>
          <w:rFonts w:ascii="Arial" w:hAnsi="Arial" w:cs="Arial"/>
          <w:noProof/>
        </w:rPr>
        <w:t>11</w:t>
      </w:r>
      <w:r w:rsidR="00BF6019" w:rsidRPr="00B37EF3">
        <w:rPr>
          <w:rFonts w:ascii="Arial" w:hAnsi="Arial" w:cs="Arial"/>
        </w:rPr>
        <w:fldChar w:fldCharType="end"/>
      </w:r>
      <w:bookmarkEnd w:id="90"/>
      <w:r w:rsidRPr="00B37EF3">
        <w:rPr>
          <w:rFonts w:ascii="Arial" w:hAnsi="Arial" w:cs="Arial"/>
        </w:rPr>
        <w:t>: Trend in annual mean PM</w:t>
      </w:r>
      <w:r w:rsidRPr="00B37EF3">
        <w:rPr>
          <w:rFonts w:ascii="Arial" w:hAnsi="Arial" w:cs="Arial"/>
          <w:vertAlign w:val="subscript"/>
        </w:rPr>
        <w:t>10</w:t>
      </w:r>
      <w:r w:rsidRPr="00B37EF3">
        <w:rPr>
          <w:rFonts w:ascii="Arial" w:hAnsi="Arial" w:cs="Arial"/>
        </w:rPr>
        <w:t xml:space="preserve"> concentration </w:t>
      </w:r>
      <w:r w:rsidR="002110AE" w:rsidRPr="00B37EF3">
        <w:rPr>
          <w:rFonts w:ascii="Arial" w:hAnsi="Arial" w:cs="Arial"/>
        </w:rPr>
        <w:t>–</w:t>
      </w:r>
      <w:r w:rsidR="00AB19CA" w:rsidRPr="00B37EF3">
        <w:rPr>
          <w:rFonts w:ascii="Arial" w:hAnsi="Arial" w:cs="Arial"/>
        </w:rPr>
        <w:t xml:space="preserve"> </w:t>
      </w:r>
      <w:r w:rsidRPr="00B37EF3">
        <w:rPr>
          <w:rFonts w:ascii="Arial" w:hAnsi="Arial" w:cs="Arial"/>
        </w:rPr>
        <w:t>NSW</w:t>
      </w:r>
      <w:r w:rsidR="00E05C95" w:rsidRPr="00B37EF3">
        <w:rPr>
          <w:rFonts w:ascii="Arial" w:hAnsi="Arial" w:cs="Arial"/>
        </w:rPr>
        <w:t xml:space="preserve"> </w:t>
      </w:r>
      <w:r w:rsidR="00AB19CA" w:rsidRPr="00B37EF3">
        <w:rPr>
          <w:rFonts w:ascii="Arial" w:hAnsi="Arial" w:cs="Arial"/>
        </w:rPr>
        <w:t xml:space="preserve">example </w:t>
      </w:r>
      <w:r w:rsidRPr="00B37EF3">
        <w:rPr>
          <w:rFonts w:ascii="Arial" w:hAnsi="Arial" w:cs="Arial"/>
        </w:rPr>
        <w:t>(shading shows 95% confidence interval)</w:t>
      </w:r>
    </w:p>
    <w:p w:rsidR="00E20E7C" w:rsidRPr="00B37EF3" w:rsidRDefault="00E20E7C" w:rsidP="00E20E7C">
      <w:pPr>
        <w:spacing w:after="0"/>
        <w:rPr>
          <w:rFonts w:ascii="Arial" w:hAnsi="Arial" w:cs="Arial"/>
          <w:lang w:eastAsia="en-US"/>
        </w:rPr>
      </w:pPr>
    </w:p>
    <w:p w:rsidR="00A81146" w:rsidRPr="00B37EF3" w:rsidRDefault="00E05C95" w:rsidP="00D07181">
      <w:pPr>
        <w:pStyle w:val="BulletArrows"/>
        <w:spacing w:after="200"/>
        <w:rPr>
          <w:rFonts w:ascii="Arial" w:hAnsi="Arial"/>
        </w:rPr>
      </w:pPr>
      <w:r w:rsidRPr="00B37EF3">
        <w:rPr>
          <w:rFonts w:ascii="Arial" w:hAnsi="Arial"/>
        </w:rPr>
        <w:t>It should be noted that the</w:t>
      </w:r>
      <w:r w:rsidR="00E20E7C" w:rsidRPr="00B37EF3">
        <w:rPr>
          <w:rFonts w:ascii="Arial" w:hAnsi="Arial"/>
        </w:rPr>
        <w:t xml:space="preserve"> trends can be affected significantly by changes in instrumentation at a site (</w:t>
      </w:r>
      <w:r w:rsidR="009334F4" w:rsidRPr="00B37EF3">
        <w:rPr>
          <w:rFonts w:ascii="Arial" w:hAnsi="Arial"/>
        </w:rPr>
        <w:t>e.g.</w:t>
      </w:r>
      <w:r w:rsidR="00E20E7C" w:rsidRPr="00B37EF3">
        <w:rPr>
          <w:rFonts w:ascii="Arial" w:hAnsi="Arial"/>
        </w:rPr>
        <w:t xml:space="preserve"> one type of instrument can give results that are </w:t>
      </w:r>
      <w:r w:rsidR="002110AE" w:rsidRPr="00B37EF3">
        <w:rPr>
          <w:rFonts w:ascii="Arial" w:hAnsi="Arial"/>
        </w:rPr>
        <w:t xml:space="preserve">consistently </w:t>
      </w:r>
      <w:r w:rsidR="00E20E7C" w:rsidRPr="00B37EF3">
        <w:rPr>
          <w:rFonts w:ascii="Arial" w:hAnsi="Arial"/>
        </w:rPr>
        <w:t>lower or higher than another), the relocation of a monitoring site, or a change in the number/distribution of sites. Some caution is therefore needed when interpreting the trends.</w:t>
      </w:r>
    </w:p>
    <w:p w:rsidR="00E20E7C" w:rsidRPr="00B37EF3" w:rsidRDefault="00E20E7C" w:rsidP="00D07181">
      <w:pPr>
        <w:pStyle w:val="Heading4"/>
        <w:spacing w:before="200" w:after="200"/>
        <w:rPr>
          <w:rFonts w:ascii="Arial" w:hAnsi="Arial" w:cs="Arial"/>
        </w:rPr>
      </w:pPr>
      <w:r w:rsidRPr="00B37EF3">
        <w:rPr>
          <w:rFonts w:ascii="Arial" w:hAnsi="Arial" w:cs="Arial"/>
        </w:rPr>
        <w:t>Exceedances of air quality standards</w:t>
      </w:r>
    </w:p>
    <w:p w:rsidR="00CC4524" w:rsidRPr="00B37EF3" w:rsidRDefault="00CC4524" w:rsidP="00D07181">
      <w:pPr>
        <w:spacing w:after="200"/>
        <w:rPr>
          <w:rFonts w:ascii="Arial" w:hAnsi="Arial" w:cs="Arial"/>
          <w:lang w:eastAsia="en-US"/>
        </w:rPr>
      </w:pPr>
      <w:r w:rsidRPr="00B37EF3">
        <w:rPr>
          <w:rFonts w:ascii="Arial" w:hAnsi="Arial" w:cs="Arial"/>
          <w:lang w:eastAsia="en-US"/>
        </w:rPr>
        <w:t>In terms of exceedances of the current standards and goals for PM</w:t>
      </w:r>
      <w:r w:rsidRPr="00B37EF3">
        <w:rPr>
          <w:rFonts w:ascii="Arial" w:hAnsi="Arial" w:cs="Arial"/>
          <w:vertAlign w:val="subscript"/>
          <w:lang w:eastAsia="en-US"/>
        </w:rPr>
        <w:t>10</w:t>
      </w:r>
      <w:r w:rsidRPr="00B37EF3">
        <w:rPr>
          <w:rFonts w:ascii="Arial" w:hAnsi="Arial" w:cs="Arial"/>
          <w:lang w:eastAsia="en-US"/>
        </w:rPr>
        <w:t xml:space="preserve"> and PM</w:t>
      </w:r>
      <w:r w:rsidRPr="00B37EF3">
        <w:rPr>
          <w:rFonts w:ascii="Arial" w:hAnsi="Arial" w:cs="Arial"/>
          <w:vertAlign w:val="subscript"/>
          <w:lang w:eastAsia="en-US"/>
        </w:rPr>
        <w:t>2.5</w:t>
      </w:r>
      <w:r w:rsidRPr="00B37EF3">
        <w:rPr>
          <w:rFonts w:ascii="Arial" w:hAnsi="Arial" w:cs="Arial"/>
          <w:lang w:eastAsia="en-US"/>
        </w:rPr>
        <w:t xml:space="preserve"> betw</w:t>
      </w:r>
      <w:r w:rsidR="00CE7705" w:rsidRPr="00B37EF3">
        <w:rPr>
          <w:rFonts w:ascii="Arial" w:hAnsi="Arial" w:cs="Arial"/>
          <w:lang w:eastAsia="en-US"/>
        </w:rPr>
        <w:t>een 2003 and 2012, these</w:t>
      </w:r>
      <w:r w:rsidRPr="00B37EF3">
        <w:rPr>
          <w:rFonts w:ascii="Arial" w:hAnsi="Arial" w:cs="Arial"/>
          <w:lang w:eastAsia="en-US"/>
        </w:rPr>
        <w:t xml:space="preserve"> main observations apply to the data:</w:t>
      </w:r>
    </w:p>
    <w:p w:rsidR="00CC4524" w:rsidRPr="00B37EF3" w:rsidRDefault="00CC4524" w:rsidP="00CC4524">
      <w:pPr>
        <w:pStyle w:val="BulletArrows"/>
        <w:rPr>
          <w:rFonts w:ascii="Arial" w:hAnsi="Arial"/>
        </w:rPr>
      </w:pPr>
      <w:r w:rsidRPr="00B37EF3">
        <w:rPr>
          <w:rFonts w:ascii="Arial" w:hAnsi="Arial"/>
        </w:rPr>
        <w:t>For the 24-hour mean PM</w:t>
      </w:r>
      <w:r w:rsidRPr="00B37EF3">
        <w:rPr>
          <w:rFonts w:ascii="Arial" w:hAnsi="Arial"/>
          <w:vertAlign w:val="subscript"/>
        </w:rPr>
        <w:t>10</w:t>
      </w:r>
      <w:r w:rsidRPr="00B37EF3">
        <w:rPr>
          <w:rFonts w:ascii="Arial" w:hAnsi="Arial"/>
        </w:rPr>
        <w:t xml:space="preserve"> standard (50 </w:t>
      </w:r>
      <w:proofErr w:type="spellStart"/>
      <w:r w:rsidRPr="00B37EF3">
        <w:rPr>
          <w:rFonts w:ascii="Arial" w:hAnsi="Arial"/>
        </w:rPr>
        <w:t>μg</w:t>
      </w:r>
      <w:proofErr w:type="spellEnd"/>
      <w:r w:rsidRPr="00B37EF3">
        <w:rPr>
          <w:rFonts w:ascii="Arial" w:hAnsi="Arial"/>
        </w:rPr>
        <w:t>/m</w:t>
      </w:r>
      <w:r w:rsidRPr="00B37EF3">
        <w:rPr>
          <w:rFonts w:ascii="Arial" w:hAnsi="Arial"/>
          <w:vertAlign w:val="superscript"/>
        </w:rPr>
        <w:t>3</w:t>
      </w:r>
      <w:r w:rsidRPr="00B37EF3">
        <w:rPr>
          <w:rFonts w:ascii="Arial" w:hAnsi="Arial"/>
        </w:rPr>
        <w:t xml:space="preserve">, with </w:t>
      </w:r>
      <w:r w:rsidR="002110AE" w:rsidRPr="00B37EF3">
        <w:rPr>
          <w:rFonts w:ascii="Arial" w:hAnsi="Arial"/>
        </w:rPr>
        <w:t>five</w:t>
      </w:r>
      <w:r w:rsidRPr="00B37EF3">
        <w:rPr>
          <w:rFonts w:ascii="Arial" w:hAnsi="Arial"/>
        </w:rPr>
        <w:t xml:space="preserve"> </w:t>
      </w:r>
      <w:proofErr w:type="spellStart"/>
      <w:r w:rsidRPr="00B37EF3">
        <w:rPr>
          <w:rFonts w:ascii="Arial" w:hAnsi="Arial"/>
        </w:rPr>
        <w:t>exceedances</w:t>
      </w:r>
      <w:proofErr w:type="spellEnd"/>
      <w:r w:rsidRPr="00B37EF3">
        <w:rPr>
          <w:rFonts w:ascii="Arial" w:hAnsi="Arial"/>
        </w:rPr>
        <w:t xml:space="preserve"> allowed per year):</w:t>
      </w:r>
    </w:p>
    <w:p w:rsidR="00CC4524" w:rsidRPr="00B37EF3" w:rsidRDefault="00CC4524" w:rsidP="00D07181">
      <w:pPr>
        <w:pStyle w:val="BulletArrows"/>
        <w:numPr>
          <w:ilvl w:val="1"/>
          <w:numId w:val="3"/>
        </w:numPr>
        <w:tabs>
          <w:tab w:val="clear" w:pos="1800"/>
          <w:tab w:val="num" w:pos="993"/>
        </w:tabs>
        <w:spacing w:after="100"/>
        <w:ind w:left="993" w:hanging="284"/>
        <w:rPr>
          <w:rFonts w:ascii="Arial" w:hAnsi="Arial"/>
        </w:rPr>
      </w:pPr>
      <w:r w:rsidRPr="00B37EF3">
        <w:rPr>
          <w:rFonts w:ascii="Arial" w:hAnsi="Arial"/>
        </w:rPr>
        <w:t xml:space="preserve">Weather, climate and natural events are major factors affecting exceedances. Many monitoring sites had more than </w:t>
      </w:r>
      <w:r w:rsidR="002110AE" w:rsidRPr="00B37EF3">
        <w:rPr>
          <w:rFonts w:ascii="Arial" w:hAnsi="Arial"/>
        </w:rPr>
        <w:t>five</w:t>
      </w:r>
      <w:r w:rsidRPr="00B37EF3">
        <w:rPr>
          <w:rFonts w:ascii="Arial" w:hAnsi="Arial"/>
        </w:rPr>
        <w:t xml:space="preserve"> exceedances in 2009. This was mainly due to warm, dry conditions, combined with an extreme dust event in September. Conversely, there were relatively few exceedances in the cool, wet La Niña years of 2010 and 2011.</w:t>
      </w:r>
    </w:p>
    <w:p w:rsidR="00CC4524" w:rsidRPr="00B37EF3" w:rsidRDefault="00CC4524" w:rsidP="00D07181">
      <w:pPr>
        <w:pStyle w:val="BulletArrows"/>
        <w:numPr>
          <w:ilvl w:val="1"/>
          <w:numId w:val="3"/>
        </w:numPr>
        <w:tabs>
          <w:tab w:val="clear" w:pos="1800"/>
          <w:tab w:val="num" w:pos="993"/>
        </w:tabs>
        <w:spacing w:after="100"/>
        <w:ind w:left="993" w:hanging="284"/>
        <w:rPr>
          <w:rFonts w:ascii="Arial" w:hAnsi="Arial"/>
        </w:rPr>
      </w:pPr>
      <w:r w:rsidRPr="00B37EF3">
        <w:rPr>
          <w:rFonts w:ascii="Arial" w:hAnsi="Arial"/>
        </w:rPr>
        <w:t xml:space="preserve">There are no strong inter-annual trends in the patterns of exceedance. </w:t>
      </w:r>
      <w:r w:rsidR="00E05C95" w:rsidRPr="00B37EF3">
        <w:rPr>
          <w:rFonts w:ascii="Arial" w:hAnsi="Arial"/>
        </w:rPr>
        <w:t>There appear to have been fewer exceedances per year between 2010 and 2012 than in earlier years, but this is probably linked to the effects described above. Any</w:t>
      </w:r>
      <w:r w:rsidRPr="00B37EF3">
        <w:rPr>
          <w:rFonts w:ascii="Arial" w:hAnsi="Arial"/>
        </w:rPr>
        <w:t xml:space="preserve"> trends are, however, difficult to determine given the changes in instrumentation and monitoring locations.</w:t>
      </w:r>
    </w:p>
    <w:p w:rsidR="00CC4524" w:rsidRPr="00B37EF3" w:rsidRDefault="00CC4524" w:rsidP="00D07181">
      <w:pPr>
        <w:pStyle w:val="BulletArrows"/>
        <w:numPr>
          <w:ilvl w:val="1"/>
          <w:numId w:val="3"/>
        </w:numPr>
        <w:tabs>
          <w:tab w:val="clear" w:pos="1800"/>
          <w:tab w:val="num" w:pos="993"/>
        </w:tabs>
        <w:spacing w:after="160"/>
        <w:ind w:left="993" w:hanging="284"/>
        <w:rPr>
          <w:rFonts w:ascii="Arial" w:hAnsi="Arial"/>
        </w:rPr>
      </w:pPr>
      <w:r w:rsidRPr="00B37EF3">
        <w:rPr>
          <w:rFonts w:ascii="Arial" w:hAnsi="Arial"/>
        </w:rPr>
        <w:t xml:space="preserve">Victoria and SA </w:t>
      </w:r>
      <w:r w:rsidR="00E05C95" w:rsidRPr="00B37EF3">
        <w:rPr>
          <w:rFonts w:ascii="Arial" w:hAnsi="Arial"/>
        </w:rPr>
        <w:t xml:space="preserve">appear to </w:t>
      </w:r>
      <w:r w:rsidRPr="00B37EF3">
        <w:rPr>
          <w:rFonts w:ascii="Arial" w:hAnsi="Arial"/>
        </w:rPr>
        <w:t xml:space="preserve">have a higher frequency of exceedances than the other jurisdictions. </w:t>
      </w:r>
    </w:p>
    <w:p w:rsidR="00CC4524" w:rsidRPr="00B37EF3" w:rsidRDefault="00CC4524" w:rsidP="00E05C95">
      <w:pPr>
        <w:pStyle w:val="BulletArrows"/>
        <w:rPr>
          <w:rFonts w:ascii="Arial" w:hAnsi="Arial"/>
        </w:rPr>
      </w:pPr>
      <w:r w:rsidRPr="00B37EF3">
        <w:rPr>
          <w:rFonts w:ascii="Arial" w:hAnsi="Arial"/>
        </w:rPr>
        <w:t>For the advisory annual mean PM</w:t>
      </w:r>
      <w:r w:rsidRPr="00B37EF3">
        <w:rPr>
          <w:rFonts w:ascii="Arial" w:hAnsi="Arial"/>
          <w:vertAlign w:val="subscript"/>
        </w:rPr>
        <w:t>2.5</w:t>
      </w:r>
      <w:r w:rsidRPr="00B37EF3">
        <w:rPr>
          <w:rFonts w:ascii="Arial" w:hAnsi="Arial"/>
        </w:rPr>
        <w:t xml:space="preserve"> standard (8 </w:t>
      </w:r>
      <w:proofErr w:type="spellStart"/>
      <w:r w:rsidRPr="00B37EF3">
        <w:rPr>
          <w:rFonts w:ascii="Arial" w:hAnsi="Arial"/>
        </w:rPr>
        <w:t>μg</w:t>
      </w:r>
      <w:proofErr w:type="spellEnd"/>
      <w:r w:rsidRPr="00B37EF3">
        <w:rPr>
          <w:rFonts w:ascii="Arial" w:hAnsi="Arial"/>
        </w:rPr>
        <w:t>/m</w:t>
      </w:r>
      <w:r w:rsidRPr="00B37EF3">
        <w:rPr>
          <w:rFonts w:ascii="Arial" w:hAnsi="Arial"/>
          <w:vertAlign w:val="superscript"/>
        </w:rPr>
        <w:t>3</w:t>
      </w:r>
      <w:r w:rsidRPr="00B37EF3">
        <w:rPr>
          <w:rFonts w:ascii="Arial" w:hAnsi="Arial"/>
        </w:rPr>
        <w:t>):</w:t>
      </w:r>
    </w:p>
    <w:p w:rsidR="00CC4524" w:rsidRPr="00B37EF3" w:rsidRDefault="00CC4524" w:rsidP="00D07181">
      <w:pPr>
        <w:pStyle w:val="BulletArrows"/>
        <w:numPr>
          <w:ilvl w:val="1"/>
          <w:numId w:val="3"/>
        </w:numPr>
        <w:tabs>
          <w:tab w:val="clear" w:pos="1800"/>
          <w:tab w:val="num" w:pos="993"/>
        </w:tabs>
        <w:spacing w:after="100"/>
        <w:ind w:left="993" w:hanging="284"/>
        <w:rPr>
          <w:rFonts w:ascii="Arial" w:hAnsi="Arial"/>
        </w:rPr>
      </w:pPr>
      <w:r w:rsidRPr="00B37EF3">
        <w:rPr>
          <w:rFonts w:ascii="Arial" w:hAnsi="Arial"/>
        </w:rPr>
        <w:t>There have been some exceedances of the standard in most jurisdictions.</w:t>
      </w:r>
    </w:p>
    <w:p w:rsidR="00E05C95" w:rsidRPr="00B37EF3" w:rsidRDefault="00E05C95" w:rsidP="00D07181">
      <w:pPr>
        <w:pStyle w:val="BulletArrows"/>
        <w:numPr>
          <w:ilvl w:val="1"/>
          <w:numId w:val="3"/>
        </w:numPr>
        <w:tabs>
          <w:tab w:val="clear" w:pos="1800"/>
          <w:tab w:val="num" w:pos="993"/>
        </w:tabs>
        <w:spacing w:after="160"/>
        <w:ind w:left="993" w:hanging="284"/>
        <w:rPr>
          <w:rFonts w:ascii="Arial" w:hAnsi="Arial"/>
        </w:rPr>
      </w:pPr>
      <w:r w:rsidRPr="00B37EF3">
        <w:rPr>
          <w:rFonts w:ascii="Arial" w:hAnsi="Arial"/>
        </w:rPr>
        <w:t>With the exception of NT, the overall average annual mean PM</w:t>
      </w:r>
      <w:r w:rsidRPr="00B37EF3">
        <w:rPr>
          <w:rFonts w:ascii="Arial" w:hAnsi="Arial"/>
          <w:vertAlign w:val="subscript"/>
        </w:rPr>
        <w:t>2.5</w:t>
      </w:r>
      <w:r w:rsidRPr="00B37EF3">
        <w:rPr>
          <w:rFonts w:ascii="Arial" w:hAnsi="Arial"/>
        </w:rPr>
        <w:t xml:space="preserve"> concentration in 2012 was below the advisory reporting standard of 8 </w:t>
      </w:r>
      <w:proofErr w:type="spellStart"/>
      <w:r w:rsidRPr="00B37EF3">
        <w:rPr>
          <w:rFonts w:ascii="Arial" w:hAnsi="Arial"/>
        </w:rPr>
        <w:t>μg</w:t>
      </w:r>
      <w:proofErr w:type="spellEnd"/>
      <w:r w:rsidRPr="00B37EF3">
        <w:rPr>
          <w:rFonts w:ascii="Arial" w:hAnsi="Arial"/>
        </w:rPr>
        <w:t>/m</w:t>
      </w:r>
      <w:r w:rsidRPr="00B37EF3">
        <w:rPr>
          <w:rFonts w:ascii="Arial" w:hAnsi="Arial"/>
          <w:vertAlign w:val="superscript"/>
        </w:rPr>
        <w:t>3</w:t>
      </w:r>
      <w:r w:rsidRPr="00B37EF3">
        <w:rPr>
          <w:rFonts w:ascii="Arial" w:hAnsi="Arial"/>
        </w:rPr>
        <w:t xml:space="preserve"> in the </w:t>
      </w:r>
      <w:r w:rsidR="00EF24F8" w:rsidRPr="00B37EF3">
        <w:rPr>
          <w:rFonts w:ascii="Arial" w:hAnsi="Arial"/>
        </w:rPr>
        <w:t>AAQ NEPM</w:t>
      </w:r>
      <w:r w:rsidRPr="00B37EF3">
        <w:rPr>
          <w:rFonts w:ascii="Arial" w:hAnsi="Arial"/>
        </w:rPr>
        <w:t>.</w:t>
      </w:r>
    </w:p>
    <w:p w:rsidR="00CC4524" w:rsidRPr="00B37EF3" w:rsidRDefault="00CC4524" w:rsidP="00CC4524">
      <w:pPr>
        <w:pStyle w:val="BulletArrows"/>
        <w:rPr>
          <w:rFonts w:ascii="Arial" w:hAnsi="Arial"/>
        </w:rPr>
      </w:pPr>
      <w:r w:rsidRPr="00B37EF3">
        <w:rPr>
          <w:rFonts w:ascii="Arial" w:hAnsi="Arial"/>
        </w:rPr>
        <w:t>For the advisory 24-hour mean PM</w:t>
      </w:r>
      <w:r w:rsidRPr="00B37EF3">
        <w:rPr>
          <w:rFonts w:ascii="Arial" w:hAnsi="Arial"/>
          <w:vertAlign w:val="subscript"/>
        </w:rPr>
        <w:t>2.5</w:t>
      </w:r>
      <w:r w:rsidRPr="00B37EF3">
        <w:rPr>
          <w:rFonts w:ascii="Arial" w:hAnsi="Arial"/>
        </w:rPr>
        <w:t xml:space="preserve"> standard (25 </w:t>
      </w:r>
      <w:proofErr w:type="spellStart"/>
      <w:r w:rsidRPr="00B37EF3">
        <w:rPr>
          <w:rFonts w:ascii="Arial" w:hAnsi="Arial"/>
        </w:rPr>
        <w:t>μg</w:t>
      </w:r>
      <w:proofErr w:type="spellEnd"/>
      <w:r w:rsidRPr="00B37EF3">
        <w:rPr>
          <w:rFonts w:ascii="Arial" w:hAnsi="Arial"/>
        </w:rPr>
        <w:t>/m</w:t>
      </w:r>
      <w:r w:rsidRPr="00B37EF3">
        <w:rPr>
          <w:rFonts w:ascii="Arial" w:hAnsi="Arial"/>
          <w:vertAlign w:val="superscript"/>
        </w:rPr>
        <w:t>3</w:t>
      </w:r>
      <w:r w:rsidRPr="00B37EF3">
        <w:rPr>
          <w:rFonts w:ascii="Arial" w:hAnsi="Arial"/>
        </w:rPr>
        <w:t xml:space="preserve">, with </w:t>
      </w:r>
      <w:r w:rsidR="00CE7705" w:rsidRPr="00B37EF3">
        <w:rPr>
          <w:rFonts w:ascii="Arial" w:hAnsi="Arial"/>
        </w:rPr>
        <w:t xml:space="preserve">an assumption of </w:t>
      </w:r>
      <w:r w:rsidRPr="00B37EF3">
        <w:rPr>
          <w:rFonts w:ascii="Arial" w:hAnsi="Arial"/>
        </w:rPr>
        <w:t xml:space="preserve">no </w:t>
      </w:r>
      <w:r w:rsidR="00CE7705" w:rsidRPr="00B37EF3">
        <w:rPr>
          <w:rFonts w:ascii="Arial" w:hAnsi="Arial"/>
        </w:rPr>
        <w:t>allowed exceedances</w:t>
      </w:r>
      <w:r w:rsidRPr="00B37EF3">
        <w:rPr>
          <w:rFonts w:ascii="Arial" w:hAnsi="Arial"/>
        </w:rPr>
        <w:t>)</w:t>
      </w:r>
      <w:r w:rsidR="00CE7705" w:rsidRPr="00B37EF3">
        <w:rPr>
          <w:rStyle w:val="FootnoteReference"/>
          <w:rFonts w:ascii="Arial" w:hAnsi="Arial"/>
        </w:rPr>
        <w:footnoteReference w:id="23"/>
      </w:r>
      <w:r w:rsidRPr="00B37EF3">
        <w:rPr>
          <w:rFonts w:ascii="Arial" w:hAnsi="Arial"/>
        </w:rPr>
        <w:t>:</w:t>
      </w:r>
    </w:p>
    <w:p w:rsidR="00CC4524" w:rsidRPr="00B37EF3" w:rsidRDefault="00CC4524" w:rsidP="00D07181">
      <w:pPr>
        <w:pStyle w:val="BulletArrows"/>
        <w:numPr>
          <w:ilvl w:val="1"/>
          <w:numId w:val="3"/>
        </w:numPr>
        <w:tabs>
          <w:tab w:val="clear" w:pos="1800"/>
          <w:tab w:val="num" w:pos="993"/>
        </w:tabs>
        <w:spacing w:after="100"/>
        <w:ind w:left="993" w:hanging="284"/>
        <w:rPr>
          <w:rFonts w:ascii="Arial" w:hAnsi="Arial"/>
        </w:rPr>
      </w:pPr>
      <w:r w:rsidRPr="00B37EF3">
        <w:rPr>
          <w:rFonts w:ascii="Arial" w:hAnsi="Arial"/>
        </w:rPr>
        <w:t>There have been exceedances of this standard at most of the monitoring sites.</w:t>
      </w:r>
    </w:p>
    <w:p w:rsidR="00CC4524" w:rsidRPr="00B37EF3" w:rsidRDefault="00CC4524" w:rsidP="00D07181">
      <w:pPr>
        <w:pStyle w:val="BulletArrows"/>
        <w:numPr>
          <w:ilvl w:val="1"/>
          <w:numId w:val="3"/>
        </w:numPr>
        <w:tabs>
          <w:tab w:val="clear" w:pos="1800"/>
          <w:tab w:val="num" w:pos="993"/>
        </w:tabs>
        <w:spacing w:after="100"/>
        <w:ind w:left="993" w:hanging="284"/>
        <w:rPr>
          <w:rFonts w:ascii="Arial" w:hAnsi="Arial"/>
        </w:rPr>
      </w:pPr>
      <w:r w:rsidRPr="00B37EF3">
        <w:rPr>
          <w:rFonts w:ascii="Arial" w:hAnsi="Arial"/>
        </w:rPr>
        <w:t>Several jurisdictions have exceedances at all sites and in most years.</w:t>
      </w:r>
    </w:p>
    <w:p w:rsidR="00CC4524" w:rsidRPr="00B37EF3" w:rsidRDefault="00CC4524" w:rsidP="00D07181">
      <w:pPr>
        <w:pStyle w:val="BulletArrows"/>
        <w:numPr>
          <w:ilvl w:val="1"/>
          <w:numId w:val="3"/>
        </w:numPr>
        <w:tabs>
          <w:tab w:val="clear" w:pos="1800"/>
          <w:tab w:val="num" w:pos="993"/>
        </w:tabs>
        <w:spacing w:after="100"/>
        <w:ind w:left="993" w:hanging="284"/>
        <w:rPr>
          <w:rFonts w:ascii="Arial" w:hAnsi="Arial"/>
        </w:rPr>
      </w:pPr>
      <w:r w:rsidRPr="00B37EF3">
        <w:rPr>
          <w:rFonts w:ascii="Arial" w:hAnsi="Arial"/>
        </w:rPr>
        <w:t xml:space="preserve"> There are no strong year-on-year patterns in terms of exceedances of the standard.</w:t>
      </w:r>
    </w:p>
    <w:p w:rsidR="00A33606" w:rsidRPr="00B37EF3" w:rsidRDefault="00A33606" w:rsidP="00E83318">
      <w:pPr>
        <w:pStyle w:val="Heading2"/>
        <w:spacing w:after="200"/>
        <w:rPr>
          <w:rFonts w:ascii="Arial" w:hAnsi="Arial"/>
        </w:rPr>
      </w:pPr>
      <w:bookmarkStart w:id="91" w:name="_Ref367110635"/>
      <w:bookmarkStart w:id="92" w:name="_Toc394011110"/>
      <w:r w:rsidRPr="00B37EF3">
        <w:rPr>
          <w:rFonts w:ascii="Arial" w:hAnsi="Arial"/>
        </w:rPr>
        <w:lastRenderedPageBreak/>
        <w:t>PM composition and source apportionment</w:t>
      </w:r>
      <w:bookmarkEnd w:id="91"/>
      <w:bookmarkEnd w:id="92"/>
    </w:p>
    <w:p w:rsidR="002F4455" w:rsidRPr="00B37EF3" w:rsidRDefault="00902A18" w:rsidP="00EB4354">
      <w:pPr>
        <w:pStyle w:val="Heading3"/>
        <w:spacing w:before="200" w:after="200"/>
        <w:rPr>
          <w:rFonts w:ascii="Arial" w:hAnsi="Arial"/>
        </w:rPr>
      </w:pPr>
      <w:bookmarkStart w:id="93" w:name="_Toc394011111"/>
      <w:r w:rsidRPr="00B37EF3">
        <w:rPr>
          <w:rFonts w:ascii="Arial" w:hAnsi="Arial"/>
        </w:rPr>
        <w:t>M</w:t>
      </w:r>
      <w:r w:rsidR="002F4455" w:rsidRPr="00B37EF3">
        <w:rPr>
          <w:rFonts w:ascii="Arial" w:hAnsi="Arial"/>
        </w:rPr>
        <w:t>ethods</w:t>
      </w:r>
      <w:bookmarkEnd w:id="93"/>
    </w:p>
    <w:p w:rsidR="002F4455" w:rsidRPr="00EB4354" w:rsidRDefault="002F4455" w:rsidP="00EB4354">
      <w:pPr>
        <w:spacing w:after="200"/>
        <w:rPr>
          <w:rFonts w:ascii="Arial" w:hAnsi="Arial" w:cs="Arial"/>
          <w:spacing w:val="-2"/>
        </w:rPr>
      </w:pPr>
      <w:r w:rsidRPr="00EB4354">
        <w:rPr>
          <w:rFonts w:ascii="Arial" w:hAnsi="Arial" w:cs="Arial"/>
          <w:spacing w:val="-2"/>
        </w:rPr>
        <w:t>In practice there are several difficulties associated with id</w:t>
      </w:r>
      <w:r w:rsidR="00D65FEE" w:rsidRPr="00EB4354">
        <w:rPr>
          <w:rFonts w:ascii="Arial" w:hAnsi="Arial" w:cs="Arial"/>
          <w:spacing w:val="-2"/>
        </w:rPr>
        <w:t xml:space="preserve">entifying </w:t>
      </w:r>
      <w:r w:rsidRPr="00EB4354">
        <w:rPr>
          <w:rFonts w:ascii="Arial" w:hAnsi="Arial" w:cs="Arial"/>
          <w:spacing w:val="-2"/>
        </w:rPr>
        <w:t xml:space="preserve">the different components </w:t>
      </w:r>
      <w:r w:rsidR="00D65FEE" w:rsidRPr="00EB4354">
        <w:rPr>
          <w:rFonts w:ascii="Arial" w:hAnsi="Arial" w:cs="Arial"/>
          <w:spacing w:val="-2"/>
        </w:rPr>
        <w:t xml:space="preserve">of PM in ambient </w:t>
      </w:r>
      <w:r w:rsidRPr="00EB4354">
        <w:rPr>
          <w:rFonts w:ascii="Arial" w:hAnsi="Arial" w:cs="Arial"/>
          <w:spacing w:val="-2"/>
        </w:rPr>
        <w:t>measurements</w:t>
      </w:r>
      <w:r w:rsidR="00D65FEE" w:rsidRPr="00EB4354">
        <w:rPr>
          <w:rFonts w:ascii="Arial" w:hAnsi="Arial" w:cs="Arial"/>
          <w:spacing w:val="-2"/>
        </w:rPr>
        <w:t xml:space="preserve"> and allocating them to sources</w:t>
      </w:r>
      <w:r w:rsidRPr="00EB4354">
        <w:rPr>
          <w:rFonts w:ascii="Arial" w:hAnsi="Arial" w:cs="Arial"/>
          <w:spacing w:val="-2"/>
        </w:rPr>
        <w:t xml:space="preserve">, a process which is commonly termed ‘source apportionment’. For example, whilst the gaseous precursors of inorganic secondary PM are largely anthropogenic it is very difficult to know what fractions of SOA result from anthropogenic and natural sources; the theoretical borderline between these two source types effectively disappears when SOA formation processes are considered </w:t>
      </w:r>
      <w:r w:rsidRPr="00EB4354">
        <w:rPr>
          <w:rFonts w:ascii="Arial" w:hAnsi="Arial" w:cs="Arial"/>
          <w:b/>
          <w:spacing w:val="-2"/>
        </w:rPr>
        <w:t>(</w:t>
      </w:r>
      <w:proofErr w:type="spellStart"/>
      <w:r w:rsidRPr="00EB4354">
        <w:rPr>
          <w:rFonts w:ascii="Arial" w:hAnsi="Arial" w:cs="Arial"/>
          <w:b/>
          <w:spacing w:val="-2"/>
        </w:rPr>
        <w:t>Gelencsér</w:t>
      </w:r>
      <w:proofErr w:type="spellEnd"/>
      <w:r w:rsidRPr="00EB4354">
        <w:rPr>
          <w:rFonts w:ascii="Arial" w:hAnsi="Arial" w:cs="Arial"/>
          <w:b/>
          <w:spacing w:val="-2"/>
        </w:rPr>
        <w:t xml:space="preserve"> </w:t>
      </w:r>
      <w:r w:rsidR="009334F4" w:rsidRPr="00EB4354">
        <w:rPr>
          <w:rFonts w:ascii="Arial" w:hAnsi="Arial" w:cs="Arial"/>
          <w:b/>
          <w:spacing w:val="-2"/>
        </w:rPr>
        <w:t>et al</w:t>
      </w:r>
      <w:r w:rsidRPr="00EB4354">
        <w:rPr>
          <w:rFonts w:ascii="Arial" w:hAnsi="Arial" w:cs="Arial"/>
          <w:b/>
          <w:spacing w:val="-2"/>
        </w:rPr>
        <w:t>. 2007)</w:t>
      </w:r>
      <w:r w:rsidRPr="00EB4354">
        <w:rPr>
          <w:rFonts w:ascii="Arial" w:hAnsi="Arial" w:cs="Arial"/>
          <w:spacing w:val="-2"/>
        </w:rPr>
        <w:t>.</w:t>
      </w:r>
    </w:p>
    <w:p w:rsidR="005B3EF7" w:rsidRPr="00B37EF3" w:rsidRDefault="005B5425" w:rsidP="00EB4354">
      <w:pPr>
        <w:spacing w:after="200"/>
        <w:rPr>
          <w:rFonts w:ascii="Arial" w:eastAsia="Century Gothic" w:hAnsi="Arial" w:cs="Arial"/>
        </w:rPr>
      </w:pPr>
      <w:r w:rsidRPr="00B37EF3">
        <w:rPr>
          <w:rFonts w:ascii="Arial" w:hAnsi="Arial" w:cs="Arial"/>
        </w:rPr>
        <w:t>The term ‘r</w:t>
      </w:r>
      <w:r w:rsidR="005B3EF7" w:rsidRPr="00B37EF3">
        <w:rPr>
          <w:rFonts w:ascii="Arial" w:hAnsi="Arial" w:cs="Arial"/>
        </w:rPr>
        <w:t>eceptor modelling</w:t>
      </w:r>
      <w:r w:rsidRPr="00B37EF3">
        <w:rPr>
          <w:rFonts w:ascii="Arial" w:hAnsi="Arial" w:cs="Arial"/>
        </w:rPr>
        <w:t>’ covers several</w:t>
      </w:r>
      <w:r w:rsidR="005B3EF7" w:rsidRPr="00B37EF3">
        <w:rPr>
          <w:rFonts w:ascii="Arial" w:hAnsi="Arial" w:cs="Arial"/>
        </w:rPr>
        <w:t xml:space="preserve"> approach</w:t>
      </w:r>
      <w:r w:rsidRPr="00B37EF3">
        <w:rPr>
          <w:rFonts w:ascii="Arial" w:hAnsi="Arial" w:cs="Arial"/>
        </w:rPr>
        <w:t>es</w:t>
      </w:r>
      <w:r w:rsidR="005B3EF7" w:rsidRPr="00B37EF3">
        <w:rPr>
          <w:rFonts w:ascii="Arial" w:hAnsi="Arial" w:cs="Arial"/>
        </w:rPr>
        <w:t xml:space="preserve"> to the sourc</w:t>
      </w:r>
      <w:r w:rsidRPr="00B37EF3">
        <w:rPr>
          <w:rFonts w:ascii="Arial" w:hAnsi="Arial" w:cs="Arial"/>
        </w:rPr>
        <w:t>e apportionment of PM which use</w:t>
      </w:r>
      <w:r w:rsidR="005B3EF7" w:rsidRPr="00B37EF3">
        <w:rPr>
          <w:rFonts w:ascii="Arial" w:hAnsi="Arial" w:cs="Arial"/>
        </w:rPr>
        <w:t xml:space="preserve"> PM</w:t>
      </w:r>
      <w:r w:rsidRPr="00B37EF3">
        <w:rPr>
          <w:rFonts w:ascii="Arial" w:hAnsi="Arial" w:cs="Arial"/>
        </w:rPr>
        <w:t xml:space="preserve"> composition to estimate </w:t>
      </w:r>
      <w:r w:rsidR="005B3EF7" w:rsidRPr="00B37EF3">
        <w:rPr>
          <w:rFonts w:ascii="Arial" w:hAnsi="Arial" w:cs="Arial"/>
        </w:rPr>
        <w:t>contributions</w:t>
      </w:r>
      <w:r w:rsidR="005B3EF7" w:rsidRPr="00B37EF3">
        <w:rPr>
          <w:rFonts w:ascii="Arial" w:eastAsia="Calibri" w:hAnsi="Arial" w:cs="Arial"/>
        </w:rPr>
        <w:t>.</w:t>
      </w:r>
      <w:r w:rsidR="005B3EF7" w:rsidRPr="00B37EF3">
        <w:rPr>
          <w:rFonts w:ascii="Arial" w:hAnsi="Arial" w:cs="Arial"/>
        </w:rPr>
        <w:t xml:space="preserve"> The four types of receptor model that have been used in Australia (and New Zealand) are Chemical Mass Balance (CMB), Target Transformation Factor Analysis (TTFA), Principal Component Analysis (PCA) and Positive Matrix Factorisation (PMF</w:t>
      </w:r>
      <w:proofErr w:type="gramStart"/>
      <w:r w:rsidR="005B3EF7" w:rsidRPr="00B37EF3">
        <w:rPr>
          <w:rFonts w:ascii="Arial" w:hAnsi="Arial" w:cs="Arial"/>
        </w:rPr>
        <w:t>)</w:t>
      </w:r>
      <w:r w:rsidR="005B3EF7" w:rsidRPr="00B37EF3">
        <w:rPr>
          <w:rFonts w:ascii="Arial" w:hAnsi="Arial" w:cs="Arial"/>
          <w:b/>
        </w:rPr>
        <w:t>(</w:t>
      </w:r>
      <w:proofErr w:type="gramEnd"/>
      <w:r w:rsidR="005B3EF7" w:rsidRPr="00B37EF3">
        <w:rPr>
          <w:rFonts w:ascii="Arial" w:hAnsi="Arial" w:cs="Arial"/>
          <w:b/>
        </w:rPr>
        <w:t>Friend et al. 2013)</w:t>
      </w:r>
      <w:r w:rsidR="005B3EF7" w:rsidRPr="00B37EF3">
        <w:rPr>
          <w:rFonts w:ascii="Arial" w:hAnsi="Arial" w:cs="Arial"/>
        </w:rPr>
        <w:t xml:space="preserve">. </w:t>
      </w:r>
      <w:r w:rsidR="005B3EF7" w:rsidRPr="00B37EF3">
        <w:rPr>
          <w:rFonts w:ascii="Arial" w:eastAsia="Century Gothic" w:hAnsi="Arial" w:cs="Arial"/>
        </w:rPr>
        <w:t>CMB us</w:t>
      </w:r>
      <w:r w:rsidR="00D65FEE" w:rsidRPr="00B37EF3">
        <w:rPr>
          <w:rFonts w:ascii="Arial" w:eastAsia="Century Gothic" w:hAnsi="Arial" w:cs="Arial"/>
        </w:rPr>
        <w:t>es knowledge of source profiles and</w:t>
      </w:r>
      <w:r w:rsidR="005B3EF7" w:rsidRPr="00B37EF3">
        <w:rPr>
          <w:rFonts w:ascii="Arial" w:eastAsia="Century Gothic" w:hAnsi="Arial" w:cs="Arial"/>
        </w:rPr>
        <w:t xml:space="preserve"> measured concentra</w:t>
      </w:r>
      <w:r w:rsidR="00D65FEE" w:rsidRPr="00B37EF3">
        <w:rPr>
          <w:rFonts w:ascii="Arial" w:eastAsia="Century Gothic" w:hAnsi="Arial" w:cs="Arial"/>
        </w:rPr>
        <w:t xml:space="preserve">tions </w:t>
      </w:r>
      <w:r w:rsidR="005B3EF7" w:rsidRPr="00B37EF3">
        <w:rPr>
          <w:rFonts w:ascii="Arial" w:eastAsia="Century Gothic" w:hAnsi="Arial" w:cs="Arial"/>
        </w:rPr>
        <w:t xml:space="preserve">to calculate source contributions. TTFA involves factor analysis to identify the number and composition of sources, with target transformation being used to determine concentrations. PCA determines scores and loadings for each factor, and these are then used to determine the source profiles and contributions. PMF involves the application of an iterative algorithm to find an optimum solution to the mass balance equation. The methods used to identify the most likely locations of sources include wind rose analysis, back trajectory analysis and dispersion modelling </w:t>
      </w:r>
      <w:r w:rsidR="005B3EF7" w:rsidRPr="00B37EF3">
        <w:rPr>
          <w:rFonts w:ascii="Arial" w:eastAsia="Century Gothic" w:hAnsi="Arial" w:cs="Arial"/>
          <w:b/>
        </w:rPr>
        <w:t xml:space="preserve">(Friend </w:t>
      </w:r>
      <w:r w:rsidR="009334F4" w:rsidRPr="00B37EF3">
        <w:rPr>
          <w:rFonts w:ascii="Arial" w:eastAsia="Century Gothic" w:hAnsi="Arial" w:cs="Arial"/>
          <w:b/>
        </w:rPr>
        <w:t>et al</w:t>
      </w:r>
      <w:r w:rsidR="005B3EF7" w:rsidRPr="00B37EF3">
        <w:rPr>
          <w:rFonts w:ascii="Arial" w:eastAsia="Century Gothic" w:hAnsi="Arial" w:cs="Arial"/>
          <w:b/>
        </w:rPr>
        <w:t>. 2013)</w:t>
      </w:r>
      <w:r w:rsidR="005B3EF7" w:rsidRPr="00B37EF3">
        <w:rPr>
          <w:rFonts w:ascii="Arial" w:eastAsia="Century Gothic" w:hAnsi="Arial" w:cs="Arial"/>
        </w:rPr>
        <w:t>.</w:t>
      </w:r>
    </w:p>
    <w:p w:rsidR="00D16C81" w:rsidRPr="00B37EF3" w:rsidRDefault="00902A18" w:rsidP="00EB4354">
      <w:pPr>
        <w:spacing w:after="200"/>
        <w:rPr>
          <w:rFonts w:ascii="Arial" w:eastAsia="Century Gothic" w:hAnsi="Arial" w:cs="Arial"/>
        </w:rPr>
      </w:pPr>
      <w:r w:rsidRPr="00B37EF3">
        <w:rPr>
          <w:rFonts w:ascii="Arial" w:hAnsi="Arial" w:cs="Arial"/>
        </w:rPr>
        <w:t>In source apportionment studies t</w:t>
      </w:r>
      <w:r w:rsidR="00915100" w:rsidRPr="00B37EF3">
        <w:rPr>
          <w:rFonts w:ascii="Arial" w:hAnsi="Arial" w:cs="Arial"/>
        </w:rPr>
        <w:t xml:space="preserve">he </w:t>
      </w:r>
      <w:r w:rsidR="00791C3A" w:rsidRPr="00B37EF3">
        <w:rPr>
          <w:rFonts w:ascii="Arial" w:hAnsi="Arial" w:cs="Arial"/>
        </w:rPr>
        <w:t>elements</w:t>
      </w:r>
      <w:r w:rsidRPr="00B37EF3">
        <w:rPr>
          <w:rFonts w:ascii="Arial" w:hAnsi="Arial" w:cs="Arial"/>
        </w:rPr>
        <w:t xml:space="preserve"> that are used</w:t>
      </w:r>
      <w:r w:rsidR="00791C3A" w:rsidRPr="00B37EF3">
        <w:rPr>
          <w:rFonts w:ascii="Arial" w:hAnsi="Arial" w:cs="Arial"/>
        </w:rPr>
        <w:t xml:space="preserve"> to identify marine aerosol </w:t>
      </w:r>
      <w:r w:rsidRPr="00B37EF3">
        <w:rPr>
          <w:rFonts w:ascii="Arial" w:hAnsi="Arial" w:cs="Arial"/>
        </w:rPr>
        <w:t>(</w:t>
      </w:r>
      <w:r w:rsidR="00E83318" w:rsidRPr="00B37EF3">
        <w:rPr>
          <w:rFonts w:ascii="Arial" w:hAnsi="Arial" w:cs="Arial"/>
        </w:rPr>
        <w:t xml:space="preserve">often </w:t>
      </w:r>
      <w:r w:rsidRPr="00B37EF3">
        <w:rPr>
          <w:rFonts w:ascii="Arial" w:hAnsi="Arial" w:cs="Arial"/>
        </w:rPr>
        <w:t>a si</w:t>
      </w:r>
      <w:r w:rsidR="00E83318" w:rsidRPr="00B37EF3">
        <w:rPr>
          <w:rFonts w:ascii="Arial" w:hAnsi="Arial" w:cs="Arial"/>
        </w:rPr>
        <w:t>gnificant source</w:t>
      </w:r>
      <w:r w:rsidRPr="00B37EF3">
        <w:rPr>
          <w:rFonts w:ascii="Arial" w:hAnsi="Arial" w:cs="Arial"/>
        </w:rPr>
        <w:t xml:space="preserve">) </w:t>
      </w:r>
      <w:r w:rsidR="00791C3A" w:rsidRPr="00B37EF3">
        <w:rPr>
          <w:rFonts w:ascii="Arial" w:hAnsi="Arial" w:cs="Arial"/>
        </w:rPr>
        <w:t xml:space="preserve">are </w:t>
      </w:r>
      <w:r w:rsidR="006A0BD0" w:rsidRPr="00B37EF3">
        <w:rPr>
          <w:rFonts w:ascii="Arial" w:hAnsi="Arial" w:cs="Arial"/>
        </w:rPr>
        <w:t>sodium (</w:t>
      </w:r>
      <w:r w:rsidR="00791C3A" w:rsidRPr="00B37EF3">
        <w:rPr>
          <w:rFonts w:ascii="Arial" w:hAnsi="Arial" w:cs="Arial"/>
        </w:rPr>
        <w:t>Na</w:t>
      </w:r>
      <w:r w:rsidR="006A0BD0" w:rsidRPr="00B37EF3">
        <w:rPr>
          <w:rFonts w:ascii="Arial" w:hAnsi="Arial" w:cs="Arial"/>
        </w:rPr>
        <w:t>)</w:t>
      </w:r>
      <w:r w:rsidR="00791C3A" w:rsidRPr="00B37EF3">
        <w:rPr>
          <w:rFonts w:ascii="Arial" w:hAnsi="Arial" w:cs="Arial"/>
        </w:rPr>
        <w:t xml:space="preserve"> and </w:t>
      </w:r>
      <w:r w:rsidR="006A0BD0" w:rsidRPr="00B37EF3">
        <w:rPr>
          <w:rFonts w:ascii="Arial" w:hAnsi="Arial" w:cs="Arial"/>
        </w:rPr>
        <w:t>chlorine (</w:t>
      </w:r>
      <w:r w:rsidR="00791C3A" w:rsidRPr="00B37EF3">
        <w:rPr>
          <w:rFonts w:ascii="Arial" w:hAnsi="Arial" w:cs="Arial"/>
        </w:rPr>
        <w:t>Cl</w:t>
      </w:r>
      <w:r w:rsidR="006A0BD0" w:rsidRPr="00B37EF3">
        <w:rPr>
          <w:rFonts w:ascii="Arial" w:hAnsi="Arial" w:cs="Arial"/>
        </w:rPr>
        <w:t>)</w:t>
      </w:r>
      <w:r w:rsidR="00791C3A" w:rsidRPr="00B37EF3">
        <w:rPr>
          <w:rFonts w:ascii="Arial" w:hAnsi="Arial" w:cs="Arial"/>
        </w:rPr>
        <w:t xml:space="preserve">. A reduction in Cl and </w:t>
      </w:r>
      <w:r w:rsidR="00D65FEE" w:rsidRPr="00B37EF3">
        <w:rPr>
          <w:rFonts w:ascii="Arial" w:hAnsi="Arial" w:cs="Arial"/>
        </w:rPr>
        <w:t xml:space="preserve">an </w:t>
      </w:r>
      <w:r w:rsidR="00791C3A" w:rsidRPr="00B37EF3">
        <w:rPr>
          <w:rFonts w:ascii="Arial" w:hAnsi="Arial" w:cs="Arial"/>
        </w:rPr>
        <w:t xml:space="preserve">increase in </w:t>
      </w:r>
      <w:r w:rsidR="00E54142" w:rsidRPr="00B37EF3">
        <w:rPr>
          <w:rFonts w:ascii="Arial" w:hAnsi="Arial" w:cs="Arial"/>
        </w:rPr>
        <w:t>sulf</w:t>
      </w:r>
      <w:r w:rsidR="006A0BD0" w:rsidRPr="00B37EF3">
        <w:rPr>
          <w:rFonts w:ascii="Arial" w:hAnsi="Arial" w:cs="Arial"/>
        </w:rPr>
        <w:t>ur (</w:t>
      </w:r>
      <w:r w:rsidR="00791C3A" w:rsidRPr="00B37EF3">
        <w:rPr>
          <w:rFonts w:ascii="Arial" w:hAnsi="Arial" w:cs="Arial"/>
        </w:rPr>
        <w:t>S</w:t>
      </w:r>
      <w:r w:rsidR="006A0BD0" w:rsidRPr="00B37EF3">
        <w:rPr>
          <w:rFonts w:ascii="Arial" w:hAnsi="Arial" w:cs="Arial"/>
        </w:rPr>
        <w:t>)</w:t>
      </w:r>
      <w:r w:rsidR="00791C3A" w:rsidRPr="00B37EF3">
        <w:rPr>
          <w:rFonts w:ascii="Arial" w:hAnsi="Arial" w:cs="Arial"/>
        </w:rPr>
        <w:t xml:space="preserve"> has been used to distinguish fresh </w:t>
      </w:r>
      <w:r w:rsidR="00E83318" w:rsidRPr="00B37EF3">
        <w:rPr>
          <w:rFonts w:ascii="Arial" w:hAnsi="Arial" w:cs="Arial"/>
        </w:rPr>
        <w:t>sea salt from aged sea salt</w:t>
      </w:r>
      <w:r w:rsidR="00791C3A" w:rsidRPr="00B37EF3">
        <w:rPr>
          <w:rFonts w:ascii="Arial" w:hAnsi="Arial" w:cs="Arial"/>
        </w:rPr>
        <w:t xml:space="preserve">. </w:t>
      </w:r>
      <w:r w:rsidR="00001A68" w:rsidRPr="00B37EF3">
        <w:rPr>
          <w:rFonts w:ascii="Arial" w:hAnsi="Arial" w:cs="Arial"/>
        </w:rPr>
        <w:t xml:space="preserve">Soil is usually characterised by </w:t>
      </w:r>
      <w:r w:rsidR="001627AA" w:rsidRPr="00B37EF3">
        <w:rPr>
          <w:rFonts w:ascii="Arial" w:hAnsi="Arial" w:cs="Arial"/>
        </w:rPr>
        <w:t>aluminium (</w:t>
      </w:r>
      <w:r w:rsidR="00001A68" w:rsidRPr="00B37EF3">
        <w:rPr>
          <w:rFonts w:ascii="Arial" w:hAnsi="Arial" w:cs="Arial"/>
        </w:rPr>
        <w:t>Al</w:t>
      </w:r>
      <w:r w:rsidR="001627AA" w:rsidRPr="00B37EF3">
        <w:rPr>
          <w:rFonts w:ascii="Arial" w:hAnsi="Arial" w:cs="Arial"/>
        </w:rPr>
        <w:t>)</w:t>
      </w:r>
      <w:r w:rsidR="00001A68" w:rsidRPr="00B37EF3">
        <w:rPr>
          <w:rFonts w:ascii="Arial" w:hAnsi="Arial" w:cs="Arial"/>
        </w:rPr>
        <w:t xml:space="preserve">, </w:t>
      </w:r>
      <w:r w:rsidR="001627AA" w:rsidRPr="00B37EF3">
        <w:rPr>
          <w:rFonts w:ascii="Arial" w:hAnsi="Arial" w:cs="Arial"/>
        </w:rPr>
        <w:t>silicon (</w:t>
      </w:r>
      <w:r w:rsidR="00001A68" w:rsidRPr="00B37EF3">
        <w:rPr>
          <w:rFonts w:ascii="Arial" w:hAnsi="Arial" w:cs="Arial"/>
        </w:rPr>
        <w:t>Si</w:t>
      </w:r>
      <w:r w:rsidR="001627AA" w:rsidRPr="00B37EF3">
        <w:rPr>
          <w:rFonts w:ascii="Arial" w:hAnsi="Arial" w:cs="Arial"/>
        </w:rPr>
        <w:t>)</w:t>
      </w:r>
      <w:r w:rsidR="00001A68" w:rsidRPr="00B37EF3">
        <w:rPr>
          <w:rFonts w:ascii="Arial" w:hAnsi="Arial" w:cs="Arial"/>
        </w:rPr>
        <w:t xml:space="preserve">, </w:t>
      </w:r>
      <w:r w:rsidR="006A0BD0" w:rsidRPr="00B37EF3">
        <w:rPr>
          <w:rFonts w:ascii="Arial" w:hAnsi="Arial" w:cs="Arial"/>
        </w:rPr>
        <w:t>potassium (</w:t>
      </w:r>
      <w:r w:rsidR="00001A68" w:rsidRPr="00B37EF3">
        <w:rPr>
          <w:rFonts w:ascii="Arial" w:hAnsi="Arial" w:cs="Arial"/>
        </w:rPr>
        <w:t>K</w:t>
      </w:r>
      <w:r w:rsidR="006A0BD0" w:rsidRPr="00B37EF3">
        <w:rPr>
          <w:rFonts w:ascii="Arial" w:hAnsi="Arial" w:cs="Arial"/>
        </w:rPr>
        <w:t>)</w:t>
      </w:r>
      <w:r w:rsidR="00001A68" w:rsidRPr="00B37EF3">
        <w:rPr>
          <w:rFonts w:ascii="Arial" w:hAnsi="Arial" w:cs="Arial"/>
        </w:rPr>
        <w:t xml:space="preserve">, </w:t>
      </w:r>
      <w:r w:rsidR="001627AA" w:rsidRPr="00B37EF3">
        <w:rPr>
          <w:rFonts w:ascii="Arial" w:hAnsi="Arial" w:cs="Arial"/>
        </w:rPr>
        <w:t>calcium (</w:t>
      </w:r>
      <w:r w:rsidR="00001A68" w:rsidRPr="00B37EF3">
        <w:rPr>
          <w:rFonts w:ascii="Arial" w:hAnsi="Arial" w:cs="Arial"/>
        </w:rPr>
        <w:t>Ca</w:t>
      </w:r>
      <w:r w:rsidR="001627AA" w:rsidRPr="00B37EF3">
        <w:rPr>
          <w:rFonts w:ascii="Arial" w:hAnsi="Arial" w:cs="Arial"/>
        </w:rPr>
        <w:t>)</w:t>
      </w:r>
      <w:r w:rsidR="00001A68" w:rsidRPr="00B37EF3">
        <w:rPr>
          <w:rFonts w:ascii="Arial" w:hAnsi="Arial" w:cs="Arial"/>
        </w:rPr>
        <w:t xml:space="preserve">, </w:t>
      </w:r>
      <w:r w:rsidR="007D46F6" w:rsidRPr="00B37EF3">
        <w:rPr>
          <w:rFonts w:ascii="Arial" w:hAnsi="Arial" w:cs="Arial"/>
        </w:rPr>
        <w:t>titanium (</w:t>
      </w:r>
      <w:r w:rsidR="00001A68" w:rsidRPr="00B37EF3">
        <w:rPr>
          <w:rFonts w:ascii="Arial" w:hAnsi="Arial" w:cs="Arial"/>
        </w:rPr>
        <w:t>Ti</w:t>
      </w:r>
      <w:r w:rsidR="007D46F6" w:rsidRPr="00B37EF3">
        <w:rPr>
          <w:rFonts w:ascii="Arial" w:hAnsi="Arial" w:cs="Arial"/>
        </w:rPr>
        <w:t>)</w:t>
      </w:r>
      <w:r w:rsidR="00001A68" w:rsidRPr="00B37EF3">
        <w:rPr>
          <w:rFonts w:ascii="Arial" w:hAnsi="Arial" w:cs="Arial"/>
        </w:rPr>
        <w:t xml:space="preserve"> and </w:t>
      </w:r>
      <w:r w:rsidR="001627AA" w:rsidRPr="00B37EF3">
        <w:rPr>
          <w:rFonts w:ascii="Arial" w:hAnsi="Arial" w:cs="Arial"/>
        </w:rPr>
        <w:t>iron (</w:t>
      </w:r>
      <w:r w:rsidR="00001A68" w:rsidRPr="00B37EF3">
        <w:rPr>
          <w:rFonts w:ascii="Arial" w:hAnsi="Arial" w:cs="Arial"/>
        </w:rPr>
        <w:t>Fe</w:t>
      </w:r>
      <w:r w:rsidR="001627AA" w:rsidRPr="00B37EF3">
        <w:rPr>
          <w:rFonts w:ascii="Arial" w:hAnsi="Arial" w:cs="Arial"/>
        </w:rPr>
        <w:t>)</w:t>
      </w:r>
      <w:r w:rsidR="00001A68" w:rsidRPr="00B37EF3">
        <w:rPr>
          <w:rFonts w:ascii="Arial" w:hAnsi="Arial" w:cs="Arial"/>
        </w:rPr>
        <w:t xml:space="preserve">. </w:t>
      </w:r>
      <w:r w:rsidR="00915100" w:rsidRPr="00B37EF3">
        <w:rPr>
          <w:rFonts w:ascii="Arial" w:hAnsi="Arial" w:cs="Arial"/>
        </w:rPr>
        <w:t xml:space="preserve">Most </w:t>
      </w:r>
      <w:r w:rsidR="00E83318" w:rsidRPr="00B37EF3">
        <w:rPr>
          <w:rFonts w:ascii="Arial" w:hAnsi="Arial" w:cs="Arial"/>
        </w:rPr>
        <w:t xml:space="preserve">Australian </w:t>
      </w:r>
      <w:r w:rsidR="007D46F6" w:rsidRPr="00B37EF3">
        <w:rPr>
          <w:rFonts w:ascii="Arial" w:hAnsi="Arial" w:cs="Arial"/>
        </w:rPr>
        <w:t xml:space="preserve">studies </w:t>
      </w:r>
      <w:r w:rsidR="00D16C81" w:rsidRPr="00B37EF3">
        <w:rPr>
          <w:rFonts w:ascii="Arial" w:hAnsi="Arial" w:cs="Arial"/>
        </w:rPr>
        <w:t>have pointed to a soil-related source, but with</w:t>
      </w:r>
      <w:r w:rsidRPr="00B37EF3">
        <w:rPr>
          <w:rFonts w:ascii="Arial" w:hAnsi="Arial" w:cs="Arial"/>
        </w:rPr>
        <w:t xml:space="preserve"> a wide range of contributions. </w:t>
      </w:r>
      <w:r w:rsidR="00001A68" w:rsidRPr="00B37EF3">
        <w:rPr>
          <w:rFonts w:ascii="Arial" w:hAnsi="Arial" w:cs="Arial"/>
        </w:rPr>
        <w:t>Motor vehicles are a source of elemental carbon, as well as various metals.</w:t>
      </w:r>
      <w:r w:rsidR="00001A68" w:rsidRPr="00B37EF3">
        <w:rPr>
          <w:rFonts w:ascii="Arial" w:eastAsia="Century Gothic" w:hAnsi="Arial" w:cs="Arial"/>
        </w:rPr>
        <w:t xml:space="preserve"> </w:t>
      </w:r>
      <w:r w:rsidR="00D16C81" w:rsidRPr="00B37EF3">
        <w:rPr>
          <w:rFonts w:ascii="Arial" w:eastAsia="Century Gothic" w:hAnsi="Arial" w:cs="Arial"/>
        </w:rPr>
        <w:t>PM from manufacturing and industry has often been</w:t>
      </w:r>
      <w:r w:rsidR="006A0BD0" w:rsidRPr="00B37EF3">
        <w:rPr>
          <w:rFonts w:ascii="Arial" w:eastAsia="Century Gothic" w:hAnsi="Arial" w:cs="Arial"/>
        </w:rPr>
        <w:t xml:space="preserve"> characterised by heavy metals such as vanadium (</w:t>
      </w:r>
      <w:r w:rsidR="00D16C81" w:rsidRPr="00B37EF3">
        <w:rPr>
          <w:rFonts w:ascii="Arial" w:eastAsia="Century Gothic" w:hAnsi="Arial" w:cs="Arial"/>
        </w:rPr>
        <w:t>V</w:t>
      </w:r>
      <w:r w:rsidR="006A0BD0" w:rsidRPr="00B37EF3">
        <w:rPr>
          <w:rFonts w:ascii="Arial" w:eastAsia="Century Gothic" w:hAnsi="Arial" w:cs="Arial"/>
        </w:rPr>
        <w:t>)</w:t>
      </w:r>
      <w:r w:rsidR="00D16C81" w:rsidRPr="00B37EF3">
        <w:rPr>
          <w:rFonts w:ascii="Arial" w:eastAsia="Century Gothic" w:hAnsi="Arial" w:cs="Arial"/>
        </w:rPr>
        <w:t xml:space="preserve">, </w:t>
      </w:r>
      <w:r w:rsidR="006A0BD0" w:rsidRPr="00B37EF3">
        <w:rPr>
          <w:rFonts w:ascii="Arial" w:eastAsia="Century Gothic" w:hAnsi="Arial" w:cs="Arial"/>
        </w:rPr>
        <w:t>chromium (</w:t>
      </w:r>
      <w:r w:rsidR="00D16C81" w:rsidRPr="00B37EF3">
        <w:rPr>
          <w:rFonts w:ascii="Arial" w:eastAsia="Century Gothic" w:hAnsi="Arial" w:cs="Arial"/>
        </w:rPr>
        <w:t>Cr</w:t>
      </w:r>
      <w:r w:rsidR="006A0BD0" w:rsidRPr="00B37EF3">
        <w:rPr>
          <w:rFonts w:ascii="Arial" w:eastAsia="Century Gothic" w:hAnsi="Arial" w:cs="Arial"/>
        </w:rPr>
        <w:t>)</w:t>
      </w:r>
      <w:r w:rsidR="00D16C81" w:rsidRPr="00B37EF3">
        <w:rPr>
          <w:rFonts w:ascii="Arial" w:eastAsia="Century Gothic" w:hAnsi="Arial" w:cs="Arial"/>
        </w:rPr>
        <w:t xml:space="preserve">, </w:t>
      </w:r>
      <w:r w:rsidR="006A0BD0" w:rsidRPr="00B37EF3">
        <w:rPr>
          <w:rFonts w:ascii="Arial" w:eastAsia="Century Gothic" w:hAnsi="Arial" w:cs="Arial"/>
        </w:rPr>
        <w:t>nickel (</w:t>
      </w:r>
      <w:r w:rsidR="00D16C81" w:rsidRPr="00B37EF3">
        <w:rPr>
          <w:rFonts w:ascii="Arial" w:eastAsia="Century Gothic" w:hAnsi="Arial" w:cs="Arial"/>
        </w:rPr>
        <w:t>Ni</w:t>
      </w:r>
      <w:r w:rsidR="006A0BD0" w:rsidRPr="00B37EF3">
        <w:rPr>
          <w:rFonts w:ascii="Arial" w:eastAsia="Century Gothic" w:hAnsi="Arial" w:cs="Arial"/>
        </w:rPr>
        <w:t>)</w:t>
      </w:r>
      <w:r w:rsidR="00D16C81" w:rsidRPr="00B37EF3">
        <w:rPr>
          <w:rFonts w:ascii="Arial" w:eastAsia="Century Gothic" w:hAnsi="Arial" w:cs="Arial"/>
        </w:rPr>
        <w:t xml:space="preserve">, </w:t>
      </w:r>
      <w:r w:rsidR="006A0BD0" w:rsidRPr="00B37EF3">
        <w:rPr>
          <w:rFonts w:ascii="Arial" w:eastAsia="Century Gothic" w:hAnsi="Arial" w:cs="Arial"/>
        </w:rPr>
        <w:t>copper (</w:t>
      </w:r>
      <w:r w:rsidR="00D16C81" w:rsidRPr="00B37EF3">
        <w:rPr>
          <w:rFonts w:ascii="Arial" w:eastAsia="Century Gothic" w:hAnsi="Arial" w:cs="Arial"/>
        </w:rPr>
        <w:t>Cu</w:t>
      </w:r>
      <w:r w:rsidR="006A0BD0" w:rsidRPr="00B37EF3">
        <w:rPr>
          <w:rFonts w:ascii="Arial" w:eastAsia="Century Gothic" w:hAnsi="Arial" w:cs="Arial"/>
        </w:rPr>
        <w:t>)</w:t>
      </w:r>
      <w:r w:rsidR="00D16C81" w:rsidRPr="00B37EF3">
        <w:rPr>
          <w:rFonts w:ascii="Arial" w:eastAsia="Century Gothic" w:hAnsi="Arial" w:cs="Arial"/>
        </w:rPr>
        <w:t xml:space="preserve">, </w:t>
      </w:r>
      <w:r w:rsidR="006A0BD0" w:rsidRPr="00B37EF3">
        <w:rPr>
          <w:rFonts w:ascii="Arial" w:eastAsia="Century Gothic" w:hAnsi="Arial" w:cs="Arial"/>
        </w:rPr>
        <w:t>zinc (Zn)</w:t>
      </w:r>
      <w:r w:rsidR="00D16C81" w:rsidRPr="00B37EF3">
        <w:rPr>
          <w:rFonts w:ascii="Arial" w:eastAsia="Century Gothic" w:hAnsi="Arial" w:cs="Arial"/>
        </w:rPr>
        <w:t xml:space="preserve">, </w:t>
      </w:r>
      <w:proofErr w:type="gramStart"/>
      <w:r w:rsidR="006A0BD0" w:rsidRPr="00B37EF3">
        <w:rPr>
          <w:rFonts w:ascii="Arial" w:eastAsia="Century Gothic" w:hAnsi="Arial" w:cs="Arial"/>
        </w:rPr>
        <w:t>lead</w:t>
      </w:r>
      <w:proofErr w:type="gramEnd"/>
      <w:r w:rsidR="006A0BD0" w:rsidRPr="00B37EF3">
        <w:rPr>
          <w:rFonts w:ascii="Arial" w:eastAsia="Century Gothic" w:hAnsi="Arial" w:cs="Arial"/>
        </w:rPr>
        <w:t xml:space="preserve"> (</w:t>
      </w:r>
      <w:proofErr w:type="spellStart"/>
      <w:r w:rsidR="00D16C81" w:rsidRPr="00B37EF3">
        <w:rPr>
          <w:rFonts w:ascii="Arial" w:eastAsia="Century Gothic" w:hAnsi="Arial" w:cs="Arial"/>
        </w:rPr>
        <w:t>Pb</w:t>
      </w:r>
      <w:proofErr w:type="spellEnd"/>
      <w:r w:rsidR="006A0BD0" w:rsidRPr="00B37EF3">
        <w:rPr>
          <w:rFonts w:ascii="Arial" w:eastAsia="Century Gothic" w:hAnsi="Arial" w:cs="Arial"/>
        </w:rPr>
        <w:t>)</w:t>
      </w:r>
      <w:r w:rsidR="00D16C81" w:rsidRPr="00B37EF3">
        <w:rPr>
          <w:rFonts w:ascii="Arial" w:eastAsia="Century Gothic" w:hAnsi="Arial" w:cs="Arial"/>
        </w:rPr>
        <w:t xml:space="preserve">, Ti, Ca, </w:t>
      </w:r>
      <w:r w:rsidR="006A0BD0" w:rsidRPr="00B37EF3">
        <w:rPr>
          <w:rFonts w:ascii="Arial" w:eastAsia="Century Gothic" w:hAnsi="Arial" w:cs="Arial"/>
        </w:rPr>
        <w:t>and Fe</w:t>
      </w:r>
      <w:r w:rsidR="00D16C81" w:rsidRPr="00B37EF3">
        <w:rPr>
          <w:rFonts w:ascii="Arial" w:eastAsia="Century Gothic" w:hAnsi="Arial" w:cs="Arial"/>
        </w:rPr>
        <w:t>.</w:t>
      </w:r>
      <w:r w:rsidR="00001A68" w:rsidRPr="00B37EF3">
        <w:rPr>
          <w:rFonts w:ascii="Arial" w:eastAsia="Century Gothic" w:hAnsi="Arial" w:cs="Arial"/>
        </w:rPr>
        <w:t xml:space="preserve"> Secondary aerosols are character</w:t>
      </w:r>
      <w:r w:rsidR="00B47C12" w:rsidRPr="00B37EF3">
        <w:rPr>
          <w:rFonts w:ascii="Arial" w:eastAsia="Century Gothic" w:hAnsi="Arial" w:cs="Arial"/>
        </w:rPr>
        <w:t>ised by nitrate, ammonium, sulf</w:t>
      </w:r>
      <w:r w:rsidR="00001A68" w:rsidRPr="00B37EF3">
        <w:rPr>
          <w:rFonts w:ascii="Arial" w:eastAsia="Century Gothic" w:hAnsi="Arial" w:cs="Arial"/>
        </w:rPr>
        <w:t xml:space="preserve">ate and organic carbon </w:t>
      </w:r>
      <w:r w:rsidRPr="00B37EF3">
        <w:rPr>
          <w:rFonts w:ascii="Arial" w:eastAsia="Century Gothic" w:hAnsi="Arial" w:cs="Arial"/>
          <w:b/>
        </w:rPr>
        <w:t xml:space="preserve">(Friend </w:t>
      </w:r>
      <w:r w:rsidR="009334F4" w:rsidRPr="00B37EF3">
        <w:rPr>
          <w:rFonts w:ascii="Arial" w:eastAsia="Century Gothic" w:hAnsi="Arial" w:cs="Arial"/>
          <w:b/>
        </w:rPr>
        <w:t>et al.</w:t>
      </w:r>
      <w:r w:rsidRPr="00B37EF3">
        <w:rPr>
          <w:rFonts w:ascii="Arial" w:eastAsia="Century Gothic" w:hAnsi="Arial" w:cs="Arial"/>
          <w:b/>
        </w:rPr>
        <w:t xml:space="preserve"> 2013)</w:t>
      </w:r>
      <w:r w:rsidRPr="00B37EF3">
        <w:rPr>
          <w:rFonts w:ascii="Arial" w:eastAsia="Century Gothic" w:hAnsi="Arial" w:cs="Arial"/>
        </w:rPr>
        <w:t>.</w:t>
      </w:r>
    </w:p>
    <w:p w:rsidR="00E83318" w:rsidRPr="00B37EF3" w:rsidRDefault="00477716" w:rsidP="00EB4354">
      <w:pPr>
        <w:spacing w:after="200"/>
        <w:rPr>
          <w:rFonts w:ascii="Arial" w:eastAsia="Century Gothic" w:hAnsi="Arial" w:cs="Arial"/>
        </w:rPr>
      </w:pPr>
      <w:r w:rsidRPr="00B37EF3">
        <w:rPr>
          <w:rFonts w:ascii="Arial" w:eastAsia="Century Gothic" w:hAnsi="Arial" w:cs="Arial"/>
        </w:rPr>
        <w:t xml:space="preserve">The main activities relating to </w:t>
      </w:r>
      <w:r w:rsidR="00E83318" w:rsidRPr="00B37EF3">
        <w:rPr>
          <w:rFonts w:ascii="Arial" w:eastAsia="Century Gothic" w:hAnsi="Arial" w:cs="Arial"/>
        </w:rPr>
        <w:t>PM composition and source apportionment in Australia are summarised below. Most of the available information relates to PM</w:t>
      </w:r>
      <w:r w:rsidR="00E83318" w:rsidRPr="00B37EF3">
        <w:rPr>
          <w:rFonts w:ascii="Arial" w:eastAsia="Century Gothic" w:hAnsi="Arial" w:cs="Arial"/>
          <w:vertAlign w:val="subscript"/>
        </w:rPr>
        <w:t>2.5</w:t>
      </w:r>
      <w:r w:rsidR="00E83318" w:rsidRPr="00B37EF3">
        <w:rPr>
          <w:rFonts w:ascii="Arial" w:eastAsia="Century Gothic" w:hAnsi="Arial" w:cs="Arial"/>
        </w:rPr>
        <w:t xml:space="preserve">, and much of that has been obtained by </w:t>
      </w:r>
      <w:r w:rsidR="00E83318" w:rsidRPr="00B37EF3">
        <w:rPr>
          <w:rFonts w:ascii="Arial" w:eastAsia="ArialMT" w:hAnsi="Arial" w:cs="Arial"/>
        </w:rPr>
        <w:t xml:space="preserve">the </w:t>
      </w:r>
      <w:r w:rsidR="00E83318" w:rsidRPr="00B37EF3">
        <w:rPr>
          <w:rFonts w:ascii="Arial" w:hAnsi="Arial" w:cs="Arial"/>
        </w:rPr>
        <w:t>Australian Nuclear Science and Technology Organisation (ANSTO)</w:t>
      </w:r>
      <w:r w:rsidR="00E83318" w:rsidRPr="00B37EF3">
        <w:rPr>
          <w:rFonts w:ascii="Arial" w:eastAsia="Century Gothic" w:hAnsi="Arial" w:cs="Arial"/>
        </w:rPr>
        <w:t>. There is still little information on PM</w:t>
      </w:r>
      <w:r w:rsidR="00E83318" w:rsidRPr="00B37EF3">
        <w:rPr>
          <w:rFonts w:ascii="Arial" w:eastAsia="Century Gothic" w:hAnsi="Arial" w:cs="Arial"/>
          <w:vertAlign w:val="subscript"/>
        </w:rPr>
        <w:t>10</w:t>
      </w:r>
      <w:r w:rsidR="00E83318" w:rsidRPr="00B37EF3">
        <w:rPr>
          <w:rFonts w:ascii="Arial" w:eastAsia="Century Gothic" w:hAnsi="Arial" w:cs="Arial"/>
        </w:rPr>
        <w:t xml:space="preserve"> (or coarse PM) composition, and there have been relatively few studies of secondary PM </w:t>
      </w:r>
      <w:r w:rsidR="001627AA" w:rsidRPr="00B37EF3">
        <w:rPr>
          <w:rFonts w:ascii="Arial" w:eastAsia="Century Gothic" w:hAnsi="Arial" w:cs="Arial"/>
        </w:rPr>
        <w:t>–</w:t>
      </w:r>
      <w:r w:rsidR="00E83318" w:rsidRPr="00B37EF3">
        <w:rPr>
          <w:rFonts w:ascii="Arial" w:eastAsia="Century Gothic" w:hAnsi="Arial" w:cs="Arial"/>
        </w:rPr>
        <w:t xml:space="preserve"> and in particular SOA </w:t>
      </w:r>
      <w:r w:rsidR="001627AA" w:rsidRPr="00B37EF3">
        <w:rPr>
          <w:rFonts w:ascii="Arial" w:eastAsia="Century Gothic" w:hAnsi="Arial" w:cs="Arial"/>
        </w:rPr>
        <w:t>–</w:t>
      </w:r>
      <w:r w:rsidR="00E83318" w:rsidRPr="00B37EF3">
        <w:rPr>
          <w:rFonts w:ascii="Arial" w:eastAsia="Century Gothic" w:hAnsi="Arial" w:cs="Arial"/>
        </w:rPr>
        <w:t xml:space="preserve"> in </w:t>
      </w:r>
      <w:r w:rsidRPr="00B37EF3">
        <w:rPr>
          <w:rFonts w:ascii="Arial" w:eastAsia="Century Gothic" w:hAnsi="Arial" w:cs="Arial"/>
        </w:rPr>
        <w:t>urban areas of Australia</w:t>
      </w:r>
      <w:r w:rsidR="00E83318" w:rsidRPr="00B37EF3">
        <w:rPr>
          <w:rFonts w:ascii="Arial" w:eastAsia="Century Gothic" w:hAnsi="Arial" w:cs="Arial"/>
        </w:rPr>
        <w:t>.</w:t>
      </w:r>
    </w:p>
    <w:p w:rsidR="00A33606" w:rsidRPr="00B37EF3" w:rsidRDefault="00295369" w:rsidP="00EB4354">
      <w:pPr>
        <w:pStyle w:val="Heading3"/>
        <w:spacing w:before="200" w:after="200"/>
        <w:rPr>
          <w:rFonts w:ascii="Arial" w:hAnsi="Arial"/>
        </w:rPr>
      </w:pPr>
      <w:bookmarkStart w:id="94" w:name="_Toc394011112"/>
      <w:r w:rsidRPr="00B37EF3">
        <w:rPr>
          <w:rFonts w:ascii="Arial" w:hAnsi="Arial"/>
        </w:rPr>
        <w:t>Measurements</w:t>
      </w:r>
      <w:r w:rsidR="005B3EF7" w:rsidRPr="00B37EF3">
        <w:rPr>
          <w:rFonts w:ascii="Arial" w:hAnsi="Arial"/>
        </w:rPr>
        <w:t xml:space="preserve"> by ANSTO</w:t>
      </w:r>
      <w:bookmarkEnd w:id="94"/>
    </w:p>
    <w:p w:rsidR="00915100" w:rsidRPr="00B37EF3" w:rsidRDefault="00A33606" w:rsidP="00EB4354">
      <w:pPr>
        <w:spacing w:after="200"/>
        <w:rPr>
          <w:rFonts w:ascii="Arial" w:hAnsi="Arial" w:cs="Arial"/>
        </w:rPr>
      </w:pPr>
      <w:r w:rsidRPr="00B37EF3">
        <w:rPr>
          <w:rFonts w:ascii="Arial" w:eastAsia="ArialMT" w:hAnsi="Arial" w:cs="Arial"/>
        </w:rPr>
        <w:t>The main body of information on PM</w:t>
      </w:r>
      <w:r w:rsidRPr="00B37EF3">
        <w:rPr>
          <w:rFonts w:ascii="Arial" w:eastAsia="ArialMT" w:hAnsi="Arial" w:cs="Arial"/>
          <w:vertAlign w:val="subscript"/>
        </w:rPr>
        <w:t>2.5</w:t>
      </w:r>
      <w:r w:rsidRPr="00B37EF3">
        <w:rPr>
          <w:rFonts w:ascii="Arial" w:eastAsia="ArialMT" w:hAnsi="Arial" w:cs="Arial"/>
        </w:rPr>
        <w:t xml:space="preserve"> composition </w:t>
      </w:r>
      <w:r w:rsidR="002F4455" w:rsidRPr="00B37EF3">
        <w:rPr>
          <w:rFonts w:ascii="Arial" w:eastAsia="ArialMT" w:hAnsi="Arial" w:cs="Arial"/>
        </w:rPr>
        <w:t xml:space="preserve">in Australia </w:t>
      </w:r>
      <w:r w:rsidRPr="00B37EF3">
        <w:rPr>
          <w:rFonts w:ascii="Arial" w:eastAsia="ArialMT" w:hAnsi="Arial" w:cs="Arial"/>
        </w:rPr>
        <w:t xml:space="preserve">has been collected by </w:t>
      </w:r>
      <w:r w:rsidR="00E83318" w:rsidRPr="00B37EF3">
        <w:rPr>
          <w:rFonts w:ascii="Arial" w:hAnsi="Arial" w:cs="Arial"/>
        </w:rPr>
        <w:t>ANSTO</w:t>
      </w:r>
      <w:r w:rsidRPr="00B37EF3">
        <w:rPr>
          <w:rFonts w:ascii="Arial" w:hAnsi="Arial" w:cs="Arial"/>
        </w:rPr>
        <w:t xml:space="preserve">, which </w:t>
      </w:r>
      <w:r w:rsidRPr="00B37EF3">
        <w:rPr>
          <w:rFonts w:ascii="Arial" w:eastAsia="ArialMT" w:hAnsi="Arial" w:cs="Arial"/>
        </w:rPr>
        <w:t>has been sampling PM</w:t>
      </w:r>
      <w:r w:rsidRPr="00B37EF3">
        <w:rPr>
          <w:rFonts w:ascii="Arial" w:eastAsia="ArialMT" w:hAnsi="Arial" w:cs="Arial"/>
          <w:vertAlign w:val="subscript"/>
        </w:rPr>
        <w:t>2.5</w:t>
      </w:r>
      <w:r w:rsidRPr="00B37EF3">
        <w:rPr>
          <w:rFonts w:ascii="Arial" w:eastAsia="ArialMT" w:hAnsi="Arial" w:cs="Arial"/>
        </w:rPr>
        <w:t xml:space="preserve"> – mainly along the east coast of Australia </w:t>
      </w:r>
      <w:r w:rsidR="00E0546A" w:rsidRPr="00B37EF3">
        <w:rPr>
          <w:rFonts w:ascii="Arial" w:eastAsia="ArialMT" w:hAnsi="Arial" w:cs="Arial"/>
        </w:rPr>
        <w:t>–</w:t>
      </w:r>
      <w:r w:rsidRPr="00B37EF3">
        <w:rPr>
          <w:rFonts w:ascii="Arial" w:eastAsia="ArialMT" w:hAnsi="Arial" w:cs="Arial"/>
        </w:rPr>
        <w:t xml:space="preserve"> since 1991. During this time fine particles have been routinely collected at selected urban, rural and industrial sites. PM</w:t>
      </w:r>
      <w:r w:rsidRPr="00B37EF3">
        <w:rPr>
          <w:rFonts w:ascii="Arial" w:eastAsia="ArialMT" w:hAnsi="Arial" w:cs="Arial"/>
          <w:vertAlign w:val="subscript"/>
        </w:rPr>
        <w:t>2.5</w:t>
      </w:r>
      <w:r w:rsidRPr="00B37EF3">
        <w:rPr>
          <w:rFonts w:ascii="Arial" w:eastAsia="ArialMT" w:hAnsi="Arial" w:cs="Arial"/>
        </w:rPr>
        <w:t xml:space="preserve"> has been collected on filters every Wednesday and Sunday over a 24-hour period, with subsequent analysis using ion beam analysis techniques. Positive matrix factorisation has also been used to characterise particles and to identify </w:t>
      </w:r>
      <w:r w:rsidR="00915100" w:rsidRPr="00B37EF3">
        <w:rPr>
          <w:rFonts w:ascii="Arial" w:eastAsia="ArialMT" w:hAnsi="Arial" w:cs="Arial"/>
        </w:rPr>
        <w:t>sources. This long-term program</w:t>
      </w:r>
      <w:r w:rsidRPr="00B37EF3">
        <w:rPr>
          <w:rFonts w:ascii="Arial" w:eastAsia="ArialMT" w:hAnsi="Arial" w:cs="Arial"/>
        </w:rPr>
        <w:t xml:space="preserve"> is the on</w:t>
      </w:r>
      <w:r w:rsidR="00915100" w:rsidRPr="00B37EF3">
        <w:rPr>
          <w:rFonts w:ascii="Arial" w:eastAsia="ArialMT" w:hAnsi="Arial" w:cs="Arial"/>
        </w:rPr>
        <w:t xml:space="preserve">ly one of its kind </w:t>
      </w:r>
      <w:r w:rsidRPr="00B37EF3">
        <w:rPr>
          <w:rFonts w:ascii="Arial" w:eastAsia="ArialMT" w:hAnsi="Arial" w:cs="Arial"/>
        </w:rPr>
        <w:t xml:space="preserve">in Australia </w:t>
      </w:r>
      <w:r w:rsidRPr="00B37EF3">
        <w:rPr>
          <w:rFonts w:ascii="Arial" w:eastAsia="ArialMT" w:hAnsi="Arial" w:cs="Arial"/>
          <w:b/>
        </w:rPr>
        <w:t>(ANSTO 2010)</w:t>
      </w:r>
      <w:r w:rsidRPr="00B37EF3">
        <w:rPr>
          <w:rFonts w:ascii="Arial" w:eastAsia="ArialMT" w:hAnsi="Arial" w:cs="Arial"/>
        </w:rPr>
        <w:t>.</w:t>
      </w:r>
      <w:r w:rsidRPr="00B37EF3">
        <w:rPr>
          <w:rFonts w:ascii="Arial" w:hAnsi="Arial" w:cs="Arial"/>
        </w:rPr>
        <w:t xml:space="preserve"> </w:t>
      </w:r>
    </w:p>
    <w:p w:rsidR="00A33606" w:rsidRPr="00B37EF3" w:rsidRDefault="00A33606" w:rsidP="00EB4354">
      <w:pPr>
        <w:spacing w:after="160"/>
        <w:rPr>
          <w:rFonts w:ascii="Arial" w:hAnsi="Arial" w:cs="Arial"/>
        </w:rPr>
      </w:pPr>
      <w:r w:rsidRPr="00B37EF3">
        <w:rPr>
          <w:rFonts w:ascii="Arial" w:hAnsi="Arial" w:cs="Arial"/>
        </w:rPr>
        <w:t>The PM</w:t>
      </w:r>
      <w:r w:rsidRPr="00B37EF3">
        <w:rPr>
          <w:rFonts w:ascii="Arial" w:hAnsi="Arial" w:cs="Arial"/>
          <w:vertAlign w:val="subscript"/>
        </w:rPr>
        <w:t>2.5</w:t>
      </w:r>
      <w:r w:rsidRPr="00B37EF3">
        <w:rPr>
          <w:rFonts w:ascii="Arial" w:hAnsi="Arial" w:cs="Arial"/>
        </w:rPr>
        <w:t xml:space="preserve"> composition data for the ANSTO sites in NSW are available from the ANSTO web site</w:t>
      </w:r>
      <w:r w:rsidRPr="00B37EF3">
        <w:rPr>
          <w:rStyle w:val="FootnoteReference"/>
          <w:rFonts w:ascii="Arial" w:hAnsi="Arial" w:cs="Arial"/>
        </w:rPr>
        <w:footnoteReference w:id="24"/>
      </w:r>
      <w:r w:rsidRPr="00B37EF3">
        <w:rPr>
          <w:rFonts w:ascii="Arial" w:hAnsi="Arial" w:cs="Arial"/>
        </w:rPr>
        <w:t>. The following components (as well as total mass) are reported:</w:t>
      </w:r>
    </w:p>
    <w:p w:rsidR="00A33606" w:rsidRPr="00B37EF3" w:rsidRDefault="00E724B2" w:rsidP="00EB4354">
      <w:pPr>
        <w:pStyle w:val="BulletArrows"/>
        <w:numPr>
          <w:ilvl w:val="0"/>
          <w:numId w:val="98"/>
        </w:numPr>
        <w:ind w:left="714" w:hanging="357"/>
        <w:rPr>
          <w:rFonts w:ascii="Arial" w:hAnsi="Arial"/>
        </w:rPr>
      </w:pPr>
      <w:r w:rsidRPr="00B37EF3">
        <w:rPr>
          <w:rFonts w:ascii="Arial" w:hAnsi="Arial"/>
        </w:rPr>
        <w:t>s</w:t>
      </w:r>
      <w:r w:rsidR="00A33606" w:rsidRPr="00B37EF3">
        <w:rPr>
          <w:rFonts w:ascii="Arial" w:hAnsi="Arial"/>
        </w:rPr>
        <w:t>ulfate (stated as ‘NHSO</w:t>
      </w:r>
      <w:r w:rsidR="00A33606" w:rsidRPr="00B37EF3">
        <w:rPr>
          <w:rFonts w:ascii="Arial" w:hAnsi="Arial"/>
          <w:vertAlign w:val="subscript"/>
        </w:rPr>
        <w:t>4</w:t>
      </w:r>
      <w:r w:rsidR="00A33606" w:rsidRPr="00B37EF3">
        <w:rPr>
          <w:rFonts w:ascii="Arial" w:hAnsi="Arial"/>
        </w:rPr>
        <w:t>’)</w:t>
      </w:r>
    </w:p>
    <w:p w:rsidR="00A33606" w:rsidRPr="00B37EF3" w:rsidRDefault="00A33606" w:rsidP="00EB4354">
      <w:pPr>
        <w:pStyle w:val="BulletArrows"/>
        <w:numPr>
          <w:ilvl w:val="0"/>
          <w:numId w:val="98"/>
        </w:numPr>
        <w:ind w:left="714" w:hanging="357"/>
        <w:rPr>
          <w:rFonts w:ascii="Arial" w:hAnsi="Arial"/>
        </w:rPr>
      </w:pPr>
      <w:r w:rsidRPr="00B37EF3">
        <w:rPr>
          <w:rFonts w:ascii="Arial" w:hAnsi="Arial"/>
        </w:rPr>
        <w:t>‘</w:t>
      </w:r>
      <w:r w:rsidR="00E724B2" w:rsidRPr="00B37EF3">
        <w:rPr>
          <w:rFonts w:ascii="Arial" w:hAnsi="Arial"/>
        </w:rPr>
        <w:t>s</w:t>
      </w:r>
      <w:r w:rsidRPr="00B37EF3">
        <w:rPr>
          <w:rFonts w:ascii="Arial" w:hAnsi="Arial"/>
        </w:rPr>
        <w:t>oil’</w:t>
      </w:r>
    </w:p>
    <w:p w:rsidR="00A33606" w:rsidRPr="00B37EF3" w:rsidRDefault="00A33606" w:rsidP="00EB4354">
      <w:pPr>
        <w:pStyle w:val="BulletArrows"/>
        <w:numPr>
          <w:ilvl w:val="0"/>
          <w:numId w:val="98"/>
        </w:numPr>
        <w:ind w:left="714" w:hanging="357"/>
        <w:rPr>
          <w:rFonts w:ascii="Arial" w:hAnsi="Arial"/>
        </w:rPr>
      </w:pPr>
      <w:r w:rsidRPr="00B37EF3">
        <w:rPr>
          <w:rFonts w:ascii="Arial" w:hAnsi="Arial"/>
        </w:rPr>
        <w:t>‘</w:t>
      </w:r>
      <w:r w:rsidR="00E724B2" w:rsidRPr="00B37EF3">
        <w:rPr>
          <w:rFonts w:ascii="Arial" w:hAnsi="Arial"/>
        </w:rPr>
        <w:t>s</w:t>
      </w:r>
      <w:r w:rsidRPr="00B37EF3">
        <w:rPr>
          <w:rFonts w:ascii="Arial" w:hAnsi="Arial"/>
        </w:rPr>
        <w:t>alt’</w:t>
      </w:r>
    </w:p>
    <w:p w:rsidR="00A33606" w:rsidRPr="00B37EF3" w:rsidRDefault="00E724B2" w:rsidP="00EB4354">
      <w:pPr>
        <w:pStyle w:val="BulletArrows"/>
        <w:numPr>
          <w:ilvl w:val="0"/>
          <w:numId w:val="98"/>
        </w:numPr>
        <w:ind w:left="714" w:hanging="357"/>
        <w:rPr>
          <w:rFonts w:ascii="Arial" w:hAnsi="Arial"/>
        </w:rPr>
      </w:pPr>
      <w:r w:rsidRPr="00B37EF3">
        <w:rPr>
          <w:rFonts w:ascii="Arial" w:hAnsi="Arial"/>
        </w:rPr>
        <w:t>o</w:t>
      </w:r>
      <w:r w:rsidR="00A33606" w:rsidRPr="00B37EF3">
        <w:rPr>
          <w:rFonts w:ascii="Arial" w:hAnsi="Arial"/>
        </w:rPr>
        <w:t>rganic carbon</w:t>
      </w:r>
    </w:p>
    <w:p w:rsidR="00A33606" w:rsidRPr="00B37EF3" w:rsidRDefault="00E724B2" w:rsidP="00EB4354">
      <w:pPr>
        <w:pStyle w:val="BulletArrows"/>
        <w:numPr>
          <w:ilvl w:val="0"/>
          <w:numId w:val="98"/>
        </w:numPr>
        <w:ind w:left="714" w:hanging="357"/>
        <w:rPr>
          <w:rFonts w:ascii="Arial" w:hAnsi="Arial"/>
        </w:rPr>
      </w:pPr>
      <w:r w:rsidRPr="00B37EF3">
        <w:rPr>
          <w:rFonts w:ascii="Arial" w:hAnsi="Arial"/>
        </w:rPr>
        <w:t>b</w:t>
      </w:r>
      <w:r w:rsidR="00A33606" w:rsidRPr="00B37EF3">
        <w:rPr>
          <w:rFonts w:ascii="Arial" w:hAnsi="Arial"/>
        </w:rPr>
        <w:t>lack (elemental) carbon</w:t>
      </w:r>
    </w:p>
    <w:p w:rsidR="00A33606" w:rsidRPr="00B37EF3" w:rsidRDefault="00E724B2" w:rsidP="00EB4354">
      <w:pPr>
        <w:pStyle w:val="BulletArrows"/>
        <w:numPr>
          <w:ilvl w:val="0"/>
          <w:numId w:val="98"/>
        </w:numPr>
        <w:ind w:left="714" w:hanging="357"/>
        <w:rPr>
          <w:rFonts w:ascii="Arial" w:hAnsi="Arial"/>
        </w:rPr>
      </w:pPr>
      <w:proofErr w:type="gramStart"/>
      <w:r w:rsidRPr="00B37EF3">
        <w:rPr>
          <w:rFonts w:ascii="Arial" w:hAnsi="Arial"/>
        </w:rPr>
        <w:t>m</w:t>
      </w:r>
      <w:r w:rsidR="00A33606" w:rsidRPr="00B37EF3">
        <w:rPr>
          <w:rFonts w:ascii="Arial" w:hAnsi="Arial"/>
        </w:rPr>
        <w:t>etals</w:t>
      </w:r>
      <w:proofErr w:type="gramEnd"/>
      <w:r w:rsidR="00A33606" w:rsidRPr="00B37EF3">
        <w:rPr>
          <w:rFonts w:ascii="Arial" w:hAnsi="Arial"/>
        </w:rPr>
        <w:t xml:space="preserve"> (K, Fe, Zn and </w:t>
      </w:r>
      <w:proofErr w:type="spellStart"/>
      <w:r w:rsidR="00A33606" w:rsidRPr="00B37EF3">
        <w:rPr>
          <w:rFonts w:ascii="Arial" w:hAnsi="Arial"/>
        </w:rPr>
        <w:t>Pb</w:t>
      </w:r>
      <w:proofErr w:type="spellEnd"/>
      <w:r w:rsidR="00A33606" w:rsidRPr="00B37EF3">
        <w:rPr>
          <w:rFonts w:ascii="Arial" w:hAnsi="Arial"/>
        </w:rPr>
        <w:t>)</w:t>
      </w:r>
      <w:r w:rsidR="00681339" w:rsidRPr="00B37EF3">
        <w:rPr>
          <w:rFonts w:ascii="Arial" w:hAnsi="Arial"/>
        </w:rPr>
        <w:t>.</w:t>
      </w:r>
    </w:p>
    <w:p w:rsidR="00001A68" w:rsidRPr="00B37EF3" w:rsidRDefault="00001A68" w:rsidP="00996633">
      <w:pPr>
        <w:pStyle w:val="BulletArrows"/>
        <w:spacing w:after="240"/>
        <w:rPr>
          <w:rFonts w:ascii="Arial" w:hAnsi="Arial"/>
        </w:rPr>
      </w:pPr>
      <w:r w:rsidRPr="00B37EF3">
        <w:rPr>
          <w:rFonts w:ascii="Arial" w:hAnsi="Arial"/>
        </w:rPr>
        <w:lastRenderedPageBreak/>
        <w:t>According to ANSTO the residual mass (i.e. the total less the sum of the above components) is likely to be mainly water and nitrates.</w:t>
      </w:r>
      <w:r w:rsidR="00915100" w:rsidRPr="00B37EF3">
        <w:rPr>
          <w:rFonts w:ascii="Arial" w:hAnsi="Arial"/>
        </w:rPr>
        <w:t xml:space="preserve"> ANSTO does not report nitrates, as these are not well retained on the Teflon filters that are used. The total mass may therefore be under-reported.</w:t>
      </w:r>
    </w:p>
    <w:p w:rsidR="00AC1290" w:rsidRPr="00DB7A31" w:rsidRDefault="00666A50" w:rsidP="00996633">
      <w:pPr>
        <w:rPr>
          <w:rFonts w:ascii="Arial" w:eastAsia="ArialMT" w:hAnsi="Arial" w:cs="Arial"/>
        </w:rPr>
      </w:pPr>
      <w:r w:rsidRPr="00666A50">
        <w:rPr>
          <w:rFonts w:ascii="Arial" w:eastAsia="ArialMT" w:hAnsi="Arial" w:cs="Arial"/>
          <w:b/>
        </w:rPr>
        <w:t>Figure 5.12</w:t>
      </w:r>
      <w:r w:rsidR="00001A68" w:rsidRPr="00B37EF3">
        <w:rPr>
          <w:rFonts w:ascii="Arial" w:eastAsia="ArialMT" w:hAnsi="Arial" w:cs="Arial"/>
        </w:rPr>
        <w:t xml:space="preserve"> shows the </w:t>
      </w:r>
      <w:r w:rsidR="00AC1290" w:rsidRPr="00B37EF3">
        <w:rPr>
          <w:rFonts w:ascii="Arial" w:eastAsia="ArialMT" w:hAnsi="Arial" w:cs="Arial"/>
        </w:rPr>
        <w:t xml:space="preserve">percentage </w:t>
      </w:r>
      <w:r w:rsidR="00001A68" w:rsidRPr="00B37EF3">
        <w:rPr>
          <w:rFonts w:ascii="Arial" w:eastAsia="ArialMT" w:hAnsi="Arial" w:cs="Arial"/>
        </w:rPr>
        <w:t>contributions of each component to the total PM</w:t>
      </w:r>
      <w:r w:rsidR="00001A68" w:rsidRPr="00B37EF3">
        <w:rPr>
          <w:rFonts w:ascii="Arial" w:eastAsia="ArialMT" w:hAnsi="Arial" w:cs="Arial"/>
          <w:vertAlign w:val="subscript"/>
        </w:rPr>
        <w:t>2.5</w:t>
      </w:r>
      <w:r w:rsidR="00001A68" w:rsidRPr="00B37EF3">
        <w:rPr>
          <w:rFonts w:ascii="Arial" w:eastAsia="ArialMT" w:hAnsi="Arial" w:cs="Arial"/>
        </w:rPr>
        <w:t xml:space="preserve"> concentration at each ANSTO site in NSW, averaged over the period 2005</w:t>
      </w:r>
      <w:r w:rsidR="00E724B2" w:rsidRPr="00B37EF3">
        <w:rPr>
          <w:rFonts w:ascii="Arial" w:eastAsia="ArialMT" w:hAnsi="Arial" w:cs="Arial"/>
        </w:rPr>
        <w:t>–</w:t>
      </w:r>
      <w:r w:rsidR="00001A68" w:rsidRPr="00B37EF3">
        <w:rPr>
          <w:rFonts w:ascii="Arial" w:eastAsia="ArialMT" w:hAnsi="Arial" w:cs="Arial"/>
        </w:rPr>
        <w:t xml:space="preserve">2011. </w:t>
      </w:r>
      <w:r w:rsidR="00AC1290" w:rsidRPr="00B37EF3">
        <w:rPr>
          <w:rFonts w:ascii="Arial" w:eastAsia="ArialMT" w:hAnsi="Arial" w:cs="Arial"/>
        </w:rPr>
        <w:t>Each component is shown separately to illustrate site-by-site variation in</w:t>
      </w:r>
      <w:r w:rsidR="00DB7A31">
        <w:rPr>
          <w:rFonts w:ascii="Arial" w:eastAsia="ArialMT" w:hAnsi="Arial" w:cs="Arial"/>
        </w:rPr>
        <w:t xml:space="preserve"> </w:t>
      </w:r>
      <w:r w:rsidR="00DB7A31">
        <w:rPr>
          <w:rFonts w:ascii="Arial" w:eastAsia="ArialMT" w:hAnsi="Arial" w:cs="Arial"/>
          <w:b/>
        </w:rPr>
        <w:t>Figure 5.1</w:t>
      </w:r>
      <w:r>
        <w:rPr>
          <w:rFonts w:ascii="Arial" w:eastAsia="ArialMT" w:hAnsi="Arial" w:cs="Arial"/>
          <w:b/>
        </w:rPr>
        <w:t>3</w:t>
      </w:r>
      <w:r w:rsidR="00DB7A31">
        <w:rPr>
          <w:rFonts w:ascii="Arial" w:eastAsia="ArialMT" w:hAnsi="Arial" w:cs="Arial"/>
        </w:rPr>
        <w:t>.</w:t>
      </w:r>
    </w:p>
    <w:p w:rsidR="00B14803" w:rsidRPr="006A5626" w:rsidRDefault="00B14803" w:rsidP="006A5626">
      <w:pPr>
        <w:pStyle w:val="Caption"/>
      </w:pPr>
      <w:r w:rsidRPr="006A5626">
        <w:br w:type="page"/>
      </w:r>
      <w:r w:rsidRPr="006A5626">
        <w:lastRenderedPageBreak/>
        <w:t xml:space="preserve">Figure </w:t>
      </w:r>
      <w:r w:rsidR="00BF6019" w:rsidRPr="006A5626">
        <w:fldChar w:fldCharType="begin"/>
      </w:r>
      <w:r w:rsidRPr="006A5626">
        <w:instrText xml:space="preserve"> STYLEREF 1 \s </w:instrText>
      </w:r>
      <w:r w:rsidR="00BF6019" w:rsidRPr="006A5626">
        <w:fldChar w:fldCharType="separate"/>
      </w:r>
      <w:r w:rsidR="0085182E">
        <w:rPr>
          <w:noProof/>
        </w:rPr>
        <w:t>5</w:t>
      </w:r>
      <w:r w:rsidR="00BF6019" w:rsidRPr="006A5626">
        <w:fldChar w:fldCharType="end"/>
      </w:r>
      <w:r w:rsidRPr="006A5626">
        <w:t>.</w:t>
      </w:r>
      <w:r w:rsidR="00BF6019" w:rsidRPr="006A5626">
        <w:fldChar w:fldCharType="begin"/>
      </w:r>
      <w:r w:rsidRPr="006A5626">
        <w:instrText xml:space="preserve"> SEQ Figure \* ARABIC \s 1 </w:instrText>
      </w:r>
      <w:r w:rsidR="00BF6019" w:rsidRPr="006A5626">
        <w:fldChar w:fldCharType="separate"/>
      </w:r>
      <w:r w:rsidR="0085182E">
        <w:rPr>
          <w:noProof/>
        </w:rPr>
        <w:t>12</w:t>
      </w:r>
      <w:r w:rsidR="00BF6019" w:rsidRPr="006A5626">
        <w:fldChar w:fldCharType="end"/>
      </w:r>
      <w:r w:rsidRPr="006A5626">
        <w:t>: Composition of PM2.5 by month (average 2005–2011) for ANSTO sites (‘other’ = residual mass)</w:t>
      </w:r>
    </w:p>
    <w:p w:rsidR="00001A68" w:rsidRPr="00B37EF3" w:rsidRDefault="006D7F17" w:rsidP="00915100">
      <w:pPr>
        <w:spacing w:after="80" w:line="240" w:lineRule="auto"/>
        <w:jc w:val="center"/>
        <w:rPr>
          <w:rFonts w:ascii="Arial" w:hAnsi="Arial" w:cs="Arial"/>
        </w:rPr>
      </w:pPr>
      <w:r w:rsidRPr="00B37EF3">
        <w:rPr>
          <w:rFonts w:ascii="Arial" w:hAnsi="Arial" w:cs="Arial"/>
          <w:noProof/>
        </w:rPr>
        <w:drawing>
          <wp:inline distT="0" distB="0" distL="0" distR="0">
            <wp:extent cx="5470525" cy="6448425"/>
            <wp:effectExtent l="19050" t="19050" r="15875" b="28575"/>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0525" cy="6448425"/>
                    </a:xfrm>
                    <a:prstGeom prst="rect">
                      <a:avLst/>
                    </a:prstGeom>
                    <a:noFill/>
                    <a:ln w="6350" cmpd="sng">
                      <a:solidFill>
                        <a:srgbClr val="0070C0"/>
                      </a:solidFill>
                      <a:miter lim="800000"/>
                      <a:headEnd/>
                      <a:tailEnd/>
                    </a:ln>
                    <a:effectLst/>
                  </pic:spPr>
                </pic:pic>
              </a:graphicData>
            </a:graphic>
          </wp:inline>
        </w:drawing>
      </w:r>
    </w:p>
    <w:p w:rsidR="00902A18" w:rsidRPr="00B37EF3" w:rsidRDefault="00902A18" w:rsidP="00EF255F">
      <w:pPr>
        <w:spacing w:after="0"/>
        <w:jc w:val="both"/>
        <w:rPr>
          <w:rFonts w:ascii="Arial" w:eastAsia="ArialMT" w:hAnsi="Arial" w:cs="Arial"/>
        </w:rPr>
      </w:pPr>
    </w:p>
    <w:p w:rsidR="00996633" w:rsidRPr="00B37EF3" w:rsidRDefault="00996633" w:rsidP="00EF255F">
      <w:pPr>
        <w:spacing w:after="0"/>
        <w:rPr>
          <w:rFonts w:ascii="Arial" w:hAnsi="Arial" w:cs="Arial"/>
        </w:rPr>
      </w:pPr>
      <w:r w:rsidRPr="00B37EF3">
        <w:rPr>
          <w:rFonts w:ascii="Arial" w:eastAsia="ArialMT" w:hAnsi="Arial" w:cs="Arial"/>
        </w:rPr>
        <w:t>One of t</w:t>
      </w:r>
      <w:r w:rsidRPr="00B37EF3">
        <w:rPr>
          <w:rFonts w:ascii="Arial" w:hAnsi="Arial" w:cs="Arial"/>
        </w:rPr>
        <w:t>he largest PM</w:t>
      </w:r>
      <w:r w:rsidRPr="00B37EF3">
        <w:rPr>
          <w:rFonts w:ascii="Arial" w:hAnsi="Arial" w:cs="Arial"/>
          <w:vertAlign w:val="subscript"/>
        </w:rPr>
        <w:t>2.5</w:t>
      </w:r>
      <w:r w:rsidRPr="00B37EF3">
        <w:rPr>
          <w:rFonts w:ascii="Arial" w:hAnsi="Arial" w:cs="Arial"/>
        </w:rPr>
        <w:t xml:space="preserve"> components is ammonium sulfate. Between 1998 and 2008 the average ammonium sulfate concentration at 10 sites was 25% (range 18</w:t>
      </w:r>
      <w:r w:rsidR="00E724B2" w:rsidRPr="00B37EF3">
        <w:rPr>
          <w:rFonts w:ascii="Arial" w:hAnsi="Arial" w:cs="Arial"/>
        </w:rPr>
        <w:t>–</w:t>
      </w:r>
      <w:r w:rsidRPr="00B37EF3">
        <w:rPr>
          <w:rFonts w:ascii="Arial" w:hAnsi="Arial" w:cs="Arial"/>
        </w:rPr>
        <w:t xml:space="preserve">31%) </w:t>
      </w:r>
      <w:r w:rsidRPr="00B37EF3">
        <w:rPr>
          <w:rFonts w:ascii="Arial" w:hAnsi="Arial" w:cs="Arial"/>
          <w:b/>
        </w:rPr>
        <w:t>(ANSTO 2008)</w:t>
      </w:r>
      <w:r w:rsidRPr="00B37EF3">
        <w:rPr>
          <w:rFonts w:ascii="Arial" w:hAnsi="Arial" w:cs="Arial"/>
        </w:rPr>
        <w:t xml:space="preserve">. </w:t>
      </w:r>
      <w:r w:rsidRPr="00B37EF3">
        <w:rPr>
          <w:rFonts w:ascii="Arial" w:hAnsi="Arial" w:cs="Arial"/>
          <w:b/>
        </w:rPr>
        <w:t xml:space="preserve">Cohen </w:t>
      </w:r>
      <w:r w:rsidR="009334F4" w:rsidRPr="00B37EF3">
        <w:rPr>
          <w:rFonts w:ascii="Arial" w:hAnsi="Arial" w:cs="Arial"/>
          <w:b/>
        </w:rPr>
        <w:t>et al.</w:t>
      </w:r>
      <w:r w:rsidRPr="00B37EF3">
        <w:rPr>
          <w:rFonts w:ascii="Arial" w:hAnsi="Arial" w:cs="Arial"/>
          <w:b/>
        </w:rPr>
        <w:t xml:space="preserve"> (2012)</w:t>
      </w:r>
      <w:r w:rsidRPr="00B37EF3">
        <w:rPr>
          <w:rFonts w:ascii="Arial" w:hAnsi="Arial" w:cs="Arial"/>
        </w:rPr>
        <w:t xml:space="preserve"> also note that secondary sulfate and aged industrial sulfate were the highest percentage contributors to PM in Sydney. </w:t>
      </w:r>
      <w:fldSimple w:instr=" REF _Ref367274067 \h  \* MERGEFORMAT ">
        <w:r w:rsidR="0085182E" w:rsidRPr="0085182E">
          <w:rPr>
            <w:rFonts w:ascii="Arial" w:hAnsi="Arial" w:cs="Arial"/>
            <w:b/>
          </w:rPr>
          <w:t>Figure</w:t>
        </w:r>
        <w:r w:rsidR="0085182E" w:rsidRPr="00B37EF3">
          <w:rPr>
            <w:rFonts w:ascii="Arial" w:hAnsi="Arial" w:cs="Arial"/>
          </w:rPr>
          <w:t xml:space="preserve"> </w:t>
        </w:r>
        <w:r w:rsidR="0085182E">
          <w:rPr>
            <w:rFonts w:ascii="Arial" w:hAnsi="Arial" w:cs="Arial"/>
            <w:noProof/>
          </w:rPr>
          <w:t>5</w:t>
        </w:r>
        <w:r w:rsidR="0085182E" w:rsidRPr="00B37EF3">
          <w:rPr>
            <w:rFonts w:ascii="Arial" w:hAnsi="Arial" w:cs="Arial"/>
            <w:noProof/>
          </w:rPr>
          <w:t>.</w:t>
        </w:r>
        <w:r w:rsidR="0085182E">
          <w:rPr>
            <w:rFonts w:ascii="Arial" w:hAnsi="Arial" w:cs="Arial"/>
            <w:noProof/>
          </w:rPr>
          <w:t>13</w:t>
        </w:r>
      </w:fldSimple>
      <w:r w:rsidRPr="00B37EF3">
        <w:rPr>
          <w:rFonts w:ascii="Arial" w:hAnsi="Arial" w:cs="Arial"/>
        </w:rPr>
        <w:t xml:space="preserve"> shows that </w:t>
      </w:r>
      <w:r w:rsidRPr="00B37EF3">
        <w:rPr>
          <w:rFonts w:ascii="Arial" w:eastAsia="ArialMT" w:hAnsi="Arial" w:cs="Arial"/>
        </w:rPr>
        <w:t xml:space="preserve">the sulfate component is very consistent across the ANSTO monitoring sites, indicating an even geographical distribution. However, there is a strong seasonal effect. Sulfate concentrations are more than twice as high in the summer months than in the winter months, probably as a consequence of increased photochemical activity and higher energy demand </w:t>
      </w:r>
      <w:r w:rsidRPr="00B37EF3">
        <w:rPr>
          <w:rFonts w:ascii="Arial" w:eastAsia="ArialMT" w:hAnsi="Arial" w:cs="Arial"/>
          <w:b/>
        </w:rPr>
        <w:t xml:space="preserve">(Chan </w:t>
      </w:r>
      <w:r w:rsidR="009334F4" w:rsidRPr="00B37EF3">
        <w:rPr>
          <w:rFonts w:ascii="Arial" w:eastAsia="ArialMT" w:hAnsi="Arial" w:cs="Arial"/>
          <w:b/>
        </w:rPr>
        <w:t>et al.</w:t>
      </w:r>
      <w:r w:rsidRPr="00B37EF3">
        <w:rPr>
          <w:rFonts w:ascii="Arial" w:eastAsia="ArialMT" w:hAnsi="Arial" w:cs="Arial"/>
          <w:b/>
        </w:rPr>
        <w:t xml:space="preserve"> 2008)</w:t>
      </w:r>
      <w:r w:rsidRPr="00B37EF3">
        <w:rPr>
          <w:rFonts w:ascii="Arial" w:eastAsia="ArialMT" w:hAnsi="Arial" w:cs="Arial"/>
        </w:rPr>
        <w:t>.</w:t>
      </w:r>
      <w:r w:rsidR="004B4989" w:rsidRPr="00B37EF3">
        <w:rPr>
          <w:rFonts w:ascii="Arial" w:eastAsia="ArialMT" w:hAnsi="Arial" w:cs="Arial"/>
        </w:rPr>
        <w:t xml:space="preserve"> </w:t>
      </w:r>
      <w:r w:rsidRPr="00B37EF3">
        <w:rPr>
          <w:rFonts w:ascii="Arial" w:hAnsi="Arial" w:cs="Arial"/>
        </w:rPr>
        <w:t>The relatively slow formation of SIA (hours to days) means that concentrations tend to be smoothly distributed over large areas. Reductions in emissions of SO</w:t>
      </w:r>
      <w:r w:rsidRPr="00B37EF3">
        <w:rPr>
          <w:rFonts w:ascii="Arial" w:hAnsi="Arial" w:cs="Arial"/>
          <w:vertAlign w:val="subscript"/>
        </w:rPr>
        <w:t>2</w:t>
      </w:r>
      <w:r w:rsidRPr="00B37EF3">
        <w:rPr>
          <w:rFonts w:ascii="Arial" w:hAnsi="Arial" w:cs="Arial"/>
        </w:rPr>
        <w:t xml:space="preserve"> should lead to a reduction in secondary sulfate. </w:t>
      </w:r>
      <w:r w:rsidRPr="00B37EF3">
        <w:rPr>
          <w:rFonts w:ascii="Arial" w:hAnsi="Arial" w:cs="Arial"/>
          <w:b/>
        </w:rPr>
        <w:t>AQEG (2012)</w:t>
      </w:r>
      <w:r w:rsidRPr="00B37EF3">
        <w:rPr>
          <w:rFonts w:ascii="Arial" w:hAnsi="Arial" w:cs="Arial"/>
        </w:rPr>
        <w:t xml:space="preserve"> note that in the UK the nitrate component of SIA is now larger than that of sulfate owing to major reductions in sulfur dioxide emissions in the UK and elsewhere in Europe in recent decades.</w:t>
      </w:r>
    </w:p>
    <w:p w:rsidR="002D146E" w:rsidRPr="00B37EF3" w:rsidRDefault="006D7F17" w:rsidP="00AC1290">
      <w:pPr>
        <w:spacing w:after="120" w:line="240" w:lineRule="auto"/>
        <w:jc w:val="center"/>
        <w:rPr>
          <w:rFonts w:ascii="Arial" w:eastAsia="ArialMT" w:hAnsi="Arial" w:cs="Arial"/>
        </w:rPr>
      </w:pPr>
      <w:r w:rsidRPr="00B37EF3">
        <w:rPr>
          <w:rFonts w:ascii="Arial" w:hAnsi="Arial" w:cs="Arial"/>
          <w:noProof/>
        </w:rPr>
        <w:lastRenderedPageBreak/>
        <w:drawing>
          <wp:inline distT="0" distB="0" distL="0" distR="0">
            <wp:extent cx="5581650" cy="7466330"/>
            <wp:effectExtent l="19050" t="19050" r="19050" b="2032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0" t="507" r="787" b="810"/>
                    <a:stretch>
                      <a:fillRect/>
                    </a:stretch>
                  </pic:blipFill>
                  <pic:spPr bwMode="auto">
                    <a:xfrm>
                      <a:off x="0" y="0"/>
                      <a:ext cx="5581650" cy="7466330"/>
                    </a:xfrm>
                    <a:prstGeom prst="rect">
                      <a:avLst/>
                    </a:prstGeom>
                    <a:noFill/>
                    <a:ln w="6350" cmpd="sng">
                      <a:solidFill>
                        <a:srgbClr val="0070C0"/>
                      </a:solidFill>
                      <a:miter lim="800000"/>
                      <a:headEnd/>
                      <a:tailEnd/>
                    </a:ln>
                    <a:effectLst/>
                  </pic:spPr>
                </pic:pic>
              </a:graphicData>
            </a:graphic>
          </wp:inline>
        </w:drawing>
      </w:r>
    </w:p>
    <w:p w:rsidR="00AC1290" w:rsidRPr="00B37EF3" w:rsidRDefault="00AC1290" w:rsidP="00AC1290">
      <w:pPr>
        <w:pStyle w:val="Caption"/>
        <w:ind w:left="709" w:right="662"/>
        <w:rPr>
          <w:rFonts w:ascii="Arial" w:hAnsi="Arial" w:cs="Arial"/>
        </w:rPr>
      </w:pPr>
      <w:bookmarkStart w:id="95" w:name="_Ref367274067"/>
      <w:bookmarkStart w:id="96" w:name="_Ref367274063"/>
      <w:r w:rsidRPr="00B37EF3">
        <w:rPr>
          <w:rFonts w:ascii="Arial" w:hAnsi="Arial" w:cs="Arial"/>
        </w:rPr>
        <w:t xml:space="preserve">Figure </w:t>
      </w:r>
      <w:r w:rsidR="00BF6019" w:rsidRPr="00B37EF3">
        <w:rPr>
          <w:rFonts w:ascii="Arial" w:hAnsi="Arial" w:cs="Arial"/>
        </w:rPr>
        <w:fldChar w:fldCharType="begin"/>
      </w:r>
      <w:r w:rsidRPr="00B37EF3">
        <w:rPr>
          <w:rFonts w:ascii="Arial" w:hAnsi="Arial" w:cs="Arial"/>
        </w:rPr>
        <w:instrText xml:space="preserve"> STYLEREF 1 \s </w:instrText>
      </w:r>
      <w:r w:rsidR="00BF6019" w:rsidRPr="00B37EF3">
        <w:rPr>
          <w:rFonts w:ascii="Arial" w:hAnsi="Arial" w:cs="Arial"/>
        </w:rPr>
        <w:fldChar w:fldCharType="separate"/>
      </w:r>
      <w:r w:rsidR="0085182E">
        <w:rPr>
          <w:rFonts w:ascii="Arial" w:hAnsi="Arial" w:cs="Arial"/>
          <w:noProof/>
        </w:rPr>
        <w:t>5</w:t>
      </w:r>
      <w:r w:rsidR="00BF6019" w:rsidRPr="00B37EF3">
        <w:rPr>
          <w:rFonts w:ascii="Arial" w:hAnsi="Arial" w:cs="Arial"/>
        </w:rPr>
        <w:fldChar w:fldCharType="end"/>
      </w:r>
      <w:r w:rsidRPr="00B37EF3">
        <w:rPr>
          <w:rFonts w:ascii="Arial" w:hAnsi="Arial" w:cs="Arial"/>
        </w:rPr>
        <w:t>.</w:t>
      </w:r>
      <w:r w:rsidR="00BF6019" w:rsidRPr="00B37EF3">
        <w:rPr>
          <w:rFonts w:ascii="Arial" w:hAnsi="Arial" w:cs="Arial"/>
        </w:rPr>
        <w:fldChar w:fldCharType="begin"/>
      </w:r>
      <w:r w:rsidRPr="00B37EF3">
        <w:rPr>
          <w:rFonts w:ascii="Arial" w:hAnsi="Arial" w:cs="Arial"/>
        </w:rPr>
        <w:instrText xml:space="preserve"> SEQ Figure \* ARABIC \s 1 </w:instrText>
      </w:r>
      <w:r w:rsidR="00BF6019" w:rsidRPr="00B37EF3">
        <w:rPr>
          <w:rFonts w:ascii="Arial" w:hAnsi="Arial" w:cs="Arial"/>
        </w:rPr>
        <w:fldChar w:fldCharType="separate"/>
      </w:r>
      <w:r w:rsidR="0085182E">
        <w:rPr>
          <w:rFonts w:ascii="Arial" w:hAnsi="Arial" w:cs="Arial"/>
          <w:noProof/>
        </w:rPr>
        <w:t>13</w:t>
      </w:r>
      <w:r w:rsidR="00BF6019" w:rsidRPr="00B37EF3">
        <w:rPr>
          <w:rFonts w:ascii="Arial" w:hAnsi="Arial" w:cs="Arial"/>
        </w:rPr>
        <w:fldChar w:fldCharType="end"/>
      </w:r>
      <w:bookmarkEnd w:id="95"/>
      <w:r w:rsidRPr="00B37EF3">
        <w:rPr>
          <w:rFonts w:ascii="Arial" w:hAnsi="Arial" w:cs="Arial"/>
        </w:rPr>
        <w:t>: Contribution of each component to PM</w:t>
      </w:r>
      <w:r w:rsidRPr="00B37EF3">
        <w:rPr>
          <w:rFonts w:ascii="Arial" w:hAnsi="Arial" w:cs="Arial"/>
          <w:vertAlign w:val="subscript"/>
        </w:rPr>
        <w:t>2.5</w:t>
      </w:r>
      <w:r w:rsidRPr="00B37EF3">
        <w:rPr>
          <w:rFonts w:ascii="Arial" w:hAnsi="Arial" w:cs="Arial"/>
        </w:rPr>
        <w:t xml:space="preserve"> by month (average 2005</w:t>
      </w:r>
      <w:r w:rsidR="00E724B2" w:rsidRPr="00B37EF3">
        <w:rPr>
          <w:rFonts w:ascii="Arial" w:hAnsi="Arial" w:cs="Arial"/>
        </w:rPr>
        <w:t>–</w:t>
      </w:r>
      <w:r w:rsidRPr="00B37EF3">
        <w:rPr>
          <w:rFonts w:ascii="Arial" w:hAnsi="Arial" w:cs="Arial"/>
        </w:rPr>
        <w:t>2011) for ANSTO sites (‘other’ = residual mass)</w:t>
      </w:r>
      <w:bookmarkEnd w:id="96"/>
    </w:p>
    <w:p w:rsidR="00AC1290" w:rsidRPr="00B37EF3" w:rsidRDefault="00AC1290" w:rsidP="00E724B2">
      <w:pPr>
        <w:spacing w:after="0" w:line="240" w:lineRule="auto"/>
        <w:rPr>
          <w:rFonts w:ascii="Arial" w:eastAsia="ArialMT" w:hAnsi="Arial" w:cs="Arial"/>
        </w:rPr>
      </w:pPr>
    </w:p>
    <w:p w:rsidR="00E2389B" w:rsidRPr="00B37EF3" w:rsidRDefault="00295369" w:rsidP="00E724B2">
      <w:pPr>
        <w:rPr>
          <w:rFonts w:ascii="Arial" w:eastAsia="ArialMT" w:hAnsi="Arial" w:cs="Arial"/>
        </w:rPr>
      </w:pPr>
      <w:r w:rsidRPr="00B37EF3">
        <w:rPr>
          <w:rFonts w:ascii="Arial" w:eastAsia="ArialMT" w:hAnsi="Arial" w:cs="Arial"/>
        </w:rPr>
        <w:t xml:space="preserve">The ‘soil’ component varies considerably from site to site. There is a peak contribution in late spring, </w:t>
      </w:r>
      <w:r w:rsidR="001217FB" w:rsidRPr="00B37EF3">
        <w:rPr>
          <w:rFonts w:ascii="Arial" w:eastAsia="ArialMT" w:hAnsi="Arial" w:cs="Arial"/>
        </w:rPr>
        <w:t xml:space="preserve">which is probably related to increased wind erosion </w:t>
      </w:r>
      <w:r w:rsidR="00E83318" w:rsidRPr="00B37EF3">
        <w:rPr>
          <w:rFonts w:ascii="Arial" w:eastAsia="ArialMT" w:hAnsi="Arial" w:cs="Arial"/>
        </w:rPr>
        <w:t xml:space="preserve">and prevailing westerly winds </w:t>
      </w:r>
      <w:r w:rsidR="001217FB" w:rsidRPr="00B37EF3">
        <w:rPr>
          <w:rFonts w:ascii="Arial" w:eastAsia="ArialMT" w:hAnsi="Arial" w:cs="Arial"/>
        </w:rPr>
        <w:t xml:space="preserve">during this period </w:t>
      </w:r>
      <w:r w:rsidR="001217FB" w:rsidRPr="00B37EF3">
        <w:rPr>
          <w:rFonts w:ascii="Arial" w:eastAsia="ArialMT" w:hAnsi="Arial" w:cs="Arial"/>
          <w:b/>
        </w:rPr>
        <w:t xml:space="preserve">(Chan </w:t>
      </w:r>
      <w:r w:rsidR="009334F4" w:rsidRPr="00B37EF3">
        <w:rPr>
          <w:rFonts w:ascii="Arial" w:eastAsia="ArialMT" w:hAnsi="Arial" w:cs="Arial"/>
          <w:b/>
        </w:rPr>
        <w:t>et al</w:t>
      </w:r>
      <w:r w:rsidR="001217FB" w:rsidRPr="00B37EF3">
        <w:rPr>
          <w:rFonts w:ascii="Arial" w:eastAsia="ArialMT" w:hAnsi="Arial" w:cs="Arial"/>
          <w:b/>
        </w:rPr>
        <w:t>. 2008)</w:t>
      </w:r>
      <w:r w:rsidR="001217FB" w:rsidRPr="00B37EF3">
        <w:rPr>
          <w:rFonts w:ascii="Arial" w:eastAsia="ArialMT" w:hAnsi="Arial" w:cs="Arial"/>
        </w:rPr>
        <w:t xml:space="preserve">, </w:t>
      </w:r>
      <w:r w:rsidRPr="00B37EF3">
        <w:rPr>
          <w:rFonts w:ascii="Arial" w:eastAsia="ArialMT" w:hAnsi="Arial" w:cs="Arial"/>
        </w:rPr>
        <w:t>but overall the contribution is relatively steady during the year when averaged over all sites.</w:t>
      </w:r>
      <w:r w:rsidR="00DC7EA9" w:rsidRPr="00B37EF3">
        <w:rPr>
          <w:rFonts w:ascii="Arial" w:eastAsia="ArialMT" w:hAnsi="Arial" w:cs="Arial"/>
        </w:rPr>
        <w:t xml:space="preserve"> It is likely that this source would have a more substantial contribution to the coarse fraction. </w:t>
      </w:r>
    </w:p>
    <w:p w:rsidR="00E2389B" w:rsidRPr="00B37EF3" w:rsidRDefault="00E2389B" w:rsidP="00915100">
      <w:pPr>
        <w:spacing w:after="200"/>
        <w:rPr>
          <w:rFonts w:ascii="Arial" w:eastAsia="Century Gothic" w:hAnsi="Arial" w:cs="Arial"/>
        </w:rPr>
      </w:pPr>
      <w:r w:rsidRPr="00B37EF3">
        <w:rPr>
          <w:rFonts w:ascii="Arial" w:eastAsia="Century Gothic" w:hAnsi="Arial" w:cs="Arial"/>
        </w:rPr>
        <w:lastRenderedPageBreak/>
        <w:t>The ‘salt’ component is very similar to the sulfate component, with a summer maximum and a winter minimum. This pattern for sea salt has also been observed</w:t>
      </w:r>
      <w:r w:rsidR="00B051BB" w:rsidRPr="00B37EF3">
        <w:rPr>
          <w:rFonts w:ascii="Arial" w:eastAsia="Century Gothic" w:hAnsi="Arial" w:cs="Arial"/>
        </w:rPr>
        <w:t xml:space="preserve"> in other </w:t>
      </w:r>
      <w:r w:rsidRPr="00B37EF3">
        <w:rPr>
          <w:rFonts w:ascii="Arial" w:eastAsia="Century Gothic" w:hAnsi="Arial" w:cs="Arial"/>
        </w:rPr>
        <w:t xml:space="preserve">studies </w:t>
      </w:r>
      <w:r w:rsidRPr="00B37EF3">
        <w:rPr>
          <w:rFonts w:ascii="Arial" w:eastAsia="Century Gothic" w:hAnsi="Arial" w:cs="Arial"/>
          <w:b/>
        </w:rPr>
        <w:t>(</w:t>
      </w:r>
      <w:r w:rsidRPr="00B37EF3">
        <w:rPr>
          <w:rFonts w:ascii="Arial" w:eastAsia="Century Gothic" w:hAnsi="Arial" w:cs="Arial"/>
        </w:rPr>
        <w:t>e.g.</w:t>
      </w:r>
      <w:r w:rsidRPr="00B37EF3">
        <w:rPr>
          <w:rFonts w:ascii="Arial" w:eastAsia="Century Gothic" w:hAnsi="Arial" w:cs="Arial"/>
          <w:b/>
        </w:rPr>
        <w:t xml:space="preserve"> Wilton et al. 2009)</w:t>
      </w:r>
      <w:r w:rsidRPr="00B37EF3">
        <w:rPr>
          <w:rFonts w:ascii="Arial" w:eastAsia="Century Gothic" w:hAnsi="Arial" w:cs="Arial"/>
        </w:rPr>
        <w:t xml:space="preserve">, and is commonly attributed to the higher wind speed </w:t>
      </w:r>
      <w:r w:rsidR="001217FB" w:rsidRPr="00B37EF3">
        <w:rPr>
          <w:rFonts w:ascii="Arial" w:eastAsia="Century Gothic" w:hAnsi="Arial" w:cs="Arial"/>
        </w:rPr>
        <w:t xml:space="preserve">(stronger sea breezes) </w:t>
      </w:r>
      <w:r w:rsidRPr="00B37EF3">
        <w:rPr>
          <w:rFonts w:ascii="Arial" w:eastAsia="Century Gothic" w:hAnsi="Arial" w:cs="Arial"/>
        </w:rPr>
        <w:t xml:space="preserve">during the summer season </w:t>
      </w:r>
      <w:r w:rsidRPr="00B37EF3">
        <w:rPr>
          <w:rFonts w:ascii="Arial" w:eastAsia="Century Gothic" w:hAnsi="Arial" w:cs="Arial"/>
          <w:b/>
        </w:rPr>
        <w:t xml:space="preserve">(Friend </w:t>
      </w:r>
      <w:r w:rsidR="009334F4" w:rsidRPr="00B37EF3">
        <w:rPr>
          <w:rFonts w:ascii="Arial" w:eastAsia="Century Gothic" w:hAnsi="Arial" w:cs="Arial"/>
          <w:b/>
        </w:rPr>
        <w:t>et al.</w:t>
      </w:r>
      <w:r w:rsidRPr="00B37EF3">
        <w:rPr>
          <w:rFonts w:ascii="Arial" w:eastAsia="Century Gothic" w:hAnsi="Arial" w:cs="Arial"/>
          <w:b/>
        </w:rPr>
        <w:t xml:space="preserve"> 2011</w:t>
      </w:r>
      <w:r w:rsidR="00E81231" w:rsidRPr="00B37EF3">
        <w:rPr>
          <w:rFonts w:ascii="Arial" w:eastAsia="Century Gothic" w:hAnsi="Arial" w:cs="Arial"/>
          <w:b/>
        </w:rPr>
        <w:t>a</w:t>
      </w:r>
      <w:r w:rsidRPr="00B37EF3">
        <w:rPr>
          <w:rFonts w:ascii="Arial" w:eastAsia="Century Gothic" w:hAnsi="Arial" w:cs="Arial"/>
          <w:b/>
        </w:rPr>
        <w:t>)</w:t>
      </w:r>
      <w:r w:rsidRPr="00B37EF3">
        <w:rPr>
          <w:rFonts w:ascii="Arial" w:eastAsia="Century Gothic" w:hAnsi="Arial" w:cs="Arial"/>
        </w:rPr>
        <w:t>.</w:t>
      </w:r>
    </w:p>
    <w:p w:rsidR="00AC1290" w:rsidRPr="00B37EF3" w:rsidRDefault="00295369" w:rsidP="00E724B2">
      <w:pPr>
        <w:rPr>
          <w:rFonts w:ascii="Arial" w:eastAsia="ArialMT" w:hAnsi="Arial" w:cs="Arial"/>
        </w:rPr>
      </w:pPr>
      <w:r w:rsidRPr="00B37EF3">
        <w:rPr>
          <w:rFonts w:ascii="Arial" w:eastAsia="Century Gothic" w:hAnsi="Arial" w:cs="Arial"/>
        </w:rPr>
        <w:t xml:space="preserve">The profiles for elemental carbon, organic carbon and ‘other’ components </w:t>
      </w:r>
      <w:r w:rsidRPr="00B37EF3">
        <w:rPr>
          <w:rFonts w:ascii="Arial" w:eastAsia="ArialMT" w:hAnsi="Arial" w:cs="Arial"/>
        </w:rPr>
        <w:t>(assumed here to be water and nitrates)</w:t>
      </w:r>
      <w:r w:rsidRPr="00B37EF3">
        <w:rPr>
          <w:rFonts w:ascii="Arial" w:eastAsia="Century Gothic" w:hAnsi="Arial" w:cs="Arial"/>
        </w:rPr>
        <w:t xml:space="preserve"> are rather similar in shape. The contribution peaks in winter, and the site-to-site variation during the winter months is much more pronounced than during the summer months. </w:t>
      </w:r>
      <w:r w:rsidRPr="00B37EF3">
        <w:rPr>
          <w:rFonts w:ascii="Arial" w:eastAsia="ArialMT" w:hAnsi="Arial" w:cs="Arial"/>
        </w:rPr>
        <w:t>The contributions of these components</w:t>
      </w:r>
      <w:r w:rsidR="00AC1290" w:rsidRPr="00B37EF3">
        <w:rPr>
          <w:rFonts w:ascii="Arial" w:eastAsia="ArialMT" w:hAnsi="Arial" w:cs="Arial"/>
        </w:rPr>
        <w:t xml:space="preserve"> at Liverpool and Richmond </w:t>
      </w:r>
      <w:r w:rsidRPr="00B37EF3">
        <w:rPr>
          <w:rFonts w:ascii="Arial" w:eastAsia="ArialMT" w:hAnsi="Arial" w:cs="Arial"/>
        </w:rPr>
        <w:t>(and Mascot in the case of organic carbon) are</w:t>
      </w:r>
      <w:r w:rsidR="00AC1290" w:rsidRPr="00B37EF3">
        <w:rPr>
          <w:rFonts w:ascii="Arial" w:eastAsia="ArialMT" w:hAnsi="Arial" w:cs="Arial"/>
        </w:rPr>
        <w:t xml:space="preserve"> much higher in winter than at </w:t>
      </w:r>
      <w:r w:rsidR="00DC7EA9" w:rsidRPr="00B37EF3">
        <w:rPr>
          <w:rFonts w:ascii="Arial" w:eastAsia="ArialMT" w:hAnsi="Arial" w:cs="Arial"/>
        </w:rPr>
        <w:t>Lucas Heights and Warrawong</w:t>
      </w:r>
      <w:r w:rsidR="00AC1290" w:rsidRPr="00B37EF3">
        <w:rPr>
          <w:rFonts w:ascii="Arial" w:eastAsia="ArialMT" w:hAnsi="Arial" w:cs="Arial"/>
        </w:rPr>
        <w:t>.</w:t>
      </w:r>
      <w:r w:rsidR="00DC7EA9" w:rsidRPr="00B37EF3">
        <w:rPr>
          <w:rFonts w:ascii="Arial" w:eastAsia="ArialMT" w:hAnsi="Arial" w:cs="Arial"/>
        </w:rPr>
        <w:t xml:space="preserve"> The winter peak may be related to combustion, and in particular to domestic wood burning.</w:t>
      </w:r>
    </w:p>
    <w:p w:rsidR="00295369" w:rsidRPr="00B37EF3" w:rsidRDefault="00295369" w:rsidP="00915100">
      <w:pPr>
        <w:spacing w:after="300"/>
        <w:jc w:val="both"/>
        <w:rPr>
          <w:rFonts w:ascii="Arial" w:eastAsia="Century Gothic" w:hAnsi="Arial" w:cs="Arial"/>
        </w:rPr>
      </w:pPr>
      <w:r w:rsidRPr="00B37EF3">
        <w:rPr>
          <w:rFonts w:ascii="Arial" w:eastAsia="ArialMT" w:hAnsi="Arial" w:cs="Arial"/>
        </w:rPr>
        <w:t xml:space="preserve">The contribution of </w:t>
      </w:r>
      <w:r w:rsidR="00E81231" w:rsidRPr="00B37EF3">
        <w:rPr>
          <w:rFonts w:ascii="Arial" w:eastAsia="ArialMT" w:hAnsi="Arial" w:cs="Arial"/>
        </w:rPr>
        <w:t>metals is relatively small</w:t>
      </w:r>
      <w:r w:rsidRPr="00B37EF3">
        <w:rPr>
          <w:rFonts w:ascii="Arial" w:eastAsia="ArialMT" w:hAnsi="Arial" w:cs="Arial"/>
        </w:rPr>
        <w:t xml:space="preserve"> and rather variable from site to site.</w:t>
      </w:r>
    </w:p>
    <w:p w:rsidR="005B3EF7" w:rsidRPr="00B37EF3" w:rsidRDefault="00E81231" w:rsidP="005B3EF7">
      <w:pPr>
        <w:pStyle w:val="Heading2"/>
        <w:rPr>
          <w:rFonts w:ascii="Arial" w:hAnsi="Arial"/>
        </w:rPr>
      </w:pPr>
      <w:bookmarkStart w:id="97" w:name="_Toc394011113"/>
      <w:r w:rsidRPr="00B37EF3">
        <w:rPr>
          <w:rFonts w:ascii="Arial" w:hAnsi="Arial"/>
        </w:rPr>
        <w:t>Other s</w:t>
      </w:r>
      <w:r w:rsidR="005B3EF7" w:rsidRPr="00B37EF3">
        <w:rPr>
          <w:rFonts w:ascii="Arial" w:hAnsi="Arial"/>
        </w:rPr>
        <w:t>tudies</w:t>
      </w:r>
      <w:bookmarkEnd w:id="97"/>
    </w:p>
    <w:p w:rsidR="00DF47B2" w:rsidRPr="00B37EF3" w:rsidRDefault="002D146E" w:rsidP="00E81231">
      <w:pPr>
        <w:spacing w:after="360"/>
        <w:rPr>
          <w:rFonts w:ascii="Arial" w:hAnsi="Arial" w:cs="Arial"/>
        </w:rPr>
      </w:pPr>
      <w:r w:rsidRPr="00B37EF3">
        <w:rPr>
          <w:rFonts w:ascii="Arial" w:hAnsi="Arial" w:cs="Arial"/>
        </w:rPr>
        <w:t>The Commonwealth Scientific and Industrial Research Organisation (CSIRO) has investigated the ‘natural’</w:t>
      </w:r>
      <w:r w:rsidRPr="00B37EF3">
        <w:rPr>
          <w:rStyle w:val="FootnoteReference"/>
          <w:rFonts w:ascii="Arial" w:hAnsi="Arial" w:cs="Arial"/>
        </w:rPr>
        <w:footnoteReference w:id="25"/>
      </w:r>
      <w:r w:rsidRPr="00B37EF3">
        <w:rPr>
          <w:rFonts w:ascii="Arial" w:hAnsi="Arial" w:cs="Arial"/>
        </w:rPr>
        <w:t>, ‘primary’ and ‘secondary’ contributions to PM</w:t>
      </w:r>
      <w:r w:rsidRPr="00B37EF3">
        <w:rPr>
          <w:rFonts w:ascii="Arial" w:hAnsi="Arial" w:cs="Arial"/>
          <w:vertAlign w:val="subscript"/>
        </w:rPr>
        <w:t>2.5</w:t>
      </w:r>
      <w:r w:rsidR="00477716" w:rsidRPr="00B37EF3">
        <w:rPr>
          <w:rFonts w:ascii="Arial" w:hAnsi="Arial" w:cs="Arial"/>
        </w:rPr>
        <w:t xml:space="preserve"> at Westmead, NSW</w:t>
      </w:r>
      <w:r w:rsidRPr="00B37EF3">
        <w:rPr>
          <w:rFonts w:ascii="Arial" w:hAnsi="Arial" w:cs="Arial"/>
        </w:rPr>
        <w:t xml:space="preserve">, and how they vary seasonally </w:t>
      </w:r>
      <w:r w:rsidRPr="00B37EF3">
        <w:rPr>
          <w:rFonts w:ascii="Arial" w:hAnsi="Arial" w:cs="Arial"/>
          <w:b/>
        </w:rPr>
        <w:t>(Cope 2012)</w:t>
      </w:r>
      <w:r w:rsidRPr="00B37EF3">
        <w:rPr>
          <w:rFonts w:ascii="Arial" w:hAnsi="Arial" w:cs="Arial"/>
        </w:rPr>
        <w:t xml:space="preserve">. Some results from this work are shown in </w:t>
      </w:r>
      <w:fldSimple w:instr=" REF _Ref339439849 \h  \* MERGEFORMAT ">
        <w:r w:rsidR="0085182E" w:rsidRPr="0085182E">
          <w:rPr>
            <w:rFonts w:ascii="Arial" w:hAnsi="Arial" w:cs="Arial"/>
            <w:b/>
          </w:rPr>
          <w:t>Figure 5.14</w:t>
        </w:r>
      </w:fldSimple>
      <w:r w:rsidRPr="00B37EF3">
        <w:rPr>
          <w:rFonts w:ascii="Arial" w:hAnsi="Arial" w:cs="Arial"/>
        </w:rPr>
        <w:t xml:space="preserve">. </w:t>
      </w:r>
    </w:p>
    <w:p w:rsidR="00DF47B2" w:rsidRPr="00B37EF3" w:rsidRDefault="006D7F17" w:rsidP="00DF47B2">
      <w:pPr>
        <w:spacing w:after="0"/>
        <w:jc w:val="center"/>
        <w:rPr>
          <w:rFonts w:ascii="Arial" w:hAnsi="Arial" w:cs="Arial"/>
        </w:rPr>
      </w:pPr>
      <w:r w:rsidRPr="00B37EF3">
        <w:rPr>
          <w:rFonts w:ascii="Arial" w:hAnsi="Arial" w:cs="Arial"/>
          <w:noProof/>
        </w:rPr>
        <w:drawing>
          <wp:inline distT="0" distB="0" distL="0" distR="0">
            <wp:extent cx="4079240" cy="2862580"/>
            <wp:effectExtent l="19050" t="19050" r="16510" b="13970"/>
            <wp:docPr id="21" name="Picture 1" descr="_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Fig 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50" t="6732" r="2846" b="5038"/>
                    <a:stretch>
                      <a:fillRect/>
                    </a:stretch>
                  </pic:blipFill>
                  <pic:spPr bwMode="auto">
                    <a:xfrm>
                      <a:off x="0" y="0"/>
                      <a:ext cx="4079240" cy="2862580"/>
                    </a:xfrm>
                    <a:prstGeom prst="rect">
                      <a:avLst/>
                    </a:prstGeom>
                    <a:noFill/>
                    <a:ln w="9525" cmpd="sng">
                      <a:solidFill>
                        <a:srgbClr val="0070C0"/>
                      </a:solidFill>
                      <a:miter lim="800000"/>
                      <a:headEnd/>
                      <a:tailEnd/>
                    </a:ln>
                    <a:effectLst/>
                  </pic:spPr>
                </pic:pic>
              </a:graphicData>
            </a:graphic>
          </wp:inline>
        </w:drawing>
      </w:r>
    </w:p>
    <w:p w:rsidR="00DF47B2" w:rsidRPr="00B37EF3" w:rsidRDefault="00DF47B2" w:rsidP="00DF47B2">
      <w:pPr>
        <w:pStyle w:val="Caption"/>
        <w:spacing w:before="0" w:after="0"/>
        <w:ind w:left="1701" w:right="1655"/>
        <w:rPr>
          <w:rFonts w:ascii="Arial" w:hAnsi="Arial" w:cs="Arial"/>
        </w:rPr>
      </w:pPr>
      <w:bookmarkStart w:id="98" w:name="_Ref339439849"/>
      <w:bookmarkStart w:id="99" w:name="_Ref339003361"/>
      <w:r w:rsidRPr="00B37EF3">
        <w:rPr>
          <w:rFonts w:ascii="Arial" w:hAnsi="Arial" w:cs="Arial"/>
        </w:rPr>
        <w:t xml:space="preserve">Figure </w:t>
      </w:r>
      <w:r w:rsidR="00BF6019" w:rsidRPr="00B37EF3">
        <w:rPr>
          <w:rFonts w:ascii="Arial" w:hAnsi="Arial" w:cs="Arial"/>
        </w:rPr>
        <w:fldChar w:fldCharType="begin"/>
      </w:r>
      <w:r w:rsidRPr="00B37EF3">
        <w:rPr>
          <w:rFonts w:ascii="Arial" w:hAnsi="Arial" w:cs="Arial"/>
        </w:rPr>
        <w:instrText xml:space="preserve"> STYLEREF 1 \s </w:instrText>
      </w:r>
      <w:r w:rsidR="00BF6019" w:rsidRPr="00B37EF3">
        <w:rPr>
          <w:rFonts w:ascii="Arial" w:hAnsi="Arial" w:cs="Arial"/>
        </w:rPr>
        <w:fldChar w:fldCharType="separate"/>
      </w:r>
      <w:r w:rsidR="0085182E">
        <w:rPr>
          <w:rFonts w:ascii="Arial" w:hAnsi="Arial" w:cs="Arial"/>
          <w:noProof/>
        </w:rPr>
        <w:t>5</w:t>
      </w:r>
      <w:r w:rsidR="00BF6019" w:rsidRPr="00B37EF3">
        <w:rPr>
          <w:rFonts w:ascii="Arial" w:hAnsi="Arial" w:cs="Arial"/>
        </w:rPr>
        <w:fldChar w:fldCharType="end"/>
      </w:r>
      <w:r w:rsidRPr="00B37EF3">
        <w:rPr>
          <w:rFonts w:ascii="Arial" w:hAnsi="Arial" w:cs="Arial"/>
        </w:rPr>
        <w:t>.</w:t>
      </w:r>
      <w:r w:rsidR="00BF6019" w:rsidRPr="00B37EF3">
        <w:rPr>
          <w:rFonts w:ascii="Arial" w:hAnsi="Arial" w:cs="Arial"/>
        </w:rPr>
        <w:fldChar w:fldCharType="begin"/>
      </w:r>
      <w:r w:rsidRPr="00B37EF3">
        <w:rPr>
          <w:rFonts w:ascii="Arial" w:hAnsi="Arial" w:cs="Arial"/>
        </w:rPr>
        <w:instrText xml:space="preserve"> SEQ Figure \* ARABIC \s 1 </w:instrText>
      </w:r>
      <w:r w:rsidR="00BF6019" w:rsidRPr="00B37EF3">
        <w:rPr>
          <w:rFonts w:ascii="Arial" w:hAnsi="Arial" w:cs="Arial"/>
        </w:rPr>
        <w:fldChar w:fldCharType="separate"/>
      </w:r>
      <w:r w:rsidR="0085182E">
        <w:rPr>
          <w:rFonts w:ascii="Arial" w:hAnsi="Arial" w:cs="Arial"/>
          <w:noProof/>
        </w:rPr>
        <w:t>14</w:t>
      </w:r>
      <w:r w:rsidR="00BF6019" w:rsidRPr="00B37EF3">
        <w:rPr>
          <w:rFonts w:ascii="Arial" w:hAnsi="Arial" w:cs="Arial"/>
        </w:rPr>
        <w:fldChar w:fldCharType="end"/>
      </w:r>
      <w:bookmarkEnd w:id="98"/>
      <w:r w:rsidRPr="00B37EF3">
        <w:rPr>
          <w:rFonts w:ascii="Arial" w:hAnsi="Arial" w:cs="Arial"/>
        </w:rPr>
        <w:t xml:space="preserve">: </w:t>
      </w:r>
      <w:bookmarkEnd w:id="99"/>
      <w:r w:rsidRPr="00B37EF3">
        <w:rPr>
          <w:rFonts w:ascii="Arial" w:hAnsi="Arial" w:cs="Arial"/>
        </w:rPr>
        <w:t>Modelled breakdown of PM</w:t>
      </w:r>
      <w:r w:rsidRPr="00B37EF3">
        <w:rPr>
          <w:rFonts w:ascii="Arial" w:hAnsi="Arial" w:cs="Arial"/>
          <w:vertAlign w:val="subscript"/>
        </w:rPr>
        <w:t>2.5</w:t>
      </w:r>
      <w:r w:rsidRPr="00B37EF3">
        <w:rPr>
          <w:rFonts w:ascii="Arial" w:hAnsi="Arial" w:cs="Arial"/>
        </w:rPr>
        <w:t xml:space="preserve"> during summer and winter months at Westmead NSW (adapted fr</w:t>
      </w:r>
      <w:r w:rsidRPr="00B37EF3">
        <w:rPr>
          <w:rFonts w:ascii="Arial" w:hAnsi="Arial" w:cs="Arial"/>
          <w:color w:val="0070C0"/>
        </w:rPr>
        <w:t>om Cope 2012)</w:t>
      </w:r>
    </w:p>
    <w:p w:rsidR="0029321A" w:rsidRPr="00B37EF3" w:rsidRDefault="0029321A" w:rsidP="0029321A">
      <w:pPr>
        <w:spacing w:after="0"/>
        <w:rPr>
          <w:rFonts w:ascii="Arial" w:hAnsi="Arial" w:cs="Arial"/>
          <w:sz w:val="28"/>
          <w:szCs w:val="28"/>
        </w:rPr>
      </w:pPr>
    </w:p>
    <w:p w:rsidR="002D146E" w:rsidRPr="00B37EF3" w:rsidRDefault="002D146E" w:rsidP="00E93101">
      <w:pPr>
        <w:spacing w:after="200"/>
        <w:rPr>
          <w:rFonts w:ascii="Arial" w:hAnsi="Arial" w:cs="Arial"/>
        </w:rPr>
      </w:pPr>
      <w:r w:rsidRPr="00B37EF3">
        <w:rPr>
          <w:rFonts w:ascii="Arial" w:hAnsi="Arial" w:cs="Arial"/>
        </w:rPr>
        <w:t xml:space="preserve">The component labelled ‘Other (mass balance)’ in the </w:t>
      </w:r>
      <w:r w:rsidR="00E724B2" w:rsidRPr="00B37EF3">
        <w:rPr>
          <w:rFonts w:ascii="Arial" w:hAnsi="Arial" w:cs="Arial"/>
        </w:rPr>
        <w:t>f</w:t>
      </w:r>
      <w:r w:rsidRPr="00B37EF3">
        <w:rPr>
          <w:rFonts w:ascii="Arial" w:hAnsi="Arial" w:cs="Arial"/>
        </w:rPr>
        <w:t>igure is used to conserve mass between the estimates of PM</w:t>
      </w:r>
      <w:r w:rsidRPr="00B37EF3">
        <w:rPr>
          <w:rFonts w:ascii="Arial" w:hAnsi="Arial" w:cs="Arial"/>
          <w:vertAlign w:val="subscript"/>
        </w:rPr>
        <w:t>2.5</w:t>
      </w:r>
      <w:r w:rsidRPr="00B37EF3">
        <w:rPr>
          <w:rFonts w:ascii="Arial" w:hAnsi="Arial" w:cs="Arial"/>
        </w:rPr>
        <w:t xml:space="preserve"> in the NSW GMR emissions inventory and the estimated breakdown of PM</w:t>
      </w:r>
      <w:r w:rsidRPr="00B37EF3">
        <w:rPr>
          <w:rFonts w:ascii="Arial" w:hAnsi="Arial" w:cs="Arial"/>
          <w:vertAlign w:val="subscript"/>
        </w:rPr>
        <w:t>2.5</w:t>
      </w:r>
      <w:r w:rsidRPr="00B37EF3">
        <w:rPr>
          <w:rFonts w:ascii="Arial" w:hAnsi="Arial" w:cs="Arial"/>
        </w:rPr>
        <w:t xml:space="preserve"> from the monitoring data. This component will include dust emissions from industrial sources such as mining. In the summer months, the primary PM component constitutes about 30% of the monthly mean particle mass, and in June this rises to 50% </w:t>
      </w:r>
      <w:r w:rsidRPr="00B37EF3">
        <w:rPr>
          <w:rFonts w:ascii="Arial" w:hAnsi="Arial" w:cs="Arial"/>
          <w:b/>
        </w:rPr>
        <w:t>(Cope 2012)</w:t>
      </w:r>
      <w:r w:rsidRPr="00B37EF3">
        <w:rPr>
          <w:rFonts w:ascii="Arial" w:hAnsi="Arial" w:cs="Arial"/>
        </w:rPr>
        <w:t>. This partial contribution complicates the policy</w:t>
      </w:r>
      <w:r w:rsidR="00477716" w:rsidRPr="00B37EF3">
        <w:rPr>
          <w:rFonts w:ascii="Arial" w:hAnsi="Arial" w:cs="Arial"/>
        </w:rPr>
        <w:t>-based</w:t>
      </w:r>
      <w:r w:rsidRPr="00B37EF3">
        <w:rPr>
          <w:rFonts w:ascii="Arial" w:hAnsi="Arial" w:cs="Arial"/>
        </w:rPr>
        <w:t xml:space="preserve"> management of PM concentrations.</w:t>
      </w:r>
    </w:p>
    <w:p w:rsidR="00DF3ED8" w:rsidRPr="00B37EF3" w:rsidRDefault="00E81231" w:rsidP="00EF255F">
      <w:pPr>
        <w:spacing w:after="300"/>
        <w:rPr>
          <w:rFonts w:ascii="Arial" w:hAnsi="Arial" w:cs="Arial"/>
        </w:rPr>
      </w:pPr>
      <w:r w:rsidRPr="00B37EF3">
        <w:rPr>
          <w:rFonts w:ascii="Arial" w:eastAsia="ArialMT" w:hAnsi="Arial" w:cs="Arial"/>
        </w:rPr>
        <w:t>ANSTO and CSIR</w:t>
      </w:r>
      <w:r w:rsidR="00DF3ED8" w:rsidRPr="00B37EF3">
        <w:rPr>
          <w:rFonts w:ascii="Arial" w:eastAsia="ArialMT" w:hAnsi="Arial" w:cs="Arial"/>
        </w:rPr>
        <w:t xml:space="preserve">O have recently completed </w:t>
      </w:r>
      <w:r w:rsidRPr="00B37EF3">
        <w:rPr>
          <w:rFonts w:ascii="Arial" w:eastAsia="ArialMT" w:hAnsi="Arial" w:cs="Arial"/>
        </w:rPr>
        <w:t>an extensive particle characterisation study in t</w:t>
      </w:r>
      <w:r w:rsidR="00DF3ED8" w:rsidRPr="00B37EF3">
        <w:rPr>
          <w:rFonts w:ascii="Arial" w:eastAsia="ArialMT" w:hAnsi="Arial" w:cs="Arial"/>
        </w:rPr>
        <w:t>he Upper Hunter Valle</w:t>
      </w:r>
      <w:r w:rsidR="00477716" w:rsidRPr="00B37EF3">
        <w:rPr>
          <w:rFonts w:ascii="Arial" w:eastAsia="ArialMT" w:hAnsi="Arial" w:cs="Arial"/>
        </w:rPr>
        <w:t>y of NSW</w:t>
      </w:r>
      <w:r w:rsidR="00477716" w:rsidRPr="00B37EF3">
        <w:rPr>
          <w:rFonts w:ascii="Arial" w:hAnsi="Arial" w:cs="Arial"/>
        </w:rPr>
        <w:t xml:space="preserve"> </w:t>
      </w:r>
      <w:r w:rsidR="00477716" w:rsidRPr="00B37EF3">
        <w:rPr>
          <w:rFonts w:ascii="Arial" w:hAnsi="Arial" w:cs="Arial"/>
          <w:b/>
        </w:rPr>
        <w:t>(</w:t>
      </w:r>
      <w:proofErr w:type="spellStart"/>
      <w:r w:rsidR="00477716" w:rsidRPr="00B37EF3">
        <w:rPr>
          <w:rFonts w:ascii="Arial" w:hAnsi="Arial" w:cs="Arial"/>
          <w:b/>
        </w:rPr>
        <w:t>Hibberd</w:t>
      </w:r>
      <w:proofErr w:type="spellEnd"/>
      <w:r w:rsidR="00477716" w:rsidRPr="00B37EF3">
        <w:rPr>
          <w:rFonts w:ascii="Arial" w:hAnsi="Arial" w:cs="Arial"/>
          <w:b/>
        </w:rPr>
        <w:t xml:space="preserve"> </w:t>
      </w:r>
      <w:r w:rsidR="009334F4" w:rsidRPr="00B37EF3">
        <w:rPr>
          <w:rFonts w:ascii="Arial" w:hAnsi="Arial" w:cs="Arial"/>
          <w:b/>
        </w:rPr>
        <w:t>et al</w:t>
      </w:r>
      <w:r w:rsidR="00477716" w:rsidRPr="00B37EF3">
        <w:rPr>
          <w:rFonts w:ascii="Arial" w:hAnsi="Arial" w:cs="Arial"/>
          <w:b/>
        </w:rPr>
        <w:t>. 2013)</w:t>
      </w:r>
      <w:r w:rsidR="00477716" w:rsidRPr="00B37EF3">
        <w:rPr>
          <w:rFonts w:ascii="Arial" w:hAnsi="Arial" w:cs="Arial"/>
        </w:rPr>
        <w:t>.</w:t>
      </w:r>
      <w:r w:rsidR="00DF3ED8" w:rsidRPr="00B37EF3">
        <w:rPr>
          <w:rFonts w:ascii="Arial" w:eastAsia="ArialMT" w:hAnsi="Arial" w:cs="Arial"/>
        </w:rPr>
        <w:t xml:space="preserve"> </w:t>
      </w:r>
      <w:r w:rsidR="00DF3ED8" w:rsidRPr="00B37EF3">
        <w:rPr>
          <w:rFonts w:ascii="Arial" w:hAnsi="Arial" w:cs="Arial"/>
        </w:rPr>
        <w:t>The study provided a detailed analysis of the composition of PM</w:t>
      </w:r>
      <w:r w:rsidR="00DF3ED8" w:rsidRPr="00B37EF3">
        <w:rPr>
          <w:rFonts w:ascii="Arial" w:hAnsi="Arial" w:cs="Arial"/>
          <w:sz w:val="14"/>
          <w:szCs w:val="14"/>
        </w:rPr>
        <w:t xml:space="preserve">2.5 </w:t>
      </w:r>
      <w:r w:rsidR="00DF3ED8" w:rsidRPr="00B37EF3">
        <w:rPr>
          <w:rFonts w:ascii="Arial" w:hAnsi="Arial" w:cs="Arial"/>
        </w:rPr>
        <w:t xml:space="preserve">in the two main population centres in the region (Singleton and Muswellbrook) during 2012. </w:t>
      </w:r>
      <w:r w:rsidR="003C3971" w:rsidRPr="00B37EF3">
        <w:rPr>
          <w:rFonts w:ascii="Arial" w:hAnsi="Arial" w:cs="Arial"/>
        </w:rPr>
        <w:t xml:space="preserve">The authors </w:t>
      </w:r>
      <w:r w:rsidR="00DF3ED8" w:rsidRPr="00B37EF3">
        <w:rPr>
          <w:rFonts w:ascii="Arial" w:hAnsi="Arial" w:cs="Arial"/>
        </w:rPr>
        <w:t xml:space="preserve">identified the most important </w:t>
      </w:r>
      <w:r w:rsidR="003C3971" w:rsidRPr="00B37EF3">
        <w:rPr>
          <w:rFonts w:ascii="Arial" w:hAnsi="Arial" w:cs="Arial"/>
        </w:rPr>
        <w:t xml:space="preserve">PM </w:t>
      </w:r>
      <w:r w:rsidR="00DF3ED8" w:rsidRPr="00B37EF3">
        <w:rPr>
          <w:rFonts w:ascii="Arial" w:hAnsi="Arial" w:cs="Arial"/>
        </w:rPr>
        <w:t>sources and their relative contributions</w:t>
      </w:r>
      <w:r w:rsidR="003C3971" w:rsidRPr="00B37EF3">
        <w:rPr>
          <w:rFonts w:ascii="Arial" w:hAnsi="Arial" w:cs="Arial"/>
        </w:rPr>
        <w:t xml:space="preserve"> to PM</w:t>
      </w:r>
      <w:r w:rsidR="003C3971" w:rsidRPr="00B37EF3">
        <w:rPr>
          <w:rFonts w:ascii="Arial" w:hAnsi="Arial" w:cs="Arial"/>
          <w:vertAlign w:val="subscript"/>
        </w:rPr>
        <w:t>2.5</w:t>
      </w:r>
      <w:r w:rsidR="00DF3ED8" w:rsidRPr="00B37EF3">
        <w:rPr>
          <w:rFonts w:ascii="Arial" w:hAnsi="Arial" w:cs="Arial"/>
        </w:rPr>
        <w:t>.</w:t>
      </w:r>
      <w:r w:rsidR="003C3971" w:rsidRPr="00B37EF3">
        <w:rPr>
          <w:rFonts w:ascii="Arial" w:hAnsi="Arial" w:cs="Arial"/>
        </w:rPr>
        <w:t xml:space="preserve"> The dominant factors are summarised in </w:t>
      </w:r>
      <w:fldSimple w:instr=" REF _Ref369095130 \h  \* MERGEFORMAT ">
        <w:r w:rsidR="0085182E" w:rsidRPr="0085182E">
          <w:rPr>
            <w:rFonts w:ascii="Arial" w:hAnsi="Arial" w:cs="Arial"/>
            <w:b/>
          </w:rPr>
          <w:t>Table 5.3</w:t>
        </w:r>
      </w:fldSimple>
      <w:r w:rsidR="003C3971" w:rsidRPr="00B37EF3">
        <w:rPr>
          <w:rFonts w:ascii="Arial" w:hAnsi="Arial" w:cs="Arial"/>
        </w:rPr>
        <w:t>.</w:t>
      </w:r>
    </w:p>
    <w:p w:rsidR="003C3971" w:rsidRPr="00B37EF3" w:rsidRDefault="003C3971" w:rsidP="00F75D03">
      <w:pPr>
        <w:pStyle w:val="Caption"/>
        <w:ind w:left="1418" w:right="1371"/>
        <w:rPr>
          <w:rFonts w:ascii="Arial" w:hAnsi="Arial" w:cs="Arial"/>
        </w:rPr>
      </w:pPr>
      <w:bookmarkStart w:id="100" w:name="_Ref369095130"/>
      <w:r w:rsidRPr="00B37EF3">
        <w:rPr>
          <w:rFonts w:ascii="Arial" w:hAnsi="Arial" w:cs="Arial"/>
        </w:rPr>
        <w:lastRenderedPageBreak/>
        <w:t xml:space="preserve">Table </w:t>
      </w:r>
      <w:r w:rsidR="00BF6019" w:rsidRPr="00B37EF3">
        <w:rPr>
          <w:rFonts w:ascii="Arial" w:hAnsi="Arial" w:cs="Arial"/>
        </w:rPr>
        <w:fldChar w:fldCharType="begin"/>
      </w:r>
      <w:r w:rsidRPr="00B37EF3">
        <w:rPr>
          <w:rFonts w:ascii="Arial" w:hAnsi="Arial" w:cs="Arial"/>
        </w:rPr>
        <w:instrText xml:space="preserve"> STYLEREF 1 \s </w:instrText>
      </w:r>
      <w:r w:rsidR="00BF6019" w:rsidRPr="00B37EF3">
        <w:rPr>
          <w:rFonts w:ascii="Arial" w:hAnsi="Arial" w:cs="Arial"/>
        </w:rPr>
        <w:fldChar w:fldCharType="separate"/>
      </w:r>
      <w:r w:rsidR="0085182E">
        <w:rPr>
          <w:rFonts w:ascii="Arial" w:hAnsi="Arial" w:cs="Arial"/>
          <w:noProof/>
        </w:rPr>
        <w:t>5</w:t>
      </w:r>
      <w:r w:rsidR="00BF6019" w:rsidRPr="00B37EF3">
        <w:rPr>
          <w:rFonts w:ascii="Arial" w:hAnsi="Arial" w:cs="Arial"/>
        </w:rPr>
        <w:fldChar w:fldCharType="end"/>
      </w:r>
      <w:r w:rsidRPr="00B37EF3">
        <w:rPr>
          <w:rFonts w:ascii="Arial" w:hAnsi="Arial" w:cs="Arial"/>
        </w:rPr>
        <w:t>.</w:t>
      </w:r>
      <w:r w:rsidR="00BF6019" w:rsidRPr="00B37EF3">
        <w:rPr>
          <w:rFonts w:ascii="Arial" w:hAnsi="Arial" w:cs="Arial"/>
        </w:rPr>
        <w:fldChar w:fldCharType="begin"/>
      </w:r>
      <w:r w:rsidRPr="00B37EF3">
        <w:rPr>
          <w:rFonts w:ascii="Arial" w:hAnsi="Arial" w:cs="Arial"/>
        </w:rPr>
        <w:instrText xml:space="preserve"> SEQ Table \* ARABIC \s 1 </w:instrText>
      </w:r>
      <w:r w:rsidR="00BF6019" w:rsidRPr="00B37EF3">
        <w:rPr>
          <w:rFonts w:ascii="Arial" w:hAnsi="Arial" w:cs="Arial"/>
        </w:rPr>
        <w:fldChar w:fldCharType="separate"/>
      </w:r>
      <w:r w:rsidR="0085182E">
        <w:rPr>
          <w:rFonts w:ascii="Arial" w:hAnsi="Arial" w:cs="Arial"/>
          <w:noProof/>
        </w:rPr>
        <w:t>3</w:t>
      </w:r>
      <w:r w:rsidR="00BF6019" w:rsidRPr="00B37EF3">
        <w:rPr>
          <w:rFonts w:ascii="Arial" w:hAnsi="Arial" w:cs="Arial"/>
        </w:rPr>
        <w:fldChar w:fldCharType="end"/>
      </w:r>
      <w:bookmarkEnd w:id="100"/>
      <w:r w:rsidRPr="00B37EF3">
        <w:rPr>
          <w:rFonts w:ascii="Arial" w:hAnsi="Arial" w:cs="Arial"/>
        </w:rPr>
        <w:t>: Percentage contributions of different sources to PM</w:t>
      </w:r>
      <w:r w:rsidRPr="00B37EF3">
        <w:rPr>
          <w:rFonts w:ascii="Arial" w:hAnsi="Arial" w:cs="Arial"/>
          <w:vertAlign w:val="subscript"/>
        </w:rPr>
        <w:t>2.5</w:t>
      </w:r>
      <w:r w:rsidRPr="00B37EF3">
        <w:rPr>
          <w:rFonts w:ascii="Arial" w:hAnsi="Arial" w:cs="Arial"/>
        </w:rPr>
        <w:t xml:space="preserve"> concentrations at Singleton and Muswellbrook in 2012</w:t>
      </w:r>
      <w:r w:rsidR="00F75D03" w:rsidRPr="00B37EF3">
        <w:rPr>
          <w:rFonts w:ascii="Arial" w:hAnsi="Arial" w:cs="Arial"/>
        </w:rPr>
        <w:t xml:space="preserve"> (</w:t>
      </w:r>
      <w:proofErr w:type="spellStart"/>
      <w:r w:rsidR="00F75D03" w:rsidRPr="00B37EF3">
        <w:rPr>
          <w:rFonts w:ascii="Arial" w:hAnsi="Arial" w:cs="Arial"/>
        </w:rPr>
        <w:t>Hibberd</w:t>
      </w:r>
      <w:proofErr w:type="spellEnd"/>
      <w:r w:rsidR="00F75D03" w:rsidRPr="00B37EF3">
        <w:rPr>
          <w:rFonts w:ascii="Arial" w:hAnsi="Arial" w:cs="Arial"/>
        </w:rPr>
        <w:t xml:space="preserve"> </w:t>
      </w:r>
      <w:r w:rsidR="009334F4" w:rsidRPr="00B37EF3">
        <w:rPr>
          <w:rFonts w:ascii="Arial" w:hAnsi="Arial" w:cs="Arial"/>
        </w:rPr>
        <w:t>et al</w:t>
      </w:r>
      <w:r w:rsidR="00F75D03" w:rsidRPr="00B37EF3">
        <w:rPr>
          <w:rFonts w:ascii="Arial" w:hAnsi="Arial" w:cs="Arial"/>
        </w:rPr>
        <w:t>. 2013)</w:t>
      </w:r>
    </w:p>
    <w:tbl>
      <w:tblPr>
        <w:tblW w:w="0" w:type="auto"/>
        <w:jc w:val="center"/>
        <w:tblLook w:val="00A0"/>
      </w:tblPr>
      <w:tblGrid>
        <w:gridCol w:w="2410"/>
        <w:gridCol w:w="1701"/>
        <w:gridCol w:w="1796"/>
      </w:tblGrid>
      <w:tr w:rsidR="003C3971" w:rsidRPr="00B37EF3" w:rsidTr="00EF255F">
        <w:trPr>
          <w:trHeight w:val="410"/>
          <w:jc w:val="center"/>
        </w:trPr>
        <w:tc>
          <w:tcPr>
            <w:tcW w:w="2410" w:type="dxa"/>
            <w:vMerge w:val="restart"/>
            <w:tcBorders>
              <w:top w:val="single" w:sz="4" w:space="0" w:color="0070C0"/>
              <w:left w:val="single" w:sz="4" w:space="0" w:color="0070C0"/>
              <w:right w:val="single" w:sz="4" w:space="0" w:color="0070C0"/>
            </w:tcBorders>
            <w:shd w:val="clear" w:color="auto" w:fill="0070C0"/>
            <w:vAlign w:val="center"/>
          </w:tcPr>
          <w:p w:rsidR="003C3971" w:rsidRPr="00B37EF3" w:rsidRDefault="003C3971" w:rsidP="003C3971">
            <w:pPr>
              <w:spacing w:after="0" w:line="240" w:lineRule="auto"/>
              <w:jc w:val="center"/>
              <w:rPr>
                <w:rFonts w:ascii="Arial" w:hAnsi="Arial" w:cs="Arial"/>
                <w:b/>
                <w:color w:val="FFFFFF"/>
                <w:sz w:val="15"/>
                <w:szCs w:val="15"/>
              </w:rPr>
            </w:pPr>
            <w:r w:rsidRPr="00B37EF3">
              <w:rPr>
                <w:rFonts w:ascii="Arial" w:hAnsi="Arial" w:cs="Arial"/>
                <w:b/>
                <w:color w:val="FFFFFF"/>
                <w:sz w:val="15"/>
                <w:szCs w:val="15"/>
              </w:rPr>
              <w:t>Component</w:t>
            </w:r>
          </w:p>
        </w:tc>
        <w:tc>
          <w:tcPr>
            <w:tcW w:w="3497" w:type="dxa"/>
            <w:gridSpan w:val="2"/>
            <w:tcBorders>
              <w:top w:val="single" w:sz="4" w:space="0" w:color="0070C0"/>
              <w:left w:val="single" w:sz="4" w:space="0" w:color="0070C0"/>
              <w:bottom w:val="single" w:sz="4" w:space="0" w:color="0070C0"/>
              <w:right w:val="single" w:sz="4" w:space="0" w:color="0070C0"/>
            </w:tcBorders>
            <w:shd w:val="clear" w:color="auto" w:fill="0070C0"/>
            <w:vAlign w:val="center"/>
          </w:tcPr>
          <w:p w:rsidR="003C3971" w:rsidRPr="00B37EF3" w:rsidRDefault="003C3971" w:rsidP="003C3971">
            <w:pPr>
              <w:spacing w:after="0" w:line="240" w:lineRule="auto"/>
              <w:jc w:val="center"/>
              <w:rPr>
                <w:rFonts w:ascii="Arial" w:hAnsi="Arial" w:cs="Arial"/>
                <w:b/>
                <w:color w:val="FFFFFF"/>
                <w:sz w:val="15"/>
                <w:szCs w:val="15"/>
              </w:rPr>
            </w:pPr>
            <w:r w:rsidRPr="00B37EF3">
              <w:rPr>
                <w:rFonts w:ascii="Arial" w:hAnsi="Arial" w:cs="Arial"/>
                <w:b/>
                <w:color w:val="FFFFFF"/>
                <w:sz w:val="15"/>
                <w:szCs w:val="15"/>
              </w:rPr>
              <w:t>% contribution to PM</w:t>
            </w:r>
            <w:r w:rsidRPr="00B37EF3">
              <w:rPr>
                <w:rFonts w:ascii="Arial" w:hAnsi="Arial" w:cs="Arial"/>
                <w:b/>
                <w:color w:val="FFFFFF"/>
                <w:sz w:val="15"/>
                <w:szCs w:val="15"/>
                <w:vertAlign w:val="subscript"/>
              </w:rPr>
              <w:t>2.5</w:t>
            </w:r>
          </w:p>
        </w:tc>
      </w:tr>
      <w:tr w:rsidR="003C3971" w:rsidRPr="00B37EF3" w:rsidTr="003C3971">
        <w:trPr>
          <w:trHeight w:val="274"/>
          <w:jc w:val="center"/>
        </w:trPr>
        <w:tc>
          <w:tcPr>
            <w:tcW w:w="2410" w:type="dxa"/>
            <w:vMerge/>
            <w:tcBorders>
              <w:left w:val="single" w:sz="4" w:space="0" w:color="0070C0"/>
              <w:bottom w:val="single" w:sz="4" w:space="0" w:color="0070C0"/>
              <w:right w:val="single" w:sz="4" w:space="0" w:color="0070C0"/>
            </w:tcBorders>
            <w:shd w:val="clear" w:color="auto" w:fill="0070C0"/>
            <w:vAlign w:val="center"/>
          </w:tcPr>
          <w:p w:rsidR="003C3971" w:rsidRPr="00B37EF3" w:rsidRDefault="003C3971" w:rsidP="003C3971">
            <w:pPr>
              <w:spacing w:after="0" w:line="240" w:lineRule="auto"/>
              <w:jc w:val="center"/>
              <w:rPr>
                <w:rFonts w:ascii="Arial" w:hAnsi="Arial" w:cs="Arial"/>
                <w:b/>
                <w:color w:val="FFFFFF"/>
                <w:sz w:val="15"/>
                <w:szCs w:val="15"/>
              </w:rPr>
            </w:pPr>
          </w:p>
        </w:tc>
        <w:tc>
          <w:tcPr>
            <w:tcW w:w="1701"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3C3971" w:rsidRPr="00B37EF3" w:rsidRDefault="003C3971" w:rsidP="003C3971">
            <w:pPr>
              <w:spacing w:after="0" w:line="240" w:lineRule="auto"/>
              <w:jc w:val="center"/>
              <w:rPr>
                <w:rFonts w:ascii="Arial" w:hAnsi="Arial" w:cs="Arial"/>
                <w:b/>
                <w:color w:val="FFFFFF"/>
                <w:sz w:val="15"/>
                <w:szCs w:val="15"/>
              </w:rPr>
            </w:pPr>
            <w:r w:rsidRPr="00B37EF3">
              <w:rPr>
                <w:rFonts w:ascii="Arial" w:hAnsi="Arial" w:cs="Arial"/>
                <w:b/>
                <w:color w:val="FFFFFF"/>
                <w:sz w:val="15"/>
                <w:szCs w:val="15"/>
              </w:rPr>
              <w:t>Singleton</w:t>
            </w:r>
          </w:p>
        </w:tc>
        <w:tc>
          <w:tcPr>
            <w:tcW w:w="1796"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3C3971" w:rsidRPr="00B37EF3" w:rsidRDefault="003C3971" w:rsidP="003C3971">
            <w:pPr>
              <w:spacing w:after="0" w:line="240" w:lineRule="auto"/>
              <w:jc w:val="center"/>
              <w:rPr>
                <w:rFonts w:ascii="Arial" w:hAnsi="Arial" w:cs="Arial"/>
                <w:b/>
                <w:color w:val="FFFFFF"/>
                <w:sz w:val="15"/>
                <w:szCs w:val="15"/>
              </w:rPr>
            </w:pPr>
            <w:r w:rsidRPr="00B37EF3">
              <w:rPr>
                <w:rFonts w:ascii="Arial" w:hAnsi="Arial" w:cs="Arial"/>
                <w:b/>
                <w:color w:val="FFFFFF"/>
                <w:sz w:val="15"/>
                <w:szCs w:val="15"/>
              </w:rPr>
              <w:t>Muswellbrook</w:t>
            </w:r>
          </w:p>
        </w:tc>
      </w:tr>
      <w:tr w:rsidR="003C3971" w:rsidRPr="00B37EF3" w:rsidTr="003C3971">
        <w:trPr>
          <w:trHeight w:hRule="exact" w:val="312"/>
          <w:jc w:val="center"/>
        </w:trPr>
        <w:tc>
          <w:tcPr>
            <w:tcW w:w="2410" w:type="dxa"/>
            <w:tcBorders>
              <w:top w:val="single" w:sz="4" w:space="0" w:color="0070C0"/>
              <w:left w:val="single" w:sz="4" w:space="0" w:color="0070C0"/>
              <w:bottom w:val="single" w:sz="4" w:space="0" w:color="0070C0"/>
              <w:right w:val="single" w:sz="4" w:space="0" w:color="0070C0"/>
            </w:tcBorders>
            <w:vAlign w:val="center"/>
          </w:tcPr>
          <w:p w:rsidR="003C3971" w:rsidRPr="00B37EF3" w:rsidRDefault="003C3971" w:rsidP="003C3971">
            <w:pPr>
              <w:spacing w:after="0" w:line="240" w:lineRule="auto"/>
              <w:jc w:val="center"/>
              <w:rPr>
                <w:rFonts w:ascii="Arial" w:hAnsi="Arial" w:cs="Arial"/>
                <w:sz w:val="15"/>
                <w:szCs w:val="15"/>
              </w:rPr>
            </w:pPr>
            <w:r w:rsidRPr="00B37EF3">
              <w:rPr>
                <w:rFonts w:ascii="Arial" w:hAnsi="Arial" w:cs="Arial"/>
                <w:sz w:val="15"/>
                <w:szCs w:val="15"/>
              </w:rPr>
              <w:t>Secondary sulfate</w:t>
            </w:r>
          </w:p>
        </w:tc>
        <w:tc>
          <w:tcPr>
            <w:tcW w:w="1701" w:type="dxa"/>
            <w:tcBorders>
              <w:top w:val="single" w:sz="4" w:space="0" w:color="0070C0"/>
              <w:left w:val="single" w:sz="4" w:space="0" w:color="0070C0"/>
              <w:bottom w:val="single" w:sz="4" w:space="0" w:color="0070C0"/>
              <w:right w:val="single" w:sz="4" w:space="0" w:color="0070C0"/>
            </w:tcBorders>
            <w:vAlign w:val="center"/>
          </w:tcPr>
          <w:p w:rsidR="003C3971" w:rsidRPr="00B37EF3" w:rsidRDefault="003C3971" w:rsidP="003C3971">
            <w:pPr>
              <w:spacing w:after="0" w:line="240" w:lineRule="auto"/>
              <w:jc w:val="center"/>
              <w:rPr>
                <w:rFonts w:ascii="Arial" w:hAnsi="Arial" w:cs="Arial"/>
                <w:sz w:val="15"/>
                <w:szCs w:val="15"/>
              </w:rPr>
            </w:pPr>
            <w:r w:rsidRPr="00B37EF3">
              <w:rPr>
                <w:rFonts w:ascii="Arial" w:hAnsi="Arial" w:cs="Arial"/>
                <w:sz w:val="15"/>
                <w:szCs w:val="15"/>
              </w:rPr>
              <w:t>20 ± 2%</w:t>
            </w:r>
          </w:p>
        </w:tc>
        <w:tc>
          <w:tcPr>
            <w:tcW w:w="1796" w:type="dxa"/>
            <w:tcBorders>
              <w:top w:val="single" w:sz="4" w:space="0" w:color="0070C0"/>
              <w:left w:val="single" w:sz="4" w:space="0" w:color="0070C0"/>
              <w:bottom w:val="single" w:sz="4" w:space="0" w:color="0070C0"/>
              <w:right w:val="single" w:sz="4" w:space="0" w:color="0070C0"/>
            </w:tcBorders>
            <w:vAlign w:val="center"/>
          </w:tcPr>
          <w:p w:rsidR="003C3971" w:rsidRPr="00B37EF3" w:rsidRDefault="003C3971" w:rsidP="003C3971">
            <w:pPr>
              <w:spacing w:after="0" w:line="240" w:lineRule="auto"/>
              <w:jc w:val="center"/>
              <w:rPr>
                <w:rFonts w:ascii="Arial" w:hAnsi="Arial" w:cs="Arial"/>
                <w:sz w:val="15"/>
                <w:szCs w:val="15"/>
              </w:rPr>
            </w:pPr>
            <w:r w:rsidRPr="00B37EF3">
              <w:rPr>
                <w:rFonts w:ascii="Arial" w:hAnsi="Arial" w:cs="Arial"/>
                <w:sz w:val="15"/>
                <w:szCs w:val="15"/>
              </w:rPr>
              <w:t>17 ± 2%</w:t>
            </w:r>
          </w:p>
        </w:tc>
      </w:tr>
      <w:tr w:rsidR="003C3971" w:rsidRPr="00B37EF3" w:rsidTr="003C3971">
        <w:trPr>
          <w:trHeight w:hRule="exact" w:val="312"/>
          <w:jc w:val="center"/>
        </w:trPr>
        <w:tc>
          <w:tcPr>
            <w:tcW w:w="2410" w:type="dxa"/>
            <w:tcBorders>
              <w:top w:val="single" w:sz="4" w:space="0" w:color="0070C0"/>
              <w:left w:val="single" w:sz="4" w:space="0" w:color="0070C0"/>
              <w:bottom w:val="single" w:sz="4" w:space="0" w:color="0070C0"/>
              <w:right w:val="single" w:sz="4" w:space="0" w:color="0070C0"/>
            </w:tcBorders>
            <w:vAlign w:val="center"/>
          </w:tcPr>
          <w:p w:rsidR="003C3971" w:rsidRPr="00B37EF3" w:rsidRDefault="003C3971" w:rsidP="003C3971">
            <w:pPr>
              <w:spacing w:after="0" w:line="240" w:lineRule="auto"/>
              <w:jc w:val="center"/>
              <w:rPr>
                <w:rFonts w:ascii="Arial" w:hAnsi="Arial" w:cs="Arial"/>
                <w:sz w:val="15"/>
                <w:szCs w:val="15"/>
              </w:rPr>
            </w:pPr>
            <w:r w:rsidRPr="00B37EF3">
              <w:rPr>
                <w:rFonts w:ascii="Arial" w:hAnsi="Arial" w:cs="Arial"/>
                <w:sz w:val="15"/>
                <w:szCs w:val="15"/>
              </w:rPr>
              <w:t>Industry aged sea salt</w:t>
            </w:r>
          </w:p>
        </w:tc>
        <w:tc>
          <w:tcPr>
            <w:tcW w:w="1701" w:type="dxa"/>
            <w:tcBorders>
              <w:top w:val="single" w:sz="4" w:space="0" w:color="0070C0"/>
              <w:left w:val="single" w:sz="4" w:space="0" w:color="0070C0"/>
              <w:bottom w:val="single" w:sz="4" w:space="0" w:color="0070C0"/>
              <w:right w:val="single" w:sz="4" w:space="0" w:color="0070C0"/>
            </w:tcBorders>
            <w:vAlign w:val="center"/>
          </w:tcPr>
          <w:p w:rsidR="003C3971" w:rsidRPr="00B37EF3" w:rsidRDefault="003C3971" w:rsidP="003C3971">
            <w:pPr>
              <w:spacing w:after="0" w:line="240" w:lineRule="auto"/>
              <w:jc w:val="center"/>
              <w:rPr>
                <w:rFonts w:ascii="Arial" w:hAnsi="Arial" w:cs="Arial"/>
                <w:sz w:val="15"/>
                <w:szCs w:val="15"/>
              </w:rPr>
            </w:pPr>
            <w:r w:rsidRPr="00B37EF3">
              <w:rPr>
                <w:rFonts w:ascii="Arial" w:hAnsi="Arial" w:cs="Arial"/>
                <w:sz w:val="15"/>
                <w:szCs w:val="15"/>
              </w:rPr>
              <w:t>18 ± 3%</w:t>
            </w:r>
          </w:p>
        </w:tc>
        <w:tc>
          <w:tcPr>
            <w:tcW w:w="1796" w:type="dxa"/>
            <w:tcBorders>
              <w:top w:val="single" w:sz="4" w:space="0" w:color="0070C0"/>
              <w:left w:val="single" w:sz="4" w:space="0" w:color="0070C0"/>
              <w:bottom w:val="single" w:sz="4" w:space="0" w:color="0070C0"/>
              <w:right w:val="single" w:sz="4" w:space="0" w:color="0070C0"/>
            </w:tcBorders>
            <w:vAlign w:val="center"/>
          </w:tcPr>
          <w:p w:rsidR="003C3971" w:rsidRPr="00B37EF3" w:rsidRDefault="003C3971" w:rsidP="003C3971">
            <w:pPr>
              <w:spacing w:after="0" w:line="240" w:lineRule="auto"/>
              <w:jc w:val="center"/>
              <w:rPr>
                <w:rFonts w:ascii="Arial" w:hAnsi="Arial" w:cs="Arial"/>
                <w:sz w:val="15"/>
                <w:szCs w:val="15"/>
              </w:rPr>
            </w:pPr>
            <w:r w:rsidRPr="00B37EF3">
              <w:rPr>
                <w:rFonts w:ascii="Arial" w:hAnsi="Arial" w:cs="Arial"/>
                <w:sz w:val="15"/>
                <w:szCs w:val="15"/>
              </w:rPr>
              <w:t>13 ± 2%</w:t>
            </w:r>
          </w:p>
        </w:tc>
      </w:tr>
      <w:tr w:rsidR="003C3971" w:rsidRPr="00B37EF3" w:rsidTr="003C3971">
        <w:trPr>
          <w:trHeight w:hRule="exact" w:val="312"/>
          <w:jc w:val="center"/>
        </w:trPr>
        <w:tc>
          <w:tcPr>
            <w:tcW w:w="2410" w:type="dxa"/>
            <w:tcBorders>
              <w:top w:val="single" w:sz="4" w:space="0" w:color="0070C0"/>
              <w:left w:val="single" w:sz="4" w:space="0" w:color="0070C0"/>
              <w:bottom w:val="single" w:sz="4" w:space="0" w:color="0070C0"/>
              <w:right w:val="single" w:sz="4" w:space="0" w:color="0070C0"/>
            </w:tcBorders>
            <w:vAlign w:val="center"/>
          </w:tcPr>
          <w:p w:rsidR="003C3971" w:rsidRPr="00B37EF3" w:rsidRDefault="003C3971" w:rsidP="003C3971">
            <w:pPr>
              <w:spacing w:after="0" w:line="240" w:lineRule="auto"/>
              <w:jc w:val="center"/>
              <w:rPr>
                <w:rFonts w:ascii="Arial" w:hAnsi="Arial" w:cs="Arial"/>
                <w:sz w:val="15"/>
                <w:szCs w:val="15"/>
              </w:rPr>
            </w:pPr>
            <w:r w:rsidRPr="00B37EF3">
              <w:rPr>
                <w:rFonts w:ascii="Arial" w:hAnsi="Arial" w:cs="Arial"/>
                <w:sz w:val="15"/>
                <w:szCs w:val="15"/>
              </w:rPr>
              <w:t>Vehicle/industry</w:t>
            </w:r>
          </w:p>
        </w:tc>
        <w:tc>
          <w:tcPr>
            <w:tcW w:w="1701" w:type="dxa"/>
            <w:tcBorders>
              <w:top w:val="single" w:sz="4" w:space="0" w:color="0070C0"/>
              <w:left w:val="single" w:sz="4" w:space="0" w:color="0070C0"/>
              <w:bottom w:val="single" w:sz="4" w:space="0" w:color="0070C0"/>
              <w:right w:val="single" w:sz="4" w:space="0" w:color="0070C0"/>
            </w:tcBorders>
            <w:vAlign w:val="center"/>
          </w:tcPr>
          <w:p w:rsidR="003C3971" w:rsidRPr="00B37EF3" w:rsidRDefault="003C3971" w:rsidP="003C3971">
            <w:pPr>
              <w:spacing w:after="0" w:line="240" w:lineRule="auto"/>
              <w:jc w:val="center"/>
              <w:rPr>
                <w:rFonts w:ascii="Arial" w:hAnsi="Arial" w:cs="Arial"/>
                <w:sz w:val="15"/>
                <w:szCs w:val="15"/>
              </w:rPr>
            </w:pPr>
            <w:r w:rsidRPr="00B37EF3">
              <w:rPr>
                <w:rFonts w:ascii="Arial" w:hAnsi="Arial" w:cs="Arial"/>
                <w:sz w:val="15"/>
                <w:szCs w:val="15"/>
              </w:rPr>
              <w:t>17 ± 2%</w:t>
            </w:r>
          </w:p>
        </w:tc>
        <w:tc>
          <w:tcPr>
            <w:tcW w:w="1796" w:type="dxa"/>
            <w:tcBorders>
              <w:top w:val="single" w:sz="4" w:space="0" w:color="0070C0"/>
              <w:left w:val="single" w:sz="4" w:space="0" w:color="0070C0"/>
              <w:bottom w:val="single" w:sz="4" w:space="0" w:color="0070C0"/>
              <w:right w:val="single" w:sz="4" w:space="0" w:color="0070C0"/>
            </w:tcBorders>
            <w:vAlign w:val="center"/>
          </w:tcPr>
          <w:p w:rsidR="003C3971" w:rsidRPr="00B37EF3" w:rsidRDefault="00E724B2" w:rsidP="003C3971">
            <w:pPr>
              <w:spacing w:after="0" w:line="240" w:lineRule="auto"/>
              <w:jc w:val="center"/>
              <w:rPr>
                <w:rFonts w:ascii="Arial" w:hAnsi="Arial" w:cs="Arial"/>
                <w:sz w:val="15"/>
                <w:szCs w:val="15"/>
              </w:rPr>
            </w:pPr>
            <w:r w:rsidRPr="00B37EF3">
              <w:rPr>
                <w:rFonts w:ascii="Arial" w:hAnsi="Arial" w:cs="Arial"/>
                <w:sz w:val="15"/>
                <w:szCs w:val="15"/>
              </w:rPr>
              <w:t>–</w:t>
            </w:r>
          </w:p>
        </w:tc>
      </w:tr>
      <w:tr w:rsidR="003C3971" w:rsidRPr="00B37EF3" w:rsidTr="003C3971">
        <w:trPr>
          <w:trHeight w:hRule="exact" w:val="312"/>
          <w:jc w:val="center"/>
        </w:trPr>
        <w:tc>
          <w:tcPr>
            <w:tcW w:w="2410" w:type="dxa"/>
            <w:tcBorders>
              <w:top w:val="single" w:sz="4" w:space="0" w:color="0070C0"/>
              <w:left w:val="single" w:sz="4" w:space="0" w:color="0070C0"/>
              <w:bottom w:val="single" w:sz="4" w:space="0" w:color="0070C0"/>
              <w:right w:val="single" w:sz="4" w:space="0" w:color="0070C0"/>
            </w:tcBorders>
            <w:vAlign w:val="center"/>
          </w:tcPr>
          <w:p w:rsidR="003C3971" w:rsidRPr="00B37EF3" w:rsidRDefault="003C3971" w:rsidP="003C3971">
            <w:pPr>
              <w:spacing w:after="0" w:line="240" w:lineRule="auto"/>
              <w:jc w:val="center"/>
              <w:rPr>
                <w:rFonts w:ascii="Arial" w:hAnsi="Arial" w:cs="Arial"/>
                <w:sz w:val="15"/>
                <w:szCs w:val="15"/>
              </w:rPr>
            </w:pPr>
            <w:r w:rsidRPr="00B37EF3">
              <w:rPr>
                <w:rFonts w:ascii="Arial" w:hAnsi="Arial" w:cs="Arial"/>
                <w:sz w:val="15"/>
                <w:szCs w:val="15"/>
              </w:rPr>
              <w:t>Wood smoke</w:t>
            </w:r>
            <w:r w:rsidRPr="00B37EF3">
              <w:rPr>
                <w:rFonts w:ascii="Arial" w:hAnsi="Arial" w:cs="Arial"/>
                <w:sz w:val="15"/>
                <w:szCs w:val="15"/>
                <w:vertAlign w:val="superscript"/>
              </w:rPr>
              <w:t>(a)</w:t>
            </w:r>
          </w:p>
        </w:tc>
        <w:tc>
          <w:tcPr>
            <w:tcW w:w="1701" w:type="dxa"/>
            <w:tcBorders>
              <w:top w:val="single" w:sz="4" w:space="0" w:color="0070C0"/>
              <w:left w:val="single" w:sz="4" w:space="0" w:color="0070C0"/>
              <w:bottom w:val="single" w:sz="4" w:space="0" w:color="0070C0"/>
              <w:right w:val="single" w:sz="4" w:space="0" w:color="0070C0"/>
            </w:tcBorders>
            <w:vAlign w:val="center"/>
          </w:tcPr>
          <w:p w:rsidR="003C3971" w:rsidRPr="00B37EF3" w:rsidRDefault="003C3971" w:rsidP="003C3971">
            <w:pPr>
              <w:spacing w:after="0" w:line="240" w:lineRule="auto"/>
              <w:jc w:val="center"/>
              <w:rPr>
                <w:rFonts w:ascii="Arial" w:hAnsi="Arial" w:cs="Arial"/>
                <w:sz w:val="15"/>
                <w:szCs w:val="15"/>
              </w:rPr>
            </w:pPr>
            <w:r w:rsidRPr="00B37EF3">
              <w:rPr>
                <w:rFonts w:ascii="Arial" w:hAnsi="Arial" w:cs="Arial"/>
                <w:sz w:val="15"/>
                <w:szCs w:val="15"/>
              </w:rPr>
              <w:t>14 ± 2%</w:t>
            </w:r>
          </w:p>
        </w:tc>
        <w:tc>
          <w:tcPr>
            <w:tcW w:w="1796" w:type="dxa"/>
            <w:tcBorders>
              <w:top w:val="single" w:sz="4" w:space="0" w:color="0070C0"/>
              <w:left w:val="single" w:sz="4" w:space="0" w:color="0070C0"/>
              <w:bottom w:val="single" w:sz="4" w:space="0" w:color="0070C0"/>
              <w:right w:val="single" w:sz="4" w:space="0" w:color="0070C0"/>
            </w:tcBorders>
            <w:vAlign w:val="center"/>
          </w:tcPr>
          <w:p w:rsidR="003C3971" w:rsidRPr="00B37EF3" w:rsidRDefault="003C3971" w:rsidP="003C3971">
            <w:pPr>
              <w:spacing w:after="0" w:line="240" w:lineRule="auto"/>
              <w:jc w:val="center"/>
              <w:rPr>
                <w:rFonts w:ascii="Arial" w:hAnsi="Arial" w:cs="Arial"/>
                <w:sz w:val="15"/>
                <w:szCs w:val="15"/>
              </w:rPr>
            </w:pPr>
            <w:r w:rsidRPr="00B37EF3">
              <w:rPr>
                <w:rFonts w:ascii="Arial" w:hAnsi="Arial" w:cs="Arial"/>
                <w:sz w:val="15"/>
                <w:szCs w:val="15"/>
              </w:rPr>
              <w:t>30 ± 3%</w:t>
            </w:r>
          </w:p>
        </w:tc>
      </w:tr>
      <w:tr w:rsidR="003C3971" w:rsidRPr="00B37EF3" w:rsidTr="003C3971">
        <w:trPr>
          <w:trHeight w:hRule="exact" w:val="312"/>
          <w:jc w:val="center"/>
        </w:trPr>
        <w:tc>
          <w:tcPr>
            <w:tcW w:w="2410" w:type="dxa"/>
            <w:tcBorders>
              <w:top w:val="single" w:sz="4" w:space="0" w:color="0070C0"/>
              <w:left w:val="single" w:sz="4" w:space="0" w:color="0070C0"/>
              <w:bottom w:val="single" w:sz="4" w:space="0" w:color="0070C0"/>
              <w:right w:val="single" w:sz="4" w:space="0" w:color="0070C0"/>
            </w:tcBorders>
            <w:vAlign w:val="center"/>
          </w:tcPr>
          <w:p w:rsidR="003C3971" w:rsidRPr="00B37EF3" w:rsidRDefault="003C3971" w:rsidP="003C3971">
            <w:pPr>
              <w:spacing w:after="0" w:line="240" w:lineRule="auto"/>
              <w:jc w:val="center"/>
              <w:rPr>
                <w:rFonts w:ascii="Arial" w:hAnsi="Arial" w:cs="Arial"/>
                <w:sz w:val="15"/>
                <w:szCs w:val="15"/>
              </w:rPr>
            </w:pPr>
            <w:r w:rsidRPr="00B37EF3">
              <w:rPr>
                <w:rFonts w:ascii="Arial" w:hAnsi="Arial" w:cs="Arial"/>
                <w:sz w:val="15"/>
                <w:szCs w:val="15"/>
              </w:rPr>
              <w:t>Biomass smoke</w:t>
            </w:r>
            <w:r w:rsidRPr="00B37EF3">
              <w:rPr>
                <w:rFonts w:ascii="Arial" w:hAnsi="Arial" w:cs="Arial"/>
                <w:sz w:val="15"/>
                <w:szCs w:val="15"/>
                <w:vertAlign w:val="superscript"/>
              </w:rPr>
              <w:t>(b)</w:t>
            </w:r>
          </w:p>
        </w:tc>
        <w:tc>
          <w:tcPr>
            <w:tcW w:w="1701" w:type="dxa"/>
            <w:tcBorders>
              <w:top w:val="single" w:sz="4" w:space="0" w:color="0070C0"/>
              <w:left w:val="single" w:sz="4" w:space="0" w:color="0070C0"/>
              <w:bottom w:val="single" w:sz="4" w:space="0" w:color="0070C0"/>
              <w:right w:val="single" w:sz="4" w:space="0" w:color="0070C0"/>
            </w:tcBorders>
            <w:vAlign w:val="center"/>
          </w:tcPr>
          <w:p w:rsidR="003C3971" w:rsidRPr="00B37EF3" w:rsidRDefault="00E724B2" w:rsidP="003C3971">
            <w:pPr>
              <w:spacing w:after="0" w:line="240" w:lineRule="auto"/>
              <w:jc w:val="center"/>
              <w:rPr>
                <w:rFonts w:ascii="Arial" w:hAnsi="Arial" w:cs="Arial"/>
                <w:sz w:val="15"/>
                <w:szCs w:val="15"/>
              </w:rPr>
            </w:pPr>
            <w:r w:rsidRPr="00B37EF3">
              <w:rPr>
                <w:rFonts w:ascii="Arial" w:hAnsi="Arial" w:cs="Arial"/>
                <w:sz w:val="15"/>
                <w:szCs w:val="15"/>
              </w:rPr>
              <w:t>–</w:t>
            </w:r>
          </w:p>
        </w:tc>
        <w:tc>
          <w:tcPr>
            <w:tcW w:w="1796" w:type="dxa"/>
            <w:tcBorders>
              <w:top w:val="single" w:sz="4" w:space="0" w:color="0070C0"/>
              <w:left w:val="single" w:sz="4" w:space="0" w:color="0070C0"/>
              <w:bottom w:val="single" w:sz="4" w:space="0" w:color="0070C0"/>
              <w:right w:val="single" w:sz="4" w:space="0" w:color="0070C0"/>
            </w:tcBorders>
            <w:vAlign w:val="center"/>
          </w:tcPr>
          <w:p w:rsidR="003C3971" w:rsidRPr="00B37EF3" w:rsidRDefault="003C3971" w:rsidP="003C3971">
            <w:pPr>
              <w:spacing w:after="0" w:line="240" w:lineRule="auto"/>
              <w:jc w:val="center"/>
              <w:rPr>
                <w:rFonts w:ascii="Arial" w:hAnsi="Arial" w:cs="Arial"/>
                <w:sz w:val="15"/>
                <w:szCs w:val="15"/>
              </w:rPr>
            </w:pPr>
            <w:r w:rsidRPr="00B37EF3">
              <w:rPr>
                <w:rFonts w:ascii="Arial" w:hAnsi="Arial" w:cs="Arial"/>
                <w:sz w:val="15"/>
                <w:szCs w:val="15"/>
              </w:rPr>
              <w:t>12 ± 2%</w:t>
            </w:r>
          </w:p>
        </w:tc>
      </w:tr>
      <w:tr w:rsidR="003C3971" w:rsidRPr="00B37EF3" w:rsidTr="003C3971">
        <w:trPr>
          <w:trHeight w:hRule="exact" w:val="312"/>
          <w:jc w:val="center"/>
        </w:trPr>
        <w:tc>
          <w:tcPr>
            <w:tcW w:w="2410" w:type="dxa"/>
            <w:tcBorders>
              <w:top w:val="single" w:sz="4" w:space="0" w:color="0070C0"/>
              <w:left w:val="single" w:sz="4" w:space="0" w:color="0070C0"/>
              <w:bottom w:val="single" w:sz="4" w:space="0" w:color="0070C0"/>
              <w:right w:val="single" w:sz="4" w:space="0" w:color="0070C0"/>
            </w:tcBorders>
            <w:vAlign w:val="center"/>
          </w:tcPr>
          <w:p w:rsidR="003C3971" w:rsidRPr="00B37EF3" w:rsidRDefault="003C3971" w:rsidP="003C3971">
            <w:pPr>
              <w:spacing w:after="0" w:line="240" w:lineRule="auto"/>
              <w:jc w:val="center"/>
              <w:rPr>
                <w:rFonts w:ascii="Arial" w:hAnsi="Arial" w:cs="Arial"/>
                <w:sz w:val="15"/>
                <w:szCs w:val="15"/>
              </w:rPr>
            </w:pPr>
            <w:r w:rsidRPr="00B37EF3">
              <w:rPr>
                <w:rFonts w:ascii="Arial" w:hAnsi="Arial" w:cs="Arial"/>
                <w:sz w:val="15"/>
                <w:szCs w:val="15"/>
              </w:rPr>
              <w:t>Soil</w:t>
            </w:r>
          </w:p>
        </w:tc>
        <w:tc>
          <w:tcPr>
            <w:tcW w:w="1701" w:type="dxa"/>
            <w:tcBorders>
              <w:top w:val="single" w:sz="4" w:space="0" w:color="0070C0"/>
              <w:left w:val="single" w:sz="4" w:space="0" w:color="0070C0"/>
              <w:bottom w:val="single" w:sz="4" w:space="0" w:color="0070C0"/>
              <w:right w:val="single" w:sz="4" w:space="0" w:color="0070C0"/>
            </w:tcBorders>
            <w:vAlign w:val="center"/>
          </w:tcPr>
          <w:p w:rsidR="003C3971" w:rsidRPr="00B37EF3" w:rsidRDefault="003C3971" w:rsidP="003C3971">
            <w:pPr>
              <w:spacing w:after="0" w:line="240" w:lineRule="auto"/>
              <w:jc w:val="center"/>
              <w:rPr>
                <w:rFonts w:ascii="Arial" w:hAnsi="Arial" w:cs="Arial"/>
                <w:sz w:val="15"/>
                <w:szCs w:val="15"/>
              </w:rPr>
            </w:pPr>
            <w:r w:rsidRPr="00B37EF3">
              <w:rPr>
                <w:rFonts w:ascii="Arial" w:hAnsi="Arial" w:cs="Arial"/>
                <w:sz w:val="15"/>
                <w:szCs w:val="15"/>
              </w:rPr>
              <w:t>12 ± 2%</w:t>
            </w:r>
          </w:p>
        </w:tc>
        <w:tc>
          <w:tcPr>
            <w:tcW w:w="1796" w:type="dxa"/>
            <w:tcBorders>
              <w:top w:val="single" w:sz="4" w:space="0" w:color="0070C0"/>
              <w:left w:val="single" w:sz="4" w:space="0" w:color="0070C0"/>
              <w:bottom w:val="single" w:sz="4" w:space="0" w:color="0070C0"/>
              <w:right w:val="single" w:sz="4" w:space="0" w:color="0070C0"/>
            </w:tcBorders>
            <w:vAlign w:val="center"/>
          </w:tcPr>
          <w:p w:rsidR="003C3971" w:rsidRPr="00B37EF3" w:rsidRDefault="003C3971" w:rsidP="003C3971">
            <w:pPr>
              <w:spacing w:after="0" w:line="240" w:lineRule="auto"/>
              <w:jc w:val="center"/>
              <w:rPr>
                <w:rFonts w:ascii="Arial" w:hAnsi="Arial" w:cs="Arial"/>
                <w:sz w:val="15"/>
                <w:szCs w:val="15"/>
              </w:rPr>
            </w:pPr>
            <w:r w:rsidRPr="00B37EF3">
              <w:rPr>
                <w:rFonts w:ascii="Arial" w:hAnsi="Arial" w:cs="Arial"/>
                <w:sz w:val="15"/>
                <w:szCs w:val="15"/>
              </w:rPr>
              <w:t>11 ± 1%</w:t>
            </w:r>
          </w:p>
        </w:tc>
      </w:tr>
    </w:tbl>
    <w:p w:rsidR="003C3971" w:rsidRPr="00B37EF3" w:rsidRDefault="003C3971" w:rsidP="003C3971">
      <w:pPr>
        <w:pStyle w:val="ListParagraph"/>
        <w:numPr>
          <w:ilvl w:val="5"/>
          <w:numId w:val="12"/>
        </w:numPr>
        <w:spacing w:before="120" w:after="0" w:line="240" w:lineRule="auto"/>
        <w:ind w:left="1985" w:hanging="284"/>
        <w:rPr>
          <w:rFonts w:ascii="Arial" w:hAnsi="Arial" w:cs="Arial"/>
          <w:sz w:val="14"/>
          <w:szCs w:val="14"/>
        </w:rPr>
      </w:pPr>
      <w:r w:rsidRPr="00B37EF3">
        <w:rPr>
          <w:rFonts w:ascii="Arial" w:hAnsi="Arial" w:cs="Arial"/>
          <w:sz w:val="14"/>
          <w:szCs w:val="14"/>
        </w:rPr>
        <w:t>From domestic wood burning</w:t>
      </w:r>
    </w:p>
    <w:p w:rsidR="003C3971" w:rsidRPr="00B37EF3" w:rsidRDefault="003C3971" w:rsidP="003C3971">
      <w:pPr>
        <w:pStyle w:val="ListParagraph"/>
        <w:numPr>
          <w:ilvl w:val="5"/>
          <w:numId w:val="12"/>
        </w:numPr>
        <w:spacing w:before="120" w:after="0" w:line="240" w:lineRule="auto"/>
        <w:ind w:left="1985" w:hanging="284"/>
        <w:rPr>
          <w:rFonts w:ascii="Arial" w:hAnsi="Arial" w:cs="Arial"/>
          <w:sz w:val="14"/>
          <w:szCs w:val="14"/>
        </w:rPr>
      </w:pPr>
      <w:r w:rsidRPr="00B37EF3">
        <w:rPr>
          <w:rFonts w:ascii="Arial" w:hAnsi="Arial" w:cs="Arial"/>
          <w:sz w:val="14"/>
          <w:szCs w:val="14"/>
        </w:rPr>
        <w:t>From biomass burning in bush</w:t>
      </w:r>
      <w:r w:rsidR="00E724B2" w:rsidRPr="00B37EF3">
        <w:rPr>
          <w:rFonts w:ascii="Arial" w:hAnsi="Arial" w:cs="Arial"/>
          <w:sz w:val="14"/>
          <w:szCs w:val="14"/>
        </w:rPr>
        <w:t xml:space="preserve"> </w:t>
      </w:r>
      <w:r w:rsidRPr="00B37EF3">
        <w:rPr>
          <w:rFonts w:ascii="Arial" w:hAnsi="Arial" w:cs="Arial"/>
          <w:sz w:val="14"/>
          <w:szCs w:val="14"/>
        </w:rPr>
        <w:t>f</w:t>
      </w:r>
      <w:r w:rsidR="004822A5" w:rsidRPr="00B37EF3">
        <w:rPr>
          <w:rFonts w:ascii="Arial" w:hAnsi="Arial" w:cs="Arial"/>
          <w:sz w:val="14"/>
          <w:szCs w:val="14"/>
        </w:rPr>
        <w:t>ires and hazard-reduction burns</w:t>
      </w:r>
    </w:p>
    <w:p w:rsidR="003C3971" w:rsidRPr="00B37EF3" w:rsidRDefault="003C3971" w:rsidP="00915100">
      <w:pPr>
        <w:spacing w:after="0"/>
        <w:rPr>
          <w:rFonts w:ascii="Arial" w:hAnsi="Arial" w:cs="Arial"/>
          <w:sz w:val="32"/>
          <w:szCs w:val="32"/>
        </w:rPr>
      </w:pPr>
    </w:p>
    <w:p w:rsidR="00DF3ED8" w:rsidRPr="00B37EF3" w:rsidRDefault="00681339" w:rsidP="00EF255F">
      <w:pPr>
        <w:rPr>
          <w:rFonts w:ascii="Arial" w:hAnsi="Arial" w:cs="Arial"/>
        </w:rPr>
      </w:pPr>
      <w:r w:rsidRPr="00B37EF3">
        <w:rPr>
          <w:rFonts w:ascii="Arial" w:hAnsi="Arial" w:cs="Arial"/>
        </w:rPr>
        <w:t>Seasonal changes in the contributions of the different sources to PM</w:t>
      </w:r>
      <w:r w:rsidRPr="00B37EF3">
        <w:rPr>
          <w:rFonts w:ascii="Arial" w:hAnsi="Arial" w:cs="Arial"/>
          <w:vertAlign w:val="subscript"/>
        </w:rPr>
        <w:t>2.5</w:t>
      </w:r>
      <w:r w:rsidRPr="00B37EF3">
        <w:rPr>
          <w:rFonts w:ascii="Arial" w:hAnsi="Arial" w:cs="Arial"/>
        </w:rPr>
        <w:t xml:space="preserve"> were also described. </w:t>
      </w:r>
      <w:r w:rsidR="00915100" w:rsidRPr="00B37EF3">
        <w:rPr>
          <w:rFonts w:ascii="Arial" w:hAnsi="Arial" w:cs="Arial"/>
        </w:rPr>
        <w:t>There was</w:t>
      </w:r>
      <w:r w:rsidR="00DF3ED8" w:rsidRPr="00B37EF3">
        <w:rPr>
          <w:rFonts w:ascii="Arial" w:hAnsi="Arial" w:cs="Arial"/>
        </w:rPr>
        <w:t xml:space="preserve"> some significant seasonal variation in the c</w:t>
      </w:r>
      <w:r w:rsidR="003C3971" w:rsidRPr="00B37EF3">
        <w:rPr>
          <w:rFonts w:ascii="Arial" w:hAnsi="Arial" w:cs="Arial"/>
        </w:rPr>
        <w:t xml:space="preserve">ontributions from some factors. </w:t>
      </w:r>
      <w:r w:rsidR="00DF3ED8" w:rsidRPr="00B37EF3">
        <w:rPr>
          <w:rFonts w:ascii="Arial" w:hAnsi="Arial" w:cs="Arial"/>
        </w:rPr>
        <w:t>Wood</w:t>
      </w:r>
      <w:r w:rsidR="003C3971" w:rsidRPr="00B37EF3">
        <w:rPr>
          <w:rFonts w:ascii="Arial" w:hAnsi="Arial" w:cs="Arial"/>
        </w:rPr>
        <w:t xml:space="preserve"> </w:t>
      </w:r>
      <w:r w:rsidR="00915100" w:rsidRPr="00B37EF3">
        <w:rPr>
          <w:rFonts w:ascii="Arial" w:hAnsi="Arial" w:cs="Arial"/>
        </w:rPr>
        <w:t>smoke wa</w:t>
      </w:r>
      <w:r w:rsidR="00DF3ED8" w:rsidRPr="00B37EF3">
        <w:rPr>
          <w:rFonts w:ascii="Arial" w:hAnsi="Arial" w:cs="Arial"/>
        </w:rPr>
        <w:t>s the d</w:t>
      </w:r>
      <w:r w:rsidR="008441E4" w:rsidRPr="00B37EF3">
        <w:rPr>
          <w:rFonts w:ascii="Arial" w:hAnsi="Arial" w:cs="Arial"/>
        </w:rPr>
        <w:t>ominant</w:t>
      </w:r>
      <w:r w:rsidR="00915100" w:rsidRPr="00B37EF3">
        <w:rPr>
          <w:rFonts w:ascii="Arial" w:hAnsi="Arial" w:cs="Arial"/>
        </w:rPr>
        <w:t xml:space="preserve"> source </w:t>
      </w:r>
      <w:r w:rsidR="00DF3ED8" w:rsidRPr="00B37EF3">
        <w:rPr>
          <w:rFonts w:ascii="Arial" w:hAnsi="Arial" w:cs="Arial"/>
        </w:rPr>
        <w:t xml:space="preserve">during </w:t>
      </w:r>
      <w:r w:rsidR="003C3971" w:rsidRPr="00B37EF3">
        <w:rPr>
          <w:rFonts w:ascii="Arial" w:hAnsi="Arial" w:cs="Arial"/>
        </w:rPr>
        <w:t>the winter</w:t>
      </w:r>
      <w:r w:rsidR="00915100" w:rsidRPr="00B37EF3">
        <w:rPr>
          <w:rFonts w:ascii="Arial" w:hAnsi="Arial" w:cs="Arial"/>
        </w:rPr>
        <w:t>,</w:t>
      </w:r>
      <w:r w:rsidR="003C3971" w:rsidRPr="00B37EF3">
        <w:rPr>
          <w:rFonts w:ascii="Arial" w:hAnsi="Arial" w:cs="Arial"/>
        </w:rPr>
        <w:t xml:space="preserve"> making up an average </w:t>
      </w:r>
      <w:r w:rsidR="00DF3ED8" w:rsidRPr="00B37EF3">
        <w:rPr>
          <w:rFonts w:ascii="Arial" w:hAnsi="Arial" w:cs="Arial"/>
        </w:rPr>
        <w:t>of 62% of the PM</w:t>
      </w:r>
      <w:r w:rsidR="00DF3ED8" w:rsidRPr="00B37EF3">
        <w:rPr>
          <w:rFonts w:ascii="Arial" w:hAnsi="Arial" w:cs="Arial"/>
          <w:sz w:val="14"/>
          <w:szCs w:val="14"/>
        </w:rPr>
        <w:t xml:space="preserve">2.5 </w:t>
      </w:r>
      <w:r w:rsidR="00DF3ED8" w:rsidRPr="00B37EF3">
        <w:rPr>
          <w:rFonts w:ascii="Arial" w:hAnsi="Arial" w:cs="Arial"/>
        </w:rPr>
        <w:t>in Muswellbrook and 38% of the PM</w:t>
      </w:r>
      <w:r w:rsidR="00DF3ED8" w:rsidRPr="00B37EF3">
        <w:rPr>
          <w:rFonts w:ascii="Arial" w:hAnsi="Arial" w:cs="Arial"/>
          <w:sz w:val="14"/>
          <w:szCs w:val="14"/>
        </w:rPr>
        <w:t xml:space="preserve">2.5 </w:t>
      </w:r>
      <w:r w:rsidR="00DF3ED8" w:rsidRPr="00B37EF3">
        <w:rPr>
          <w:rFonts w:ascii="Arial" w:hAnsi="Arial" w:cs="Arial"/>
        </w:rPr>
        <w:t xml:space="preserve">in Singleton. </w:t>
      </w:r>
      <w:r w:rsidR="003C3971" w:rsidRPr="00B37EF3">
        <w:rPr>
          <w:rFonts w:ascii="Arial" w:hAnsi="Arial" w:cs="Arial"/>
        </w:rPr>
        <w:t>Secondary s</w:t>
      </w:r>
      <w:r w:rsidR="00915100" w:rsidRPr="00B37EF3">
        <w:rPr>
          <w:rFonts w:ascii="Arial" w:hAnsi="Arial" w:cs="Arial"/>
        </w:rPr>
        <w:t>ulfate made</w:t>
      </w:r>
      <w:r w:rsidR="00DF3ED8" w:rsidRPr="00B37EF3">
        <w:rPr>
          <w:rFonts w:ascii="Arial" w:hAnsi="Arial" w:cs="Arial"/>
        </w:rPr>
        <w:t xml:space="preserve"> the highest contributions durin</w:t>
      </w:r>
      <w:r w:rsidR="003C3971" w:rsidRPr="00B37EF3">
        <w:rPr>
          <w:rFonts w:ascii="Arial" w:hAnsi="Arial" w:cs="Arial"/>
        </w:rPr>
        <w:t>g the summer months</w:t>
      </w:r>
      <w:r w:rsidR="00915100" w:rsidRPr="00B37EF3">
        <w:rPr>
          <w:rFonts w:ascii="Arial" w:hAnsi="Arial" w:cs="Arial"/>
        </w:rPr>
        <w:t>,</w:t>
      </w:r>
      <w:r w:rsidR="003C3971" w:rsidRPr="00B37EF3">
        <w:rPr>
          <w:rFonts w:ascii="Arial" w:hAnsi="Arial" w:cs="Arial"/>
        </w:rPr>
        <w:t xml:space="preserve"> along with industry aged sea s</w:t>
      </w:r>
      <w:r w:rsidR="00DF3ED8" w:rsidRPr="00B37EF3">
        <w:rPr>
          <w:rFonts w:ascii="Arial" w:hAnsi="Arial" w:cs="Arial"/>
        </w:rPr>
        <w:t>alt. Both of these factors include</w:t>
      </w:r>
      <w:r w:rsidR="00915100" w:rsidRPr="00B37EF3">
        <w:rPr>
          <w:rFonts w:ascii="Arial" w:hAnsi="Arial" w:cs="Arial"/>
        </w:rPr>
        <w:t>d</w:t>
      </w:r>
      <w:r w:rsidR="00DF3ED8" w:rsidRPr="00B37EF3">
        <w:rPr>
          <w:rFonts w:ascii="Arial" w:hAnsi="Arial" w:cs="Arial"/>
        </w:rPr>
        <w:t xml:space="preserve"> secondary particles formed as a resul</w:t>
      </w:r>
      <w:r w:rsidR="003C3971" w:rsidRPr="00B37EF3">
        <w:rPr>
          <w:rFonts w:ascii="Arial" w:hAnsi="Arial" w:cs="Arial"/>
        </w:rPr>
        <w:t xml:space="preserve">t of photochemical reactions in </w:t>
      </w:r>
      <w:r w:rsidR="00DF3ED8" w:rsidRPr="00B37EF3">
        <w:rPr>
          <w:rFonts w:ascii="Arial" w:hAnsi="Arial" w:cs="Arial"/>
        </w:rPr>
        <w:t>th</w:t>
      </w:r>
      <w:r w:rsidR="00915100" w:rsidRPr="00B37EF3">
        <w:rPr>
          <w:rFonts w:ascii="Arial" w:hAnsi="Arial" w:cs="Arial"/>
        </w:rPr>
        <w:t>e atmosphere. The study provided</w:t>
      </w:r>
      <w:r w:rsidR="00DF3ED8" w:rsidRPr="00B37EF3">
        <w:rPr>
          <w:rFonts w:ascii="Arial" w:hAnsi="Arial" w:cs="Arial"/>
        </w:rPr>
        <w:t xml:space="preserve"> evidence of sulfate as a po</w:t>
      </w:r>
      <w:r w:rsidR="003C3971" w:rsidRPr="00B37EF3">
        <w:rPr>
          <w:rFonts w:ascii="Arial" w:hAnsi="Arial" w:cs="Arial"/>
        </w:rPr>
        <w:t xml:space="preserve">llutant at regional scales. </w:t>
      </w:r>
      <w:r w:rsidR="00DF3ED8" w:rsidRPr="00B37EF3">
        <w:rPr>
          <w:rFonts w:ascii="Arial" w:hAnsi="Arial" w:cs="Arial"/>
        </w:rPr>
        <w:t>A unique fingerprint for fugitive coal dust emissions was not fo</w:t>
      </w:r>
      <w:r w:rsidR="00915100" w:rsidRPr="00B37EF3">
        <w:rPr>
          <w:rFonts w:ascii="Arial" w:hAnsi="Arial" w:cs="Arial"/>
        </w:rPr>
        <w:t>und in the study. However, elemental carbon in the s</w:t>
      </w:r>
      <w:r w:rsidR="00DF3ED8" w:rsidRPr="00B37EF3">
        <w:rPr>
          <w:rFonts w:ascii="Arial" w:hAnsi="Arial" w:cs="Arial"/>
        </w:rPr>
        <w:t>oi</w:t>
      </w:r>
      <w:r w:rsidR="00915100" w:rsidRPr="00B37EF3">
        <w:rPr>
          <w:rFonts w:ascii="Arial" w:hAnsi="Arial" w:cs="Arial"/>
        </w:rPr>
        <w:t xml:space="preserve">l fingerprint </w:t>
      </w:r>
      <w:r w:rsidR="00DF3ED8" w:rsidRPr="00B37EF3">
        <w:rPr>
          <w:rFonts w:ascii="Arial" w:hAnsi="Arial" w:cs="Arial"/>
        </w:rPr>
        <w:t xml:space="preserve">may </w:t>
      </w:r>
      <w:r w:rsidR="00915100" w:rsidRPr="00B37EF3">
        <w:rPr>
          <w:rFonts w:ascii="Arial" w:hAnsi="Arial" w:cs="Arial"/>
        </w:rPr>
        <w:t xml:space="preserve">have </w:t>
      </w:r>
      <w:r w:rsidR="00DF3ED8" w:rsidRPr="00B37EF3">
        <w:rPr>
          <w:rFonts w:ascii="Arial" w:hAnsi="Arial" w:cs="Arial"/>
        </w:rPr>
        <w:t>result</w:t>
      </w:r>
      <w:r w:rsidR="00915100" w:rsidRPr="00B37EF3">
        <w:rPr>
          <w:rFonts w:ascii="Arial" w:hAnsi="Arial" w:cs="Arial"/>
        </w:rPr>
        <w:t>ed</w:t>
      </w:r>
      <w:r w:rsidR="00DF3ED8" w:rsidRPr="00B37EF3">
        <w:rPr>
          <w:rFonts w:ascii="Arial" w:hAnsi="Arial" w:cs="Arial"/>
        </w:rPr>
        <w:t xml:space="preserve"> from the contribution of fugitive coal dust </w:t>
      </w:r>
      <w:r w:rsidR="00915100" w:rsidRPr="00B37EF3">
        <w:rPr>
          <w:rFonts w:ascii="Arial" w:hAnsi="Arial" w:cs="Arial"/>
        </w:rPr>
        <w:t>or</w:t>
      </w:r>
      <w:r w:rsidR="00DF3ED8" w:rsidRPr="00B37EF3">
        <w:rPr>
          <w:rFonts w:ascii="Arial" w:hAnsi="Arial" w:cs="Arial"/>
        </w:rPr>
        <w:t xml:space="preserve"> non</w:t>
      </w:r>
      <w:r w:rsidR="004E4F7F" w:rsidRPr="00B37EF3">
        <w:rPr>
          <w:rFonts w:ascii="Arial" w:hAnsi="Arial" w:cs="Arial"/>
        </w:rPr>
        <w:t>-</w:t>
      </w:r>
      <w:r w:rsidR="00DF3ED8" w:rsidRPr="00B37EF3">
        <w:rPr>
          <w:rFonts w:ascii="Arial" w:hAnsi="Arial" w:cs="Arial"/>
        </w:rPr>
        <w:t xml:space="preserve">road diesel </w:t>
      </w:r>
      <w:r w:rsidR="00915100" w:rsidRPr="00B37EF3">
        <w:rPr>
          <w:rFonts w:ascii="Arial" w:hAnsi="Arial" w:cs="Arial"/>
        </w:rPr>
        <w:t>vehicles at coal mines</w:t>
      </w:r>
      <w:r w:rsidR="00DF3ED8" w:rsidRPr="00B37EF3">
        <w:rPr>
          <w:rFonts w:ascii="Arial" w:hAnsi="Arial" w:cs="Arial"/>
        </w:rPr>
        <w:t>. Nevertheless</w:t>
      </w:r>
      <w:r w:rsidR="00915100" w:rsidRPr="00B37EF3">
        <w:rPr>
          <w:rFonts w:ascii="Arial" w:hAnsi="Arial" w:cs="Arial"/>
        </w:rPr>
        <w:t>, elemental carbon represented only</w:t>
      </w:r>
      <w:r w:rsidR="00DF3ED8" w:rsidRPr="00B37EF3">
        <w:rPr>
          <w:rFonts w:ascii="Arial" w:hAnsi="Arial" w:cs="Arial"/>
        </w:rPr>
        <w:t xml:space="preserve"> 1% of total PM2.5 </w:t>
      </w:r>
      <w:r w:rsidR="003C3971" w:rsidRPr="00B37EF3">
        <w:rPr>
          <w:rFonts w:ascii="Arial" w:hAnsi="Arial" w:cs="Arial"/>
        </w:rPr>
        <w:t xml:space="preserve">at Singleton and 4% of total </w:t>
      </w:r>
      <w:r w:rsidR="00DF3ED8" w:rsidRPr="00B37EF3">
        <w:rPr>
          <w:rFonts w:ascii="Arial" w:hAnsi="Arial" w:cs="Arial"/>
        </w:rPr>
        <w:t xml:space="preserve">PM2.5 </w:t>
      </w:r>
      <w:r w:rsidR="003C3971" w:rsidRPr="00B37EF3">
        <w:rPr>
          <w:rFonts w:ascii="Arial" w:hAnsi="Arial" w:cs="Arial"/>
        </w:rPr>
        <w:t>at Muswellbrook</w:t>
      </w:r>
      <w:r w:rsidR="00915100" w:rsidRPr="00B37EF3">
        <w:rPr>
          <w:rFonts w:ascii="Arial" w:hAnsi="Arial" w:cs="Arial"/>
        </w:rPr>
        <w:t xml:space="preserve"> </w:t>
      </w:r>
      <w:r w:rsidR="00915100" w:rsidRPr="00B37EF3">
        <w:rPr>
          <w:rFonts w:ascii="Arial" w:hAnsi="Arial" w:cs="Arial"/>
          <w:b/>
        </w:rPr>
        <w:t>(</w:t>
      </w:r>
      <w:proofErr w:type="spellStart"/>
      <w:r w:rsidR="00915100" w:rsidRPr="00B37EF3">
        <w:rPr>
          <w:rFonts w:ascii="Arial" w:hAnsi="Arial" w:cs="Arial"/>
          <w:b/>
        </w:rPr>
        <w:t>Hibberd</w:t>
      </w:r>
      <w:proofErr w:type="spellEnd"/>
      <w:r w:rsidR="00915100" w:rsidRPr="00B37EF3">
        <w:rPr>
          <w:rFonts w:ascii="Arial" w:hAnsi="Arial" w:cs="Arial"/>
          <w:b/>
        </w:rPr>
        <w:t xml:space="preserve"> </w:t>
      </w:r>
      <w:r w:rsidR="009334F4" w:rsidRPr="00B37EF3">
        <w:rPr>
          <w:rFonts w:ascii="Arial" w:hAnsi="Arial" w:cs="Arial"/>
          <w:b/>
        </w:rPr>
        <w:t>et al</w:t>
      </w:r>
      <w:r w:rsidR="00915100" w:rsidRPr="00B37EF3">
        <w:rPr>
          <w:rFonts w:ascii="Arial" w:hAnsi="Arial" w:cs="Arial"/>
          <w:b/>
        </w:rPr>
        <w:t>. 2013)</w:t>
      </w:r>
      <w:r w:rsidR="003C3971" w:rsidRPr="00B37EF3">
        <w:rPr>
          <w:rFonts w:ascii="Arial" w:hAnsi="Arial" w:cs="Arial"/>
        </w:rPr>
        <w:t>.</w:t>
      </w:r>
    </w:p>
    <w:p w:rsidR="00A33606" w:rsidRPr="00B37EF3" w:rsidRDefault="005B3EF7" w:rsidP="00EF255F">
      <w:pPr>
        <w:rPr>
          <w:rFonts w:ascii="Arial" w:eastAsia="Arial Unicode MS" w:hAnsi="Arial" w:cs="Arial"/>
        </w:rPr>
      </w:pPr>
      <w:r w:rsidRPr="00B37EF3">
        <w:rPr>
          <w:rFonts w:ascii="Arial" w:eastAsia="Calibri" w:hAnsi="Arial" w:cs="Arial"/>
        </w:rPr>
        <w:t xml:space="preserve">Extensive receptor modelling studies have been undertaken in Brisbane </w:t>
      </w:r>
      <w:r w:rsidR="004E4F7F" w:rsidRPr="00B37EF3">
        <w:rPr>
          <w:rFonts w:ascii="Arial" w:eastAsia="Calibri" w:hAnsi="Arial" w:cs="Arial"/>
        </w:rPr>
        <w:t>–</w:t>
      </w:r>
      <w:r w:rsidRPr="00B37EF3">
        <w:rPr>
          <w:rFonts w:ascii="Arial" w:eastAsia="Calibri" w:hAnsi="Arial" w:cs="Arial"/>
        </w:rPr>
        <w:t xml:space="preserve"> and to a lesser extent </w:t>
      </w:r>
      <w:r w:rsidRPr="00B37EF3">
        <w:rPr>
          <w:rFonts w:ascii="Arial" w:eastAsia="Arial Unicode MS" w:hAnsi="Arial" w:cs="Arial"/>
        </w:rPr>
        <w:t xml:space="preserve">in Melbourne, Sydney and Adelaide </w:t>
      </w:r>
      <w:r w:rsidR="004E4F7F" w:rsidRPr="00B37EF3">
        <w:rPr>
          <w:rFonts w:ascii="Arial" w:eastAsia="Arial Unicode MS" w:hAnsi="Arial" w:cs="Arial"/>
        </w:rPr>
        <w:t>–</w:t>
      </w:r>
      <w:r w:rsidRPr="00B37EF3">
        <w:rPr>
          <w:rFonts w:ascii="Arial" w:eastAsia="Arial Unicode MS" w:hAnsi="Arial" w:cs="Arial"/>
        </w:rPr>
        <w:t xml:space="preserve"> </w:t>
      </w:r>
      <w:r w:rsidRPr="00B37EF3">
        <w:rPr>
          <w:rFonts w:ascii="Arial" w:eastAsia="Calibri" w:hAnsi="Arial" w:cs="Arial"/>
        </w:rPr>
        <w:t xml:space="preserve">by Griffith University </w:t>
      </w:r>
      <w:r w:rsidRPr="00B37EF3">
        <w:rPr>
          <w:rFonts w:ascii="Arial" w:eastAsia="Calibri" w:hAnsi="Arial" w:cs="Arial"/>
          <w:b/>
        </w:rPr>
        <w:t xml:space="preserve">(Chan </w:t>
      </w:r>
      <w:r w:rsidR="009334F4" w:rsidRPr="00B37EF3">
        <w:rPr>
          <w:rFonts w:ascii="Arial" w:eastAsia="Calibri" w:hAnsi="Arial" w:cs="Arial"/>
          <w:b/>
        </w:rPr>
        <w:t>et al.</w:t>
      </w:r>
      <w:r w:rsidRPr="00B37EF3">
        <w:rPr>
          <w:rFonts w:ascii="Arial" w:eastAsia="Calibri" w:hAnsi="Arial" w:cs="Arial"/>
          <w:b/>
        </w:rPr>
        <w:t xml:space="preserve"> 1997, 1999, 2000, </w:t>
      </w:r>
      <w:r w:rsidRPr="00B37EF3">
        <w:rPr>
          <w:rFonts w:ascii="Arial" w:eastAsia="Arial Unicode MS" w:hAnsi="Arial" w:cs="Arial"/>
          <w:b/>
        </w:rPr>
        <w:t xml:space="preserve">2008, </w:t>
      </w:r>
      <w:r w:rsidRPr="00B37EF3">
        <w:rPr>
          <w:rFonts w:ascii="Arial" w:eastAsia="Calibri" w:hAnsi="Arial" w:cs="Arial"/>
          <w:b/>
        </w:rPr>
        <w:t>2011)</w:t>
      </w:r>
      <w:r w:rsidRPr="00B37EF3">
        <w:rPr>
          <w:rFonts w:ascii="Arial" w:eastAsia="Calibri" w:hAnsi="Arial" w:cs="Arial"/>
        </w:rPr>
        <w:t xml:space="preserve">. </w:t>
      </w:r>
      <w:r w:rsidR="00A33606" w:rsidRPr="00B37EF3">
        <w:rPr>
          <w:rFonts w:ascii="Arial" w:eastAsia="Century Gothic" w:hAnsi="Arial" w:cs="Arial"/>
        </w:rPr>
        <w:t>These studies hav</w:t>
      </w:r>
      <w:r w:rsidRPr="00B37EF3">
        <w:rPr>
          <w:rFonts w:ascii="Arial" w:eastAsia="Century Gothic" w:hAnsi="Arial" w:cs="Arial"/>
        </w:rPr>
        <w:t>e shown that secondary PM</w:t>
      </w:r>
      <w:r w:rsidR="00A33606" w:rsidRPr="00B37EF3">
        <w:rPr>
          <w:rFonts w:ascii="Arial" w:eastAsia="Century Gothic" w:hAnsi="Arial" w:cs="Arial"/>
        </w:rPr>
        <w:t xml:space="preserve"> form</w:t>
      </w:r>
      <w:r w:rsidRPr="00B37EF3">
        <w:rPr>
          <w:rFonts w:ascii="Arial" w:eastAsia="Century Gothic" w:hAnsi="Arial" w:cs="Arial"/>
        </w:rPr>
        <w:t>s</w:t>
      </w:r>
      <w:r w:rsidR="00A33606" w:rsidRPr="00B37EF3">
        <w:rPr>
          <w:rFonts w:ascii="Arial" w:eastAsia="Century Gothic" w:hAnsi="Arial" w:cs="Arial"/>
        </w:rPr>
        <w:t xml:space="preserve"> a significant component of PM</w:t>
      </w:r>
      <w:r w:rsidR="00A33606" w:rsidRPr="00B37EF3">
        <w:rPr>
          <w:rFonts w:ascii="Arial" w:eastAsia="Century Gothic" w:hAnsi="Arial" w:cs="Arial"/>
          <w:vertAlign w:val="subscript"/>
        </w:rPr>
        <w:t>10</w:t>
      </w:r>
      <w:r w:rsidR="00A33606" w:rsidRPr="00B37EF3">
        <w:rPr>
          <w:rFonts w:ascii="Arial" w:eastAsia="Century Gothic" w:hAnsi="Arial" w:cs="Arial"/>
        </w:rPr>
        <w:t xml:space="preserve"> and PM</w:t>
      </w:r>
      <w:r w:rsidR="00A33606" w:rsidRPr="00B37EF3">
        <w:rPr>
          <w:rFonts w:ascii="Arial" w:eastAsia="Century Gothic" w:hAnsi="Arial" w:cs="Arial"/>
          <w:vertAlign w:val="subscript"/>
        </w:rPr>
        <w:t>2.5</w:t>
      </w:r>
      <w:r w:rsidR="00A33606" w:rsidRPr="00B37EF3">
        <w:rPr>
          <w:rFonts w:ascii="Arial" w:eastAsia="Century Gothic" w:hAnsi="Arial" w:cs="Arial"/>
        </w:rPr>
        <w:t xml:space="preserve">. </w:t>
      </w:r>
      <w:r w:rsidR="00A33606" w:rsidRPr="00B37EF3">
        <w:rPr>
          <w:rFonts w:ascii="Arial" w:eastAsia="Arial Unicode MS" w:hAnsi="Arial" w:cs="Arial"/>
        </w:rPr>
        <w:t xml:space="preserve">It was observed by </w:t>
      </w:r>
      <w:r w:rsidR="00A33606" w:rsidRPr="00B37EF3">
        <w:rPr>
          <w:rFonts w:ascii="Arial" w:eastAsia="Arial Unicode MS" w:hAnsi="Arial" w:cs="Arial"/>
          <w:b/>
        </w:rPr>
        <w:t xml:space="preserve">Chan </w:t>
      </w:r>
      <w:r w:rsidR="009334F4" w:rsidRPr="00B37EF3">
        <w:rPr>
          <w:rFonts w:ascii="Arial" w:eastAsia="Arial Unicode MS" w:hAnsi="Arial" w:cs="Arial"/>
          <w:b/>
        </w:rPr>
        <w:t>et al.</w:t>
      </w:r>
      <w:r w:rsidR="00A33606" w:rsidRPr="00B37EF3">
        <w:rPr>
          <w:rFonts w:ascii="Arial" w:eastAsia="Arial Unicode MS" w:hAnsi="Arial" w:cs="Arial"/>
          <w:b/>
        </w:rPr>
        <w:t xml:space="preserve"> (1999)</w:t>
      </w:r>
      <w:r w:rsidRPr="00B37EF3">
        <w:rPr>
          <w:rFonts w:ascii="Arial" w:eastAsia="Arial Unicode MS" w:hAnsi="Arial" w:cs="Arial"/>
        </w:rPr>
        <w:t xml:space="preserve"> that secondary organic compounds and secondary sulf</w:t>
      </w:r>
      <w:r w:rsidR="00A33606" w:rsidRPr="00B37EF3">
        <w:rPr>
          <w:rFonts w:ascii="Arial" w:eastAsia="Arial Unicode MS" w:hAnsi="Arial" w:cs="Arial"/>
        </w:rPr>
        <w:t>ates accounted for 21% and 14% of PM</w:t>
      </w:r>
      <w:r w:rsidR="00A33606" w:rsidRPr="00B37EF3">
        <w:rPr>
          <w:rFonts w:ascii="Arial" w:eastAsia="Arial Unicode MS" w:hAnsi="Arial" w:cs="Arial"/>
          <w:vertAlign w:val="subscript"/>
        </w:rPr>
        <w:t>2.5</w:t>
      </w:r>
      <w:r w:rsidR="00A33606" w:rsidRPr="00B37EF3">
        <w:rPr>
          <w:rFonts w:ascii="Arial" w:eastAsia="Arial Unicode MS" w:hAnsi="Arial" w:cs="Arial"/>
        </w:rPr>
        <w:t xml:space="preserve"> respectively at a suburban site in Brisbane. Most of the secondary products were related to motor vehicle exhaust.</w:t>
      </w:r>
      <w:r w:rsidR="00A33606" w:rsidRPr="00B37EF3">
        <w:rPr>
          <w:rFonts w:ascii="Arial" w:eastAsia="Century Gothic" w:hAnsi="Arial" w:cs="Arial"/>
        </w:rPr>
        <w:t xml:space="preserve"> </w:t>
      </w:r>
      <w:r w:rsidR="00A33606" w:rsidRPr="00B37EF3">
        <w:rPr>
          <w:rFonts w:ascii="Arial" w:eastAsia="Arial Unicode MS" w:hAnsi="Arial" w:cs="Arial"/>
        </w:rPr>
        <w:t xml:space="preserve">In a study in the four cities mentioned above, </w:t>
      </w:r>
      <w:r w:rsidR="00A33606" w:rsidRPr="00B37EF3">
        <w:rPr>
          <w:rFonts w:ascii="Arial" w:eastAsia="Arial Unicode MS" w:hAnsi="Arial" w:cs="Arial"/>
          <w:b/>
        </w:rPr>
        <w:t xml:space="preserve">Chan </w:t>
      </w:r>
      <w:r w:rsidR="009334F4" w:rsidRPr="00B37EF3">
        <w:rPr>
          <w:rFonts w:ascii="Arial" w:eastAsia="Arial Unicode MS" w:hAnsi="Arial" w:cs="Arial"/>
          <w:b/>
        </w:rPr>
        <w:t>et al.</w:t>
      </w:r>
      <w:r w:rsidR="00A33606" w:rsidRPr="00B37EF3">
        <w:rPr>
          <w:rFonts w:ascii="Arial" w:eastAsia="Arial Unicode MS" w:hAnsi="Arial" w:cs="Arial"/>
          <w:b/>
        </w:rPr>
        <w:t xml:space="preserve"> (2008)</w:t>
      </w:r>
      <w:r w:rsidR="00A33606" w:rsidRPr="00B37EF3">
        <w:rPr>
          <w:rFonts w:ascii="Arial" w:eastAsia="Arial Unicode MS" w:hAnsi="Arial" w:cs="Arial"/>
        </w:rPr>
        <w:t xml:space="preserve"> found that, on average, secondary nitrates/</w:t>
      </w:r>
      <w:r w:rsidR="00E72AA1" w:rsidRPr="00B37EF3">
        <w:rPr>
          <w:rFonts w:ascii="Arial" w:eastAsia="Arial Unicode MS" w:hAnsi="Arial" w:cs="Arial"/>
        </w:rPr>
        <w:t>sulf</w:t>
      </w:r>
      <w:r w:rsidR="00A33606" w:rsidRPr="00B37EF3">
        <w:rPr>
          <w:rFonts w:ascii="Arial" w:eastAsia="Arial Unicode MS" w:hAnsi="Arial" w:cs="Arial"/>
        </w:rPr>
        <w:t>ates contributed about 25% of the mass of the PM</w:t>
      </w:r>
      <w:r w:rsidR="00A33606" w:rsidRPr="00B37EF3">
        <w:rPr>
          <w:rFonts w:ascii="Arial" w:eastAsia="Arial Unicode MS" w:hAnsi="Arial" w:cs="Arial"/>
          <w:vertAlign w:val="subscript"/>
        </w:rPr>
        <w:t>2.5</w:t>
      </w:r>
      <w:r w:rsidR="00A33606" w:rsidRPr="00B37EF3">
        <w:rPr>
          <w:rFonts w:ascii="Arial" w:eastAsia="Arial Unicode MS" w:hAnsi="Arial" w:cs="Arial"/>
        </w:rPr>
        <w:t xml:space="preserve"> samples. Secondary </w:t>
      </w:r>
      <w:r w:rsidR="00E72AA1" w:rsidRPr="00B37EF3">
        <w:rPr>
          <w:rFonts w:ascii="Arial" w:eastAsia="Arial Unicode MS" w:hAnsi="Arial" w:cs="Arial"/>
        </w:rPr>
        <w:t>sulf</w:t>
      </w:r>
      <w:r w:rsidR="00A33606" w:rsidRPr="00B37EF3">
        <w:rPr>
          <w:rFonts w:ascii="Arial" w:eastAsia="Arial Unicode MS" w:hAnsi="Arial" w:cs="Arial"/>
        </w:rPr>
        <w:t xml:space="preserve">ates and nitrates were found to be spread out evenly within each city. The average contribution of secondary nitrates to fine particles was also </w:t>
      </w:r>
      <w:r w:rsidR="004E4F7F" w:rsidRPr="00B37EF3">
        <w:rPr>
          <w:rFonts w:ascii="Arial" w:eastAsia="Arial Unicode MS" w:hAnsi="Arial" w:cs="Arial"/>
        </w:rPr>
        <w:t xml:space="preserve">quite </w:t>
      </w:r>
      <w:r w:rsidR="00A33606" w:rsidRPr="00B37EF3">
        <w:rPr>
          <w:rFonts w:ascii="Arial" w:eastAsia="Arial Unicode MS" w:hAnsi="Arial" w:cs="Arial"/>
        </w:rPr>
        <w:t>uniform in different seasons, rather than higher in winter as found in other studies. It was suggested that this could be due to the low humidity conditions in winter in the Australian cities</w:t>
      </w:r>
      <w:r w:rsidR="004E4F7F" w:rsidRPr="00B37EF3">
        <w:rPr>
          <w:rFonts w:ascii="Arial" w:eastAsia="Arial Unicode MS" w:hAnsi="Arial" w:cs="Arial"/>
        </w:rPr>
        <w:t>,</w:t>
      </w:r>
      <w:r w:rsidR="00A33606" w:rsidRPr="00B37EF3">
        <w:rPr>
          <w:rFonts w:ascii="Arial" w:eastAsia="Arial Unicode MS" w:hAnsi="Arial" w:cs="Arial"/>
        </w:rPr>
        <w:t xml:space="preserve"> which makes the partitioning of the particle phase less favourable in the NH</w:t>
      </w:r>
      <w:r w:rsidR="00A33606" w:rsidRPr="00B37EF3">
        <w:rPr>
          <w:rFonts w:ascii="Arial" w:eastAsia="Arial Unicode MS" w:hAnsi="Arial" w:cs="Arial"/>
          <w:vertAlign w:val="subscript"/>
        </w:rPr>
        <w:t>4</w:t>
      </w:r>
      <w:r w:rsidR="00A33606" w:rsidRPr="00B37EF3">
        <w:rPr>
          <w:rFonts w:ascii="Arial" w:eastAsia="Arial Unicode MS" w:hAnsi="Arial" w:cs="Arial"/>
        </w:rPr>
        <w:t>NO</w:t>
      </w:r>
      <w:r w:rsidR="00A33606" w:rsidRPr="00B37EF3">
        <w:rPr>
          <w:rFonts w:ascii="Arial" w:eastAsia="Arial Unicode MS" w:hAnsi="Arial" w:cs="Arial"/>
          <w:vertAlign w:val="subscript"/>
        </w:rPr>
        <w:t>3</w:t>
      </w:r>
      <w:r w:rsidR="00A33606" w:rsidRPr="00B37EF3">
        <w:rPr>
          <w:rFonts w:ascii="Arial" w:eastAsia="Arial Unicode MS" w:hAnsi="Arial" w:cs="Arial"/>
        </w:rPr>
        <w:t xml:space="preserve"> equilibrium.</w:t>
      </w:r>
    </w:p>
    <w:p w:rsidR="00A33606" w:rsidRPr="00B37EF3" w:rsidRDefault="00A33606" w:rsidP="00EF255F">
      <w:pPr>
        <w:rPr>
          <w:rFonts w:ascii="Arial" w:eastAsia="Century Gothic" w:hAnsi="Arial" w:cs="Arial"/>
        </w:rPr>
      </w:pPr>
      <w:r w:rsidRPr="00B37EF3">
        <w:rPr>
          <w:rFonts w:ascii="Arial" w:eastAsia="Century Gothic" w:hAnsi="Arial" w:cs="Arial"/>
        </w:rPr>
        <w:t>The composition of PM</w:t>
      </w:r>
      <w:r w:rsidRPr="00B37EF3">
        <w:rPr>
          <w:rFonts w:ascii="Arial" w:eastAsia="Century Gothic" w:hAnsi="Arial" w:cs="Arial"/>
          <w:vertAlign w:val="subscript"/>
        </w:rPr>
        <w:t>2.5</w:t>
      </w:r>
      <w:r w:rsidRPr="00B37EF3">
        <w:rPr>
          <w:rFonts w:ascii="Arial" w:eastAsia="Century Gothic" w:hAnsi="Arial" w:cs="Arial"/>
        </w:rPr>
        <w:t xml:space="preserve"> was determined by </w:t>
      </w:r>
      <w:r w:rsidRPr="00B37EF3">
        <w:rPr>
          <w:rFonts w:ascii="Arial" w:eastAsia="Century Gothic" w:hAnsi="Arial" w:cs="Arial"/>
          <w:b/>
        </w:rPr>
        <w:t xml:space="preserve">Friend </w:t>
      </w:r>
      <w:r w:rsidR="009334F4" w:rsidRPr="00B37EF3">
        <w:rPr>
          <w:rFonts w:ascii="Arial" w:eastAsia="Century Gothic" w:hAnsi="Arial" w:cs="Arial"/>
          <w:b/>
        </w:rPr>
        <w:t>et al.</w:t>
      </w:r>
      <w:r w:rsidRPr="00B37EF3">
        <w:rPr>
          <w:rFonts w:ascii="Arial" w:eastAsia="Century Gothic" w:hAnsi="Arial" w:cs="Arial"/>
          <w:b/>
        </w:rPr>
        <w:t xml:space="preserve"> (2011</w:t>
      </w:r>
      <w:r w:rsidR="00E81231" w:rsidRPr="00B37EF3">
        <w:rPr>
          <w:rFonts w:ascii="Arial" w:eastAsia="Century Gothic" w:hAnsi="Arial" w:cs="Arial"/>
          <w:b/>
        </w:rPr>
        <w:t>b</w:t>
      </w:r>
      <w:r w:rsidRPr="00B37EF3">
        <w:rPr>
          <w:rFonts w:ascii="Arial" w:eastAsia="Century Gothic" w:hAnsi="Arial" w:cs="Arial"/>
          <w:b/>
        </w:rPr>
        <w:t>)</w:t>
      </w:r>
      <w:r w:rsidRPr="00B37EF3">
        <w:rPr>
          <w:rFonts w:ascii="Arial" w:eastAsia="Century Gothic" w:hAnsi="Arial" w:cs="Arial"/>
        </w:rPr>
        <w:t xml:space="preserve"> for two sites in the South-East Queensland region (Rocklea and South Brisbane), and sources were analysed using a receptor model. The five common sources of PM</w:t>
      </w:r>
      <w:r w:rsidRPr="00B37EF3">
        <w:rPr>
          <w:rFonts w:ascii="Arial" w:eastAsia="Century Gothic" w:hAnsi="Arial" w:cs="Arial"/>
          <w:vertAlign w:val="subscript"/>
        </w:rPr>
        <w:t>2.5</w:t>
      </w:r>
      <w:r w:rsidRPr="00B37EF3">
        <w:rPr>
          <w:rFonts w:ascii="Arial" w:eastAsia="Century Gothic" w:hAnsi="Arial" w:cs="Arial"/>
        </w:rPr>
        <w:t xml:space="preserve"> at both sites were motor vehicle emissions, biomass burning, secondary </w:t>
      </w:r>
      <w:r w:rsidR="00E72AA1" w:rsidRPr="00B37EF3">
        <w:rPr>
          <w:rFonts w:ascii="Arial" w:eastAsia="Century Gothic" w:hAnsi="Arial" w:cs="Arial"/>
        </w:rPr>
        <w:t>sulf</w:t>
      </w:r>
      <w:r w:rsidRPr="00B37EF3">
        <w:rPr>
          <w:rFonts w:ascii="Arial" w:eastAsia="Century Gothic" w:hAnsi="Arial" w:cs="Arial"/>
        </w:rPr>
        <w:t xml:space="preserve">ate, sea salt and soil. Secondary </w:t>
      </w:r>
      <w:r w:rsidR="00E72AA1" w:rsidRPr="00B37EF3">
        <w:rPr>
          <w:rFonts w:ascii="Arial" w:eastAsia="Century Gothic" w:hAnsi="Arial" w:cs="Arial"/>
        </w:rPr>
        <w:t>sulf</w:t>
      </w:r>
      <w:r w:rsidRPr="00B37EF3">
        <w:rPr>
          <w:rFonts w:ascii="Arial" w:eastAsia="Century Gothic" w:hAnsi="Arial" w:cs="Arial"/>
        </w:rPr>
        <w:t>ate was the most significant contributor (up to 40%) to PM</w:t>
      </w:r>
      <w:r w:rsidRPr="00B37EF3">
        <w:rPr>
          <w:rFonts w:ascii="Arial" w:eastAsia="Century Gothic" w:hAnsi="Arial" w:cs="Arial"/>
          <w:vertAlign w:val="subscript"/>
        </w:rPr>
        <w:t>2.5</w:t>
      </w:r>
      <w:r w:rsidRPr="00B37EF3">
        <w:rPr>
          <w:rFonts w:ascii="Arial" w:eastAsia="Century Gothic" w:hAnsi="Arial" w:cs="Arial"/>
        </w:rPr>
        <w:t xml:space="preserve"> aerosols at the South Brisbane site, and the second most important at the Rocklea site. Biomass burning was the most significant source at the Rocklea site.</w:t>
      </w:r>
      <w:r w:rsidR="004B4989" w:rsidRPr="00B37EF3">
        <w:rPr>
          <w:rFonts w:ascii="Arial" w:eastAsia="Century Gothic" w:hAnsi="Arial" w:cs="Arial"/>
        </w:rPr>
        <w:t xml:space="preserve"> </w:t>
      </w:r>
      <w:r w:rsidRPr="00B37EF3">
        <w:rPr>
          <w:rFonts w:ascii="Arial" w:eastAsia="Century Gothic" w:hAnsi="Arial" w:cs="Arial"/>
        </w:rPr>
        <w:t>In addition, dust storms that caused the PM</w:t>
      </w:r>
      <w:r w:rsidRPr="00B37EF3">
        <w:rPr>
          <w:rFonts w:ascii="Arial" w:eastAsia="Century Gothic" w:hAnsi="Arial" w:cs="Arial"/>
          <w:vertAlign w:val="subscript"/>
        </w:rPr>
        <w:t>2.5</w:t>
      </w:r>
      <w:r w:rsidRPr="00B37EF3">
        <w:rPr>
          <w:rFonts w:ascii="Arial" w:eastAsia="Century Gothic" w:hAnsi="Arial" w:cs="Arial"/>
        </w:rPr>
        <w:t xml:space="preserve"> </w:t>
      </w:r>
      <w:r w:rsidR="00721151" w:rsidRPr="00B37EF3">
        <w:rPr>
          <w:rFonts w:ascii="Arial" w:eastAsia="Century Gothic" w:hAnsi="Arial" w:cs="Arial"/>
        </w:rPr>
        <w:t xml:space="preserve">concentration to exceed the </w:t>
      </w:r>
      <w:r w:rsidR="00EF24F8" w:rsidRPr="00B37EF3">
        <w:rPr>
          <w:rFonts w:ascii="Arial" w:eastAsia="Century Gothic" w:hAnsi="Arial" w:cs="Arial"/>
        </w:rPr>
        <w:t>AAQ NEPM</w:t>
      </w:r>
      <w:r w:rsidRPr="00B37EF3">
        <w:rPr>
          <w:rFonts w:ascii="Arial" w:eastAsia="Century Gothic" w:hAnsi="Arial" w:cs="Arial"/>
        </w:rPr>
        <w:t xml:space="preserve"> standard were observed at both sites.</w:t>
      </w:r>
    </w:p>
    <w:p w:rsidR="00A33606" w:rsidRPr="00B37EF3" w:rsidRDefault="00A33606" w:rsidP="00EF255F">
      <w:pPr>
        <w:rPr>
          <w:rFonts w:ascii="Arial" w:eastAsia="Century Gothic" w:hAnsi="Arial" w:cs="Arial"/>
        </w:rPr>
      </w:pPr>
      <w:r w:rsidRPr="00B37EF3">
        <w:rPr>
          <w:rFonts w:ascii="Arial" w:eastAsia="Century Gothic" w:hAnsi="Arial" w:cs="Arial"/>
        </w:rPr>
        <w:t xml:space="preserve">The earliest estimates of the contribution of SOA to particulate mass (PM) in Australian cities were obtained by </w:t>
      </w:r>
      <w:r w:rsidRPr="00B37EF3">
        <w:rPr>
          <w:rFonts w:ascii="Arial" w:eastAsia="Century Gothic" w:hAnsi="Arial" w:cs="Arial"/>
          <w:b/>
        </w:rPr>
        <w:t xml:space="preserve">Gras </w:t>
      </w:r>
      <w:r w:rsidR="009334F4" w:rsidRPr="00B37EF3">
        <w:rPr>
          <w:rFonts w:ascii="Arial" w:eastAsia="Century Gothic" w:hAnsi="Arial" w:cs="Arial"/>
          <w:b/>
        </w:rPr>
        <w:t>et al.</w:t>
      </w:r>
      <w:r w:rsidRPr="00B37EF3">
        <w:rPr>
          <w:rFonts w:ascii="Arial" w:eastAsia="Century Gothic" w:hAnsi="Arial" w:cs="Arial"/>
          <w:b/>
        </w:rPr>
        <w:t xml:space="preserve"> (1992)</w:t>
      </w:r>
      <w:r w:rsidRPr="00B37EF3">
        <w:rPr>
          <w:rFonts w:ascii="Arial" w:eastAsia="Century Gothic" w:hAnsi="Arial" w:cs="Arial"/>
        </w:rPr>
        <w:t xml:space="preserve"> and </w:t>
      </w:r>
      <w:r w:rsidRPr="00B37EF3">
        <w:rPr>
          <w:rFonts w:ascii="Arial" w:eastAsia="Century Gothic" w:hAnsi="Arial" w:cs="Arial"/>
          <w:b/>
        </w:rPr>
        <w:t>Gras (1996)</w:t>
      </w:r>
      <w:r w:rsidRPr="00B37EF3">
        <w:rPr>
          <w:rFonts w:ascii="Arial" w:eastAsia="Century Gothic" w:hAnsi="Arial" w:cs="Arial"/>
        </w:rPr>
        <w:t>, although SOA was grouped with secondary inorganic aerosol. The first study to determine the specific contribution of SOA to PM</w:t>
      </w:r>
      <w:r w:rsidRPr="00B37EF3">
        <w:rPr>
          <w:rFonts w:ascii="Arial" w:eastAsia="Century Gothic" w:hAnsi="Arial" w:cs="Arial"/>
          <w:vertAlign w:val="subscript"/>
        </w:rPr>
        <w:t>2.5</w:t>
      </w:r>
      <w:r w:rsidRPr="00B37EF3">
        <w:rPr>
          <w:rFonts w:ascii="Arial" w:eastAsia="Century Gothic" w:hAnsi="Arial" w:cs="Arial"/>
        </w:rPr>
        <w:t xml:space="preserve"> in an Australian urban context (Melbourne) was by </w:t>
      </w:r>
      <w:proofErr w:type="spellStart"/>
      <w:r w:rsidRPr="00B37EF3">
        <w:rPr>
          <w:rFonts w:ascii="Arial" w:eastAsia="Century Gothic" w:hAnsi="Arial" w:cs="Arial"/>
          <w:b/>
        </w:rPr>
        <w:t>Keywood</w:t>
      </w:r>
      <w:proofErr w:type="spellEnd"/>
      <w:r w:rsidRPr="00B37EF3">
        <w:rPr>
          <w:rFonts w:ascii="Arial" w:eastAsia="Century Gothic" w:hAnsi="Arial" w:cs="Arial"/>
          <w:b/>
        </w:rPr>
        <w:t xml:space="preserve"> </w:t>
      </w:r>
      <w:r w:rsidR="009334F4" w:rsidRPr="00B37EF3">
        <w:rPr>
          <w:rFonts w:ascii="Arial" w:eastAsia="Century Gothic" w:hAnsi="Arial" w:cs="Arial"/>
          <w:b/>
        </w:rPr>
        <w:t>et al.</w:t>
      </w:r>
      <w:r w:rsidRPr="00B37EF3">
        <w:rPr>
          <w:rFonts w:ascii="Arial" w:eastAsia="Century Gothic" w:hAnsi="Arial" w:cs="Arial"/>
          <w:b/>
        </w:rPr>
        <w:t xml:space="preserve"> (2011)</w:t>
      </w:r>
      <w:r w:rsidRPr="00B37EF3">
        <w:rPr>
          <w:rFonts w:ascii="Arial" w:eastAsia="Century Gothic" w:hAnsi="Arial" w:cs="Arial"/>
        </w:rPr>
        <w:t>. SOA was estimated indirectly using the elemental carbon tracer method. The median annual SOA concentration was found to be 1.1 µg/m</w:t>
      </w:r>
      <w:r w:rsidRPr="00B37EF3">
        <w:rPr>
          <w:rFonts w:ascii="Arial" w:eastAsia="Century Gothic" w:hAnsi="Arial" w:cs="Arial"/>
          <w:vertAlign w:val="superscript"/>
        </w:rPr>
        <w:t>3</w:t>
      </w:r>
      <w:r w:rsidRPr="00B37EF3">
        <w:rPr>
          <w:rFonts w:ascii="Arial" w:eastAsia="Century Gothic" w:hAnsi="Arial" w:cs="Arial"/>
        </w:rPr>
        <w:t>, representing 13% of PM</w:t>
      </w:r>
      <w:r w:rsidRPr="00B37EF3">
        <w:rPr>
          <w:rFonts w:ascii="Arial" w:eastAsia="Century Gothic" w:hAnsi="Arial" w:cs="Arial"/>
          <w:vertAlign w:val="subscript"/>
        </w:rPr>
        <w:t>2.5</w:t>
      </w:r>
      <w:r w:rsidRPr="00B37EF3">
        <w:rPr>
          <w:rFonts w:ascii="Arial" w:eastAsia="Century Gothic" w:hAnsi="Arial" w:cs="Arial"/>
        </w:rPr>
        <w:t>. Significantly higher SOA concentrations were determined when bush</w:t>
      </w:r>
      <w:r w:rsidR="00EB3931" w:rsidRPr="00B37EF3">
        <w:rPr>
          <w:rFonts w:ascii="Arial" w:eastAsia="Century Gothic" w:hAnsi="Arial" w:cs="Arial"/>
        </w:rPr>
        <w:t xml:space="preserve"> </w:t>
      </w:r>
      <w:r w:rsidRPr="00B37EF3">
        <w:rPr>
          <w:rFonts w:ascii="Arial" w:eastAsia="Century Gothic" w:hAnsi="Arial" w:cs="Arial"/>
        </w:rPr>
        <w:t xml:space="preserve">fire smoke affected the </w:t>
      </w:r>
      <w:proofErr w:type="spellStart"/>
      <w:r w:rsidRPr="00B37EF3">
        <w:rPr>
          <w:rFonts w:ascii="Arial" w:eastAsia="Century Gothic" w:hAnsi="Arial" w:cs="Arial"/>
        </w:rPr>
        <w:t>airshed</w:t>
      </w:r>
      <w:proofErr w:type="spellEnd"/>
      <w:r w:rsidRPr="00B37EF3">
        <w:rPr>
          <w:rFonts w:ascii="Arial" w:eastAsia="Century Gothic" w:hAnsi="Arial" w:cs="Arial"/>
        </w:rPr>
        <w:t>, and SOA displayed a seasonal cycle. The SOA fraction of PM</w:t>
      </w:r>
      <w:r w:rsidRPr="00B37EF3">
        <w:rPr>
          <w:rFonts w:ascii="Arial" w:eastAsia="Century Gothic" w:hAnsi="Arial" w:cs="Arial"/>
          <w:sz w:val="13"/>
          <w:szCs w:val="13"/>
        </w:rPr>
        <w:t xml:space="preserve">2.5 </w:t>
      </w:r>
      <w:r w:rsidRPr="00B37EF3">
        <w:rPr>
          <w:rFonts w:ascii="Arial" w:eastAsia="Century Gothic" w:hAnsi="Arial" w:cs="Arial"/>
        </w:rPr>
        <w:t>was greatest during the autumn and early winter months when the formation of inversions allowed build-up of particles produced by domestic wood</w:t>
      </w:r>
      <w:r w:rsidR="004E4F7F" w:rsidRPr="00B37EF3">
        <w:rPr>
          <w:rFonts w:ascii="Arial" w:eastAsia="Century Gothic" w:hAnsi="Arial" w:cs="Arial"/>
        </w:rPr>
        <w:t xml:space="preserve"> </w:t>
      </w:r>
      <w:r w:rsidRPr="00B37EF3">
        <w:rPr>
          <w:rFonts w:ascii="Arial" w:eastAsia="Century Gothic" w:hAnsi="Arial" w:cs="Arial"/>
        </w:rPr>
        <w:t xml:space="preserve">heater emissions. </w:t>
      </w:r>
      <w:proofErr w:type="spellStart"/>
      <w:r w:rsidRPr="00B37EF3">
        <w:rPr>
          <w:rFonts w:ascii="Arial" w:eastAsia="Century Gothic" w:hAnsi="Arial" w:cs="Arial"/>
          <w:b/>
        </w:rPr>
        <w:t>Keywood</w:t>
      </w:r>
      <w:proofErr w:type="spellEnd"/>
      <w:r w:rsidRPr="00B37EF3">
        <w:rPr>
          <w:rFonts w:ascii="Arial" w:eastAsia="Century Gothic" w:hAnsi="Arial" w:cs="Arial"/>
          <w:b/>
        </w:rPr>
        <w:t xml:space="preserve"> </w:t>
      </w:r>
      <w:r w:rsidR="009334F4" w:rsidRPr="00B37EF3">
        <w:rPr>
          <w:rFonts w:ascii="Arial" w:eastAsia="Century Gothic" w:hAnsi="Arial" w:cs="Arial"/>
          <w:b/>
        </w:rPr>
        <w:t>et al.</w:t>
      </w:r>
      <w:r w:rsidRPr="00B37EF3">
        <w:rPr>
          <w:rFonts w:ascii="Arial" w:eastAsia="Century Gothic" w:hAnsi="Arial" w:cs="Arial"/>
          <w:b/>
        </w:rPr>
        <w:t xml:space="preserve"> (2011)</w:t>
      </w:r>
      <w:r w:rsidRPr="00B37EF3">
        <w:rPr>
          <w:rFonts w:ascii="Arial" w:eastAsia="Century Gothic" w:hAnsi="Arial" w:cs="Arial"/>
        </w:rPr>
        <w:t xml:space="preserve"> also suggested that biogenic VOCs are a source of SOA both at urban and non-urban sites.</w:t>
      </w:r>
      <w:r w:rsidRPr="00B37EF3">
        <w:rPr>
          <w:rFonts w:ascii="Arial" w:eastAsia="Century Gothic" w:hAnsi="Arial" w:cs="Arial"/>
          <w:sz w:val="13"/>
          <w:szCs w:val="13"/>
        </w:rPr>
        <w:t xml:space="preserve"> </w:t>
      </w:r>
      <w:r w:rsidRPr="00B37EF3">
        <w:rPr>
          <w:rFonts w:ascii="Arial" w:eastAsia="Century Gothic" w:hAnsi="Arial" w:cs="Arial"/>
        </w:rPr>
        <w:t xml:space="preserve">During summer the </w:t>
      </w:r>
      <w:r w:rsidRPr="00B37EF3">
        <w:rPr>
          <w:rFonts w:ascii="Arial" w:eastAsia="Century Gothic" w:hAnsi="Arial" w:cs="Arial"/>
        </w:rPr>
        <w:lastRenderedPageBreak/>
        <w:t>biogenic VOC oxidation is the most likely source of SOA, whereas during winter the oxidation of volatile species associated with wood</w:t>
      </w:r>
      <w:r w:rsidR="004E4F7F" w:rsidRPr="00B37EF3">
        <w:rPr>
          <w:rFonts w:ascii="Arial" w:eastAsia="Century Gothic" w:hAnsi="Arial" w:cs="Arial"/>
        </w:rPr>
        <w:t xml:space="preserve"> </w:t>
      </w:r>
      <w:r w:rsidRPr="00B37EF3">
        <w:rPr>
          <w:rFonts w:ascii="Arial" w:eastAsia="Century Gothic" w:hAnsi="Arial" w:cs="Arial"/>
        </w:rPr>
        <w:t>smoke emissions are a probable source of non-fossil SOA.</w:t>
      </w:r>
    </w:p>
    <w:p w:rsidR="00A33606" w:rsidRPr="00B37EF3" w:rsidRDefault="00A33606" w:rsidP="00EF255F">
      <w:pPr>
        <w:rPr>
          <w:rFonts w:ascii="Arial" w:eastAsia="ArialMT" w:hAnsi="Arial" w:cs="Arial"/>
        </w:rPr>
      </w:pPr>
      <w:r w:rsidRPr="00B37EF3">
        <w:rPr>
          <w:rFonts w:ascii="Arial" w:eastAsia="Century Gothic" w:hAnsi="Arial" w:cs="Arial"/>
        </w:rPr>
        <w:t>An important issue in Australia is biom</w:t>
      </w:r>
      <w:r w:rsidR="00E54142" w:rsidRPr="00B37EF3">
        <w:rPr>
          <w:rFonts w:ascii="Arial" w:eastAsia="Century Gothic" w:hAnsi="Arial" w:cs="Arial"/>
        </w:rPr>
        <w:t xml:space="preserve">ass burning. In rural towns </w:t>
      </w:r>
      <w:r w:rsidRPr="00B37EF3">
        <w:rPr>
          <w:rFonts w:ascii="Arial" w:eastAsia="Century Gothic" w:hAnsi="Arial" w:cs="Arial"/>
        </w:rPr>
        <w:t xml:space="preserve">smoke from biomass burning </w:t>
      </w:r>
      <w:r w:rsidR="004E4F7F" w:rsidRPr="00B37EF3">
        <w:rPr>
          <w:rFonts w:ascii="Arial" w:eastAsia="Century Gothic" w:hAnsi="Arial" w:cs="Arial"/>
        </w:rPr>
        <w:t>–</w:t>
      </w:r>
      <w:r w:rsidR="00A076AC" w:rsidRPr="00B37EF3">
        <w:rPr>
          <w:rFonts w:ascii="Arial" w:eastAsia="Century Gothic" w:hAnsi="Arial" w:cs="Arial"/>
        </w:rPr>
        <w:t xml:space="preserve"> </w:t>
      </w:r>
      <w:r w:rsidRPr="00B37EF3">
        <w:rPr>
          <w:rFonts w:ascii="Arial" w:eastAsia="Century Gothic" w:hAnsi="Arial" w:cs="Arial"/>
        </w:rPr>
        <w:t>such as prescribed burning of forests, wild</w:t>
      </w:r>
      <w:r w:rsidR="00EB3931" w:rsidRPr="00B37EF3">
        <w:rPr>
          <w:rFonts w:ascii="Arial" w:eastAsia="Century Gothic" w:hAnsi="Arial" w:cs="Arial"/>
        </w:rPr>
        <w:t xml:space="preserve"> </w:t>
      </w:r>
      <w:r w:rsidRPr="00B37EF3">
        <w:rPr>
          <w:rFonts w:ascii="Arial" w:eastAsia="Century Gothic" w:hAnsi="Arial" w:cs="Arial"/>
        </w:rPr>
        <w:t>fi</w:t>
      </w:r>
      <w:r w:rsidR="00A076AC" w:rsidRPr="00B37EF3">
        <w:rPr>
          <w:rFonts w:ascii="Arial" w:eastAsia="Century Gothic" w:hAnsi="Arial" w:cs="Arial"/>
        </w:rPr>
        <w:t xml:space="preserve">res and stubble </w:t>
      </w:r>
      <w:r w:rsidR="004E4F7F" w:rsidRPr="00B37EF3">
        <w:rPr>
          <w:rFonts w:ascii="Arial" w:eastAsia="Century Gothic" w:hAnsi="Arial" w:cs="Arial"/>
        </w:rPr>
        <w:t>–</w:t>
      </w:r>
      <w:r w:rsidRPr="00B37EF3">
        <w:rPr>
          <w:rFonts w:ascii="Arial" w:eastAsia="Century Gothic" w:hAnsi="Arial" w:cs="Arial"/>
        </w:rPr>
        <w:t xml:space="preserve"> is often claimed to be the major source of air pollution.</w:t>
      </w:r>
      <w:r w:rsidR="00E81231" w:rsidRPr="00B37EF3">
        <w:rPr>
          <w:rFonts w:ascii="Arial" w:eastAsia="ArialMT" w:hAnsi="Arial" w:cs="Arial"/>
        </w:rPr>
        <w:t xml:space="preserve"> </w:t>
      </w:r>
      <w:r w:rsidR="00237704" w:rsidRPr="00B37EF3">
        <w:rPr>
          <w:rFonts w:ascii="Arial" w:eastAsia="ArialMT" w:hAnsi="Arial" w:cs="Arial"/>
        </w:rPr>
        <w:t>Queensland Department of Science, Information Technology, Innovation and the Arts (</w:t>
      </w:r>
      <w:r w:rsidR="00E81231" w:rsidRPr="00B37EF3">
        <w:rPr>
          <w:rFonts w:ascii="Arial" w:eastAsia="ArialMT" w:hAnsi="Arial" w:cs="Arial"/>
        </w:rPr>
        <w:t>DSITIA</w:t>
      </w:r>
      <w:r w:rsidR="00237704" w:rsidRPr="00B37EF3">
        <w:rPr>
          <w:rFonts w:ascii="Arial" w:eastAsia="ArialMT" w:hAnsi="Arial" w:cs="Arial"/>
        </w:rPr>
        <w:t>)</w:t>
      </w:r>
      <w:r w:rsidR="00E81231" w:rsidRPr="00B37EF3">
        <w:rPr>
          <w:rFonts w:ascii="Arial" w:eastAsia="ArialMT" w:hAnsi="Arial" w:cs="Arial"/>
        </w:rPr>
        <w:t xml:space="preserve"> has identified biomass burning as a significant PM source in Brisbane, as forest back-burning to prevent forest fires in the summer is a usual occurrence around the city </w:t>
      </w:r>
      <w:r w:rsidR="00047EEE" w:rsidRPr="00B37EF3">
        <w:rPr>
          <w:rFonts w:ascii="Arial" w:eastAsia="ArialMT" w:hAnsi="Arial" w:cs="Arial"/>
          <w:b/>
        </w:rPr>
        <w:t>(SEC 2011</w:t>
      </w:r>
      <w:r w:rsidR="00E81231" w:rsidRPr="00B37EF3">
        <w:rPr>
          <w:rFonts w:ascii="Arial" w:eastAsia="ArialMT" w:hAnsi="Arial" w:cs="Arial"/>
          <w:b/>
        </w:rPr>
        <w:t>)</w:t>
      </w:r>
      <w:r w:rsidR="00E81231" w:rsidRPr="00B37EF3">
        <w:rPr>
          <w:rFonts w:ascii="Arial" w:eastAsia="ArialMT" w:hAnsi="Arial" w:cs="Arial"/>
        </w:rPr>
        <w:t xml:space="preserve">. </w:t>
      </w:r>
      <w:proofErr w:type="spellStart"/>
      <w:r w:rsidRPr="00B37EF3">
        <w:rPr>
          <w:rFonts w:ascii="Arial" w:eastAsia="Century Gothic" w:hAnsi="Arial" w:cs="Arial"/>
          <w:b/>
        </w:rPr>
        <w:t>Reisen</w:t>
      </w:r>
      <w:proofErr w:type="spellEnd"/>
      <w:r w:rsidRPr="00B37EF3">
        <w:rPr>
          <w:rFonts w:ascii="Arial" w:eastAsia="Century Gothic" w:hAnsi="Arial" w:cs="Arial"/>
          <w:b/>
        </w:rPr>
        <w:t xml:space="preserve"> </w:t>
      </w:r>
      <w:r w:rsidR="009334F4" w:rsidRPr="00B37EF3">
        <w:rPr>
          <w:rFonts w:ascii="Arial" w:eastAsia="Century Gothic" w:hAnsi="Arial" w:cs="Arial"/>
          <w:b/>
        </w:rPr>
        <w:t>et al.</w:t>
      </w:r>
      <w:r w:rsidRPr="00B37EF3">
        <w:rPr>
          <w:rFonts w:ascii="Arial" w:eastAsia="Century Gothic" w:hAnsi="Arial" w:cs="Arial"/>
          <w:b/>
        </w:rPr>
        <w:t xml:space="preserve"> (2011)</w:t>
      </w:r>
      <w:r w:rsidRPr="00B37EF3">
        <w:rPr>
          <w:rFonts w:ascii="Arial" w:eastAsia="Century Gothic" w:hAnsi="Arial" w:cs="Arial"/>
        </w:rPr>
        <w:t xml:space="preserve"> measured PM</w:t>
      </w:r>
      <w:r w:rsidRPr="00B37EF3">
        <w:rPr>
          <w:rFonts w:ascii="Arial" w:eastAsia="Century Gothic" w:hAnsi="Arial" w:cs="Arial"/>
          <w:vertAlign w:val="subscript"/>
        </w:rPr>
        <w:t>2.5</w:t>
      </w:r>
      <w:r w:rsidRPr="00B37EF3">
        <w:rPr>
          <w:rFonts w:ascii="Arial" w:eastAsia="Century Gothic" w:hAnsi="Arial" w:cs="Arial"/>
        </w:rPr>
        <w:t xml:space="preserve"> at two rural locations in southern Australia. Monitoring clearly showed that, on occasions, air quality in rural areas was significantly affected by smoke from biomass combustion, with PM</w:t>
      </w:r>
      <w:r w:rsidRPr="00B37EF3">
        <w:rPr>
          <w:rFonts w:ascii="Arial" w:eastAsia="Century Gothic" w:hAnsi="Arial" w:cs="Arial"/>
          <w:vertAlign w:val="subscript"/>
        </w:rPr>
        <w:t>2.5</w:t>
      </w:r>
      <w:r w:rsidRPr="00B37EF3">
        <w:rPr>
          <w:rFonts w:ascii="Arial" w:eastAsia="Century Gothic" w:hAnsi="Arial" w:cs="Arial"/>
        </w:rPr>
        <w:t xml:space="preserve"> showing the greatest impact. Biomass burning emits a complex mixture of air pollutants, both as gases and particulate matter. Gaseous species include carbon dioxide, carbon monoxide, hydrocarbons and a large range of trace gases. Significantly higher SOA concentrations have been observed when bush</w:t>
      </w:r>
      <w:r w:rsidR="00EB3931" w:rsidRPr="00B37EF3">
        <w:rPr>
          <w:rFonts w:ascii="Arial" w:eastAsia="Century Gothic" w:hAnsi="Arial" w:cs="Arial"/>
        </w:rPr>
        <w:t xml:space="preserve"> </w:t>
      </w:r>
      <w:r w:rsidRPr="00B37EF3">
        <w:rPr>
          <w:rFonts w:ascii="Arial" w:eastAsia="Century Gothic" w:hAnsi="Arial" w:cs="Arial"/>
        </w:rPr>
        <w:t xml:space="preserve">fire smoke affects an </w:t>
      </w:r>
      <w:proofErr w:type="spellStart"/>
      <w:r w:rsidRPr="00B37EF3">
        <w:rPr>
          <w:rFonts w:ascii="Arial" w:eastAsia="Century Gothic" w:hAnsi="Arial" w:cs="Arial"/>
        </w:rPr>
        <w:t>airshed</w:t>
      </w:r>
      <w:proofErr w:type="spellEnd"/>
      <w:r w:rsidRPr="00B37EF3">
        <w:rPr>
          <w:rFonts w:ascii="Arial" w:eastAsia="Century Gothic" w:hAnsi="Arial" w:cs="Arial"/>
        </w:rPr>
        <w:t>.</w:t>
      </w:r>
    </w:p>
    <w:p w:rsidR="00A33606" w:rsidRPr="00B37EF3" w:rsidRDefault="00A33606" w:rsidP="00EF255F">
      <w:pPr>
        <w:rPr>
          <w:rFonts w:ascii="Arial" w:eastAsia="Century Gothic" w:hAnsi="Arial" w:cs="Arial"/>
        </w:rPr>
      </w:pPr>
      <w:r w:rsidRPr="00B37EF3">
        <w:rPr>
          <w:rFonts w:ascii="Arial" w:eastAsia="Century Gothic" w:hAnsi="Arial" w:cs="Arial"/>
        </w:rPr>
        <w:t>The literature shows that secondary PM can be responsible for a large fraction of PM</w:t>
      </w:r>
      <w:r w:rsidRPr="00B37EF3">
        <w:rPr>
          <w:rFonts w:ascii="Arial" w:eastAsia="Century Gothic" w:hAnsi="Arial" w:cs="Arial"/>
          <w:vertAlign w:val="subscript"/>
        </w:rPr>
        <w:t>2.5</w:t>
      </w:r>
      <w:r w:rsidR="00A076AC" w:rsidRPr="00B37EF3">
        <w:rPr>
          <w:rFonts w:ascii="Arial" w:eastAsia="Century Gothic" w:hAnsi="Arial" w:cs="Arial"/>
        </w:rPr>
        <w:t xml:space="preserve"> and </w:t>
      </w:r>
      <w:r w:rsidRPr="00B37EF3">
        <w:rPr>
          <w:rFonts w:ascii="Arial" w:eastAsia="Century Gothic" w:hAnsi="Arial" w:cs="Arial"/>
        </w:rPr>
        <w:t>PM</w:t>
      </w:r>
      <w:r w:rsidRPr="00B37EF3">
        <w:rPr>
          <w:rFonts w:ascii="Arial" w:eastAsia="Century Gothic" w:hAnsi="Arial" w:cs="Arial"/>
          <w:vertAlign w:val="subscript"/>
        </w:rPr>
        <w:t>10</w:t>
      </w:r>
      <w:r w:rsidRPr="00B37EF3">
        <w:rPr>
          <w:rFonts w:ascii="Arial" w:eastAsia="Century Gothic" w:hAnsi="Arial" w:cs="Arial"/>
        </w:rPr>
        <w:t>. On the whole, secondary PM is distributed more evenly than primary PM on a regional scale, with fewer differences between urban and rural areas. However, the contribution of different components of secondary PM to total PM</w:t>
      </w:r>
      <w:r w:rsidRPr="00B37EF3">
        <w:rPr>
          <w:rFonts w:ascii="Arial" w:eastAsia="Century Gothic" w:hAnsi="Arial" w:cs="Arial"/>
          <w:vertAlign w:val="subscript"/>
        </w:rPr>
        <w:t>10</w:t>
      </w:r>
      <w:r w:rsidRPr="00B37EF3">
        <w:rPr>
          <w:rFonts w:ascii="Arial" w:eastAsia="Century Gothic" w:hAnsi="Arial" w:cs="Arial"/>
        </w:rPr>
        <w:t xml:space="preserve"> and PM</w:t>
      </w:r>
      <w:r w:rsidRPr="00B37EF3">
        <w:rPr>
          <w:rFonts w:ascii="Arial" w:eastAsia="Century Gothic" w:hAnsi="Arial" w:cs="Arial"/>
          <w:vertAlign w:val="subscript"/>
        </w:rPr>
        <w:t>2.5</w:t>
      </w:r>
      <w:r w:rsidRPr="00B37EF3">
        <w:rPr>
          <w:rFonts w:ascii="Arial" w:eastAsia="Century Gothic" w:hAnsi="Arial" w:cs="Arial"/>
        </w:rPr>
        <w:t xml:space="preserve"> still varies substantially </w:t>
      </w:r>
      <w:r w:rsidR="00A076AC" w:rsidRPr="00B37EF3">
        <w:rPr>
          <w:rFonts w:ascii="Arial" w:eastAsia="Century Gothic" w:hAnsi="Arial" w:cs="Arial"/>
        </w:rPr>
        <w:t xml:space="preserve">both </w:t>
      </w:r>
      <w:r w:rsidRPr="00B37EF3">
        <w:rPr>
          <w:rFonts w:ascii="Arial" w:eastAsia="Century Gothic" w:hAnsi="Arial" w:cs="Arial"/>
        </w:rPr>
        <w:t>spatially and temporally. Between-site differences are strongly influenced by factors such as the emissions of precursor gases, the different processes involved in the formation of inorganic and organic secondary particles, the local levels of other pollutants, and the specific meteorological conditions.</w:t>
      </w:r>
    </w:p>
    <w:p w:rsidR="00A33606" w:rsidRPr="00B37EF3" w:rsidRDefault="00A33606" w:rsidP="00EF255F">
      <w:pPr>
        <w:rPr>
          <w:rFonts w:ascii="Arial" w:eastAsia="Century Gothic" w:hAnsi="Arial" w:cs="Arial"/>
        </w:rPr>
      </w:pPr>
      <w:r w:rsidRPr="00B37EF3">
        <w:rPr>
          <w:rFonts w:ascii="Arial" w:eastAsia="Century Gothic" w:hAnsi="Arial" w:cs="Arial"/>
        </w:rPr>
        <w:t>Data on secondary particles at Australian sites are rather limited.</w:t>
      </w:r>
      <w:r w:rsidRPr="00B37EF3">
        <w:rPr>
          <w:rFonts w:ascii="Arial" w:eastAsia="Century Gothic" w:hAnsi="Arial" w:cs="Arial"/>
          <w:b/>
        </w:rPr>
        <w:t xml:space="preserve"> </w:t>
      </w:r>
      <w:proofErr w:type="spellStart"/>
      <w:r w:rsidRPr="00B37EF3">
        <w:rPr>
          <w:rFonts w:ascii="Arial" w:eastAsia="Century Gothic" w:hAnsi="Arial" w:cs="Arial"/>
          <w:b/>
        </w:rPr>
        <w:t>Watkiss</w:t>
      </w:r>
      <w:proofErr w:type="spellEnd"/>
      <w:r w:rsidRPr="00B37EF3">
        <w:rPr>
          <w:rFonts w:ascii="Arial" w:eastAsia="Century Gothic" w:hAnsi="Arial" w:cs="Arial"/>
          <w:b/>
        </w:rPr>
        <w:t xml:space="preserve"> (2002)</w:t>
      </w:r>
      <w:r w:rsidRPr="00B37EF3">
        <w:rPr>
          <w:rFonts w:ascii="Arial" w:eastAsia="Century Gothic" w:hAnsi="Arial" w:cs="Arial"/>
        </w:rPr>
        <w:t xml:space="preserve"> noted that within Australia nitrate formation will be extremely site-specific, with significant variations between different states and cities. In order to evaluate the role of nitrates a detailed assessment is needed to understand the levels of particulate nitrate aerosol in urban PM</w:t>
      </w:r>
      <w:r w:rsidRPr="00B37EF3">
        <w:rPr>
          <w:rFonts w:ascii="Arial" w:eastAsia="Century Gothic" w:hAnsi="Arial" w:cs="Arial"/>
          <w:vertAlign w:val="subscript"/>
        </w:rPr>
        <w:t>10</w:t>
      </w:r>
      <w:r w:rsidRPr="00B37EF3">
        <w:rPr>
          <w:rFonts w:ascii="Arial" w:eastAsia="Century Gothic" w:hAnsi="Arial" w:cs="Arial"/>
        </w:rPr>
        <w:t xml:space="preserve"> levels, the types of aerosol species present, the background concentrations of other pollutants involved (e.g. ammonia) and the regional</w:t>
      </w:r>
      <w:r w:rsidR="004E4F7F" w:rsidRPr="00B37EF3">
        <w:rPr>
          <w:rFonts w:ascii="Arial" w:eastAsia="Century Gothic" w:hAnsi="Arial" w:cs="Arial"/>
        </w:rPr>
        <w:t>-</w:t>
      </w:r>
      <w:r w:rsidRPr="00B37EF3">
        <w:rPr>
          <w:rFonts w:ascii="Arial" w:eastAsia="Century Gothic" w:hAnsi="Arial" w:cs="Arial"/>
        </w:rPr>
        <w:t>scale photochemical production of particulate nitrate.</w:t>
      </w:r>
    </w:p>
    <w:p w:rsidR="00A33606" w:rsidRPr="00B37EF3" w:rsidRDefault="00A33606" w:rsidP="00EF255F">
      <w:pPr>
        <w:rPr>
          <w:rFonts w:ascii="Arial" w:eastAsia="Century Gothic" w:hAnsi="Arial" w:cs="Arial"/>
        </w:rPr>
      </w:pPr>
      <w:r w:rsidRPr="00B37EF3">
        <w:rPr>
          <w:rFonts w:ascii="Arial" w:eastAsia="Century Gothic" w:hAnsi="Arial" w:cs="Arial"/>
        </w:rPr>
        <w:t>In Europe and the U</w:t>
      </w:r>
      <w:r w:rsidR="005F5551" w:rsidRPr="00B37EF3">
        <w:rPr>
          <w:rFonts w:ascii="Arial" w:eastAsia="Century Gothic" w:hAnsi="Arial" w:cs="Arial"/>
        </w:rPr>
        <w:t xml:space="preserve">nited </w:t>
      </w:r>
      <w:r w:rsidRPr="00B37EF3">
        <w:rPr>
          <w:rFonts w:ascii="Arial" w:eastAsia="Century Gothic" w:hAnsi="Arial" w:cs="Arial"/>
        </w:rPr>
        <w:t>S</w:t>
      </w:r>
      <w:r w:rsidR="005F5551" w:rsidRPr="00B37EF3">
        <w:rPr>
          <w:rFonts w:ascii="Arial" w:eastAsia="Century Gothic" w:hAnsi="Arial" w:cs="Arial"/>
        </w:rPr>
        <w:t>tates</w:t>
      </w:r>
      <w:r w:rsidRPr="00B37EF3">
        <w:rPr>
          <w:rFonts w:ascii="Arial" w:eastAsia="Century Gothic" w:hAnsi="Arial" w:cs="Arial"/>
        </w:rPr>
        <w:t xml:space="preserve"> the contribution of SOA to PM has been found to be espe</w:t>
      </w:r>
      <w:r w:rsidR="00A076AC" w:rsidRPr="00B37EF3">
        <w:rPr>
          <w:rFonts w:ascii="Arial" w:eastAsia="Century Gothic" w:hAnsi="Arial" w:cs="Arial"/>
        </w:rPr>
        <w:t xml:space="preserve">cially variable. </w:t>
      </w:r>
      <w:r w:rsidR="00237704" w:rsidRPr="00B37EF3">
        <w:rPr>
          <w:rFonts w:ascii="Arial" w:eastAsia="Century Gothic" w:hAnsi="Arial" w:cs="Arial"/>
        </w:rPr>
        <w:t>F</w:t>
      </w:r>
      <w:r w:rsidRPr="00B37EF3">
        <w:rPr>
          <w:rFonts w:ascii="Arial" w:eastAsia="Century Gothic" w:hAnsi="Arial" w:cs="Arial"/>
        </w:rPr>
        <w:t>ew studies in Australia have dealt with SOA.</w:t>
      </w:r>
    </w:p>
    <w:p w:rsidR="00915100" w:rsidRPr="00B37EF3" w:rsidRDefault="00A33606" w:rsidP="00EF255F">
      <w:pPr>
        <w:rPr>
          <w:rFonts w:ascii="Arial" w:hAnsi="Arial" w:cs="Arial"/>
        </w:rPr>
      </w:pPr>
      <w:r w:rsidRPr="00B37EF3">
        <w:rPr>
          <w:rFonts w:ascii="Arial" w:eastAsia="Century Gothic" w:hAnsi="Arial" w:cs="Arial"/>
        </w:rPr>
        <w:t>Notwithstanding the above, there are some broad similarities between Europe, the U</w:t>
      </w:r>
      <w:r w:rsidR="005F5551" w:rsidRPr="00B37EF3">
        <w:rPr>
          <w:rFonts w:ascii="Arial" w:eastAsia="Century Gothic" w:hAnsi="Arial" w:cs="Arial"/>
        </w:rPr>
        <w:t xml:space="preserve">nited </w:t>
      </w:r>
      <w:r w:rsidRPr="00B37EF3">
        <w:rPr>
          <w:rFonts w:ascii="Arial" w:eastAsia="Century Gothic" w:hAnsi="Arial" w:cs="Arial"/>
        </w:rPr>
        <w:t>S</w:t>
      </w:r>
      <w:r w:rsidR="005F5551" w:rsidRPr="00B37EF3">
        <w:rPr>
          <w:rFonts w:ascii="Arial" w:eastAsia="Century Gothic" w:hAnsi="Arial" w:cs="Arial"/>
        </w:rPr>
        <w:t>tates</w:t>
      </w:r>
      <w:r w:rsidRPr="00B37EF3">
        <w:rPr>
          <w:rFonts w:ascii="Arial" w:eastAsia="Century Gothic" w:hAnsi="Arial" w:cs="Arial"/>
        </w:rPr>
        <w:t xml:space="preserve"> and Australia in terms of PM</w:t>
      </w:r>
      <w:r w:rsidRPr="00B37EF3">
        <w:rPr>
          <w:rFonts w:ascii="Arial" w:eastAsia="Century Gothic" w:hAnsi="Arial" w:cs="Arial"/>
          <w:vertAlign w:val="subscript"/>
        </w:rPr>
        <w:t>2.5</w:t>
      </w:r>
      <w:r w:rsidRPr="00B37EF3">
        <w:rPr>
          <w:rFonts w:ascii="Arial" w:eastAsia="Century Gothic" w:hAnsi="Arial" w:cs="Arial"/>
        </w:rPr>
        <w:t xml:space="preserve"> composition and the contribution of secondary particles. For example, the </w:t>
      </w:r>
      <w:r w:rsidR="00E72AA1" w:rsidRPr="00B37EF3">
        <w:rPr>
          <w:rFonts w:ascii="Arial" w:eastAsia="Century Gothic" w:hAnsi="Arial" w:cs="Arial"/>
        </w:rPr>
        <w:t>sulf</w:t>
      </w:r>
      <w:r w:rsidRPr="00B37EF3">
        <w:rPr>
          <w:rFonts w:ascii="Arial" w:eastAsia="Century Gothic" w:hAnsi="Arial" w:cs="Arial"/>
        </w:rPr>
        <w:t>ate contribution to PM</w:t>
      </w:r>
      <w:r w:rsidRPr="00B37EF3">
        <w:rPr>
          <w:rFonts w:ascii="Arial" w:eastAsia="Century Gothic" w:hAnsi="Arial" w:cs="Arial"/>
          <w:vertAlign w:val="subscript"/>
        </w:rPr>
        <w:t>2.5</w:t>
      </w:r>
      <w:r w:rsidRPr="00B37EF3">
        <w:rPr>
          <w:rFonts w:ascii="Arial" w:eastAsia="Century Gothic" w:hAnsi="Arial" w:cs="Arial"/>
        </w:rPr>
        <w:t xml:space="preserve"> in </w:t>
      </w:r>
      <w:r w:rsidR="00282B15" w:rsidRPr="00B37EF3">
        <w:rPr>
          <w:rFonts w:ascii="Arial" w:eastAsia="Century Gothic" w:hAnsi="Arial" w:cs="Arial"/>
        </w:rPr>
        <w:t>e</w:t>
      </w:r>
      <w:r w:rsidRPr="00B37EF3">
        <w:rPr>
          <w:rFonts w:ascii="Arial" w:eastAsia="Century Gothic" w:hAnsi="Arial" w:cs="Arial"/>
        </w:rPr>
        <w:t xml:space="preserve">astern Australia seems to be similar to that in the </w:t>
      </w:r>
      <w:r w:rsidR="00282B15" w:rsidRPr="00B37EF3">
        <w:rPr>
          <w:rFonts w:ascii="Arial" w:eastAsia="Century Gothic" w:hAnsi="Arial" w:cs="Arial"/>
        </w:rPr>
        <w:t>w</w:t>
      </w:r>
      <w:r w:rsidRPr="00B37EF3">
        <w:rPr>
          <w:rFonts w:ascii="Arial" w:eastAsia="Century Gothic" w:hAnsi="Arial" w:cs="Arial"/>
        </w:rPr>
        <w:t xml:space="preserve">estern United States. However, the formation of </w:t>
      </w:r>
      <w:r w:rsidRPr="00B37EF3">
        <w:rPr>
          <w:rFonts w:ascii="Arial" w:hAnsi="Arial" w:cs="Arial"/>
        </w:rPr>
        <w:t xml:space="preserve">secondary particles is complex, the understanding is incomplete, and the variability in the data is large. </w:t>
      </w:r>
      <w:r w:rsidR="00237704" w:rsidRPr="00B37EF3">
        <w:rPr>
          <w:rFonts w:ascii="Arial" w:hAnsi="Arial" w:cs="Arial"/>
        </w:rPr>
        <w:t>S</w:t>
      </w:r>
      <w:r w:rsidRPr="00B37EF3">
        <w:rPr>
          <w:rFonts w:ascii="Arial" w:hAnsi="Arial" w:cs="Arial"/>
        </w:rPr>
        <w:t>ome different metrics and reporting formats are in use. There may be some important differences in how secondary particles are formed in the three regions, but these cannot yet be quantified</w:t>
      </w:r>
      <w:r w:rsidR="00A076AC" w:rsidRPr="00B37EF3">
        <w:rPr>
          <w:rFonts w:ascii="Arial" w:hAnsi="Arial" w:cs="Arial"/>
        </w:rPr>
        <w:t xml:space="preserve"> </w:t>
      </w:r>
      <w:r w:rsidR="00A076AC" w:rsidRPr="00B37EF3">
        <w:rPr>
          <w:rFonts w:ascii="Arial" w:hAnsi="Arial" w:cs="Arial"/>
          <w:b/>
        </w:rPr>
        <w:t xml:space="preserve">(Aust </w:t>
      </w:r>
      <w:r w:rsidR="009334F4" w:rsidRPr="00B37EF3">
        <w:rPr>
          <w:rFonts w:ascii="Arial" w:hAnsi="Arial" w:cs="Arial"/>
          <w:b/>
        </w:rPr>
        <w:t>et al</w:t>
      </w:r>
      <w:r w:rsidR="00A076AC" w:rsidRPr="00B37EF3">
        <w:rPr>
          <w:rFonts w:ascii="Arial" w:hAnsi="Arial" w:cs="Arial"/>
          <w:b/>
        </w:rPr>
        <w:t>. 2013)</w:t>
      </w:r>
      <w:r w:rsidRPr="00B37EF3">
        <w:rPr>
          <w:rFonts w:ascii="Arial" w:hAnsi="Arial" w:cs="Arial"/>
        </w:rPr>
        <w:t>.</w:t>
      </w:r>
    </w:p>
    <w:p w:rsidR="00607C0F" w:rsidRPr="00B37EF3" w:rsidRDefault="00BF6019" w:rsidP="00607C0F">
      <w:pPr>
        <w:jc w:val="center"/>
        <w:rPr>
          <w:rFonts w:ascii="Arial" w:hAnsi="Arial" w:cs="Arial"/>
          <w:color w:val="FF0000"/>
        </w:rPr>
      </w:pPr>
      <w:r>
        <w:rPr>
          <w:rFonts w:ascii="Arial" w:hAnsi="Arial" w:cs="Arial"/>
          <w:noProof/>
          <w:color w:val="FF0000"/>
        </w:rPr>
      </w:r>
      <w:r>
        <w:rPr>
          <w:rFonts w:ascii="Arial" w:hAnsi="Arial" w:cs="Arial"/>
          <w:noProof/>
          <w:color w:val="FF0000"/>
        </w:rPr>
        <w:pict>
          <v:shape id="AutoShape 28" o:spid="_x0000_s1035" type="#_x0000_t176" style="width:433.7pt;height:62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" fillcolor="#b8cce4" strokecolor="#4f81bd" strokeweight="2.5pt">
            <v:fill opacity="13107f"/>
            <v:shadow color="#868686"/>
            <v:textbox>
              <w:txbxContent>
                <w:p w:rsidR="0085182E" w:rsidRPr="00545920" w:rsidRDefault="0085182E" w:rsidP="00D54E12">
                  <w:pPr>
                    <w:spacing w:after="200"/>
                    <w:jc w:val="center"/>
                    <w:rPr>
                      <w:b/>
                      <w:color w:val="0070C0"/>
                      <w:sz w:val="24"/>
                      <w:szCs w:val="24"/>
                    </w:rPr>
                  </w:pPr>
                  <w:r w:rsidRPr="00545920">
                    <w:rPr>
                      <w:b/>
                      <w:color w:val="0070C0"/>
                      <w:sz w:val="24"/>
                      <w:szCs w:val="24"/>
                    </w:rPr>
                    <w:t>Key points from Chapter 5</w:t>
                  </w:r>
                </w:p>
                <w:p w:rsidR="0085182E" w:rsidRPr="00274510" w:rsidRDefault="0085182E" w:rsidP="00D54E12">
                  <w:pPr>
                    <w:pStyle w:val="BulletArrows"/>
                    <w:rPr>
                      <w:b/>
                      <w:i/>
                      <w:color w:val="auto"/>
                      <w:szCs w:val="18"/>
                    </w:rPr>
                  </w:pPr>
                  <w:r>
                    <w:rPr>
                      <w:b/>
                      <w:i/>
                      <w:color w:val="auto"/>
                      <w:szCs w:val="18"/>
                    </w:rPr>
                    <w:t>Emissions</w:t>
                  </w:r>
                  <w:r w:rsidRPr="00274510">
                    <w:rPr>
                      <w:b/>
                      <w:i/>
                      <w:color w:val="auto"/>
                      <w:szCs w:val="18"/>
                    </w:rPr>
                    <w:t xml:space="preserve"> inventories and projections</w:t>
                  </w:r>
                </w:p>
                <w:p w:rsidR="0085182E" w:rsidRPr="00274510" w:rsidRDefault="0085182E" w:rsidP="00421A04">
                  <w:pPr>
                    <w:pStyle w:val="BulletArrows"/>
                    <w:numPr>
                      <w:ilvl w:val="0"/>
                      <w:numId w:val="99"/>
                    </w:numPr>
                    <w:tabs>
                      <w:tab w:val="left" w:pos="284"/>
                    </w:tabs>
                    <w:spacing w:after="100"/>
                    <w:ind w:left="284" w:hanging="284"/>
                    <w:rPr>
                      <w:color w:val="auto"/>
                      <w:szCs w:val="18"/>
                    </w:rPr>
                  </w:pPr>
                  <w:r w:rsidRPr="00274510">
                    <w:rPr>
                      <w:color w:val="auto"/>
                      <w:szCs w:val="18"/>
                    </w:rPr>
                    <w:t>Five jurisdictio</w:t>
                  </w:r>
                  <w:r>
                    <w:rPr>
                      <w:color w:val="auto"/>
                      <w:szCs w:val="18"/>
                    </w:rPr>
                    <w:t>ns in Australia – includ</w:t>
                  </w:r>
                  <w:r w:rsidRPr="00274510">
                    <w:rPr>
                      <w:color w:val="auto"/>
                      <w:szCs w:val="18"/>
                    </w:rPr>
                    <w:t>ing the major urban centres (Sydney, Melbourne, Brisbane, Perth an</w:t>
                  </w:r>
                  <w:r>
                    <w:rPr>
                      <w:color w:val="auto"/>
                      <w:szCs w:val="18"/>
                    </w:rPr>
                    <w:t>d Adelaide) – have developed emissions inventories</w:t>
                  </w:r>
                  <w:r w:rsidRPr="00274510">
                    <w:rPr>
                      <w:color w:val="auto"/>
                      <w:szCs w:val="18"/>
                    </w:rPr>
                    <w:t xml:space="preserve">. </w:t>
                  </w:r>
                </w:p>
                <w:p w:rsidR="0085182E" w:rsidRPr="00274510" w:rsidRDefault="0085182E" w:rsidP="00421A04">
                  <w:pPr>
                    <w:pStyle w:val="BulletArrows"/>
                    <w:numPr>
                      <w:ilvl w:val="0"/>
                      <w:numId w:val="99"/>
                    </w:numPr>
                    <w:tabs>
                      <w:tab w:val="left" w:pos="284"/>
                    </w:tabs>
                    <w:spacing w:after="100"/>
                    <w:ind w:left="284" w:hanging="284"/>
                    <w:rPr>
                      <w:color w:val="auto"/>
                      <w:szCs w:val="18"/>
                    </w:rPr>
                  </w:pPr>
                  <w:r w:rsidRPr="00274510">
                    <w:rPr>
                      <w:color w:val="auto"/>
                      <w:szCs w:val="18"/>
                    </w:rPr>
                    <w:t xml:space="preserve">There is </w:t>
                  </w:r>
                  <w:r>
                    <w:rPr>
                      <w:color w:val="auto"/>
                      <w:szCs w:val="18"/>
                    </w:rPr>
                    <w:t xml:space="preserve">limited </w:t>
                  </w:r>
                  <w:r w:rsidRPr="00274510">
                    <w:rPr>
                      <w:color w:val="auto"/>
                      <w:szCs w:val="18"/>
                    </w:rPr>
                    <w:t xml:space="preserve">consistency across the jurisdictional inventories </w:t>
                  </w:r>
                  <w:r>
                    <w:rPr>
                      <w:color w:val="auto"/>
                      <w:szCs w:val="18"/>
                    </w:rPr>
                    <w:t xml:space="preserve">and projections </w:t>
                  </w:r>
                  <w:r w:rsidRPr="00274510">
                    <w:rPr>
                      <w:color w:val="auto"/>
                      <w:szCs w:val="18"/>
                    </w:rPr>
                    <w:t>in terms of nomenclature and methodology</w:t>
                  </w:r>
                  <w:r>
                    <w:rPr>
                      <w:color w:val="auto"/>
                      <w:szCs w:val="18"/>
                    </w:rPr>
                    <w:t>, and th</w:t>
                  </w:r>
                  <w:r w:rsidRPr="00274510">
                    <w:rPr>
                      <w:color w:val="auto"/>
                      <w:szCs w:val="18"/>
                    </w:rPr>
                    <w:t xml:space="preserve">e quality </w:t>
                  </w:r>
                  <w:r>
                    <w:rPr>
                      <w:color w:val="auto"/>
                      <w:szCs w:val="18"/>
                    </w:rPr>
                    <w:t>varies.</w:t>
                  </w:r>
                </w:p>
                <w:p w:rsidR="0085182E" w:rsidRDefault="0085182E" w:rsidP="00421A04">
                  <w:pPr>
                    <w:pStyle w:val="BulletArrows"/>
                    <w:numPr>
                      <w:ilvl w:val="0"/>
                      <w:numId w:val="99"/>
                    </w:numPr>
                    <w:tabs>
                      <w:tab w:val="left" w:pos="284"/>
                    </w:tabs>
                    <w:spacing w:after="100"/>
                    <w:ind w:left="284" w:hanging="284"/>
                    <w:rPr>
                      <w:color w:val="auto"/>
                      <w:szCs w:val="18"/>
                    </w:rPr>
                  </w:pPr>
                  <w:r w:rsidRPr="00274510">
                    <w:rPr>
                      <w:color w:val="auto"/>
                      <w:szCs w:val="18"/>
                    </w:rPr>
                    <w:t>The most important sectors of acti</w:t>
                  </w:r>
                  <w:r>
                    <w:rPr>
                      <w:color w:val="auto"/>
                      <w:szCs w:val="18"/>
                    </w:rPr>
                    <w:t>vity differ by</w:t>
                  </w:r>
                  <w:r w:rsidRPr="00274510">
                    <w:rPr>
                      <w:color w:val="auto"/>
                      <w:szCs w:val="18"/>
                    </w:rPr>
                    <w:t xml:space="preserve"> jurisdiction. In NSW the most important source of PM</w:t>
                  </w:r>
                  <w:r w:rsidRPr="00274510">
                    <w:rPr>
                      <w:color w:val="auto"/>
                      <w:szCs w:val="18"/>
                      <w:vertAlign w:val="subscript"/>
                    </w:rPr>
                    <w:t>10</w:t>
                  </w:r>
                  <w:r w:rsidRPr="00274510">
                    <w:rPr>
                      <w:color w:val="auto"/>
                      <w:szCs w:val="18"/>
                    </w:rPr>
                    <w:t xml:space="preserve"> and PM</w:t>
                  </w:r>
                  <w:r w:rsidRPr="00274510">
                    <w:rPr>
                      <w:color w:val="auto"/>
                      <w:szCs w:val="18"/>
                      <w:vertAlign w:val="subscript"/>
                    </w:rPr>
                    <w:t>2.5</w:t>
                  </w:r>
                  <w:r>
                    <w:rPr>
                      <w:color w:val="auto"/>
                      <w:szCs w:val="18"/>
                    </w:rPr>
                    <w:t xml:space="preserve"> is coal mining</w:t>
                  </w:r>
                  <w:r w:rsidRPr="00274510">
                    <w:rPr>
                      <w:color w:val="auto"/>
                      <w:szCs w:val="18"/>
                    </w:rPr>
                    <w:t>. Domestic/commercial s</w:t>
                  </w:r>
                  <w:r>
                    <w:rPr>
                      <w:color w:val="auto"/>
                      <w:szCs w:val="18"/>
                    </w:rPr>
                    <w:t>ources (notably wood heaters) a</w:t>
                  </w:r>
                  <w:r w:rsidRPr="00274510">
                    <w:rPr>
                      <w:color w:val="auto"/>
                      <w:szCs w:val="18"/>
                    </w:rPr>
                    <w:t xml:space="preserve">re the most important </w:t>
                  </w:r>
                  <w:r>
                    <w:rPr>
                      <w:color w:val="auto"/>
                      <w:szCs w:val="18"/>
                    </w:rPr>
                    <w:t xml:space="preserve">in Tasmania. </w:t>
                  </w:r>
                  <w:r w:rsidRPr="006523DC">
                    <w:rPr>
                      <w:color w:val="auto"/>
                      <w:szCs w:val="18"/>
                    </w:rPr>
                    <w:t>In Victoria, the largest sources are wood heaters, industry and diesel vehicles</w:t>
                  </w:r>
                </w:p>
                <w:p w:rsidR="0085182E" w:rsidRPr="00274510" w:rsidRDefault="0085182E" w:rsidP="00421A04">
                  <w:pPr>
                    <w:pStyle w:val="BulletArrows"/>
                    <w:numPr>
                      <w:ilvl w:val="0"/>
                      <w:numId w:val="99"/>
                    </w:numPr>
                    <w:tabs>
                      <w:tab w:val="left" w:pos="284"/>
                    </w:tabs>
                    <w:spacing w:after="240"/>
                    <w:ind w:left="284" w:hanging="284"/>
                    <w:rPr>
                      <w:color w:val="auto"/>
                      <w:szCs w:val="18"/>
                    </w:rPr>
                  </w:pPr>
                  <w:r w:rsidRPr="00274510">
                    <w:rPr>
                      <w:color w:val="auto"/>
                      <w:szCs w:val="18"/>
                    </w:rPr>
                    <w:t>In all jurisdictions emissions of PM</w:t>
                  </w:r>
                  <w:r w:rsidRPr="00274510">
                    <w:rPr>
                      <w:color w:val="auto"/>
                      <w:szCs w:val="18"/>
                      <w:vertAlign w:val="subscript"/>
                    </w:rPr>
                    <w:t>10</w:t>
                  </w:r>
                  <w:r w:rsidRPr="00274510">
                    <w:rPr>
                      <w:color w:val="auto"/>
                      <w:szCs w:val="18"/>
                    </w:rPr>
                    <w:t xml:space="preserve"> and PM</w:t>
                  </w:r>
                  <w:r w:rsidRPr="00274510">
                    <w:rPr>
                      <w:color w:val="auto"/>
                      <w:szCs w:val="18"/>
                      <w:vertAlign w:val="subscript"/>
                    </w:rPr>
                    <w:t>2.5</w:t>
                  </w:r>
                  <w:r w:rsidRPr="00274510">
                    <w:rPr>
                      <w:color w:val="auto"/>
                      <w:szCs w:val="18"/>
                    </w:rPr>
                    <w:t xml:space="preserve"> are projected to increase between 2011 and 2036,</w:t>
                  </w:r>
                  <w:r>
                    <w:rPr>
                      <w:color w:val="auto"/>
                      <w:szCs w:val="18"/>
                    </w:rPr>
                    <w:t xml:space="preserve"> although the projections vary</w:t>
                  </w:r>
                  <w:r w:rsidRPr="00274510">
                    <w:rPr>
                      <w:color w:val="auto"/>
                      <w:szCs w:val="18"/>
                    </w:rPr>
                    <w:t xml:space="preserve"> considerably fr</w:t>
                  </w:r>
                  <w:r>
                    <w:rPr>
                      <w:color w:val="auto"/>
                      <w:szCs w:val="18"/>
                    </w:rPr>
                    <w:t>om jurisdiction to jurisdiction</w:t>
                  </w:r>
                  <w:r w:rsidRPr="00274510">
                    <w:rPr>
                      <w:color w:val="auto"/>
                      <w:szCs w:val="18"/>
                    </w:rPr>
                    <w:t>.</w:t>
                  </w:r>
                </w:p>
                <w:p w:rsidR="0085182E" w:rsidRPr="00E93101" w:rsidRDefault="0085182E" w:rsidP="00D54E12">
                  <w:pPr>
                    <w:pStyle w:val="BulletArrows"/>
                    <w:rPr>
                      <w:b/>
                      <w:i/>
                      <w:color w:val="auto"/>
                      <w:szCs w:val="18"/>
                    </w:rPr>
                  </w:pPr>
                  <w:r w:rsidRPr="00E93101">
                    <w:rPr>
                      <w:b/>
                      <w:i/>
                      <w:color w:val="auto"/>
                      <w:szCs w:val="18"/>
                    </w:rPr>
                    <w:t>Ambient PM concentrations</w:t>
                  </w:r>
                </w:p>
                <w:p w:rsidR="0085182E" w:rsidRPr="00B85CAA" w:rsidRDefault="0085182E" w:rsidP="00421A04">
                  <w:pPr>
                    <w:pStyle w:val="BulletArrows"/>
                    <w:numPr>
                      <w:ilvl w:val="0"/>
                      <w:numId w:val="100"/>
                    </w:numPr>
                    <w:spacing w:after="100"/>
                  </w:pPr>
                  <w:r w:rsidRPr="00B85CAA">
                    <w:t>Various methods ar</w:t>
                  </w:r>
                  <w:r>
                    <w:t>e used to measure PM in</w:t>
                  </w:r>
                  <w:r w:rsidRPr="00B85CAA">
                    <w:t xml:space="preserve"> Australia. Any observed trends can be affected significantly by changes in instrumentation, the relocation of a monitoring </w:t>
                  </w:r>
                  <w:r>
                    <w:t xml:space="preserve">site, or a change in the </w:t>
                  </w:r>
                  <w:r w:rsidRPr="00B85CAA">
                    <w:t>distribution of sites. All of these have occurred in Australia.</w:t>
                  </w:r>
                </w:p>
                <w:p w:rsidR="0085182E" w:rsidRPr="00B85CAA" w:rsidRDefault="0085182E" w:rsidP="00421A04">
                  <w:pPr>
                    <w:pStyle w:val="BulletArrows"/>
                    <w:numPr>
                      <w:ilvl w:val="0"/>
                      <w:numId w:val="100"/>
                    </w:numPr>
                    <w:spacing w:after="100"/>
                  </w:pPr>
                  <w:r w:rsidRPr="00B85CAA">
                    <w:t xml:space="preserve">Notwithstanding the above, in most jurisdictions there has </w:t>
                  </w:r>
                  <w:r>
                    <w:t xml:space="preserve">been a general reduction </w:t>
                  </w:r>
                  <w:r w:rsidRPr="00B85CAA">
                    <w:t>in the overall annual mean PM</w:t>
                  </w:r>
                  <w:r w:rsidRPr="00B85CAA">
                    <w:rPr>
                      <w:vertAlign w:val="subscript"/>
                    </w:rPr>
                    <w:t>10</w:t>
                  </w:r>
                  <w:r w:rsidRPr="00B85CAA">
                    <w:t xml:space="preserve"> and PM</w:t>
                  </w:r>
                  <w:r w:rsidRPr="00B85CAA">
                    <w:rPr>
                      <w:vertAlign w:val="subscript"/>
                    </w:rPr>
                    <w:t>2.5</w:t>
                  </w:r>
                  <w:r w:rsidRPr="00B85CAA">
                    <w:t xml:space="preserve"> concentrations between 2003 and 2012.</w:t>
                  </w:r>
                </w:p>
                <w:p w:rsidR="0085182E" w:rsidRPr="00B85CAA" w:rsidRDefault="0085182E" w:rsidP="00421A04">
                  <w:pPr>
                    <w:pStyle w:val="BulletArrows"/>
                    <w:numPr>
                      <w:ilvl w:val="0"/>
                      <w:numId w:val="100"/>
                    </w:numPr>
                    <w:spacing w:after="100"/>
                  </w:pPr>
                  <w:r w:rsidRPr="00B85CAA">
                    <w:t>For the 24-hour mean PM</w:t>
                  </w:r>
                  <w:r w:rsidRPr="00B85CAA">
                    <w:rPr>
                      <w:vertAlign w:val="subscript"/>
                    </w:rPr>
                    <w:t>10</w:t>
                  </w:r>
                  <w:r>
                    <w:t xml:space="preserve"> standard (50 </w:t>
                  </w:r>
                  <w:proofErr w:type="spellStart"/>
                  <w:r>
                    <w:t>μg</w:t>
                  </w:r>
                  <w:proofErr w:type="spellEnd"/>
                  <w:r>
                    <w:t>/m</w:t>
                  </w:r>
                  <w:r w:rsidRPr="00B85CAA">
                    <w:rPr>
                      <w:vertAlign w:val="superscript"/>
                    </w:rPr>
                    <w:t>3</w:t>
                  </w:r>
                  <w:r>
                    <w:t xml:space="preserve">), weather, </w:t>
                  </w:r>
                  <w:r w:rsidRPr="00B85CAA">
                    <w:t xml:space="preserve">climate </w:t>
                  </w:r>
                  <w:r>
                    <w:t xml:space="preserve">and natural events </w:t>
                  </w:r>
                  <w:r w:rsidRPr="00B85CAA">
                    <w:t xml:space="preserve">are major factors affecting exceedances. </w:t>
                  </w:r>
                </w:p>
                <w:p w:rsidR="0085182E" w:rsidRPr="00B85CAA" w:rsidRDefault="0085182E" w:rsidP="00421A04">
                  <w:pPr>
                    <w:pStyle w:val="BulletArrows"/>
                    <w:numPr>
                      <w:ilvl w:val="0"/>
                      <w:numId w:val="100"/>
                    </w:numPr>
                    <w:spacing w:after="100"/>
                  </w:pPr>
                  <w:r>
                    <w:t>Overall state-</w:t>
                  </w:r>
                  <w:r w:rsidRPr="00B85CAA">
                    <w:t>average annual mean PM</w:t>
                  </w:r>
                  <w:r w:rsidRPr="00B85CAA">
                    <w:rPr>
                      <w:vertAlign w:val="subscript"/>
                    </w:rPr>
                    <w:t>2.5</w:t>
                  </w:r>
                  <w:r w:rsidRPr="00B85CAA">
                    <w:t xml:space="preserve"> concentrations in 2012 were below the advisory reporting standard of 8 </w:t>
                  </w:r>
                  <w:proofErr w:type="spellStart"/>
                  <w:r w:rsidRPr="00B85CAA">
                    <w:t>μg</w:t>
                  </w:r>
                  <w:proofErr w:type="spellEnd"/>
                  <w:r w:rsidRPr="00B85CAA">
                    <w:t>/m</w:t>
                  </w:r>
                  <w:r w:rsidRPr="00B85CAA">
                    <w:rPr>
                      <w:vertAlign w:val="superscript"/>
                    </w:rPr>
                    <w:t>3</w:t>
                  </w:r>
                  <w:r w:rsidRPr="00B85CAA">
                    <w:t>.</w:t>
                  </w:r>
                </w:p>
                <w:p w:rsidR="0085182E" w:rsidRDefault="0085182E" w:rsidP="00421A04">
                  <w:pPr>
                    <w:pStyle w:val="BulletArrows"/>
                    <w:numPr>
                      <w:ilvl w:val="0"/>
                      <w:numId w:val="100"/>
                    </w:numPr>
                    <w:spacing w:after="240"/>
                  </w:pPr>
                  <w:r w:rsidRPr="00B85CAA">
                    <w:t>For the advisory 24-hour mean PM</w:t>
                  </w:r>
                  <w:r w:rsidRPr="00B85CAA">
                    <w:rPr>
                      <w:vertAlign w:val="subscript"/>
                    </w:rPr>
                    <w:t>2.5</w:t>
                  </w:r>
                  <w:r w:rsidRPr="00B85CAA">
                    <w:t xml:space="preserve"> standard (25 </w:t>
                  </w:r>
                  <w:proofErr w:type="spellStart"/>
                  <w:r w:rsidRPr="00B85CAA">
                    <w:t>μg</w:t>
                  </w:r>
                  <w:proofErr w:type="spellEnd"/>
                  <w:r w:rsidRPr="00B85CAA">
                    <w:t>/m</w:t>
                  </w:r>
                  <w:r w:rsidRPr="00B85CAA">
                    <w:rPr>
                      <w:vertAlign w:val="superscript"/>
                    </w:rPr>
                    <w:t>3</w:t>
                  </w:r>
                  <w:r>
                    <w:t>)</w:t>
                  </w:r>
                  <w:r w:rsidRPr="00B85CAA">
                    <w:t xml:space="preserve">, there have been exceedances </w:t>
                  </w:r>
                  <w:r>
                    <w:t>at most of the monitoring sites</w:t>
                  </w:r>
                  <w:r w:rsidRPr="00B85CAA">
                    <w:t xml:space="preserve"> and in most years</w:t>
                  </w:r>
                  <w:r>
                    <w:t xml:space="preserve"> (assuming no allowed exceedances)</w:t>
                  </w:r>
                  <w:r w:rsidRPr="00B85CAA">
                    <w:t>.</w:t>
                  </w:r>
                </w:p>
                <w:p w:rsidR="0085182E" w:rsidRPr="00E93101" w:rsidRDefault="0085182E" w:rsidP="00D54E12">
                  <w:pPr>
                    <w:pStyle w:val="BulletArrows"/>
                    <w:rPr>
                      <w:b/>
                      <w:i/>
                      <w:color w:val="auto"/>
                      <w:szCs w:val="18"/>
                    </w:rPr>
                  </w:pPr>
                  <w:r>
                    <w:rPr>
                      <w:b/>
                      <w:i/>
                      <w:color w:val="auto"/>
                      <w:szCs w:val="18"/>
                    </w:rPr>
                    <w:t>PM composition</w:t>
                  </w:r>
                </w:p>
                <w:p w:rsidR="0085182E" w:rsidRPr="008367FD" w:rsidRDefault="0085182E" w:rsidP="00421A04">
                  <w:pPr>
                    <w:pStyle w:val="BulletArrows"/>
                    <w:numPr>
                      <w:ilvl w:val="0"/>
                      <w:numId w:val="101"/>
                    </w:numPr>
                    <w:spacing w:after="100"/>
                    <w:rPr>
                      <w:color w:val="auto"/>
                      <w:szCs w:val="18"/>
                    </w:rPr>
                  </w:pPr>
                  <w:r w:rsidRPr="008367FD">
                    <w:rPr>
                      <w:color w:val="auto"/>
                      <w:szCs w:val="18"/>
                    </w:rPr>
                    <w:t>Seco</w:t>
                  </w:r>
                  <w:r>
                    <w:rPr>
                      <w:color w:val="auto"/>
                      <w:szCs w:val="18"/>
                    </w:rPr>
                    <w:t>ndary and natural PM contribute</w:t>
                  </w:r>
                  <w:r w:rsidRPr="008367FD">
                    <w:rPr>
                      <w:color w:val="auto"/>
                      <w:szCs w:val="18"/>
                    </w:rPr>
                    <w:t xml:space="preserve"> significantly to measurements of PM</w:t>
                  </w:r>
                  <w:r w:rsidRPr="008367FD">
                    <w:rPr>
                      <w:color w:val="auto"/>
                      <w:szCs w:val="18"/>
                      <w:vertAlign w:val="subscript"/>
                    </w:rPr>
                    <w:t>10</w:t>
                  </w:r>
                  <w:r w:rsidRPr="008367FD">
                    <w:rPr>
                      <w:color w:val="auto"/>
                      <w:szCs w:val="18"/>
                    </w:rPr>
                    <w:t xml:space="preserve"> and PM</w:t>
                  </w:r>
                  <w:r w:rsidRPr="008367FD">
                    <w:rPr>
                      <w:color w:val="auto"/>
                      <w:szCs w:val="18"/>
                      <w:vertAlign w:val="subscript"/>
                    </w:rPr>
                    <w:t>2.5</w:t>
                  </w:r>
                  <w:r w:rsidRPr="008367FD">
                    <w:rPr>
                      <w:color w:val="auto"/>
                      <w:szCs w:val="18"/>
                    </w:rPr>
                    <w:t xml:space="preserve">. </w:t>
                  </w:r>
                  <w:r>
                    <w:rPr>
                      <w:color w:val="auto"/>
                      <w:szCs w:val="18"/>
                    </w:rPr>
                    <w:t>T</w:t>
                  </w:r>
                  <w:r w:rsidRPr="008367FD">
                    <w:rPr>
                      <w:color w:val="auto"/>
                      <w:szCs w:val="18"/>
                    </w:rPr>
                    <w:t xml:space="preserve">he primary </w:t>
                  </w:r>
                  <w:r>
                    <w:rPr>
                      <w:color w:val="auto"/>
                      <w:szCs w:val="18"/>
                    </w:rPr>
                    <w:t xml:space="preserve">anthropogenic </w:t>
                  </w:r>
                  <w:r w:rsidRPr="008367FD">
                    <w:rPr>
                      <w:color w:val="auto"/>
                      <w:szCs w:val="18"/>
                    </w:rPr>
                    <w:t>PM</w:t>
                  </w:r>
                  <w:r w:rsidRPr="008367FD">
                    <w:rPr>
                      <w:color w:val="auto"/>
                      <w:szCs w:val="18"/>
                      <w:vertAlign w:val="subscript"/>
                    </w:rPr>
                    <w:t>2.5</w:t>
                  </w:r>
                  <w:r w:rsidRPr="008367FD">
                    <w:rPr>
                      <w:color w:val="auto"/>
                      <w:szCs w:val="18"/>
                    </w:rPr>
                    <w:t xml:space="preserve"> component </w:t>
                  </w:r>
                  <w:r>
                    <w:rPr>
                      <w:color w:val="auto"/>
                      <w:szCs w:val="18"/>
                    </w:rPr>
                    <w:t>typically represents around</w:t>
                  </w:r>
                  <w:r w:rsidRPr="008367FD">
                    <w:rPr>
                      <w:color w:val="auto"/>
                      <w:szCs w:val="18"/>
                    </w:rPr>
                    <w:t xml:space="preserve"> 30</w:t>
                  </w:r>
                  <w:r>
                    <w:rPr>
                      <w:color w:val="auto"/>
                      <w:szCs w:val="18"/>
                    </w:rPr>
                    <w:t>%–50</w:t>
                  </w:r>
                  <w:r w:rsidRPr="008367FD">
                    <w:rPr>
                      <w:color w:val="auto"/>
                      <w:szCs w:val="18"/>
                    </w:rPr>
                    <w:t>% o</w:t>
                  </w:r>
                  <w:r>
                    <w:rPr>
                      <w:color w:val="auto"/>
                      <w:szCs w:val="18"/>
                    </w:rPr>
                    <w:t>f PM</w:t>
                  </w:r>
                  <w:r w:rsidRPr="008367FD">
                    <w:rPr>
                      <w:color w:val="auto"/>
                      <w:szCs w:val="18"/>
                      <w:vertAlign w:val="subscript"/>
                    </w:rPr>
                    <w:t>2.5</w:t>
                  </w:r>
                  <w:r>
                    <w:rPr>
                      <w:color w:val="auto"/>
                      <w:szCs w:val="18"/>
                    </w:rPr>
                    <w:t xml:space="preserve">. </w:t>
                  </w:r>
                  <w:r w:rsidRPr="008367FD">
                    <w:rPr>
                      <w:color w:val="auto"/>
                      <w:szCs w:val="18"/>
                    </w:rPr>
                    <w:t>This partial contribution c</w:t>
                  </w:r>
                  <w:r>
                    <w:rPr>
                      <w:color w:val="auto"/>
                      <w:szCs w:val="18"/>
                    </w:rPr>
                    <w:t>omplicates air quality management</w:t>
                  </w:r>
                  <w:r w:rsidRPr="008367FD">
                    <w:rPr>
                      <w:color w:val="auto"/>
                      <w:szCs w:val="18"/>
                    </w:rPr>
                    <w:t>.</w:t>
                  </w:r>
                </w:p>
                <w:p w:rsidR="0085182E" w:rsidRPr="00925373" w:rsidRDefault="0085182E" w:rsidP="00421A04">
                  <w:pPr>
                    <w:pStyle w:val="BulletArrows"/>
                    <w:numPr>
                      <w:ilvl w:val="0"/>
                      <w:numId w:val="101"/>
                    </w:numPr>
                    <w:spacing w:after="100"/>
                    <w:rPr>
                      <w:color w:val="auto"/>
                      <w:szCs w:val="18"/>
                    </w:rPr>
                  </w:pPr>
                  <w:r w:rsidRPr="008367FD">
                    <w:rPr>
                      <w:color w:val="auto"/>
                      <w:szCs w:val="18"/>
                    </w:rPr>
                    <w:t>One of the largest PM</w:t>
                  </w:r>
                  <w:r w:rsidRPr="008367FD">
                    <w:rPr>
                      <w:color w:val="auto"/>
                      <w:szCs w:val="18"/>
                      <w:vertAlign w:val="subscript"/>
                    </w:rPr>
                    <w:t>2.5</w:t>
                  </w:r>
                  <w:r w:rsidRPr="008367FD">
                    <w:rPr>
                      <w:color w:val="auto"/>
                      <w:szCs w:val="18"/>
                    </w:rPr>
                    <w:t xml:space="preserve"> components is ammonium sulfate. The relativel</w:t>
                  </w:r>
                  <w:r>
                    <w:rPr>
                      <w:color w:val="auto"/>
                      <w:szCs w:val="18"/>
                    </w:rPr>
                    <w:t>y slow formation rate</w:t>
                  </w:r>
                  <w:r w:rsidRPr="008367FD">
                    <w:rPr>
                      <w:color w:val="auto"/>
                      <w:szCs w:val="18"/>
                    </w:rPr>
                    <w:t xml:space="preserve"> means that sulfate </w:t>
                  </w:r>
                  <w:r>
                    <w:rPr>
                      <w:color w:val="auto"/>
                      <w:szCs w:val="18"/>
                    </w:rPr>
                    <w:t>acts as a pollutant on</w:t>
                  </w:r>
                  <w:r w:rsidRPr="008367FD">
                    <w:rPr>
                      <w:color w:val="auto"/>
                      <w:szCs w:val="18"/>
                    </w:rPr>
                    <w:t xml:space="preserve"> regional s</w:t>
                  </w:r>
                  <w:r>
                    <w:rPr>
                      <w:color w:val="auto"/>
                      <w:szCs w:val="18"/>
                    </w:rPr>
                    <w:t xml:space="preserve">cales. </w:t>
                  </w:r>
                  <w:r w:rsidRPr="00925373">
                    <w:rPr>
                      <w:color w:val="auto"/>
                      <w:szCs w:val="18"/>
                    </w:rPr>
                    <w:t>Sea salt is also</w:t>
                  </w:r>
                  <w:r>
                    <w:rPr>
                      <w:color w:val="auto"/>
                      <w:szCs w:val="18"/>
                    </w:rPr>
                    <w:t xml:space="preserve"> an important natural component</w:t>
                  </w:r>
                  <w:r w:rsidRPr="00925373">
                    <w:rPr>
                      <w:color w:val="auto"/>
                      <w:szCs w:val="18"/>
                    </w:rPr>
                    <w:t xml:space="preserve">. </w:t>
                  </w:r>
                </w:p>
                <w:p w:rsidR="0085182E" w:rsidRPr="008367FD" w:rsidRDefault="0085182E" w:rsidP="00421A04">
                  <w:pPr>
                    <w:pStyle w:val="BulletArrows"/>
                    <w:numPr>
                      <w:ilvl w:val="0"/>
                      <w:numId w:val="101"/>
                    </w:numPr>
                    <w:rPr>
                      <w:color w:val="auto"/>
                      <w:szCs w:val="18"/>
                    </w:rPr>
                  </w:pPr>
                  <w:r w:rsidRPr="008367FD">
                    <w:rPr>
                      <w:color w:val="auto"/>
                      <w:szCs w:val="18"/>
                    </w:rPr>
                    <w:t>In inland regional centres of NSW, wood smoke is the dom</w:t>
                  </w:r>
                  <w:r>
                    <w:rPr>
                      <w:color w:val="auto"/>
                      <w:szCs w:val="18"/>
                    </w:rPr>
                    <w:t>inant source of PM</w:t>
                  </w:r>
                  <w:r w:rsidRPr="008367FD">
                    <w:rPr>
                      <w:color w:val="auto"/>
                      <w:szCs w:val="18"/>
                      <w:vertAlign w:val="subscript"/>
                    </w:rPr>
                    <w:t>2.5</w:t>
                  </w:r>
                  <w:r>
                    <w:rPr>
                      <w:color w:val="auto"/>
                      <w:szCs w:val="18"/>
                    </w:rPr>
                    <w:t xml:space="preserve"> during the winter.</w:t>
                  </w:r>
                </w:p>
              </w:txbxContent>
            </v:textbox>
            <w10:wrap type="none"/>
            <w10:anchorlock/>
          </v:shape>
        </w:pict>
      </w:r>
    </w:p>
    <w:p w:rsidR="00274510" w:rsidRPr="00B37EF3" w:rsidRDefault="00BF6019" w:rsidP="00607C0F">
      <w:pPr>
        <w:jc w:val="center"/>
        <w:rPr>
          <w:rFonts w:ascii="Arial" w:hAnsi="Arial" w:cs="Arial"/>
          <w:color w:val="FF0000"/>
        </w:rPr>
      </w:pPr>
      <w:r>
        <w:rPr>
          <w:rFonts w:ascii="Arial" w:hAnsi="Arial" w:cs="Arial"/>
          <w:noProof/>
          <w:color w:val="FF0000"/>
        </w:rPr>
      </w:r>
      <w:r>
        <w:rPr>
          <w:rFonts w:ascii="Arial" w:hAnsi="Arial" w:cs="Arial"/>
          <w:noProof/>
          <w:color w:val="FF0000"/>
        </w:rPr>
        <w:pict>
          <v:shape id="AutoShape 29" o:spid="_x0000_s1034" type="#_x0000_t176" style="width:433.7pt;height:1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" fillcolor="#fbd4b4" strokecolor="#f79646" strokeweight="2.5pt">
            <v:fill opacity="13107f"/>
            <v:shadow color="#868686"/>
            <v:textbox>
              <w:txbxContent>
                <w:p w:rsidR="0085182E" w:rsidRPr="0043291D" w:rsidRDefault="0085182E" w:rsidP="00D54E12">
                  <w:pPr>
                    <w:spacing w:after="200"/>
                    <w:jc w:val="center"/>
                    <w:rPr>
                      <w:b/>
                      <w:color w:val="E36C0A"/>
                      <w:sz w:val="24"/>
                      <w:szCs w:val="24"/>
                    </w:rPr>
                  </w:pPr>
                  <w:r w:rsidRPr="0043291D">
                    <w:rPr>
                      <w:b/>
                      <w:color w:val="E36C0A"/>
                      <w:sz w:val="24"/>
                      <w:szCs w:val="24"/>
                    </w:rPr>
                    <w:t>Proposed questions for consultation: Airborne PM in Australia</w:t>
                  </w:r>
                </w:p>
                <w:p w:rsidR="0085182E" w:rsidRPr="006A5626" w:rsidRDefault="0085182E" w:rsidP="00465689">
                  <w:pPr>
                    <w:pStyle w:val="BulletArrows"/>
                    <w:numPr>
                      <w:ilvl w:val="0"/>
                      <w:numId w:val="1"/>
                    </w:numPr>
                  </w:pPr>
                  <w:r w:rsidRPr="006A5626">
                    <w:t>Do you think that any additional information on emissions and ambient PM concentrations in Australia is required to inform the actions being considered for reducing airborne PM?</w:t>
                  </w:r>
                </w:p>
                <w:p w:rsidR="0085182E" w:rsidRPr="006A5626" w:rsidRDefault="0085182E" w:rsidP="006A5626">
                  <w:pPr>
                    <w:pStyle w:val="BulletArrows"/>
                    <w:numPr>
                      <w:ilvl w:val="0"/>
                      <w:numId w:val="1"/>
                    </w:numPr>
                    <w:rPr>
                      <w:color w:val="auto"/>
                      <w:szCs w:val="18"/>
                    </w:rPr>
                  </w:pPr>
                  <w:r w:rsidRPr="006A5626">
                    <w:t>Are there any issues that have not been considered or have not been attributed sufficient weight in the discussion?</w:t>
                  </w:r>
                </w:p>
                <w:p w:rsidR="0085182E" w:rsidRPr="001D709E" w:rsidRDefault="0085182E" w:rsidP="00465689">
                  <w:pPr>
                    <w:pStyle w:val="BulletArrows"/>
                    <w:numPr>
                      <w:ilvl w:val="0"/>
                      <w:numId w:val="22"/>
                    </w:numPr>
                    <w:ind w:left="426" w:hanging="284"/>
                    <w:rPr>
                      <w:color w:val="auto"/>
                      <w:szCs w:val="18"/>
                    </w:rPr>
                  </w:pPr>
                </w:p>
              </w:txbxContent>
            </v:textbox>
            <w10:wrap type="none"/>
            <w10:anchorlock/>
          </v:shape>
        </w:pict>
      </w:r>
    </w:p>
    <w:bookmarkEnd w:id="73"/>
    <w:p w:rsidR="00692A6D" w:rsidRPr="00B37EF3" w:rsidRDefault="00692A6D" w:rsidP="002C6E3A">
      <w:pPr>
        <w:rPr>
          <w:rFonts w:ascii="Arial" w:hAnsi="Arial" w:cs="Arial"/>
        </w:rPr>
        <w:sectPr w:rsidR="00692A6D" w:rsidRPr="00B37EF3" w:rsidSect="006A5626">
          <w:headerReference w:type="even" r:id="rId64"/>
          <w:headerReference w:type="default" r:id="rId65"/>
          <w:footerReference w:type="default" r:id="rId66"/>
          <w:headerReference w:type="first" r:id="rId67"/>
          <w:pgSz w:w="11906" w:h="16838" w:code="9"/>
          <w:pgMar w:top="1440" w:right="1440" w:bottom="1440" w:left="1440" w:header="284" w:footer="244" w:gutter="0"/>
          <w:cols w:space="255"/>
          <w:docGrid w:linePitch="360"/>
        </w:sectPr>
      </w:pPr>
    </w:p>
    <w:p w:rsidR="00A76F39" w:rsidRPr="00B37EF3" w:rsidRDefault="00A76F39" w:rsidP="00607C0F">
      <w:pPr>
        <w:pStyle w:val="Heading1"/>
        <w:rPr>
          <w:rFonts w:ascii="Arial" w:hAnsi="Arial"/>
        </w:rPr>
      </w:pPr>
      <w:bookmarkStart w:id="101" w:name="_Toc394011114"/>
      <w:r w:rsidRPr="00B37EF3">
        <w:rPr>
          <w:rFonts w:ascii="Arial" w:hAnsi="Arial"/>
        </w:rPr>
        <w:lastRenderedPageBreak/>
        <w:t>Statement of the problem and the case for government intervention</w:t>
      </w:r>
      <w:bookmarkEnd w:id="101"/>
    </w:p>
    <w:p w:rsidR="00A76F39" w:rsidRPr="00B37EF3" w:rsidRDefault="00A76F39" w:rsidP="00A76F39">
      <w:pPr>
        <w:rPr>
          <w:rFonts w:ascii="Arial" w:hAnsi="Arial" w:cs="Arial"/>
        </w:rPr>
      </w:pPr>
      <w:r w:rsidRPr="00B37EF3">
        <w:rPr>
          <w:rFonts w:ascii="Arial" w:hAnsi="Arial" w:cs="Arial"/>
        </w:rPr>
        <w:t xml:space="preserve">This </w:t>
      </w:r>
      <w:r w:rsidR="00A93751" w:rsidRPr="00B37EF3">
        <w:rPr>
          <w:rFonts w:ascii="Arial" w:hAnsi="Arial" w:cs="Arial"/>
        </w:rPr>
        <w:t>c</w:t>
      </w:r>
      <w:r w:rsidRPr="00B37EF3">
        <w:rPr>
          <w:rFonts w:ascii="Arial" w:hAnsi="Arial" w:cs="Arial"/>
        </w:rPr>
        <w:t>hapter</w:t>
      </w:r>
      <w:r w:rsidR="001F5942" w:rsidRPr="00B37EF3">
        <w:rPr>
          <w:rFonts w:ascii="Arial" w:hAnsi="Arial" w:cs="Arial"/>
        </w:rPr>
        <w:t xml:space="preserve"> of the </w:t>
      </w:r>
      <w:r w:rsidR="005B38F9" w:rsidRPr="00B37EF3">
        <w:rPr>
          <w:rFonts w:ascii="Arial" w:hAnsi="Arial"/>
        </w:rPr>
        <w:t>Impact Statement</w:t>
      </w:r>
      <w:r w:rsidR="001F5942" w:rsidRPr="00B37EF3">
        <w:rPr>
          <w:rFonts w:ascii="Arial" w:hAnsi="Arial" w:cs="Arial"/>
        </w:rPr>
        <w:t xml:space="preserve"> identifies</w:t>
      </w:r>
      <w:r w:rsidRPr="00B37EF3">
        <w:rPr>
          <w:rFonts w:ascii="Arial" w:hAnsi="Arial" w:cs="Arial"/>
        </w:rPr>
        <w:t xml:space="preserve"> the fundamental problems that</w:t>
      </w:r>
      <w:r w:rsidR="001F5942" w:rsidRPr="00B37EF3">
        <w:rPr>
          <w:rFonts w:ascii="Arial" w:hAnsi="Arial" w:cs="Arial"/>
        </w:rPr>
        <w:t xml:space="preserve"> need to be addressed, and </w:t>
      </w:r>
      <w:r w:rsidRPr="00B37EF3">
        <w:rPr>
          <w:rFonts w:ascii="Arial" w:hAnsi="Arial" w:cs="Arial"/>
        </w:rPr>
        <w:t>establish</w:t>
      </w:r>
      <w:r w:rsidR="001F5942" w:rsidRPr="00B37EF3">
        <w:rPr>
          <w:rFonts w:ascii="Arial" w:hAnsi="Arial" w:cs="Arial"/>
        </w:rPr>
        <w:t>es the</w:t>
      </w:r>
      <w:r w:rsidRPr="00B37EF3">
        <w:rPr>
          <w:rFonts w:ascii="Arial" w:hAnsi="Arial" w:cs="Arial"/>
        </w:rPr>
        <w:t xml:space="preserve"> case for government </w:t>
      </w:r>
      <w:r w:rsidR="00C0046A" w:rsidRPr="00B37EF3">
        <w:rPr>
          <w:rFonts w:ascii="Arial" w:hAnsi="Arial" w:cs="Arial"/>
        </w:rPr>
        <w:t>involvement</w:t>
      </w:r>
      <w:r w:rsidRPr="00B37EF3">
        <w:rPr>
          <w:rFonts w:ascii="Arial" w:hAnsi="Arial" w:cs="Arial"/>
        </w:rPr>
        <w:t>.</w:t>
      </w:r>
    </w:p>
    <w:p w:rsidR="00885A44" w:rsidRPr="00B37EF3" w:rsidRDefault="008C4FA2" w:rsidP="00FA4C0F">
      <w:pPr>
        <w:pStyle w:val="Heading2"/>
        <w:rPr>
          <w:rFonts w:ascii="Arial" w:hAnsi="Arial"/>
        </w:rPr>
      </w:pPr>
      <w:bookmarkStart w:id="102" w:name="_Toc394011115"/>
      <w:r w:rsidRPr="00B37EF3">
        <w:rPr>
          <w:rFonts w:ascii="Arial" w:hAnsi="Arial"/>
        </w:rPr>
        <w:t>Statement of the problem</w:t>
      </w:r>
      <w:bookmarkEnd w:id="102"/>
    </w:p>
    <w:p w:rsidR="00792303" w:rsidRPr="00B37EF3" w:rsidRDefault="00F52003" w:rsidP="00493178">
      <w:pPr>
        <w:spacing w:after="220"/>
        <w:rPr>
          <w:rFonts w:ascii="Arial" w:hAnsi="Arial" w:cs="Arial"/>
        </w:rPr>
      </w:pPr>
      <w:r w:rsidRPr="00B37EF3">
        <w:rPr>
          <w:rFonts w:ascii="Arial" w:hAnsi="Arial" w:cs="Arial"/>
          <w:lang w:eastAsia="en-US"/>
        </w:rPr>
        <w:t>The requirement to</w:t>
      </w:r>
      <w:r w:rsidR="00493178" w:rsidRPr="00B37EF3">
        <w:rPr>
          <w:rFonts w:ascii="Arial" w:hAnsi="Arial" w:cs="Arial"/>
          <w:lang w:eastAsia="en-US"/>
        </w:rPr>
        <w:t xml:space="preserve"> reduce</w:t>
      </w:r>
      <w:r w:rsidRPr="00B37EF3">
        <w:rPr>
          <w:rFonts w:ascii="Arial" w:hAnsi="Arial" w:cs="Arial"/>
          <w:lang w:eastAsia="en-US"/>
        </w:rPr>
        <w:t xml:space="preserve"> atmospheric concentrations of PM derives </w:t>
      </w:r>
      <w:r w:rsidR="008D0FEC" w:rsidRPr="00B37EF3">
        <w:rPr>
          <w:rFonts w:ascii="Arial" w:hAnsi="Arial" w:cs="Arial"/>
          <w:lang w:eastAsia="en-US"/>
        </w:rPr>
        <w:t xml:space="preserve">principally </w:t>
      </w:r>
      <w:r w:rsidRPr="00B37EF3">
        <w:rPr>
          <w:rFonts w:ascii="Arial" w:hAnsi="Arial" w:cs="Arial"/>
          <w:lang w:eastAsia="en-US"/>
        </w:rPr>
        <w:t xml:space="preserve">from its well-recognised and quantified effects upon human health, including premature mortality, hospital admissions, allergic </w:t>
      </w:r>
      <w:r w:rsidR="00CB6F0B" w:rsidRPr="00B37EF3">
        <w:rPr>
          <w:rFonts w:ascii="Arial" w:hAnsi="Arial" w:cs="Arial"/>
          <w:lang w:eastAsia="en-US"/>
        </w:rPr>
        <w:t xml:space="preserve">reactions, lung dysfunction, </w:t>
      </w:r>
      <w:r w:rsidRPr="00B37EF3">
        <w:rPr>
          <w:rFonts w:ascii="Arial" w:hAnsi="Arial" w:cs="Arial"/>
          <w:lang w:eastAsia="en-US"/>
        </w:rPr>
        <w:t>cardiovascular diseases</w:t>
      </w:r>
      <w:r w:rsidR="00CB6F0B" w:rsidRPr="00B37EF3">
        <w:rPr>
          <w:rFonts w:ascii="Arial" w:hAnsi="Arial" w:cs="Arial"/>
          <w:lang w:eastAsia="en-US"/>
        </w:rPr>
        <w:t xml:space="preserve"> and cancer</w:t>
      </w:r>
      <w:r w:rsidRPr="00B37EF3">
        <w:rPr>
          <w:rFonts w:ascii="Arial" w:hAnsi="Arial" w:cs="Arial"/>
          <w:lang w:eastAsia="en-US"/>
        </w:rPr>
        <w:t>.</w:t>
      </w:r>
      <w:r w:rsidR="00B120C0" w:rsidRPr="00B37EF3">
        <w:rPr>
          <w:rFonts w:ascii="Arial" w:hAnsi="Arial" w:cs="Arial"/>
          <w:lang w:eastAsia="en-US"/>
        </w:rPr>
        <w:t xml:space="preserve"> The short-term and long-term impacts of PM</w:t>
      </w:r>
      <w:r w:rsidR="00B120C0" w:rsidRPr="00B37EF3">
        <w:rPr>
          <w:rFonts w:ascii="Arial" w:hAnsi="Arial" w:cs="Arial"/>
          <w:vertAlign w:val="subscript"/>
          <w:lang w:eastAsia="en-US"/>
        </w:rPr>
        <w:t>10</w:t>
      </w:r>
      <w:r w:rsidR="00B120C0" w:rsidRPr="00B37EF3">
        <w:rPr>
          <w:rFonts w:ascii="Arial" w:hAnsi="Arial" w:cs="Arial"/>
          <w:lang w:eastAsia="en-US"/>
        </w:rPr>
        <w:t xml:space="preserve"> and PM</w:t>
      </w:r>
      <w:r w:rsidR="00B120C0" w:rsidRPr="00B37EF3">
        <w:rPr>
          <w:rFonts w:ascii="Arial" w:hAnsi="Arial" w:cs="Arial"/>
          <w:vertAlign w:val="subscript"/>
          <w:lang w:eastAsia="en-US"/>
        </w:rPr>
        <w:t>2.5</w:t>
      </w:r>
      <w:r w:rsidR="00B120C0" w:rsidRPr="00B37EF3">
        <w:rPr>
          <w:rFonts w:ascii="Arial" w:hAnsi="Arial" w:cs="Arial"/>
          <w:lang w:eastAsia="en-US"/>
        </w:rPr>
        <w:t xml:space="preserve"> on health</w:t>
      </w:r>
      <w:r w:rsidR="00D94082" w:rsidRPr="00B37EF3">
        <w:rPr>
          <w:rFonts w:ascii="Arial" w:hAnsi="Arial" w:cs="Arial"/>
          <w:lang w:eastAsia="en-US"/>
        </w:rPr>
        <w:t>, and the lack of evidence for thresholds for health impacts,</w:t>
      </w:r>
      <w:r w:rsidR="00B120C0" w:rsidRPr="00B37EF3">
        <w:rPr>
          <w:rFonts w:ascii="Arial" w:hAnsi="Arial" w:cs="Arial"/>
          <w:lang w:eastAsia="en-US"/>
        </w:rPr>
        <w:t xml:space="preserve"> have been reinforced by the recent REVIHAAP report</w:t>
      </w:r>
      <w:r w:rsidR="00A93751" w:rsidRPr="00B37EF3">
        <w:rPr>
          <w:rFonts w:ascii="Arial" w:hAnsi="Arial" w:cs="Arial"/>
          <w:lang w:eastAsia="en-US"/>
        </w:rPr>
        <w:t xml:space="preserve"> </w:t>
      </w:r>
      <w:r w:rsidR="00A93751" w:rsidRPr="00B37EF3">
        <w:rPr>
          <w:rFonts w:ascii="Arial" w:hAnsi="Arial" w:cs="Arial"/>
          <w:b/>
          <w:lang w:eastAsia="en-US"/>
        </w:rPr>
        <w:t>(</w:t>
      </w:r>
      <w:r w:rsidR="00A93751" w:rsidRPr="00B37EF3">
        <w:rPr>
          <w:rFonts w:ascii="Arial" w:hAnsi="Arial" w:cs="Arial"/>
          <w:b/>
        </w:rPr>
        <w:t>WHO Regional Office for Europe 2013</w:t>
      </w:r>
      <w:r w:rsidR="00A93751" w:rsidRPr="00B37EF3">
        <w:rPr>
          <w:rFonts w:ascii="Arial" w:hAnsi="Arial" w:cs="Arial"/>
          <w:b/>
          <w:lang w:eastAsia="en-US"/>
        </w:rPr>
        <w:t>)</w:t>
      </w:r>
      <w:r w:rsidR="00B120C0" w:rsidRPr="00B37EF3">
        <w:rPr>
          <w:rFonts w:ascii="Arial" w:hAnsi="Arial" w:cs="Arial"/>
          <w:lang w:eastAsia="en-US"/>
        </w:rPr>
        <w:t>.</w:t>
      </w:r>
      <w:r w:rsidR="00792303" w:rsidRPr="00B37EF3">
        <w:rPr>
          <w:rFonts w:ascii="Arial" w:hAnsi="Arial" w:cs="Arial"/>
        </w:rPr>
        <w:t xml:space="preserve"> The non-threshold nature of the health response to PM means that sensitive individuals </w:t>
      </w:r>
      <w:r w:rsidR="00A93751" w:rsidRPr="00B37EF3">
        <w:rPr>
          <w:rFonts w:ascii="Arial" w:hAnsi="Arial" w:cs="Arial"/>
        </w:rPr>
        <w:t>–</w:t>
      </w:r>
      <w:r w:rsidR="00792303" w:rsidRPr="00B37EF3">
        <w:rPr>
          <w:rFonts w:ascii="Arial" w:hAnsi="Arial" w:cs="Arial"/>
        </w:rPr>
        <w:t xml:space="preserve"> such as people with respiratory or cardiovascular disease </w:t>
      </w:r>
      <w:r w:rsidR="00A93751" w:rsidRPr="00B37EF3">
        <w:rPr>
          <w:rFonts w:ascii="Arial" w:hAnsi="Arial" w:cs="Arial"/>
        </w:rPr>
        <w:t>–</w:t>
      </w:r>
      <w:r w:rsidR="00792303" w:rsidRPr="00B37EF3">
        <w:rPr>
          <w:rFonts w:ascii="Arial" w:hAnsi="Arial" w:cs="Arial"/>
        </w:rPr>
        <w:t xml:space="preserve"> may be affected even where concentrations are relatively low. There is therefore still a health benefit (and cost saving) to be gained from any reduction </w:t>
      </w:r>
      <w:r w:rsidR="00493178" w:rsidRPr="00B37EF3">
        <w:rPr>
          <w:rFonts w:ascii="Arial" w:hAnsi="Arial" w:cs="Arial"/>
        </w:rPr>
        <w:t xml:space="preserve">in PM concentrations and </w:t>
      </w:r>
      <w:r w:rsidR="00792303" w:rsidRPr="00B37EF3">
        <w:rPr>
          <w:rFonts w:ascii="Arial" w:hAnsi="Arial" w:cs="Arial"/>
        </w:rPr>
        <w:t>overall population exposure.</w:t>
      </w:r>
    </w:p>
    <w:p w:rsidR="00792303" w:rsidRPr="00B37EF3" w:rsidRDefault="00792303" w:rsidP="00493178">
      <w:pPr>
        <w:spacing w:after="220"/>
        <w:rPr>
          <w:rFonts w:ascii="Arial" w:hAnsi="Arial" w:cs="Arial"/>
        </w:rPr>
      </w:pPr>
      <w:r w:rsidRPr="00B37EF3">
        <w:rPr>
          <w:rFonts w:ascii="Arial" w:hAnsi="Arial" w:cs="Arial"/>
        </w:rPr>
        <w:t xml:space="preserve">The data presented in </w:t>
      </w:r>
      <w:r w:rsidRPr="00B37EF3">
        <w:rPr>
          <w:rFonts w:ascii="Arial" w:hAnsi="Arial" w:cs="Arial"/>
          <w:b/>
        </w:rPr>
        <w:t>Chapter 5</w:t>
      </w:r>
      <w:r w:rsidRPr="00B37EF3">
        <w:rPr>
          <w:rFonts w:ascii="Arial" w:hAnsi="Arial" w:cs="Arial"/>
        </w:rPr>
        <w:t xml:space="preserve"> show that annual mean PM</w:t>
      </w:r>
      <w:r w:rsidRPr="00B37EF3">
        <w:rPr>
          <w:rFonts w:ascii="Arial" w:hAnsi="Arial" w:cs="Arial"/>
          <w:vertAlign w:val="subscript"/>
        </w:rPr>
        <w:t>10</w:t>
      </w:r>
      <w:r w:rsidRPr="00B37EF3">
        <w:rPr>
          <w:rFonts w:ascii="Arial" w:hAnsi="Arial" w:cs="Arial"/>
        </w:rPr>
        <w:t xml:space="preserve"> and PM</w:t>
      </w:r>
      <w:r w:rsidRPr="00B37EF3">
        <w:rPr>
          <w:rFonts w:ascii="Arial" w:hAnsi="Arial" w:cs="Arial"/>
          <w:vertAlign w:val="subscript"/>
        </w:rPr>
        <w:t>2.5</w:t>
      </w:r>
      <w:r w:rsidRPr="00B37EF3">
        <w:rPr>
          <w:rFonts w:ascii="Arial" w:hAnsi="Arial" w:cs="Arial"/>
        </w:rPr>
        <w:t xml:space="preserve"> concentrations have shown a tendency to decrease</w:t>
      </w:r>
      <w:r w:rsidR="00A93751" w:rsidRPr="00B37EF3">
        <w:rPr>
          <w:rFonts w:ascii="Arial" w:hAnsi="Arial" w:cs="Arial"/>
        </w:rPr>
        <w:t xml:space="preserve"> in some jurisdictions</w:t>
      </w:r>
      <w:r w:rsidRPr="00B37EF3">
        <w:rPr>
          <w:rFonts w:ascii="Arial" w:hAnsi="Arial" w:cs="Arial"/>
        </w:rPr>
        <w:t xml:space="preserve"> in recent years, whereas in other jurisdictions they appear to have stabilised or increased. In most juris</w:t>
      </w:r>
      <w:r w:rsidR="00FE4304" w:rsidRPr="00B37EF3">
        <w:rPr>
          <w:rFonts w:ascii="Arial" w:hAnsi="Arial" w:cs="Arial"/>
        </w:rPr>
        <w:t xml:space="preserve">dictions </w:t>
      </w:r>
      <w:r w:rsidRPr="00B37EF3">
        <w:rPr>
          <w:rFonts w:ascii="Arial" w:hAnsi="Arial" w:cs="Arial"/>
        </w:rPr>
        <w:t>the annual mean PM</w:t>
      </w:r>
      <w:r w:rsidRPr="00B37EF3">
        <w:rPr>
          <w:rFonts w:ascii="Arial" w:hAnsi="Arial" w:cs="Arial"/>
          <w:vertAlign w:val="subscript"/>
        </w:rPr>
        <w:t>2.5</w:t>
      </w:r>
      <w:r w:rsidRPr="00B37EF3">
        <w:rPr>
          <w:rFonts w:ascii="Arial" w:hAnsi="Arial" w:cs="Arial"/>
        </w:rPr>
        <w:t xml:space="preserve"> concentration </w:t>
      </w:r>
      <w:r w:rsidR="00FE4304" w:rsidRPr="00B37EF3">
        <w:rPr>
          <w:rFonts w:ascii="Arial" w:hAnsi="Arial" w:cs="Arial"/>
        </w:rPr>
        <w:t xml:space="preserve">in 2012 </w:t>
      </w:r>
      <w:r w:rsidRPr="00B37EF3">
        <w:rPr>
          <w:rFonts w:ascii="Arial" w:hAnsi="Arial" w:cs="Arial"/>
        </w:rPr>
        <w:t xml:space="preserve">was below the </w:t>
      </w:r>
      <w:r w:rsidR="00EF24F8" w:rsidRPr="00B37EF3">
        <w:rPr>
          <w:rFonts w:ascii="Arial" w:hAnsi="Arial" w:cs="Arial"/>
        </w:rPr>
        <w:t>AAQ NEPM</w:t>
      </w:r>
      <w:r w:rsidRPr="00B37EF3">
        <w:rPr>
          <w:rFonts w:ascii="Arial" w:hAnsi="Arial" w:cs="Arial"/>
        </w:rPr>
        <w:t xml:space="preserve"> advisory reporting standard of 8 </w:t>
      </w:r>
      <w:proofErr w:type="spellStart"/>
      <w:r w:rsidRPr="00B37EF3">
        <w:rPr>
          <w:rFonts w:ascii="Arial" w:hAnsi="Arial" w:cs="Arial"/>
        </w:rPr>
        <w:t>μg</w:t>
      </w:r>
      <w:proofErr w:type="spellEnd"/>
      <w:r w:rsidRPr="00B37EF3">
        <w:rPr>
          <w:rFonts w:ascii="Arial" w:hAnsi="Arial" w:cs="Arial"/>
        </w:rPr>
        <w:t>/m</w:t>
      </w:r>
      <w:r w:rsidRPr="00B37EF3">
        <w:rPr>
          <w:rFonts w:ascii="Arial" w:hAnsi="Arial" w:cs="Arial"/>
          <w:vertAlign w:val="superscript"/>
        </w:rPr>
        <w:t>3</w:t>
      </w:r>
      <w:r w:rsidRPr="00B37EF3">
        <w:rPr>
          <w:rFonts w:ascii="Arial" w:hAnsi="Arial" w:cs="Arial"/>
        </w:rPr>
        <w:t xml:space="preserve">. </w:t>
      </w:r>
      <w:r w:rsidR="008D0FEC" w:rsidRPr="00B37EF3">
        <w:rPr>
          <w:rFonts w:ascii="Arial" w:hAnsi="Arial" w:cs="Arial"/>
        </w:rPr>
        <w:t>However, t</w:t>
      </w:r>
      <w:r w:rsidRPr="00B37EF3">
        <w:rPr>
          <w:rFonts w:ascii="Arial" w:hAnsi="Arial" w:cs="Arial"/>
        </w:rPr>
        <w:t>here continue to be exceedances of the 24-hour standards and goals at many monitoring si</w:t>
      </w:r>
      <w:r w:rsidR="00FE4304" w:rsidRPr="00B37EF3">
        <w:rPr>
          <w:rFonts w:ascii="Arial" w:hAnsi="Arial" w:cs="Arial"/>
        </w:rPr>
        <w:t xml:space="preserve">tes, although these </w:t>
      </w:r>
      <w:r w:rsidRPr="00B37EF3">
        <w:rPr>
          <w:rFonts w:ascii="Arial" w:hAnsi="Arial" w:cs="Arial"/>
        </w:rPr>
        <w:t>are often attributed to exceptional (and uncontrollable)</w:t>
      </w:r>
      <w:r w:rsidR="008D0FEC" w:rsidRPr="00B37EF3">
        <w:rPr>
          <w:rFonts w:ascii="Arial" w:hAnsi="Arial" w:cs="Arial"/>
        </w:rPr>
        <w:t xml:space="preserve"> natural events</w:t>
      </w:r>
      <w:r w:rsidRPr="00B37EF3">
        <w:rPr>
          <w:rFonts w:ascii="Arial" w:hAnsi="Arial" w:cs="Arial"/>
        </w:rPr>
        <w:t>.</w:t>
      </w:r>
    </w:p>
    <w:p w:rsidR="00792303" w:rsidRPr="00B37EF3" w:rsidRDefault="0087080F" w:rsidP="00493178">
      <w:pPr>
        <w:spacing w:after="220"/>
        <w:rPr>
          <w:rFonts w:ascii="Arial" w:hAnsi="Arial" w:cs="Arial"/>
        </w:rPr>
      </w:pPr>
      <w:r w:rsidRPr="00B37EF3">
        <w:rPr>
          <w:rFonts w:ascii="Arial" w:hAnsi="Arial" w:cs="Arial"/>
        </w:rPr>
        <w:t>Where PM concentrations have historically been</w:t>
      </w:r>
      <w:r w:rsidR="00792303" w:rsidRPr="00B37EF3">
        <w:rPr>
          <w:rFonts w:ascii="Arial" w:hAnsi="Arial" w:cs="Arial"/>
        </w:rPr>
        <w:t xml:space="preserve"> </w:t>
      </w:r>
      <w:r w:rsidRPr="00B37EF3">
        <w:rPr>
          <w:rFonts w:ascii="Arial" w:hAnsi="Arial" w:cs="Arial"/>
        </w:rPr>
        <w:t xml:space="preserve">below </w:t>
      </w:r>
      <w:r w:rsidR="00792303" w:rsidRPr="00B37EF3">
        <w:rPr>
          <w:rFonts w:ascii="Arial" w:hAnsi="Arial" w:cs="Arial"/>
        </w:rPr>
        <w:t>air quality standards/goals</w:t>
      </w:r>
      <w:r w:rsidRPr="00B37EF3">
        <w:rPr>
          <w:rFonts w:ascii="Arial" w:hAnsi="Arial" w:cs="Arial"/>
        </w:rPr>
        <w:t xml:space="preserve">, there is no guarantee that this will continue </w:t>
      </w:r>
      <w:r w:rsidR="00792303" w:rsidRPr="00B37EF3">
        <w:rPr>
          <w:rFonts w:ascii="Arial" w:hAnsi="Arial" w:cs="Arial"/>
        </w:rPr>
        <w:t>in the future, especially given that the projections in state inventories show that PM</w:t>
      </w:r>
      <w:r w:rsidR="00792303" w:rsidRPr="00B37EF3">
        <w:rPr>
          <w:rFonts w:ascii="Arial" w:hAnsi="Arial" w:cs="Arial"/>
          <w:vertAlign w:val="subscript"/>
        </w:rPr>
        <w:t>10</w:t>
      </w:r>
      <w:r w:rsidR="00792303" w:rsidRPr="00B37EF3">
        <w:rPr>
          <w:rFonts w:ascii="Arial" w:hAnsi="Arial" w:cs="Arial"/>
        </w:rPr>
        <w:t xml:space="preserve"> and PM</w:t>
      </w:r>
      <w:r w:rsidR="00792303" w:rsidRPr="00B37EF3">
        <w:rPr>
          <w:rFonts w:ascii="Arial" w:hAnsi="Arial" w:cs="Arial"/>
          <w:vertAlign w:val="subscript"/>
        </w:rPr>
        <w:t>2.5</w:t>
      </w:r>
      <w:r w:rsidR="00792303" w:rsidRPr="00B37EF3">
        <w:rPr>
          <w:rFonts w:ascii="Arial" w:hAnsi="Arial" w:cs="Arial"/>
        </w:rPr>
        <w:t xml:space="preserve"> emissions are likely </w:t>
      </w:r>
      <w:r w:rsidR="00E047E2" w:rsidRPr="00B37EF3">
        <w:rPr>
          <w:rFonts w:ascii="Arial" w:hAnsi="Arial" w:cs="Arial"/>
        </w:rPr>
        <w:t>to increase under a BAU</w:t>
      </w:r>
      <w:r w:rsidR="00792303" w:rsidRPr="00B37EF3">
        <w:rPr>
          <w:rFonts w:ascii="Arial" w:hAnsi="Arial" w:cs="Arial"/>
        </w:rPr>
        <w:t xml:space="preserve"> scenario, in spite of controls on emissions from several sectors. For example, </w:t>
      </w:r>
      <w:r w:rsidR="008C081B" w:rsidRPr="00B37EF3">
        <w:rPr>
          <w:rFonts w:ascii="Arial" w:hAnsi="Arial" w:cs="Arial"/>
        </w:rPr>
        <w:t xml:space="preserve">the </w:t>
      </w:r>
      <w:r w:rsidR="00792303" w:rsidRPr="00B37EF3">
        <w:rPr>
          <w:rFonts w:ascii="Arial" w:hAnsi="Arial" w:cs="Arial"/>
        </w:rPr>
        <w:t xml:space="preserve">data from the NSW GMR </w:t>
      </w:r>
      <w:r w:rsidR="00B44448" w:rsidRPr="00B37EF3">
        <w:rPr>
          <w:rFonts w:ascii="Arial" w:hAnsi="Arial" w:cs="Arial"/>
        </w:rPr>
        <w:t xml:space="preserve">emissions </w:t>
      </w:r>
      <w:r w:rsidR="00792303" w:rsidRPr="00B37EF3">
        <w:rPr>
          <w:rFonts w:ascii="Arial" w:hAnsi="Arial" w:cs="Arial"/>
        </w:rPr>
        <w:t>inventory show that total anthropogenic emissions of PM</w:t>
      </w:r>
      <w:r w:rsidR="00792303" w:rsidRPr="00B37EF3">
        <w:rPr>
          <w:rFonts w:ascii="Arial" w:hAnsi="Arial" w:cs="Arial"/>
          <w:vertAlign w:val="subscript"/>
        </w:rPr>
        <w:t>10</w:t>
      </w:r>
      <w:r w:rsidR="00792303" w:rsidRPr="00B37EF3">
        <w:rPr>
          <w:rFonts w:ascii="Arial" w:hAnsi="Arial" w:cs="Arial"/>
        </w:rPr>
        <w:t xml:space="preserve"> and PM</w:t>
      </w:r>
      <w:r w:rsidR="00792303" w:rsidRPr="00B37EF3">
        <w:rPr>
          <w:rFonts w:ascii="Arial" w:hAnsi="Arial" w:cs="Arial"/>
          <w:vertAlign w:val="subscript"/>
        </w:rPr>
        <w:t>2.5</w:t>
      </w:r>
      <w:r w:rsidR="00792303" w:rsidRPr="00B37EF3">
        <w:rPr>
          <w:rFonts w:ascii="Arial" w:hAnsi="Arial" w:cs="Arial"/>
        </w:rPr>
        <w:t xml:space="preserve"> in the GMR will increase by 63% and 35% respectively between 2011 and 2036, largely as a result of </w:t>
      </w:r>
      <w:r w:rsidR="008C081B" w:rsidRPr="00B37EF3">
        <w:rPr>
          <w:rFonts w:ascii="Arial" w:hAnsi="Arial" w:cs="Arial"/>
        </w:rPr>
        <w:t xml:space="preserve">growth in </w:t>
      </w:r>
      <w:r w:rsidR="00792303" w:rsidRPr="00B37EF3">
        <w:rPr>
          <w:rFonts w:ascii="Arial" w:hAnsi="Arial" w:cs="Arial"/>
        </w:rPr>
        <w:t>coal mining activity. Anthropogenic emissions of secondary PM precursors such as NO</w:t>
      </w:r>
      <w:r w:rsidR="00792303" w:rsidRPr="00B37EF3">
        <w:rPr>
          <w:rFonts w:ascii="Arial" w:hAnsi="Arial" w:cs="Arial"/>
          <w:vertAlign w:val="subscript"/>
        </w:rPr>
        <w:t>X</w:t>
      </w:r>
      <w:r w:rsidR="00792303" w:rsidRPr="00B37EF3">
        <w:rPr>
          <w:rFonts w:ascii="Arial" w:hAnsi="Arial" w:cs="Arial"/>
        </w:rPr>
        <w:t>, SO</w:t>
      </w:r>
      <w:r w:rsidR="00792303" w:rsidRPr="00B37EF3">
        <w:rPr>
          <w:rFonts w:ascii="Arial" w:hAnsi="Arial" w:cs="Arial"/>
          <w:vertAlign w:val="subscript"/>
        </w:rPr>
        <w:t>2</w:t>
      </w:r>
      <w:r w:rsidR="00792303" w:rsidRPr="00B37EF3">
        <w:rPr>
          <w:rFonts w:ascii="Arial" w:hAnsi="Arial" w:cs="Arial"/>
        </w:rPr>
        <w:t>, NH</w:t>
      </w:r>
      <w:r w:rsidR="00792303" w:rsidRPr="00B37EF3">
        <w:rPr>
          <w:rFonts w:ascii="Arial" w:hAnsi="Arial" w:cs="Arial"/>
          <w:vertAlign w:val="subscript"/>
        </w:rPr>
        <w:t>3</w:t>
      </w:r>
      <w:r w:rsidR="00792303" w:rsidRPr="00B37EF3">
        <w:rPr>
          <w:rFonts w:ascii="Arial" w:hAnsi="Arial" w:cs="Arial"/>
        </w:rPr>
        <w:t xml:space="preserve"> and VOCs are also predicted to increase in the future. </w:t>
      </w:r>
      <w:r w:rsidR="00C24932" w:rsidRPr="00B37EF3">
        <w:rPr>
          <w:rFonts w:ascii="Arial" w:hAnsi="Arial" w:cs="Arial"/>
        </w:rPr>
        <w:t>H</w:t>
      </w:r>
      <w:r w:rsidR="00792303" w:rsidRPr="00B37EF3">
        <w:rPr>
          <w:rFonts w:ascii="Arial" w:hAnsi="Arial" w:cs="Arial"/>
        </w:rPr>
        <w:t>igher temperatures associated with global warming may well result in increased biogenic emissions of the VOC precursors of SOA. T</w:t>
      </w:r>
      <w:r w:rsidR="00D94082" w:rsidRPr="00B37EF3">
        <w:rPr>
          <w:rFonts w:ascii="Arial" w:hAnsi="Arial" w:cs="Arial"/>
        </w:rPr>
        <w:t>he</w:t>
      </w:r>
      <w:r w:rsidR="008D0FEC" w:rsidRPr="00B37EF3">
        <w:rPr>
          <w:rFonts w:ascii="Arial" w:hAnsi="Arial" w:cs="Arial"/>
        </w:rPr>
        <w:t>se</w:t>
      </w:r>
      <w:r w:rsidR="00D94082" w:rsidRPr="00B37EF3">
        <w:rPr>
          <w:rFonts w:ascii="Arial" w:hAnsi="Arial" w:cs="Arial"/>
        </w:rPr>
        <w:t xml:space="preserve"> </w:t>
      </w:r>
      <w:r w:rsidR="00792303" w:rsidRPr="00B37EF3">
        <w:rPr>
          <w:rFonts w:ascii="Arial" w:hAnsi="Arial" w:cs="Arial"/>
        </w:rPr>
        <w:t>increases in emissions</w:t>
      </w:r>
      <w:r w:rsidR="00D94082" w:rsidRPr="00B37EF3">
        <w:rPr>
          <w:rFonts w:ascii="Arial" w:hAnsi="Arial" w:cs="Arial"/>
        </w:rPr>
        <w:t xml:space="preserve"> </w:t>
      </w:r>
      <w:r w:rsidR="00CB6F0B" w:rsidRPr="00B37EF3">
        <w:rPr>
          <w:rFonts w:ascii="Arial" w:hAnsi="Arial" w:cs="Arial"/>
        </w:rPr>
        <w:t xml:space="preserve">would be likely to lead to </w:t>
      </w:r>
      <w:r w:rsidR="00B120C0" w:rsidRPr="00B37EF3">
        <w:rPr>
          <w:rFonts w:ascii="Arial" w:hAnsi="Arial" w:cs="Arial"/>
        </w:rPr>
        <w:t>increase</w:t>
      </w:r>
      <w:r w:rsidR="00CB6F0B" w:rsidRPr="00B37EF3">
        <w:rPr>
          <w:rFonts w:ascii="Arial" w:hAnsi="Arial" w:cs="Arial"/>
        </w:rPr>
        <w:t>s</w:t>
      </w:r>
      <w:r w:rsidR="00B120C0" w:rsidRPr="00B37EF3">
        <w:rPr>
          <w:rFonts w:ascii="Arial" w:hAnsi="Arial" w:cs="Arial"/>
        </w:rPr>
        <w:t xml:space="preserve"> in ambient PM concentrations</w:t>
      </w:r>
      <w:r w:rsidR="00CB6F0B" w:rsidRPr="00B37EF3">
        <w:rPr>
          <w:rFonts w:ascii="Arial" w:hAnsi="Arial" w:cs="Arial"/>
        </w:rPr>
        <w:t>, inc</w:t>
      </w:r>
      <w:r w:rsidR="00961DB6" w:rsidRPr="00B37EF3">
        <w:rPr>
          <w:rFonts w:ascii="Arial" w:hAnsi="Arial" w:cs="Arial"/>
        </w:rPr>
        <w:t>reases</w:t>
      </w:r>
      <w:r w:rsidR="00CB6F0B" w:rsidRPr="00B37EF3">
        <w:rPr>
          <w:rFonts w:ascii="Arial" w:hAnsi="Arial" w:cs="Arial"/>
        </w:rPr>
        <w:t xml:space="preserve"> in the incidence of adverse health outcomes, and increase</w:t>
      </w:r>
      <w:r w:rsidR="00961DB6" w:rsidRPr="00B37EF3">
        <w:rPr>
          <w:rFonts w:ascii="Arial" w:hAnsi="Arial" w:cs="Arial"/>
        </w:rPr>
        <w:t xml:space="preserve">s </w:t>
      </w:r>
      <w:r w:rsidR="00CB6F0B" w:rsidRPr="00B37EF3">
        <w:rPr>
          <w:rFonts w:ascii="Arial" w:hAnsi="Arial" w:cs="Arial"/>
        </w:rPr>
        <w:t>in the monetary cost</w:t>
      </w:r>
      <w:r w:rsidR="00961DB6" w:rsidRPr="00B37EF3">
        <w:rPr>
          <w:rFonts w:ascii="Arial" w:hAnsi="Arial" w:cs="Arial"/>
        </w:rPr>
        <w:t>s</w:t>
      </w:r>
      <w:r w:rsidR="00CB6F0B" w:rsidRPr="00B37EF3">
        <w:rPr>
          <w:rFonts w:ascii="Arial" w:hAnsi="Arial" w:cs="Arial"/>
        </w:rPr>
        <w:t xml:space="preserve"> </w:t>
      </w:r>
      <w:r w:rsidR="00DC4DD9" w:rsidRPr="00B37EF3">
        <w:rPr>
          <w:rFonts w:ascii="Arial" w:hAnsi="Arial" w:cs="Arial"/>
        </w:rPr>
        <w:t xml:space="preserve">of air pollution </w:t>
      </w:r>
      <w:r w:rsidR="00CB6F0B" w:rsidRPr="00B37EF3">
        <w:rPr>
          <w:rFonts w:ascii="Arial" w:hAnsi="Arial" w:cs="Arial"/>
        </w:rPr>
        <w:t>to society</w:t>
      </w:r>
      <w:r w:rsidR="00BA30D9" w:rsidRPr="00B37EF3">
        <w:rPr>
          <w:rFonts w:ascii="Arial" w:hAnsi="Arial" w:cs="Arial"/>
        </w:rPr>
        <w:t>, especially when combined with a</w:t>
      </w:r>
      <w:r w:rsidR="00961DB6" w:rsidRPr="00B37EF3">
        <w:rPr>
          <w:rFonts w:ascii="Arial" w:hAnsi="Arial" w:cs="Arial"/>
        </w:rPr>
        <w:t xml:space="preserve"> projected</w:t>
      </w:r>
      <w:r w:rsidR="00BA30D9" w:rsidRPr="00B37EF3">
        <w:rPr>
          <w:rFonts w:ascii="Arial" w:hAnsi="Arial" w:cs="Arial"/>
        </w:rPr>
        <w:t xml:space="preserve"> increase in population</w:t>
      </w:r>
      <w:r w:rsidR="00B120C0" w:rsidRPr="00B37EF3">
        <w:rPr>
          <w:rFonts w:ascii="Arial" w:hAnsi="Arial" w:cs="Arial"/>
        </w:rPr>
        <w:t>.</w:t>
      </w:r>
      <w:r w:rsidR="00BA30D9" w:rsidRPr="00B37EF3">
        <w:rPr>
          <w:rFonts w:ascii="Arial" w:hAnsi="Arial" w:cs="Arial"/>
        </w:rPr>
        <w:t xml:space="preserve"> </w:t>
      </w:r>
      <w:r w:rsidR="00BA30D9" w:rsidRPr="00B37EF3">
        <w:rPr>
          <w:rFonts w:ascii="Arial" w:hAnsi="Arial" w:cs="Arial"/>
          <w:b/>
        </w:rPr>
        <w:t>ABS (2008)</w:t>
      </w:r>
      <w:r w:rsidR="00BA30D9" w:rsidRPr="00B37EF3">
        <w:rPr>
          <w:rFonts w:ascii="Arial" w:hAnsi="Arial" w:cs="Arial"/>
        </w:rPr>
        <w:t xml:space="preserve"> predicts that the Australian population will increase by</w:t>
      </w:r>
      <w:r w:rsidR="00422263" w:rsidRPr="00B37EF3">
        <w:rPr>
          <w:rFonts w:ascii="Arial" w:hAnsi="Arial" w:cs="Arial"/>
        </w:rPr>
        <w:t xml:space="preserve"> around 80% between 2010 and 2050</w:t>
      </w:r>
      <w:r w:rsidR="000B4F8E" w:rsidRPr="00B37EF3">
        <w:rPr>
          <w:rFonts w:ascii="Arial" w:hAnsi="Arial" w:cs="Arial"/>
        </w:rPr>
        <w:t>, and the largest increases will probably occur in urban centres where people are most likely to be exposed to air pollution</w:t>
      </w:r>
      <w:r w:rsidR="00422263" w:rsidRPr="00B37EF3">
        <w:rPr>
          <w:rFonts w:ascii="Arial" w:hAnsi="Arial" w:cs="Arial"/>
        </w:rPr>
        <w:t>.</w:t>
      </w:r>
    </w:p>
    <w:p w:rsidR="002B3809" w:rsidRPr="00B37EF3" w:rsidRDefault="00F22582" w:rsidP="00493178">
      <w:pPr>
        <w:spacing w:after="220"/>
        <w:rPr>
          <w:rFonts w:ascii="Arial" w:hAnsi="Arial" w:cs="Arial"/>
        </w:rPr>
      </w:pPr>
      <w:r w:rsidRPr="00B37EF3">
        <w:rPr>
          <w:rFonts w:ascii="Arial" w:hAnsi="Arial" w:cs="Arial"/>
        </w:rPr>
        <w:t>In addition</w:t>
      </w:r>
      <w:r w:rsidR="002B3809" w:rsidRPr="00B37EF3">
        <w:rPr>
          <w:rFonts w:ascii="Arial" w:hAnsi="Arial" w:cs="Arial"/>
        </w:rPr>
        <w:t>, monitoring and assessment to date has largely been directed towards</w:t>
      </w:r>
      <w:r w:rsidR="00DC4DD9" w:rsidRPr="00B37EF3">
        <w:rPr>
          <w:rFonts w:ascii="Arial" w:hAnsi="Arial" w:cs="Arial"/>
        </w:rPr>
        <w:t xml:space="preserve"> evaluating compliance with </w:t>
      </w:r>
      <w:r w:rsidR="002B3809" w:rsidRPr="00B37EF3">
        <w:rPr>
          <w:rFonts w:ascii="Arial" w:hAnsi="Arial" w:cs="Arial"/>
        </w:rPr>
        <w:t xml:space="preserve">air quality standards and goals at specific locations. However, overall health outcomes are driven by large-scale population exposure to the prevailing </w:t>
      </w:r>
      <w:r w:rsidR="007D46F6" w:rsidRPr="00B37EF3">
        <w:rPr>
          <w:rFonts w:ascii="Arial" w:hAnsi="Arial" w:cs="Arial"/>
        </w:rPr>
        <w:t xml:space="preserve">urban </w:t>
      </w:r>
      <w:r w:rsidR="002B3809" w:rsidRPr="00B37EF3">
        <w:rPr>
          <w:rFonts w:ascii="Arial" w:hAnsi="Arial" w:cs="Arial"/>
        </w:rPr>
        <w:t xml:space="preserve">background PM concentration. In Europe, for example, this has been addressed by </w:t>
      </w:r>
      <w:r w:rsidR="002B3809" w:rsidRPr="00B37EF3">
        <w:rPr>
          <w:rFonts w:ascii="Arial" w:hAnsi="Arial" w:cs="Arial"/>
          <w:lang w:eastAsia="en-US"/>
        </w:rPr>
        <w:t xml:space="preserve">adding an exposure-reduction </w:t>
      </w:r>
      <w:r w:rsidR="008D0FEC" w:rsidRPr="00B37EF3">
        <w:rPr>
          <w:rFonts w:ascii="Arial" w:hAnsi="Arial" w:cs="Arial"/>
          <w:lang w:eastAsia="en-US"/>
        </w:rPr>
        <w:t>framework to the air quality legislation</w:t>
      </w:r>
      <w:r w:rsidR="002B3809" w:rsidRPr="00B37EF3">
        <w:rPr>
          <w:rFonts w:ascii="Arial" w:hAnsi="Arial" w:cs="Arial"/>
          <w:lang w:eastAsia="en-US"/>
        </w:rPr>
        <w:t>.</w:t>
      </w:r>
    </w:p>
    <w:p w:rsidR="000B4F8E" w:rsidRPr="00B37EF3" w:rsidRDefault="00885A44" w:rsidP="00C449FC">
      <w:pPr>
        <w:spacing w:after="120"/>
        <w:rPr>
          <w:rFonts w:ascii="Arial" w:hAnsi="Arial" w:cs="Arial"/>
        </w:rPr>
      </w:pPr>
      <w:r w:rsidRPr="00B37EF3">
        <w:rPr>
          <w:rFonts w:ascii="Arial" w:hAnsi="Arial" w:cs="Arial"/>
          <w:lang w:eastAsia="en-US"/>
        </w:rPr>
        <w:t>These</w:t>
      </w:r>
      <w:r w:rsidR="000B4F8E" w:rsidRPr="00B37EF3">
        <w:rPr>
          <w:rFonts w:ascii="Arial" w:hAnsi="Arial" w:cs="Arial"/>
          <w:lang w:eastAsia="en-US"/>
        </w:rPr>
        <w:t xml:space="preserve"> </w:t>
      </w:r>
      <w:r w:rsidRPr="00B37EF3">
        <w:rPr>
          <w:rFonts w:ascii="Arial" w:hAnsi="Arial" w:cs="Arial"/>
          <w:lang w:eastAsia="en-US"/>
        </w:rPr>
        <w:t xml:space="preserve">factors will </w:t>
      </w:r>
      <w:r w:rsidR="00C449FC" w:rsidRPr="00B37EF3">
        <w:rPr>
          <w:rFonts w:ascii="Arial" w:hAnsi="Arial" w:cs="Arial"/>
          <w:lang w:eastAsia="en-US"/>
        </w:rPr>
        <w:t>probabl</w:t>
      </w:r>
      <w:r w:rsidR="008D0FEC" w:rsidRPr="00B37EF3">
        <w:rPr>
          <w:rFonts w:ascii="Arial" w:hAnsi="Arial" w:cs="Arial"/>
          <w:lang w:eastAsia="en-US"/>
        </w:rPr>
        <w:t xml:space="preserve">y make it more difficult for </w:t>
      </w:r>
      <w:r w:rsidR="00C449FC" w:rsidRPr="00B37EF3">
        <w:rPr>
          <w:rFonts w:ascii="Arial" w:hAnsi="Arial" w:cs="Arial"/>
          <w:lang w:eastAsia="en-US"/>
        </w:rPr>
        <w:t xml:space="preserve">the </w:t>
      </w:r>
      <w:r w:rsidRPr="00B37EF3">
        <w:rPr>
          <w:rFonts w:ascii="Arial" w:hAnsi="Arial" w:cs="Arial"/>
          <w:lang w:eastAsia="en-US"/>
        </w:rPr>
        <w:t>national air qualit</w:t>
      </w:r>
      <w:r w:rsidR="000B4F8E" w:rsidRPr="00B37EF3">
        <w:rPr>
          <w:rFonts w:ascii="Arial" w:hAnsi="Arial" w:cs="Arial"/>
          <w:lang w:eastAsia="en-US"/>
        </w:rPr>
        <w:t xml:space="preserve">y standards </w:t>
      </w:r>
      <w:r w:rsidR="00D94082" w:rsidRPr="00B37EF3">
        <w:rPr>
          <w:rFonts w:ascii="Arial" w:hAnsi="Arial" w:cs="Arial"/>
          <w:lang w:eastAsia="en-US"/>
        </w:rPr>
        <w:t xml:space="preserve">and goals </w:t>
      </w:r>
      <w:r w:rsidR="000B4F8E" w:rsidRPr="00B37EF3">
        <w:rPr>
          <w:rFonts w:ascii="Arial" w:hAnsi="Arial" w:cs="Arial"/>
          <w:lang w:eastAsia="en-US"/>
        </w:rPr>
        <w:t>for PM</w:t>
      </w:r>
      <w:r w:rsidR="00DC4DD9" w:rsidRPr="00B37EF3">
        <w:rPr>
          <w:rFonts w:ascii="Arial" w:hAnsi="Arial" w:cs="Arial"/>
          <w:lang w:eastAsia="en-US"/>
        </w:rPr>
        <w:t xml:space="preserve"> </w:t>
      </w:r>
      <w:r w:rsidR="008D0FEC" w:rsidRPr="00B37EF3">
        <w:rPr>
          <w:rFonts w:ascii="Arial" w:hAnsi="Arial" w:cs="Arial"/>
          <w:lang w:eastAsia="en-US"/>
        </w:rPr>
        <w:t xml:space="preserve">to be met </w:t>
      </w:r>
      <w:r w:rsidR="00DC4DD9" w:rsidRPr="00B37EF3">
        <w:rPr>
          <w:rFonts w:ascii="Arial" w:hAnsi="Arial" w:cs="Arial"/>
          <w:lang w:eastAsia="en-US"/>
        </w:rPr>
        <w:t>in the future</w:t>
      </w:r>
      <w:r w:rsidR="00D94082" w:rsidRPr="00B37EF3">
        <w:rPr>
          <w:rFonts w:ascii="Arial" w:hAnsi="Arial" w:cs="Arial"/>
          <w:lang w:eastAsia="en-US"/>
        </w:rPr>
        <w:t xml:space="preserve"> without further intervention</w:t>
      </w:r>
      <w:r w:rsidRPr="00B37EF3">
        <w:rPr>
          <w:rFonts w:ascii="Arial" w:hAnsi="Arial" w:cs="Arial"/>
          <w:lang w:eastAsia="en-US"/>
        </w:rPr>
        <w:t>.</w:t>
      </w:r>
      <w:r w:rsidR="000B4F8E" w:rsidRPr="00B37EF3">
        <w:rPr>
          <w:rFonts w:ascii="Arial" w:hAnsi="Arial" w:cs="Arial"/>
        </w:rPr>
        <w:t xml:space="preserve"> </w:t>
      </w:r>
      <w:r w:rsidR="00C449FC" w:rsidRPr="00B37EF3">
        <w:rPr>
          <w:rFonts w:ascii="Arial" w:hAnsi="Arial" w:cs="Arial"/>
        </w:rPr>
        <w:t xml:space="preserve">Updating the </w:t>
      </w:r>
      <w:r w:rsidR="00EF24F8" w:rsidRPr="00B37EF3">
        <w:rPr>
          <w:rFonts w:ascii="Arial" w:hAnsi="Arial" w:cs="Arial"/>
        </w:rPr>
        <w:t>AAQ NEPM</w:t>
      </w:r>
      <w:r w:rsidR="00C449FC" w:rsidRPr="00B37EF3">
        <w:rPr>
          <w:rFonts w:ascii="Arial" w:hAnsi="Arial" w:cs="Arial"/>
        </w:rPr>
        <w:t xml:space="preserve"> should </w:t>
      </w:r>
      <w:r w:rsidR="000B4F8E" w:rsidRPr="00B37EF3">
        <w:rPr>
          <w:rFonts w:ascii="Arial" w:hAnsi="Arial" w:cs="Arial"/>
        </w:rPr>
        <w:t xml:space="preserve">go some way to reducing these adverse effects by highlighting potential problems and </w:t>
      </w:r>
      <w:r w:rsidR="00C449FC" w:rsidRPr="00B37EF3">
        <w:rPr>
          <w:rFonts w:ascii="Arial" w:hAnsi="Arial" w:cs="Arial"/>
        </w:rPr>
        <w:t>assisting jurisdictions in the formulation of air quality policies to reduce emissions from</w:t>
      </w:r>
      <w:r w:rsidR="000B4F8E" w:rsidRPr="00B37EF3">
        <w:rPr>
          <w:rFonts w:ascii="Arial" w:hAnsi="Arial" w:cs="Arial"/>
        </w:rPr>
        <w:t xml:space="preserve"> different sectors.</w:t>
      </w:r>
      <w:r w:rsidR="00C449FC" w:rsidRPr="00B37EF3">
        <w:rPr>
          <w:rFonts w:ascii="Arial" w:hAnsi="Arial" w:cs="Arial"/>
        </w:rPr>
        <w:t xml:space="preserve"> </w:t>
      </w:r>
    </w:p>
    <w:p w:rsidR="00A76F39" w:rsidRPr="00B37EF3" w:rsidRDefault="00A76F39" w:rsidP="00FA4C0F">
      <w:pPr>
        <w:pStyle w:val="Heading2"/>
        <w:rPr>
          <w:rFonts w:ascii="Arial" w:hAnsi="Arial"/>
        </w:rPr>
      </w:pPr>
      <w:bookmarkStart w:id="103" w:name="_Toc394011116"/>
      <w:r w:rsidRPr="00B37EF3">
        <w:rPr>
          <w:rFonts w:ascii="Arial" w:hAnsi="Arial"/>
        </w:rPr>
        <w:t xml:space="preserve">Why the </w:t>
      </w:r>
      <w:r w:rsidR="00EF24F8" w:rsidRPr="00B37EF3">
        <w:rPr>
          <w:rFonts w:ascii="Arial" w:hAnsi="Arial"/>
        </w:rPr>
        <w:t>AAQ NEPM</w:t>
      </w:r>
      <w:r w:rsidRPr="00B37EF3">
        <w:rPr>
          <w:rFonts w:ascii="Arial" w:hAnsi="Arial"/>
        </w:rPr>
        <w:t xml:space="preserve"> PM standards need to be </w:t>
      </w:r>
      <w:r w:rsidR="00493178" w:rsidRPr="00B37EF3">
        <w:rPr>
          <w:rFonts w:ascii="Arial" w:hAnsi="Arial"/>
        </w:rPr>
        <w:t>updated</w:t>
      </w:r>
      <w:bookmarkEnd w:id="103"/>
    </w:p>
    <w:p w:rsidR="003D05EC" w:rsidRPr="00B37EF3" w:rsidRDefault="008D0FEC" w:rsidP="00493178">
      <w:pPr>
        <w:pStyle w:val="BulletArrows"/>
        <w:rPr>
          <w:rFonts w:ascii="Arial" w:hAnsi="Arial"/>
        </w:rPr>
      </w:pPr>
      <w:r w:rsidRPr="00B37EF3">
        <w:rPr>
          <w:rFonts w:ascii="Arial" w:hAnsi="Arial"/>
        </w:rPr>
        <w:t>An update</w:t>
      </w:r>
      <w:r w:rsidR="003D05EC" w:rsidRPr="00B37EF3">
        <w:rPr>
          <w:rFonts w:ascii="Arial" w:hAnsi="Arial"/>
        </w:rPr>
        <w:t xml:space="preserve"> of the </w:t>
      </w:r>
      <w:r w:rsidR="00EF24F8" w:rsidRPr="00B37EF3">
        <w:rPr>
          <w:rFonts w:ascii="Arial" w:hAnsi="Arial"/>
        </w:rPr>
        <w:t>AAQ NEPM</w:t>
      </w:r>
      <w:r w:rsidR="003D05EC" w:rsidRPr="00B37EF3">
        <w:rPr>
          <w:rFonts w:ascii="Arial" w:hAnsi="Arial"/>
        </w:rPr>
        <w:t xml:space="preserve"> standards for PM is </w:t>
      </w:r>
      <w:r w:rsidRPr="00B37EF3">
        <w:rPr>
          <w:rFonts w:ascii="Arial" w:hAnsi="Arial"/>
        </w:rPr>
        <w:t xml:space="preserve">appropriate and </w:t>
      </w:r>
      <w:r w:rsidR="003D05EC" w:rsidRPr="00B37EF3">
        <w:rPr>
          <w:rFonts w:ascii="Arial" w:hAnsi="Arial"/>
        </w:rPr>
        <w:t>timely for a number of reasons. These include the following:</w:t>
      </w:r>
    </w:p>
    <w:p w:rsidR="003D05EC" w:rsidRPr="00B37EF3" w:rsidRDefault="003D05EC" w:rsidP="00874267">
      <w:pPr>
        <w:pStyle w:val="BulletArrows"/>
        <w:numPr>
          <w:ilvl w:val="0"/>
          <w:numId w:val="102"/>
        </w:numPr>
        <w:rPr>
          <w:rFonts w:ascii="Arial" w:hAnsi="Arial"/>
        </w:rPr>
      </w:pPr>
      <w:r w:rsidRPr="00B37EF3">
        <w:rPr>
          <w:rFonts w:ascii="Arial" w:hAnsi="Arial"/>
        </w:rPr>
        <w:t xml:space="preserve">There is a </w:t>
      </w:r>
      <w:r w:rsidR="007D46F6" w:rsidRPr="00B37EF3">
        <w:rPr>
          <w:rFonts w:ascii="Arial" w:hAnsi="Arial"/>
          <w:b/>
        </w:rPr>
        <w:t>statutory provision</w:t>
      </w:r>
      <w:r w:rsidRPr="00B37EF3">
        <w:rPr>
          <w:rFonts w:ascii="Arial" w:hAnsi="Arial"/>
        </w:rPr>
        <w:t xml:space="preserve"> to </w:t>
      </w:r>
      <w:r w:rsidR="00184B5D" w:rsidRPr="00B37EF3">
        <w:rPr>
          <w:rFonts w:ascii="Arial" w:hAnsi="Arial"/>
        </w:rPr>
        <w:t xml:space="preserve">review the </w:t>
      </w:r>
      <w:r w:rsidR="00EF24F8" w:rsidRPr="00B37EF3">
        <w:rPr>
          <w:rFonts w:ascii="Arial" w:hAnsi="Arial"/>
        </w:rPr>
        <w:t>AAQ NEPM</w:t>
      </w:r>
      <w:r w:rsidR="008D0FEC" w:rsidRPr="00B37EF3">
        <w:rPr>
          <w:rFonts w:ascii="Arial" w:hAnsi="Arial"/>
        </w:rPr>
        <w:t>,</w:t>
      </w:r>
      <w:r w:rsidR="00184B5D" w:rsidRPr="00B37EF3">
        <w:rPr>
          <w:rFonts w:ascii="Arial" w:hAnsi="Arial"/>
        </w:rPr>
        <w:t xml:space="preserve"> and in particular the advisory reporting standards for PM</w:t>
      </w:r>
      <w:r w:rsidR="00184B5D" w:rsidRPr="00B37EF3">
        <w:rPr>
          <w:rFonts w:ascii="Arial" w:hAnsi="Arial"/>
          <w:vertAlign w:val="subscript"/>
        </w:rPr>
        <w:t>2.5</w:t>
      </w:r>
      <w:r w:rsidR="00184B5D" w:rsidRPr="00B37EF3">
        <w:rPr>
          <w:rFonts w:ascii="Arial" w:hAnsi="Arial"/>
        </w:rPr>
        <w:t>.</w:t>
      </w:r>
    </w:p>
    <w:p w:rsidR="00C32FFF" w:rsidRPr="00B37EF3" w:rsidRDefault="00C32FFF" w:rsidP="00874267">
      <w:pPr>
        <w:pStyle w:val="BulletArrows"/>
        <w:numPr>
          <w:ilvl w:val="0"/>
          <w:numId w:val="102"/>
        </w:numPr>
        <w:rPr>
          <w:rFonts w:ascii="Arial" w:hAnsi="Arial"/>
        </w:rPr>
      </w:pPr>
      <w:r w:rsidRPr="00B37EF3">
        <w:rPr>
          <w:rFonts w:ascii="Arial" w:hAnsi="Arial"/>
        </w:rPr>
        <w:t xml:space="preserve">There is an </w:t>
      </w:r>
      <w:r w:rsidRPr="00B37EF3">
        <w:rPr>
          <w:rFonts w:ascii="Arial" w:hAnsi="Arial"/>
          <w:b/>
        </w:rPr>
        <w:t>expectation on the part of the public</w:t>
      </w:r>
      <w:r w:rsidRPr="00B37EF3">
        <w:rPr>
          <w:rFonts w:ascii="Arial" w:hAnsi="Arial"/>
        </w:rPr>
        <w:t xml:space="preserve"> that environmental legislation will provide a </w:t>
      </w:r>
      <w:r w:rsidR="00D56DE8" w:rsidRPr="00B37EF3">
        <w:rPr>
          <w:rFonts w:ascii="Arial" w:hAnsi="Arial"/>
        </w:rPr>
        <w:t xml:space="preserve">sufficiently </w:t>
      </w:r>
      <w:r w:rsidRPr="00B37EF3">
        <w:rPr>
          <w:rFonts w:ascii="Arial" w:hAnsi="Arial"/>
        </w:rPr>
        <w:t>high level of protection against the adverse effects of air pollution on health.</w:t>
      </w:r>
    </w:p>
    <w:p w:rsidR="00C32FFF" w:rsidRPr="00B37EF3" w:rsidRDefault="00C32FFF" w:rsidP="00874267">
      <w:pPr>
        <w:pStyle w:val="BulletArrows"/>
        <w:numPr>
          <w:ilvl w:val="0"/>
          <w:numId w:val="102"/>
        </w:numPr>
        <w:rPr>
          <w:rFonts w:ascii="Arial" w:hAnsi="Arial"/>
        </w:rPr>
      </w:pPr>
      <w:r w:rsidRPr="00B37EF3">
        <w:rPr>
          <w:rFonts w:ascii="Arial" w:hAnsi="Arial"/>
        </w:rPr>
        <w:lastRenderedPageBreak/>
        <w:t xml:space="preserve">Environmental legislation needs to reflect the </w:t>
      </w:r>
      <w:r w:rsidRPr="00B37EF3">
        <w:rPr>
          <w:rFonts w:ascii="Arial" w:hAnsi="Arial"/>
          <w:b/>
        </w:rPr>
        <w:t>current scientific understanding</w:t>
      </w:r>
      <w:r w:rsidRPr="00B37EF3">
        <w:rPr>
          <w:rFonts w:ascii="Arial" w:hAnsi="Arial"/>
        </w:rPr>
        <w:t>. In recent years the understanding of the health effects of airborne PM has improved markedly</w:t>
      </w:r>
      <w:r w:rsidR="00961DB6" w:rsidRPr="00B37EF3">
        <w:rPr>
          <w:rFonts w:ascii="Arial" w:hAnsi="Arial"/>
        </w:rPr>
        <w:t xml:space="preserve"> (in particular the strengthening of the evidence for there being no threshold for health effects). T</w:t>
      </w:r>
      <w:r w:rsidRPr="00B37EF3">
        <w:rPr>
          <w:rFonts w:ascii="Arial" w:hAnsi="Arial"/>
        </w:rPr>
        <w:t xml:space="preserve">here is also a better understanding of concentrations across </w:t>
      </w:r>
      <w:r w:rsidR="00961DB6" w:rsidRPr="00B37EF3">
        <w:rPr>
          <w:rFonts w:ascii="Arial" w:hAnsi="Arial"/>
        </w:rPr>
        <w:t xml:space="preserve">Australia, </w:t>
      </w:r>
      <w:r w:rsidRPr="00B37EF3">
        <w:rPr>
          <w:rFonts w:ascii="Arial" w:hAnsi="Arial"/>
        </w:rPr>
        <w:t>notably for PM</w:t>
      </w:r>
      <w:r w:rsidRPr="00B37EF3">
        <w:rPr>
          <w:rFonts w:ascii="Arial" w:hAnsi="Arial"/>
          <w:vertAlign w:val="subscript"/>
        </w:rPr>
        <w:t>2.5</w:t>
      </w:r>
      <w:r w:rsidR="00961DB6" w:rsidRPr="00B37EF3">
        <w:rPr>
          <w:rFonts w:ascii="Arial" w:hAnsi="Arial"/>
        </w:rPr>
        <w:t xml:space="preserve"> for which the data were lacking at the time of the </w:t>
      </w:r>
      <w:r w:rsidR="00EF24F8" w:rsidRPr="00B37EF3">
        <w:rPr>
          <w:rFonts w:ascii="Arial" w:hAnsi="Arial"/>
        </w:rPr>
        <w:t>AAQ NEPM</w:t>
      </w:r>
      <w:r w:rsidR="00961DB6" w:rsidRPr="00B37EF3">
        <w:rPr>
          <w:rFonts w:ascii="Arial" w:hAnsi="Arial"/>
        </w:rPr>
        <w:t xml:space="preserve"> variation in 2003</w:t>
      </w:r>
      <w:r w:rsidRPr="00B37EF3">
        <w:rPr>
          <w:rFonts w:ascii="Arial" w:hAnsi="Arial"/>
        </w:rPr>
        <w:t>.</w:t>
      </w:r>
    </w:p>
    <w:p w:rsidR="00D732D8" w:rsidRPr="00B37EF3" w:rsidRDefault="00C32FFF" w:rsidP="00874267">
      <w:pPr>
        <w:pStyle w:val="BulletArrows"/>
        <w:numPr>
          <w:ilvl w:val="0"/>
          <w:numId w:val="102"/>
        </w:numPr>
        <w:rPr>
          <w:rFonts w:ascii="Arial" w:hAnsi="Arial"/>
        </w:rPr>
      </w:pPr>
      <w:r w:rsidRPr="00B37EF3">
        <w:rPr>
          <w:rFonts w:ascii="Arial" w:hAnsi="Arial"/>
        </w:rPr>
        <w:t xml:space="preserve">The </w:t>
      </w:r>
      <w:r w:rsidRPr="00B37EF3">
        <w:rPr>
          <w:rFonts w:ascii="Arial" w:hAnsi="Arial"/>
          <w:b/>
        </w:rPr>
        <w:t>p</w:t>
      </w:r>
      <w:r w:rsidR="00A76F39" w:rsidRPr="00B37EF3">
        <w:rPr>
          <w:rFonts w:ascii="Arial" w:hAnsi="Arial"/>
          <w:b/>
        </w:rPr>
        <w:t xml:space="preserve">rojected </w:t>
      </w:r>
      <w:r w:rsidRPr="00B37EF3">
        <w:rPr>
          <w:rFonts w:ascii="Arial" w:hAnsi="Arial"/>
          <w:b/>
        </w:rPr>
        <w:t xml:space="preserve">growth in </w:t>
      </w:r>
      <w:r w:rsidR="00A76F39" w:rsidRPr="00B37EF3">
        <w:rPr>
          <w:rFonts w:ascii="Arial" w:hAnsi="Arial"/>
          <w:b/>
        </w:rPr>
        <w:t>populati</w:t>
      </w:r>
      <w:r w:rsidRPr="00B37EF3">
        <w:rPr>
          <w:rFonts w:ascii="Arial" w:hAnsi="Arial"/>
          <w:b/>
        </w:rPr>
        <w:t>on and emissions</w:t>
      </w:r>
      <w:r w:rsidRPr="00B37EF3">
        <w:rPr>
          <w:rFonts w:ascii="Arial" w:hAnsi="Arial"/>
        </w:rPr>
        <w:t xml:space="preserve"> will ma</w:t>
      </w:r>
      <w:r w:rsidR="008D0FEC" w:rsidRPr="00B37EF3">
        <w:rPr>
          <w:rFonts w:ascii="Arial" w:hAnsi="Arial"/>
        </w:rPr>
        <w:t>ke it more difficult to achieve</w:t>
      </w:r>
      <w:r w:rsidR="00DC4DD9" w:rsidRPr="00B37EF3">
        <w:rPr>
          <w:rFonts w:ascii="Arial" w:hAnsi="Arial"/>
        </w:rPr>
        <w:t xml:space="preserve"> </w:t>
      </w:r>
      <w:r w:rsidR="00A76F39" w:rsidRPr="00B37EF3">
        <w:rPr>
          <w:rFonts w:ascii="Arial" w:hAnsi="Arial"/>
        </w:rPr>
        <w:t>sustained improvement</w:t>
      </w:r>
      <w:r w:rsidR="008D0FEC" w:rsidRPr="00B37EF3">
        <w:rPr>
          <w:rFonts w:ascii="Arial" w:hAnsi="Arial"/>
        </w:rPr>
        <w:t>s in</w:t>
      </w:r>
      <w:r w:rsidR="00A76F39" w:rsidRPr="00B37EF3">
        <w:rPr>
          <w:rFonts w:ascii="Arial" w:hAnsi="Arial"/>
        </w:rPr>
        <w:t xml:space="preserve"> </w:t>
      </w:r>
      <w:r w:rsidR="008D0FEC" w:rsidRPr="00B37EF3">
        <w:rPr>
          <w:rFonts w:ascii="Arial" w:hAnsi="Arial"/>
        </w:rPr>
        <w:t xml:space="preserve">air quality </w:t>
      </w:r>
      <w:r w:rsidR="00A76F39" w:rsidRPr="00B37EF3">
        <w:rPr>
          <w:rFonts w:ascii="Arial" w:hAnsi="Arial"/>
        </w:rPr>
        <w:t>due to increased transport demand, domestic emis</w:t>
      </w:r>
      <w:r w:rsidR="008D0FEC" w:rsidRPr="00B37EF3">
        <w:rPr>
          <w:rFonts w:ascii="Arial" w:hAnsi="Arial"/>
        </w:rPr>
        <w:t>sions and energy use (in spite of</w:t>
      </w:r>
      <w:r w:rsidR="00493178" w:rsidRPr="00B37EF3">
        <w:rPr>
          <w:rFonts w:ascii="Arial" w:hAnsi="Arial"/>
        </w:rPr>
        <w:t xml:space="preserve"> actions</w:t>
      </w:r>
      <w:r w:rsidR="008D0FEC" w:rsidRPr="00B37EF3">
        <w:rPr>
          <w:rFonts w:ascii="Arial" w:hAnsi="Arial"/>
        </w:rPr>
        <w:t xml:space="preserve"> to reduce emissions, such as emission standards and</w:t>
      </w:r>
      <w:r w:rsidR="00A76F39" w:rsidRPr="00B37EF3">
        <w:rPr>
          <w:rFonts w:ascii="Arial" w:hAnsi="Arial"/>
        </w:rPr>
        <w:t xml:space="preserve"> carbon policy).</w:t>
      </w:r>
    </w:p>
    <w:p w:rsidR="00A76F39" w:rsidRPr="00B37EF3" w:rsidRDefault="00D732D8" w:rsidP="00874267">
      <w:pPr>
        <w:pStyle w:val="BulletArrows"/>
        <w:numPr>
          <w:ilvl w:val="0"/>
          <w:numId w:val="102"/>
        </w:numPr>
        <w:rPr>
          <w:rFonts w:ascii="Arial" w:hAnsi="Arial"/>
        </w:rPr>
      </w:pPr>
      <w:r w:rsidRPr="00B37EF3">
        <w:rPr>
          <w:rFonts w:ascii="Arial" w:hAnsi="Arial"/>
        </w:rPr>
        <w:t xml:space="preserve">There is a need for </w:t>
      </w:r>
      <w:r w:rsidRPr="00B37EF3">
        <w:rPr>
          <w:rFonts w:ascii="Arial" w:hAnsi="Arial"/>
          <w:b/>
        </w:rPr>
        <w:t>more consistency across jurisdictions</w:t>
      </w:r>
      <w:r w:rsidRPr="00B37EF3">
        <w:rPr>
          <w:rFonts w:ascii="Arial" w:hAnsi="Arial"/>
        </w:rPr>
        <w:t xml:space="preserve"> in the application of the </w:t>
      </w:r>
      <w:r w:rsidR="00EF24F8" w:rsidRPr="00B37EF3">
        <w:rPr>
          <w:rFonts w:ascii="Arial" w:hAnsi="Arial"/>
        </w:rPr>
        <w:t>AAQ NEPM</w:t>
      </w:r>
      <w:r w:rsidRPr="00B37EF3">
        <w:rPr>
          <w:rFonts w:ascii="Arial" w:hAnsi="Arial"/>
        </w:rPr>
        <w:t xml:space="preserve">. </w:t>
      </w:r>
      <w:r w:rsidR="00DC4DD9" w:rsidRPr="00B37EF3">
        <w:rPr>
          <w:rFonts w:ascii="Arial" w:hAnsi="Arial"/>
        </w:rPr>
        <w:t>For example, t</w:t>
      </w:r>
      <w:r w:rsidRPr="00B37EF3">
        <w:rPr>
          <w:rFonts w:ascii="Arial" w:hAnsi="Arial"/>
        </w:rPr>
        <w:t>he current form of the standards – notably the characterisation of exceedances of the 24-hour standard for PM</w:t>
      </w:r>
      <w:r w:rsidRPr="00B37EF3">
        <w:rPr>
          <w:rFonts w:ascii="Arial" w:hAnsi="Arial"/>
          <w:vertAlign w:val="subscript"/>
        </w:rPr>
        <w:t>10</w:t>
      </w:r>
      <w:r w:rsidRPr="00B37EF3">
        <w:rPr>
          <w:rFonts w:ascii="Arial" w:hAnsi="Arial"/>
        </w:rPr>
        <w:t xml:space="preserve"> </w:t>
      </w:r>
      <w:r w:rsidR="00A93751" w:rsidRPr="00B37EF3">
        <w:rPr>
          <w:rFonts w:ascii="Arial" w:hAnsi="Arial"/>
        </w:rPr>
        <w:t>–</w:t>
      </w:r>
      <w:r w:rsidRPr="00B37EF3">
        <w:rPr>
          <w:rFonts w:ascii="Arial" w:hAnsi="Arial"/>
        </w:rPr>
        <w:t xml:space="preserve"> is open t</w:t>
      </w:r>
      <w:r w:rsidR="00DC4DD9" w:rsidRPr="00B37EF3">
        <w:rPr>
          <w:rFonts w:ascii="Arial" w:hAnsi="Arial"/>
        </w:rPr>
        <w:t>o interpretation. T</w:t>
      </w:r>
      <w:r w:rsidRPr="00B37EF3">
        <w:rPr>
          <w:rFonts w:ascii="Arial" w:hAnsi="Arial"/>
        </w:rPr>
        <w:t xml:space="preserve">here is a need to better understand and characterise the contribution of different sources (especially </w:t>
      </w:r>
      <w:r w:rsidR="009272F2" w:rsidRPr="00B37EF3">
        <w:rPr>
          <w:rFonts w:ascii="Arial" w:hAnsi="Arial"/>
        </w:rPr>
        <w:t>natural events) to exceedances.</w:t>
      </w:r>
    </w:p>
    <w:p w:rsidR="00A76F39" w:rsidRPr="00B37EF3" w:rsidRDefault="00A76F39" w:rsidP="00FA4C0F">
      <w:pPr>
        <w:pStyle w:val="Heading2"/>
        <w:rPr>
          <w:rFonts w:ascii="Arial" w:hAnsi="Arial"/>
        </w:rPr>
      </w:pPr>
      <w:bookmarkStart w:id="104" w:name="_Toc394011117"/>
      <w:r w:rsidRPr="00B37EF3">
        <w:rPr>
          <w:rFonts w:ascii="Arial" w:hAnsi="Arial"/>
        </w:rPr>
        <w:t xml:space="preserve">Risks of not revising </w:t>
      </w:r>
      <w:r w:rsidR="00A93751" w:rsidRPr="00B37EF3">
        <w:rPr>
          <w:rFonts w:ascii="Arial" w:hAnsi="Arial"/>
        </w:rPr>
        <w:t xml:space="preserve">the </w:t>
      </w:r>
      <w:r w:rsidRPr="00B37EF3">
        <w:rPr>
          <w:rFonts w:ascii="Arial" w:hAnsi="Arial"/>
        </w:rPr>
        <w:t>standards</w:t>
      </w:r>
      <w:bookmarkEnd w:id="104"/>
    </w:p>
    <w:p w:rsidR="008C4FA2" w:rsidRPr="00B37EF3" w:rsidRDefault="00C134CC" w:rsidP="00C419A1">
      <w:pPr>
        <w:rPr>
          <w:rFonts w:ascii="Arial" w:hAnsi="Arial" w:cs="Arial"/>
        </w:rPr>
      </w:pPr>
      <w:r w:rsidRPr="00B37EF3">
        <w:rPr>
          <w:rFonts w:ascii="Arial" w:hAnsi="Arial" w:cs="Arial"/>
        </w:rPr>
        <w:t>The risks of not upda</w:t>
      </w:r>
      <w:r w:rsidR="00C419A1" w:rsidRPr="00B37EF3">
        <w:rPr>
          <w:rFonts w:ascii="Arial" w:hAnsi="Arial" w:cs="Arial"/>
        </w:rPr>
        <w:t xml:space="preserve">ting the </w:t>
      </w:r>
      <w:r w:rsidR="00EF24F8" w:rsidRPr="00B37EF3">
        <w:rPr>
          <w:rFonts w:ascii="Arial" w:hAnsi="Arial" w:cs="Arial"/>
        </w:rPr>
        <w:t>AAQ NEPM</w:t>
      </w:r>
      <w:r w:rsidR="00C419A1" w:rsidRPr="00B37EF3">
        <w:rPr>
          <w:rFonts w:ascii="Arial" w:hAnsi="Arial" w:cs="Arial"/>
        </w:rPr>
        <w:t xml:space="preserve"> standards for PM can be effectively stated in terms of the health impacts and associated costs to soc</w:t>
      </w:r>
      <w:r w:rsidR="00E047E2" w:rsidRPr="00B37EF3">
        <w:rPr>
          <w:rFonts w:ascii="Arial" w:hAnsi="Arial" w:cs="Arial"/>
        </w:rPr>
        <w:t>iety under the BAU</w:t>
      </w:r>
      <w:r w:rsidR="00C419A1" w:rsidRPr="00B37EF3">
        <w:rPr>
          <w:rFonts w:ascii="Arial" w:hAnsi="Arial" w:cs="Arial"/>
        </w:rPr>
        <w:t xml:space="preserve"> scenario. These</w:t>
      </w:r>
      <w:r w:rsidR="00277429" w:rsidRPr="00B37EF3">
        <w:rPr>
          <w:rFonts w:ascii="Arial" w:hAnsi="Arial" w:cs="Arial"/>
        </w:rPr>
        <w:t xml:space="preserve"> are explored further in </w:t>
      </w:r>
      <w:r w:rsidR="00C419A1" w:rsidRPr="00B37EF3">
        <w:rPr>
          <w:rFonts w:ascii="Arial" w:hAnsi="Arial" w:cs="Arial"/>
          <w:b/>
        </w:rPr>
        <w:t>Chapter 8</w:t>
      </w:r>
      <w:r w:rsidR="00C419A1" w:rsidRPr="00B37EF3">
        <w:rPr>
          <w:rFonts w:ascii="Arial" w:hAnsi="Arial" w:cs="Arial"/>
        </w:rPr>
        <w:t>.</w:t>
      </w:r>
      <w:r w:rsidR="00D94082" w:rsidRPr="00B37EF3">
        <w:rPr>
          <w:rFonts w:ascii="Arial" w:hAnsi="Arial" w:cs="Arial"/>
        </w:rPr>
        <w:t xml:space="preserve"> More generally, the ongoing risk of not revising the standards will be that Australian public healt</w:t>
      </w:r>
      <w:r w:rsidR="008C081B" w:rsidRPr="00B37EF3">
        <w:rPr>
          <w:rFonts w:ascii="Arial" w:hAnsi="Arial" w:cs="Arial"/>
        </w:rPr>
        <w:t>h is not protected to a level</w:t>
      </w:r>
      <w:r w:rsidR="00D94082" w:rsidRPr="00B37EF3">
        <w:rPr>
          <w:rFonts w:ascii="Arial" w:hAnsi="Arial" w:cs="Arial"/>
        </w:rPr>
        <w:t xml:space="preserve"> that is based on contemporary science and evidence.</w:t>
      </w:r>
    </w:p>
    <w:p w:rsidR="00B92E56" w:rsidRPr="00B37EF3" w:rsidRDefault="00C176F0" w:rsidP="00B92E56">
      <w:pPr>
        <w:pStyle w:val="Heading2"/>
        <w:rPr>
          <w:rFonts w:ascii="Arial" w:hAnsi="Arial"/>
        </w:rPr>
      </w:pPr>
      <w:bookmarkStart w:id="105" w:name="_Toc394011118"/>
      <w:r w:rsidRPr="00B37EF3">
        <w:rPr>
          <w:rFonts w:ascii="Arial" w:hAnsi="Arial"/>
        </w:rPr>
        <w:t>Rationale and o</w:t>
      </w:r>
      <w:r w:rsidR="00A76F39" w:rsidRPr="00B37EF3">
        <w:rPr>
          <w:rFonts w:ascii="Arial" w:hAnsi="Arial"/>
        </w:rPr>
        <w:t xml:space="preserve">bjectives of government </w:t>
      </w:r>
      <w:r w:rsidR="00C419A1" w:rsidRPr="00B37EF3">
        <w:rPr>
          <w:rFonts w:ascii="Arial" w:hAnsi="Arial"/>
        </w:rPr>
        <w:t>intervention</w:t>
      </w:r>
      <w:bookmarkEnd w:id="105"/>
    </w:p>
    <w:p w:rsidR="00B759BE" w:rsidRPr="00B37EF3" w:rsidRDefault="00B759BE" w:rsidP="00493178">
      <w:pPr>
        <w:spacing w:after="200"/>
        <w:rPr>
          <w:rFonts w:ascii="Arial" w:hAnsi="Arial" w:cs="Arial"/>
        </w:rPr>
      </w:pPr>
      <w:r w:rsidRPr="00B37EF3">
        <w:rPr>
          <w:rFonts w:ascii="Arial" w:hAnsi="Arial" w:cs="Arial"/>
        </w:rPr>
        <w:t>The principal reason for intervention is to protect the population from the wide-ranging adverse health effects of PM. Emission projections suggest that the recent trend of decreasing ambient concentrations of PM</w:t>
      </w:r>
      <w:r w:rsidRPr="00B37EF3">
        <w:rPr>
          <w:rFonts w:ascii="Arial" w:hAnsi="Arial" w:cs="Arial"/>
          <w:vertAlign w:val="subscript"/>
        </w:rPr>
        <w:t xml:space="preserve">10 </w:t>
      </w:r>
      <w:r w:rsidRPr="00B37EF3">
        <w:rPr>
          <w:rFonts w:ascii="Arial" w:hAnsi="Arial" w:cs="Arial"/>
        </w:rPr>
        <w:t>and PM</w:t>
      </w:r>
      <w:r w:rsidRPr="00B37EF3">
        <w:rPr>
          <w:rFonts w:ascii="Arial" w:hAnsi="Arial" w:cs="Arial"/>
          <w:vertAlign w:val="subscript"/>
        </w:rPr>
        <w:t>2.5</w:t>
      </w:r>
      <w:r w:rsidRPr="00B37EF3">
        <w:rPr>
          <w:rFonts w:ascii="Arial" w:hAnsi="Arial" w:cs="Arial"/>
        </w:rPr>
        <w:t xml:space="preserve"> </w:t>
      </w:r>
      <w:r w:rsidR="00CD1121" w:rsidRPr="00B37EF3">
        <w:rPr>
          <w:rFonts w:ascii="Arial" w:hAnsi="Arial" w:cs="Arial"/>
        </w:rPr>
        <w:t xml:space="preserve">is likely to be </w:t>
      </w:r>
      <w:r w:rsidRPr="00B37EF3">
        <w:rPr>
          <w:rFonts w:ascii="Arial" w:hAnsi="Arial" w:cs="Arial"/>
        </w:rPr>
        <w:t>reversed if action is not taken, with subsequent increases in the incidence of adverse health outcomes, and</w:t>
      </w:r>
      <w:r w:rsidR="00C41AD6" w:rsidRPr="00B37EF3">
        <w:rPr>
          <w:rFonts w:ascii="Arial" w:hAnsi="Arial" w:cs="Arial"/>
        </w:rPr>
        <w:t xml:space="preserve"> increases in the monetary cost</w:t>
      </w:r>
      <w:r w:rsidRPr="00B37EF3">
        <w:rPr>
          <w:rFonts w:ascii="Arial" w:hAnsi="Arial" w:cs="Arial"/>
        </w:rPr>
        <w:t xml:space="preserve"> of air pollution to society.</w:t>
      </w:r>
      <w:r w:rsidR="00B92E56" w:rsidRPr="00B37EF3">
        <w:rPr>
          <w:rFonts w:ascii="Arial" w:hAnsi="Arial" w:cs="Arial"/>
        </w:rPr>
        <w:t xml:space="preserve"> The extent to which government </w:t>
      </w:r>
      <w:r w:rsidR="00493178" w:rsidRPr="00B37EF3">
        <w:rPr>
          <w:rFonts w:ascii="Arial" w:hAnsi="Arial" w:cs="Arial"/>
        </w:rPr>
        <w:t>needs to intervene</w:t>
      </w:r>
      <w:r w:rsidR="00B92E56" w:rsidRPr="00B37EF3">
        <w:rPr>
          <w:rFonts w:ascii="Arial" w:hAnsi="Arial" w:cs="Arial"/>
        </w:rPr>
        <w:t xml:space="preserve"> is informed by environmental and economic data.</w:t>
      </w:r>
    </w:p>
    <w:p w:rsidR="00B92E56" w:rsidRPr="00B37EF3" w:rsidRDefault="00B92E56" w:rsidP="00493178">
      <w:pPr>
        <w:spacing w:after="200"/>
        <w:rPr>
          <w:rFonts w:ascii="Arial" w:hAnsi="Arial" w:cs="Arial"/>
        </w:rPr>
      </w:pPr>
      <w:r w:rsidRPr="00B37EF3">
        <w:rPr>
          <w:rFonts w:ascii="Arial" w:hAnsi="Arial" w:cs="Arial"/>
        </w:rPr>
        <w:t xml:space="preserve">Government </w:t>
      </w:r>
      <w:r w:rsidR="00C0046A" w:rsidRPr="00B37EF3">
        <w:rPr>
          <w:rFonts w:ascii="Arial" w:hAnsi="Arial" w:cs="Arial"/>
        </w:rPr>
        <w:t xml:space="preserve">involvement </w:t>
      </w:r>
      <w:r w:rsidRPr="00B37EF3">
        <w:rPr>
          <w:rFonts w:ascii="Arial" w:hAnsi="Arial" w:cs="Arial"/>
        </w:rPr>
        <w:t>should aim to reduce ambient concentrations of PM</w:t>
      </w:r>
      <w:r w:rsidRPr="00B37EF3">
        <w:rPr>
          <w:rFonts w:ascii="Arial" w:hAnsi="Arial" w:cs="Arial"/>
          <w:vertAlign w:val="subscript"/>
        </w:rPr>
        <w:t>10</w:t>
      </w:r>
      <w:r w:rsidRPr="00B37EF3">
        <w:rPr>
          <w:rFonts w:ascii="Arial" w:hAnsi="Arial" w:cs="Arial"/>
        </w:rPr>
        <w:t xml:space="preserve"> and PM</w:t>
      </w:r>
      <w:r w:rsidRPr="00B37EF3">
        <w:rPr>
          <w:rFonts w:ascii="Arial" w:hAnsi="Arial" w:cs="Arial"/>
          <w:vertAlign w:val="subscript"/>
        </w:rPr>
        <w:t>2.5</w:t>
      </w:r>
      <w:r w:rsidRPr="00B37EF3">
        <w:rPr>
          <w:rFonts w:ascii="Arial" w:hAnsi="Arial" w:cs="Arial"/>
        </w:rPr>
        <w:t>, especially in populated areas, taking into</w:t>
      </w:r>
      <w:r w:rsidR="008441E4" w:rsidRPr="00B37EF3">
        <w:rPr>
          <w:rFonts w:ascii="Arial" w:hAnsi="Arial" w:cs="Arial"/>
        </w:rPr>
        <w:t xml:space="preserve"> account</w:t>
      </w:r>
      <w:r w:rsidRPr="00B37EF3">
        <w:rPr>
          <w:rFonts w:ascii="Arial" w:hAnsi="Arial" w:cs="Arial"/>
        </w:rPr>
        <w:t xml:space="preserve"> the practical limitations on what can be achieved using traditional methods (i.e. reducing primary anthropogenic emissions). This needs to be guided by data on PM concentrations and composition. It is known, for example, that a significant proportion of PM is natural and/or secondary</w:t>
      </w:r>
      <w:r w:rsidR="008441E4" w:rsidRPr="00B37EF3">
        <w:rPr>
          <w:rFonts w:ascii="Arial" w:hAnsi="Arial" w:cs="Arial"/>
        </w:rPr>
        <w:t xml:space="preserve"> in nature. Measures to reduce</w:t>
      </w:r>
      <w:r w:rsidRPr="00B37EF3">
        <w:rPr>
          <w:rFonts w:ascii="Arial" w:hAnsi="Arial" w:cs="Arial"/>
        </w:rPr>
        <w:t xml:space="preserve"> primary anthropogenic PM emissions </w:t>
      </w:r>
      <w:r w:rsidR="006E0A9A" w:rsidRPr="00B37EF3">
        <w:rPr>
          <w:rFonts w:ascii="Arial" w:hAnsi="Arial" w:cs="Arial"/>
        </w:rPr>
        <w:t xml:space="preserve">should </w:t>
      </w:r>
      <w:r w:rsidRPr="00B37EF3">
        <w:rPr>
          <w:rFonts w:ascii="Arial" w:hAnsi="Arial" w:cs="Arial"/>
        </w:rPr>
        <w:t>therefore be accompanied by measures to reduce emissions of the precursors of secondary particles.</w:t>
      </w:r>
    </w:p>
    <w:p w:rsidR="00403557" w:rsidRPr="00B37EF3" w:rsidRDefault="00403557" w:rsidP="00493178">
      <w:pPr>
        <w:spacing w:after="220"/>
        <w:rPr>
          <w:rFonts w:ascii="Arial" w:hAnsi="Arial" w:cs="Arial"/>
        </w:rPr>
      </w:pPr>
      <w:r w:rsidRPr="00B37EF3">
        <w:rPr>
          <w:rFonts w:ascii="Arial" w:hAnsi="Arial" w:cs="Arial"/>
        </w:rPr>
        <w:t>There is a case for government intervention when market failures are present</w:t>
      </w:r>
      <w:r w:rsidRPr="00B37EF3">
        <w:rPr>
          <w:rStyle w:val="FootnoteReference"/>
          <w:rFonts w:ascii="Arial" w:hAnsi="Arial" w:cs="Arial"/>
        </w:rPr>
        <w:footnoteReference w:id="26"/>
      </w:r>
      <w:r w:rsidRPr="00B37EF3">
        <w:rPr>
          <w:rFonts w:ascii="Arial" w:hAnsi="Arial" w:cs="Arial"/>
        </w:rPr>
        <w:t>. With res</w:t>
      </w:r>
      <w:r w:rsidR="007D46F6" w:rsidRPr="00B37EF3">
        <w:rPr>
          <w:rFonts w:ascii="Arial" w:hAnsi="Arial" w:cs="Arial"/>
        </w:rPr>
        <w:t>pect to air quality the primar</w:t>
      </w:r>
      <w:r w:rsidRPr="00B37EF3">
        <w:rPr>
          <w:rFonts w:ascii="Arial" w:hAnsi="Arial" w:cs="Arial"/>
        </w:rPr>
        <w:t xml:space="preserve">y market failure is </w:t>
      </w:r>
      <w:r w:rsidR="00277429" w:rsidRPr="00B37EF3">
        <w:rPr>
          <w:rFonts w:ascii="Arial" w:hAnsi="Arial" w:cs="Arial"/>
        </w:rPr>
        <w:t>a negative externality</w:t>
      </w:r>
      <w:r w:rsidRPr="00B37EF3">
        <w:rPr>
          <w:rFonts w:ascii="Arial" w:hAnsi="Arial" w:cs="Arial"/>
        </w:rPr>
        <w:t>. Negative externalities exist where the actions of a party result in a cost to a third party not directly involved in that action. In the case of air pollution, the party responsible for causing the pollution does not bear all of the health costs associated with it. While negative externalities are the most prominent of market failures, some secondary market failures could be addressed through the implementation of abatement measur</w:t>
      </w:r>
      <w:r w:rsidR="00277429" w:rsidRPr="00B37EF3">
        <w:rPr>
          <w:rFonts w:ascii="Arial" w:hAnsi="Arial" w:cs="Arial"/>
        </w:rPr>
        <w:t>es. For example, it has been argued</w:t>
      </w:r>
      <w:r w:rsidRPr="00B37EF3">
        <w:rPr>
          <w:rFonts w:ascii="Arial" w:hAnsi="Arial" w:cs="Arial"/>
        </w:rPr>
        <w:t xml:space="preserve"> that some households may not be aware that the way </w:t>
      </w:r>
      <w:r w:rsidR="00277429" w:rsidRPr="00B37EF3">
        <w:rPr>
          <w:rFonts w:ascii="Arial" w:hAnsi="Arial" w:cs="Arial"/>
        </w:rPr>
        <w:t xml:space="preserve">in which </w:t>
      </w:r>
      <w:r w:rsidRPr="00B37EF3">
        <w:rPr>
          <w:rFonts w:ascii="Arial" w:hAnsi="Arial" w:cs="Arial"/>
        </w:rPr>
        <w:t xml:space="preserve">they operate wood heaters increases air pollution, preventing them from voluntarily adjusting their behaviour </w:t>
      </w:r>
      <w:r w:rsidRPr="00B37EF3">
        <w:rPr>
          <w:rFonts w:ascii="Arial" w:hAnsi="Arial" w:cs="Arial"/>
          <w:b/>
          <w:lang w:eastAsia="en-US"/>
        </w:rPr>
        <w:t>(BDA Group 2013)</w:t>
      </w:r>
      <w:r w:rsidRPr="00B37EF3">
        <w:rPr>
          <w:rFonts w:ascii="Arial" w:hAnsi="Arial" w:cs="Arial"/>
        </w:rPr>
        <w:t xml:space="preserve">. Air quality abatement measures all </w:t>
      </w:r>
      <w:r w:rsidR="001B3AA3" w:rsidRPr="00B37EF3">
        <w:rPr>
          <w:rFonts w:ascii="Arial" w:hAnsi="Arial" w:cs="Arial"/>
        </w:rPr>
        <w:t>comprise</w:t>
      </w:r>
      <w:r w:rsidRPr="00B37EF3">
        <w:rPr>
          <w:rFonts w:ascii="Arial" w:hAnsi="Arial" w:cs="Arial"/>
        </w:rPr>
        <w:t xml:space="preserve"> some form of intervention, either through regulation (emission standards), disincentives to pollute (</w:t>
      </w:r>
      <w:r w:rsidR="009334F4" w:rsidRPr="00B37EF3">
        <w:rPr>
          <w:rFonts w:ascii="Arial" w:hAnsi="Arial" w:cs="Arial"/>
        </w:rPr>
        <w:t>e.g.</w:t>
      </w:r>
      <w:r w:rsidRPr="00B37EF3">
        <w:rPr>
          <w:rFonts w:ascii="Arial" w:hAnsi="Arial" w:cs="Arial"/>
        </w:rPr>
        <w:t xml:space="preserve"> </w:t>
      </w:r>
      <w:r w:rsidR="00277429" w:rsidRPr="00B37EF3">
        <w:rPr>
          <w:rFonts w:ascii="Arial" w:hAnsi="Arial" w:cs="Arial"/>
        </w:rPr>
        <w:t xml:space="preserve">financial </w:t>
      </w:r>
      <w:r w:rsidRPr="00B37EF3">
        <w:rPr>
          <w:rFonts w:ascii="Arial" w:hAnsi="Arial" w:cs="Arial"/>
        </w:rPr>
        <w:t>penalties) or incentives (grants or subsidies</w:t>
      </w:r>
      <w:r w:rsidR="00277429" w:rsidRPr="00B37EF3">
        <w:rPr>
          <w:rFonts w:ascii="Arial" w:hAnsi="Arial" w:cs="Arial"/>
        </w:rPr>
        <w:t>)</w:t>
      </w:r>
      <w:r w:rsidRPr="00B37EF3">
        <w:rPr>
          <w:rFonts w:ascii="Arial" w:hAnsi="Arial" w:cs="Arial"/>
        </w:rPr>
        <w:t xml:space="preserve"> to tak</w:t>
      </w:r>
      <w:r w:rsidR="00277429" w:rsidRPr="00B37EF3">
        <w:rPr>
          <w:rFonts w:ascii="Arial" w:hAnsi="Arial" w:cs="Arial"/>
        </w:rPr>
        <w:t>e actions that reduce emissions</w:t>
      </w:r>
      <w:r w:rsidRPr="00B37EF3">
        <w:rPr>
          <w:rFonts w:ascii="Arial" w:hAnsi="Arial" w:cs="Arial"/>
        </w:rPr>
        <w:t>. In doing so, the measures are designed to increase societal welfare.</w:t>
      </w:r>
    </w:p>
    <w:p w:rsidR="007B7E5E" w:rsidRPr="00B37EF3" w:rsidRDefault="00403557" w:rsidP="00493178">
      <w:pPr>
        <w:spacing w:after="220"/>
        <w:rPr>
          <w:rFonts w:ascii="Arial" w:hAnsi="Arial" w:cs="Arial"/>
        </w:rPr>
      </w:pPr>
      <w:r w:rsidRPr="00B37EF3">
        <w:rPr>
          <w:rFonts w:ascii="Arial" w:hAnsi="Arial" w:cs="Arial"/>
        </w:rPr>
        <w:t xml:space="preserve">In </w:t>
      </w:r>
      <w:r w:rsidR="00277429" w:rsidRPr="00B37EF3">
        <w:rPr>
          <w:rFonts w:ascii="Arial" w:hAnsi="Arial" w:cs="Arial"/>
        </w:rPr>
        <w:t xml:space="preserve">the </w:t>
      </w:r>
      <w:r w:rsidR="00EF24F8" w:rsidRPr="00B37EF3">
        <w:rPr>
          <w:rFonts w:ascii="Arial" w:hAnsi="Arial" w:cs="Arial"/>
        </w:rPr>
        <w:t>AAQ NEPM</w:t>
      </w:r>
      <w:r w:rsidR="00C419A1" w:rsidRPr="00B37EF3">
        <w:rPr>
          <w:rFonts w:ascii="Arial" w:hAnsi="Arial" w:cs="Arial"/>
        </w:rPr>
        <w:t xml:space="preserve"> the primary objective of government is to attain ‘ambient air quality that allows for the adequate protection of human health and wellbeing’.</w:t>
      </w:r>
      <w:r w:rsidR="00277429" w:rsidRPr="00B37EF3">
        <w:rPr>
          <w:rFonts w:ascii="Arial" w:hAnsi="Arial" w:cs="Arial"/>
        </w:rPr>
        <w:t xml:space="preserve"> </w:t>
      </w:r>
      <w:r w:rsidR="007B7E5E" w:rsidRPr="00B37EF3">
        <w:rPr>
          <w:rFonts w:ascii="Arial" w:hAnsi="Arial" w:cs="Arial"/>
        </w:rPr>
        <w:t xml:space="preserve">The absence of a threshold for </w:t>
      </w:r>
      <w:r w:rsidR="00C41AD6" w:rsidRPr="00B37EF3">
        <w:rPr>
          <w:rFonts w:ascii="Arial" w:hAnsi="Arial" w:cs="Arial"/>
        </w:rPr>
        <w:t>the health effects of</w:t>
      </w:r>
      <w:r w:rsidR="007B7E5E" w:rsidRPr="00B37EF3">
        <w:rPr>
          <w:rFonts w:ascii="Arial" w:hAnsi="Arial" w:cs="Arial"/>
        </w:rPr>
        <w:t xml:space="preserve"> fine particles has prompted support for more stringent air quali</w:t>
      </w:r>
      <w:r w:rsidR="00C41AD6" w:rsidRPr="00B37EF3">
        <w:rPr>
          <w:rFonts w:ascii="Arial" w:hAnsi="Arial" w:cs="Arial"/>
        </w:rPr>
        <w:t xml:space="preserve">ty standards </w:t>
      </w:r>
      <w:r w:rsidR="007B7E5E" w:rsidRPr="00B37EF3">
        <w:rPr>
          <w:rFonts w:ascii="Arial" w:hAnsi="Arial" w:cs="Arial"/>
        </w:rPr>
        <w:t xml:space="preserve">and </w:t>
      </w:r>
      <w:r w:rsidR="00294CC0" w:rsidRPr="00B37EF3">
        <w:rPr>
          <w:rFonts w:ascii="Arial" w:hAnsi="Arial" w:cs="Arial"/>
        </w:rPr>
        <w:t>for the adoption of an exposure-</w:t>
      </w:r>
      <w:r w:rsidR="007B7E5E" w:rsidRPr="00B37EF3">
        <w:rPr>
          <w:rFonts w:ascii="Arial" w:hAnsi="Arial" w:cs="Arial"/>
        </w:rPr>
        <w:t>reduction approach which seeks to gradually reduce general exposures to fine particle concentrations</w:t>
      </w:r>
      <w:r w:rsidR="00294CC0" w:rsidRPr="00B37EF3">
        <w:rPr>
          <w:rFonts w:ascii="Arial" w:hAnsi="Arial" w:cs="Arial"/>
          <w:snapToGrid w:val="0"/>
        </w:rPr>
        <w:t>.</w:t>
      </w:r>
      <w:r w:rsidR="007B7E5E" w:rsidRPr="00B37EF3">
        <w:rPr>
          <w:rFonts w:ascii="Arial" w:hAnsi="Arial" w:cs="Arial"/>
          <w:color w:val="FF0000"/>
        </w:rPr>
        <w:t xml:space="preserve"> </w:t>
      </w:r>
    </w:p>
    <w:p w:rsidR="00C134CC" w:rsidRPr="00B37EF3" w:rsidRDefault="00493178" w:rsidP="00493178">
      <w:pPr>
        <w:spacing w:after="220"/>
        <w:rPr>
          <w:rFonts w:ascii="Arial" w:hAnsi="Arial" w:cs="Arial"/>
        </w:rPr>
      </w:pPr>
      <w:r w:rsidRPr="00B37EF3">
        <w:rPr>
          <w:rFonts w:ascii="Arial" w:hAnsi="Arial" w:cs="Arial"/>
        </w:rPr>
        <w:lastRenderedPageBreak/>
        <w:t xml:space="preserve">This </w:t>
      </w:r>
      <w:r w:rsidR="005B38F9" w:rsidRPr="00B37EF3">
        <w:rPr>
          <w:rFonts w:ascii="Arial" w:hAnsi="Arial"/>
        </w:rPr>
        <w:t>Impact Statement</w:t>
      </w:r>
      <w:r w:rsidR="005B38F9" w:rsidRPr="00B37EF3">
        <w:rPr>
          <w:rFonts w:ascii="Arial" w:hAnsi="Arial" w:cs="Arial"/>
        </w:rPr>
        <w:t xml:space="preserve"> </w:t>
      </w:r>
      <w:r w:rsidR="009E0C8E" w:rsidRPr="00B37EF3">
        <w:rPr>
          <w:rFonts w:ascii="Arial" w:hAnsi="Arial" w:cs="Arial"/>
        </w:rPr>
        <w:t>indicates that current</w:t>
      </w:r>
      <w:r w:rsidRPr="00B37EF3">
        <w:rPr>
          <w:rFonts w:ascii="Arial" w:hAnsi="Arial" w:cs="Arial"/>
        </w:rPr>
        <w:t xml:space="preserve"> policy interventions are not </w:t>
      </w:r>
      <w:r w:rsidR="009E0C8E" w:rsidRPr="00B37EF3">
        <w:rPr>
          <w:rFonts w:ascii="Arial" w:hAnsi="Arial" w:cs="Arial"/>
        </w:rPr>
        <w:t xml:space="preserve">limiting emissions and concentrations in line with policy objectives. </w:t>
      </w:r>
      <w:r w:rsidR="007B7E5E" w:rsidRPr="00B37EF3">
        <w:rPr>
          <w:rFonts w:ascii="Arial" w:hAnsi="Arial" w:cs="Arial"/>
        </w:rPr>
        <w:t>Government intervention is considered necessary to prompt and accelerate</w:t>
      </w:r>
      <w:r w:rsidR="00294CC0" w:rsidRPr="00B37EF3">
        <w:rPr>
          <w:rFonts w:ascii="Arial" w:hAnsi="Arial" w:cs="Arial"/>
        </w:rPr>
        <w:t xml:space="preserve"> policies and measures to reduce </w:t>
      </w:r>
      <w:r w:rsidR="00C134CC" w:rsidRPr="00B37EF3">
        <w:rPr>
          <w:rFonts w:ascii="Arial" w:hAnsi="Arial" w:cs="Arial"/>
        </w:rPr>
        <w:t>population exposure to particulate air pollution.</w:t>
      </w:r>
    </w:p>
    <w:p w:rsidR="00C30855" w:rsidRPr="00B37EF3" w:rsidRDefault="00C30855" w:rsidP="00294CC0">
      <w:pPr>
        <w:rPr>
          <w:rFonts w:ascii="Arial" w:hAnsi="Arial" w:cs="Arial"/>
        </w:rPr>
      </w:pPr>
      <w:r w:rsidRPr="00B37EF3">
        <w:rPr>
          <w:rFonts w:ascii="Arial" w:hAnsi="Arial" w:cs="Arial"/>
        </w:rPr>
        <w:t xml:space="preserve">The Economic Analysis project provided an economic rationale for revising the PM standards in the </w:t>
      </w:r>
      <w:r w:rsidR="00EF24F8" w:rsidRPr="00B37EF3">
        <w:rPr>
          <w:rFonts w:ascii="Arial" w:hAnsi="Arial" w:cs="Arial"/>
        </w:rPr>
        <w:t>AAQ NEPM</w:t>
      </w:r>
      <w:r w:rsidRPr="00B37EF3">
        <w:rPr>
          <w:rFonts w:ascii="Arial" w:hAnsi="Arial" w:cs="Arial"/>
        </w:rPr>
        <w:t>.</w:t>
      </w:r>
    </w:p>
    <w:p w:rsidR="00E352D3" w:rsidRPr="00B37EF3" w:rsidRDefault="00E352D3" w:rsidP="0093168D">
      <w:pPr>
        <w:pStyle w:val="Heading2"/>
        <w:numPr>
          <w:ilvl w:val="1"/>
          <w:numId w:val="2"/>
        </w:numPr>
        <w:ind w:left="578" w:hanging="578"/>
        <w:rPr>
          <w:rFonts w:ascii="Arial" w:hAnsi="Arial"/>
        </w:rPr>
      </w:pPr>
      <w:bookmarkStart w:id="106" w:name="_Toc394011119"/>
      <w:r w:rsidRPr="00B37EF3">
        <w:rPr>
          <w:rFonts w:ascii="Arial" w:hAnsi="Arial"/>
        </w:rPr>
        <w:t xml:space="preserve">Issues to be addressed in </w:t>
      </w:r>
      <w:r w:rsidR="00EF24F8" w:rsidRPr="00B37EF3">
        <w:rPr>
          <w:rFonts w:ascii="Arial" w:hAnsi="Arial"/>
        </w:rPr>
        <w:t>AAQ NEPM</w:t>
      </w:r>
      <w:r w:rsidRPr="00B37EF3">
        <w:rPr>
          <w:rFonts w:ascii="Arial" w:hAnsi="Arial"/>
        </w:rPr>
        <w:t xml:space="preserve"> variation</w:t>
      </w:r>
      <w:bookmarkEnd w:id="106"/>
    </w:p>
    <w:p w:rsidR="00B92E56" w:rsidRPr="00B37EF3" w:rsidRDefault="00B92E56" w:rsidP="00E67E5F">
      <w:pPr>
        <w:spacing w:after="220"/>
        <w:rPr>
          <w:rFonts w:ascii="Arial" w:hAnsi="Arial" w:cs="Arial"/>
          <w:lang w:eastAsia="en-US"/>
        </w:rPr>
      </w:pPr>
      <w:r w:rsidRPr="00B37EF3">
        <w:rPr>
          <w:rFonts w:ascii="Arial" w:hAnsi="Arial" w:cs="Arial"/>
        </w:rPr>
        <w:t>Where PM concentrations have historically been below air quality standards/goals, there is no guarantee that this will continue in the future, especially given that the projections in state inventories show that PM</w:t>
      </w:r>
      <w:r w:rsidRPr="00B37EF3">
        <w:rPr>
          <w:rFonts w:ascii="Arial" w:hAnsi="Arial" w:cs="Arial"/>
          <w:vertAlign w:val="subscript"/>
        </w:rPr>
        <w:t>10</w:t>
      </w:r>
      <w:r w:rsidRPr="00B37EF3">
        <w:rPr>
          <w:rFonts w:ascii="Arial" w:hAnsi="Arial" w:cs="Arial"/>
        </w:rPr>
        <w:t xml:space="preserve"> and PM</w:t>
      </w:r>
      <w:r w:rsidRPr="00B37EF3">
        <w:rPr>
          <w:rFonts w:ascii="Arial" w:hAnsi="Arial" w:cs="Arial"/>
          <w:vertAlign w:val="subscript"/>
        </w:rPr>
        <w:t>2.5</w:t>
      </w:r>
      <w:r w:rsidRPr="00B37EF3">
        <w:rPr>
          <w:rFonts w:ascii="Arial" w:hAnsi="Arial" w:cs="Arial"/>
        </w:rPr>
        <w:t xml:space="preserve"> emissions are likely to in</w:t>
      </w:r>
      <w:r w:rsidR="00E047E2" w:rsidRPr="00B37EF3">
        <w:rPr>
          <w:rFonts w:ascii="Arial" w:hAnsi="Arial" w:cs="Arial"/>
        </w:rPr>
        <w:t>crease under a BAU</w:t>
      </w:r>
      <w:r w:rsidRPr="00B37EF3">
        <w:rPr>
          <w:rFonts w:ascii="Arial" w:hAnsi="Arial" w:cs="Arial"/>
        </w:rPr>
        <w:t xml:space="preserve"> scenario.</w:t>
      </w:r>
      <w:r w:rsidR="00163D24" w:rsidRPr="00B37EF3">
        <w:rPr>
          <w:rFonts w:ascii="Arial" w:hAnsi="Arial" w:cs="Arial"/>
          <w:lang w:eastAsia="en-US"/>
        </w:rPr>
        <w:t xml:space="preserve"> It is therefore likely that it will</w:t>
      </w:r>
      <w:r w:rsidRPr="00B37EF3">
        <w:rPr>
          <w:rFonts w:ascii="Arial" w:hAnsi="Arial" w:cs="Arial"/>
          <w:lang w:eastAsia="en-US"/>
        </w:rPr>
        <w:t xml:space="preserve"> be more difficult to meet the national air quality standards and goals for PM in the future without further intervention.</w:t>
      </w:r>
      <w:r w:rsidRPr="00B37EF3">
        <w:rPr>
          <w:rFonts w:ascii="Arial" w:hAnsi="Arial" w:cs="Arial"/>
        </w:rPr>
        <w:t xml:space="preserve"> Updating the </w:t>
      </w:r>
      <w:r w:rsidR="00EF24F8" w:rsidRPr="00B37EF3">
        <w:rPr>
          <w:rFonts w:ascii="Arial" w:hAnsi="Arial" w:cs="Arial"/>
        </w:rPr>
        <w:t>AAQ NEPM</w:t>
      </w:r>
      <w:r w:rsidRPr="00B37EF3">
        <w:rPr>
          <w:rFonts w:ascii="Arial" w:hAnsi="Arial" w:cs="Arial"/>
        </w:rPr>
        <w:t xml:space="preserve"> should assist jurisdictions in the formulation of air quality policies to reduce emissions. </w:t>
      </w:r>
    </w:p>
    <w:p w:rsidR="00E352D3" w:rsidRPr="00B37EF3" w:rsidRDefault="007D46F6" w:rsidP="00163D24">
      <w:pPr>
        <w:pStyle w:val="BulletArrows"/>
        <w:spacing w:after="160"/>
        <w:rPr>
          <w:rFonts w:ascii="Arial" w:hAnsi="Arial"/>
        </w:rPr>
      </w:pPr>
      <w:r w:rsidRPr="00B37EF3">
        <w:rPr>
          <w:rFonts w:ascii="Arial" w:hAnsi="Arial"/>
        </w:rPr>
        <w:t xml:space="preserve">As discussed in the </w:t>
      </w:r>
      <w:r w:rsidR="00EF24F8" w:rsidRPr="00B37EF3">
        <w:rPr>
          <w:rFonts w:ascii="Arial" w:hAnsi="Arial"/>
        </w:rPr>
        <w:t>AAQ NEPM</w:t>
      </w:r>
      <w:r w:rsidRPr="00B37EF3">
        <w:rPr>
          <w:rFonts w:ascii="Arial" w:hAnsi="Arial"/>
        </w:rPr>
        <w:t xml:space="preserve"> review, s</w:t>
      </w:r>
      <w:r w:rsidR="00E352D3" w:rsidRPr="00B37EF3">
        <w:rPr>
          <w:rFonts w:ascii="Arial" w:hAnsi="Arial"/>
        </w:rPr>
        <w:t>everal issues need to be a</w:t>
      </w:r>
      <w:r w:rsidRPr="00B37EF3">
        <w:rPr>
          <w:rFonts w:ascii="Arial" w:hAnsi="Arial"/>
        </w:rPr>
        <w:t>ddressed when considering a</w:t>
      </w:r>
      <w:r w:rsidR="00E352D3" w:rsidRPr="00B37EF3">
        <w:rPr>
          <w:rFonts w:ascii="Arial" w:hAnsi="Arial"/>
        </w:rPr>
        <w:t xml:space="preserve"> variation to the </w:t>
      </w:r>
      <w:r w:rsidR="00EF24F8" w:rsidRPr="00B37EF3">
        <w:rPr>
          <w:rFonts w:ascii="Arial" w:hAnsi="Arial"/>
        </w:rPr>
        <w:t>AAQ NEPM</w:t>
      </w:r>
      <w:r w:rsidR="00F618EB" w:rsidRPr="00B37EF3">
        <w:rPr>
          <w:rFonts w:ascii="Arial" w:hAnsi="Arial"/>
        </w:rPr>
        <w:t>. It has</w:t>
      </w:r>
      <w:r w:rsidR="00E352D3" w:rsidRPr="00B37EF3">
        <w:rPr>
          <w:rFonts w:ascii="Arial" w:hAnsi="Arial"/>
        </w:rPr>
        <w:t xml:space="preserve"> not </w:t>
      </w:r>
      <w:r w:rsidR="00F618EB" w:rsidRPr="00B37EF3">
        <w:rPr>
          <w:rFonts w:ascii="Arial" w:hAnsi="Arial"/>
        </w:rPr>
        <w:t xml:space="preserve">been </w:t>
      </w:r>
      <w:r w:rsidR="00E352D3" w:rsidRPr="00B37EF3">
        <w:rPr>
          <w:rFonts w:ascii="Arial" w:hAnsi="Arial"/>
        </w:rPr>
        <w:t>possible to cover every issue in exhaustive detail</w:t>
      </w:r>
      <w:r w:rsidRPr="00B37EF3">
        <w:rPr>
          <w:rFonts w:ascii="Arial" w:hAnsi="Arial"/>
        </w:rPr>
        <w:t xml:space="preserve"> in this </w:t>
      </w:r>
      <w:r w:rsidR="00B05D93" w:rsidRPr="00B37EF3">
        <w:rPr>
          <w:rFonts w:ascii="Arial" w:hAnsi="Arial"/>
        </w:rPr>
        <w:t>Impact Statement</w:t>
      </w:r>
      <w:r w:rsidR="00E352D3" w:rsidRPr="00B37EF3">
        <w:rPr>
          <w:rFonts w:ascii="Arial" w:hAnsi="Arial"/>
        </w:rPr>
        <w:t xml:space="preserve">, but </w:t>
      </w:r>
      <w:r w:rsidR="00F618EB" w:rsidRPr="00B37EF3">
        <w:rPr>
          <w:rFonts w:ascii="Arial" w:hAnsi="Arial"/>
        </w:rPr>
        <w:t xml:space="preserve">an </w:t>
      </w:r>
      <w:r w:rsidR="00E352D3" w:rsidRPr="00B37EF3">
        <w:rPr>
          <w:rFonts w:ascii="Arial" w:hAnsi="Arial"/>
        </w:rPr>
        <w:t>attempt has been made to address the main points.</w:t>
      </w:r>
      <w:r w:rsidR="00255E44" w:rsidRPr="00B37EF3">
        <w:rPr>
          <w:rFonts w:ascii="Arial" w:hAnsi="Arial"/>
        </w:rPr>
        <w:t xml:space="preserve"> These are:</w:t>
      </w:r>
    </w:p>
    <w:p w:rsidR="00C30855" w:rsidRPr="00B37EF3" w:rsidRDefault="00D85D22" w:rsidP="00874267">
      <w:pPr>
        <w:pStyle w:val="BulletArrows"/>
        <w:numPr>
          <w:ilvl w:val="0"/>
          <w:numId w:val="103"/>
        </w:numPr>
        <w:spacing w:after="160"/>
        <w:rPr>
          <w:rFonts w:ascii="Arial" w:hAnsi="Arial"/>
        </w:rPr>
      </w:pPr>
      <w:r w:rsidRPr="00B37EF3">
        <w:rPr>
          <w:rFonts w:ascii="Arial" w:hAnsi="Arial"/>
          <w:b/>
        </w:rPr>
        <w:t>s</w:t>
      </w:r>
      <w:r w:rsidR="00C30855" w:rsidRPr="00B37EF3">
        <w:rPr>
          <w:rFonts w:ascii="Arial" w:hAnsi="Arial"/>
          <w:b/>
        </w:rPr>
        <w:t>tatus</w:t>
      </w:r>
      <w:r w:rsidR="00C30855" w:rsidRPr="00B37EF3">
        <w:rPr>
          <w:rFonts w:ascii="Arial" w:hAnsi="Arial"/>
        </w:rPr>
        <w:t xml:space="preserve"> of the </w:t>
      </w:r>
      <w:r w:rsidR="00632F50" w:rsidRPr="00B37EF3">
        <w:rPr>
          <w:rFonts w:ascii="Arial" w:hAnsi="Arial"/>
        </w:rPr>
        <w:t xml:space="preserve">PM </w:t>
      </w:r>
      <w:r w:rsidR="00C30855" w:rsidRPr="00B37EF3">
        <w:rPr>
          <w:rFonts w:ascii="Arial" w:hAnsi="Arial"/>
        </w:rPr>
        <w:t>standards</w:t>
      </w:r>
      <w:r w:rsidR="0087080F" w:rsidRPr="00B37EF3">
        <w:rPr>
          <w:rFonts w:ascii="Arial" w:hAnsi="Arial"/>
        </w:rPr>
        <w:t xml:space="preserve"> (formal standards</w:t>
      </w:r>
      <w:r w:rsidRPr="00B37EF3">
        <w:rPr>
          <w:rFonts w:ascii="Arial" w:hAnsi="Arial"/>
        </w:rPr>
        <w:t xml:space="preserve"> or advisory</w:t>
      </w:r>
      <w:r w:rsidR="0087080F" w:rsidRPr="00B37EF3">
        <w:rPr>
          <w:rFonts w:ascii="Arial" w:hAnsi="Arial"/>
        </w:rPr>
        <w:t xml:space="preserve"> reporting standards</w:t>
      </w:r>
      <w:r w:rsidRPr="00B37EF3">
        <w:rPr>
          <w:rFonts w:ascii="Arial" w:hAnsi="Arial"/>
        </w:rPr>
        <w:t>)</w:t>
      </w:r>
    </w:p>
    <w:p w:rsidR="00255E44" w:rsidRPr="00B37EF3" w:rsidRDefault="00255E44" w:rsidP="00874267">
      <w:pPr>
        <w:pStyle w:val="BulletArrows"/>
        <w:numPr>
          <w:ilvl w:val="0"/>
          <w:numId w:val="103"/>
        </w:numPr>
        <w:spacing w:after="160"/>
        <w:rPr>
          <w:rFonts w:ascii="Arial" w:hAnsi="Arial"/>
        </w:rPr>
      </w:pPr>
      <w:r w:rsidRPr="00B37EF3">
        <w:rPr>
          <w:rFonts w:ascii="Arial" w:hAnsi="Arial"/>
          <w:b/>
        </w:rPr>
        <w:t xml:space="preserve">PM metrics and averaging periods </w:t>
      </w:r>
      <w:r w:rsidR="00F618EB" w:rsidRPr="00B37EF3">
        <w:rPr>
          <w:rFonts w:ascii="Arial" w:hAnsi="Arial"/>
        </w:rPr>
        <w:t xml:space="preserve">that </w:t>
      </w:r>
      <w:r w:rsidRPr="00B37EF3">
        <w:rPr>
          <w:rFonts w:ascii="Arial" w:hAnsi="Arial"/>
        </w:rPr>
        <w:t xml:space="preserve">should be included in the </w:t>
      </w:r>
      <w:r w:rsidR="00EF24F8" w:rsidRPr="00B37EF3">
        <w:rPr>
          <w:rFonts w:ascii="Arial" w:hAnsi="Arial"/>
        </w:rPr>
        <w:t>AAQ NEPM</w:t>
      </w:r>
      <w:r w:rsidR="00F618EB" w:rsidRPr="00B37EF3">
        <w:rPr>
          <w:rFonts w:ascii="Arial" w:hAnsi="Arial"/>
        </w:rPr>
        <w:t xml:space="preserve"> </w:t>
      </w:r>
      <w:r w:rsidR="00D84667" w:rsidRPr="00B37EF3">
        <w:rPr>
          <w:rFonts w:ascii="Arial" w:hAnsi="Arial"/>
        </w:rPr>
        <w:t>standards. These</w:t>
      </w:r>
      <w:r w:rsidRPr="00B37EF3">
        <w:rPr>
          <w:rFonts w:ascii="Arial" w:hAnsi="Arial"/>
        </w:rPr>
        <w:t xml:space="preserve"> should be based primarily on the health eviden</w:t>
      </w:r>
      <w:r w:rsidR="00F618EB" w:rsidRPr="00B37EF3">
        <w:rPr>
          <w:rFonts w:ascii="Arial" w:hAnsi="Arial"/>
        </w:rPr>
        <w:t xml:space="preserve">ce, and should ensure that </w:t>
      </w:r>
      <w:r w:rsidRPr="00B37EF3">
        <w:rPr>
          <w:rFonts w:ascii="Arial" w:hAnsi="Arial"/>
        </w:rPr>
        <w:t>sho</w:t>
      </w:r>
      <w:r w:rsidR="00F618EB" w:rsidRPr="00B37EF3">
        <w:rPr>
          <w:rFonts w:ascii="Arial" w:hAnsi="Arial"/>
        </w:rPr>
        <w:t>rt-term and long-term health is</w:t>
      </w:r>
      <w:r w:rsidRPr="00B37EF3">
        <w:rPr>
          <w:rFonts w:ascii="Arial" w:hAnsi="Arial"/>
        </w:rPr>
        <w:t xml:space="preserve"> protected</w:t>
      </w:r>
    </w:p>
    <w:p w:rsidR="00E352D3" w:rsidRPr="00B37EF3" w:rsidRDefault="00E352D3" w:rsidP="00874267">
      <w:pPr>
        <w:pStyle w:val="BulletArrows"/>
        <w:numPr>
          <w:ilvl w:val="0"/>
          <w:numId w:val="103"/>
        </w:numPr>
        <w:spacing w:after="160"/>
        <w:rPr>
          <w:rFonts w:ascii="Arial" w:hAnsi="Arial"/>
        </w:rPr>
      </w:pPr>
      <w:proofErr w:type="gramStart"/>
      <w:r w:rsidRPr="00B37EF3">
        <w:rPr>
          <w:rFonts w:ascii="Arial" w:hAnsi="Arial"/>
          <w:b/>
        </w:rPr>
        <w:t>numerical</w:t>
      </w:r>
      <w:proofErr w:type="gramEnd"/>
      <w:r w:rsidRPr="00B37EF3">
        <w:rPr>
          <w:rFonts w:ascii="Arial" w:hAnsi="Arial"/>
          <w:b/>
        </w:rPr>
        <w:t xml:space="preserve"> values</w:t>
      </w:r>
      <w:r w:rsidRPr="00B37EF3">
        <w:rPr>
          <w:rFonts w:ascii="Arial" w:hAnsi="Arial"/>
        </w:rPr>
        <w:t xml:space="preserve"> for the </w:t>
      </w:r>
      <w:r w:rsidR="00F618EB" w:rsidRPr="00B37EF3">
        <w:rPr>
          <w:rFonts w:ascii="Arial" w:hAnsi="Arial"/>
        </w:rPr>
        <w:t xml:space="preserve">PM </w:t>
      </w:r>
      <w:r w:rsidRPr="00B37EF3">
        <w:rPr>
          <w:rFonts w:ascii="Arial" w:hAnsi="Arial"/>
        </w:rPr>
        <w:t>standards.</w:t>
      </w:r>
      <w:r w:rsidR="00D84667" w:rsidRPr="00B37EF3">
        <w:rPr>
          <w:rFonts w:ascii="Arial" w:hAnsi="Arial"/>
        </w:rPr>
        <w:t xml:space="preserve"> These</w:t>
      </w:r>
      <w:r w:rsidR="00255E44" w:rsidRPr="00B37EF3">
        <w:rPr>
          <w:rFonts w:ascii="Arial" w:hAnsi="Arial"/>
        </w:rPr>
        <w:t xml:space="preserve"> should take into account the health evidence</w:t>
      </w:r>
      <w:r w:rsidR="00F618EB" w:rsidRPr="00B37EF3">
        <w:rPr>
          <w:rFonts w:ascii="Arial" w:hAnsi="Arial"/>
        </w:rPr>
        <w:t xml:space="preserve"> as well as</w:t>
      </w:r>
      <w:r w:rsidR="00255E44" w:rsidRPr="00B37EF3">
        <w:rPr>
          <w:rFonts w:ascii="Arial" w:hAnsi="Arial"/>
        </w:rPr>
        <w:t xml:space="preserve"> the achievability of the standards in the different Australian jurisdictions and regions (</w:t>
      </w:r>
      <w:r w:rsidR="009334F4" w:rsidRPr="00B37EF3">
        <w:rPr>
          <w:rFonts w:ascii="Arial" w:hAnsi="Arial"/>
        </w:rPr>
        <w:t>e.g.</w:t>
      </w:r>
      <w:r w:rsidR="00255E44" w:rsidRPr="00B37EF3">
        <w:rPr>
          <w:rFonts w:ascii="Arial" w:hAnsi="Arial"/>
        </w:rPr>
        <w:t xml:space="preserve"> urban and rural areas). The latter should consider the prevailing ambient PM concentrations and trends in Australia.</w:t>
      </w:r>
      <w:r w:rsidR="007B1A5E" w:rsidRPr="00B37EF3">
        <w:rPr>
          <w:rFonts w:ascii="Arial" w:hAnsi="Arial"/>
        </w:rPr>
        <w:t xml:space="preserve"> In addition, it should address t</w:t>
      </w:r>
      <w:r w:rsidRPr="00B37EF3">
        <w:rPr>
          <w:rFonts w:ascii="Arial" w:hAnsi="Arial"/>
        </w:rPr>
        <w:t xml:space="preserve">he relationship between the </w:t>
      </w:r>
      <w:r w:rsidR="00255E44" w:rsidRPr="00B37EF3">
        <w:rPr>
          <w:rFonts w:ascii="Arial" w:hAnsi="Arial"/>
        </w:rPr>
        <w:t>standards</w:t>
      </w:r>
      <w:r w:rsidR="007B1A5E" w:rsidRPr="00B37EF3">
        <w:rPr>
          <w:rFonts w:ascii="Arial" w:hAnsi="Arial"/>
        </w:rPr>
        <w:t>.</w:t>
      </w:r>
      <w:r w:rsidR="00255E44" w:rsidRPr="00B37EF3">
        <w:rPr>
          <w:rFonts w:ascii="Arial" w:hAnsi="Arial"/>
        </w:rPr>
        <w:t xml:space="preserve"> For example, where separate P</w:t>
      </w:r>
      <w:r w:rsidR="00097BCF" w:rsidRPr="00B37EF3">
        <w:rPr>
          <w:rFonts w:ascii="Arial" w:hAnsi="Arial"/>
        </w:rPr>
        <w:t>M metrics are applied together i</w:t>
      </w:r>
      <w:r w:rsidRPr="00B37EF3">
        <w:rPr>
          <w:rFonts w:ascii="Arial" w:hAnsi="Arial"/>
        </w:rPr>
        <w:t>s one standard</w:t>
      </w:r>
      <w:r w:rsidR="00D84667" w:rsidRPr="00B37EF3">
        <w:rPr>
          <w:rFonts w:ascii="Arial" w:hAnsi="Arial"/>
        </w:rPr>
        <w:t xml:space="preserve"> exceeded more frequently than</w:t>
      </w:r>
      <w:r w:rsidR="00097BCF" w:rsidRPr="00B37EF3">
        <w:rPr>
          <w:rFonts w:ascii="Arial" w:hAnsi="Arial"/>
        </w:rPr>
        <w:t xml:space="preserve"> the other</w:t>
      </w:r>
      <w:r w:rsidRPr="00B37EF3">
        <w:rPr>
          <w:rFonts w:ascii="Arial" w:hAnsi="Arial"/>
        </w:rPr>
        <w:t>?</w:t>
      </w:r>
    </w:p>
    <w:p w:rsidR="003A247A" w:rsidRPr="00B37EF3" w:rsidRDefault="003A247A" w:rsidP="00874267">
      <w:pPr>
        <w:pStyle w:val="BulletArrows"/>
        <w:numPr>
          <w:ilvl w:val="0"/>
          <w:numId w:val="103"/>
        </w:numPr>
        <w:spacing w:after="160"/>
        <w:rPr>
          <w:rFonts w:ascii="Arial" w:hAnsi="Arial"/>
        </w:rPr>
      </w:pPr>
      <w:r w:rsidRPr="00B37EF3">
        <w:rPr>
          <w:rFonts w:ascii="Arial" w:hAnsi="Arial"/>
          <w:b/>
        </w:rPr>
        <w:t>form of the standards</w:t>
      </w:r>
      <w:r w:rsidRPr="00B37EF3">
        <w:rPr>
          <w:rFonts w:ascii="Arial" w:hAnsi="Arial"/>
        </w:rPr>
        <w:t xml:space="preserve"> (</w:t>
      </w:r>
      <w:r w:rsidR="009334F4" w:rsidRPr="00B37EF3">
        <w:rPr>
          <w:rFonts w:ascii="Arial" w:hAnsi="Arial"/>
        </w:rPr>
        <w:t>e.g.</w:t>
      </w:r>
      <w:r w:rsidRPr="00B37EF3">
        <w:rPr>
          <w:rFonts w:ascii="Arial" w:hAnsi="Arial"/>
        </w:rPr>
        <w:t xml:space="preserve"> allowed exceedances)</w:t>
      </w:r>
    </w:p>
    <w:p w:rsidR="007B1A5E" w:rsidRPr="00B37EF3" w:rsidRDefault="00F618EB" w:rsidP="00874267">
      <w:pPr>
        <w:pStyle w:val="BulletArrows"/>
        <w:numPr>
          <w:ilvl w:val="0"/>
          <w:numId w:val="103"/>
        </w:numPr>
        <w:spacing w:after="0"/>
        <w:rPr>
          <w:rFonts w:ascii="Arial" w:hAnsi="Arial"/>
        </w:rPr>
      </w:pPr>
      <w:proofErr w:type="gramStart"/>
      <w:r w:rsidRPr="00B37EF3">
        <w:rPr>
          <w:rFonts w:ascii="Arial" w:hAnsi="Arial"/>
        </w:rPr>
        <w:t>feasibility</w:t>
      </w:r>
      <w:proofErr w:type="gramEnd"/>
      <w:r w:rsidR="007B1A5E" w:rsidRPr="00B37EF3">
        <w:rPr>
          <w:rFonts w:ascii="Arial" w:hAnsi="Arial"/>
        </w:rPr>
        <w:t xml:space="preserve"> of an </w:t>
      </w:r>
      <w:r w:rsidR="007B1A5E" w:rsidRPr="00B37EF3">
        <w:rPr>
          <w:rFonts w:ascii="Arial" w:hAnsi="Arial"/>
          <w:b/>
        </w:rPr>
        <w:t>exposure-reduction framework</w:t>
      </w:r>
      <w:r w:rsidR="007B1A5E" w:rsidRPr="00B37EF3">
        <w:rPr>
          <w:rFonts w:ascii="Arial" w:hAnsi="Arial"/>
        </w:rPr>
        <w:t>.</w:t>
      </w:r>
    </w:p>
    <w:p w:rsidR="001E465B" w:rsidRPr="00B37EF3" w:rsidRDefault="001E465B" w:rsidP="001E465B">
      <w:pPr>
        <w:pStyle w:val="BulletArrows"/>
        <w:spacing w:after="0"/>
        <w:ind w:left="568"/>
        <w:rPr>
          <w:rFonts w:ascii="Arial" w:hAnsi="Arial"/>
        </w:rPr>
      </w:pPr>
    </w:p>
    <w:p w:rsidR="001E465B" w:rsidRPr="00B37EF3" w:rsidRDefault="001E465B" w:rsidP="001E465B">
      <w:pPr>
        <w:pStyle w:val="BulletArrows"/>
        <w:spacing w:after="0"/>
        <w:ind w:left="568"/>
        <w:rPr>
          <w:rFonts w:ascii="Arial" w:hAnsi="Arial"/>
        </w:rPr>
      </w:pPr>
    </w:p>
    <w:p w:rsidR="00B759BE" w:rsidRPr="00B37EF3" w:rsidRDefault="00BF6019" w:rsidP="00493178">
      <w:pPr>
        <w:jc w:val="center"/>
        <w:rPr>
          <w:rFonts w:ascii="Arial" w:hAnsi="Arial" w:cs="Arial"/>
          <w:color w:val="FF0000"/>
        </w:rPr>
      </w:pPr>
      <w:r>
        <w:rPr>
          <w:rFonts w:ascii="Arial" w:hAnsi="Arial" w:cs="Arial"/>
          <w:noProof/>
          <w:color w:val="FF0000"/>
        </w:rPr>
      </w:r>
      <w:r>
        <w:rPr>
          <w:rFonts w:ascii="Arial" w:hAnsi="Arial" w:cs="Arial"/>
          <w:noProof/>
          <w:color w:val="FF0000"/>
        </w:rPr>
        <w:pict>
          <v:shape id="AutoShape 33" o:spid="_x0000_s1033" type="#_x0000_t176" style="width:433.7pt;height:37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" fillcolor="#b8cce4" strokecolor="#4f81bd" strokeweight="2.5pt">
            <v:fill opacity="13107f"/>
            <v:shadow color="#868686"/>
            <v:textbox>
              <w:txbxContent>
                <w:p w:rsidR="0085182E" w:rsidRPr="00E67E5F" w:rsidRDefault="0085182E" w:rsidP="00493178">
                  <w:pPr>
                    <w:jc w:val="center"/>
                    <w:rPr>
                      <w:b/>
                      <w:color w:val="0070C0"/>
                      <w:sz w:val="24"/>
                      <w:szCs w:val="24"/>
                    </w:rPr>
                  </w:pPr>
                  <w:r w:rsidRPr="00E67E5F">
                    <w:rPr>
                      <w:b/>
                      <w:color w:val="0070C0"/>
                      <w:sz w:val="24"/>
                      <w:szCs w:val="24"/>
                    </w:rPr>
                    <w:t>Key points from Chapter 6</w:t>
                  </w:r>
                </w:p>
                <w:p w:rsidR="0085182E" w:rsidRPr="00D84667" w:rsidRDefault="0085182E" w:rsidP="00874267">
                  <w:pPr>
                    <w:pStyle w:val="BulletArrows"/>
                    <w:numPr>
                      <w:ilvl w:val="0"/>
                      <w:numId w:val="104"/>
                    </w:numPr>
                    <w:rPr>
                      <w:color w:val="auto"/>
                      <w:szCs w:val="18"/>
                    </w:rPr>
                  </w:pPr>
                  <w:r>
                    <w:rPr>
                      <w:color w:val="auto"/>
                      <w:szCs w:val="18"/>
                    </w:rPr>
                    <w:t>Due to the projected increases in population, activity and emissions, t</w:t>
                  </w:r>
                  <w:r w:rsidRPr="008D0FEC">
                    <w:rPr>
                      <w:color w:val="auto"/>
                      <w:szCs w:val="18"/>
                    </w:rPr>
                    <w:t>he recent trend of decreasing ambient concentrations of PM</w:t>
                  </w:r>
                  <w:r w:rsidRPr="008D0FEC">
                    <w:rPr>
                      <w:color w:val="auto"/>
                      <w:szCs w:val="18"/>
                      <w:vertAlign w:val="subscript"/>
                    </w:rPr>
                    <w:t>10</w:t>
                  </w:r>
                  <w:r w:rsidRPr="008D0FEC">
                    <w:rPr>
                      <w:color w:val="auto"/>
                      <w:szCs w:val="18"/>
                    </w:rPr>
                    <w:t xml:space="preserve"> and PM</w:t>
                  </w:r>
                  <w:r w:rsidRPr="008D0FEC">
                    <w:rPr>
                      <w:color w:val="auto"/>
                      <w:szCs w:val="18"/>
                      <w:vertAlign w:val="subscript"/>
                    </w:rPr>
                    <w:t>2.5</w:t>
                  </w:r>
                  <w:r w:rsidRPr="008D0FEC">
                    <w:rPr>
                      <w:color w:val="auto"/>
                      <w:szCs w:val="18"/>
                    </w:rPr>
                    <w:t xml:space="preserve"> </w:t>
                  </w:r>
                  <w:r>
                    <w:rPr>
                      <w:color w:val="auto"/>
                      <w:szCs w:val="18"/>
                    </w:rPr>
                    <w:t>is likely to be</w:t>
                  </w:r>
                  <w:r w:rsidRPr="008D0FEC">
                    <w:rPr>
                      <w:color w:val="auto"/>
                      <w:szCs w:val="18"/>
                    </w:rPr>
                    <w:t xml:space="preserve"> reversed in th</w:t>
                  </w:r>
                  <w:r>
                    <w:rPr>
                      <w:color w:val="auto"/>
                      <w:szCs w:val="18"/>
                    </w:rPr>
                    <w:t>e future.</w:t>
                  </w:r>
                  <w:r w:rsidRPr="00D84667">
                    <w:rPr>
                      <w:color w:val="auto"/>
                      <w:szCs w:val="18"/>
                    </w:rPr>
                    <w:t xml:space="preserve"> </w:t>
                  </w:r>
                  <w:r>
                    <w:rPr>
                      <w:color w:val="auto"/>
                      <w:szCs w:val="18"/>
                    </w:rPr>
                    <w:t xml:space="preserve">This would make it </w:t>
                  </w:r>
                  <w:r w:rsidRPr="008D0FEC">
                    <w:rPr>
                      <w:color w:val="auto"/>
                      <w:szCs w:val="18"/>
                    </w:rPr>
                    <w:t>more difficult to meet the national air quality standards</w:t>
                  </w:r>
                  <w:r>
                    <w:rPr>
                      <w:color w:val="auto"/>
                      <w:szCs w:val="18"/>
                    </w:rPr>
                    <w:t xml:space="preserve"> and goals for these metrics. There is therefore a </w:t>
                  </w:r>
                  <w:r w:rsidRPr="008D0FEC">
                    <w:rPr>
                      <w:color w:val="auto"/>
                      <w:szCs w:val="18"/>
                    </w:rPr>
                    <w:t xml:space="preserve">risk that Australian public health will not be </w:t>
                  </w:r>
                  <w:r>
                    <w:rPr>
                      <w:color w:val="auto"/>
                      <w:szCs w:val="18"/>
                    </w:rPr>
                    <w:t xml:space="preserve">sufficiently protected, </w:t>
                  </w:r>
                  <w:r w:rsidRPr="00D84667">
                    <w:rPr>
                      <w:color w:val="auto"/>
                      <w:szCs w:val="18"/>
                    </w:rPr>
                    <w:t>with potential increases in the incidence of adverse health outcomes</w:t>
                  </w:r>
                  <w:r>
                    <w:rPr>
                      <w:color w:val="auto"/>
                      <w:szCs w:val="18"/>
                    </w:rPr>
                    <w:t xml:space="preserve"> as well as</w:t>
                  </w:r>
                  <w:r w:rsidRPr="00D84667">
                    <w:rPr>
                      <w:color w:val="auto"/>
                      <w:szCs w:val="18"/>
                    </w:rPr>
                    <w:t xml:space="preserve"> </w:t>
                  </w:r>
                  <w:r>
                    <w:rPr>
                      <w:color w:val="auto"/>
                      <w:szCs w:val="18"/>
                    </w:rPr>
                    <w:t xml:space="preserve">increases in </w:t>
                  </w:r>
                  <w:r w:rsidRPr="00D84667">
                    <w:rPr>
                      <w:color w:val="auto"/>
                      <w:szCs w:val="18"/>
                    </w:rPr>
                    <w:t>the monetary cost of air pollution to society.</w:t>
                  </w:r>
                </w:p>
                <w:p w:rsidR="0085182E" w:rsidRPr="00D84667" w:rsidRDefault="0085182E" w:rsidP="00874267">
                  <w:pPr>
                    <w:pStyle w:val="BulletArrows"/>
                    <w:numPr>
                      <w:ilvl w:val="0"/>
                      <w:numId w:val="104"/>
                    </w:numPr>
                    <w:rPr>
                      <w:color w:val="auto"/>
                      <w:szCs w:val="18"/>
                    </w:rPr>
                  </w:pPr>
                  <w:r>
                    <w:rPr>
                      <w:color w:val="auto"/>
                      <w:szCs w:val="18"/>
                    </w:rPr>
                    <w:t>C</w:t>
                  </w:r>
                  <w:r w:rsidRPr="00493178">
                    <w:rPr>
                      <w:color w:val="auto"/>
                      <w:szCs w:val="18"/>
                    </w:rPr>
                    <w:t>urrent policy int</w:t>
                  </w:r>
                  <w:r>
                    <w:rPr>
                      <w:color w:val="auto"/>
                      <w:szCs w:val="18"/>
                    </w:rPr>
                    <w:t xml:space="preserve">erventions are not </w:t>
                  </w:r>
                  <w:r w:rsidRPr="00493178">
                    <w:rPr>
                      <w:color w:val="auto"/>
                      <w:szCs w:val="18"/>
                    </w:rPr>
                    <w:t>limiting emissions and concentrations in line with policy objectives. Government intervention is considered necessary to prompt and accelerate policies and measures to reduce population exposure to particulate air pollution</w:t>
                  </w:r>
                  <w:r>
                    <w:rPr>
                      <w:color w:val="auto"/>
                      <w:szCs w:val="18"/>
                    </w:rPr>
                    <w:t xml:space="preserve">. </w:t>
                  </w:r>
                  <w:r w:rsidRPr="00493178">
                    <w:rPr>
                      <w:color w:val="auto"/>
                    </w:rPr>
                    <w:t>The extent to which government needs to intervene is informed by environmental and economic data.</w:t>
                  </w:r>
                </w:p>
                <w:p w:rsidR="0085182E" w:rsidRPr="000766DF" w:rsidRDefault="0085182E" w:rsidP="00493178">
                  <w:pPr>
                    <w:pStyle w:val="BulletArrows"/>
                    <w:numPr>
                      <w:ilvl w:val="0"/>
                      <w:numId w:val="1"/>
                    </w:numPr>
                    <w:ind w:left="284" w:hanging="284"/>
                    <w:rPr>
                      <w:color w:val="auto"/>
                      <w:szCs w:val="18"/>
                    </w:rPr>
                  </w:pPr>
                  <w:r w:rsidRPr="000766DF">
                    <w:rPr>
                      <w:color w:val="auto"/>
                      <w:szCs w:val="18"/>
                    </w:rPr>
                    <w:t xml:space="preserve">The following </w:t>
                  </w:r>
                  <w:r w:rsidRPr="000766DF">
                    <w:rPr>
                      <w:color w:val="auto"/>
                    </w:rPr>
                    <w:t>issues have been considered in this Report:</w:t>
                  </w:r>
                </w:p>
                <w:p w:rsidR="0085182E" w:rsidRPr="000766DF" w:rsidRDefault="0085182E" w:rsidP="00874267">
                  <w:pPr>
                    <w:pStyle w:val="BulletArrows"/>
                    <w:numPr>
                      <w:ilvl w:val="0"/>
                      <w:numId w:val="106"/>
                    </w:numPr>
                  </w:pPr>
                  <w:r>
                    <w:t>t</w:t>
                  </w:r>
                  <w:r w:rsidRPr="000766DF">
                    <w:t>he status of the PM standards (formal standards or advisory reporting standards)</w:t>
                  </w:r>
                </w:p>
                <w:p w:rsidR="0085182E" w:rsidRPr="000766DF" w:rsidRDefault="0085182E" w:rsidP="00874267">
                  <w:pPr>
                    <w:pStyle w:val="BulletArrows"/>
                    <w:numPr>
                      <w:ilvl w:val="0"/>
                      <w:numId w:val="106"/>
                    </w:numPr>
                  </w:pPr>
                  <w:r>
                    <w:t>t</w:t>
                  </w:r>
                  <w:r w:rsidRPr="000766DF">
                    <w:t xml:space="preserve">he PM metrics and averaging periods that should be included in the </w:t>
                  </w:r>
                  <w:r>
                    <w:t xml:space="preserve">AAQ </w:t>
                  </w:r>
                  <w:r w:rsidRPr="000766DF">
                    <w:t>NEPM standards</w:t>
                  </w:r>
                </w:p>
                <w:p w:rsidR="0085182E" w:rsidRPr="000766DF" w:rsidRDefault="0085182E" w:rsidP="00874267">
                  <w:pPr>
                    <w:pStyle w:val="BulletArrows"/>
                    <w:numPr>
                      <w:ilvl w:val="0"/>
                      <w:numId w:val="106"/>
                    </w:numPr>
                  </w:pPr>
                  <w:r>
                    <w:t>t</w:t>
                  </w:r>
                  <w:r w:rsidRPr="000766DF">
                    <w:t>he numerical values for the PM standards</w:t>
                  </w:r>
                </w:p>
                <w:p w:rsidR="0085182E" w:rsidRPr="000766DF" w:rsidRDefault="0085182E" w:rsidP="00874267">
                  <w:pPr>
                    <w:pStyle w:val="BulletArrows"/>
                    <w:numPr>
                      <w:ilvl w:val="0"/>
                      <w:numId w:val="106"/>
                    </w:numPr>
                  </w:pPr>
                  <w:r>
                    <w:t>t</w:t>
                  </w:r>
                  <w:r w:rsidRPr="000766DF">
                    <w:t>he form of the standards (</w:t>
                  </w:r>
                  <w:r w:rsidRPr="009334F4">
                    <w:t>e.g.</w:t>
                  </w:r>
                  <w:r w:rsidRPr="000766DF">
                    <w:t xml:space="preserve"> allowed exceedances)</w:t>
                  </w:r>
                </w:p>
                <w:p w:rsidR="0085182E" w:rsidRPr="000766DF" w:rsidRDefault="0085182E" w:rsidP="00874267">
                  <w:pPr>
                    <w:pStyle w:val="BulletArrows"/>
                    <w:numPr>
                      <w:ilvl w:val="0"/>
                      <w:numId w:val="106"/>
                    </w:numPr>
                  </w:pPr>
                  <w:proofErr w:type="gramStart"/>
                  <w:r>
                    <w:t>t</w:t>
                  </w:r>
                  <w:r w:rsidRPr="000766DF">
                    <w:t>he</w:t>
                  </w:r>
                  <w:proofErr w:type="gramEnd"/>
                  <w:r w:rsidRPr="000766DF">
                    <w:t xml:space="preserve"> feasibility of an exposure-reduction framework.</w:t>
                  </w:r>
                </w:p>
              </w:txbxContent>
            </v:textbox>
            <w10:wrap type="none"/>
            <w10:anchorlock/>
          </v:shape>
        </w:pict>
      </w:r>
    </w:p>
    <w:p w:rsidR="00B759BE" w:rsidRPr="00B37EF3" w:rsidRDefault="00BF6019" w:rsidP="00B759BE">
      <w:pPr>
        <w:jc w:val="center"/>
        <w:rPr>
          <w:rFonts w:ascii="Arial" w:hAnsi="Arial" w:cs="Arial"/>
          <w:color w:val="FF0000"/>
        </w:rPr>
      </w:pPr>
      <w:r>
        <w:rPr>
          <w:rFonts w:ascii="Arial" w:hAnsi="Arial" w:cs="Arial"/>
          <w:noProof/>
          <w:color w:val="FF0000"/>
        </w:rPr>
      </w:r>
      <w:r>
        <w:rPr>
          <w:rFonts w:ascii="Arial" w:hAnsi="Arial" w:cs="Arial"/>
          <w:noProof/>
          <w:color w:val="FF0000"/>
        </w:rPr>
        <w:pict>
          <v:shape id="AutoShape 32" o:spid="_x0000_s1032" type="#_x0000_t176" style="width:433.7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" fillcolor="#fbd4b4" strokecolor="#f79646" strokeweight="2.5pt">
            <v:fill opacity="13107f"/>
            <v:shadow color="#868686"/>
            <v:textbox>
              <w:txbxContent>
                <w:p w:rsidR="0085182E" w:rsidRPr="00B00DD5" w:rsidRDefault="0085182E" w:rsidP="00B759BE">
                  <w:pPr>
                    <w:jc w:val="center"/>
                    <w:rPr>
                      <w:b/>
                      <w:color w:val="E36C0A"/>
                      <w:sz w:val="24"/>
                      <w:szCs w:val="24"/>
                    </w:rPr>
                  </w:pPr>
                  <w:r>
                    <w:rPr>
                      <w:b/>
                      <w:color w:val="E36C0A"/>
                      <w:sz w:val="24"/>
                      <w:szCs w:val="24"/>
                    </w:rPr>
                    <w:t>Proposed question</w:t>
                  </w:r>
                  <w:r w:rsidRPr="00B00DD5">
                    <w:rPr>
                      <w:b/>
                      <w:color w:val="E36C0A"/>
                      <w:sz w:val="24"/>
                      <w:szCs w:val="24"/>
                    </w:rPr>
                    <w:t xml:space="preserve"> for consultation: The problem and the case for government intervention</w:t>
                  </w:r>
                </w:p>
                <w:p w:rsidR="0085182E" w:rsidRPr="006A5626" w:rsidRDefault="0085182E" w:rsidP="00465689">
                  <w:pPr>
                    <w:pStyle w:val="BulletArrows"/>
                    <w:numPr>
                      <w:ilvl w:val="0"/>
                      <w:numId w:val="1"/>
                    </w:numPr>
                    <w:spacing w:after="360"/>
                    <w:rPr>
                      <w:szCs w:val="18"/>
                    </w:rPr>
                  </w:pPr>
                  <w:r w:rsidRPr="006A5626">
                    <w:rPr>
                      <w:szCs w:val="18"/>
                    </w:rPr>
                    <w:t>Do you agree that further government involvement is required to address the potential future health impacts and costs of airborne PM?</w:t>
                  </w:r>
                </w:p>
                <w:p w:rsidR="0085182E" w:rsidRPr="00E67E5F" w:rsidRDefault="0085182E" w:rsidP="00465689">
                  <w:pPr>
                    <w:pStyle w:val="BulletArrows"/>
                    <w:numPr>
                      <w:ilvl w:val="0"/>
                      <w:numId w:val="22"/>
                    </w:numPr>
                    <w:ind w:left="426" w:hanging="284"/>
                    <w:rPr>
                      <w:color w:val="auto"/>
                    </w:rPr>
                  </w:pPr>
                </w:p>
              </w:txbxContent>
            </v:textbox>
            <w10:wrap type="none"/>
            <w10:anchorlock/>
          </v:shape>
        </w:pict>
      </w:r>
    </w:p>
    <w:p w:rsidR="00B759BE" w:rsidRPr="00B37EF3" w:rsidRDefault="00B759BE" w:rsidP="002C6E3A">
      <w:pPr>
        <w:rPr>
          <w:rFonts w:ascii="Arial" w:hAnsi="Arial" w:cs="Arial"/>
          <w:kern w:val="32"/>
        </w:rPr>
      </w:pPr>
    </w:p>
    <w:p w:rsidR="00692A6D" w:rsidRPr="00B37EF3" w:rsidRDefault="00692A6D" w:rsidP="002C6E3A">
      <w:pPr>
        <w:rPr>
          <w:rFonts w:ascii="Arial" w:hAnsi="Arial" w:cs="Arial"/>
        </w:rPr>
        <w:sectPr w:rsidR="00692A6D" w:rsidRPr="00B37EF3" w:rsidSect="006A5626">
          <w:headerReference w:type="even" r:id="rId68"/>
          <w:headerReference w:type="default" r:id="rId69"/>
          <w:footerReference w:type="default" r:id="rId70"/>
          <w:headerReference w:type="first" r:id="rId71"/>
          <w:pgSz w:w="11906" w:h="16838" w:code="9"/>
          <w:pgMar w:top="1440" w:right="1440" w:bottom="1440" w:left="1440" w:header="284" w:footer="244" w:gutter="0"/>
          <w:cols w:space="255"/>
          <w:docGrid w:linePitch="360"/>
        </w:sectPr>
      </w:pPr>
    </w:p>
    <w:p w:rsidR="00A76F39" w:rsidRPr="00B37EF3" w:rsidRDefault="00B47C12" w:rsidP="002440F9">
      <w:pPr>
        <w:pStyle w:val="Heading1"/>
        <w:rPr>
          <w:rFonts w:ascii="Arial" w:hAnsi="Arial"/>
        </w:rPr>
      </w:pPr>
      <w:bookmarkStart w:id="107" w:name="_Toc394011120"/>
      <w:r w:rsidRPr="00B37EF3">
        <w:rPr>
          <w:rFonts w:ascii="Arial" w:hAnsi="Arial"/>
        </w:rPr>
        <w:lastRenderedPageBreak/>
        <w:t xml:space="preserve">Discussion </w:t>
      </w:r>
      <w:r w:rsidR="00A76F39" w:rsidRPr="00B37EF3">
        <w:rPr>
          <w:rFonts w:ascii="Arial" w:hAnsi="Arial"/>
        </w:rPr>
        <w:t xml:space="preserve">of </w:t>
      </w:r>
      <w:r w:rsidRPr="00B37EF3">
        <w:rPr>
          <w:rFonts w:ascii="Arial" w:hAnsi="Arial"/>
        </w:rPr>
        <w:t xml:space="preserve">possible </w:t>
      </w:r>
      <w:r w:rsidR="00584954" w:rsidRPr="00B37EF3">
        <w:rPr>
          <w:rFonts w:ascii="Arial" w:hAnsi="Arial"/>
        </w:rPr>
        <w:t xml:space="preserve">approaches and </w:t>
      </w:r>
      <w:r w:rsidR="00A76F39" w:rsidRPr="00B37EF3">
        <w:rPr>
          <w:rFonts w:ascii="Arial" w:hAnsi="Arial"/>
        </w:rPr>
        <w:t>options</w:t>
      </w:r>
      <w:bookmarkEnd w:id="107"/>
    </w:p>
    <w:p w:rsidR="00393F9C" w:rsidRPr="00B37EF3" w:rsidRDefault="00393F9C" w:rsidP="00393F9C">
      <w:pPr>
        <w:pStyle w:val="Heading2"/>
        <w:rPr>
          <w:rFonts w:ascii="Arial" w:hAnsi="Arial"/>
        </w:rPr>
      </w:pPr>
      <w:bookmarkStart w:id="108" w:name="_Toc394011121"/>
      <w:r w:rsidRPr="00B37EF3">
        <w:rPr>
          <w:rFonts w:ascii="Arial" w:hAnsi="Arial"/>
        </w:rPr>
        <w:t xml:space="preserve">General </w:t>
      </w:r>
      <w:r w:rsidR="00632F50" w:rsidRPr="00B37EF3">
        <w:rPr>
          <w:rFonts w:ascii="Arial" w:hAnsi="Arial"/>
        </w:rPr>
        <w:t xml:space="preserve">air quality management </w:t>
      </w:r>
      <w:r w:rsidRPr="00B37EF3">
        <w:rPr>
          <w:rFonts w:ascii="Arial" w:hAnsi="Arial"/>
        </w:rPr>
        <w:t>framework</w:t>
      </w:r>
      <w:bookmarkEnd w:id="108"/>
    </w:p>
    <w:p w:rsidR="00870F46" w:rsidRPr="00874267" w:rsidRDefault="00632F50" w:rsidP="00493178">
      <w:pPr>
        <w:spacing w:after="120"/>
        <w:rPr>
          <w:rFonts w:ascii="Arial" w:hAnsi="Arial" w:cs="Arial"/>
        </w:rPr>
      </w:pPr>
      <w:r w:rsidRPr="00874267">
        <w:rPr>
          <w:rFonts w:ascii="Arial" w:hAnsi="Arial" w:cs="Arial"/>
        </w:rPr>
        <w:t xml:space="preserve">Several </w:t>
      </w:r>
      <w:r w:rsidR="00AA746A" w:rsidRPr="00874267">
        <w:rPr>
          <w:rFonts w:ascii="Arial" w:hAnsi="Arial" w:cs="Arial"/>
        </w:rPr>
        <w:t xml:space="preserve">types of </w:t>
      </w:r>
      <w:r w:rsidRPr="00874267">
        <w:rPr>
          <w:rFonts w:ascii="Arial" w:hAnsi="Arial" w:cs="Arial"/>
        </w:rPr>
        <w:t>framework have the potential in theory to</w:t>
      </w:r>
      <w:r w:rsidR="00AA746A" w:rsidRPr="00874267">
        <w:rPr>
          <w:rFonts w:ascii="Arial" w:hAnsi="Arial" w:cs="Arial"/>
        </w:rPr>
        <w:t xml:space="preserve"> address the problems identified in </w:t>
      </w:r>
      <w:r w:rsidR="00AA746A" w:rsidRPr="00874267">
        <w:rPr>
          <w:rFonts w:ascii="Arial" w:hAnsi="Arial" w:cs="Arial"/>
          <w:b/>
        </w:rPr>
        <w:t>Chapter 6</w:t>
      </w:r>
      <w:r w:rsidR="00584954" w:rsidRPr="00874267">
        <w:rPr>
          <w:rFonts w:ascii="Arial" w:hAnsi="Arial" w:cs="Arial"/>
        </w:rPr>
        <w:t>. The main alternatives</w:t>
      </w:r>
      <w:r w:rsidR="00870F46" w:rsidRPr="00874267">
        <w:rPr>
          <w:rFonts w:ascii="Arial" w:hAnsi="Arial" w:cs="Arial"/>
        </w:rPr>
        <w:t xml:space="preserve"> for a general framework are:</w:t>
      </w:r>
    </w:p>
    <w:p w:rsidR="00235863" w:rsidRPr="00874267" w:rsidRDefault="00235863" w:rsidP="00874267">
      <w:pPr>
        <w:pStyle w:val="BulletArrows"/>
        <w:numPr>
          <w:ilvl w:val="0"/>
          <w:numId w:val="108"/>
        </w:numPr>
        <w:rPr>
          <w:rFonts w:ascii="Arial" w:hAnsi="Arial"/>
          <w:color w:val="auto"/>
          <w:szCs w:val="18"/>
        </w:rPr>
      </w:pPr>
      <w:r w:rsidRPr="00874267">
        <w:rPr>
          <w:rFonts w:ascii="Arial" w:hAnsi="Arial"/>
          <w:color w:val="auto"/>
          <w:szCs w:val="18"/>
        </w:rPr>
        <w:t>variation of the AAQ NEPM</w:t>
      </w:r>
    </w:p>
    <w:p w:rsidR="00870F46" w:rsidRPr="00874267" w:rsidRDefault="00870F46" w:rsidP="00874267">
      <w:pPr>
        <w:pStyle w:val="BulletArrows"/>
        <w:numPr>
          <w:ilvl w:val="0"/>
          <w:numId w:val="108"/>
        </w:numPr>
        <w:rPr>
          <w:rFonts w:ascii="Arial" w:hAnsi="Arial"/>
          <w:color w:val="auto"/>
          <w:szCs w:val="18"/>
        </w:rPr>
      </w:pPr>
      <w:r w:rsidRPr="00874267">
        <w:rPr>
          <w:rFonts w:ascii="Arial" w:hAnsi="Arial"/>
          <w:color w:val="auto"/>
          <w:szCs w:val="18"/>
        </w:rPr>
        <w:t>Commonwealth legislation</w:t>
      </w:r>
    </w:p>
    <w:p w:rsidR="00870F46" w:rsidRPr="00874267" w:rsidRDefault="00235863" w:rsidP="00874267">
      <w:pPr>
        <w:pStyle w:val="BulletArrows"/>
        <w:numPr>
          <w:ilvl w:val="0"/>
          <w:numId w:val="108"/>
        </w:numPr>
        <w:rPr>
          <w:rFonts w:ascii="Arial" w:hAnsi="Arial"/>
          <w:color w:val="auto"/>
          <w:szCs w:val="18"/>
        </w:rPr>
      </w:pPr>
      <w:r w:rsidRPr="00874267">
        <w:rPr>
          <w:rFonts w:ascii="Arial" w:hAnsi="Arial"/>
          <w:color w:val="auto"/>
          <w:szCs w:val="18"/>
        </w:rPr>
        <w:t>v</w:t>
      </w:r>
      <w:r w:rsidR="00870F46" w:rsidRPr="00874267">
        <w:rPr>
          <w:rFonts w:ascii="Arial" w:hAnsi="Arial"/>
          <w:color w:val="auto"/>
          <w:szCs w:val="18"/>
        </w:rPr>
        <w:t>oluntary guidelines</w:t>
      </w:r>
    </w:p>
    <w:p w:rsidR="00870F46" w:rsidRPr="00874267" w:rsidRDefault="00235863" w:rsidP="00874267">
      <w:pPr>
        <w:pStyle w:val="BulletArrows"/>
        <w:numPr>
          <w:ilvl w:val="0"/>
          <w:numId w:val="108"/>
        </w:numPr>
        <w:rPr>
          <w:rFonts w:ascii="Arial" w:hAnsi="Arial"/>
          <w:szCs w:val="18"/>
        </w:rPr>
      </w:pPr>
      <w:r w:rsidRPr="00874267">
        <w:rPr>
          <w:rFonts w:ascii="Arial" w:hAnsi="Arial"/>
          <w:color w:val="auto"/>
          <w:szCs w:val="18"/>
        </w:rPr>
        <w:t>i</w:t>
      </w:r>
      <w:r w:rsidR="00870F46" w:rsidRPr="00874267">
        <w:rPr>
          <w:rFonts w:ascii="Arial" w:hAnsi="Arial"/>
          <w:color w:val="auto"/>
          <w:szCs w:val="18"/>
        </w:rPr>
        <w:t>nter</w:t>
      </w:r>
      <w:r w:rsidR="00870F46" w:rsidRPr="00874267">
        <w:rPr>
          <w:rFonts w:ascii="Arial" w:hAnsi="Arial"/>
          <w:szCs w:val="18"/>
        </w:rPr>
        <w:t>-governmental agreement or memorandum of understanding</w:t>
      </w:r>
    </w:p>
    <w:p w:rsidR="00235863" w:rsidRPr="00874267" w:rsidRDefault="00235863" w:rsidP="00874267">
      <w:pPr>
        <w:pStyle w:val="BulletArrows"/>
        <w:numPr>
          <w:ilvl w:val="0"/>
          <w:numId w:val="108"/>
        </w:numPr>
        <w:rPr>
          <w:rFonts w:ascii="Arial" w:hAnsi="Arial"/>
          <w:sz w:val="20"/>
        </w:rPr>
      </w:pPr>
      <w:proofErr w:type="gramStart"/>
      <w:r w:rsidRPr="00874267">
        <w:rPr>
          <w:rFonts w:ascii="Arial" w:hAnsi="Arial"/>
          <w:szCs w:val="18"/>
        </w:rPr>
        <w:t>no</w:t>
      </w:r>
      <w:proofErr w:type="gramEnd"/>
      <w:r w:rsidRPr="00874267">
        <w:rPr>
          <w:rFonts w:ascii="Arial" w:hAnsi="Arial"/>
          <w:szCs w:val="18"/>
        </w:rPr>
        <w:t xml:space="preserve"> change</w:t>
      </w:r>
      <w:r w:rsidRPr="00874267">
        <w:rPr>
          <w:rFonts w:ascii="Arial" w:hAnsi="Arial"/>
          <w:sz w:val="20"/>
        </w:rPr>
        <w:t xml:space="preserve"> to the current framework (BAU scenario).</w:t>
      </w:r>
    </w:p>
    <w:p w:rsidR="00870F46" w:rsidRPr="006F1D04" w:rsidRDefault="00FF6728" w:rsidP="00CE2B02">
      <w:pPr>
        <w:spacing w:after="300"/>
        <w:rPr>
          <w:rFonts w:ascii="Arial" w:hAnsi="Arial" w:cs="Arial"/>
        </w:rPr>
      </w:pPr>
      <w:r w:rsidRPr="00874267">
        <w:rPr>
          <w:rFonts w:ascii="Arial" w:hAnsi="Arial" w:cs="Arial"/>
          <w:sz w:val="20"/>
        </w:rPr>
        <w:t xml:space="preserve">These </w:t>
      </w:r>
      <w:r w:rsidRPr="006F1D04">
        <w:rPr>
          <w:rFonts w:ascii="Arial" w:hAnsi="Arial" w:cs="Arial"/>
        </w:rPr>
        <w:t>alternatives will now be considered in turn.</w:t>
      </w:r>
    </w:p>
    <w:p w:rsidR="00235863" w:rsidRPr="006F1D04" w:rsidRDefault="00235863" w:rsidP="00235863">
      <w:pPr>
        <w:pStyle w:val="Heading3"/>
        <w:rPr>
          <w:rFonts w:ascii="Arial" w:hAnsi="Arial"/>
          <w:lang w:eastAsia="en-US"/>
        </w:rPr>
      </w:pPr>
      <w:bookmarkStart w:id="109" w:name="_Toc394011122"/>
      <w:r w:rsidRPr="006F1D04">
        <w:rPr>
          <w:rFonts w:ascii="Arial" w:hAnsi="Arial"/>
          <w:lang w:eastAsia="en-US"/>
        </w:rPr>
        <w:t>Variation of the Ambient Air Quality AAQ NEPM</w:t>
      </w:r>
      <w:bookmarkEnd w:id="109"/>
    </w:p>
    <w:p w:rsidR="0068403A" w:rsidRPr="006F1D04" w:rsidRDefault="0068403A" w:rsidP="0068403A">
      <w:pPr>
        <w:rPr>
          <w:rFonts w:ascii="Arial" w:hAnsi="Arial" w:cs="Arial"/>
        </w:rPr>
      </w:pPr>
      <w:r w:rsidRPr="006F1D04">
        <w:rPr>
          <w:rFonts w:ascii="Arial" w:hAnsi="Arial" w:cs="Arial"/>
        </w:rPr>
        <w:t xml:space="preserve">The existing AAQ NEPM framework has now been in place for 15 years. The framework has overcome the limitations of the previous voluntary guideline approach, and has facilitated a collaborative process that has included all jurisdictions in national air quality management. It has allowed for a nationally consistent framework for the setting and implementation of air quality standards and goals, and for the monitoring and reporting of air quality against those standards and goals. The establishment of standards and goals through the AAQ NEPM has overcome potential conflicts or inconsistencies between individual state or territory-based regulations, as all jurisdictions have been subject to identical criteria. </w:t>
      </w:r>
    </w:p>
    <w:p w:rsidR="0068403A" w:rsidRPr="006F1D04" w:rsidRDefault="0068403A" w:rsidP="0068403A">
      <w:pPr>
        <w:pStyle w:val="BulletArrows"/>
        <w:spacing w:after="240"/>
        <w:rPr>
          <w:rFonts w:ascii="Arial" w:hAnsi="Arial"/>
          <w:color w:val="auto"/>
        </w:rPr>
      </w:pPr>
      <w:r w:rsidRPr="006F1D04">
        <w:rPr>
          <w:rFonts w:ascii="Arial" w:hAnsi="Arial"/>
          <w:color w:val="auto"/>
        </w:rPr>
        <w:t xml:space="preserve">Whilst the AAQ NEPM review identified several areas for improvement, some of which are addressed in this </w:t>
      </w:r>
      <w:r w:rsidR="00422463" w:rsidRPr="006F1D04">
        <w:rPr>
          <w:rFonts w:ascii="Arial" w:hAnsi="Arial"/>
          <w:color w:val="auto"/>
        </w:rPr>
        <w:t>Impact Statement</w:t>
      </w:r>
      <w:r w:rsidRPr="006F1D04">
        <w:rPr>
          <w:rFonts w:ascii="Arial" w:hAnsi="Arial"/>
          <w:color w:val="auto"/>
        </w:rPr>
        <w:t>, the framework has served a useful purpose. Although reporting against the AAQ NEPM standards is not strictly enforceable</w:t>
      </w:r>
      <w:r w:rsidRPr="006F1D04">
        <w:rPr>
          <w:rStyle w:val="FootnoteReference"/>
          <w:rFonts w:ascii="Arial" w:hAnsi="Arial"/>
          <w:color w:val="auto"/>
        </w:rPr>
        <w:footnoteReference w:id="27"/>
      </w:r>
      <w:r w:rsidRPr="006F1D04">
        <w:rPr>
          <w:rFonts w:ascii="Arial" w:hAnsi="Arial"/>
          <w:color w:val="auto"/>
        </w:rPr>
        <w:t>, there have still been considerable benefits associated with their introduction. As mentioned earlier, it could reasonably be argued that the AAQ NEPM has represented a significant advance in terms of air quality management in Australia, and has resulted in numerous policies and initiatives to improve air quality. There is compelling evidence that the population needs to be protected from particulate air pollution on health grounds, as well as evidence that providing such protection would result in substantial economic benefits. The process of reviewing and developing the AAQ NEPM standards does, in itself, highlight these potential benefits.</w:t>
      </w:r>
    </w:p>
    <w:p w:rsidR="0068403A" w:rsidRPr="006F1D04" w:rsidRDefault="0068403A" w:rsidP="0068403A">
      <w:pPr>
        <w:rPr>
          <w:rFonts w:ascii="Arial" w:hAnsi="Arial" w:cs="Arial"/>
        </w:rPr>
      </w:pPr>
      <w:r w:rsidRPr="006F1D04">
        <w:rPr>
          <w:rFonts w:ascii="Arial" w:hAnsi="Arial" w:cs="Arial"/>
          <w:lang w:eastAsia="en-US"/>
        </w:rPr>
        <w:t>On balance, it is considered that the most effective way to ensure future consistency in national air quality management and data collection will be the development of a variation to the existing AAQ NEPM, with j</w:t>
      </w:r>
      <w:r w:rsidRPr="006F1D04">
        <w:rPr>
          <w:rFonts w:ascii="Arial" w:hAnsi="Arial" w:cs="Arial"/>
        </w:rPr>
        <w:t xml:space="preserve">urisdictions adopting the AAQ NEPM provisions in their own regulations. For the remainder of this </w:t>
      </w:r>
      <w:r w:rsidR="005B38F9" w:rsidRPr="006F1D04">
        <w:rPr>
          <w:rFonts w:ascii="Arial" w:hAnsi="Arial"/>
        </w:rPr>
        <w:t>Impact Statement</w:t>
      </w:r>
      <w:r w:rsidR="005B38F9" w:rsidRPr="006F1D04">
        <w:rPr>
          <w:rFonts w:ascii="Arial" w:hAnsi="Arial" w:cs="Arial"/>
        </w:rPr>
        <w:t xml:space="preserve"> </w:t>
      </w:r>
      <w:r w:rsidRPr="006F1D04">
        <w:rPr>
          <w:rFonts w:ascii="Arial" w:hAnsi="Arial" w:cs="Arial"/>
        </w:rPr>
        <w:t>it has therefore been assumed that a variation of the AAQ NEPM will be the preferred approach; however, for completeness, the remaining approaches are also outlined below.</w:t>
      </w:r>
    </w:p>
    <w:p w:rsidR="00393F9C" w:rsidRPr="006F1D04" w:rsidRDefault="00393F9C" w:rsidP="000F787E">
      <w:pPr>
        <w:pStyle w:val="Heading3"/>
        <w:rPr>
          <w:rFonts w:ascii="Arial" w:hAnsi="Arial"/>
        </w:rPr>
      </w:pPr>
      <w:bookmarkStart w:id="110" w:name="_Toc374221047"/>
      <w:bookmarkStart w:id="111" w:name="_Toc374221321"/>
      <w:bookmarkStart w:id="112" w:name="_Toc374309757"/>
      <w:bookmarkStart w:id="113" w:name="_Toc374221048"/>
      <w:bookmarkStart w:id="114" w:name="_Toc374221322"/>
      <w:bookmarkStart w:id="115" w:name="_Toc374309758"/>
      <w:bookmarkStart w:id="116" w:name="_Toc374221049"/>
      <w:bookmarkStart w:id="117" w:name="_Toc374221323"/>
      <w:bookmarkStart w:id="118" w:name="_Toc374309759"/>
      <w:bookmarkStart w:id="119" w:name="_Toc374221051"/>
      <w:bookmarkStart w:id="120" w:name="_Toc374221325"/>
      <w:bookmarkStart w:id="121" w:name="_Toc374309761"/>
      <w:bookmarkStart w:id="122" w:name="_Toc394011123"/>
      <w:bookmarkEnd w:id="110"/>
      <w:bookmarkEnd w:id="111"/>
      <w:bookmarkEnd w:id="112"/>
      <w:bookmarkEnd w:id="113"/>
      <w:bookmarkEnd w:id="114"/>
      <w:bookmarkEnd w:id="115"/>
      <w:bookmarkEnd w:id="116"/>
      <w:bookmarkEnd w:id="117"/>
      <w:bookmarkEnd w:id="118"/>
      <w:bookmarkEnd w:id="119"/>
      <w:bookmarkEnd w:id="120"/>
      <w:bookmarkEnd w:id="121"/>
      <w:r w:rsidRPr="006F1D04">
        <w:rPr>
          <w:rFonts w:ascii="Arial" w:hAnsi="Arial"/>
        </w:rPr>
        <w:t>Commonwealth legislation</w:t>
      </w:r>
      <w:bookmarkEnd w:id="122"/>
    </w:p>
    <w:p w:rsidR="006A0EEF" w:rsidRPr="006F1D04" w:rsidRDefault="00885A44" w:rsidP="00CE2B02">
      <w:pPr>
        <w:spacing w:after="300"/>
        <w:rPr>
          <w:rFonts w:ascii="Arial" w:hAnsi="Arial" w:cs="Arial"/>
        </w:rPr>
      </w:pPr>
      <w:r w:rsidRPr="006F1D04">
        <w:rPr>
          <w:rFonts w:ascii="Arial" w:hAnsi="Arial" w:cs="Arial"/>
          <w:lang w:eastAsia="en-US"/>
        </w:rPr>
        <w:t>Establishing national emission standards through Commonwealth regulation would</w:t>
      </w:r>
      <w:r w:rsidR="009B4240" w:rsidRPr="006F1D04">
        <w:rPr>
          <w:rFonts w:ascii="Arial" w:hAnsi="Arial" w:cs="Arial"/>
          <w:lang w:eastAsia="en-US"/>
        </w:rPr>
        <w:t xml:space="preserve"> </w:t>
      </w:r>
      <w:r w:rsidRPr="006F1D04">
        <w:rPr>
          <w:rFonts w:ascii="Arial" w:hAnsi="Arial" w:cs="Arial"/>
          <w:lang w:eastAsia="en-US"/>
        </w:rPr>
        <w:t>result in a n</w:t>
      </w:r>
      <w:r w:rsidR="001F55F0" w:rsidRPr="006F1D04">
        <w:rPr>
          <w:rFonts w:ascii="Arial" w:hAnsi="Arial" w:cs="Arial"/>
          <w:lang w:eastAsia="en-US"/>
        </w:rPr>
        <w:t>ationally consistent approach to air quality management.</w:t>
      </w:r>
      <w:r w:rsidR="004B4989" w:rsidRPr="006F1D04">
        <w:rPr>
          <w:rFonts w:ascii="Arial" w:hAnsi="Arial" w:cs="Arial"/>
          <w:lang w:eastAsia="en-US"/>
        </w:rPr>
        <w:t xml:space="preserve"> </w:t>
      </w:r>
      <w:r w:rsidR="001F55F0" w:rsidRPr="006F1D04">
        <w:rPr>
          <w:rFonts w:ascii="Arial" w:hAnsi="Arial" w:cs="Arial"/>
          <w:lang w:eastAsia="en-US"/>
        </w:rPr>
        <w:t xml:space="preserve">However, </w:t>
      </w:r>
      <w:r w:rsidR="001F55F0" w:rsidRPr="006F1D04">
        <w:rPr>
          <w:rFonts w:ascii="Arial" w:hAnsi="Arial" w:cs="Arial"/>
        </w:rPr>
        <w:t>t</w:t>
      </w:r>
      <w:r w:rsidR="006A0EEF" w:rsidRPr="006F1D04">
        <w:rPr>
          <w:rFonts w:ascii="Arial" w:hAnsi="Arial" w:cs="Arial"/>
        </w:rPr>
        <w:t>he impact statement</w:t>
      </w:r>
      <w:r w:rsidR="003974D3" w:rsidRPr="006F1D04">
        <w:rPr>
          <w:rFonts w:ascii="Arial" w:hAnsi="Arial" w:cs="Arial"/>
        </w:rPr>
        <w:t>s</w:t>
      </w:r>
      <w:r w:rsidR="006A0EEF" w:rsidRPr="006F1D04">
        <w:rPr>
          <w:rFonts w:ascii="Arial" w:hAnsi="Arial" w:cs="Arial"/>
        </w:rPr>
        <w:t xml:space="preserve"> for the original </w:t>
      </w:r>
      <w:r w:rsidR="00EF24F8" w:rsidRPr="006F1D04">
        <w:rPr>
          <w:rFonts w:ascii="Arial" w:hAnsi="Arial" w:cs="Arial"/>
        </w:rPr>
        <w:t>AAQ NEPM</w:t>
      </w:r>
      <w:r w:rsidR="006A0EEF" w:rsidRPr="006F1D04">
        <w:rPr>
          <w:rFonts w:ascii="Arial" w:hAnsi="Arial" w:cs="Arial"/>
        </w:rPr>
        <w:t xml:space="preserve"> </w:t>
      </w:r>
      <w:r w:rsidR="003974D3" w:rsidRPr="006F1D04">
        <w:rPr>
          <w:rFonts w:ascii="Arial" w:hAnsi="Arial" w:cs="Arial"/>
        </w:rPr>
        <w:t>and the revision for PM</w:t>
      </w:r>
      <w:r w:rsidR="003974D3" w:rsidRPr="006F1D04">
        <w:rPr>
          <w:rFonts w:ascii="Arial" w:hAnsi="Arial" w:cs="Arial"/>
          <w:vertAlign w:val="subscript"/>
        </w:rPr>
        <w:t>2.5</w:t>
      </w:r>
      <w:r w:rsidR="003974D3" w:rsidRPr="006F1D04">
        <w:rPr>
          <w:rFonts w:ascii="Arial" w:hAnsi="Arial" w:cs="Arial"/>
        </w:rPr>
        <w:t xml:space="preserve"> </w:t>
      </w:r>
      <w:r w:rsidR="006A0EEF" w:rsidRPr="006F1D04">
        <w:rPr>
          <w:rFonts w:ascii="Arial" w:hAnsi="Arial" w:cs="Arial"/>
        </w:rPr>
        <w:t xml:space="preserve">argued against </w:t>
      </w:r>
      <w:r w:rsidR="003974D3" w:rsidRPr="006F1D04">
        <w:rPr>
          <w:rFonts w:ascii="Arial" w:hAnsi="Arial" w:cs="Arial"/>
        </w:rPr>
        <w:t xml:space="preserve">the development of </w:t>
      </w:r>
      <w:r w:rsidR="006A0EEF" w:rsidRPr="006F1D04">
        <w:rPr>
          <w:rFonts w:ascii="Arial" w:hAnsi="Arial" w:cs="Arial"/>
        </w:rPr>
        <w:t>Commonwealth legislation to achi</w:t>
      </w:r>
      <w:r w:rsidR="003974D3" w:rsidRPr="006F1D04">
        <w:rPr>
          <w:rFonts w:ascii="Arial" w:hAnsi="Arial" w:cs="Arial"/>
        </w:rPr>
        <w:t>eve</w:t>
      </w:r>
      <w:r w:rsidR="006A0EEF" w:rsidRPr="006F1D04">
        <w:rPr>
          <w:rFonts w:ascii="Arial" w:hAnsi="Arial" w:cs="Arial"/>
        </w:rPr>
        <w:t xml:space="preserve"> the desired air quality outcomes</w:t>
      </w:r>
      <w:r w:rsidR="003974D3" w:rsidRPr="006F1D04">
        <w:rPr>
          <w:rFonts w:ascii="Arial" w:hAnsi="Arial" w:cs="Arial"/>
        </w:rPr>
        <w:t xml:space="preserve"> </w:t>
      </w:r>
      <w:r w:rsidR="003974D3" w:rsidRPr="006F1D04">
        <w:rPr>
          <w:rFonts w:ascii="Arial" w:hAnsi="Arial" w:cs="Arial"/>
          <w:b/>
        </w:rPr>
        <w:t>(NEPC 1998</w:t>
      </w:r>
      <w:r w:rsidR="00FF6728" w:rsidRPr="006F1D04">
        <w:rPr>
          <w:rFonts w:ascii="Arial" w:hAnsi="Arial" w:cs="Arial"/>
          <w:b/>
        </w:rPr>
        <w:t>,</w:t>
      </w:r>
      <w:r w:rsidR="003974D3" w:rsidRPr="006F1D04">
        <w:rPr>
          <w:rFonts w:ascii="Arial" w:hAnsi="Arial" w:cs="Arial"/>
          <w:b/>
        </w:rPr>
        <w:t xml:space="preserve"> 2002)</w:t>
      </w:r>
      <w:r w:rsidR="006A0EEF" w:rsidRPr="006F1D04">
        <w:rPr>
          <w:rFonts w:ascii="Arial" w:hAnsi="Arial" w:cs="Arial"/>
        </w:rPr>
        <w:t>. One of the main reasons for this was that the Commonwealth has no constitutional powers in relation to air quality.</w:t>
      </w:r>
      <w:r w:rsidR="006A0EEF" w:rsidRPr="006F1D04">
        <w:rPr>
          <w:rFonts w:ascii="Arial" w:hAnsi="Arial" w:cs="Arial"/>
          <w:color w:val="FF0000"/>
          <w:lang w:eastAsia="en-US"/>
        </w:rPr>
        <w:t xml:space="preserve"> </w:t>
      </w:r>
      <w:r w:rsidR="006A0EEF" w:rsidRPr="006F1D04">
        <w:rPr>
          <w:rFonts w:ascii="Arial" w:hAnsi="Arial" w:cs="Arial"/>
          <w:lang w:eastAsia="en-US"/>
        </w:rPr>
        <w:t xml:space="preserve">It was also suggested that the Commonwealth would be </w:t>
      </w:r>
      <w:r w:rsidR="00FF6728" w:rsidRPr="006F1D04">
        <w:rPr>
          <w:rFonts w:ascii="Arial" w:hAnsi="Arial" w:cs="Arial"/>
          <w:lang w:eastAsia="en-US"/>
        </w:rPr>
        <w:t>un</w:t>
      </w:r>
      <w:r w:rsidR="006A0EEF" w:rsidRPr="006F1D04">
        <w:rPr>
          <w:rFonts w:ascii="Arial" w:hAnsi="Arial" w:cs="Arial"/>
          <w:lang w:eastAsia="en-US"/>
        </w:rPr>
        <w:t xml:space="preserve">likely to pursue a unilateral approach given the existing cooperative approach in relation to environmental issues; unilateral Commonwealth action could </w:t>
      </w:r>
      <w:r w:rsidR="00C248EA" w:rsidRPr="006F1D04">
        <w:rPr>
          <w:rFonts w:ascii="Arial" w:hAnsi="Arial" w:cs="Arial"/>
          <w:lang w:eastAsia="en-US"/>
        </w:rPr>
        <w:t xml:space="preserve">have </w:t>
      </w:r>
      <w:r w:rsidR="006A0EEF" w:rsidRPr="006F1D04">
        <w:rPr>
          <w:rFonts w:ascii="Arial" w:hAnsi="Arial" w:cs="Arial"/>
          <w:lang w:eastAsia="en-US"/>
        </w:rPr>
        <w:t>alienate</w:t>
      </w:r>
      <w:r w:rsidR="00C248EA" w:rsidRPr="006F1D04">
        <w:rPr>
          <w:rFonts w:ascii="Arial" w:hAnsi="Arial" w:cs="Arial"/>
          <w:lang w:eastAsia="en-US"/>
        </w:rPr>
        <w:t>d</w:t>
      </w:r>
      <w:r w:rsidR="006A0EEF" w:rsidRPr="006F1D04">
        <w:rPr>
          <w:rFonts w:ascii="Arial" w:hAnsi="Arial" w:cs="Arial"/>
          <w:lang w:eastAsia="en-US"/>
        </w:rPr>
        <w:t xml:space="preserve"> </w:t>
      </w:r>
      <w:r w:rsidR="00FF6728" w:rsidRPr="006F1D04">
        <w:rPr>
          <w:rFonts w:ascii="Arial" w:hAnsi="Arial" w:cs="Arial"/>
          <w:lang w:eastAsia="en-US"/>
        </w:rPr>
        <w:t>s</w:t>
      </w:r>
      <w:r w:rsidR="006A0EEF" w:rsidRPr="006F1D04">
        <w:rPr>
          <w:rFonts w:ascii="Arial" w:hAnsi="Arial" w:cs="Arial"/>
          <w:lang w:eastAsia="en-US"/>
        </w:rPr>
        <w:t xml:space="preserve">tate and </w:t>
      </w:r>
      <w:r w:rsidR="00FF6728" w:rsidRPr="006F1D04">
        <w:rPr>
          <w:rFonts w:ascii="Arial" w:hAnsi="Arial" w:cs="Arial"/>
          <w:lang w:eastAsia="en-US"/>
        </w:rPr>
        <w:t>t</w:t>
      </w:r>
      <w:r w:rsidR="006A0EEF" w:rsidRPr="006F1D04">
        <w:rPr>
          <w:rFonts w:ascii="Arial" w:hAnsi="Arial" w:cs="Arial"/>
          <w:lang w:eastAsia="en-US"/>
        </w:rPr>
        <w:t>erritory environment agencies</w:t>
      </w:r>
      <w:r w:rsidR="00C248EA" w:rsidRPr="006F1D04">
        <w:rPr>
          <w:rFonts w:ascii="Arial" w:hAnsi="Arial" w:cs="Arial"/>
          <w:lang w:eastAsia="en-US"/>
        </w:rPr>
        <w:t xml:space="preserve"> with </w:t>
      </w:r>
      <w:r w:rsidR="0010488D" w:rsidRPr="006F1D04">
        <w:rPr>
          <w:rFonts w:ascii="Arial" w:hAnsi="Arial" w:cs="Arial"/>
          <w:lang w:eastAsia="en-US"/>
        </w:rPr>
        <w:t>responsibility for air quality management</w:t>
      </w:r>
      <w:r w:rsidR="00C248EA" w:rsidRPr="006F1D04">
        <w:rPr>
          <w:rFonts w:ascii="Arial" w:hAnsi="Arial" w:cs="Arial"/>
          <w:lang w:eastAsia="en-US"/>
        </w:rPr>
        <w:t xml:space="preserve">. </w:t>
      </w:r>
      <w:r w:rsidR="00543904" w:rsidRPr="006F1D04">
        <w:rPr>
          <w:rFonts w:ascii="Arial" w:hAnsi="Arial" w:cs="Arial"/>
          <w:lang w:eastAsia="en-US"/>
        </w:rPr>
        <w:t>T</w:t>
      </w:r>
      <w:r w:rsidR="00C248EA" w:rsidRPr="006F1D04">
        <w:rPr>
          <w:rFonts w:ascii="Arial" w:hAnsi="Arial" w:cs="Arial"/>
          <w:lang w:eastAsia="en-US"/>
        </w:rPr>
        <w:t>he Commonwealth wa</w:t>
      </w:r>
      <w:r w:rsidR="006A0EEF" w:rsidRPr="006F1D04">
        <w:rPr>
          <w:rFonts w:ascii="Arial" w:hAnsi="Arial" w:cs="Arial"/>
          <w:lang w:eastAsia="en-US"/>
        </w:rPr>
        <w:t xml:space="preserve">s </w:t>
      </w:r>
      <w:r w:rsidR="00543904" w:rsidRPr="006F1D04">
        <w:rPr>
          <w:rFonts w:ascii="Arial" w:hAnsi="Arial" w:cs="Arial"/>
          <w:lang w:eastAsia="en-US"/>
        </w:rPr>
        <w:t xml:space="preserve">also </w:t>
      </w:r>
      <w:r w:rsidR="006A0EEF" w:rsidRPr="006F1D04">
        <w:rPr>
          <w:rFonts w:ascii="Arial" w:hAnsi="Arial" w:cs="Arial"/>
          <w:lang w:eastAsia="en-US"/>
        </w:rPr>
        <w:t xml:space="preserve">not well placed to </w:t>
      </w:r>
      <w:r w:rsidR="00FF6728" w:rsidRPr="006F1D04">
        <w:rPr>
          <w:rFonts w:ascii="Arial" w:hAnsi="Arial" w:cs="Arial"/>
          <w:lang w:eastAsia="en-US"/>
        </w:rPr>
        <w:t>assume</w:t>
      </w:r>
      <w:r w:rsidR="00FF6728" w:rsidRPr="006F1D04" w:rsidDel="00FF6728">
        <w:rPr>
          <w:rFonts w:ascii="Arial" w:hAnsi="Arial" w:cs="Arial"/>
          <w:lang w:eastAsia="en-US"/>
        </w:rPr>
        <w:t xml:space="preserve"> </w:t>
      </w:r>
      <w:r w:rsidR="006A0EEF" w:rsidRPr="006F1D04">
        <w:rPr>
          <w:rFonts w:ascii="Arial" w:hAnsi="Arial" w:cs="Arial"/>
          <w:lang w:eastAsia="en-US"/>
        </w:rPr>
        <w:t>a hands-on role in data collection, analysis and reporting of a</w:t>
      </w:r>
      <w:r w:rsidR="00C248EA" w:rsidRPr="006F1D04">
        <w:rPr>
          <w:rFonts w:ascii="Arial" w:hAnsi="Arial" w:cs="Arial"/>
          <w:lang w:eastAsia="en-US"/>
        </w:rPr>
        <w:t xml:space="preserve">ir quality data, and would have had </w:t>
      </w:r>
      <w:r w:rsidR="006A0EEF" w:rsidRPr="006F1D04">
        <w:rPr>
          <w:rFonts w:ascii="Arial" w:hAnsi="Arial" w:cs="Arial"/>
          <w:lang w:eastAsia="en-US"/>
        </w:rPr>
        <w:t xml:space="preserve">to invest significant resources to </w:t>
      </w:r>
      <w:r w:rsidR="006A0EEF" w:rsidRPr="006F1D04">
        <w:rPr>
          <w:rFonts w:ascii="Arial" w:hAnsi="Arial" w:cs="Arial"/>
          <w:lang w:eastAsia="en-US"/>
        </w:rPr>
        <w:lastRenderedPageBreak/>
        <w:t xml:space="preserve">duplicate systems </w:t>
      </w:r>
      <w:r w:rsidR="00C248EA" w:rsidRPr="006F1D04">
        <w:rPr>
          <w:rFonts w:ascii="Arial" w:hAnsi="Arial" w:cs="Arial"/>
          <w:lang w:eastAsia="en-US"/>
        </w:rPr>
        <w:t xml:space="preserve">that were </w:t>
      </w:r>
      <w:r w:rsidR="006A0EEF" w:rsidRPr="006F1D04">
        <w:rPr>
          <w:rFonts w:ascii="Arial" w:hAnsi="Arial" w:cs="Arial"/>
          <w:lang w:eastAsia="en-US"/>
        </w:rPr>
        <w:t>already in place at</w:t>
      </w:r>
      <w:r w:rsidR="0071149C" w:rsidRPr="006F1D04">
        <w:rPr>
          <w:rFonts w:ascii="Arial" w:hAnsi="Arial" w:cs="Arial"/>
          <w:lang w:eastAsia="en-US"/>
        </w:rPr>
        <w:t xml:space="preserve"> the</w:t>
      </w:r>
      <w:r w:rsidR="006A0EEF" w:rsidRPr="006F1D04">
        <w:rPr>
          <w:rFonts w:ascii="Arial" w:hAnsi="Arial" w:cs="Arial"/>
          <w:lang w:eastAsia="en-US"/>
        </w:rPr>
        <w:t xml:space="preserve"> </w:t>
      </w:r>
      <w:r w:rsidR="00FF6728" w:rsidRPr="006F1D04">
        <w:rPr>
          <w:rFonts w:ascii="Arial" w:hAnsi="Arial" w:cs="Arial"/>
          <w:lang w:eastAsia="en-US"/>
        </w:rPr>
        <w:t>s</w:t>
      </w:r>
      <w:r w:rsidR="006A0EEF" w:rsidRPr="006F1D04">
        <w:rPr>
          <w:rFonts w:ascii="Arial" w:hAnsi="Arial" w:cs="Arial"/>
          <w:lang w:eastAsia="en-US"/>
        </w:rPr>
        <w:t xml:space="preserve">tate and </w:t>
      </w:r>
      <w:r w:rsidR="00FF6728" w:rsidRPr="006F1D04">
        <w:rPr>
          <w:rFonts w:ascii="Arial" w:hAnsi="Arial" w:cs="Arial"/>
          <w:lang w:eastAsia="en-US"/>
        </w:rPr>
        <w:t>t</w:t>
      </w:r>
      <w:r w:rsidR="006A0EEF" w:rsidRPr="006F1D04">
        <w:rPr>
          <w:rFonts w:ascii="Arial" w:hAnsi="Arial" w:cs="Arial"/>
          <w:lang w:eastAsia="en-US"/>
        </w:rPr>
        <w:t xml:space="preserve">erritory level. </w:t>
      </w:r>
      <w:r w:rsidR="00C248EA" w:rsidRPr="006F1D04">
        <w:rPr>
          <w:rFonts w:ascii="Arial" w:hAnsi="Arial" w:cs="Arial"/>
          <w:lang w:eastAsia="en-US"/>
        </w:rPr>
        <w:t xml:space="preserve">The </w:t>
      </w:r>
      <w:r w:rsidR="00EF24F8" w:rsidRPr="006F1D04">
        <w:rPr>
          <w:rFonts w:ascii="Arial" w:hAnsi="Arial" w:cs="Arial"/>
          <w:lang w:eastAsia="en-US"/>
        </w:rPr>
        <w:t>AAQ NEPM</w:t>
      </w:r>
      <w:r w:rsidR="00C248EA" w:rsidRPr="006F1D04">
        <w:rPr>
          <w:rFonts w:ascii="Arial" w:hAnsi="Arial" w:cs="Arial"/>
          <w:lang w:eastAsia="en-US"/>
        </w:rPr>
        <w:t xml:space="preserve"> was</w:t>
      </w:r>
      <w:r w:rsidR="006A0EEF" w:rsidRPr="006F1D04">
        <w:rPr>
          <w:rFonts w:ascii="Arial" w:hAnsi="Arial" w:cs="Arial"/>
          <w:lang w:eastAsia="en-US"/>
        </w:rPr>
        <w:t xml:space="preserve"> developed to overcome the inherent difficulties of </w:t>
      </w:r>
      <w:r w:rsidR="00C248EA" w:rsidRPr="006F1D04">
        <w:rPr>
          <w:rFonts w:ascii="Arial" w:hAnsi="Arial" w:cs="Arial"/>
          <w:lang w:eastAsia="en-US"/>
        </w:rPr>
        <w:t xml:space="preserve">the </w:t>
      </w:r>
      <w:r w:rsidR="006A0EEF" w:rsidRPr="006F1D04">
        <w:rPr>
          <w:rFonts w:ascii="Arial" w:hAnsi="Arial" w:cs="Arial"/>
          <w:lang w:eastAsia="en-US"/>
        </w:rPr>
        <w:t>Commonwealth legislation on air quality. This logic still applies, and therefore Commonwealth legisl</w:t>
      </w:r>
      <w:r w:rsidR="0071149C" w:rsidRPr="006F1D04">
        <w:rPr>
          <w:rFonts w:ascii="Arial" w:hAnsi="Arial" w:cs="Arial"/>
          <w:lang w:eastAsia="en-US"/>
        </w:rPr>
        <w:t>ation is not co</w:t>
      </w:r>
      <w:r w:rsidR="0029278F" w:rsidRPr="006F1D04">
        <w:rPr>
          <w:rFonts w:ascii="Arial" w:hAnsi="Arial" w:cs="Arial"/>
          <w:lang w:eastAsia="en-US"/>
        </w:rPr>
        <w:t>nsidered to be a feasible approach</w:t>
      </w:r>
      <w:r w:rsidR="0071149C" w:rsidRPr="006F1D04">
        <w:rPr>
          <w:rFonts w:ascii="Arial" w:hAnsi="Arial" w:cs="Arial"/>
          <w:lang w:eastAsia="en-US"/>
        </w:rPr>
        <w:t xml:space="preserve"> and has not been included in the impact analysis</w:t>
      </w:r>
      <w:r w:rsidR="006A0EEF" w:rsidRPr="006F1D04">
        <w:rPr>
          <w:rFonts w:ascii="Arial" w:hAnsi="Arial" w:cs="Arial"/>
          <w:lang w:eastAsia="en-US"/>
        </w:rPr>
        <w:t>.</w:t>
      </w:r>
    </w:p>
    <w:p w:rsidR="00393F9C" w:rsidRPr="006F1D04" w:rsidRDefault="00393F9C" w:rsidP="000F787E">
      <w:pPr>
        <w:pStyle w:val="Heading3"/>
        <w:rPr>
          <w:rFonts w:ascii="Arial" w:hAnsi="Arial"/>
        </w:rPr>
      </w:pPr>
      <w:bookmarkStart w:id="123" w:name="_Toc394011124"/>
      <w:r w:rsidRPr="006F1D04">
        <w:rPr>
          <w:rFonts w:ascii="Arial" w:hAnsi="Arial"/>
        </w:rPr>
        <w:t>Voluntary guidelines</w:t>
      </w:r>
      <w:bookmarkEnd w:id="123"/>
    </w:p>
    <w:p w:rsidR="00870F46" w:rsidRPr="006F1D04" w:rsidRDefault="00870F46" w:rsidP="00CE2B02">
      <w:pPr>
        <w:spacing w:after="300"/>
        <w:rPr>
          <w:rFonts w:ascii="Arial" w:hAnsi="Arial" w:cs="Arial"/>
          <w:lang w:eastAsia="en-US"/>
        </w:rPr>
      </w:pPr>
      <w:r w:rsidRPr="006F1D04">
        <w:rPr>
          <w:rFonts w:ascii="Arial" w:hAnsi="Arial" w:cs="Arial"/>
          <w:lang w:eastAsia="en-US"/>
        </w:rPr>
        <w:t xml:space="preserve">Prior to the introduction of the </w:t>
      </w:r>
      <w:r w:rsidR="00EF24F8" w:rsidRPr="006F1D04">
        <w:rPr>
          <w:rFonts w:ascii="Arial" w:hAnsi="Arial" w:cs="Arial"/>
          <w:lang w:eastAsia="en-US"/>
        </w:rPr>
        <w:t>AAQ NEPM</w:t>
      </w:r>
      <w:r w:rsidRPr="006F1D04">
        <w:rPr>
          <w:rFonts w:ascii="Arial" w:hAnsi="Arial" w:cs="Arial"/>
          <w:lang w:eastAsia="en-US"/>
        </w:rPr>
        <w:t xml:space="preserve">, </w:t>
      </w:r>
      <w:r w:rsidR="00F315A7" w:rsidRPr="006F1D04">
        <w:rPr>
          <w:rFonts w:ascii="Arial" w:hAnsi="Arial" w:cs="Arial"/>
          <w:lang w:eastAsia="en-US"/>
        </w:rPr>
        <w:t xml:space="preserve">voluntary </w:t>
      </w:r>
      <w:r w:rsidRPr="006F1D04">
        <w:rPr>
          <w:rFonts w:ascii="Arial" w:hAnsi="Arial" w:cs="Arial"/>
          <w:lang w:eastAsia="en-US"/>
        </w:rPr>
        <w:t>guidelines on air quality in Australia were available from the National Health and Medical Research Council (NHMRC)</w:t>
      </w:r>
      <w:r w:rsidR="00E818EC" w:rsidRPr="006F1D04">
        <w:rPr>
          <w:rFonts w:ascii="Arial" w:hAnsi="Arial" w:cs="Arial"/>
          <w:lang w:eastAsia="en-US"/>
        </w:rPr>
        <w:t xml:space="preserve"> and the Australian and New Zealand Environment and Conservation Council (ANZECC)</w:t>
      </w:r>
      <w:r w:rsidRPr="006F1D04">
        <w:rPr>
          <w:rFonts w:ascii="Arial" w:hAnsi="Arial" w:cs="Arial"/>
          <w:lang w:eastAsia="en-US"/>
        </w:rPr>
        <w:t>.</w:t>
      </w:r>
      <w:r w:rsidR="008765CE" w:rsidRPr="006F1D04">
        <w:rPr>
          <w:rFonts w:ascii="Arial" w:hAnsi="Arial" w:cs="Arial"/>
          <w:lang w:eastAsia="en-US"/>
        </w:rPr>
        <w:t xml:space="preserve"> However, there were a number of different approaches in the application of the NHMRC guidelines between jurisdictions. This led to inconsistency in monitoring and reporting</w:t>
      </w:r>
      <w:r w:rsidR="003158A2" w:rsidRPr="006F1D04">
        <w:rPr>
          <w:rFonts w:ascii="Arial" w:hAnsi="Arial" w:cs="Arial"/>
          <w:lang w:eastAsia="en-US"/>
        </w:rPr>
        <w:t xml:space="preserve"> throughout Australia</w:t>
      </w:r>
      <w:r w:rsidR="008765CE" w:rsidRPr="006F1D04">
        <w:rPr>
          <w:rFonts w:ascii="Arial" w:hAnsi="Arial" w:cs="Arial"/>
          <w:lang w:eastAsia="en-US"/>
        </w:rPr>
        <w:t xml:space="preserve">, making cross-jurisdictional comparisons difficult and possibly creating compliance difficulties for industries with operations in more than one jurisdiction </w:t>
      </w:r>
      <w:r w:rsidR="008765CE" w:rsidRPr="006F1D04">
        <w:rPr>
          <w:rFonts w:ascii="Arial" w:hAnsi="Arial" w:cs="Arial"/>
          <w:b/>
          <w:lang w:eastAsia="en-US"/>
        </w:rPr>
        <w:t>(NEPC 1998, 2002)</w:t>
      </w:r>
      <w:r w:rsidR="008765CE" w:rsidRPr="006F1D04">
        <w:rPr>
          <w:rFonts w:ascii="Arial" w:hAnsi="Arial" w:cs="Arial"/>
          <w:lang w:eastAsia="en-US"/>
        </w:rPr>
        <w:t>. Such factors significantly reduced the level of certainty with which voluntary guidelines afford</w:t>
      </w:r>
      <w:r w:rsidR="00D85D22" w:rsidRPr="006F1D04">
        <w:rPr>
          <w:rFonts w:ascii="Arial" w:hAnsi="Arial" w:cs="Arial"/>
          <w:lang w:eastAsia="en-US"/>
        </w:rPr>
        <w:t>ed</w:t>
      </w:r>
      <w:r w:rsidR="008765CE" w:rsidRPr="006F1D04">
        <w:rPr>
          <w:rFonts w:ascii="Arial" w:hAnsi="Arial" w:cs="Arial"/>
          <w:lang w:eastAsia="en-US"/>
        </w:rPr>
        <w:t xml:space="preserve"> environmental protection. It is reasonable to assume that any </w:t>
      </w:r>
      <w:r w:rsidR="00C248EA" w:rsidRPr="006F1D04">
        <w:rPr>
          <w:rFonts w:ascii="Arial" w:hAnsi="Arial" w:cs="Arial"/>
          <w:lang w:eastAsia="en-US"/>
        </w:rPr>
        <w:t>new</w:t>
      </w:r>
      <w:r w:rsidR="008765CE" w:rsidRPr="006F1D04">
        <w:rPr>
          <w:rFonts w:ascii="Arial" w:hAnsi="Arial" w:cs="Arial"/>
          <w:lang w:eastAsia="en-US"/>
        </w:rPr>
        <w:t xml:space="preserve"> voluntary guidelines of this type would have similar problems. These factors would make it difficult to achieve the desired environmental outcomes at the national level.</w:t>
      </w:r>
      <w:r w:rsidR="00F315A7" w:rsidRPr="006F1D04">
        <w:rPr>
          <w:rFonts w:ascii="Arial" w:hAnsi="Arial" w:cs="Arial"/>
          <w:lang w:eastAsia="en-US"/>
        </w:rPr>
        <w:t xml:space="preserve"> </w:t>
      </w:r>
      <w:r w:rsidR="005951D1" w:rsidRPr="006F1D04">
        <w:rPr>
          <w:rFonts w:ascii="Arial" w:hAnsi="Arial" w:cs="Arial"/>
          <w:lang w:eastAsia="en-US"/>
        </w:rPr>
        <w:t>T</w:t>
      </w:r>
      <w:r w:rsidR="00F315A7" w:rsidRPr="006F1D04">
        <w:rPr>
          <w:rFonts w:ascii="Arial" w:hAnsi="Arial" w:cs="Arial"/>
          <w:lang w:eastAsia="en-US"/>
        </w:rPr>
        <w:t>he use of voluntary guidelines would represent a retrograde step in air quality management in Australia.</w:t>
      </w:r>
      <w:r w:rsidR="0071149C" w:rsidRPr="006F1D04">
        <w:rPr>
          <w:rFonts w:ascii="Arial" w:hAnsi="Arial" w:cs="Arial"/>
          <w:lang w:eastAsia="en-US"/>
        </w:rPr>
        <w:t xml:space="preserve"> Therefore, voluntary guidelines are n</w:t>
      </w:r>
      <w:r w:rsidR="0029278F" w:rsidRPr="006F1D04">
        <w:rPr>
          <w:rFonts w:ascii="Arial" w:hAnsi="Arial" w:cs="Arial"/>
          <w:lang w:eastAsia="en-US"/>
        </w:rPr>
        <w:t>ot considered a feasible approach</w:t>
      </w:r>
      <w:r w:rsidR="0071149C" w:rsidRPr="006F1D04">
        <w:rPr>
          <w:rFonts w:ascii="Arial" w:hAnsi="Arial" w:cs="Arial"/>
          <w:lang w:eastAsia="en-US"/>
        </w:rPr>
        <w:t xml:space="preserve"> and have not been included in the impact analysis.</w:t>
      </w:r>
    </w:p>
    <w:p w:rsidR="00D46562" w:rsidRPr="006F1D04" w:rsidRDefault="00D46562" w:rsidP="000F787E">
      <w:pPr>
        <w:pStyle w:val="Heading3"/>
        <w:rPr>
          <w:rFonts w:ascii="Arial" w:hAnsi="Arial"/>
          <w:lang w:eastAsia="en-US"/>
        </w:rPr>
      </w:pPr>
      <w:bookmarkStart w:id="124" w:name="_Toc394011125"/>
      <w:r w:rsidRPr="006F1D04">
        <w:rPr>
          <w:rFonts w:ascii="Arial" w:hAnsi="Arial"/>
          <w:lang w:eastAsia="en-US"/>
        </w:rPr>
        <w:t>Inter-governmental agreement or memorandum of understanding</w:t>
      </w:r>
      <w:bookmarkEnd w:id="124"/>
    </w:p>
    <w:p w:rsidR="009002E9" w:rsidRPr="006F1D04" w:rsidRDefault="009B4240" w:rsidP="00CE2B02">
      <w:pPr>
        <w:spacing w:after="300"/>
        <w:rPr>
          <w:rFonts w:ascii="Arial" w:hAnsi="Arial" w:cs="Arial"/>
          <w:lang w:eastAsia="en-US"/>
        </w:rPr>
      </w:pPr>
      <w:r w:rsidRPr="006F1D04">
        <w:rPr>
          <w:rFonts w:ascii="Arial" w:hAnsi="Arial" w:cs="Arial"/>
          <w:lang w:eastAsia="en-US"/>
        </w:rPr>
        <w:t xml:space="preserve">Inter-governmental agreements were </w:t>
      </w:r>
      <w:r w:rsidR="00C248EA" w:rsidRPr="006F1D04">
        <w:rPr>
          <w:rFonts w:ascii="Arial" w:hAnsi="Arial" w:cs="Arial"/>
          <w:lang w:eastAsia="en-US"/>
        </w:rPr>
        <w:t xml:space="preserve">also </w:t>
      </w:r>
      <w:r w:rsidRPr="006F1D04">
        <w:rPr>
          <w:rFonts w:ascii="Arial" w:hAnsi="Arial" w:cs="Arial"/>
          <w:lang w:eastAsia="en-US"/>
        </w:rPr>
        <w:t>considered as part of the impact assessment for the variation to include PM</w:t>
      </w:r>
      <w:r w:rsidRPr="006F1D04">
        <w:rPr>
          <w:rFonts w:ascii="Arial" w:hAnsi="Arial" w:cs="Arial"/>
          <w:vertAlign w:val="subscript"/>
          <w:lang w:eastAsia="en-US"/>
        </w:rPr>
        <w:t>2.5</w:t>
      </w:r>
      <w:r w:rsidRPr="006F1D04">
        <w:rPr>
          <w:rFonts w:ascii="Arial" w:hAnsi="Arial" w:cs="Arial"/>
          <w:lang w:eastAsia="en-US"/>
        </w:rPr>
        <w:t xml:space="preserve"> in the </w:t>
      </w:r>
      <w:r w:rsidR="00EF24F8" w:rsidRPr="006F1D04">
        <w:rPr>
          <w:rFonts w:ascii="Arial" w:hAnsi="Arial" w:cs="Arial"/>
          <w:lang w:eastAsia="en-US"/>
        </w:rPr>
        <w:t>AAQ NEPM</w:t>
      </w:r>
      <w:r w:rsidRPr="006F1D04">
        <w:rPr>
          <w:rFonts w:ascii="Arial" w:hAnsi="Arial" w:cs="Arial"/>
          <w:lang w:eastAsia="en-US"/>
        </w:rPr>
        <w:t xml:space="preserve"> </w:t>
      </w:r>
      <w:r w:rsidRPr="006F1D04">
        <w:rPr>
          <w:rFonts w:ascii="Arial" w:hAnsi="Arial" w:cs="Arial"/>
          <w:b/>
          <w:lang w:eastAsia="en-US"/>
        </w:rPr>
        <w:t>(NEPC 2002)</w:t>
      </w:r>
      <w:r w:rsidRPr="006F1D04">
        <w:rPr>
          <w:rFonts w:ascii="Arial" w:hAnsi="Arial" w:cs="Arial"/>
          <w:lang w:eastAsia="en-US"/>
        </w:rPr>
        <w:t>. However, it was concluded that this approach would not necessarily provide a sufficient degree</w:t>
      </w:r>
      <w:r w:rsidR="00C248EA" w:rsidRPr="006F1D04">
        <w:rPr>
          <w:rFonts w:ascii="Arial" w:hAnsi="Arial" w:cs="Arial"/>
          <w:lang w:eastAsia="en-US"/>
        </w:rPr>
        <w:t xml:space="preserve"> of uniformity in the standard-</w:t>
      </w:r>
      <w:r w:rsidRPr="006F1D04">
        <w:rPr>
          <w:rFonts w:ascii="Arial" w:hAnsi="Arial" w:cs="Arial"/>
          <w:lang w:eastAsia="en-US"/>
        </w:rPr>
        <w:t>setting process</w:t>
      </w:r>
      <w:r w:rsidR="00C248EA" w:rsidRPr="006F1D04">
        <w:rPr>
          <w:rFonts w:ascii="Arial" w:hAnsi="Arial" w:cs="Arial"/>
          <w:lang w:eastAsia="en-US"/>
        </w:rPr>
        <w:t>,</w:t>
      </w:r>
      <w:r w:rsidRPr="006F1D04">
        <w:rPr>
          <w:rFonts w:ascii="Arial" w:hAnsi="Arial" w:cs="Arial"/>
          <w:lang w:eastAsia="en-US"/>
        </w:rPr>
        <w:t xml:space="preserve"> or </w:t>
      </w:r>
      <w:r w:rsidR="00C248EA" w:rsidRPr="006F1D04">
        <w:rPr>
          <w:rFonts w:ascii="Arial" w:hAnsi="Arial" w:cs="Arial"/>
          <w:lang w:eastAsia="en-US"/>
        </w:rPr>
        <w:t xml:space="preserve">in </w:t>
      </w:r>
      <w:r w:rsidRPr="006F1D04">
        <w:rPr>
          <w:rFonts w:ascii="Arial" w:hAnsi="Arial" w:cs="Arial"/>
          <w:lang w:eastAsia="en-US"/>
        </w:rPr>
        <w:t>the monitoring and reporting requirements necessary to make the standards meaningful.</w:t>
      </w:r>
      <w:r w:rsidR="009002E9" w:rsidRPr="006F1D04">
        <w:rPr>
          <w:rFonts w:ascii="Arial" w:hAnsi="Arial" w:cs="Arial"/>
          <w:lang w:eastAsia="en-US"/>
        </w:rPr>
        <w:t xml:space="preserve"> This approach offers no obvious advantage over the </w:t>
      </w:r>
      <w:r w:rsidR="00EF24F8" w:rsidRPr="006F1D04">
        <w:rPr>
          <w:rFonts w:ascii="Arial" w:hAnsi="Arial" w:cs="Arial"/>
          <w:lang w:eastAsia="en-US"/>
        </w:rPr>
        <w:t>AAQ NEPM</w:t>
      </w:r>
      <w:r w:rsidR="009002E9" w:rsidRPr="006F1D04">
        <w:rPr>
          <w:rFonts w:ascii="Arial" w:hAnsi="Arial" w:cs="Arial"/>
          <w:lang w:eastAsia="en-US"/>
        </w:rPr>
        <w:t xml:space="preserve"> variation </w:t>
      </w:r>
      <w:r w:rsidR="00D85D22" w:rsidRPr="006F1D04">
        <w:rPr>
          <w:rFonts w:ascii="Arial" w:hAnsi="Arial" w:cs="Arial"/>
          <w:lang w:eastAsia="en-US"/>
        </w:rPr>
        <w:t>approach</w:t>
      </w:r>
      <w:r w:rsidR="00C248EA" w:rsidRPr="006F1D04">
        <w:rPr>
          <w:rFonts w:ascii="Arial" w:hAnsi="Arial" w:cs="Arial"/>
          <w:lang w:eastAsia="en-US"/>
        </w:rPr>
        <w:t>;</w:t>
      </w:r>
      <w:r w:rsidR="00D85D22" w:rsidRPr="006F1D04">
        <w:rPr>
          <w:rFonts w:ascii="Arial" w:hAnsi="Arial" w:cs="Arial"/>
          <w:lang w:eastAsia="en-US"/>
        </w:rPr>
        <w:t xml:space="preserve"> </w:t>
      </w:r>
      <w:r w:rsidR="009002E9" w:rsidRPr="006F1D04">
        <w:rPr>
          <w:rFonts w:ascii="Arial" w:hAnsi="Arial" w:cs="Arial"/>
          <w:lang w:eastAsia="en-US"/>
        </w:rPr>
        <w:t>a similar process would be required</w:t>
      </w:r>
      <w:r w:rsidR="00C248EA" w:rsidRPr="006F1D04">
        <w:rPr>
          <w:rFonts w:ascii="Arial" w:hAnsi="Arial" w:cs="Arial"/>
          <w:lang w:eastAsia="en-US"/>
        </w:rPr>
        <w:t>,</w:t>
      </w:r>
      <w:r w:rsidR="009002E9" w:rsidRPr="006F1D04">
        <w:rPr>
          <w:rFonts w:ascii="Arial" w:hAnsi="Arial" w:cs="Arial"/>
          <w:lang w:eastAsia="en-US"/>
        </w:rPr>
        <w:t xml:space="preserve"> but without the likelihood of achieving uniformity in practice.</w:t>
      </w:r>
      <w:r w:rsidR="0071149C" w:rsidRPr="006F1D04">
        <w:rPr>
          <w:rFonts w:ascii="Arial" w:hAnsi="Arial" w:cs="Arial"/>
          <w:lang w:eastAsia="en-US"/>
        </w:rPr>
        <w:t xml:space="preserve"> Therefore, this approach is not considered</w:t>
      </w:r>
      <w:r w:rsidR="0029278F" w:rsidRPr="006F1D04">
        <w:rPr>
          <w:rFonts w:ascii="Arial" w:hAnsi="Arial" w:cs="Arial"/>
          <w:lang w:eastAsia="en-US"/>
        </w:rPr>
        <w:t xml:space="preserve"> feasible </w:t>
      </w:r>
      <w:r w:rsidR="0071149C" w:rsidRPr="006F1D04">
        <w:rPr>
          <w:rFonts w:ascii="Arial" w:hAnsi="Arial" w:cs="Arial"/>
          <w:lang w:eastAsia="en-US"/>
        </w:rPr>
        <w:t>and has not been included in the impact analysis.</w:t>
      </w:r>
    </w:p>
    <w:p w:rsidR="00235863" w:rsidRPr="006F1D04" w:rsidRDefault="00235863" w:rsidP="00235863">
      <w:pPr>
        <w:pStyle w:val="Heading3"/>
        <w:rPr>
          <w:rFonts w:ascii="Arial" w:hAnsi="Arial"/>
        </w:rPr>
      </w:pPr>
      <w:bookmarkStart w:id="125" w:name="_Toc394011126"/>
      <w:r w:rsidRPr="006F1D04">
        <w:rPr>
          <w:rFonts w:ascii="Arial" w:hAnsi="Arial"/>
        </w:rPr>
        <w:t>No change to the current framework</w:t>
      </w:r>
      <w:bookmarkEnd w:id="125"/>
    </w:p>
    <w:p w:rsidR="0068403A" w:rsidRPr="006F1D04" w:rsidRDefault="0068403A" w:rsidP="0068403A">
      <w:pPr>
        <w:rPr>
          <w:rFonts w:ascii="Arial" w:hAnsi="Arial" w:cs="Arial"/>
        </w:rPr>
      </w:pPr>
      <w:r w:rsidRPr="006F1D04">
        <w:rPr>
          <w:rFonts w:ascii="Arial" w:hAnsi="Arial" w:cs="Arial"/>
          <w:lang w:eastAsia="en-US"/>
        </w:rPr>
        <w:t>For the BAU approach to be considered it is important to understand how successful the legislation has been to date, and the extent to which it is likely to be successful in the future.</w:t>
      </w:r>
    </w:p>
    <w:p w:rsidR="0068403A" w:rsidRPr="006F1D04" w:rsidRDefault="0068403A" w:rsidP="0068403A">
      <w:pPr>
        <w:rPr>
          <w:rFonts w:ascii="Arial" w:hAnsi="Arial" w:cs="Arial"/>
          <w:lang w:eastAsia="en-US"/>
        </w:rPr>
      </w:pPr>
      <w:r w:rsidRPr="006F1D04">
        <w:rPr>
          <w:rFonts w:ascii="Arial" w:hAnsi="Arial" w:cs="Arial"/>
          <w:lang w:eastAsia="en-US"/>
        </w:rPr>
        <w:t>The AAQ NEPM represents a harmonised national framework for the management of ambient air quality. The air quality standards and goals in the AAQ NEPM are intended to achieve equity, in that they provide an equivalent minimum level of protection from the adverse health effects of air pollutants. The AAQ NEPM has successfully imposed a responsibility on the jurisdictions to monitor air quality and to report progress towards meeting the air quality standards and goals. It could also be argued that it has stimulated significant advances in air quality management in Australia, and that there has been a general downward trend in PM</w:t>
      </w:r>
      <w:r w:rsidRPr="006F1D04">
        <w:rPr>
          <w:rFonts w:ascii="Arial" w:hAnsi="Arial" w:cs="Arial"/>
          <w:vertAlign w:val="subscript"/>
          <w:lang w:eastAsia="en-US"/>
        </w:rPr>
        <w:t>10</w:t>
      </w:r>
      <w:r w:rsidRPr="006F1D04">
        <w:rPr>
          <w:rFonts w:ascii="Arial" w:hAnsi="Arial" w:cs="Arial"/>
          <w:lang w:eastAsia="en-US"/>
        </w:rPr>
        <w:t xml:space="preserve"> and PM</w:t>
      </w:r>
      <w:r w:rsidRPr="006F1D04">
        <w:rPr>
          <w:rFonts w:ascii="Arial" w:hAnsi="Arial" w:cs="Arial"/>
          <w:vertAlign w:val="subscript"/>
          <w:lang w:eastAsia="en-US"/>
        </w:rPr>
        <w:t>2.5</w:t>
      </w:r>
      <w:r w:rsidRPr="006F1D04">
        <w:rPr>
          <w:rFonts w:ascii="Arial" w:hAnsi="Arial" w:cs="Arial"/>
          <w:lang w:eastAsia="en-US"/>
        </w:rPr>
        <w:t xml:space="preserve"> concentrations in recent years. However, there continue to be exceedances of the PM standards and, given the projected increases in emissions, concentrations may well increase overall in the future.</w:t>
      </w:r>
    </w:p>
    <w:p w:rsidR="0068403A" w:rsidRPr="006F1D04" w:rsidRDefault="0068403A" w:rsidP="0068403A">
      <w:pPr>
        <w:rPr>
          <w:rFonts w:ascii="Arial" w:hAnsi="Arial" w:cs="Arial"/>
          <w:lang w:eastAsia="en-US"/>
        </w:rPr>
      </w:pPr>
      <w:r w:rsidRPr="006F1D04">
        <w:rPr>
          <w:rFonts w:ascii="Arial" w:hAnsi="Arial" w:cs="Arial"/>
          <w:lang w:eastAsia="en-US"/>
        </w:rPr>
        <w:t>Should the AAQ NEPM continue in its current form, this framework will continue. The current standard and goal for 24-hour PM</w:t>
      </w:r>
      <w:r w:rsidRPr="006F1D04">
        <w:rPr>
          <w:rFonts w:ascii="Arial" w:hAnsi="Arial" w:cs="Arial"/>
          <w:vertAlign w:val="subscript"/>
          <w:lang w:eastAsia="en-US"/>
        </w:rPr>
        <w:t>10</w:t>
      </w:r>
      <w:r w:rsidRPr="006F1D04">
        <w:rPr>
          <w:rFonts w:ascii="Arial" w:hAnsi="Arial" w:cs="Arial"/>
          <w:lang w:eastAsia="en-US"/>
        </w:rPr>
        <w:t xml:space="preserve"> will remain in place. However, there will continue to be only advisory standards for PM</w:t>
      </w:r>
      <w:r w:rsidRPr="006F1D04">
        <w:rPr>
          <w:rFonts w:ascii="Arial" w:hAnsi="Arial" w:cs="Arial"/>
          <w:vertAlign w:val="subscript"/>
          <w:lang w:eastAsia="en-US"/>
        </w:rPr>
        <w:t>2.5</w:t>
      </w:r>
      <w:r w:rsidRPr="006F1D04">
        <w:rPr>
          <w:rFonts w:ascii="Arial" w:hAnsi="Arial" w:cs="Arial"/>
          <w:lang w:eastAsia="en-US"/>
        </w:rPr>
        <w:t xml:space="preserve"> and, importantly, there will be no annual mean standard for PM</w:t>
      </w:r>
      <w:r w:rsidRPr="006F1D04">
        <w:rPr>
          <w:rFonts w:ascii="Arial" w:hAnsi="Arial" w:cs="Arial"/>
          <w:vertAlign w:val="subscript"/>
          <w:lang w:eastAsia="en-US"/>
        </w:rPr>
        <w:t>10</w:t>
      </w:r>
      <w:r w:rsidRPr="006F1D04">
        <w:rPr>
          <w:rFonts w:ascii="Arial" w:hAnsi="Arial" w:cs="Arial"/>
          <w:lang w:eastAsia="en-US"/>
        </w:rPr>
        <w:t>. This suggests that not changing the legislation will lead to inadequate protection against the adverse long-term health effects of coarse particles, which are known to be of considerable importance in Australia. There will be no exposure-reduction framework.</w:t>
      </w:r>
    </w:p>
    <w:p w:rsidR="0068403A" w:rsidRPr="006F1D04" w:rsidRDefault="0068403A" w:rsidP="0068403A">
      <w:pPr>
        <w:spacing w:after="300"/>
        <w:rPr>
          <w:rFonts w:ascii="Arial" w:hAnsi="Arial" w:cs="Arial"/>
          <w:lang w:eastAsia="en-US"/>
        </w:rPr>
      </w:pPr>
      <w:r w:rsidRPr="006F1D04">
        <w:rPr>
          <w:rFonts w:ascii="Arial" w:hAnsi="Arial" w:cs="Arial"/>
          <w:lang w:eastAsia="en-US"/>
        </w:rPr>
        <w:t>The existing AAQ NEPM has been an important catalyst for change in air quality management in Australia; however, to leave it in its current form would be to risk losing some of the progress made and miss the opportunity to prepare in good time for the projected increases in emissions.</w:t>
      </w:r>
    </w:p>
    <w:p w:rsidR="00632F50" w:rsidRPr="006F1D04" w:rsidRDefault="00D85D22" w:rsidP="00774E7F">
      <w:pPr>
        <w:pStyle w:val="Heading2"/>
        <w:pageBreakBefore/>
        <w:rPr>
          <w:rFonts w:ascii="Arial" w:hAnsi="Arial"/>
          <w:lang w:eastAsia="en-US"/>
        </w:rPr>
      </w:pPr>
      <w:bookmarkStart w:id="126" w:name="_Toc374221056"/>
      <w:bookmarkStart w:id="127" w:name="_Toc374221330"/>
      <w:bookmarkStart w:id="128" w:name="_Toc374309766"/>
      <w:bookmarkStart w:id="129" w:name="_Toc374221059"/>
      <w:bookmarkStart w:id="130" w:name="_Toc374221333"/>
      <w:bookmarkStart w:id="131" w:name="_Toc374309769"/>
      <w:bookmarkStart w:id="132" w:name="_Toc374221060"/>
      <w:bookmarkStart w:id="133" w:name="_Toc374221334"/>
      <w:bookmarkStart w:id="134" w:name="_Toc374309770"/>
      <w:bookmarkStart w:id="135" w:name="_Toc394011127"/>
      <w:bookmarkEnd w:id="126"/>
      <w:bookmarkEnd w:id="127"/>
      <w:bookmarkEnd w:id="128"/>
      <w:bookmarkEnd w:id="129"/>
      <w:bookmarkEnd w:id="130"/>
      <w:bookmarkEnd w:id="131"/>
      <w:bookmarkEnd w:id="132"/>
      <w:bookmarkEnd w:id="133"/>
      <w:bookmarkEnd w:id="134"/>
      <w:r w:rsidRPr="006F1D04">
        <w:rPr>
          <w:rFonts w:ascii="Arial" w:hAnsi="Arial"/>
        </w:rPr>
        <w:lastRenderedPageBreak/>
        <w:t>S</w:t>
      </w:r>
      <w:r w:rsidR="00632F50" w:rsidRPr="006F1D04">
        <w:rPr>
          <w:rFonts w:ascii="Arial" w:hAnsi="Arial"/>
        </w:rPr>
        <w:t>tatus of air quality standards</w:t>
      </w:r>
      <w:bookmarkEnd w:id="135"/>
    </w:p>
    <w:p w:rsidR="00632F50" w:rsidRPr="006F1D04" w:rsidRDefault="00D85D22" w:rsidP="00CE2B02">
      <w:pPr>
        <w:pStyle w:val="BulletArrows"/>
        <w:spacing w:after="360"/>
        <w:rPr>
          <w:rFonts w:ascii="Arial" w:hAnsi="Arial"/>
        </w:rPr>
      </w:pPr>
      <w:r w:rsidRPr="006F1D04">
        <w:rPr>
          <w:rFonts w:ascii="Arial" w:hAnsi="Arial"/>
        </w:rPr>
        <w:t>Assuming that a</w:t>
      </w:r>
      <w:r w:rsidR="0076512C" w:rsidRPr="006F1D04">
        <w:rPr>
          <w:rFonts w:ascii="Arial" w:hAnsi="Arial"/>
        </w:rPr>
        <w:t xml:space="preserve">n </w:t>
      </w:r>
      <w:r w:rsidR="00EF24F8" w:rsidRPr="006F1D04">
        <w:rPr>
          <w:rFonts w:ascii="Arial" w:hAnsi="Arial"/>
        </w:rPr>
        <w:t>AAQ NEPM</w:t>
      </w:r>
      <w:r w:rsidRPr="006F1D04">
        <w:rPr>
          <w:rFonts w:ascii="Arial" w:hAnsi="Arial"/>
        </w:rPr>
        <w:t xml:space="preserve"> variation is going to be the </w:t>
      </w:r>
      <w:r w:rsidR="001B3AA3" w:rsidRPr="006F1D04">
        <w:rPr>
          <w:rFonts w:ascii="Arial" w:hAnsi="Arial"/>
        </w:rPr>
        <w:t>preferred</w:t>
      </w:r>
      <w:r w:rsidRPr="006F1D04">
        <w:rPr>
          <w:rFonts w:ascii="Arial" w:hAnsi="Arial"/>
        </w:rPr>
        <w:t xml:space="preserve"> approach, t</w:t>
      </w:r>
      <w:r w:rsidR="003A247A" w:rsidRPr="006F1D04">
        <w:rPr>
          <w:rFonts w:ascii="Arial" w:hAnsi="Arial"/>
        </w:rPr>
        <w:t>he only choice to b</w:t>
      </w:r>
      <w:r w:rsidRPr="006F1D04">
        <w:rPr>
          <w:rFonts w:ascii="Arial" w:hAnsi="Arial"/>
        </w:rPr>
        <w:t xml:space="preserve">e made here is whether the PM </w:t>
      </w:r>
      <w:r w:rsidR="003A247A" w:rsidRPr="006F1D04">
        <w:rPr>
          <w:rFonts w:ascii="Arial" w:hAnsi="Arial"/>
        </w:rPr>
        <w:t>standards</w:t>
      </w:r>
      <w:r w:rsidR="00720C7B" w:rsidRPr="006F1D04">
        <w:rPr>
          <w:rFonts w:ascii="Arial" w:hAnsi="Arial"/>
        </w:rPr>
        <w:t xml:space="preserve"> should be of an </w:t>
      </w:r>
      <w:r w:rsidR="003A247A" w:rsidRPr="006F1D04">
        <w:rPr>
          <w:rFonts w:ascii="Arial" w:hAnsi="Arial"/>
        </w:rPr>
        <w:t>advisory</w:t>
      </w:r>
      <w:r w:rsidR="00720C7B" w:rsidRPr="006F1D04">
        <w:rPr>
          <w:rFonts w:ascii="Arial" w:hAnsi="Arial"/>
        </w:rPr>
        <w:t xml:space="preserve"> nature or </w:t>
      </w:r>
      <w:r w:rsidR="00087181" w:rsidRPr="006F1D04">
        <w:rPr>
          <w:rFonts w:ascii="Arial" w:hAnsi="Arial"/>
        </w:rPr>
        <w:t xml:space="preserve">should be </w:t>
      </w:r>
      <w:r w:rsidR="00720C7B" w:rsidRPr="006F1D04">
        <w:rPr>
          <w:rFonts w:ascii="Arial" w:hAnsi="Arial"/>
        </w:rPr>
        <w:t>formally adopted</w:t>
      </w:r>
      <w:r w:rsidR="003A247A" w:rsidRPr="006F1D04">
        <w:rPr>
          <w:rFonts w:ascii="Arial" w:hAnsi="Arial"/>
        </w:rPr>
        <w:t>. In either case, a</w:t>
      </w:r>
      <w:r w:rsidR="00BE3579" w:rsidRPr="006F1D04">
        <w:rPr>
          <w:rFonts w:ascii="Arial" w:hAnsi="Arial"/>
        </w:rPr>
        <w:t xml:space="preserve">n implication of varying the </w:t>
      </w:r>
      <w:r w:rsidR="00EF24F8" w:rsidRPr="006F1D04">
        <w:rPr>
          <w:rFonts w:ascii="Arial" w:hAnsi="Arial"/>
        </w:rPr>
        <w:t>AAQ NEPM</w:t>
      </w:r>
      <w:r w:rsidR="00BE3579" w:rsidRPr="006F1D04">
        <w:rPr>
          <w:rFonts w:ascii="Arial" w:hAnsi="Arial"/>
        </w:rPr>
        <w:t xml:space="preserve"> will be that the PM standards will remain non-binding (i.e. compli</w:t>
      </w:r>
      <w:r w:rsidR="00720C7B" w:rsidRPr="006F1D04">
        <w:rPr>
          <w:rFonts w:ascii="Arial" w:hAnsi="Arial"/>
        </w:rPr>
        <w:t xml:space="preserve">ance </w:t>
      </w:r>
      <w:r w:rsidRPr="006F1D04">
        <w:rPr>
          <w:rFonts w:ascii="Arial" w:hAnsi="Arial"/>
        </w:rPr>
        <w:t xml:space="preserve">will not be mandatory). </w:t>
      </w:r>
      <w:r w:rsidR="00BE3579" w:rsidRPr="006F1D04">
        <w:rPr>
          <w:rFonts w:ascii="Arial" w:hAnsi="Arial"/>
        </w:rPr>
        <w:t>This is arguably o</w:t>
      </w:r>
      <w:r w:rsidRPr="006F1D04">
        <w:rPr>
          <w:rFonts w:ascii="Arial" w:hAnsi="Arial"/>
        </w:rPr>
        <w:t>ne of the main drawbacks of</w:t>
      </w:r>
      <w:r w:rsidR="00632F50" w:rsidRPr="006F1D04">
        <w:rPr>
          <w:rFonts w:ascii="Arial" w:hAnsi="Arial"/>
        </w:rPr>
        <w:t xml:space="preserve"> the </w:t>
      </w:r>
      <w:r w:rsidR="00EF24F8" w:rsidRPr="006F1D04">
        <w:rPr>
          <w:rFonts w:ascii="Arial" w:hAnsi="Arial"/>
        </w:rPr>
        <w:t>AAQ NEPM</w:t>
      </w:r>
      <w:r w:rsidR="00047EEE" w:rsidRPr="006F1D04">
        <w:rPr>
          <w:rFonts w:ascii="Arial" w:hAnsi="Arial"/>
        </w:rPr>
        <w:t xml:space="preserve"> in its current form</w:t>
      </w:r>
      <w:r w:rsidR="00720C7B" w:rsidRPr="006F1D04">
        <w:rPr>
          <w:rFonts w:ascii="Arial" w:hAnsi="Arial"/>
        </w:rPr>
        <w:t>.</w:t>
      </w:r>
    </w:p>
    <w:p w:rsidR="00632F50" w:rsidRPr="006F1D04" w:rsidRDefault="00632F50" w:rsidP="00EF6C1A">
      <w:pPr>
        <w:pStyle w:val="Heading2"/>
        <w:rPr>
          <w:rFonts w:ascii="Arial" w:hAnsi="Arial"/>
        </w:rPr>
      </w:pPr>
      <w:bookmarkStart w:id="136" w:name="_Toc394011128"/>
      <w:r w:rsidRPr="006F1D04">
        <w:rPr>
          <w:rFonts w:ascii="Arial" w:hAnsi="Arial"/>
        </w:rPr>
        <w:t>PM metrics and averaging periods</w:t>
      </w:r>
      <w:bookmarkEnd w:id="136"/>
    </w:p>
    <w:p w:rsidR="00632F50" w:rsidRPr="006F1D04" w:rsidRDefault="00D85D22" w:rsidP="00CE2B02">
      <w:pPr>
        <w:pStyle w:val="BulletArrows"/>
        <w:spacing w:after="160"/>
        <w:rPr>
          <w:rFonts w:ascii="Arial" w:hAnsi="Arial"/>
        </w:rPr>
      </w:pPr>
      <w:r w:rsidRPr="006F1D04">
        <w:rPr>
          <w:rFonts w:ascii="Arial" w:hAnsi="Arial"/>
        </w:rPr>
        <w:t xml:space="preserve">The </w:t>
      </w:r>
      <w:r w:rsidR="00EF24F8" w:rsidRPr="006F1D04">
        <w:rPr>
          <w:rFonts w:ascii="Arial" w:hAnsi="Arial"/>
        </w:rPr>
        <w:t>AAQ NEPM</w:t>
      </w:r>
      <w:r w:rsidR="00632F50" w:rsidRPr="006F1D04">
        <w:rPr>
          <w:rFonts w:ascii="Arial" w:hAnsi="Arial"/>
        </w:rPr>
        <w:t xml:space="preserve"> current</w:t>
      </w:r>
      <w:r w:rsidR="00DB50B6" w:rsidRPr="006F1D04">
        <w:rPr>
          <w:rFonts w:ascii="Arial" w:hAnsi="Arial"/>
        </w:rPr>
        <w:t>ly</w:t>
      </w:r>
      <w:r w:rsidR="0087080F" w:rsidRPr="006F1D04">
        <w:rPr>
          <w:rFonts w:ascii="Arial" w:hAnsi="Arial"/>
        </w:rPr>
        <w:t xml:space="preserve"> specifies a 24-hour </w:t>
      </w:r>
      <w:r w:rsidR="00632F50" w:rsidRPr="006F1D04">
        <w:rPr>
          <w:rFonts w:ascii="Arial" w:hAnsi="Arial"/>
        </w:rPr>
        <w:t>standard for PM</w:t>
      </w:r>
      <w:r w:rsidR="00632F50" w:rsidRPr="006F1D04">
        <w:rPr>
          <w:rFonts w:ascii="Arial" w:hAnsi="Arial"/>
          <w:vertAlign w:val="subscript"/>
        </w:rPr>
        <w:t>10</w:t>
      </w:r>
      <w:r w:rsidR="00632F50" w:rsidRPr="006F1D04">
        <w:rPr>
          <w:rFonts w:ascii="Arial" w:hAnsi="Arial"/>
        </w:rPr>
        <w:t xml:space="preserve"> concentrations, and advisory reporting standards for 24-hour and annual mean PM</w:t>
      </w:r>
      <w:r w:rsidR="00632F50" w:rsidRPr="006F1D04">
        <w:rPr>
          <w:rFonts w:ascii="Arial" w:hAnsi="Arial"/>
          <w:vertAlign w:val="subscript"/>
        </w:rPr>
        <w:t>2.5</w:t>
      </w:r>
      <w:r w:rsidR="00632F50" w:rsidRPr="006F1D04">
        <w:rPr>
          <w:rFonts w:ascii="Arial" w:hAnsi="Arial"/>
        </w:rPr>
        <w:t xml:space="preserve"> concentrations. </w:t>
      </w:r>
      <w:r w:rsidR="0029278F" w:rsidRPr="006F1D04">
        <w:rPr>
          <w:rFonts w:ascii="Arial" w:hAnsi="Arial"/>
        </w:rPr>
        <w:t>The following elements of</w:t>
      </w:r>
      <w:r w:rsidR="00632F50" w:rsidRPr="006F1D04">
        <w:rPr>
          <w:rFonts w:ascii="Arial" w:hAnsi="Arial"/>
        </w:rPr>
        <w:t xml:space="preserve"> varyi</w:t>
      </w:r>
      <w:r w:rsidR="00DB50B6" w:rsidRPr="006F1D04">
        <w:rPr>
          <w:rFonts w:ascii="Arial" w:hAnsi="Arial"/>
        </w:rPr>
        <w:t xml:space="preserve">ng the </w:t>
      </w:r>
      <w:r w:rsidR="00EF24F8" w:rsidRPr="006F1D04">
        <w:rPr>
          <w:rFonts w:ascii="Arial" w:hAnsi="Arial"/>
        </w:rPr>
        <w:t>AAQ NEPM</w:t>
      </w:r>
      <w:r w:rsidR="00DB50B6" w:rsidRPr="006F1D04">
        <w:rPr>
          <w:rFonts w:ascii="Arial" w:hAnsi="Arial"/>
        </w:rPr>
        <w:t xml:space="preserve"> have been considered</w:t>
      </w:r>
      <w:r w:rsidR="00632F50" w:rsidRPr="006F1D04">
        <w:rPr>
          <w:rFonts w:ascii="Arial" w:hAnsi="Arial"/>
        </w:rPr>
        <w:t xml:space="preserve"> in this </w:t>
      </w:r>
      <w:r w:rsidR="00270A63" w:rsidRPr="006F1D04">
        <w:rPr>
          <w:rFonts w:ascii="Arial" w:hAnsi="Arial"/>
          <w:color w:val="auto"/>
        </w:rPr>
        <w:t>Impact Statement</w:t>
      </w:r>
      <w:r w:rsidR="00632F50" w:rsidRPr="006F1D04">
        <w:rPr>
          <w:rFonts w:ascii="Arial" w:hAnsi="Arial"/>
        </w:rPr>
        <w:t>:</w:t>
      </w:r>
    </w:p>
    <w:p w:rsidR="007B1A5E" w:rsidRPr="006F1D04" w:rsidRDefault="00D85D22" w:rsidP="00874267">
      <w:pPr>
        <w:pStyle w:val="BulletArrows"/>
        <w:numPr>
          <w:ilvl w:val="0"/>
          <w:numId w:val="109"/>
        </w:numPr>
        <w:spacing w:after="160"/>
        <w:rPr>
          <w:rFonts w:ascii="Arial" w:hAnsi="Arial"/>
        </w:rPr>
      </w:pPr>
      <w:r w:rsidRPr="006F1D04">
        <w:rPr>
          <w:rFonts w:ascii="Arial" w:hAnsi="Arial"/>
        </w:rPr>
        <w:t>addition of</w:t>
      </w:r>
      <w:r w:rsidR="007B1A5E" w:rsidRPr="006F1D04">
        <w:rPr>
          <w:rFonts w:ascii="Arial" w:hAnsi="Arial"/>
        </w:rPr>
        <w:t xml:space="preserve"> an annual mean standard for PM</w:t>
      </w:r>
      <w:r w:rsidR="007B1A5E" w:rsidRPr="006F1D04">
        <w:rPr>
          <w:rFonts w:ascii="Arial" w:hAnsi="Arial"/>
          <w:vertAlign w:val="subscript"/>
        </w:rPr>
        <w:t>10</w:t>
      </w:r>
    </w:p>
    <w:p w:rsidR="00D85D22" w:rsidRPr="006F1D04" w:rsidRDefault="00D85D22" w:rsidP="00874267">
      <w:pPr>
        <w:pStyle w:val="BulletArrows"/>
        <w:numPr>
          <w:ilvl w:val="0"/>
          <w:numId w:val="109"/>
        </w:numPr>
        <w:spacing w:after="160"/>
        <w:rPr>
          <w:rFonts w:ascii="Arial" w:hAnsi="Arial"/>
        </w:rPr>
      </w:pPr>
      <w:r w:rsidRPr="006F1D04">
        <w:rPr>
          <w:rFonts w:ascii="Arial" w:hAnsi="Arial"/>
        </w:rPr>
        <w:t>inclusion of</w:t>
      </w:r>
      <w:r w:rsidR="007B1A5E" w:rsidRPr="006F1D04">
        <w:rPr>
          <w:rFonts w:ascii="Arial" w:hAnsi="Arial"/>
        </w:rPr>
        <w:t xml:space="preserve"> metrics other than PM</w:t>
      </w:r>
      <w:r w:rsidR="007B1A5E" w:rsidRPr="006F1D04">
        <w:rPr>
          <w:rFonts w:ascii="Arial" w:hAnsi="Arial"/>
          <w:vertAlign w:val="subscript"/>
        </w:rPr>
        <w:t>10</w:t>
      </w:r>
      <w:r w:rsidR="007B1A5E" w:rsidRPr="006F1D04">
        <w:rPr>
          <w:rFonts w:ascii="Arial" w:hAnsi="Arial"/>
        </w:rPr>
        <w:t xml:space="preserve"> and PM</w:t>
      </w:r>
      <w:r w:rsidR="007B1A5E" w:rsidRPr="006F1D04">
        <w:rPr>
          <w:rFonts w:ascii="Arial" w:hAnsi="Arial"/>
          <w:vertAlign w:val="subscript"/>
        </w:rPr>
        <w:t>2.5</w:t>
      </w:r>
      <w:r w:rsidR="007B1A5E" w:rsidRPr="006F1D04">
        <w:rPr>
          <w:rFonts w:ascii="Arial" w:hAnsi="Arial"/>
        </w:rPr>
        <w:t>, such as PM</w:t>
      </w:r>
      <w:r w:rsidR="007B1A5E" w:rsidRPr="006F1D04">
        <w:rPr>
          <w:rFonts w:ascii="Arial" w:hAnsi="Arial"/>
          <w:vertAlign w:val="subscript"/>
        </w:rPr>
        <w:t>0.1</w:t>
      </w:r>
      <w:r w:rsidRPr="006F1D04">
        <w:rPr>
          <w:rFonts w:ascii="Arial" w:hAnsi="Arial"/>
        </w:rPr>
        <w:t>, particle number</w:t>
      </w:r>
    </w:p>
    <w:p w:rsidR="007B1A5E" w:rsidRPr="006F1D04" w:rsidRDefault="00D85D22" w:rsidP="00874267">
      <w:pPr>
        <w:pStyle w:val="BulletArrows"/>
        <w:numPr>
          <w:ilvl w:val="0"/>
          <w:numId w:val="109"/>
        </w:numPr>
        <w:spacing w:after="160"/>
        <w:rPr>
          <w:rFonts w:ascii="Arial" w:hAnsi="Arial"/>
        </w:rPr>
      </w:pPr>
      <w:r w:rsidRPr="006F1D04">
        <w:rPr>
          <w:rFonts w:ascii="Arial" w:hAnsi="Arial"/>
        </w:rPr>
        <w:t>inclusion of limits for</w:t>
      </w:r>
      <w:r w:rsidR="007B1A5E" w:rsidRPr="006F1D04">
        <w:rPr>
          <w:rFonts w:ascii="Arial" w:hAnsi="Arial"/>
        </w:rPr>
        <w:t xml:space="preserve"> specific PM components</w:t>
      </w:r>
    </w:p>
    <w:p w:rsidR="00D85D22" w:rsidRPr="006F1D04" w:rsidRDefault="00D85D22" w:rsidP="00874267">
      <w:pPr>
        <w:pStyle w:val="BulletArrows"/>
        <w:numPr>
          <w:ilvl w:val="0"/>
          <w:numId w:val="109"/>
        </w:numPr>
        <w:spacing w:after="240"/>
        <w:rPr>
          <w:rFonts w:ascii="Arial" w:hAnsi="Arial"/>
        </w:rPr>
      </w:pPr>
      <w:proofErr w:type="gramStart"/>
      <w:r w:rsidRPr="006F1D04">
        <w:rPr>
          <w:rFonts w:ascii="Arial" w:hAnsi="Arial"/>
        </w:rPr>
        <w:t>inclusion</w:t>
      </w:r>
      <w:proofErr w:type="gramEnd"/>
      <w:r w:rsidRPr="006F1D04">
        <w:rPr>
          <w:rFonts w:ascii="Arial" w:hAnsi="Arial"/>
        </w:rPr>
        <w:t xml:space="preserve"> of s</w:t>
      </w:r>
      <w:r w:rsidR="005F5551" w:rsidRPr="006F1D04">
        <w:rPr>
          <w:rFonts w:ascii="Arial" w:hAnsi="Arial"/>
        </w:rPr>
        <w:t>econdary standards (as in the United States</w:t>
      </w:r>
      <w:r w:rsidRPr="006F1D04">
        <w:rPr>
          <w:rFonts w:ascii="Arial" w:hAnsi="Arial"/>
        </w:rPr>
        <w:t>) for non-health impacts.</w:t>
      </w:r>
    </w:p>
    <w:p w:rsidR="00087181" w:rsidRPr="006F1D04" w:rsidRDefault="00087181" w:rsidP="00CE2B02">
      <w:pPr>
        <w:pStyle w:val="BulletArrows"/>
        <w:spacing w:after="240"/>
        <w:rPr>
          <w:rFonts w:ascii="Arial" w:hAnsi="Arial"/>
        </w:rPr>
      </w:pPr>
      <w:r w:rsidRPr="006F1D04">
        <w:rPr>
          <w:rFonts w:ascii="Arial" w:hAnsi="Arial"/>
        </w:rPr>
        <w:t>The revocation of the existing metrics has not been considered.</w:t>
      </w:r>
    </w:p>
    <w:p w:rsidR="00D85D22" w:rsidRPr="006F1D04" w:rsidRDefault="00D85D22" w:rsidP="00CE2B02">
      <w:pPr>
        <w:pStyle w:val="BulletArrows"/>
        <w:spacing w:after="240"/>
        <w:rPr>
          <w:rFonts w:ascii="Arial" w:hAnsi="Arial"/>
        </w:rPr>
      </w:pPr>
      <w:r w:rsidRPr="006F1D04">
        <w:rPr>
          <w:rFonts w:ascii="Arial" w:hAnsi="Arial"/>
        </w:rPr>
        <w:t>The addition of an annual mean standard for PM</w:t>
      </w:r>
      <w:r w:rsidRPr="006F1D04">
        <w:rPr>
          <w:rFonts w:ascii="Arial" w:hAnsi="Arial"/>
          <w:vertAlign w:val="subscript"/>
        </w:rPr>
        <w:t>10</w:t>
      </w:r>
      <w:r w:rsidRPr="006F1D04">
        <w:rPr>
          <w:rFonts w:ascii="Arial" w:hAnsi="Arial"/>
        </w:rPr>
        <w:t xml:space="preserve"> is strongly favoured on health grounds.</w:t>
      </w:r>
    </w:p>
    <w:p w:rsidR="00D85D22" w:rsidRPr="006F1D04" w:rsidRDefault="00D85D22" w:rsidP="00CE2B02">
      <w:pPr>
        <w:pStyle w:val="BulletArrows"/>
        <w:spacing w:after="240"/>
        <w:rPr>
          <w:rFonts w:ascii="Arial" w:hAnsi="Arial"/>
        </w:rPr>
      </w:pPr>
      <w:r w:rsidRPr="006F1D04">
        <w:rPr>
          <w:rFonts w:ascii="Arial" w:hAnsi="Arial"/>
        </w:rPr>
        <w:t>There are currently insufficient monitoring data in Australia to allow for the considerati</w:t>
      </w:r>
      <w:r w:rsidR="00AA746A" w:rsidRPr="006F1D04">
        <w:rPr>
          <w:rFonts w:ascii="Arial" w:hAnsi="Arial"/>
        </w:rPr>
        <w:t xml:space="preserve">on of options relating to </w:t>
      </w:r>
      <w:r w:rsidRPr="006F1D04">
        <w:rPr>
          <w:rFonts w:ascii="Arial" w:hAnsi="Arial"/>
        </w:rPr>
        <w:t>metrics</w:t>
      </w:r>
      <w:r w:rsidR="00AA746A" w:rsidRPr="006F1D04">
        <w:rPr>
          <w:rFonts w:ascii="Arial" w:hAnsi="Arial"/>
        </w:rPr>
        <w:t xml:space="preserve"> other than PM</w:t>
      </w:r>
      <w:r w:rsidR="00AA746A" w:rsidRPr="006F1D04">
        <w:rPr>
          <w:rFonts w:ascii="Arial" w:hAnsi="Arial"/>
          <w:vertAlign w:val="subscript"/>
        </w:rPr>
        <w:t>10</w:t>
      </w:r>
      <w:r w:rsidR="00AA746A" w:rsidRPr="006F1D04">
        <w:rPr>
          <w:rFonts w:ascii="Arial" w:hAnsi="Arial"/>
        </w:rPr>
        <w:t xml:space="preserve"> and PM</w:t>
      </w:r>
      <w:r w:rsidR="00AA746A" w:rsidRPr="006F1D04">
        <w:rPr>
          <w:rFonts w:ascii="Arial" w:hAnsi="Arial"/>
          <w:vertAlign w:val="subscript"/>
        </w:rPr>
        <w:t>2.5</w:t>
      </w:r>
      <w:r w:rsidRPr="006F1D04">
        <w:rPr>
          <w:rFonts w:ascii="Arial" w:hAnsi="Arial"/>
        </w:rPr>
        <w:t xml:space="preserve"> (</w:t>
      </w:r>
      <w:r w:rsidR="009334F4" w:rsidRPr="006F1D04">
        <w:rPr>
          <w:rFonts w:ascii="Arial" w:hAnsi="Arial"/>
        </w:rPr>
        <w:t>e.g.</w:t>
      </w:r>
      <w:r w:rsidRPr="006F1D04">
        <w:rPr>
          <w:rFonts w:ascii="Arial" w:hAnsi="Arial"/>
        </w:rPr>
        <w:t xml:space="preserve"> ultr</w:t>
      </w:r>
      <w:r w:rsidR="00087181" w:rsidRPr="006F1D04">
        <w:rPr>
          <w:rFonts w:ascii="Arial" w:hAnsi="Arial"/>
        </w:rPr>
        <w:t>afine particles</w:t>
      </w:r>
      <w:r w:rsidRPr="006F1D04">
        <w:rPr>
          <w:rFonts w:ascii="Arial" w:hAnsi="Arial"/>
        </w:rPr>
        <w:t xml:space="preserve">). Moreover, there is still insufficient health evidence to support the setting of standards for these other metrics. </w:t>
      </w:r>
    </w:p>
    <w:p w:rsidR="00D85D22" w:rsidRPr="00C66A43" w:rsidRDefault="00D85D22" w:rsidP="00CE2B02">
      <w:pPr>
        <w:pStyle w:val="BulletArrows"/>
        <w:spacing w:after="240"/>
        <w:rPr>
          <w:rFonts w:ascii="Arial" w:hAnsi="Arial"/>
        </w:rPr>
      </w:pPr>
      <w:r w:rsidRPr="006F1D04">
        <w:rPr>
          <w:rFonts w:ascii="Arial" w:hAnsi="Arial"/>
        </w:rPr>
        <w:t xml:space="preserve">Similarly, there are no Australian health studies for the coarse particle </w:t>
      </w:r>
      <w:r w:rsidR="00AA746A" w:rsidRPr="006F1D04">
        <w:rPr>
          <w:rFonts w:ascii="Arial" w:hAnsi="Arial"/>
        </w:rPr>
        <w:t>(PM</w:t>
      </w:r>
      <w:r w:rsidR="00AA746A" w:rsidRPr="006F1D04">
        <w:rPr>
          <w:rFonts w:ascii="Arial" w:hAnsi="Arial"/>
          <w:vertAlign w:val="subscript"/>
        </w:rPr>
        <w:t>2.5</w:t>
      </w:r>
      <w:r w:rsidR="00915751" w:rsidRPr="006F1D04">
        <w:rPr>
          <w:rFonts w:ascii="Arial" w:hAnsi="Arial"/>
          <w:vertAlign w:val="subscript"/>
        </w:rPr>
        <w:t>–</w:t>
      </w:r>
      <w:r w:rsidR="00AA746A" w:rsidRPr="006F1D04">
        <w:rPr>
          <w:rFonts w:ascii="Arial" w:hAnsi="Arial"/>
          <w:vertAlign w:val="subscript"/>
        </w:rPr>
        <w:t>10</w:t>
      </w:r>
      <w:r w:rsidR="00AA746A" w:rsidRPr="006F1D04">
        <w:rPr>
          <w:rFonts w:ascii="Arial" w:hAnsi="Arial"/>
        </w:rPr>
        <w:t xml:space="preserve">) </w:t>
      </w:r>
      <w:r w:rsidRPr="006F1D04">
        <w:rPr>
          <w:rFonts w:ascii="Arial" w:hAnsi="Arial"/>
        </w:rPr>
        <w:t>size fraction. There are very limited monitoring data available in Australia for PM</w:t>
      </w:r>
      <w:r w:rsidRPr="006F1D04">
        <w:rPr>
          <w:rFonts w:ascii="Arial" w:hAnsi="Arial"/>
          <w:vertAlign w:val="subscript"/>
        </w:rPr>
        <w:t>2.5</w:t>
      </w:r>
      <w:r w:rsidR="00915751" w:rsidRPr="006F1D04">
        <w:rPr>
          <w:rFonts w:ascii="Arial" w:hAnsi="Arial"/>
          <w:vertAlign w:val="subscript"/>
        </w:rPr>
        <w:t>–</w:t>
      </w:r>
      <w:r w:rsidRPr="006F1D04">
        <w:rPr>
          <w:rFonts w:ascii="Arial" w:hAnsi="Arial"/>
          <w:vertAlign w:val="subscript"/>
        </w:rPr>
        <w:t>10</w:t>
      </w:r>
      <w:r w:rsidRPr="006F1D04">
        <w:rPr>
          <w:rFonts w:ascii="Arial" w:hAnsi="Arial"/>
        </w:rPr>
        <w:t xml:space="preserve">, and the available data are not sufficient to support the setting of </w:t>
      </w:r>
      <w:r w:rsidR="0092462D" w:rsidRPr="006F1D04">
        <w:rPr>
          <w:rFonts w:ascii="Arial" w:hAnsi="Arial"/>
        </w:rPr>
        <w:t xml:space="preserve">specific </w:t>
      </w:r>
      <w:r w:rsidRPr="006F1D04">
        <w:rPr>
          <w:rFonts w:ascii="Arial" w:hAnsi="Arial"/>
        </w:rPr>
        <w:t>standards at this time</w:t>
      </w:r>
      <w:r w:rsidR="0092462D" w:rsidRPr="006F1D04">
        <w:rPr>
          <w:rFonts w:ascii="Arial" w:hAnsi="Arial"/>
        </w:rPr>
        <w:t xml:space="preserve"> </w:t>
      </w:r>
      <w:r w:rsidR="0092462D" w:rsidRPr="006F1D04">
        <w:rPr>
          <w:rFonts w:ascii="Arial" w:hAnsi="Arial"/>
          <w:color w:val="auto"/>
        </w:rPr>
        <w:t>(although the simultaneous implementation of standards for PM</w:t>
      </w:r>
      <w:r w:rsidR="0092462D" w:rsidRPr="006F1D04">
        <w:rPr>
          <w:rFonts w:ascii="Arial" w:hAnsi="Arial"/>
          <w:color w:val="auto"/>
          <w:vertAlign w:val="subscript"/>
        </w:rPr>
        <w:t>10</w:t>
      </w:r>
      <w:r w:rsidR="0092462D" w:rsidRPr="006F1D04">
        <w:rPr>
          <w:rFonts w:ascii="Arial" w:hAnsi="Arial"/>
          <w:color w:val="auto"/>
        </w:rPr>
        <w:t xml:space="preserve"> and PM</w:t>
      </w:r>
      <w:r w:rsidR="0092462D" w:rsidRPr="006F1D04">
        <w:rPr>
          <w:rFonts w:ascii="Arial" w:hAnsi="Arial"/>
          <w:color w:val="auto"/>
          <w:vertAlign w:val="subscript"/>
        </w:rPr>
        <w:t>2.5</w:t>
      </w:r>
      <w:r w:rsidR="0092462D" w:rsidRPr="006F1D04">
        <w:rPr>
          <w:rFonts w:ascii="Arial" w:hAnsi="Arial"/>
          <w:color w:val="auto"/>
        </w:rPr>
        <w:t xml:space="preserve"> effectively addresses this)</w:t>
      </w:r>
      <w:r w:rsidRPr="006F1D04">
        <w:rPr>
          <w:rFonts w:ascii="Arial" w:hAnsi="Arial"/>
        </w:rPr>
        <w:t>. However, given that this size fraction is significant in Australia due to the significant contribution from windblown dust to PM</w:t>
      </w:r>
      <w:r w:rsidRPr="006F1D04">
        <w:rPr>
          <w:rFonts w:ascii="Arial" w:hAnsi="Arial"/>
          <w:vertAlign w:val="subscript"/>
        </w:rPr>
        <w:t>10</w:t>
      </w:r>
      <w:r w:rsidRPr="006F1D04">
        <w:rPr>
          <w:rFonts w:ascii="Arial" w:hAnsi="Arial"/>
        </w:rPr>
        <w:t>, further monitoring of the coarse fraction and studies into the associated health effects may be prudent to inform</w:t>
      </w:r>
      <w:r w:rsidR="00AA746A" w:rsidRPr="006F1D04">
        <w:rPr>
          <w:rFonts w:ascii="Arial" w:hAnsi="Arial"/>
        </w:rPr>
        <w:t xml:space="preserve"> the setting of standards </w:t>
      </w:r>
      <w:r w:rsidRPr="006F1D04">
        <w:rPr>
          <w:rFonts w:ascii="Arial" w:hAnsi="Arial"/>
        </w:rPr>
        <w:t>in the future</w:t>
      </w:r>
      <w:r w:rsidRPr="006F1D04">
        <w:rPr>
          <w:rFonts w:ascii="Arial" w:hAnsi="Arial"/>
          <w:color w:val="auto"/>
        </w:rPr>
        <w:t xml:space="preserve"> </w:t>
      </w:r>
      <w:r w:rsidRPr="006F1D04">
        <w:rPr>
          <w:rFonts w:ascii="Arial" w:hAnsi="Arial"/>
          <w:b/>
          <w:color w:val="auto"/>
        </w:rPr>
        <w:t>(NEPC 2011a)</w:t>
      </w:r>
      <w:r w:rsidRPr="006F1D04">
        <w:rPr>
          <w:rFonts w:ascii="Arial" w:hAnsi="Arial"/>
          <w:color w:val="auto"/>
        </w:rPr>
        <w:t>.</w:t>
      </w:r>
    </w:p>
    <w:p w:rsidR="00AA746A" w:rsidRPr="006F1D04" w:rsidRDefault="00AA746A" w:rsidP="00CE2B02">
      <w:pPr>
        <w:rPr>
          <w:rFonts w:ascii="Arial" w:hAnsi="Arial" w:cs="Arial"/>
        </w:rPr>
      </w:pPr>
      <w:r w:rsidRPr="006F1D04">
        <w:rPr>
          <w:rFonts w:ascii="Arial" w:hAnsi="Arial" w:cs="Arial"/>
        </w:rPr>
        <w:t>T</w:t>
      </w:r>
      <w:r w:rsidR="00885B82" w:rsidRPr="006F1D04">
        <w:rPr>
          <w:rFonts w:ascii="Arial" w:hAnsi="Arial" w:cs="Arial"/>
        </w:rPr>
        <w:t>he option of ‘secondary standards’ has not been considered</w:t>
      </w:r>
      <w:r w:rsidRPr="006F1D04">
        <w:rPr>
          <w:rFonts w:ascii="Arial" w:hAnsi="Arial" w:cs="Arial"/>
        </w:rPr>
        <w:t xml:space="preserve"> given the lack of Australian literature</w:t>
      </w:r>
      <w:r w:rsidR="00885B82" w:rsidRPr="006F1D04">
        <w:rPr>
          <w:rFonts w:ascii="Arial" w:hAnsi="Arial" w:cs="Arial"/>
        </w:rPr>
        <w:t>. Such standards are used in the U</w:t>
      </w:r>
      <w:r w:rsidR="005F5551" w:rsidRPr="006F1D04">
        <w:rPr>
          <w:rFonts w:ascii="Arial" w:hAnsi="Arial" w:cs="Arial"/>
        </w:rPr>
        <w:t xml:space="preserve">nited </w:t>
      </w:r>
      <w:r w:rsidR="00885B82" w:rsidRPr="006F1D04">
        <w:rPr>
          <w:rFonts w:ascii="Arial" w:hAnsi="Arial" w:cs="Arial"/>
        </w:rPr>
        <w:t>S</w:t>
      </w:r>
      <w:r w:rsidR="005F5551" w:rsidRPr="006F1D04">
        <w:rPr>
          <w:rFonts w:ascii="Arial" w:hAnsi="Arial" w:cs="Arial"/>
        </w:rPr>
        <w:t>tates</w:t>
      </w:r>
      <w:r w:rsidR="00885B82" w:rsidRPr="006F1D04">
        <w:rPr>
          <w:rFonts w:ascii="Arial" w:hAnsi="Arial" w:cs="Arial"/>
        </w:rPr>
        <w:t xml:space="preserve"> to reduce non-health impacts (including protection against decreased visibility and damage to animals, crops, vegetation and buildings).</w:t>
      </w:r>
      <w:r w:rsidRPr="006F1D04">
        <w:rPr>
          <w:rFonts w:ascii="Arial" w:hAnsi="Arial" w:cs="Arial"/>
        </w:rPr>
        <w:t xml:space="preserve"> In the U</w:t>
      </w:r>
      <w:r w:rsidR="005F5551" w:rsidRPr="006F1D04">
        <w:rPr>
          <w:rFonts w:ascii="Arial" w:hAnsi="Arial" w:cs="Arial"/>
        </w:rPr>
        <w:t xml:space="preserve">nited </w:t>
      </w:r>
      <w:r w:rsidRPr="006F1D04">
        <w:rPr>
          <w:rFonts w:ascii="Arial" w:hAnsi="Arial" w:cs="Arial"/>
        </w:rPr>
        <w:t>S</w:t>
      </w:r>
      <w:r w:rsidR="005F5551" w:rsidRPr="006F1D04">
        <w:rPr>
          <w:rFonts w:ascii="Arial" w:hAnsi="Arial" w:cs="Arial"/>
        </w:rPr>
        <w:t>tates</w:t>
      </w:r>
      <w:r w:rsidRPr="006F1D04">
        <w:rPr>
          <w:rFonts w:ascii="Arial" w:hAnsi="Arial" w:cs="Arial"/>
        </w:rPr>
        <w:t xml:space="preserve"> the primary and secondary standards are generally the same. The main exception is annual mean PM</w:t>
      </w:r>
      <w:r w:rsidRPr="006F1D04">
        <w:rPr>
          <w:rFonts w:ascii="Arial" w:hAnsi="Arial" w:cs="Arial"/>
          <w:vertAlign w:val="subscript"/>
        </w:rPr>
        <w:t>2.5</w:t>
      </w:r>
      <w:r w:rsidRPr="006F1D04">
        <w:rPr>
          <w:rFonts w:ascii="Arial" w:hAnsi="Arial" w:cs="Arial"/>
        </w:rPr>
        <w:t>, for which the secondary standard is slightly higher than the primary standard.</w:t>
      </w:r>
    </w:p>
    <w:p w:rsidR="00D85D22" w:rsidRPr="006F1D04" w:rsidRDefault="0029278F" w:rsidP="00D85D22">
      <w:pPr>
        <w:spacing w:after="120"/>
        <w:rPr>
          <w:rFonts w:ascii="Arial" w:hAnsi="Arial" w:cs="Arial"/>
        </w:rPr>
      </w:pPr>
      <w:r w:rsidRPr="006F1D04">
        <w:rPr>
          <w:rFonts w:ascii="Arial" w:hAnsi="Arial" w:cs="Arial"/>
        </w:rPr>
        <w:t>Consequently, the o</w:t>
      </w:r>
      <w:r w:rsidR="00D85D22" w:rsidRPr="006F1D04">
        <w:rPr>
          <w:rFonts w:ascii="Arial" w:hAnsi="Arial" w:cs="Arial"/>
        </w:rPr>
        <w:t>ptions that have been considered here relate solely to the metrics PM</w:t>
      </w:r>
      <w:r w:rsidR="00D85D22" w:rsidRPr="006F1D04">
        <w:rPr>
          <w:rFonts w:ascii="Arial" w:hAnsi="Arial" w:cs="Arial"/>
          <w:vertAlign w:val="subscript"/>
        </w:rPr>
        <w:t>10</w:t>
      </w:r>
      <w:r w:rsidR="00D85D22" w:rsidRPr="006F1D04">
        <w:rPr>
          <w:rFonts w:ascii="Arial" w:hAnsi="Arial" w:cs="Arial"/>
        </w:rPr>
        <w:t xml:space="preserve"> and PM</w:t>
      </w:r>
      <w:r w:rsidR="00D85D22" w:rsidRPr="006F1D04">
        <w:rPr>
          <w:rFonts w:ascii="Arial" w:hAnsi="Arial" w:cs="Arial"/>
          <w:vertAlign w:val="subscript"/>
        </w:rPr>
        <w:t>2.5</w:t>
      </w:r>
      <w:r w:rsidR="00D85D22" w:rsidRPr="006F1D04">
        <w:rPr>
          <w:rFonts w:ascii="Arial" w:hAnsi="Arial" w:cs="Arial"/>
        </w:rPr>
        <w:t>, and to annual and 24-hour averaging periods in each case.</w:t>
      </w:r>
      <w:r w:rsidR="00DB50B6" w:rsidRPr="006F1D04">
        <w:rPr>
          <w:rFonts w:ascii="Arial" w:hAnsi="Arial" w:cs="Arial"/>
        </w:rPr>
        <w:t xml:space="preserve"> The numerical values of these metrics are discussed in the following Section.</w:t>
      </w:r>
    </w:p>
    <w:p w:rsidR="00E7619F" w:rsidRPr="006F1D04" w:rsidRDefault="00E7619F" w:rsidP="007B1A5E">
      <w:pPr>
        <w:pStyle w:val="Heading2"/>
        <w:rPr>
          <w:rFonts w:ascii="Arial" w:hAnsi="Arial"/>
        </w:rPr>
      </w:pPr>
      <w:bookmarkStart w:id="137" w:name="_Toc394011129"/>
      <w:r w:rsidRPr="006F1D04">
        <w:rPr>
          <w:rFonts w:ascii="Arial" w:hAnsi="Arial"/>
        </w:rPr>
        <w:t>Numerical values of standards</w:t>
      </w:r>
      <w:bookmarkEnd w:id="137"/>
    </w:p>
    <w:p w:rsidR="00F302A2" w:rsidRPr="006F1D04" w:rsidRDefault="003E37B3" w:rsidP="005D7C23">
      <w:pPr>
        <w:spacing w:after="360"/>
        <w:rPr>
          <w:rFonts w:ascii="Arial" w:hAnsi="Arial" w:cs="Arial"/>
        </w:rPr>
      </w:pPr>
      <w:r w:rsidRPr="006F1D04">
        <w:rPr>
          <w:rFonts w:ascii="Arial" w:hAnsi="Arial" w:cs="Arial"/>
        </w:rPr>
        <w:t>In a separate project</w:t>
      </w:r>
      <w:r w:rsidR="00270A63" w:rsidRPr="006F1D04">
        <w:rPr>
          <w:rFonts w:ascii="Arial" w:hAnsi="Arial" w:cs="Arial"/>
        </w:rPr>
        <w:t>,</w:t>
      </w:r>
      <w:r w:rsidRPr="006F1D04">
        <w:rPr>
          <w:rFonts w:ascii="Arial" w:hAnsi="Arial" w:cs="Arial"/>
        </w:rPr>
        <w:t xml:space="preserve"> </w:t>
      </w:r>
      <w:r w:rsidR="005D7C23" w:rsidRPr="006F1D04">
        <w:rPr>
          <w:rFonts w:ascii="Arial" w:hAnsi="Arial" w:cs="Arial"/>
        </w:rPr>
        <w:t>potential new air quality standards for both PM</w:t>
      </w:r>
      <w:r w:rsidR="005D7C23" w:rsidRPr="006F1D04">
        <w:rPr>
          <w:rFonts w:ascii="Arial" w:hAnsi="Arial" w:cs="Arial"/>
          <w:vertAlign w:val="subscript"/>
        </w:rPr>
        <w:t>10</w:t>
      </w:r>
      <w:r w:rsidR="005D7C23" w:rsidRPr="006F1D04">
        <w:rPr>
          <w:rFonts w:ascii="Arial" w:hAnsi="Arial" w:cs="Arial"/>
        </w:rPr>
        <w:t xml:space="preserve"> and PM</w:t>
      </w:r>
      <w:r w:rsidR="005D7C23" w:rsidRPr="006F1D04">
        <w:rPr>
          <w:rFonts w:ascii="Arial" w:hAnsi="Arial" w:cs="Arial"/>
          <w:vertAlign w:val="subscript"/>
        </w:rPr>
        <w:t>2.5</w:t>
      </w:r>
      <w:r w:rsidR="005D7C23" w:rsidRPr="006F1D04">
        <w:rPr>
          <w:rFonts w:ascii="Arial" w:hAnsi="Arial" w:cs="Arial"/>
        </w:rPr>
        <w:t xml:space="preserve"> were </w:t>
      </w:r>
      <w:r w:rsidR="00F302A2" w:rsidRPr="006F1D04">
        <w:rPr>
          <w:rFonts w:ascii="Arial" w:hAnsi="Arial" w:cs="Arial"/>
        </w:rPr>
        <w:t>identified.</w:t>
      </w:r>
      <w:r w:rsidR="004B4989" w:rsidRPr="006F1D04">
        <w:rPr>
          <w:rFonts w:ascii="Arial" w:hAnsi="Arial" w:cs="Arial"/>
        </w:rPr>
        <w:t xml:space="preserve"> </w:t>
      </w:r>
      <w:r w:rsidRPr="006F1D04">
        <w:rPr>
          <w:rFonts w:ascii="Arial" w:hAnsi="Arial" w:cs="Arial"/>
        </w:rPr>
        <w:t xml:space="preserve">These also included the existing standards. </w:t>
      </w:r>
      <w:r w:rsidR="00482A78" w:rsidRPr="006F1D04">
        <w:rPr>
          <w:rFonts w:ascii="Arial" w:hAnsi="Arial" w:cs="Arial"/>
        </w:rPr>
        <w:t>T</w:t>
      </w:r>
      <w:r w:rsidR="0029278F" w:rsidRPr="006F1D04">
        <w:rPr>
          <w:rFonts w:ascii="Arial" w:hAnsi="Arial" w:cs="Arial"/>
        </w:rPr>
        <w:t>he o</w:t>
      </w:r>
      <w:r w:rsidR="00482A78" w:rsidRPr="006F1D04">
        <w:rPr>
          <w:rFonts w:ascii="Arial" w:hAnsi="Arial" w:cs="Arial"/>
        </w:rPr>
        <w:t xml:space="preserve">ptions </w:t>
      </w:r>
      <w:r w:rsidR="0029278F" w:rsidRPr="006F1D04">
        <w:rPr>
          <w:rFonts w:ascii="Arial" w:hAnsi="Arial" w:cs="Arial"/>
        </w:rPr>
        <w:t xml:space="preserve">and sub-options </w:t>
      </w:r>
      <w:r w:rsidR="00482A78" w:rsidRPr="006F1D04">
        <w:rPr>
          <w:rFonts w:ascii="Arial" w:hAnsi="Arial" w:cs="Arial"/>
        </w:rPr>
        <w:t>that have been assessed</w:t>
      </w:r>
      <w:r w:rsidRPr="006F1D04">
        <w:rPr>
          <w:rFonts w:ascii="Arial" w:hAnsi="Arial" w:cs="Arial"/>
        </w:rPr>
        <w:t xml:space="preserve"> here</w:t>
      </w:r>
      <w:r w:rsidR="00482A78" w:rsidRPr="006F1D04">
        <w:rPr>
          <w:rFonts w:ascii="Arial" w:hAnsi="Arial" w:cs="Arial"/>
        </w:rPr>
        <w:t>, including the numerical values of the ambient air quality standards for PM</w:t>
      </w:r>
      <w:r w:rsidR="00482A78" w:rsidRPr="006F1D04">
        <w:rPr>
          <w:rFonts w:ascii="Arial" w:hAnsi="Arial" w:cs="Arial"/>
          <w:vertAlign w:val="subscript"/>
        </w:rPr>
        <w:t>10</w:t>
      </w:r>
      <w:r w:rsidR="00482A78" w:rsidRPr="006F1D04">
        <w:rPr>
          <w:rFonts w:ascii="Arial" w:hAnsi="Arial" w:cs="Arial"/>
        </w:rPr>
        <w:t xml:space="preserve"> and PM</w:t>
      </w:r>
      <w:r w:rsidR="00482A78" w:rsidRPr="006F1D04">
        <w:rPr>
          <w:rFonts w:ascii="Arial" w:hAnsi="Arial" w:cs="Arial"/>
          <w:vertAlign w:val="subscript"/>
        </w:rPr>
        <w:t>2.5</w:t>
      </w:r>
      <w:r w:rsidR="00482A78" w:rsidRPr="006F1D04">
        <w:rPr>
          <w:rFonts w:ascii="Arial" w:hAnsi="Arial" w:cs="Arial"/>
        </w:rPr>
        <w:t xml:space="preserve">, are shown in </w:t>
      </w:r>
      <w:fldSimple w:instr=" REF _Ref367190981 \h  \* MERGEFORMAT ">
        <w:r w:rsidR="0085182E" w:rsidRPr="0085182E">
          <w:rPr>
            <w:rFonts w:ascii="Arial" w:hAnsi="Arial" w:cs="Arial"/>
            <w:b/>
          </w:rPr>
          <w:t>Table 7.1</w:t>
        </w:r>
      </w:fldSimple>
      <w:r w:rsidR="00482A78" w:rsidRPr="006F1D04">
        <w:rPr>
          <w:rFonts w:ascii="Arial" w:hAnsi="Arial" w:cs="Arial"/>
        </w:rPr>
        <w:t>.</w:t>
      </w:r>
      <w:r w:rsidRPr="006F1D04">
        <w:rPr>
          <w:rFonts w:ascii="Arial" w:hAnsi="Arial" w:cs="Arial"/>
        </w:rPr>
        <w:t xml:space="preserve"> The options are based on international guidance (</w:t>
      </w:r>
      <w:r w:rsidR="009334F4" w:rsidRPr="006F1D04">
        <w:rPr>
          <w:rFonts w:ascii="Arial" w:hAnsi="Arial" w:cs="Arial"/>
        </w:rPr>
        <w:t>e.g.</w:t>
      </w:r>
      <w:r w:rsidRPr="006F1D04">
        <w:rPr>
          <w:rFonts w:ascii="Arial" w:hAnsi="Arial" w:cs="Arial"/>
        </w:rPr>
        <w:t xml:space="preserve"> from WHO and USEPA), but were informed by Australian conditions. The most stringent standards were considered to reflect minimum realistic values for Australia, taking into account natural background and current air quality trends.</w:t>
      </w:r>
    </w:p>
    <w:p w:rsidR="003E37B3" w:rsidRPr="006F1D04" w:rsidRDefault="00F302A2" w:rsidP="006574FD">
      <w:r w:rsidRPr="006F1D04">
        <w:br w:type="page"/>
      </w:r>
    </w:p>
    <w:p w:rsidR="00482A78" w:rsidRPr="006F1D04" w:rsidRDefault="00482A78" w:rsidP="00482A78">
      <w:pPr>
        <w:pStyle w:val="Caption"/>
        <w:rPr>
          <w:rFonts w:ascii="Arial" w:hAnsi="Arial" w:cs="Arial"/>
        </w:rPr>
      </w:pPr>
      <w:bookmarkStart w:id="138" w:name="_Ref367190981"/>
      <w:r w:rsidRPr="006F1D04">
        <w:rPr>
          <w:rFonts w:ascii="Arial" w:hAnsi="Arial" w:cs="Arial"/>
        </w:rPr>
        <w:lastRenderedPageBreak/>
        <w:t xml:space="preserve">Table </w:t>
      </w:r>
      <w:r w:rsidR="00BF6019" w:rsidRPr="006F1D04">
        <w:rPr>
          <w:rFonts w:ascii="Arial" w:hAnsi="Arial" w:cs="Arial"/>
        </w:rPr>
        <w:fldChar w:fldCharType="begin"/>
      </w:r>
      <w:r w:rsidRPr="006F1D04">
        <w:rPr>
          <w:rFonts w:ascii="Arial" w:hAnsi="Arial" w:cs="Arial"/>
        </w:rPr>
        <w:instrText xml:space="preserve"> STYLEREF 1 \s </w:instrText>
      </w:r>
      <w:r w:rsidR="00BF6019" w:rsidRPr="006F1D04">
        <w:rPr>
          <w:rFonts w:ascii="Arial" w:hAnsi="Arial" w:cs="Arial"/>
        </w:rPr>
        <w:fldChar w:fldCharType="separate"/>
      </w:r>
      <w:r w:rsidR="0085182E">
        <w:rPr>
          <w:rFonts w:ascii="Arial" w:hAnsi="Arial" w:cs="Arial"/>
          <w:noProof/>
        </w:rPr>
        <w:t>7</w:t>
      </w:r>
      <w:r w:rsidR="00BF6019" w:rsidRPr="006F1D04">
        <w:rPr>
          <w:rFonts w:ascii="Arial" w:hAnsi="Arial" w:cs="Arial"/>
        </w:rPr>
        <w:fldChar w:fldCharType="end"/>
      </w:r>
      <w:r w:rsidRPr="006F1D04">
        <w:rPr>
          <w:rFonts w:ascii="Arial" w:hAnsi="Arial" w:cs="Arial"/>
        </w:rPr>
        <w:t>.</w:t>
      </w:r>
      <w:r w:rsidR="00BF6019" w:rsidRPr="006F1D04">
        <w:rPr>
          <w:rFonts w:ascii="Arial" w:hAnsi="Arial" w:cs="Arial"/>
        </w:rPr>
        <w:fldChar w:fldCharType="begin"/>
      </w:r>
      <w:r w:rsidRPr="006F1D04">
        <w:rPr>
          <w:rFonts w:ascii="Arial" w:hAnsi="Arial" w:cs="Arial"/>
        </w:rPr>
        <w:instrText xml:space="preserve"> SEQ Table \* ARABIC \s 1 </w:instrText>
      </w:r>
      <w:r w:rsidR="00BF6019" w:rsidRPr="006F1D04">
        <w:rPr>
          <w:rFonts w:ascii="Arial" w:hAnsi="Arial" w:cs="Arial"/>
        </w:rPr>
        <w:fldChar w:fldCharType="separate"/>
      </w:r>
      <w:r w:rsidR="0085182E">
        <w:rPr>
          <w:rFonts w:ascii="Arial" w:hAnsi="Arial" w:cs="Arial"/>
          <w:noProof/>
        </w:rPr>
        <w:t>1</w:t>
      </w:r>
      <w:r w:rsidR="00BF6019" w:rsidRPr="006F1D04">
        <w:rPr>
          <w:rFonts w:ascii="Arial" w:hAnsi="Arial" w:cs="Arial"/>
        </w:rPr>
        <w:fldChar w:fldCharType="end"/>
      </w:r>
      <w:bookmarkEnd w:id="138"/>
      <w:r w:rsidRPr="006F1D04">
        <w:rPr>
          <w:rFonts w:ascii="Arial" w:hAnsi="Arial" w:cs="Arial"/>
        </w:rPr>
        <w:t>: Options</w:t>
      </w:r>
      <w:r w:rsidR="0029278F" w:rsidRPr="006F1D04">
        <w:rPr>
          <w:rFonts w:ascii="Arial" w:hAnsi="Arial" w:cs="Arial"/>
        </w:rPr>
        <w:t xml:space="preserve"> and sub-options</w:t>
      </w:r>
      <w:r w:rsidR="00CE2B02" w:rsidRPr="006F1D04">
        <w:rPr>
          <w:rFonts w:ascii="Arial" w:hAnsi="Arial" w:cs="Arial"/>
        </w:rPr>
        <w:t xml:space="preserve"> – </w:t>
      </w:r>
      <w:r w:rsidR="00BA168D" w:rsidRPr="006F1D04">
        <w:rPr>
          <w:rFonts w:ascii="Arial" w:hAnsi="Arial" w:cs="Arial"/>
        </w:rPr>
        <w:t xml:space="preserve">numerical values of </w:t>
      </w:r>
      <w:r w:rsidR="00CE2B02" w:rsidRPr="006F1D04">
        <w:rPr>
          <w:rFonts w:ascii="Arial" w:hAnsi="Arial" w:cs="Arial"/>
        </w:rPr>
        <w:t>air quality standards</w:t>
      </w:r>
    </w:p>
    <w:tbl>
      <w:tblPr>
        <w:tblW w:w="0" w:type="auto"/>
        <w:jc w:val="center"/>
        <w:tblLook w:val="00A0"/>
      </w:tblPr>
      <w:tblGrid>
        <w:gridCol w:w="1923"/>
        <w:gridCol w:w="1553"/>
        <w:gridCol w:w="1202"/>
        <w:gridCol w:w="1360"/>
      </w:tblGrid>
      <w:tr w:rsidR="00482A78" w:rsidRPr="006F1D04" w:rsidTr="003E37B3">
        <w:trPr>
          <w:trHeight w:val="461"/>
          <w:jc w:val="center"/>
        </w:trPr>
        <w:tc>
          <w:tcPr>
            <w:tcW w:w="1923"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482A78" w:rsidRPr="006F1D04" w:rsidRDefault="00482A78" w:rsidP="009C29BC">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Action</w:t>
            </w:r>
          </w:p>
        </w:tc>
        <w:tc>
          <w:tcPr>
            <w:tcW w:w="1553"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482A78" w:rsidRPr="006F1D04" w:rsidRDefault="00482A78" w:rsidP="009C29BC">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Options</w:t>
            </w:r>
          </w:p>
        </w:tc>
        <w:tc>
          <w:tcPr>
            <w:tcW w:w="1202"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482A78" w:rsidRPr="006F1D04" w:rsidRDefault="00482A78" w:rsidP="009C29BC">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Sub-option</w:t>
            </w:r>
            <w:r w:rsidR="0079344B" w:rsidRPr="006F1D04">
              <w:rPr>
                <w:rFonts w:ascii="Arial" w:hAnsi="Arial" w:cs="Arial"/>
                <w:b/>
                <w:color w:val="FFFFFF"/>
                <w:sz w:val="15"/>
                <w:szCs w:val="15"/>
                <w:vertAlign w:val="superscript"/>
              </w:rPr>
              <w:t>(a)</w:t>
            </w:r>
          </w:p>
        </w:tc>
        <w:tc>
          <w:tcPr>
            <w:tcW w:w="1360"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482A78" w:rsidRPr="006F1D04" w:rsidRDefault="00482A78" w:rsidP="009C29BC">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Standard</w:t>
            </w:r>
            <w:r w:rsidR="0079344B" w:rsidRPr="006F1D04">
              <w:rPr>
                <w:rFonts w:ascii="Arial" w:hAnsi="Arial" w:cs="Arial"/>
                <w:b/>
                <w:color w:val="FFFFFF"/>
                <w:sz w:val="15"/>
                <w:szCs w:val="15"/>
                <w:vertAlign w:val="superscript"/>
              </w:rPr>
              <w:t>(b</w:t>
            </w:r>
            <w:r w:rsidRPr="006F1D04">
              <w:rPr>
                <w:rFonts w:ascii="Arial" w:hAnsi="Arial" w:cs="Arial"/>
                <w:b/>
                <w:color w:val="FFFFFF"/>
                <w:sz w:val="15"/>
                <w:szCs w:val="15"/>
                <w:vertAlign w:val="superscript"/>
              </w:rPr>
              <w:t>)</w:t>
            </w:r>
          </w:p>
        </w:tc>
      </w:tr>
      <w:tr w:rsidR="00482A78" w:rsidRPr="006F1D04" w:rsidTr="00CE2B02">
        <w:trPr>
          <w:cantSplit/>
          <w:trHeight w:hRule="exact" w:val="340"/>
          <w:jc w:val="center"/>
        </w:trPr>
        <w:tc>
          <w:tcPr>
            <w:tcW w:w="1923" w:type="dxa"/>
            <w:vMerge w:val="restart"/>
            <w:tcBorders>
              <w:top w:val="single" w:sz="4" w:space="0" w:color="0070C0"/>
              <w:left w:val="single" w:sz="4" w:space="0" w:color="0070C0"/>
              <w:right w:val="single" w:sz="4" w:space="0" w:color="0070C0"/>
            </w:tcBorders>
            <w:vAlign w:val="center"/>
          </w:tcPr>
          <w:p w:rsidR="00482A78" w:rsidRPr="006F1D04" w:rsidRDefault="00BA168D" w:rsidP="009C29BC">
            <w:pPr>
              <w:spacing w:after="0" w:line="240" w:lineRule="auto"/>
              <w:jc w:val="center"/>
              <w:rPr>
                <w:rFonts w:ascii="Arial" w:hAnsi="Arial" w:cs="Arial"/>
                <w:sz w:val="15"/>
                <w:szCs w:val="15"/>
              </w:rPr>
            </w:pPr>
            <w:r w:rsidRPr="006F1D04">
              <w:rPr>
                <w:rFonts w:ascii="Arial" w:hAnsi="Arial" w:cs="Arial"/>
                <w:sz w:val="15"/>
                <w:szCs w:val="15"/>
              </w:rPr>
              <w:t>Numerical values of PM</w:t>
            </w:r>
            <w:r w:rsidR="00482A78" w:rsidRPr="006F1D04">
              <w:rPr>
                <w:rFonts w:ascii="Arial" w:hAnsi="Arial" w:cs="Arial"/>
                <w:sz w:val="15"/>
                <w:szCs w:val="15"/>
              </w:rPr>
              <w:t xml:space="preserve"> standards</w:t>
            </w:r>
          </w:p>
        </w:tc>
        <w:tc>
          <w:tcPr>
            <w:tcW w:w="1553" w:type="dxa"/>
            <w:vMerge w:val="restart"/>
            <w:tcBorders>
              <w:top w:val="single" w:sz="4" w:space="0" w:color="0070C0"/>
              <w:left w:val="single"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r w:rsidRPr="006F1D04">
              <w:rPr>
                <w:rFonts w:ascii="Arial" w:hAnsi="Arial" w:cs="Arial"/>
                <w:sz w:val="15"/>
                <w:szCs w:val="15"/>
              </w:rPr>
              <w:t>PM</w:t>
            </w:r>
            <w:r w:rsidRPr="006F1D04">
              <w:rPr>
                <w:rFonts w:ascii="Arial" w:hAnsi="Arial" w:cs="Arial"/>
                <w:sz w:val="15"/>
                <w:szCs w:val="15"/>
                <w:vertAlign w:val="subscript"/>
              </w:rPr>
              <w:t>10</w:t>
            </w:r>
          </w:p>
          <w:p w:rsidR="00482A78" w:rsidRPr="006F1D04" w:rsidRDefault="00482A78" w:rsidP="009C29BC">
            <w:pPr>
              <w:spacing w:after="0" w:line="240" w:lineRule="auto"/>
              <w:jc w:val="center"/>
              <w:rPr>
                <w:rFonts w:ascii="Arial" w:hAnsi="Arial" w:cs="Arial"/>
                <w:sz w:val="15"/>
                <w:szCs w:val="15"/>
              </w:rPr>
            </w:pPr>
            <w:r w:rsidRPr="006F1D04">
              <w:rPr>
                <w:rFonts w:ascii="Arial" w:hAnsi="Arial" w:cs="Arial"/>
                <w:sz w:val="15"/>
                <w:szCs w:val="15"/>
              </w:rPr>
              <w:t>annual mean</w:t>
            </w:r>
          </w:p>
        </w:tc>
        <w:tc>
          <w:tcPr>
            <w:tcW w:w="1202" w:type="dxa"/>
            <w:tcBorders>
              <w:top w:val="single" w:sz="4" w:space="0" w:color="0070C0"/>
              <w:left w:val="single" w:sz="4" w:space="0" w:color="0070C0"/>
              <w:bottom w:val="dotted"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r w:rsidRPr="006F1D04">
              <w:rPr>
                <w:rFonts w:ascii="Arial" w:hAnsi="Arial" w:cs="Arial"/>
                <w:sz w:val="15"/>
                <w:szCs w:val="15"/>
              </w:rPr>
              <w:t>A20</w:t>
            </w:r>
            <w:r w:rsidRPr="006F1D04">
              <w:rPr>
                <w:rFonts w:ascii="Arial" w:hAnsi="Arial" w:cs="Arial"/>
                <w:sz w:val="15"/>
                <w:szCs w:val="15"/>
                <w:vertAlign w:val="subscript"/>
              </w:rPr>
              <w:t>PM10</w:t>
            </w:r>
          </w:p>
        </w:tc>
        <w:tc>
          <w:tcPr>
            <w:tcW w:w="1360" w:type="dxa"/>
            <w:tcBorders>
              <w:top w:val="single" w:sz="4" w:space="0" w:color="0070C0"/>
              <w:left w:val="single" w:sz="4" w:space="0" w:color="0070C0"/>
              <w:bottom w:val="dotted" w:sz="4" w:space="0" w:color="0070C0"/>
              <w:right w:val="single" w:sz="4" w:space="0" w:color="0070C0"/>
            </w:tcBorders>
            <w:vAlign w:val="center"/>
          </w:tcPr>
          <w:p w:rsidR="00482A78" w:rsidRPr="006F1D04" w:rsidRDefault="00482A78" w:rsidP="003E37B3">
            <w:pPr>
              <w:spacing w:after="0" w:line="240" w:lineRule="auto"/>
              <w:jc w:val="center"/>
              <w:rPr>
                <w:rFonts w:ascii="Arial" w:hAnsi="Arial" w:cs="Arial"/>
                <w:sz w:val="15"/>
                <w:szCs w:val="15"/>
              </w:rPr>
            </w:pPr>
            <w:r w:rsidRPr="006F1D04">
              <w:rPr>
                <w:rFonts w:ascii="Arial" w:hAnsi="Arial" w:cs="Arial"/>
                <w:sz w:val="15"/>
                <w:szCs w:val="15"/>
              </w:rPr>
              <w:t xml:space="preserve">20 </w:t>
            </w:r>
            <w:proofErr w:type="spellStart"/>
            <w:r w:rsidRPr="006F1D04">
              <w:rPr>
                <w:rFonts w:ascii="Arial" w:hAnsi="Arial" w:cs="Arial"/>
                <w:sz w:val="15"/>
                <w:szCs w:val="15"/>
              </w:rPr>
              <w:t>μg</w:t>
            </w:r>
            <w:proofErr w:type="spellEnd"/>
            <w:r w:rsidRPr="006F1D04">
              <w:rPr>
                <w:rFonts w:ascii="Arial" w:hAnsi="Arial" w:cs="Arial"/>
                <w:sz w:val="15"/>
                <w:szCs w:val="15"/>
              </w:rPr>
              <w:t>/m</w:t>
            </w:r>
            <w:r w:rsidRPr="006F1D04">
              <w:rPr>
                <w:rFonts w:ascii="Arial" w:hAnsi="Arial" w:cs="Arial"/>
                <w:sz w:val="15"/>
                <w:szCs w:val="15"/>
                <w:vertAlign w:val="superscript"/>
              </w:rPr>
              <w:t>3</w:t>
            </w:r>
          </w:p>
        </w:tc>
      </w:tr>
      <w:tr w:rsidR="00482A78" w:rsidRPr="006F1D04" w:rsidTr="00CE2B02">
        <w:trPr>
          <w:cantSplit/>
          <w:trHeight w:hRule="exact" w:val="340"/>
          <w:jc w:val="center"/>
        </w:trPr>
        <w:tc>
          <w:tcPr>
            <w:tcW w:w="1923" w:type="dxa"/>
            <w:vMerge/>
            <w:tcBorders>
              <w:left w:val="single"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p>
        </w:tc>
        <w:tc>
          <w:tcPr>
            <w:tcW w:w="1553" w:type="dxa"/>
            <w:vMerge/>
            <w:tcBorders>
              <w:left w:val="single"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p>
        </w:tc>
        <w:tc>
          <w:tcPr>
            <w:tcW w:w="1202" w:type="dxa"/>
            <w:tcBorders>
              <w:top w:val="dotted" w:sz="4" w:space="0" w:color="0070C0"/>
              <w:left w:val="single" w:sz="4" w:space="0" w:color="0070C0"/>
              <w:bottom w:val="dotted"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r w:rsidRPr="006F1D04">
              <w:rPr>
                <w:rFonts w:ascii="Arial" w:hAnsi="Arial" w:cs="Arial"/>
                <w:sz w:val="15"/>
                <w:szCs w:val="15"/>
              </w:rPr>
              <w:t>A16</w:t>
            </w:r>
            <w:r w:rsidRPr="006F1D04">
              <w:rPr>
                <w:rFonts w:ascii="Arial" w:hAnsi="Arial" w:cs="Arial"/>
                <w:sz w:val="15"/>
                <w:szCs w:val="15"/>
                <w:vertAlign w:val="subscript"/>
              </w:rPr>
              <w:t>PM10</w:t>
            </w:r>
          </w:p>
        </w:tc>
        <w:tc>
          <w:tcPr>
            <w:tcW w:w="1360" w:type="dxa"/>
            <w:tcBorders>
              <w:top w:val="dotted" w:sz="4" w:space="0" w:color="0070C0"/>
              <w:left w:val="single" w:sz="4" w:space="0" w:color="0070C0"/>
              <w:bottom w:val="dotted" w:sz="4" w:space="0" w:color="0070C0"/>
              <w:right w:val="single" w:sz="4" w:space="0" w:color="0070C0"/>
            </w:tcBorders>
            <w:vAlign w:val="center"/>
          </w:tcPr>
          <w:p w:rsidR="00482A78" w:rsidRPr="006F1D04" w:rsidRDefault="00482A78" w:rsidP="003E37B3">
            <w:pPr>
              <w:spacing w:after="0" w:line="240" w:lineRule="auto"/>
              <w:jc w:val="center"/>
              <w:rPr>
                <w:rFonts w:ascii="Arial" w:hAnsi="Arial" w:cs="Arial"/>
                <w:sz w:val="15"/>
                <w:szCs w:val="15"/>
              </w:rPr>
            </w:pPr>
            <w:r w:rsidRPr="006F1D04">
              <w:rPr>
                <w:rFonts w:ascii="Arial" w:hAnsi="Arial" w:cs="Arial"/>
                <w:sz w:val="15"/>
                <w:szCs w:val="15"/>
              </w:rPr>
              <w:t xml:space="preserve">16 </w:t>
            </w:r>
            <w:proofErr w:type="spellStart"/>
            <w:r w:rsidRPr="006F1D04">
              <w:rPr>
                <w:rFonts w:ascii="Arial" w:hAnsi="Arial" w:cs="Arial"/>
                <w:sz w:val="15"/>
                <w:szCs w:val="15"/>
              </w:rPr>
              <w:t>μg</w:t>
            </w:r>
            <w:proofErr w:type="spellEnd"/>
            <w:r w:rsidRPr="006F1D04">
              <w:rPr>
                <w:rFonts w:ascii="Arial" w:hAnsi="Arial" w:cs="Arial"/>
                <w:sz w:val="15"/>
                <w:szCs w:val="15"/>
              </w:rPr>
              <w:t>/m</w:t>
            </w:r>
            <w:r w:rsidRPr="006F1D04">
              <w:rPr>
                <w:rFonts w:ascii="Arial" w:hAnsi="Arial" w:cs="Arial"/>
                <w:sz w:val="15"/>
                <w:szCs w:val="15"/>
                <w:vertAlign w:val="superscript"/>
              </w:rPr>
              <w:t>3</w:t>
            </w:r>
          </w:p>
        </w:tc>
      </w:tr>
      <w:tr w:rsidR="00482A78" w:rsidRPr="006F1D04" w:rsidTr="00CE2B02">
        <w:trPr>
          <w:cantSplit/>
          <w:trHeight w:hRule="exact" w:val="340"/>
          <w:jc w:val="center"/>
        </w:trPr>
        <w:tc>
          <w:tcPr>
            <w:tcW w:w="1923" w:type="dxa"/>
            <w:vMerge/>
            <w:tcBorders>
              <w:left w:val="single"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p>
        </w:tc>
        <w:tc>
          <w:tcPr>
            <w:tcW w:w="1553" w:type="dxa"/>
            <w:vMerge/>
            <w:tcBorders>
              <w:left w:val="single" w:sz="4" w:space="0" w:color="0070C0"/>
              <w:bottom w:val="single"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p>
        </w:tc>
        <w:tc>
          <w:tcPr>
            <w:tcW w:w="1202" w:type="dxa"/>
            <w:tcBorders>
              <w:top w:val="dotted" w:sz="4" w:space="0" w:color="0070C0"/>
              <w:left w:val="single" w:sz="4" w:space="0" w:color="0070C0"/>
              <w:bottom w:val="single"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r w:rsidRPr="006F1D04">
              <w:rPr>
                <w:rFonts w:ascii="Arial" w:hAnsi="Arial" w:cs="Arial"/>
                <w:sz w:val="15"/>
                <w:szCs w:val="15"/>
              </w:rPr>
              <w:t>A12</w:t>
            </w:r>
            <w:r w:rsidRPr="006F1D04">
              <w:rPr>
                <w:rFonts w:ascii="Arial" w:hAnsi="Arial" w:cs="Arial"/>
                <w:sz w:val="15"/>
                <w:szCs w:val="15"/>
                <w:vertAlign w:val="subscript"/>
              </w:rPr>
              <w:t>PM10</w:t>
            </w:r>
          </w:p>
        </w:tc>
        <w:tc>
          <w:tcPr>
            <w:tcW w:w="1360" w:type="dxa"/>
            <w:tcBorders>
              <w:top w:val="dotted" w:sz="4" w:space="0" w:color="0070C0"/>
              <w:left w:val="single" w:sz="4" w:space="0" w:color="0070C0"/>
              <w:bottom w:val="single" w:sz="4" w:space="0" w:color="0070C0"/>
              <w:right w:val="single" w:sz="4" w:space="0" w:color="0070C0"/>
            </w:tcBorders>
            <w:vAlign w:val="center"/>
          </w:tcPr>
          <w:p w:rsidR="00482A78" w:rsidRPr="006F1D04" w:rsidRDefault="00482A78" w:rsidP="003E37B3">
            <w:pPr>
              <w:spacing w:after="0" w:line="240" w:lineRule="auto"/>
              <w:jc w:val="center"/>
              <w:rPr>
                <w:rFonts w:ascii="Arial" w:hAnsi="Arial" w:cs="Arial"/>
                <w:sz w:val="15"/>
                <w:szCs w:val="15"/>
              </w:rPr>
            </w:pPr>
            <w:r w:rsidRPr="006F1D04">
              <w:rPr>
                <w:rFonts w:ascii="Arial" w:hAnsi="Arial" w:cs="Arial"/>
                <w:sz w:val="15"/>
                <w:szCs w:val="15"/>
              </w:rPr>
              <w:t xml:space="preserve">12 </w:t>
            </w:r>
            <w:proofErr w:type="spellStart"/>
            <w:r w:rsidRPr="006F1D04">
              <w:rPr>
                <w:rFonts w:ascii="Arial" w:hAnsi="Arial" w:cs="Arial"/>
                <w:sz w:val="15"/>
                <w:szCs w:val="15"/>
              </w:rPr>
              <w:t>μg</w:t>
            </w:r>
            <w:proofErr w:type="spellEnd"/>
            <w:r w:rsidRPr="006F1D04">
              <w:rPr>
                <w:rFonts w:ascii="Arial" w:hAnsi="Arial" w:cs="Arial"/>
                <w:sz w:val="15"/>
                <w:szCs w:val="15"/>
              </w:rPr>
              <w:t>/m</w:t>
            </w:r>
            <w:r w:rsidRPr="006F1D04">
              <w:rPr>
                <w:rFonts w:ascii="Arial" w:hAnsi="Arial" w:cs="Arial"/>
                <w:sz w:val="15"/>
                <w:szCs w:val="15"/>
                <w:vertAlign w:val="superscript"/>
              </w:rPr>
              <w:t>3</w:t>
            </w:r>
          </w:p>
        </w:tc>
      </w:tr>
      <w:tr w:rsidR="00482A78" w:rsidRPr="006F1D04" w:rsidTr="00CE2B02">
        <w:trPr>
          <w:cantSplit/>
          <w:trHeight w:hRule="exact" w:val="340"/>
          <w:jc w:val="center"/>
        </w:trPr>
        <w:tc>
          <w:tcPr>
            <w:tcW w:w="1923" w:type="dxa"/>
            <w:vMerge/>
            <w:tcBorders>
              <w:left w:val="single"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p>
        </w:tc>
        <w:tc>
          <w:tcPr>
            <w:tcW w:w="1553" w:type="dxa"/>
            <w:vMerge w:val="restart"/>
            <w:tcBorders>
              <w:top w:val="single" w:sz="4" w:space="0" w:color="0070C0"/>
              <w:left w:val="single"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r w:rsidRPr="006F1D04">
              <w:rPr>
                <w:rFonts w:ascii="Arial" w:hAnsi="Arial" w:cs="Arial"/>
                <w:sz w:val="15"/>
                <w:szCs w:val="15"/>
              </w:rPr>
              <w:t>PM</w:t>
            </w:r>
            <w:r w:rsidRPr="006F1D04">
              <w:rPr>
                <w:rFonts w:ascii="Arial" w:hAnsi="Arial" w:cs="Arial"/>
                <w:sz w:val="15"/>
                <w:szCs w:val="15"/>
                <w:vertAlign w:val="subscript"/>
              </w:rPr>
              <w:t>10</w:t>
            </w:r>
          </w:p>
          <w:p w:rsidR="00482A78" w:rsidRPr="006F1D04" w:rsidRDefault="00482A78" w:rsidP="009C29BC">
            <w:pPr>
              <w:spacing w:after="0" w:line="240" w:lineRule="auto"/>
              <w:jc w:val="center"/>
              <w:rPr>
                <w:rFonts w:ascii="Arial" w:hAnsi="Arial" w:cs="Arial"/>
                <w:sz w:val="15"/>
                <w:szCs w:val="15"/>
              </w:rPr>
            </w:pPr>
            <w:r w:rsidRPr="006F1D04">
              <w:rPr>
                <w:rFonts w:ascii="Arial" w:hAnsi="Arial" w:cs="Arial"/>
                <w:sz w:val="15"/>
                <w:szCs w:val="15"/>
              </w:rPr>
              <w:t>24-hour mean</w:t>
            </w:r>
          </w:p>
        </w:tc>
        <w:tc>
          <w:tcPr>
            <w:tcW w:w="1202" w:type="dxa"/>
            <w:tcBorders>
              <w:top w:val="single" w:sz="4" w:space="0" w:color="0070C0"/>
              <w:left w:val="single" w:sz="4" w:space="0" w:color="0070C0"/>
              <w:bottom w:val="dotted"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r w:rsidRPr="006F1D04">
              <w:rPr>
                <w:rFonts w:ascii="Arial" w:hAnsi="Arial" w:cs="Arial"/>
                <w:sz w:val="15"/>
                <w:szCs w:val="15"/>
              </w:rPr>
              <w:t>D50</w:t>
            </w:r>
            <w:r w:rsidRPr="006F1D04">
              <w:rPr>
                <w:rFonts w:ascii="Arial" w:hAnsi="Arial" w:cs="Arial"/>
                <w:sz w:val="15"/>
                <w:szCs w:val="15"/>
                <w:vertAlign w:val="subscript"/>
              </w:rPr>
              <w:t>PM10</w:t>
            </w:r>
          </w:p>
        </w:tc>
        <w:tc>
          <w:tcPr>
            <w:tcW w:w="1360" w:type="dxa"/>
            <w:tcBorders>
              <w:top w:val="single" w:sz="4" w:space="0" w:color="0070C0"/>
              <w:left w:val="single" w:sz="4" w:space="0" w:color="0070C0"/>
              <w:bottom w:val="dotted" w:sz="4" w:space="0" w:color="0070C0"/>
              <w:right w:val="single" w:sz="4" w:space="0" w:color="0070C0"/>
            </w:tcBorders>
            <w:vAlign w:val="center"/>
          </w:tcPr>
          <w:p w:rsidR="00482A78" w:rsidRPr="006F1D04" w:rsidRDefault="00482A78" w:rsidP="003E37B3">
            <w:pPr>
              <w:spacing w:after="0" w:line="240" w:lineRule="auto"/>
              <w:jc w:val="center"/>
              <w:rPr>
                <w:rFonts w:ascii="Arial" w:hAnsi="Arial" w:cs="Arial"/>
                <w:b/>
                <w:sz w:val="15"/>
                <w:szCs w:val="15"/>
              </w:rPr>
            </w:pPr>
            <w:r w:rsidRPr="006F1D04">
              <w:rPr>
                <w:rFonts w:ascii="Arial" w:hAnsi="Arial" w:cs="Arial"/>
                <w:b/>
                <w:sz w:val="15"/>
                <w:szCs w:val="15"/>
              </w:rPr>
              <w:t>50</w:t>
            </w:r>
            <w:r w:rsidRPr="006F1D04">
              <w:rPr>
                <w:rFonts w:ascii="Arial" w:hAnsi="Arial" w:cs="Arial"/>
                <w:sz w:val="15"/>
                <w:szCs w:val="15"/>
              </w:rPr>
              <w:t xml:space="preserve"> </w:t>
            </w:r>
            <w:proofErr w:type="spellStart"/>
            <w:r w:rsidRPr="006F1D04">
              <w:rPr>
                <w:rFonts w:ascii="Arial" w:hAnsi="Arial" w:cs="Arial"/>
                <w:sz w:val="15"/>
                <w:szCs w:val="15"/>
              </w:rPr>
              <w:t>μg</w:t>
            </w:r>
            <w:proofErr w:type="spellEnd"/>
            <w:r w:rsidRPr="006F1D04">
              <w:rPr>
                <w:rFonts w:ascii="Arial" w:hAnsi="Arial" w:cs="Arial"/>
                <w:sz w:val="15"/>
                <w:szCs w:val="15"/>
              </w:rPr>
              <w:t>/m</w:t>
            </w:r>
            <w:r w:rsidRPr="006F1D04">
              <w:rPr>
                <w:rFonts w:ascii="Arial" w:hAnsi="Arial" w:cs="Arial"/>
                <w:sz w:val="15"/>
                <w:szCs w:val="15"/>
                <w:vertAlign w:val="superscript"/>
              </w:rPr>
              <w:t>3</w:t>
            </w:r>
          </w:p>
        </w:tc>
      </w:tr>
      <w:tr w:rsidR="00482A78" w:rsidRPr="006F1D04" w:rsidTr="00CE2B02">
        <w:trPr>
          <w:cantSplit/>
          <w:trHeight w:hRule="exact" w:val="340"/>
          <w:jc w:val="center"/>
        </w:trPr>
        <w:tc>
          <w:tcPr>
            <w:tcW w:w="1923" w:type="dxa"/>
            <w:vMerge/>
            <w:tcBorders>
              <w:left w:val="single"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p>
        </w:tc>
        <w:tc>
          <w:tcPr>
            <w:tcW w:w="1553" w:type="dxa"/>
            <w:vMerge/>
            <w:tcBorders>
              <w:left w:val="single"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p>
        </w:tc>
        <w:tc>
          <w:tcPr>
            <w:tcW w:w="1202" w:type="dxa"/>
            <w:tcBorders>
              <w:top w:val="dotted" w:sz="4" w:space="0" w:color="0070C0"/>
              <w:left w:val="single" w:sz="4" w:space="0" w:color="0070C0"/>
              <w:bottom w:val="dotted"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r w:rsidRPr="006F1D04">
              <w:rPr>
                <w:rFonts w:ascii="Arial" w:hAnsi="Arial" w:cs="Arial"/>
                <w:sz w:val="15"/>
                <w:szCs w:val="15"/>
              </w:rPr>
              <w:t>D40</w:t>
            </w:r>
            <w:r w:rsidRPr="006F1D04">
              <w:rPr>
                <w:rFonts w:ascii="Arial" w:hAnsi="Arial" w:cs="Arial"/>
                <w:sz w:val="15"/>
                <w:szCs w:val="15"/>
                <w:vertAlign w:val="subscript"/>
              </w:rPr>
              <w:t>PM10</w:t>
            </w:r>
          </w:p>
        </w:tc>
        <w:tc>
          <w:tcPr>
            <w:tcW w:w="1360" w:type="dxa"/>
            <w:tcBorders>
              <w:top w:val="dotted" w:sz="4" w:space="0" w:color="0070C0"/>
              <w:left w:val="single" w:sz="4" w:space="0" w:color="0070C0"/>
              <w:bottom w:val="dotted" w:sz="4" w:space="0" w:color="0070C0"/>
              <w:right w:val="single" w:sz="4" w:space="0" w:color="0070C0"/>
            </w:tcBorders>
            <w:vAlign w:val="center"/>
          </w:tcPr>
          <w:p w:rsidR="00482A78" w:rsidRPr="006F1D04" w:rsidRDefault="00482A78" w:rsidP="003E37B3">
            <w:pPr>
              <w:spacing w:after="0" w:line="240" w:lineRule="auto"/>
              <w:jc w:val="center"/>
              <w:rPr>
                <w:rFonts w:ascii="Arial" w:hAnsi="Arial" w:cs="Arial"/>
                <w:sz w:val="15"/>
                <w:szCs w:val="15"/>
              </w:rPr>
            </w:pPr>
            <w:r w:rsidRPr="006F1D04">
              <w:rPr>
                <w:rFonts w:ascii="Arial" w:hAnsi="Arial" w:cs="Arial"/>
                <w:sz w:val="15"/>
                <w:szCs w:val="15"/>
              </w:rPr>
              <w:t xml:space="preserve">40 </w:t>
            </w:r>
            <w:proofErr w:type="spellStart"/>
            <w:r w:rsidRPr="006F1D04">
              <w:rPr>
                <w:rFonts w:ascii="Arial" w:hAnsi="Arial" w:cs="Arial"/>
                <w:sz w:val="15"/>
                <w:szCs w:val="15"/>
              </w:rPr>
              <w:t>μg</w:t>
            </w:r>
            <w:proofErr w:type="spellEnd"/>
            <w:r w:rsidRPr="006F1D04">
              <w:rPr>
                <w:rFonts w:ascii="Arial" w:hAnsi="Arial" w:cs="Arial"/>
                <w:sz w:val="15"/>
                <w:szCs w:val="15"/>
              </w:rPr>
              <w:t>/m</w:t>
            </w:r>
            <w:r w:rsidRPr="006F1D04">
              <w:rPr>
                <w:rFonts w:ascii="Arial" w:hAnsi="Arial" w:cs="Arial"/>
                <w:sz w:val="15"/>
                <w:szCs w:val="15"/>
                <w:vertAlign w:val="superscript"/>
              </w:rPr>
              <w:t>3</w:t>
            </w:r>
          </w:p>
        </w:tc>
      </w:tr>
      <w:tr w:rsidR="00482A78" w:rsidRPr="006F1D04" w:rsidTr="00CE2B02">
        <w:trPr>
          <w:cantSplit/>
          <w:trHeight w:hRule="exact" w:val="340"/>
          <w:jc w:val="center"/>
        </w:trPr>
        <w:tc>
          <w:tcPr>
            <w:tcW w:w="1923" w:type="dxa"/>
            <w:vMerge/>
            <w:tcBorders>
              <w:left w:val="single"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p>
        </w:tc>
        <w:tc>
          <w:tcPr>
            <w:tcW w:w="1553" w:type="dxa"/>
            <w:vMerge/>
            <w:tcBorders>
              <w:left w:val="single" w:sz="4" w:space="0" w:color="0070C0"/>
              <w:bottom w:val="single"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p>
        </w:tc>
        <w:tc>
          <w:tcPr>
            <w:tcW w:w="1202" w:type="dxa"/>
            <w:tcBorders>
              <w:top w:val="dotted" w:sz="4" w:space="0" w:color="0070C0"/>
              <w:left w:val="single" w:sz="4" w:space="0" w:color="0070C0"/>
              <w:bottom w:val="single"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r w:rsidRPr="006F1D04">
              <w:rPr>
                <w:rFonts w:ascii="Arial" w:hAnsi="Arial" w:cs="Arial"/>
                <w:sz w:val="15"/>
                <w:szCs w:val="15"/>
              </w:rPr>
              <w:t>D30</w:t>
            </w:r>
            <w:r w:rsidRPr="006F1D04">
              <w:rPr>
                <w:rFonts w:ascii="Arial" w:hAnsi="Arial" w:cs="Arial"/>
                <w:sz w:val="15"/>
                <w:szCs w:val="15"/>
                <w:vertAlign w:val="subscript"/>
              </w:rPr>
              <w:t>PM10</w:t>
            </w:r>
          </w:p>
        </w:tc>
        <w:tc>
          <w:tcPr>
            <w:tcW w:w="1360" w:type="dxa"/>
            <w:tcBorders>
              <w:top w:val="dotted" w:sz="4" w:space="0" w:color="0070C0"/>
              <w:left w:val="single" w:sz="4" w:space="0" w:color="0070C0"/>
              <w:bottom w:val="single" w:sz="4" w:space="0" w:color="0070C0"/>
              <w:right w:val="single" w:sz="4" w:space="0" w:color="0070C0"/>
            </w:tcBorders>
            <w:vAlign w:val="center"/>
          </w:tcPr>
          <w:p w:rsidR="00482A78" w:rsidRPr="006F1D04" w:rsidRDefault="00482A78" w:rsidP="003E37B3">
            <w:pPr>
              <w:spacing w:after="0" w:line="240" w:lineRule="auto"/>
              <w:jc w:val="center"/>
              <w:rPr>
                <w:rFonts w:ascii="Arial" w:hAnsi="Arial" w:cs="Arial"/>
                <w:sz w:val="15"/>
                <w:szCs w:val="15"/>
              </w:rPr>
            </w:pPr>
            <w:r w:rsidRPr="006F1D04">
              <w:rPr>
                <w:rFonts w:ascii="Arial" w:hAnsi="Arial" w:cs="Arial"/>
                <w:sz w:val="15"/>
                <w:szCs w:val="15"/>
              </w:rPr>
              <w:t xml:space="preserve">30 </w:t>
            </w:r>
            <w:proofErr w:type="spellStart"/>
            <w:r w:rsidRPr="006F1D04">
              <w:rPr>
                <w:rFonts w:ascii="Arial" w:hAnsi="Arial" w:cs="Arial"/>
                <w:sz w:val="15"/>
                <w:szCs w:val="15"/>
              </w:rPr>
              <w:t>μg</w:t>
            </w:r>
            <w:proofErr w:type="spellEnd"/>
            <w:r w:rsidRPr="006F1D04">
              <w:rPr>
                <w:rFonts w:ascii="Arial" w:hAnsi="Arial" w:cs="Arial"/>
                <w:sz w:val="15"/>
                <w:szCs w:val="15"/>
              </w:rPr>
              <w:t>/m</w:t>
            </w:r>
            <w:r w:rsidRPr="006F1D04">
              <w:rPr>
                <w:rFonts w:ascii="Arial" w:hAnsi="Arial" w:cs="Arial"/>
                <w:sz w:val="15"/>
                <w:szCs w:val="15"/>
                <w:vertAlign w:val="superscript"/>
              </w:rPr>
              <w:t>3</w:t>
            </w:r>
          </w:p>
        </w:tc>
      </w:tr>
      <w:tr w:rsidR="00482A78" w:rsidRPr="006F1D04" w:rsidTr="00CE2B02">
        <w:trPr>
          <w:cantSplit/>
          <w:trHeight w:hRule="exact" w:val="340"/>
          <w:jc w:val="center"/>
        </w:trPr>
        <w:tc>
          <w:tcPr>
            <w:tcW w:w="1923" w:type="dxa"/>
            <w:vMerge/>
            <w:tcBorders>
              <w:left w:val="single"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p>
        </w:tc>
        <w:tc>
          <w:tcPr>
            <w:tcW w:w="1553" w:type="dxa"/>
            <w:vMerge w:val="restart"/>
            <w:tcBorders>
              <w:top w:val="single" w:sz="4" w:space="0" w:color="0070C0"/>
              <w:left w:val="single" w:sz="4" w:space="0" w:color="0070C0"/>
              <w:bottom w:val="single"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r w:rsidRPr="006F1D04">
              <w:rPr>
                <w:rFonts w:ascii="Arial" w:hAnsi="Arial" w:cs="Arial"/>
                <w:sz w:val="15"/>
                <w:szCs w:val="15"/>
              </w:rPr>
              <w:t>PM</w:t>
            </w:r>
            <w:r w:rsidRPr="006F1D04">
              <w:rPr>
                <w:rFonts w:ascii="Arial" w:hAnsi="Arial" w:cs="Arial"/>
                <w:sz w:val="15"/>
                <w:szCs w:val="15"/>
                <w:vertAlign w:val="subscript"/>
              </w:rPr>
              <w:t>2.5</w:t>
            </w:r>
          </w:p>
          <w:p w:rsidR="00482A78" w:rsidRPr="006F1D04" w:rsidRDefault="00482A78" w:rsidP="009C29BC">
            <w:pPr>
              <w:spacing w:after="0" w:line="240" w:lineRule="auto"/>
              <w:jc w:val="center"/>
              <w:rPr>
                <w:rFonts w:ascii="Arial" w:hAnsi="Arial" w:cs="Arial"/>
                <w:sz w:val="15"/>
                <w:szCs w:val="15"/>
              </w:rPr>
            </w:pPr>
            <w:r w:rsidRPr="006F1D04">
              <w:rPr>
                <w:rFonts w:ascii="Arial" w:hAnsi="Arial" w:cs="Arial"/>
                <w:sz w:val="15"/>
                <w:szCs w:val="15"/>
              </w:rPr>
              <w:t>annual mean</w:t>
            </w:r>
          </w:p>
        </w:tc>
        <w:tc>
          <w:tcPr>
            <w:tcW w:w="1202" w:type="dxa"/>
            <w:tcBorders>
              <w:top w:val="single" w:sz="4" w:space="0" w:color="0070C0"/>
              <w:left w:val="single" w:sz="4" w:space="0" w:color="0070C0"/>
              <w:bottom w:val="dotted"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r w:rsidRPr="006F1D04">
              <w:rPr>
                <w:rFonts w:ascii="Arial" w:hAnsi="Arial" w:cs="Arial"/>
                <w:sz w:val="15"/>
                <w:szCs w:val="15"/>
              </w:rPr>
              <w:t>A10</w:t>
            </w:r>
            <w:r w:rsidRPr="006F1D04">
              <w:rPr>
                <w:rFonts w:ascii="Arial" w:hAnsi="Arial" w:cs="Arial"/>
                <w:sz w:val="15"/>
                <w:szCs w:val="15"/>
                <w:vertAlign w:val="subscript"/>
              </w:rPr>
              <w:t>PM2.5</w:t>
            </w:r>
          </w:p>
        </w:tc>
        <w:tc>
          <w:tcPr>
            <w:tcW w:w="1360" w:type="dxa"/>
            <w:tcBorders>
              <w:top w:val="single" w:sz="4" w:space="0" w:color="0070C0"/>
              <w:left w:val="single" w:sz="4" w:space="0" w:color="0070C0"/>
              <w:bottom w:val="dotted" w:sz="4" w:space="0" w:color="0070C0"/>
              <w:right w:val="single" w:sz="4" w:space="0" w:color="0070C0"/>
            </w:tcBorders>
            <w:vAlign w:val="center"/>
          </w:tcPr>
          <w:p w:rsidR="00482A78" w:rsidRPr="006F1D04" w:rsidRDefault="00482A78" w:rsidP="003E37B3">
            <w:pPr>
              <w:spacing w:after="0" w:line="240" w:lineRule="auto"/>
              <w:jc w:val="center"/>
              <w:rPr>
                <w:rFonts w:ascii="Arial" w:hAnsi="Arial" w:cs="Arial"/>
                <w:sz w:val="15"/>
                <w:szCs w:val="15"/>
              </w:rPr>
            </w:pPr>
            <w:r w:rsidRPr="006F1D04">
              <w:rPr>
                <w:rFonts w:ascii="Arial" w:hAnsi="Arial" w:cs="Arial"/>
                <w:sz w:val="15"/>
                <w:szCs w:val="15"/>
              </w:rPr>
              <w:t xml:space="preserve">10 </w:t>
            </w:r>
            <w:proofErr w:type="spellStart"/>
            <w:r w:rsidRPr="006F1D04">
              <w:rPr>
                <w:rFonts w:ascii="Arial" w:hAnsi="Arial" w:cs="Arial"/>
                <w:sz w:val="15"/>
                <w:szCs w:val="15"/>
              </w:rPr>
              <w:t>μg</w:t>
            </w:r>
            <w:proofErr w:type="spellEnd"/>
            <w:r w:rsidRPr="006F1D04">
              <w:rPr>
                <w:rFonts w:ascii="Arial" w:hAnsi="Arial" w:cs="Arial"/>
                <w:sz w:val="15"/>
                <w:szCs w:val="15"/>
              </w:rPr>
              <w:t>/m</w:t>
            </w:r>
            <w:r w:rsidRPr="006F1D04">
              <w:rPr>
                <w:rFonts w:ascii="Arial" w:hAnsi="Arial" w:cs="Arial"/>
                <w:sz w:val="15"/>
                <w:szCs w:val="15"/>
                <w:vertAlign w:val="superscript"/>
              </w:rPr>
              <w:t>3</w:t>
            </w:r>
          </w:p>
        </w:tc>
      </w:tr>
      <w:tr w:rsidR="00482A78" w:rsidRPr="006F1D04" w:rsidTr="00CE2B02">
        <w:trPr>
          <w:cantSplit/>
          <w:trHeight w:hRule="exact" w:val="340"/>
          <w:jc w:val="center"/>
        </w:trPr>
        <w:tc>
          <w:tcPr>
            <w:tcW w:w="1923" w:type="dxa"/>
            <w:vMerge/>
            <w:tcBorders>
              <w:left w:val="single"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p>
        </w:tc>
        <w:tc>
          <w:tcPr>
            <w:tcW w:w="1553" w:type="dxa"/>
            <w:vMerge/>
            <w:tcBorders>
              <w:top w:val="single" w:sz="4" w:space="0" w:color="0070C0"/>
              <w:left w:val="single" w:sz="4" w:space="0" w:color="0070C0"/>
              <w:bottom w:val="single"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p>
        </w:tc>
        <w:tc>
          <w:tcPr>
            <w:tcW w:w="1202" w:type="dxa"/>
            <w:tcBorders>
              <w:top w:val="dotted" w:sz="4" w:space="0" w:color="0070C0"/>
              <w:left w:val="single" w:sz="4" w:space="0" w:color="0070C0"/>
              <w:bottom w:val="dotted"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r w:rsidRPr="006F1D04">
              <w:rPr>
                <w:rFonts w:ascii="Arial" w:hAnsi="Arial" w:cs="Arial"/>
                <w:sz w:val="15"/>
                <w:szCs w:val="15"/>
              </w:rPr>
              <w:t>A08</w:t>
            </w:r>
            <w:r w:rsidRPr="006F1D04">
              <w:rPr>
                <w:rFonts w:ascii="Arial" w:hAnsi="Arial" w:cs="Arial"/>
                <w:sz w:val="15"/>
                <w:szCs w:val="15"/>
                <w:vertAlign w:val="subscript"/>
              </w:rPr>
              <w:t>PM2.5</w:t>
            </w:r>
          </w:p>
        </w:tc>
        <w:tc>
          <w:tcPr>
            <w:tcW w:w="1360" w:type="dxa"/>
            <w:tcBorders>
              <w:top w:val="dotted" w:sz="4" w:space="0" w:color="0070C0"/>
              <w:left w:val="single" w:sz="4" w:space="0" w:color="0070C0"/>
              <w:bottom w:val="dotted" w:sz="4" w:space="0" w:color="0070C0"/>
              <w:right w:val="single" w:sz="4" w:space="0" w:color="0070C0"/>
            </w:tcBorders>
            <w:vAlign w:val="center"/>
          </w:tcPr>
          <w:p w:rsidR="00482A78" w:rsidRPr="006F1D04" w:rsidRDefault="00482A78" w:rsidP="003E37B3">
            <w:pPr>
              <w:spacing w:after="0" w:line="240" w:lineRule="auto"/>
              <w:jc w:val="center"/>
              <w:rPr>
                <w:rFonts w:ascii="Arial" w:hAnsi="Arial" w:cs="Arial"/>
                <w:b/>
                <w:sz w:val="15"/>
                <w:szCs w:val="15"/>
              </w:rPr>
            </w:pPr>
            <w:r w:rsidRPr="006F1D04">
              <w:rPr>
                <w:rFonts w:ascii="Arial" w:hAnsi="Arial" w:cs="Arial"/>
                <w:b/>
                <w:sz w:val="15"/>
                <w:szCs w:val="15"/>
              </w:rPr>
              <w:t>8</w:t>
            </w:r>
            <w:r w:rsidRPr="006F1D04">
              <w:rPr>
                <w:rFonts w:ascii="Arial" w:hAnsi="Arial" w:cs="Arial"/>
                <w:sz w:val="15"/>
                <w:szCs w:val="15"/>
              </w:rPr>
              <w:t xml:space="preserve"> </w:t>
            </w:r>
            <w:proofErr w:type="spellStart"/>
            <w:r w:rsidRPr="006F1D04">
              <w:rPr>
                <w:rFonts w:ascii="Arial" w:hAnsi="Arial" w:cs="Arial"/>
                <w:sz w:val="15"/>
                <w:szCs w:val="15"/>
              </w:rPr>
              <w:t>μg</w:t>
            </w:r>
            <w:proofErr w:type="spellEnd"/>
            <w:r w:rsidRPr="006F1D04">
              <w:rPr>
                <w:rFonts w:ascii="Arial" w:hAnsi="Arial" w:cs="Arial"/>
                <w:sz w:val="15"/>
                <w:szCs w:val="15"/>
              </w:rPr>
              <w:t>/m</w:t>
            </w:r>
            <w:r w:rsidRPr="006F1D04">
              <w:rPr>
                <w:rFonts w:ascii="Arial" w:hAnsi="Arial" w:cs="Arial"/>
                <w:sz w:val="15"/>
                <w:szCs w:val="15"/>
                <w:vertAlign w:val="superscript"/>
              </w:rPr>
              <w:t>3</w:t>
            </w:r>
          </w:p>
        </w:tc>
      </w:tr>
      <w:tr w:rsidR="00482A78" w:rsidRPr="006F1D04" w:rsidTr="00CE2B02">
        <w:trPr>
          <w:cantSplit/>
          <w:trHeight w:hRule="exact" w:val="340"/>
          <w:jc w:val="center"/>
        </w:trPr>
        <w:tc>
          <w:tcPr>
            <w:tcW w:w="1923" w:type="dxa"/>
            <w:vMerge/>
            <w:tcBorders>
              <w:left w:val="single"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p>
        </w:tc>
        <w:tc>
          <w:tcPr>
            <w:tcW w:w="1553" w:type="dxa"/>
            <w:vMerge/>
            <w:tcBorders>
              <w:top w:val="single" w:sz="4" w:space="0" w:color="0070C0"/>
              <w:left w:val="single" w:sz="4" w:space="0" w:color="0070C0"/>
              <w:bottom w:val="single"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p>
        </w:tc>
        <w:tc>
          <w:tcPr>
            <w:tcW w:w="1202" w:type="dxa"/>
            <w:tcBorders>
              <w:top w:val="dotted" w:sz="4" w:space="0" w:color="0070C0"/>
              <w:left w:val="single" w:sz="4" w:space="0" w:color="0070C0"/>
              <w:bottom w:val="single"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r w:rsidRPr="006F1D04">
              <w:rPr>
                <w:rFonts w:ascii="Arial" w:hAnsi="Arial" w:cs="Arial"/>
                <w:sz w:val="15"/>
                <w:szCs w:val="15"/>
              </w:rPr>
              <w:t>A06</w:t>
            </w:r>
            <w:r w:rsidRPr="006F1D04">
              <w:rPr>
                <w:rFonts w:ascii="Arial" w:hAnsi="Arial" w:cs="Arial"/>
                <w:sz w:val="15"/>
                <w:szCs w:val="15"/>
                <w:vertAlign w:val="subscript"/>
              </w:rPr>
              <w:t>PM2.5</w:t>
            </w:r>
          </w:p>
        </w:tc>
        <w:tc>
          <w:tcPr>
            <w:tcW w:w="1360" w:type="dxa"/>
            <w:tcBorders>
              <w:top w:val="dotted" w:sz="4" w:space="0" w:color="0070C0"/>
              <w:left w:val="single" w:sz="4" w:space="0" w:color="0070C0"/>
              <w:bottom w:val="single" w:sz="4" w:space="0" w:color="0070C0"/>
              <w:right w:val="single" w:sz="4" w:space="0" w:color="0070C0"/>
            </w:tcBorders>
            <w:vAlign w:val="center"/>
          </w:tcPr>
          <w:p w:rsidR="00482A78" w:rsidRPr="006F1D04" w:rsidRDefault="00482A78" w:rsidP="003E37B3">
            <w:pPr>
              <w:spacing w:after="0" w:line="240" w:lineRule="auto"/>
              <w:jc w:val="center"/>
              <w:rPr>
                <w:rFonts w:ascii="Arial" w:hAnsi="Arial" w:cs="Arial"/>
                <w:sz w:val="15"/>
                <w:szCs w:val="15"/>
              </w:rPr>
            </w:pPr>
            <w:r w:rsidRPr="006F1D04">
              <w:rPr>
                <w:rFonts w:ascii="Arial" w:hAnsi="Arial" w:cs="Arial"/>
                <w:sz w:val="15"/>
                <w:szCs w:val="15"/>
              </w:rPr>
              <w:t xml:space="preserve">6 </w:t>
            </w:r>
            <w:proofErr w:type="spellStart"/>
            <w:r w:rsidRPr="006F1D04">
              <w:rPr>
                <w:rFonts w:ascii="Arial" w:hAnsi="Arial" w:cs="Arial"/>
                <w:sz w:val="15"/>
                <w:szCs w:val="15"/>
              </w:rPr>
              <w:t>μg</w:t>
            </w:r>
            <w:proofErr w:type="spellEnd"/>
            <w:r w:rsidRPr="006F1D04">
              <w:rPr>
                <w:rFonts w:ascii="Arial" w:hAnsi="Arial" w:cs="Arial"/>
                <w:sz w:val="15"/>
                <w:szCs w:val="15"/>
              </w:rPr>
              <w:t>/m</w:t>
            </w:r>
            <w:r w:rsidRPr="006F1D04">
              <w:rPr>
                <w:rFonts w:ascii="Arial" w:hAnsi="Arial" w:cs="Arial"/>
                <w:sz w:val="15"/>
                <w:szCs w:val="15"/>
                <w:vertAlign w:val="superscript"/>
              </w:rPr>
              <w:t>3</w:t>
            </w:r>
          </w:p>
        </w:tc>
      </w:tr>
      <w:tr w:rsidR="00482A78" w:rsidRPr="006F1D04" w:rsidTr="00CE2B02">
        <w:trPr>
          <w:cantSplit/>
          <w:trHeight w:hRule="exact" w:val="340"/>
          <w:jc w:val="center"/>
        </w:trPr>
        <w:tc>
          <w:tcPr>
            <w:tcW w:w="1923" w:type="dxa"/>
            <w:vMerge/>
            <w:tcBorders>
              <w:left w:val="single"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p>
        </w:tc>
        <w:tc>
          <w:tcPr>
            <w:tcW w:w="1553" w:type="dxa"/>
            <w:vMerge w:val="restart"/>
            <w:tcBorders>
              <w:top w:val="single" w:sz="4" w:space="0" w:color="0070C0"/>
              <w:left w:val="single" w:sz="4" w:space="0" w:color="0070C0"/>
              <w:bottom w:val="single"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r w:rsidRPr="006F1D04">
              <w:rPr>
                <w:rFonts w:ascii="Arial" w:hAnsi="Arial" w:cs="Arial"/>
                <w:sz w:val="15"/>
                <w:szCs w:val="15"/>
              </w:rPr>
              <w:t>PM</w:t>
            </w:r>
            <w:r w:rsidRPr="006F1D04">
              <w:rPr>
                <w:rFonts w:ascii="Arial" w:hAnsi="Arial" w:cs="Arial"/>
                <w:sz w:val="15"/>
                <w:szCs w:val="15"/>
                <w:vertAlign w:val="subscript"/>
              </w:rPr>
              <w:t>2.5</w:t>
            </w:r>
          </w:p>
          <w:p w:rsidR="00482A78" w:rsidRPr="006F1D04" w:rsidRDefault="00482A78" w:rsidP="009C29BC">
            <w:pPr>
              <w:spacing w:after="0" w:line="240" w:lineRule="auto"/>
              <w:jc w:val="center"/>
              <w:rPr>
                <w:rFonts w:ascii="Arial" w:hAnsi="Arial" w:cs="Arial"/>
                <w:sz w:val="15"/>
                <w:szCs w:val="15"/>
              </w:rPr>
            </w:pPr>
            <w:r w:rsidRPr="006F1D04">
              <w:rPr>
                <w:rFonts w:ascii="Arial" w:hAnsi="Arial" w:cs="Arial"/>
                <w:sz w:val="15"/>
                <w:szCs w:val="15"/>
              </w:rPr>
              <w:t>24-hour mean</w:t>
            </w:r>
          </w:p>
        </w:tc>
        <w:tc>
          <w:tcPr>
            <w:tcW w:w="1202" w:type="dxa"/>
            <w:tcBorders>
              <w:top w:val="single" w:sz="4" w:space="0" w:color="0070C0"/>
              <w:left w:val="single" w:sz="4" w:space="0" w:color="0070C0"/>
              <w:bottom w:val="dotted"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r w:rsidRPr="006F1D04">
              <w:rPr>
                <w:rFonts w:ascii="Arial" w:hAnsi="Arial" w:cs="Arial"/>
                <w:sz w:val="15"/>
                <w:szCs w:val="15"/>
              </w:rPr>
              <w:t>D25</w:t>
            </w:r>
            <w:r w:rsidRPr="006F1D04">
              <w:rPr>
                <w:rFonts w:ascii="Arial" w:hAnsi="Arial" w:cs="Arial"/>
                <w:sz w:val="15"/>
                <w:szCs w:val="15"/>
                <w:vertAlign w:val="subscript"/>
              </w:rPr>
              <w:t>PM2.5</w:t>
            </w:r>
          </w:p>
        </w:tc>
        <w:tc>
          <w:tcPr>
            <w:tcW w:w="1360" w:type="dxa"/>
            <w:tcBorders>
              <w:top w:val="single" w:sz="4" w:space="0" w:color="0070C0"/>
              <w:left w:val="single" w:sz="4" w:space="0" w:color="0070C0"/>
              <w:bottom w:val="dotted" w:sz="4" w:space="0" w:color="0070C0"/>
              <w:right w:val="single" w:sz="4" w:space="0" w:color="0070C0"/>
            </w:tcBorders>
            <w:vAlign w:val="center"/>
          </w:tcPr>
          <w:p w:rsidR="00482A78" w:rsidRPr="006F1D04" w:rsidRDefault="00482A78" w:rsidP="003E37B3">
            <w:pPr>
              <w:spacing w:after="0" w:line="240" w:lineRule="auto"/>
              <w:jc w:val="center"/>
              <w:rPr>
                <w:rFonts w:ascii="Arial" w:hAnsi="Arial" w:cs="Arial"/>
                <w:b/>
                <w:sz w:val="15"/>
                <w:szCs w:val="15"/>
              </w:rPr>
            </w:pPr>
            <w:r w:rsidRPr="006F1D04">
              <w:rPr>
                <w:rFonts w:ascii="Arial" w:hAnsi="Arial" w:cs="Arial"/>
                <w:b/>
                <w:sz w:val="15"/>
                <w:szCs w:val="15"/>
              </w:rPr>
              <w:t>25</w:t>
            </w:r>
            <w:r w:rsidRPr="006F1D04">
              <w:rPr>
                <w:rFonts w:ascii="Arial" w:hAnsi="Arial" w:cs="Arial"/>
                <w:sz w:val="15"/>
                <w:szCs w:val="15"/>
              </w:rPr>
              <w:t xml:space="preserve"> </w:t>
            </w:r>
            <w:proofErr w:type="spellStart"/>
            <w:r w:rsidRPr="006F1D04">
              <w:rPr>
                <w:rFonts w:ascii="Arial" w:hAnsi="Arial" w:cs="Arial"/>
                <w:sz w:val="15"/>
                <w:szCs w:val="15"/>
              </w:rPr>
              <w:t>μg</w:t>
            </w:r>
            <w:proofErr w:type="spellEnd"/>
            <w:r w:rsidRPr="006F1D04">
              <w:rPr>
                <w:rFonts w:ascii="Arial" w:hAnsi="Arial" w:cs="Arial"/>
                <w:sz w:val="15"/>
                <w:szCs w:val="15"/>
              </w:rPr>
              <w:t>/m</w:t>
            </w:r>
            <w:r w:rsidRPr="006F1D04">
              <w:rPr>
                <w:rFonts w:ascii="Arial" w:hAnsi="Arial" w:cs="Arial"/>
                <w:sz w:val="15"/>
                <w:szCs w:val="15"/>
                <w:vertAlign w:val="superscript"/>
              </w:rPr>
              <w:t>3</w:t>
            </w:r>
          </w:p>
        </w:tc>
      </w:tr>
      <w:tr w:rsidR="00482A78" w:rsidRPr="006F1D04" w:rsidTr="00CE2B02">
        <w:trPr>
          <w:cantSplit/>
          <w:trHeight w:hRule="exact" w:val="340"/>
          <w:jc w:val="center"/>
        </w:trPr>
        <w:tc>
          <w:tcPr>
            <w:tcW w:w="1923" w:type="dxa"/>
            <w:vMerge/>
            <w:tcBorders>
              <w:left w:val="single"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p>
        </w:tc>
        <w:tc>
          <w:tcPr>
            <w:tcW w:w="1553" w:type="dxa"/>
            <w:vMerge/>
            <w:tcBorders>
              <w:top w:val="single" w:sz="4" w:space="0" w:color="0070C0"/>
              <w:left w:val="single" w:sz="4" w:space="0" w:color="0070C0"/>
              <w:bottom w:val="single"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p>
        </w:tc>
        <w:tc>
          <w:tcPr>
            <w:tcW w:w="1202" w:type="dxa"/>
            <w:tcBorders>
              <w:top w:val="dotted" w:sz="4" w:space="0" w:color="0070C0"/>
              <w:left w:val="single" w:sz="4" w:space="0" w:color="0070C0"/>
              <w:bottom w:val="dotted"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r w:rsidRPr="006F1D04">
              <w:rPr>
                <w:rFonts w:ascii="Arial" w:hAnsi="Arial" w:cs="Arial"/>
                <w:sz w:val="15"/>
                <w:szCs w:val="15"/>
              </w:rPr>
              <w:t>D20</w:t>
            </w:r>
            <w:r w:rsidRPr="006F1D04">
              <w:rPr>
                <w:rFonts w:ascii="Arial" w:hAnsi="Arial" w:cs="Arial"/>
                <w:sz w:val="15"/>
                <w:szCs w:val="15"/>
                <w:vertAlign w:val="subscript"/>
              </w:rPr>
              <w:t>PM2.5</w:t>
            </w:r>
          </w:p>
        </w:tc>
        <w:tc>
          <w:tcPr>
            <w:tcW w:w="1360" w:type="dxa"/>
            <w:tcBorders>
              <w:top w:val="dotted" w:sz="4" w:space="0" w:color="0070C0"/>
              <w:left w:val="single" w:sz="4" w:space="0" w:color="0070C0"/>
              <w:bottom w:val="dotted" w:sz="4" w:space="0" w:color="0070C0"/>
              <w:right w:val="single" w:sz="4" w:space="0" w:color="0070C0"/>
            </w:tcBorders>
            <w:vAlign w:val="center"/>
          </w:tcPr>
          <w:p w:rsidR="00482A78" w:rsidRPr="006F1D04" w:rsidRDefault="00482A78" w:rsidP="003E37B3">
            <w:pPr>
              <w:spacing w:after="0" w:line="240" w:lineRule="auto"/>
              <w:jc w:val="center"/>
              <w:rPr>
                <w:rFonts w:ascii="Arial" w:hAnsi="Arial" w:cs="Arial"/>
                <w:sz w:val="15"/>
                <w:szCs w:val="15"/>
              </w:rPr>
            </w:pPr>
            <w:r w:rsidRPr="006F1D04">
              <w:rPr>
                <w:rFonts w:ascii="Arial" w:hAnsi="Arial" w:cs="Arial"/>
                <w:sz w:val="15"/>
                <w:szCs w:val="15"/>
              </w:rPr>
              <w:t xml:space="preserve">20 </w:t>
            </w:r>
            <w:proofErr w:type="spellStart"/>
            <w:r w:rsidRPr="006F1D04">
              <w:rPr>
                <w:rFonts w:ascii="Arial" w:hAnsi="Arial" w:cs="Arial"/>
                <w:sz w:val="15"/>
                <w:szCs w:val="15"/>
              </w:rPr>
              <w:t>μg</w:t>
            </w:r>
            <w:proofErr w:type="spellEnd"/>
            <w:r w:rsidRPr="006F1D04">
              <w:rPr>
                <w:rFonts w:ascii="Arial" w:hAnsi="Arial" w:cs="Arial"/>
                <w:sz w:val="15"/>
                <w:szCs w:val="15"/>
              </w:rPr>
              <w:t>/m</w:t>
            </w:r>
            <w:r w:rsidRPr="006F1D04">
              <w:rPr>
                <w:rFonts w:ascii="Arial" w:hAnsi="Arial" w:cs="Arial"/>
                <w:sz w:val="15"/>
                <w:szCs w:val="15"/>
                <w:vertAlign w:val="superscript"/>
              </w:rPr>
              <w:t>3</w:t>
            </w:r>
          </w:p>
        </w:tc>
      </w:tr>
      <w:tr w:rsidR="00482A78" w:rsidRPr="006F1D04" w:rsidTr="00CE2B02">
        <w:trPr>
          <w:cantSplit/>
          <w:trHeight w:hRule="exact" w:val="340"/>
          <w:jc w:val="center"/>
        </w:trPr>
        <w:tc>
          <w:tcPr>
            <w:tcW w:w="1923" w:type="dxa"/>
            <w:vMerge/>
            <w:tcBorders>
              <w:left w:val="single" w:sz="4" w:space="0" w:color="0070C0"/>
              <w:bottom w:val="single"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p>
        </w:tc>
        <w:tc>
          <w:tcPr>
            <w:tcW w:w="1553" w:type="dxa"/>
            <w:vMerge/>
            <w:tcBorders>
              <w:top w:val="single" w:sz="4" w:space="0" w:color="0070C0"/>
              <w:left w:val="single" w:sz="4" w:space="0" w:color="0070C0"/>
              <w:bottom w:val="single"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p>
        </w:tc>
        <w:tc>
          <w:tcPr>
            <w:tcW w:w="1202" w:type="dxa"/>
            <w:tcBorders>
              <w:top w:val="dotted" w:sz="4" w:space="0" w:color="0070C0"/>
              <w:left w:val="single" w:sz="4" w:space="0" w:color="0070C0"/>
              <w:bottom w:val="single" w:sz="4" w:space="0" w:color="0070C0"/>
              <w:right w:val="single" w:sz="4" w:space="0" w:color="0070C0"/>
            </w:tcBorders>
            <w:vAlign w:val="center"/>
          </w:tcPr>
          <w:p w:rsidR="00482A78" w:rsidRPr="006F1D04" w:rsidRDefault="00482A78" w:rsidP="009C29BC">
            <w:pPr>
              <w:spacing w:after="0" w:line="240" w:lineRule="auto"/>
              <w:jc w:val="center"/>
              <w:rPr>
                <w:rFonts w:ascii="Arial" w:hAnsi="Arial" w:cs="Arial"/>
                <w:sz w:val="15"/>
                <w:szCs w:val="15"/>
              </w:rPr>
            </w:pPr>
            <w:r w:rsidRPr="006F1D04">
              <w:rPr>
                <w:rFonts w:ascii="Arial" w:hAnsi="Arial" w:cs="Arial"/>
                <w:sz w:val="15"/>
                <w:szCs w:val="15"/>
              </w:rPr>
              <w:t>D15</w:t>
            </w:r>
            <w:r w:rsidRPr="006F1D04">
              <w:rPr>
                <w:rFonts w:ascii="Arial" w:hAnsi="Arial" w:cs="Arial"/>
                <w:sz w:val="15"/>
                <w:szCs w:val="15"/>
                <w:vertAlign w:val="subscript"/>
              </w:rPr>
              <w:t>PM2.5</w:t>
            </w:r>
          </w:p>
        </w:tc>
        <w:tc>
          <w:tcPr>
            <w:tcW w:w="1360" w:type="dxa"/>
            <w:tcBorders>
              <w:top w:val="dotted" w:sz="4" w:space="0" w:color="0070C0"/>
              <w:left w:val="single" w:sz="4" w:space="0" w:color="0070C0"/>
              <w:bottom w:val="single" w:sz="4" w:space="0" w:color="0070C0"/>
              <w:right w:val="single" w:sz="4" w:space="0" w:color="0070C0"/>
            </w:tcBorders>
            <w:vAlign w:val="center"/>
          </w:tcPr>
          <w:p w:rsidR="00482A78" w:rsidRPr="006F1D04" w:rsidRDefault="003E37B3" w:rsidP="003E37B3">
            <w:pPr>
              <w:spacing w:after="0" w:line="240" w:lineRule="auto"/>
              <w:jc w:val="center"/>
              <w:rPr>
                <w:rFonts w:ascii="Arial" w:hAnsi="Arial" w:cs="Arial"/>
              </w:rPr>
            </w:pPr>
            <w:r w:rsidRPr="006F1D04">
              <w:rPr>
                <w:rFonts w:ascii="Arial" w:hAnsi="Arial" w:cs="Arial"/>
                <w:sz w:val="15"/>
                <w:szCs w:val="15"/>
              </w:rPr>
              <w:t xml:space="preserve">15 </w:t>
            </w:r>
            <w:proofErr w:type="spellStart"/>
            <w:r w:rsidRPr="006F1D04">
              <w:rPr>
                <w:rFonts w:ascii="Arial" w:hAnsi="Arial" w:cs="Arial"/>
                <w:sz w:val="15"/>
                <w:szCs w:val="15"/>
              </w:rPr>
              <w:t>μg</w:t>
            </w:r>
            <w:proofErr w:type="spellEnd"/>
            <w:r w:rsidRPr="006F1D04">
              <w:rPr>
                <w:rFonts w:ascii="Arial" w:hAnsi="Arial" w:cs="Arial"/>
                <w:sz w:val="15"/>
                <w:szCs w:val="15"/>
              </w:rPr>
              <w:t>/m</w:t>
            </w:r>
            <w:r w:rsidRPr="006F1D04">
              <w:rPr>
                <w:rFonts w:ascii="Arial" w:hAnsi="Arial" w:cs="Arial"/>
                <w:sz w:val="15"/>
                <w:szCs w:val="15"/>
                <w:vertAlign w:val="superscript"/>
              </w:rPr>
              <w:t>3</w:t>
            </w:r>
          </w:p>
        </w:tc>
      </w:tr>
    </w:tbl>
    <w:p w:rsidR="0079344B" w:rsidRPr="006F1D04" w:rsidRDefault="0079344B" w:rsidP="002A2116">
      <w:pPr>
        <w:pStyle w:val="ListParagraph"/>
        <w:numPr>
          <w:ilvl w:val="0"/>
          <w:numId w:val="26"/>
        </w:numPr>
        <w:spacing w:before="120" w:after="0" w:line="240" w:lineRule="auto"/>
        <w:ind w:left="1843"/>
        <w:rPr>
          <w:rFonts w:ascii="Arial" w:hAnsi="Arial" w:cs="Arial"/>
          <w:sz w:val="14"/>
          <w:szCs w:val="14"/>
        </w:rPr>
      </w:pPr>
      <w:r w:rsidRPr="006F1D04">
        <w:rPr>
          <w:rFonts w:ascii="Arial" w:hAnsi="Arial" w:cs="Arial"/>
          <w:sz w:val="14"/>
          <w:szCs w:val="14"/>
        </w:rPr>
        <w:t>A = annual mean; D</w:t>
      </w:r>
      <w:r w:rsidR="006E0A9A" w:rsidRPr="006F1D04">
        <w:rPr>
          <w:rFonts w:ascii="Arial" w:hAnsi="Arial" w:cs="Arial"/>
          <w:sz w:val="14"/>
          <w:szCs w:val="14"/>
        </w:rPr>
        <w:t xml:space="preserve"> </w:t>
      </w:r>
      <w:r w:rsidRPr="006F1D04">
        <w:rPr>
          <w:rFonts w:ascii="Arial" w:hAnsi="Arial" w:cs="Arial"/>
          <w:sz w:val="14"/>
          <w:szCs w:val="14"/>
        </w:rPr>
        <w:t>=</w:t>
      </w:r>
      <w:r w:rsidR="006E0A9A" w:rsidRPr="006F1D04">
        <w:rPr>
          <w:rFonts w:ascii="Arial" w:hAnsi="Arial" w:cs="Arial"/>
          <w:sz w:val="14"/>
          <w:szCs w:val="14"/>
        </w:rPr>
        <w:t xml:space="preserve"> </w:t>
      </w:r>
      <w:r w:rsidRPr="006F1D04">
        <w:rPr>
          <w:rFonts w:ascii="Arial" w:hAnsi="Arial" w:cs="Arial"/>
          <w:sz w:val="14"/>
          <w:szCs w:val="14"/>
        </w:rPr>
        <w:t>daily mean</w:t>
      </w:r>
    </w:p>
    <w:p w:rsidR="00944564" w:rsidRPr="006F1D04" w:rsidRDefault="00482A78" w:rsidP="002A2116">
      <w:pPr>
        <w:pStyle w:val="ListParagraph"/>
        <w:numPr>
          <w:ilvl w:val="0"/>
          <w:numId w:val="26"/>
        </w:numPr>
        <w:spacing w:before="120" w:after="0" w:line="240" w:lineRule="auto"/>
        <w:ind w:left="1843"/>
        <w:rPr>
          <w:rFonts w:ascii="Arial" w:hAnsi="Arial" w:cs="Arial"/>
          <w:sz w:val="14"/>
          <w:szCs w:val="14"/>
        </w:rPr>
      </w:pPr>
      <w:r w:rsidRPr="006F1D04">
        <w:rPr>
          <w:rFonts w:ascii="Arial" w:hAnsi="Arial" w:cs="Arial"/>
          <w:sz w:val="14"/>
          <w:szCs w:val="14"/>
        </w:rPr>
        <w:t>Current standards are shown in bold</w:t>
      </w:r>
    </w:p>
    <w:p w:rsidR="003E37B3" w:rsidRPr="006F1D04" w:rsidRDefault="003E37B3" w:rsidP="003B3998">
      <w:pPr>
        <w:pStyle w:val="BulletArrows"/>
        <w:ind w:left="284"/>
        <w:rPr>
          <w:rFonts w:ascii="Arial" w:hAnsi="Arial"/>
          <w:sz w:val="24"/>
          <w:szCs w:val="24"/>
          <w:highlight w:val="yellow"/>
        </w:rPr>
      </w:pPr>
    </w:p>
    <w:p w:rsidR="003E37B3" w:rsidRPr="006F1D04" w:rsidRDefault="006E0A9A" w:rsidP="003E37B3">
      <w:pPr>
        <w:rPr>
          <w:rFonts w:ascii="Arial" w:hAnsi="Arial" w:cs="Arial"/>
        </w:rPr>
      </w:pPr>
      <w:r w:rsidRPr="006F1D04">
        <w:rPr>
          <w:rFonts w:ascii="Arial" w:hAnsi="Arial" w:cs="Arial"/>
        </w:rPr>
        <w:t xml:space="preserve">Health effects occur at levels of exposure currently experienced in Australia. There is evidence that health improvements will be achieved by reducing exposure below these levels. </w:t>
      </w:r>
      <w:r w:rsidR="00543904" w:rsidRPr="006F1D04">
        <w:rPr>
          <w:rFonts w:ascii="Arial" w:hAnsi="Arial" w:cs="Arial"/>
        </w:rPr>
        <w:t>N</w:t>
      </w:r>
      <w:r w:rsidRPr="006F1D04">
        <w:rPr>
          <w:rFonts w:ascii="Arial" w:hAnsi="Arial" w:cs="Arial"/>
        </w:rPr>
        <w:t xml:space="preserve">o standard could </w:t>
      </w:r>
      <w:r w:rsidR="00543904" w:rsidRPr="006F1D04">
        <w:rPr>
          <w:rFonts w:ascii="Arial" w:hAnsi="Arial" w:cs="Arial"/>
        </w:rPr>
        <w:t xml:space="preserve">therefore </w:t>
      </w:r>
      <w:r w:rsidRPr="006F1D04">
        <w:rPr>
          <w:rFonts w:ascii="Arial" w:hAnsi="Arial" w:cs="Arial"/>
        </w:rPr>
        <w:t xml:space="preserve">completely eliminate the risk of adverse health impacts. Because of this, </w:t>
      </w:r>
      <w:proofErr w:type="spellStart"/>
      <w:r w:rsidRPr="006F1D04">
        <w:rPr>
          <w:rFonts w:ascii="Arial" w:hAnsi="Arial" w:cs="Arial"/>
        </w:rPr>
        <w:t>enHealth’s</w:t>
      </w:r>
      <w:proofErr w:type="spellEnd"/>
      <w:r w:rsidRPr="006F1D04">
        <w:rPr>
          <w:rFonts w:ascii="Arial" w:hAnsi="Arial" w:cs="Arial"/>
        </w:rPr>
        <w:t xml:space="preserve"> position is that the numeric values should be set as low as reasonably achievable, taking into account social and economic factors</w:t>
      </w:r>
      <w:r w:rsidR="00250C42" w:rsidRPr="006F1D04">
        <w:rPr>
          <w:rFonts w:ascii="Arial" w:hAnsi="Arial" w:cs="Arial"/>
        </w:rPr>
        <w:t xml:space="preserve"> (see </w:t>
      </w:r>
      <w:r w:rsidR="00250C42" w:rsidRPr="006F1D04">
        <w:rPr>
          <w:rFonts w:ascii="Arial" w:hAnsi="Arial" w:cs="Arial"/>
          <w:b/>
        </w:rPr>
        <w:t>Appendix</w:t>
      </w:r>
      <w:r w:rsidR="00774E7F">
        <w:rPr>
          <w:rFonts w:ascii="Arial" w:hAnsi="Arial" w:cs="Arial"/>
          <w:b/>
        </w:rPr>
        <w:t> </w:t>
      </w:r>
      <w:r w:rsidR="00250C42" w:rsidRPr="006F1D04">
        <w:rPr>
          <w:rFonts w:ascii="Arial" w:hAnsi="Arial" w:cs="Arial"/>
          <w:b/>
        </w:rPr>
        <w:t>C</w:t>
      </w:r>
      <w:r w:rsidR="00250C42" w:rsidRPr="006F1D04">
        <w:rPr>
          <w:rFonts w:ascii="Arial" w:hAnsi="Arial" w:cs="Arial"/>
        </w:rPr>
        <w:t>)</w:t>
      </w:r>
      <w:r w:rsidRPr="006F1D04">
        <w:rPr>
          <w:rFonts w:ascii="Arial" w:hAnsi="Arial" w:cs="Arial"/>
        </w:rPr>
        <w:t>.</w:t>
      </w:r>
    </w:p>
    <w:p w:rsidR="003E37B3" w:rsidRPr="006F1D04" w:rsidRDefault="003E37B3" w:rsidP="00CE2B02">
      <w:pPr>
        <w:spacing w:after="360"/>
        <w:rPr>
          <w:rFonts w:ascii="Arial" w:hAnsi="Arial" w:cs="Arial"/>
        </w:rPr>
      </w:pPr>
      <w:r w:rsidRPr="006F1D04">
        <w:rPr>
          <w:rFonts w:ascii="Arial" w:hAnsi="Arial" w:cs="Arial"/>
        </w:rPr>
        <w:t xml:space="preserve">As with previous national </w:t>
      </w:r>
      <w:r w:rsidR="006E0A9A" w:rsidRPr="006F1D04">
        <w:rPr>
          <w:rFonts w:ascii="Arial" w:hAnsi="Arial" w:cs="Arial"/>
        </w:rPr>
        <w:t xml:space="preserve">regulation impact statements </w:t>
      </w:r>
      <w:r w:rsidRPr="006F1D04">
        <w:rPr>
          <w:rFonts w:ascii="Arial" w:hAnsi="Arial" w:cs="Arial"/>
        </w:rPr>
        <w:t>that have considered iterative change, these options and sub-options are necessarily considered against a baseline s</w:t>
      </w:r>
      <w:r w:rsidR="00E047E2" w:rsidRPr="006F1D04">
        <w:rPr>
          <w:rFonts w:ascii="Arial" w:hAnsi="Arial" w:cs="Arial"/>
        </w:rPr>
        <w:t>ituation or a BAU</w:t>
      </w:r>
      <w:r w:rsidR="00CA1C25" w:rsidRPr="006F1D04">
        <w:rPr>
          <w:rFonts w:ascii="Arial" w:hAnsi="Arial" w:cs="Arial"/>
        </w:rPr>
        <w:t xml:space="preserve"> </w:t>
      </w:r>
      <w:r w:rsidRPr="006F1D04">
        <w:rPr>
          <w:rFonts w:ascii="Arial" w:hAnsi="Arial" w:cs="Arial"/>
        </w:rPr>
        <w:t>scenario.</w:t>
      </w:r>
      <w:r w:rsidR="004B4989" w:rsidRPr="006F1D04">
        <w:rPr>
          <w:rFonts w:ascii="Arial" w:hAnsi="Arial" w:cs="Arial"/>
        </w:rPr>
        <w:t xml:space="preserve"> </w:t>
      </w:r>
      <w:r w:rsidR="00CE2B02" w:rsidRPr="006F1D04">
        <w:rPr>
          <w:rFonts w:ascii="Arial" w:hAnsi="Arial" w:cs="Arial"/>
        </w:rPr>
        <w:t>In impact statements</w:t>
      </w:r>
      <w:r w:rsidRPr="006F1D04">
        <w:rPr>
          <w:rFonts w:ascii="Arial" w:hAnsi="Arial" w:cs="Arial"/>
        </w:rPr>
        <w:t xml:space="preserve"> </w:t>
      </w:r>
      <w:r w:rsidR="00CE2B02" w:rsidRPr="006F1D04">
        <w:rPr>
          <w:rFonts w:ascii="Arial" w:hAnsi="Arial" w:cs="Arial"/>
        </w:rPr>
        <w:t xml:space="preserve">for specific sectors </w:t>
      </w:r>
      <w:r w:rsidRPr="006F1D04">
        <w:rPr>
          <w:rFonts w:ascii="Arial" w:hAnsi="Arial" w:cs="Arial"/>
        </w:rPr>
        <w:t xml:space="preserve">it has been comparatively straightforward to define the BAU scenario; for example, future emissions for a given sector (say, road vehicles) can be calculated based on an assumption that no further (more stringent) emission standards would be introduced. However, the baseline/BAU situation is more difficult to define when dealing with ambient air quality, and different approaches were used in the HRA and Economic Analysis projects (see </w:t>
      </w:r>
      <w:r w:rsidRPr="006F1D04">
        <w:rPr>
          <w:rFonts w:ascii="Arial" w:hAnsi="Arial" w:cs="Arial"/>
          <w:b/>
        </w:rPr>
        <w:t>Chapter 8</w:t>
      </w:r>
      <w:r w:rsidRPr="006F1D04">
        <w:rPr>
          <w:rFonts w:ascii="Arial" w:hAnsi="Arial" w:cs="Arial"/>
        </w:rPr>
        <w:t>).</w:t>
      </w:r>
    </w:p>
    <w:p w:rsidR="00A76F39" w:rsidRPr="006F1D04" w:rsidRDefault="001C34C3" w:rsidP="00774E7F">
      <w:pPr>
        <w:pStyle w:val="Heading2"/>
        <w:spacing w:after="160"/>
        <w:rPr>
          <w:rFonts w:ascii="Arial" w:hAnsi="Arial"/>
        </w:rPr>
      </w:pPr>
      <w:bookmarkStart w:id="139" w:name="_Ref367373619"/>
      <w:bookmarkStart w:id="140" w:name="_Toc394011130"/>
      <w:r w:rsidRPr="006F1D04">
        <w:rPr>
          <w:rFonts w:ascii="Arial" w:hAnsi="Arial"/>
        </w:rPr>
        <w:t>F</w:t>
      </w:r>
      <w:r w:rsidR="00A76F39" w:rsidRPr="006F1D04">
        <w:rPr>
          <w:rFonts w:ascii="Arial" w:hAnsi="Arial"/>
        </w:rPr>
        <w:t xml:space="preserve">orm of </w:t>
      </w:r>
      <w:r w:rsidR="00607628" w:rsidRPr="006F1D04">
        <w:rPr>
          <w:rFonts w:ascii="Arial" w:hAnsi="Arial"/>
        </w:rPr>
        <w:t xml:space="preserve">the </w:t>
      </w:r>
      <w:r w:rsidR="00BA168D" w:rsidRPr="006F1D04">
        <w:rPr>
          <w:rFonts w:ascii="Arial" w:hAnsi="Arial"/>
        </w:rPr>
        <w:t xml:space="preserve">24-hour PM </w:t>
      </w:r>
      <w:r w:rsidR="00A76F39" w:rsidRPr="006F1D04">
        <w:rPr>
          <w:rFonts w:ascii="Arial" w:hAnsi="Arial"/>
        </w:rPr>
        <w:t>standards</w:t>
      </w:r>
      <w:bookmarkEnd w:id="139"/>
      <w:bookmarkEnd w:id="140"/>
    </w:p>
    <w:p w:rsidR="00BA168D" w:rsidRPr="006F1D04" w:rsidRDefault="00BA168D" w:rsidP="00774E7F">
      <w:pPr>
        <w:pStyle w:val="Heading3"/>
        <w:spacing w:before="160"/>
        <w:rPr>
          <w:rFonts w:ascii="Arial" w:hAnsi="Arial"/>
        </w:rPr>
      </w:pPr>
      <w:bookmarkStart w:id="141" w:name="_Toc394011131"/>
      <w:r w:rsidRPr="006F1D04">
        <w:rPr>
          <w:rFonts w:ascii="Arial" w:hAnsi="Arial"/>
        </w:rPr>
        <w:t>Background</w:t>
      </w:r>
      <w:bookmarkEnd w:id="141"/>
    </w:p>
    <w:p w:rsidR="007623CE" w:rsidRPr="006F1D04" w:rsidRDefault="007623CE" w:rsidP="007623CE">
      <w:pPr>
        <w:rPr>
          <w:rFonts w:ascii="Arial" w:hAnsi="Arial" w:cs="Arial"/>
        </w:rPr>
      </w:pPr>
      <w:r w:rsidRPr="006F1D04">
        <w:rPr>
          <w:rFonts w:ascii="Arial" w:hAnsi="Arial" w:cs="Arial"/>
        </w:rPr>
        <w:t xml:space="preserve">The ‘form’ of a standard refers to the approach that is used to obtain a value from the measurements that can be compared with the numerical value of the standard. For the annual mean concentration this is relatively straightforward, as only one value is obtained from the measurements. For the 24-hour standard it is more complicated, as there is a need to decide which of the 365 measurements in a year (assuming a </w:t>
      </w:r>
      <w:r w:rsidR="006558AF" w:rsidRPr="006F1D04">
        <w:rPr>
          <w:rFonts w:ascii="Arial" w:hAnsi="Arial" w:cs="Arial"/>
        </w:rPr>
        <w:t xml:space="preserve">non </w:t>
      </w:r>
      <w:r w:rsidRPr="006F1D04">
        <w:rPr>
          <w:rFonts w:ascii="Arial" w:hAnsi="Arial" w:cs="Arial"/>
        </w:rPr>
        <w:t>leap year and no loss of data) should be compared with the standard. In the US, the form of the standard relates to the use of descriptive statistics, and in the case of the 24-hour standard for PM</w:t>
      </w:r>
      <w:r w:rsidRPr="006F1D04">
        <w:rPr>
          <w:rFonts w:ascii="Arial" w:hAnsi="Arial" w:cs="Arial"/>
          <w:vertAlign w:val="subscript"/>
        </w:rPr>
        <w:t>2.5</w:t>
      </w:r>
      <w:r w:rsidRPr="006F1D04">
        <w:rPr>
          <w:rFonts w:ascii="Arial" w:hAnsi="Arial" w:cs="Arial"/>
        </w:rPr>
        <w:t xml:space="preserve"> the 98</w:t>
      </w:r>
      <w:r w:rsidRPr="006F1D04">
        <w:rPr>
          <w:rFonts w:ascii="Arial" w:hAnsi="Arial" w:cs="Arial"/>
          <w:vertAlign w:val="superscript"/>
        </w:rPr>
        <w:t>th</w:t>
      </w:r>
      <w:r w:rsidRPr="006F1D04">
        <w:rPr>
          <w:rFonts w:ascii="Arial" w:hAnsi="Arial" w:cs="Arial"/>
        </w:rPr>
        <w:t xml:space="preserve"> percentile (averaged over three years) is used. The 98</w:t>
      </w:r>
      <w:r w:rsidRPr="006F1D04">
        <w:rPr>
          <w:rFonts w:ascii="Arial" w:hAnsi="Arial" w:cs="Arial"/>
          <w:vertAlign w:val="superscript"/>
        </w:rPr>
        <w:t>th</w:t>
      </w:r>
      <w:r w:rsidRPr="006F1D04">
        <w:rPr>
          <w:rFonts w:ascii="Arial" w:hAnsi="Arial" w:cs="Arial"/>
        </w:rPr>
        <w:t xml:space="preserve"> percentile was selected as it represents a balance between limiting peak pollutant concentrations and providing a stable regulatory target </w:t>
      </w:r>
      <w:r w:rsidRPr="006F1D04">
        <w:rPr>
          <w:rFonts w:ascii="Arial" w:hAnsi="Arial" w:cs="Arial"/>
          <w:b/>
        </w:rPr>
        <w:t>(</w:t>
      </w:r>
      <w:r w:rsidR="00DE78AE" w:rsidRPr="006F1D04">
        <w:rPr>
          <w:rFonts w:ascii="Arial" w:hAnsi="Arial" w:cs="Arial"/>
          <w:b/>
        </w:rPr>
        <w:t>USEPA</w:t>
      </w:r>
      <w:r w:rsidRPr="006F1D04">
        <w:rPr>
          <w:rFonts w:ascii="Arial" w:hAnsi="Arial" w:cs="Arial"/>
          <w:b/>
        </w:rPr>
        <w:t xml:space="preserve"> 2011)</w:t>
      </w:r>
      <w:r w:rsidRPr="006F1D04">
        <w:rPr>
          <w:rFonts w:ascii="Arial" w:hAnsi="Arial" w:cs="Arial"/>
        </w:rPr>
        <w:t xml:space="preserve">. </w:t>
      </w:r>
    </w:p>
    <w:p w:rsidR="007623CE" w:rsidRPr="006F1D04" w:rsidRDefault="007623CE" w:rsidP="007623CE">
      <w:pPr>
        <w:rPr>
          <w:rFonts w:ascii="Arial" w:hAnsi="Arial" w:cs="Arial"/>
        </w:rPr>
      </w:pPr>
      <w:r w:rsidRPr="006F1D04">
        <w:rPr>
          <w:rFonts w:ascii="Arial" w:hAnsi="Arial" w:cs="Arial"/>
        </w:rPr>
        <w:t xml:space="preserve">One of the greatest challenges in air quality management is to separate </w:t>
      </w:r>
      <w:r w:rsidR="00DE78AE" w:rsidRPr="006F1D04">
        <w:rPr>
          <w:rFonts w:ascii="Arial" w:hAnsi="Arial" w:cs="Arial"/>
        </w:rPr>
        <w:t>human</w:t>
      </w:r>
      <w:r w:rsidRPr="006F1D04">
        <w:rPr>
          <w:rFonts w:ascii="Arial" w:hAnsi="Arial" w:cs="Arial"/>
        </w:rPr>
        <w:t xml:space="preserve">-made PM from natural PM. This situation is, however, not unique to Australia; a recent report has highlighted a similar problem in Europe </w:t>
      </w:r>
      <w:r w:rsidRPr="006F1D04">
        <w:rPr>
          <w:rFonts w:ascii="Arial" w:hAnsi="Arial" w:cs="Arial"/>
          <w:b/>
        </w:rPr>
        <w:t xml:space="preserve">(EEA 2012) </w:t>
      </w:r>
      <w:r w:rsidRPr="006F1D04">
        <w:rPr>
          <w:rFonts w:ascii="Arial" w:hAnsi="Arial" w:cs="Arial"/>
        </w:rPr>
        <w:t xml:space="preserve">(see </w:t>
      </w:r>
      <w:r w:rsidRPr="006F1D04">
        <w:rPr>
          <w:rFonts w:ascii="Arial" w:hAnsi="Arial" w:cs="Arial"/>
          <w:b/>
        </w:rPr>
        <w:t xml:space="preserve">Section </w:t>
      </w:r>
      <w:fldSimple w:instr=" REF _Ref367437504 \n \h  \* MERGEFORMAT ">
        <w:r w:rsidR="0085182E">
          <w:rPr>
            <w:rFonts w:ascii="Arial" w:hAnsi="Arial" w:cs="Arial"/>
            <w:b/>
          </w:rPr>
          <w:t>4.2.1.4</w:t>
        </w:r>
      </w:fldSimple>
      <w:r w:rsidRPr="006F1D04">
        <w:rPr>
          <w:rFonts w:ascii="Arial" w:hAnsi="Arial" w:cs="Arial"/>
        </w:rPr>
        <w:t>). In the US and Europe there is the possibility for jurisdictions to remove the data for natural or exceptional events (such as bush fires and dust storms) prior to comparing measurements with the standard.</w:t>
      </w:r>
    </w:p>
    <w:p w:rsidR="007623CE" w:rsidRPr="006F1D04" w:rsidRDefault="007623CE" w:rsidP="007623CE">
      <w:pPr>
        <w:rPr>
          <w:rFonts w:ascii="Arial" w:hAnsi="Arial" w:cs="Arial"/>
        </w:rPr>
      </w:pPr>
      <w:r w:rsidRPr="006F1D04">
        <w:rPr>
          <w:rFonts w:ascii="Arial" w:hAnsi="Arial" w:cs="Arial"/>
        </w:rPr>
        <w:lastRenderedPageBreak/>
        <w:t xml:space="preserve">The form of the 24-hour standard should also result in an appropriate balance between the annual mean and 24-hour standards. For example, where these two metrics are applied together there may be a tendency at a given monitoring site for one of them to be exceeded more frequently than the other. From a health and economic perspective </w:t>
      </w:r>
      <w:r w:rsidR="00DE78AE" w:rsidRPr="006F1D04">
        <w:rPr>
          <w:rFonts w:ascii="Arial" w:hAnsi="Arial" w:cs="Arial"/>
        </w:rPr>
        <w:t>–</w:t>
      </w:r>
      <w:r w:rsidRPr="006F1D04">
        <w:rPr>
          <w:rFonts w:ascii="Arial" w:hAnsi="Arial" w:cs="Arial"/>
        </w:rPr>
        <w:t xml:space="preserve"> and hence in terms of policy </w:t>
      </w:r>
      <w:r w:rsidR="00DE78AE" w:rsidRPr="006F1D04">
        <w:rPr>
          <w:rFonts w:ascii="Arial" w:hAnsi="Arial" w:cs="Arial"/>
        </w:rPr>
        <w:t>–</w:t>
      </w:r>
      <w:r w:rsidRPr="006F1D04">
        <w:rPr>
          <w:rFonts w:ascii="Arial" w:hAnsi="Arial" w:cs="Arial"/>
        </w:rPr>
        <w:t xml:space="preserve"> it is advisable to place more emphasis on the annual mean standard than on the 24-hour standard. As long as separate annual and 24-hour standards are in place, this should not </w:t>
      </w:r>
      <w:r w:rsidR="00DE78AE" w:rsidRPr="006F1D04">
        <w:rPr>
          <w:rFonts w:ascii="Arial" w:hAnsi="Arial" w:cs="Arial"/>
        </w:rPr>
        <w:t xml:space="preserve">present </w:t>
      </w:r>
      <w:r w:rsidRPr="006F1D04">
        <w:rPr>
          <w:rFonts w:ascii="Arial" w:hAnsi="Arial" w:cs="Arial"/>
        </w:rPr>
        <w:t>a practical problem. However, if the numerical value and form of the 24-hour standard are defined so that it is exceeded more frequently than the annual mean standard, this could lead to the perception that the 24-hour standard is the more important</w:t>
      </w:r>
      <w:r w:rsidR="00DE78AE" w:rsidRPr="006F1D04">
        <w:rPr>
          <w:rFonts w:ascii="Arial" w:hAnsi="Arial" w:cs="Arial"/>
        </w:rPr>
        <w:t xml:space="preserve"> one</w:t>
      </w:r>
      <w:r w:rsidRPr="006F1D04">
        <w:rPr>
          <w:rFonts w:ascii="Arial" w:hAnsi="Arial" w:cs="Arial"/>
        </w:rPr>
        <w:t>, with the potential for disproportionate action on short-term concentrations.</w:t>
      </w:r>
    </w:p>
    <w:p w:rsidR="003A4476" w:rsidRPr="006F1D04" w:rsidRDefault="003A4476" w:rsidP="003A4476">
      <w:pPr>
        <w:rPr>
          <w:rFonts w:ascii="Arial" w:hAnsi="Arial" w:cs="Arial"/>
        </w:rPr>
      </w:pPr>
      <w:r w:rsidRPr="006F1D04">
        <w:rPr>
          <w:rFonts w:ascii="Arial" w:hAnsi="Arial" w:cs="Arial"/>
          <w:lang w:eastAsia="en-US"/>
        </w:rPr>
        <w:t>In this context t</w:t>
      </w:r>
      <w:r w:rsidR="00E35EFD" w:rsidRPr="006F1D04">
        <w:rPr>
          <w:rFonts w:ascii="Arial" w:hAnsi="Arial" w:cs="Arial"/>
          <w:lang w:eastAsia="en-US"/>
        </w:rPr>
        <w:t xml:space="preserve">he </w:t>
      </w:r>
      <w:r w:rsidR="00EF24F8" w:rsidRPr="006F1D04">
        <w:rPr>
          <w:rFonts w:ascii="Arial" w:hAnsi="Arial" w:cs="Arial"/>
          <w:lang w:eastAsia="en-US"/>
        </w:rPr>
        <w:t>AAQ NEPM</w:t>
      </w:r>
      <w:r w:rsidR="00E35EFD" w:rsidRPr="006F1D04">
        <w:rPr>
          <w:rFonts w:ascii="Arial" w:hAnsi="Arial" w:cs="Arial"/>
          <w:lang w:eastAsia="en-US"/>
        </w:rPr>
        <w:t xml:space="preserve"> review dealt in some detail with the </w:t>
      </w:r>
      <w:r w:rsidR="00126A98" w:rsidRPr="006F1D04">
        <w:rPr>
          <w:rFonts w:ascii="Arial" w:hAnsi="Arial" w:cs="Arial"/>
          <w:lang w:eastAsia="en-US"/>
        </w:rPr>
        <w:t xml:space="preserve">current approach in Australia of allowing a fixed number of exceedances </w:t>
      </w:r>
      <w:r w:rsidR="00E35EFD" w:rsidRPr="006F1D04">
        <w:rPr>
          <w:rFonts w:ascii="Arial" w:hAnsi="Arial" w:cs="Arial"/>
          <w:lang w:eastAsia="en-US"/>
        </w:rPr>
        <w:t>for</w:t>
      </w:r>
      <w:r w:rsidRPr="006F1D04">
        <w:rPr>
          <w:rFonts w:ascii="Arial" w:hAnsi="Arial" w:cs="Arial"/>
          <w:lang w:eastAsia="en-US"/>
        </w:rPr>
        <w:t xml:space="preserve"> 24-hour</w:t>
      </w:r>
      <w:r w:rsidR="00E35EFD" w:rsidRPr="006F1D04">
        <w:rPr>
          <w:rFonts w:ascii="Arial" w:hAnsi="Arial" w:cs="Arial"/>
          <w:lang w:eastAsia="en-US"/>
        </w:rPr>
        <w:t xml:space="preserve"> </w:t>
      </w:r>
      <w:r w:rsidR="00BA2D24" w:rsidRPr="006F1D04">
        <w:rPr>
          <w:rFonts w:ascii="Arial" w:hAnsi="Arial" w:cs="Arial"/>
          <w:lang w:eastAsia="en-US"/>
        </w:rPr>
        <w:t xml:space="preserve">average </w:t>
      </w:r>
      <w:r w:rsidR="00E35EFD" w:rsidRPr="006F1D04">
        <w:rPr>
          <w:rFonts w:ascii="Arial" w:hAnsi="Arial" w:cs="Arial"/>
          <w:lang w:eastAsia="en-US"/>
        </w:rPr>
        <w:t>PM</w:t>
      </w:r>
      <w:r w:rsidR="00E35EFD" w:rsidRPr="006F1D04">
        <w:rPr>
          <w:rFonts w:ascii="Arial" w:hAnsi="Arial" w:cs="Arial"/>
          <w:vertAlign w:val="subscript"/>
          <w:lang w:eastAsia="en-US"/>
        </w:rPr>
        <w:t>10</w:t>
      </w:r>
      <w:r w:rsidR="00E35EFD" w:rsidRPr="006F1D04">
        <w:rPr>
          <w:rFonts w:ascii="Arial" w:hAnsi="Arial" w:cs="Arial"/>
          <w:lang w:eastAsia="en-US"/>
        </w:rPr>
        <w:t xml:space="preserve">. It was noted that </w:t>
      </w:r>
      <w:r w:rsidRPr="006F1D04">
        <w:rPr>
          <w:rFonts w:ascii="Arial" w:hAnsi="Arial" w:cs="Arial"/>
          <w:lang w:eastAsia="en-US"/>
        </w:rPr>
        <w:t xml:space="preserve">the </w:t>
      </w:r>
      <w:r w:rsidR="00E35EFD" w:rsidRPr="006F1D04">
        <w:rPr>
          <w:rFonts w:ascii="Arial" w:hAnsi="Arial" w:cs="Arial"/>
          <w:lang w:eastAsia="en-US"/>
        </w:rPr>
        <w:t>exceedance rule is often misused, and has been applied to urban air pollution and, in some cases, individual sources</w:t>
      </w:r>
      <w:r w:rsidRPr="006F1D04">
        <w:rPr>
          <w:rFonts w:ascii="Arial" w:hAnsi="Arial" w:cs="Arial"/>
          <w:lang w:eastAsia="en-US"/>
        </w:rPr>
        <w:t xml:space="preserve"> </w:t>
      </w:r>
      <w:r w:rsidRPr="006F1D04">
        <w:rPr>
          <w:rFonts w:ascii="Arial" w:hAnsi="Arial" w:cs="Arial"/>
          <w:b/>
          <w:lang w:eastAsia="en-US"/>
        </w:rPr>
        <w:t>(NEPC 2011a)</w:t>
      </w:r>
      <w:r w:rsidR="00E35EFD" w:rsidRPr="006F1D04">
        <w:rPr>
          <w:rFonts w:ascii="Arial" w:hAnsi="Arial" w:cs="Arial"/>
          <w:lang w:eastAsia="en-US"/>
        </w:rPr>
        <w:t xml:space="preserve">. </w:t>
      </w:r>
      <w:r w:rsidR="00126A98" w:rsidRPr="006F1D04">
        <w:rPr>
          <w:rFonts w:ascii="Arial" w:hAnsi="Arial" w:cs="Arial"/>
          <w:lang w:eastAsia="en-US"/>
        </w:rPr>
        <w:t xml:space="preserve">There was also strong support in the review process for the </w:t>
      </w:r>
      <w:r w:rsidR="0087080F" w:rsidRPr="006F1D04">
        <w:rPr>
          <w:rFonts w:ascii="Arial" w:hAnsi="Arial" w:cs="Arial"/>
          <w:lang w:eastAsia="en-US"/>
        </w:rPr>
        <w:t xml:space="preserve">jurisdictional </w:t>
      </w:r>
      <w:r w:rsidR="00EF24F8" w:rsidRPr="006F1D04">
        <w:rPr>
          <w:rFonts w:ascii="Arial" w:hAnsi="Arial" w:cs="Arial"/>
          <w:lang w:eastAsia="en-US"/>
        </w:rPr>
        <w:t>AAQ NEPM</w:t>
      </w:r>
      <w:r w:rsidR="0087080F" w:rsidRPr="006F1D04">
        <w:rPr>
          <w:rFonts w:ascii="Arial" w:hAnsi="Arial" w:cs="Arial"/>
          <w:lang w:eastAsia="en-US"/>
        </w:rPr>
        <w:t xml:space="preserve"> </w:t>
      </w:r>
      <w:r w:rsidR="00126A98" w:rsidRPr="006F1D04">
        <w:rPr>
          <w:rFonts w:ascii="Arial" w:hAnsi="Arial" w:cs="Arial"/>
          <w:lang w:eastAsia="en-US"/>
        </w:rPr>
        <w:t>reports to demonstrate through trend analysis whether improvements have been made over time and, accordingly, whether there is decreasing risk associated with population exposures with respect to air pollution.</w:t>
      </w:r>
    </w:p>
    <w:p w:rsidR="003A4476" w:rsidRPr="006F1D04" w:rsidRDefault="007623CE" w:rsidP="00CE2B02">
      <w:pPr>
        <w:spacing w:after="300"/>
        <w:rPr>
          <w:rFonts w:ascii="Arial" w:hAnsi="Arial" w:cs="Arial"/>
        </w:rPr>
      </w:pPr>
      <w:bookmarkStart w:id="142" w:name="_Ref367094801"/>
      <w:r w:rsidRPr="006F1D04">
        <w:rPr>
          <w:rFonts w:ascii="Arial" w:hAnsi="Arial" w:cs="Arial"/>
        </w:rPr>
        <w:t>The</w:t>
      </w:r>
      <w:r w:rsidR="003A4476" w:rsidRPr="006F1D04">
        <w:rPr>
          <w:rFonts w:ascii="Arial" w:hAnsi="Arial" w:cs="Arial"/>
        </w:rPr>
        <w:t xml:space="preserve"> alternatives have been considered below.</w:t>
      </w:r>
    </w:p>
    <w:p w:rsidR="00BA168D" w:rsidRPr="006F1D04" w:rsidRDefault="00BA168D" w:rsidP="00774E7F">
      <w:pPr>
        <w:pStyle w:val="Heading3"/>
        <w:spacing w:after="160"/>
        <w:rPr>
          <w:rFonts w:ascii="Arial" w:hAnsi="Arial"/>
        </w:rPr>
      </w:pPr>
      <w:bookmarkStart w:id="143" w:name="_Toc394011132"/>
      <w:r w:rsidRPr="006F1D04">
        <w:rPr>
          <w:rFonts w:ascii="Arial" w:hAnsi="Arial"/>
        </w:rPr>
        <w:t>Alternative forms</w:t>
      </w:r>
      <w:bookmarkEnd w:id="143"/>
    </w:p>
    <w:p w:rsidR="003A4476" w:rsidRPr="006F1D04" w:rsidRDefault="003A4476" w:rsidP="00774E7F">
      <w:pPr>
        <w:pStyle w:val="Heading4"/>
        <w:spacing w:before="160" w:after="160"/>
        <w:rPr>
          <w:rFonts w:ascii="Arial" w:hAnsi="Arial" w:cs="Arial"/>
          <w:lang w:eastAsia="en-US"/>
        </w:rPr>
      </w:pPr>
      <w:r w:rsidRPr="006F1D04">
        <w:rPr>
          <w:rFonts w:ascii="Arial" w:hAnsi="Arial" w:cs="Arial"/>
          <w:lang w:eastAsia="en-US"/>
        </w:rPr>
        <w:t>Fixed number of days</w:t>
      </w:r>
      <w:r w:rsidR="00EA0914" w:rsidRPr="006F1D04">
        <w:rPr>
          <w:rFonts w:ascii="Arial" w:hAnsi="Arial" w:cs="Arial"/>
          <w:lang w:eastAsia="en-US"/>
        </w:rPr>
        <w:t xml:space="preserve"> (current </w:t>
      </w:r>
      <w:r w:rsidR="00EF24F8" w:rsidRPr="006F1D04">
        <w:rPr>
          <w:rFonts w:ascii="Arial" w:hAnsi="Arial" w:cs="Arial"/>
          <w:lang w:eastAsia="en-US"/>
        </w:rPr>
        <w:t>AAQ NEPM</w:t>
      </w:r>
      <w:r w:rsidR="00EA0914" w:rsidRPr="006F1D04">
        <w:rPr>
          <w:rFonts w:ascii="Arial" w:hAnsi="Arial" w:cs="Arial"/>
          <w:lang w:eastAsia="en-US"/>
        </w:rPr>
        <w:t xml:space="preserve"> approach)</w:t>
      </w:r>
    </w:p>
    <w:p w:rsidR="00EA0914" w:rsidRPr="006F1D04" w:rsidRDefault="00EA0914" w:rsidP="00CE2B02">
      <w:pPr>
        <w:rPr>
          <w:rFonts w:ascii="Arial" w:hAnsi="Arial" w:cs="Arial"/>
          <w:lang w:eastAsia="en-US"/>
        </w:rPr>
      </w:pPr>
      <w:r w:rsidRPr="006F1D04">
        <w:rPr>
          <w:rFonts w:ascii="Arial" w:hAnsi="Arial" w:cs="Arial"/>
          <w:lang w:eastAsia="en-US"/>
        </w:rPr>
        <w:t xml:space="preserve">The </w:t>
      </w:r>
      <w:r w:rsidR="00EF24F8" w:rsidRPr="006F1D04">
        <w:rPr>
          <w:rFonts w:ascii="Arial" w:hAnsi="Arial" w:cs="Arial"/>
          <w:lang w:eastAsia="en-US"/>
        </w:rPr>
        <w:t>AAQ NEPM</w:t>
      </w:r>
      <w:r w:rsidRPr="006F1D04">
        <w:rPr>
          <w:rFonts w:ascii="Arial" w:hAnsi="Arial" w:cs="Arial"/>
          <w:lang w:eastAsia="en-US"/>
        </w:rPr>
        <w:t xml:space="preserve"> review considered the implications of allowing or not allowing exceedances of a specified numerical value</w:t>
      </w:r>
      <w:r w:rsidR="007A0C4F" w:rsidRPr="006F1D04">
        <w:rPr>
          <w:rFonts w:ascii="Arial" w:hAnsi="Arial" w:cs="Arial"/>
          <w:lang w:eastAsia="en-US"/>
        </w:rPr>
        <w:t xml:space="preserve"> (</w:t>
      </w:r>
      <w:r w:rsidR="009334F4" w:rsidRPr="006F1D04">
        <w:rPr>
          <w:rFonts w:ascii="Arial" w:hAnsi="Arial" w:cs="Arial"/>
          <w:lang w:eastAsia="en-US"/>
        </w:rPr>
        <w:t>e.g.</w:t>
      </w:r>
      <w:r w:rsidR="007A0C4F" w:rsidRPr="006F1D04">
        <w:rPr>
          <w:rFonts w:ascii="Arial" w:hAnsi="Arial" w:cs="Arial"/>
          <w:lang w:eastAsia="en-US"/>
        </w:rPr>
        <w:t xml:space="preserve"> the number of exceedance days per year)</w:t>
      </w:r>
      <w:r w:rsidRPr="006F1D04">
        <w:rPr>
          <w:rFonts w:ascii="Arial" w:hAnsi="Arial" w:cs="Arial"/>
          <w:lang w:eastAsia="en-US"/>
        </w:rPr>
        <w:t>. Exceedances may be permitted to allow for</w:t>
      </w:r>
      <w:r w:rsidR="007C63F3" w:rsidRPr="006F1D04">
        <w:rPr>
          <w:rFonts w:ascii="Arial" w:hAnsi="Arial" w:cs="Arial"/>
          <w:lang w:eastAsia="en-US"/>
        </w:rPr>
        <w:t xml:space="preserve"> events that are known to occur</w:t>
      </w:r>
      <w:r w:rsidRPr="006F1D04">
        <w:rPr>
          <w:rFonts w:ascii="Arial" w:hAnsi="Arial" w:cs="Arial"/>
          <w:lang w:eastAsia="en-US"/>
        </w:rPr>
        <w:t xml:space="preserve"> but which </w:t>
      </w:r>
      <w:r w:rsidR="007C63F3" w:rsidRPr="006F1D04">
        <w:rPr>
          <w:rFonts w:ascii="Arial" w:hAnsi="Arial" w:cs="Arial"/>
          <w:lang w:eastAsia="en-US"/>
        </w:rPr>
        <w:t>cannot be managed (</w:t>
      </w:r>
      <w:r w:rsidR="009334F4" w:rsidRPr="006F1D04">
        <w:rPr>
          <w:rFonts w:ascii="Arial" w:hAnsi="Arial" w:cs="Arial"/>
          <w:lang w:eastAsia="en-US"/>
        </w:rPr>
        <w:t>e.g.</w:t>
      </w:r>
      <w:r w:rsidR="007C63F3" w:rsidRPr="006F1D04">
        <w:rPr>
          <w:rFonts w:ascii="Arial" w:hAnsi="Arial" w:cs="Arial"/>
          <w:lang w:eastAsia="en-US"/>
        </w:rPr>
        <w:t xml:space="preserve"> </w:t>
      </w:r>
      <w:r w:rsidRPr="006F1D04">
        <w:rPr>
          <w:rFonts w:ascii="Arial" w:hAnsi="Arial" w:cs="Arial"/>
          <w:lang w:eastAsia="en-US"/>
        </w:rPr>
        <w:t>emissions from bush</w:t>
      </w:r>
      <w:r w:rsidR="00EB3931" w:rsidRPr="006F1D04">
        <w:rPr>
          <w:rFonts w:ascii="Arial" w:hAnsi="Arial" w:cs="Arial"/>
          <w:lang w:eastAsia="en-US"/>
        </w:rPr>
        <w:t xml:space="preserve"> </w:t>
      </w:r>
      <w:r w:rsidRPr="006F1D04">
        <w:rPr>
          <w:rFonts w:ascii="Arial" w:hAnsi="Arial" w:cs="Arial"/>
          <w:lang w:eastAsia="en-US"/>
        </w:rPr>
        <w:t>fires or dust storms</w:t>
      </w:r>
      <w:r w:rsidR="007C63F3" w:rsidRPr="006F1D04">
        <w:rPr>
          <w:rFonts w:ascii="Arial" w:hAnsi="Arial" w:cs="Arial"/>
          <w:lang w:eastAsia="en-US"/>
        </w:rPr>
        <w:t>)</w:t>
      </w:r>
      <w:r w:rsidRPr="006F1D04">
        <w:rPr>
          <w:rFonts w:ascii="Arial" w:hAnsi="Arial" w:cs="Arial"/>
          <w:lang w:eastAsia="en-US"/>
        </w:rPr>
        <w:t xml:space="preserve">. Alternatively, a stringent numerical value may be chosen for a particular pollutant due </w:t>
      </w:r>
      <w:r w:rsidR="004478CB" w:rsidRPr="006F1D04">
        <w:rPr>
          <w:rFonts w:ascii="Arial" w:hAnsi="Arial" w:cs="Arial"/>
          <w:lang w:eastAsia="en-US"/>
        </w:rPr>
        <w:t>to the risk it poses, but with a relatively large</w:t>
      </w:r>
      <w:r w:rsidRPr="006F1D04">
        <w:rPr>
          <w:rFonts w:ascii="Arial" w:hAnsi="Arial" w:cs="Arial"/>
          <w:lang w:eastAsia="en-US"/>
        </w:rPr>
        <w:t xml:space="preserve"> number of </w:t>
      </w:r>
      <w:r w:rsidR="004478CB" w:rsidRPr="006F1D04">
        <w:rPr>
          <w:rFonts w:ascii="Arial" w:hAnsi="Arial" w:cs="Arial"/>
          <w:lang w:eastAsia="en-US"/>
        </w:rPr>
        <w:t xml:space="preserve">allowed </w:t>
      </w:r>
      <w:r w:rsidRPr="006F1D04">
        <w:rPr>
          <w:rFonts w:ascii="Arial" w:hAnsi="Arial" w:cs="Arial"/>
          <w:lang w:eastAsia="en-US"/>
        </w:rPr>
        <w:t>exceedances to reflect current ambient concentrations, allowing for a tightening over time to drive improvements in air quality. However, the</w:t>
      </w:r>
      <w:r w:rsidR="00C232C1" w:rsidRPr="006F1D04">
        <w:rPr>
          <w:rFonts w:ascii="Arial" w:hAnsi="Arial" w:cs="Arial"/>
          <w:lang w:eastAsia="en-US"/>
        </w:rPr>
        <w:t xml:space="preserve"> larger the number of allowed</w:t>
      </w:r>
      <w:r w:rsidRPr="006F1D04">
        <w:rPr>
          <w:rFonts w:ascii="Arial" w:hAnsi="Arial" w:cs="Arial"/>
          <w:lang w:eastAsia="en-US"/>
        </w:rPr>
        <w:t xml:space="preserve"> exceedances, the higher the overall average concentration can be, leading to</w:t>
      </w:r>
      <w:r w:rsidR="00C232C1" w:rsidRPr="006F1D04">
        <w:rPr>
          <w:rFonts w:ascii="Arial" w:hAnsi="Arial" w:cs="Arial"/>
          <w:lang w:eastAsia="en-US"/>
        </w:rPr>
        <w:t xml:space="preserve"> greater risk to the community </w:t>
      </w:r>
      <w:r w:rsidRPr="006F1D04">
        <w:rPr>
          <w:rFonts w:ascii="Arial" w:hAnsi="Arial" w:cs="Arial"/>
          <w:b/>
          <w:lang w:eastAsia="en-US"/>
        </w:rPr>
        <w:t>(NEPC 2011a)</w:t>
      </w:r>
      <w:r w:rsidRPr="006F1D04">
        <w:rPr>
          <w:rFonts w:ascii="Arial" w:hAnsi="Arial" w:cs="Arial"/>
          <w:lang w:eastAsia="en-US"/>
        </w:rPr>
        <w:t>.</w:t>
      </w:r>
    </w:p>
    <w:p w:rsidR="00EA0914" w:rsidRPr="006F1D04" w:rsidRDefault="003A4476" w:rsidP="00CE2B02">
      <w:pPr>
        <w:rPr>
          <w:rFonts w:ascii="Arial" w:hAnsi="Arial" w:cs="Arial"/>
          <w:lang w:eastAsia="en-US"/>
        </w:rPr>
      </w:pPr>
      <w:r w:rsidRPr="006F1D04">
        <w:rPr>
          <w:rFonts w:ascii="Arial" w:hAnsi="Arial" w:cs="Arial"/>
          <w:lang w:eastAsia="en-US"/>
        </w:rPr>
        <w:t xml:space="preserve">The </w:t>
      </w:r>
      <w:r w:rsidR="00EF24F8" w:rsidRPr="006F1D04">
        <w:rPr>
          <w:rFonts w:ascii="Arial" w:hAnsi="Arial" w:cs="Arial"/>
          <w:lang w:eastAsia="en-US"/>
        </w:rPr>
        <w:t>AAQ NEPM</w:t>
      </w:r>
      <w:r w:rsidRPr="006F1D04">
        <w:rPr>
          <w:rFonts w:ascii="Arial" w:hAnsi="Arial" w:cs="Arial"/>
          <w:lang w:eastAsia="en-US"/>
        </w:rPr>
        <w:t xml:space="preserve"> currently allows five exceedances of the 24-hour standard for PM</w:t>
      </w:r>
      <w:r w:rsidRPr="006F1D04">
        <w:rPr>
          <w:rFonts w:ascii="Arial" w:hAnsi="Arial" w:cs="Arial"/>
          <w:vertAlign w:val="subscript"/>
          <w:lang w:eastAsia="en-US"/>
        </w:rPr>
        <w:t>10</w:t>
      </w:r>
      <w:r w:rsidRPr="006F1D04">
        <w:rPr>
          <w:rFonts w:ascii="Arial" w:hAnsi="Arial" w:cs="Arial"/>
          <w:lang w:eastAsia="en-US"/>
        </w:rPr>
        <w:t>, and no exceedances of the 24-hour advisory standard for PM</w:t>
      </w:r>
      <w:r w:rsidRPr="006F1D04">
        <w:rPr>
          <w:rFonts w:ascii="Arial" w:hAnsi="Arial" w:cs="Arial"/>
          <w:vertAlign w:val="subscript"/>
          <w:lang w:eastAsia="en-US"/>
        </w:rPr>
        <w:t>2.5</w:t>
      </w:r>
      <w:r w:rsidR="00B34CF7" w:rsidRPr="006F1D04">
        <w:rPr>
          <w:rFonts w:ascii="Arial" w:hAnsi="Arial" w:cs="Arial"/>
          <w:lang w:eastAsia="en-US"/>
        </w:rPr>
        <w:t xml:space="preserve"> (although this is only because of the advisory nature of the standard, and may change if it is formally adopted).</w:t>
      </w:r>
      <w:r w:rsidR="00EA0914" w:rsidRPr="006F1D04">
        <w:rPr>
          <w:rFonts w:ascii="Arial" w:hAnsi="Arial" w:cs="Arial"/>
          <w:lang w:eastAsia="en-US"/>
        </w:rPr>
        <w:t xml:space="preserve"> </w:t>
      </w:r>
      <w:r w:rsidRPr="006F1D04">
        <w:rPr>
          <w:rFonts w:ascii="Arial" w:hAnsi="Arial" w:cs="Arial"/>
          <w:lang w:eastAsia="en-US"/>
        </w:rPr>
        <w:t xml:space="preserve">The </w:t>
      </w:r>
      <w:r w:rsidR="00EF24F8" w:rsidRPr="006F1D04">
        <w:rPr>
          <w:rFonts w:ascii="Arial" w:hAnsi="Arial" w:cs="Arial"/>
          <w:lang w:eastAsia="en-US"/>
        </w:rPr>
        <w:t>AAQ NEPM</w:t>
      </w:r>
      <w:r w:rsidRPr="006F1D04">
        <w:rPr>
          <w:rFonts w:ascii="Arial" w:hAnsi="Arial" w:cs="Arial"/>
          <w:lang w:eastAsia="en-US"/>
        </w:rPr>
        <w:t xml:space="preserve"> requires </w:t>
      </w:r>
      <w:r w:rsidR="00B34CF7" w:rsidRPr="006F1D04">
        <w:rPr>
          <w:rFonts w:ascii="Arial" w:hAnsi="Arial" w:cs="Arial"/>
          <w:lang w:eastAsia="en-US"/>
        </w:rPr>
        <w:t xml:space="preserve">the </w:t>
      </w:r>
      <w:r w:rsidRPr="006F1D04">
        <w:rPr>
          <w:rFonts w:ascii="Arial" w:hAnsi="Arial" w:cs="Arial"/>
          <w:lang w:eastAsia="en-US"/>
        </w:rPr>
        <w:t>jurisdictions to report all exceedances of the standards and provide a description of the circumstan</w:t>
      </w:r>
      <w:r w:rsidR="00EA0914" w:rsidRPr="006F1D04">
        <w:rPr>
          <w:rFonts w:ascii="Arial" w:hAnsi="Arial" w:cs="Arial"/>
          <w:lang w:eastAsia="en-US"/>
        </w:rPr>
        <w:t>ces that led to the exceedances. H</w:t>
      </w:r>
      <w:r w:rsidRPr="006F1D04">
        <w:rPr>
          <w:rFonts w:ascii="Arial" w:hAnsi="Arial" w:cs="Arial"/>
          <w:lang w:eastAsia="en-US"/>
        </w:rPr>
        <w:t>owever</w:t>
      </w:r>
      <w:r w:rsidR="00EA0914" w:rsidRPr="006F1D04">
        <w:rPr>
          <w:rFonts w:ascii="Arial" w:hAnsi="Arial" w:cs="Arial"/>
          <w:lang w:eastAsia="en-US"/>
        </w:rPr>
        <w:t>,</w:t>
      </w:r>
      <w:r w:rsidRPr="006F1D04">
        <w:rPr>
          <w:rFonts w:ascii="Arial" w:hAnsi="Arial" w:cs="Arial"/>
          <w:lang w:eastAsia="en-US"/>
        </w:rPr>
        <w:t xml:space="preserve"> it does not require </w:t>
      </w:r>
      <w:r w:rsidR="00B34CF7" w:rsidRPr="006F1D04">
        <w:rPr>
          <w:rFonts w:ascii="Arial" w:hAnsi="Arial" w:cs="Arial"/>
          <w:lang w:eastAsia="en-US"/>
        </w:rPr>
        <w:t xml:space="preserve">the </w:t>
      </w:r>
      <w:r w:rsidRPr="006F1D04">
        <w:rPr>
          <w:rFonts w:ascii="Arial" w:hAnsi="Arial" w:cs="Arial"/>
          <w:lang w:eastAsia="en-US"/>
        </w:rPr>
        <w:t xml:space="preserve">jurisdictions to provide information in annual reports on management actions </w:t>
      </w:r>
      <w:r w:rsidR="0087080F" w:rsidRPr="006F1D04">
        <w:rPr>
          <w:rFonts w:ascii="Arial" w:hAnsi="Arial" w:cs="Arial"/>
          <w:lang w:eastAsia="en-US"/>
        </w:rPr>
        <w:t xml:space="preserve">that are </w:t>
      </w:r>
      <w:r w:rsidRPr="006F1D04">
        <w:rPr>
          <w:rFonts w:ascii="Arial" w:hAnsi="Arial" w:cs="Arial"/>
          <w:lang w:eastAsia="en-US"/>
        </w:rPr>
        <w:t>be</w:t>
      </w:r>
      <w:r w:rsidR="0087080F" w:rsidRPr="006F1D04">
        <w:rPr>
          <w:rFonts w:ascii="Arial" w:hAnsi="Arial" w:cs="Arial"/>
          <w:lang w:eastAsia="en-US"/>
        </w:rPr>
        <w:t xml:space="preserve">ing implemented where concentrations exceed </w:t>
      </w:r>
      <w:r w:rsidR="00EA0914" w:rsidRPr="006F1D04">
        <w:rPr>
          <w:rFonts w:ascii="Arial" w:hAnsi="Arial" w:cs="Arial"/>
          <w:lang w:eastAsia="en-US"/>
        </w:rPr>
        <w:t>the standards</w:t>
      </w:r>
      <w:r w:rsidR="0087080F" w:rsidRPr="006F1D04">
        <w:rPr>
          <w:rFonts w:ascii="Arial" w:hAnsi="Arial" w:cs="Arial"/>
          <w:lang w:eastAsia="en-US"/>
        </w:rPr>
        <w:t>/goals</w:t>
      </w:r>
      <w:r w:rsidRPr="006F1D04">
        <w:rPr>
          <w:rFonts w:ascii="Arial" w:hAnsi="Arial" w:cs="Arial"/>
          <w:lang w:eastAsia="en-US"/>
        </w:rPr>
        <w:t xml:space="preserve"> </w:t>
      </w:r>
      <w:r w:rsidR="00EA0914" w:rsidRPr="006F1D04">
        <w:rPr>
          <w:rFonts w:ascii="Arial" w:hAnsi="Arial" w:cs="Arial"/>
          <w:b/>
          <w:lang w:eastAsia="en-US"/>
        </w:rPr>
        <w:t>(NEPC 2011a)</w:t>
      </w:r>
      <w:r w:rsidR="00EA0914" w:rsidRPr="006F1D04">
        <w:rPr>
          <w:rFonts w:ascii="Arial" w:hAnsi="Arial" w:cs="Arial"/>
          <w:lang w:eastAsia="en-US"/>
        </w:rPr>
        <w:t>.</w:t>
      </w:r>
    </w:p>
    <w:p w:rsidR="00EA0914" w:rsidRPr="006F1D04" w:rsidRDefault="00EA0914" w:rsidP="00CE2B02">
      <w:pPr>
        <w:spacing w:after="300"/>
        <w:rPr>
          <w:rFonts w:ascii="Arial" w:hAnsi="Arial" w:cs="Arial"/>
          <w:lang w:eastAsia="en-US"/>
        </w:rPr>
      </w:pPr>
      <w:r w:rsidRPr="006F1D04">
        <w:rPr>
          <w:rFonts w:ascii="Arial" w:hAnsi="Arial" w:cs="Arial"/>
          <w:lang w:eastAsia="en-US"/>
        </w:rPr>
        <w:t xml:space="preserve">The </w:t>
      </w:r>
      <w:r w:rsidR="00EF24F8" w:rsidRPr="006F1D04">
        <w:rPr>
          <w:rFonts w:ascii="Arial" w:hAnsi="Arial" w:cs="Arial"/>
          <w:lang w:eastAsia="en-US"/>
        </w:rPr>
        <w:t>AAQ NEPM</w:t>
      </w:r>
      <w:r w:rsidRPr="006F1D04">
        <w:rPr>
          <w:rFonts w:ascii="Arial" w:hAnsi="Arial" w:cs="Arial"/>
          <w:lang w:eastAsia="en-US"/>
        </w:rPr>
        <w:t xml:space="preserve"> review found that some</w:t>
      </w:r>
      <w:r w:rsidR="003A4476" w:rsidRPr="006F1D04">
        <w:rPr>
          <w:rFonts w:ascii="Arial" w:hAnsi="Arial" w:cs="Arial"/>
          <w:lang w:eastAsia="en-US"/>
        </w:rPr>
        <w:t xml:space="preserve"> jurisdictions were </w:t>
      </w:r>
      <w:r w:rsidRPr="006F1D04">
        <w:rPr>
          <w:rFonts w:ascii="Arial" w:hAnsi="Arial" w:cs="Arial"/>
          <w:lang w:eastAsia="en-US"/>
        </w:rPr>
        <w:t>reporting only the sixth highest PM</w:t>
      </w:r>
      <w:r w:rsidRPr="006F1D04">
        <w:rPr>
          <w:rFonts w:ascii="Arial" w:hAnsi="Arial" w:cs="Arial"/>
          <w:vertAlign w:val="subscript"/>
          <w:lang w:eastAsia="en-US"/>
        </w:rPr>
        <w:t>10</w:t>
      </w:r>
      <w:r w:rsidRPr="006F1D04">
        <w:rPr>
          <w:rFonts w:ascii="Arial" w:hAnsi="Arial" w:cs="Arial"/>
          <w:lang w:eastAsia="en-US"/>
        </w:rPr>
        <w:t xml:space="preserve"> concentration</w:t>
      </w:r>
      <w:r w:rsidR="003A4476" w:rsidRPr="006F1D04">
        <w:rPr>
          <w:rFonts w:ascii="Arial" w:hAnsi="Arial" w:cs="Arial"/>
          <w:lang w:eastAsia="en-US"/>
        </w:rPr>
        <w:t>, without</w:t>
      </w:r>
      <w:r w:rsidRPr="006F1D04">
        <w:rPr>
          <w:rFonts w:ascii="Arial" w:hAnsi="Arial" w:cs="Arial"/>
          <w:lang w:eastAsia="en-US"/>
        </w:rPr>
        <w:t xml:space="preserve"> any indication of whether the five</w:t>
      </w:r>
      <w:r w:rsidR="003A4476" w:rsidRPr="006F1D04">
        <w:rPr>
          <w:rFonts w:ascii="Arial" w:hAnsi="Arial" w:cs="Arial"/>
          <w:lang w:eastAsia="en-US"/>
        </w:rPr>
        <w:t xml:space="preserve"> top events were natural or anthropogenic. It was argued that appropriate attribution to sources was not being undertaken and that the reporting requirements should be strengthened in this area. </w:t>
      </w:r>
      <w:r w:rsidRPr="006F1D04">
        <w:rPr>
          <w:rFonts w:ascii="Arial" w:hAnsi="Arial" w:cs="Arial"/>
          <w:lang w:eastAsia="en-US"/>
        </w:rPr>
        <w:t>Detailed reasons for all exceedances are needed to d</w:t>
      </w:r>
      <w:r w:rsidR="00B34CF7" w:rsidRPr="006F1D04">
        <w:rPr>
          <w:rFonts w:ascii="Arial" w:hAnsi="Arial" w:cs="Arial"/>
          <w:lang w:eastAsia="en-US"/>
        </w:rPr>
        <w:t>etermine if a pollution event i</w:t>
      </w:r>
      <w:r w:rsidRPr="006F1D04">
        <w:rPr>
          <w:rFonts w:ascii="Arial" w:hAnsi="Arial" w:cs="Arial"/>
          <w:lang w:eastAsia="en-US"/>
        </w:rPr>
        <w:t>s beyond the normal management capabilities of the jurisdiction.</w:t>
      </w:r>
    </w:p>
    <w:p w:rsidR="00656E0B" w:rsidRPr="006F1D04" w:rsidRDefault="00656E0B" w:rsidP="00774E7F">
      <w:pPr>
        <w:pStyle w:val="Heading4"/>
        <w:spacing w:before="160" w:after="160"/>
        <w:rPr>
          <w:rFonts w:ascii="Arial" w:hAnsi="Arial" w:cs="Arial"/>
          <w:lang w:eastAsia="en-US"/>
        </w:rPr>
      </w:pPr>
      <w:r w:rsidRPr="006F1D04">
        <w:rPr>
          <w:rFonts w:ascii="Arial" w:hAnsi="Arial" w:cs="Arial"/>
          <w:lang w:eastAsia="en-US"/>
        </w:rPr>
        <w:t>Percentile value</w:t>
      </w:r>
    </w:p>
    <w:p w:rsidR="00656E0B" w:rsidRPr="006F1D04" w:rsidRDefault="00656E0B" w:rsidP="00656E0B">
      <w:pPr>
        <w:rPr>
          <w:rFonts w:ascii="Arial" w:hAnsi="Arial" w:cs="Arial"/>
          <w:lang w:eastAsia="en-US"/>
        </w:rPr>
      </w:pPr>
      <w:r w:rsidRPr="006F1D04">
        <w:rPr>
          <w:rFonts w:ascii="Arial" w:hAnsi="Arial" w:cs="Arial"/>
          <w:lang w:eastAsia="en-US"/>
        </w:rPr>
        <w:t>The USEPA has established the form of the 24-hour PM</w:t>
      </w:r>
      <w:r w:rsidRPr="006F1D04">
        <w:rPr>
          <w:rFonts w:ascii="Arial" w:hAnsi="Arial" w:cs="Arial"/>
          <w:vertAlign w:val="subscript"/>
          <w:lang w:eastAsia="en-US"/>
        </w:rPr>
        <w:t>2.5</w:t>
      </w:r>
      <w:r w:rsidRPr="006F1D04">
        <w:rPr>
          <w:rFonts w:ascii="Arial" w:hAnsi="Arial" w:cs="Arial"/>
          <w:lang w:eastAsia="en-US"/>
        </w:rPr>
        <w:t xml:space="preserve"> standard as the 98</w:t>
      </w:r>
      <w:r w:rsidRPr="006F1D04">
        <w:rPr>
          <w:rFonts w:ascii="Arial" w:hAnsi="Arial" w:cs="Arial"/>
          <w:vertAlign w:val="superscript"/>
          <w:lang w:eastAsia="en-US"/>
        </w:rPr>
        <w:t>th</w:t>
      </w:r>
      <w:r w:rsidRPr="006F1D04">
        <w:rPr>
          <w:rFonts w:ascii="Arial" w:hAnsi="Arial" w:cs="Arial"/>
          <w:lang w:eastAsia="en-US"/>
        </w:rPr>
        <w:t xml:space="preserve"> percentile of 24-hour concentrations at each monitoring site in an area, averaged over three years. The 98</w:t>
      </w:r>
      <w:r w:rsidRPr="006F1D04">
        <w:rPr>
          <w:rFonts w:ascii="Arial" w:hAnsi="Arial" w:cs="Arial"/>
          <w:vertAlign w:val="superscript"/>
          <w:lang w:eastAsia="en-US"/>
        </w:rPr>
        <w:t>th</w:t>
      </w:r>
      <w:r w:rsidRPr="006F1D04">
        <w:rPr>
          <w:rFonts w:ascii="Arial" w:hAnsi="Arial" w:cs="Arial"/>
          <w:lang w:eastAsia="en-US"/>
        </w:rPr>
        <w:t xml:space="preserve"> percentile was selected as an appropriate balance between limiting peak pollutant concentrations and providing a stable regulatory target for risk management </w:t>
      </w:r>
      <w:r w:rsidR="009938C5" w:rsidRPr="006F1D04">
        <w:rPr>
          <w:rFonts w:ascii="Arial" w:hAnsi="Arial" w:cs="Arial"/>
          <w:lang w:eastAsia="en-US"/>
        </w:rPr>
        <w:t>programs</w:t>
      </w:r>
      <w:r w:rsidRPr="006F1D04">
        <w:rPr>
          <w:rFonts w:ascii="Arial" w:hAnsi="Arial" w:cs="Arial"/>
          <w:lang w:eastAsia="en-US"/>
        </w:rPr>
        <w:t>. The 98</w:t>
      </w:r>
      <w:r w:rsidRPr="006F1D04">
        <w:rPr>
          <w:rFonts w:ascii="Arial" w:hAnsi="Arial" w:cs="Arial"/>
          <w:vertAlign w:val="superscript"/>
          <w:lang w:eastAsia="en-US"/>
        </w:rPr>
        <w:t>th</w:t>
      </w:r>
      <w:r w:rsidRPr="006F1D04">
        <w:rPr>
          <w:rFonts w:ascii="Arial" w:hAnsi="Arial" w:cs="Arial"/>
          <w:lang w:eastAsia="en-US"/>
        </w:rPr>
        <w:t xml:space="preserve"> percentile value was also found to be a more stable metric than the 99</w:t>
      </w:r>
      <w:r w:rsidRPr="006F1D04">
        <w:rPr>
          <w:rFonts w:ascii="Arial" w:hAnsi="Arial" w:cs="Arial"/>
          <w:vertAlign w:val="superscript"/>
          <w:lang w:eastAsia="en-US"/>
        </w:rPr>
        <w:t>th</w:t>
      </w:r>
      <w:r w:rsidRPr="006F1D04">
        <w:rPr>
          <w:rFonts w:ascii="Arial" w:hAnsi="Arial" w:cs="Arial"/>
          <w:lang w:eastAsia="en-US"/>
        </w:rPr>
        <w:t xml:space="preserve"> percentile value</w:t>
      </w:r>
      <w:r w:rsidRPr="006F1D04">
        <w:rPr>
          <w:rFonts w:ascii="Arial" w:hAnsi="Arial" w:cs="Arial"/>
          <w:b/>
          <w:lang w:eastAsia="en-US"/>
        </w:rPr>
        <w:t xml:space="preserve"> (USEPA 2011)</w:t>
      </w:r>
      <w:r w:rsidRPr="006F1D04">
        <w:rPr>
          <w:rFonts w:ascii="Arial" w:hAnsi="Arial" w:cs="Arial"/>
          <w:lang w:eastAsia="en-US"/>
        </w:rPr>
        <w:t>. By comparison, the five exceedance days for 24-hour mean PM</w:t>
      </w:r>
      <w:r w:rsidRPr="006F1D04">
        <w:rPr>
          <w:rFonts w:ascii="Arial" w:hAnsi="Arial" w:cs="Arial"/>
          <w:vertAlign w:val="subscript"/>
          <w:lang w:eastAsia="en-US"/>
        </w:rPr>
        <w:t>10</w:t>
      </w:r>
      <w:r w:rsidRPr="006F1D04">
        <w:rPr>
          <w:rFonts w:ascii="Arial" w:hAnsi="Arial" w:cs="Arial"/>
          <w:lang w:eastAsia="en-US"/>
        </w:rPr>
        <w:t xml:space="preserve"> that are currently allowed in the AAQ NEPM equates to a 98.6</w:t>
      </w:r>
      <w:r w:rsidRPr="006F1D04">
        <w:rPr>
          <w:rFonts w:ascii="Arial" w:hAnsi="Arial" w:cs="Arial"/>
          <w:vertAlign w:val="superscript"/>
          <w:lang w:eastAsia="en-US"/>
        </w:rPr>
        <w:t>th</w:t>
      </w:r>
      <w:r w:rsidRPr="006F1D04">
        <w:rPr>
          <w:rFonts w:ascii="Arial" w:hAnsi="Arial" w:cs="Arial"/>
          <w:lang w:eastAsia="en-US"/>
        </w:rPr>
        <w:t xml:space="preserve"> percentile value.</w:t>
      </w:r>
    </w:p>
    <w:p w:rsidR="00656E0B" w:rsidRPr="006F1D04" w:rsidRDefault="00656E0B" w:rsidP="00656E0B">
      <w:pPr>
        <w:spacing w:after="300"/>
        <w:rPr>
          <w:rFonts w:ascii="Arial" w:hAnsi="Arial" w:cs="Arial"/>
          <w:lang w:eastAsia="en-US"/>
        </w:rPr>
      </w:pPr>
      <w:r w:rsidRPr="006F1D04">
        <w:rPr>
          <w:rFonts w:ascii="Arial" w:hAnsi="Arial" w:cs="Arial"/>
          <w:lang w:eastAsia="en-US"/>
        </w:rPr>
        <w:t>The advantages of a 98</w:t>
      </w:r>
      <w:r w:rsidRPr="006F1D04">
        <w:rPr>
          <w:rFonts w:ascii="Arial" w:hAnsi="Arial" w:cs="Arial"/>
          <w:vertAlign w:val="superscript"/>
          <w:lang w:eastAsia="en-US"/>
        </w:rPr>
        <w:t>th</w:t>
      </w:r>
      <w:r w:rsidRPr="006F1D04">
        <w:rPr>
          <w:rFonts w:ascii="Arial" w:hAnsi="Arial" w:cs="Arial"/>
          <w:lang w:eastAsia="en-US"/>
        </w:rPr>
        <w:t xml:space="preserve"> percentile rule (or any similar rule) include that it is straightforward to calculate the statistic (various percentile values </w:t>
      </w:r>
      <w:r w:rsidR="00DE78AE" w:rsidRPr="006F1D04">
        <w:rPr>
          <w:rFonts w:ascii="Arial" w:hAnsi="Arial" w:cs="Arial"/>
          <w:lang w:eastAsia="en-US"/>
        </w:rPr>
        <w:t xml:space="preserve">have </w:t>
      </w:r>
      <w:r w:rsidRPr="006F1D04">
        <w:rPr>
          <w:rFonts w:ascii="Arial" w:hAnsi="Arial" w:cs="Arial"/>
          <w:lang w:eastAsia="en-US"/>
        </w:rPr>
        <w:t>been reported by the Australian jurisdictions for some time), and it has few if any resource implications. A drawback of the percentile approach is that it is essentially arbitrary and does not, in itself, improve the understanding of air quality without a separate analysis of the events leading to exceedances of standards and goals. In the US the percentile rule is supported by an ‘exceptional events’ rule (see below)</w:t>
      </w:r>
      <w:r w:rsidR="00DE78AE" w:rsidRPr="006F1D04">
        <w:rPr>
          <w:rFonts w:ascii="Arial" w:hAnsi="Arial" w:cs="Arial"/>
          <w:lang w:eastAsia="en-US"/>
        </w:rPr>
        <w:t>.</w:t>
      </w:r>
    </w:p>
    <w:p w:rsidR="00656E0B" w:rsidRPr="006F1D04" w:rsidRDefault="00656E0B" w:rsidP="00656E0B">
      <w:pPr>
        <w:pStyle w:val="Heading4"/>
        <w:rPr>
          <w:rFonts w:ascii="Arial" w:hAnsi="Arial" w:cs="Arial"/>
        </w:rPr>
      </w:pPr>
      <w:r w:rsidRPr="006F1D04">
        <w:rPr>
          <w:rFonts w:ascii="Arial" w:hAnsi="Arial" w:cs="Arial"/>
        </w:rPr>
        <w:lastRenderedPageBreak/>
        <w:t>Not-to-be-exceeded standards</w:t>
      </w:r>
    </w:p>
    <w:p w:rsidR="00656E0B" w:rsidRPr="006F1D04" w:rsidRDefault="00656E0B" w:rsidP="00656E0B">
      <w:pPr>
        <w:spacing w:after="360"/>
        <w:rPr>
          <w:rFonts w:ascii="Arial" w:hAnsi="Arial" w:cs="Arial"/>
        </w:rPr>
      </w:pPr>
      <w:r w:rsidRPr="006F1D04">
        <w:rPr>
          <w:rFonts w:ascii="Arial" w:hAnsi="Arial" w:cs="Arial"/>
          <w:lang w:eastAsia="en-US"/>
        </w:rPr>
        <w:t xml:space="preserve">There was support during the AAQ NEPM review process for the removal of allowed exceedances and the introduction of not-to-be-exceeded standards. The review noted </w:t>
      </w:r>
      <w:r w:rsidRPr="006F1D04">
        <w:rPr>
          <w:rFonts w:ascii="Arial" w:hAnsi="Arial" w:cs="Arial"/>
        </w:rPr>
        <w:t>that not-to-be exceeded standards imply a threshold, and that once concentrations are below this threshold there may be a perception that no further action is required. However, this reasoning could apply equally to other approaches (</w:t>
      </w:r>
      <w:r w:rsidR="009334F4" w:rsidRPr="006F1D04">
        <w:rPr>
          <w:rFonts w:ascii="Arial" w:hAnsi="Arial" w:cs="Arial"/>
        </w:rPr>
        <w:t>e.g.</w:t>
      </w:r>
      <w:r w:rsidRPr="006F1D04">
        <w:rPr>
          <w:rFonts w:ascii="Arial" w:hAnsi="Arial" w:cs="Arial"/>
        </w:rPr>
        <w:t xml:space="preserve"> a percentile rule). Perhaps of more concern is that, to be realistically achievable, a not-to-be-exceeded value would tend to be higher than the alternatives, and it could be argued that this would offer less protection.</w:t>
      </w:r>
    </w:p>
    <w:p w:rsidR="003A4476" w:rsidRPr="006F1D04" w:rsidRDefault="003A4476" w:rsidP="00BA168D">
      <w:pPr>
        <w:pStyle w:val="Heading4"/>
        <w:rPr>
          <w:rFonts w:ascii="Arial" w:hAnsi="Arial" w:cs="Arial"/>
          <w:lang w:eastAsia="en-US"/>
        </w:rPr>
      </w:pPr>
      <w:r w:rsidRPr="006F1D04">
        <w:rPr>
          <w:rFonts w:ascii="Arial" w:hAnsi="Arial" w:cs="Arial"/>
          <w:lang w:eastAsia="en-US"/>
        </w:rPr>
        <w:t>Natural</w:t>
      </w:r>
      <w:r w:rsidR="00656E0B" w:rsidRPr="006F1D04">
        <w:rPr>
          <w:rFonts w:ascii="Arial" w:hAnsi="Arial" w:cs="Arial"/>
          <w:lang w:eastAsia="en-US"/>
        </w:rPr>
        <w:t>/exceptional</w:t>
      </w:r>
      <w:r w:rsidRPr="006F1D04">
        <w:rPr>
          <w:rFonts w:ascii="Arial" w:hAnsi="Arial" w:cs="Arial"/>
          <w:lang w:eastAsia="en-US"/>
        </w:rPr>
        <w:t xml:space="preserve"> events rule</w:t>
      </w:r>
    </w:p>
    <w:p w:rsidR="003A4476" w:rsidRPr="006F1D04" w:rsidRDefault="00D96260" w:rsidP="00CE2B02">
      <w:pPr>
        <w:spacing w:after="200"/>
        <w:rPr>
          <w:rFonts w:ascii="Arial" w:hAnsi="Arial" w:cs="Arial"/>
          <w:lang w:eastAsia="en-US"/>
        </w:rPr>
      </w:pPr>
      <w:r w:rsidRPr="006F1D04">
        <w:rPr>
          <w:rFonts w:ascii="Arial" w:hAnsi="Arial" w:cs="Arial"/>
          <w:lang w:eastAsia="en-US"/>
        </w:rPr>
        <w:t xml:space="preserve">During the </w:t>
      </w:r>
      <w:r w:rsidR="00EF24F8" w:rsidRPr="006F1D04">
        <w:rPr>
          <w:rFonts w:ascii="Arial" w:hAnsi="Arial" w:cs="Arial"/>
          <w:lang w:eastAsia="en-US"/>
        </w:rPr>
        <w:t>AAQ NEPM</w:t>
      </w:r>
      <w:r w:rsidRPr="006F1D04">
        <w:rPr>
          <w:rFonts w:ascii="Arial" w:hAnsi="Arial" w:cs="Arial"/>
          <w:lang w:eastAsia="en-US"/>
        </w:rPr>
        <w:t xml:space="preserve"> review process there was </w:t>
      </w:r>
      <w:r w:rsidR="003A4476" w:rsidRPr="006F1D04">
        <w:rPr>
          <w:rFonts w:ascii="Arial" w:hAnsi="Arial" w:cs="Arial"/>
          <w:lang w:eastAsia="en-US"/>
        </w:rPr>
        <w:t>support for the introduction of a ‘natural events rule’ that would exclude the impacts of bush</w:t>
      </w:r>
      <w:r w:rsidRPr="006F1D04">
        <w:rPr>
          <w:rFonts w:ascii="Arial" w:hAnsi="Arial" w:cs="Arial"/>
          <w:lang w:eastAsia="en-US"/>
        </w:rPr>
        <w:t xml:space="preserve"> </w:t>
      </w:r>
      <w:r w:rsidR="003A4476" w:rsidRPr="006F1D04">
        <w:rPr>
          <w:rFonts w:ascii="Arial" w:hAnsi="Arial" w:cs="Arial"/>
          <w:lang w:eastAsia="en-US"/>
        </w:rPr>
        <w:t xml:space="preserve">fires and major </w:t>
      </w:r>
      <w:r w:rsidR="0087080F" w:rsidRPr="006F1D04">
        <w:rPr>
          <w:rFonts w:ascii="Arial" w:hAnsi="Arial" w:cs="Arial"/>
          <w:lang w:eastAsia="en-US"/>
        </w:rPr>
        <w:t xml:space="preserve">dust storms from the </w:t>
      </w:r>
      <w:r w:rsidR="003A4476" w:rsidRPr="006F1D04">
        <w:rPr>
          <w:rFonts w:ascii="Arial" w:hAnsi="Arial" w:cs="Arial"/>
          <w:lang w:eastAsia="en-US"/>
        </w:rPr>
        <w:t>assessment</w:t>
      </w:r>
      <w:r w:rsidR="0087080F" w:rsidRPr="006F1D04">
        <w:rPr>
          <w:rFonts w:ascii="Arial" w:hAnsi="Arial" w:cs="Arial"/>
          <w:lang w:eastAsia="en-US"/>
        </w:rPr>
        <w:t xml:space="preserve"> against the standards</w:t>
      </w:r>
      <w:r w:rsidR="003A4476" w:rsidRPr="006F1D04">
        <w:rPr>
          <w:rFonts w:ascii="Arial" w:hAnsi="Arial" w:cs="Arial"/>
          <w:lang w:eastAsia="en-US"/>
        </w:rPr>
        <w:t xml:space="preserve"> (although data would still be reported). This c</w:t>
      </w:r>
      <w:r w:rsidR="003A4476" w:rsidRPr="006F1D04">
        <w:rPr>
          <w:rFonts w:ascii="Arial" w:hAnsi="Arial" w:cs="Arial"/>
        </w:rPr>
        <w:t xml:space="preserve">ould </w:t>
      </w:r>
      <w:r w:rsidR="00656E0B" w:rsidRPr="006F1D04">
        <w:rPr>
          <w:rFonts w:ascii="Arial" w:hAnsi="Arial" w:cs="Arial"/>
        </w:rPr>
        <w:t>supplement</w:t>
      </w:r>
      <w:r w:rsidR="003A4476" w:rsidRPr="006F1D04">
        <w:rPr>
          <w:rFonts w:ascii="Arial" w:hAnsi="Arial" w:cs="Arial"/>
        </w:rPr>
        <w:t xml:space="preserve"> the current conc</w:t>
      </w:r>
      <w:r w:rsidRPr="006F1D04">
        <w:rPr>
          <w:rFonts w:ascii="Arial" w:hAnsi="Arial" w:cs="Arial"/>
        </w:rPr>
        <w:t xml:space="preserve">ept of allowable exceedances, </w:t>
      </w:r>
      <w:r w:rsidR="00656E0B" w:rsidRPr="006F1D04">
        <w:rPr>
          <w:rFonts w:ascii="Arial" w:hAnsi="Arial" w:cs="Arial"/>
        </w:rPr>
        <w:t xml:space="preserve">or an alternative percentile rule, </w:t>
      </w:r>
      <w:r w:rsidRPr="006F1D04">
        <w:rPr>
          <w:rFonts w:ascii="Arial" w:hAnsi="Arial" w:cs="Arial"/>
        </w:rPr>
        <w:t xml:space="preserve">and </w:t>
      </w:r>
      <w:r w:rsidR="003A4476" w:rsidRPr="006F1D04">
        <w:rPr>
          <w:rFonts w:ascii="Arial" w:hAnsi="Arial" w:cs="Arial"/>
          <w:lang w:eastAsia="en-US"/>
        </w:rPr>
        <w:t>wou</w:t>
      </w:r>
      <w:r w:rsidR="0087080F" w:rsidRPr="006F1D04">
        <w:rPr>
          <w:rFonts w:ascii="Arial" w:hAnsi="Arial" w:cs="Arial"/>
          <w:lang w:eastAsia="en-US"/>
        </w:rPr>
        <w:t>ld focus attention</w:t>
      </w:r>
      <w:r w:rsidR="003A4476" w:rsidRPr="006F1D04">
        <w:rPr>
          <w:rFonts w:ascii="Arial" w:hAnsi="Arial" w:cs="Arial"/>
          <w:lang w:eastAsia="en-US"/>
        </w:rPr>
        <w:t xml:space="preserve"> on sources of air pollution that can</w:t>
      </w:r>
      <w:r w:rsidR="0087080F" w:rsidRPr="006F1D04">
        <w:rPr>
          <w:rFonts w:ascii="Arial" w:hAnsi="Arial" w:cs="Arial"/>
          <w:lang w:eastAsia="en-US"/>
        </w:rPr>
        <w:t xml:space="preserve"> realistically</w:t>
      </w:r>
      <w:r w:rsidR="003A4476" w:rsidRPr="006F1D04">
        <w:rPr>
          <w:rFonts w:ascii="Arial" w:hAnsi="Arial" w:cs="Arial"/>
          <w:lang w:eastAsia="en-US"/>
        </w:rPr>
        <w:t xml:space="preserve"> be managed. </w:t>
      </w:r>
    </w:p>
    <w:p w:rsidR="003A4476" w:rsidRPr="006F1D04" w:rsidRDefault="00583B8B" w:rsidP="00CE2B02">
      <w:pPr>
        <w:spacing w:after="160"/>
        <w:rPr>
          <w:rFonts w:ascii="Arial" w:hAnsi="Arial" w:cs="Arial"/>
        </w:rPr>
      </w:pPr>
      <w:r w:rsidRPr="006F1D04">
        <w:rPr>
          <w:rFonts w:ascii="Arial" w:hAnsi="Arial" w:cs="Arial"/>
          <w:lang w:eastAsia="en-US"/>
        </w:rPr>
        <w:t>T</w:t>
      </w:r>
      <w:r w:rsidR="003A4476" w:rsidRPr="006F1D04">
        <w:rPr>
          <w:rFonts w:ascii="Arial" w:hAnsi="Arial" w:cs="Arial"/>
          <w:lang w:eastAsia="en-US"/>
        </w:rPr>
        <w:t>he definition of a natural air pollution event</w:t>
      </w:r>
      <w:r w:rsidRPr="006F1D04">
        <w:rPr>
          <w:rFonts w:ascii="Arial" w:hAnsi="Arial" w:cs="Arial"/>
          <w:lang w:eastAsia="en-US"/>
        </w:rPr>
        <w:t xml:space="preserve"> could address the following aspects</w:t>
      </w:r>
      <w:r w:rsidR="003A4476" w:rsidRPr="006F1D04">
        <w:rPr>
          <w:rFonts w:ascii="Arial" w:hAnsi="Arial" w:cs="Arial"/>
          <w:lang w:eastAsia="en-US"/>
        </w:rPr>
        <w:t>:</w:t>
      </w:r>
    </w:p>
    <w:p w:rsidR="003A4476" w:rsidRPr="006F1D04" w:rsidRDefault="003A4476" w:rsidP="00874267">
      <w:pPr>
        <w:pStyle w:val="BulletArrows"/>
        <w:numPr>
          <w:ilvl w:val="0"/>
          <w:numId w:val="110"/>
        </w:numPr>
        <w:spacing w:after="140"/>
        <w:rPr>
          <w:rFonts w:ascii="Arial" w:hAnsi="Arial"/>
        </w:rPr>
      </w:pPr>
      <w:r w:rsidRPr="006F1D04">
        <w:rPr>
          <w:rFonts w:ascii="Arial" w:hAnsi="Arial"/>
        </w:rPr>
        <w:t>A breach of air quality standards has occurred at a monitoring station.</w:t>
      </w:r>
    </w:p>
    <w:p w:rsidR="003A4476" w:rsidRPr="006F1D04" w:rsidRDefault="003A4476" w:rsidP="00874267">
      <w:pPr>
        <w:pStyle w:val="BulletArrows"/>
        <w:numPr>
          <w:ilvl w:val="0"/>
          <w:numId w:val="110"/>
        </w:numPr>
        <w:spacing w:after="140"/>
        <w:rPr>
          <w:rFonts w:ascii="Arial" w:hAnsi="Arial"/>
        </w:rPr>
      </w:pPr>
      <w:r w:rsidRPr="006F1D04">
        <w:rPr>
          <w:rFonts w:ascii="Arial" w:hAnsi="Arial"/>
        </w:rPr>
        <w:t>The primary cause of the breach has been identified with a reasonable degree of certainty.</w:t>
      </w:r>
    </w:p>
    <w:p w:rsidR="003A4476" w:rsidRPr="006F1D04" w:rsidRDefault="003A4476" w:rsidP="00874267">
      <w:pPr>
        <w:pStyle w:val="BulletArrows"/>
        <w:numPr>
          <w:ilvl w:val="0"/>
          <w:numId w:val="110"/>
        </w:numPr>
        <w:spacing w:after="240"/>
        <w:rPr>
          <w:rFonts w:ascii="Arial" w:hAnsi="Arial"/>
        </w:rPr>
      </w:pPr>
      <w:r w:rsidRPr="006F1D04">
        <w:rPr>
          <w:rFonts w:ascii="Arial" w:hAnsi="Arial"/>
        </w:rPr>
        <w:t>The primary cause is beyond any plausible influence of air quality management effort (</w:t>
      </w:r>
      <w:r w:rsidR="009334F4" w:rsidRPr="006F1D04">
        <w:rPr>
          <w:rFonts w:ascii="Arial" w:hAnsi="Arial"/>
        </w:rPr>
        <w:t>e.g.</w:t>
      </w:r>
      <w:r w:rsidRPr="006F1D04">
        <w:rPr>
          <w:rFonts w:ascii="Arial" w:hAnsi="Arial"/>
        </w:rPr>
        <w:t xml:space="preserve"> bush fires, dust storms, emergency back-burning, long-range transport of pollution from outside a jurisdiction).</w:t>
      </w:r>
    </w:p>
    <w:p w:rsidR="003A4476" w:rsidRPr="006F1D04" w:rsidRDefault="00583B8B" w:rsidP="00CE2B02">
      <w:pPr>
        <w:pStyle w:val="BulletArrows"/>
        <w:spacing w:after="160"/>
        <w:rPr>
          <w:rFonts w:ascii="Arial" w:hAnsi="Arial"/>
        </w:rPr>
      </w:pPr>
      <w:r w:rsidRPr="006F1D04">
        <w:rPr>
          <w:rFonts w:ascii="Arial" w:hAnsi="Arial"/>
          <w:color w:val="auto"/>
        </w:rPr>
        <w:t>T</w:t>
      </w:r>
      <w:r w:rsidR="00247B89" w:rsidRPr="006F1D04">
        <w:rPr>
          <w:rFonts w:ascii="Arial" w:hAnsi="Arial"/>
          <w:color w:val="auto"/>
          <w:szCs w:val="18"/>
        </w:rPr>
        <w:t>he following types of event w</w:t>
      </w:r>
      <w:r w:rsidR="003A4476" w:rsidRPr="006F1D04">
        <w:rPr>
          <w:rFonts w:ascii="Arial" w:hAnsi="Arial"/>
          <w:color w:val="auto"/>
          <w:szCs w:val="18"/>
        </w:rPr>
        <w:t>ould not be categorised as natural events:</w:t>
      </w:r>
    </w:p>
    <w:p w:rsidR="003A4476" w:rsidRPr="006F1D04" w:rsidRDefault="00A67D21" w:rsidP="00874267">
      <w:pPr>
        <w:pStyle w:val="BulletArrows"/>
        <w:numPr>
          <w:ilvl w:val="0"/>
          <w:numId w:val="111"/>
        </w:numPr>
        <w:spacing w:after="140"/>
        <w:rPr>
          <w:rFonts w:ascii="Arial" w:hAnsi="Arial"/>
          <w:b/>
        </w:rPr>
      </w:pPr>
      <w:r w:rsidRPr="006F1D04">
        <w:rPr>
          <w:rFonts w:ascii="Arial" w:hAnsi="Arial"/>
        </w:rPr>
        <w:t>p</w:t>
      </w:r>
      <w:r w:rsidR="003A4476" w:rsidRPr="006F1D04">
        <w:rPr>
          <w:rFonts w:ascii="Arial" w:hAnsi="Arial"/>
        </w:rPr>
        <w:t xml:space="preserve">lanned </w:t>
      </w:r>
      <w:r w:rsidR="00247B89" w:rsidRPr="006F1D04">
        <w:rPr>
          <w:rFonts w:ascii="Arial" w:hAnsi="Arial"/>
        </w:rPr>
        <w:t xml:space="preserve">hazard-reduction </w:t>
      </w:r>
      <w:r w:rsidR="003A4476" w:rsidRPr="006F1D04">
        <w:rPr>
          <w:rFonts w:ascii="Arial" w:hAnsi="Arial"/>
        </w:rPr>
        <w:t>burns</w:t>
      </w:r>
    </w:p>
    <w:p w:rsidR="003A4476" w:rsidRPr="006F1D04" w:rsidRDefault="00A67D21" w:rsidP="00874267">
      <w:pPr>
        <w:pStyle w:val="BulletArrows"/>
        <w:numPr>
          <w:ilvl w:val="0"/>
          <w:numId w:val="111"/>
        </w:numPr>
        <w:spacing w:after="140"/>
        <w:rPr>
          <w:rFonts w:ascii="Arial" w:hAnsi="Arial"/>
          <w:b/>
        </w:rPr>
      </w:pPr>
      <w:r w:rsidRPr="006F1D04">
        <w:rPr>
          <w:rFonts w:ascii="Arial" w:hAnsi="Arial"/>
        </w:rPr>
        <w:t>a</w:t>
      </w:r>
      <w:r w:rsidR="003A4476" w:rsidRPr="006F1D04">
        <w:rPr>
          <w:rFonts w:ascii="Arial" w:hAnsi="Arial"/>
        </w:rPr>
        <w:t>gricultural burns</w:t>
      </w:r>
    </w:p>
    <w:p w:rsidR="003A4476" w:rsidRPr="006F1D04" w:rsidRDefault="00A67D21" w:rsidP="00874267">
      <w:pPr>
        <w:pStyle w:val="BulletArrows"/>
        <w:numPr>
          <w:ilvl w:val="0"/>
          <w:numId w:val="111"/>
        </w:numPr>
        <w:spacing w:after="140"/>
        <w:rPr>
          <w:rFonts w:ascii="Arial" w:hAnsi="Arial"/>
          <w:b/>
        </w:rPr>
      </w:pPr>
      <w:r w:rsidRPr="006F1D04">
        <w:rPr>
          <w:rFonts w:ascii="Arial" w:hAnsi="Arial"/>
        </w:rPr>
        <w:t>w</w:t>
      </w:r>
      <w:r w:rsidR="003A4476" w:rsidRPr="006F1D04">
        <w:rPr>
          <w:rFonts w:ascii="Arial" w:hAnsi="Arial"/>
        </w:rPr>
        <w:t>aste burning</w:t>
      </w:r>
    </w:p>
    <w:p w:rsidR="003A4476" w:rsidRPr="006F1D04" w:rsidRDefault="00A67D21" w:rsidP="00874267">
      <w:pPr>
        <w:pStyle w:val="BulletArrows"/>
        <w:numPr>
          <w:ilvl w:val="0"/>
          <w:numId w:val="111"/>
        </w:numPr>
        <w:spacing w:after="140"/>
        <w:rPr>
          <w:rFonts w:ascii="Arial" w:hAnsi="Arial"/>
        </w:rPr>
      </w:pPr>
      <w:r w:rsidRPr="006F1D04">
        <w:rPr>
          <w:rFonts w:ascii="Arial" w:hAnsi="Arial"/>
        </w:rPr>
        <w:t>w</w:t>
      </w:r>
      <w:r w:rsidR="00247B89" w:rsidRPr="006F1D04">
        <w:rPr>
          <w:rFonts w:ascii="Arial" w:hAnsi="Arial"/>
        </w:rPr>
        <w:t xml:space="preserve">ind-blown dust from </w:t>
      </w:r>
      <w:r w:rsidR="003A4476" w:rsidRPr="006F1D04">
        <w:rPr>
          <w:rFonts w:ascii="Arial" w:hAnsi="Arial"/>
        </w:rPr>
        <w:t>poorly maintained industrial, commercial, agricu</w:t>
      </w:r>
      <w:r w:rsidR="00247B89" w:rsidRPr="006F1D04">
        <w:rPr>
          <w:rFonts w:ascii="Arial" w:hAnsi="Arial"/>
        </w:rPr>
        <w:t>ltural or private land</w:t>
      </w:r>
    </w:p>
    <w:p w:rsidR="003A4476" w:rsidRPr="006F1D04" w:rsidRDefault="00A67D21" w:rsidP="00874267">
      <w:pPr>
        <w:pStyle w:val="BulletArrows"/>
        <w:numPr>
          <w:ilvl w:val="0"/>
          <w:numId w:val="111"/>
        </w:numPr>
        <w:spacing w:after="140"/>
        <w:rPr>
          <w:rFonts w:ascii="Arial" w:hAnsi="Arial"/>
          <w:b/>
        </w:rPr>
      </w:pPr>
      <w:r w:rsidRPr="006F1D04">
        <w:rPr>
          <w:rFonts w:ascii="Arial" w:hAnsi="Arial"/>
        </w:rPr>
        <w:t>i</w:t>
      </w:r>
      <w:r w:rsidR="003A4476" w:rsidRPr="006F1D04">
        <w:rPr>
          <w:rFonts w:ascii="Arial" w:hAnsi="Arial"/>
        </w:rPr>
        <w:t>ndustrial fires and gas releases</w:t>
      </w:r>
    </w:p>
    <w:p w:rsidR="003A4476" w:rsidRPr="006F1D04" w:rsidRDefault="00A67D21" w:rsidP="00874267">
      <w:pPr>
        <w:pStyle w:val="BulletArrows"/>
        <w:numPr>
          <w:ilvl w:val="0"/>
          <w:numId w:val="111"/>
        </w:numPr>
        <w:spacing w:after="240"/>
        <w:rPr>
          <w:rFonts w:ascii="Arial" w:hAnsi="Arial"/>
        </w:rPr>
      </w:pPr>
      <w:proofErr w:type="gramStart"/>
      <w:r w:rsidRPr="006F1D04">
        <w:rPr>
          <w:rFonts w:ascii="Arial" w:hAnsi="Arial"/>
        </w:rPr>
        <w:t>d</w:t>
      </w:r>
      <w:r w:rsidR="003A4476" w:rsidRPr="006F1D04">
        <w:rPr>
          <w:rFonts w:ascii="Arial" w:hAnsi="Arial"/>
        </w:rPr>
        <w:t>omestic</w:t>
      </w:r>
      <w:proofErr w:type="gramEnd"/>
      <w:r w:rsidR="003A4476" w:rsidRPr="006F1D04">
        <w:rPr>
          <w:rFonts w:ascii="Arial" w:hAnsi="Arial"/>
        </w:rPr>
        <w:t xml:space="preserve"> or commercial fires.</w:t>
      </w:r>
    </w:p>
    <w:p w:rsidR="003A4476" w:rsidRPr="006F1D04" w:rsidRDefault="003A4476" w:rsidP="00CE2B02">
      <w:pPr>
        <w:rPr>
          <w:rFonts w:ascii="Arial" w:hAnsi="Arial" w:cs="Arial"/>
        </w:rPr>
      </w:pPr>
      <w:r w:rsidRPr="006F1D04">
        <w:rPr>
          <w:rFonts w:ascii="Arial" w:hAnsi="Arial" w:cs="Arial"/>
        </w:rPr>
        <w:t xml:space="preserve">For </w:t>
      </w:r>
      <w:r w:rsidR="00D96260" w:rsidRPr="006F1D04">
        <w:rPr>
          <w:rFonts w:ascii="Arial" w:hAnsi="Arial" w:cs="Arial"/>
        </w:rPr>
        <w:t>the purpose</w:t>
      </w:r>
      <w:r w:rsidRPr="006F1D04">
        <w:rPr>
          <w:rFonts w:ascii="Arial" w:hAnsi="Arial" w:cs="Arial"/>
        </w:rPr>
        <w:t xml:space="preserve"> of annu</w:t>
      </w:r>
      <w:r w:rsidR="00D96260" w:rsidRPr="006F1D04">
        <w:rPr>
          <w:rFonts w:ascii="Arial" w:hAnsi="Arial" w:cs="Arial"/>
        </w:rPr>
        <w:t xml:space="preserve">al </w:t>
      </w:r>
      <w:r w:rsidR="00EF24F8" w:rsidRPr="006F1D04">
        <w:rPr>
          <w:rFonts w:ascii="Arial" w:hAnsi="Arial" w:cs="Arial"/>
        </w:rPr>
        <w:t>AAQ NEPM</w:t>
      </w:r>
      <w:r w:rsidR="00D96260" w:rsidRPr="006F1D04">
        <w:rPr>
          <w:rFonts w:ascii="Arial" w:hAnsi="Arial" w:cs="Arial"/>
        </w:rPr>
        <w:t xml:space="preserve"> reporting jurisdictions would</w:t>
      </w:r>
      <w:r w:rsidRPr="006F1D04">
        <w:rPr>
          <w:rFonts w:ascii="Arial" w:hAnsi="Arial" w:cs="Arial"/>
        </w:rPr>
        <w:t xml:space="preserve"> need to identify any natural air poll</w:t>
      </w:r>
      <w:r w:rsidR="005A10D4" w:rsidRPr="006F1D04">
        <w:rPr>
          <w:rFonts w:ascii="Arial" w:hAnsi="Arial" w:cs="Arial"/>
        </w:rPr>
        <w:t>ution events during the reporting</w:t>
      </w:r>
      <w:r w:rsidRPr="006F1D04">
        <w:rPr>
          <w:rFonts w:ascii="Arial" w:hAnsi="Arial" w:cs="Arial"/>
        </w:rPr>
        <w:t xml:space="preserve"> year, </w:t>
      </w:r>
      <w:r w:rsidR="00D96260" w:rsidRPr="006F1D04">
        <w:rPr>
          <w:rFonts w:ascii="Arial" w:hAnsi="Arial" w:cs="Arial"/>
        </w:rPr>
        <w:t xml:space="preserve">and </w:t>
      </w:r>
      <w:r w:rsidR="005A10D4" w:rsidRPr="006F1D04">
        <w:rPr>
          <w:rFonts w:ascii="Arial" w:hAnsi="Arial" w:cs="Arial"/>
        </w:rPr>
        <w:t>then exclude these</w:t>
      </w:r>
      <w:r w:rsidRPr="006F1D04">
        <w:rPr>
          <w:rFonts w:ascii="Arial" w:hAnsi="Arial" w:cs="Arial"/>
        </w:rPr>
        <w:t xml:space="preserve"> from the annual count of exceeda</w:t>
      </w:r>
      <w:r w:rsidR="00D96260" w:rsidRPr="006F1D04">
        <w:rPr>
          <w:rFonts w:ascii="Arial" w:hAnsi="Arial" w:cs="Arial"/>
        </w:rPr>
        <w:t>nces. A</w:t>
      </w:r>
      <w:r w:rsidRPr="006F1D04">
        <w:rPr>
          <w:rFonts w:ascii="Arial" w:hAnsi="Arial" w:cs="Arial"/>
        </w:rPr>
        <w:t xml:space="preserve">ny natural or trans-boundary air pollution events </w:t>
      </w:r>
      <w:r w:rsidR="00D96260" w:rsidRPr="006F1D04">
        <w:rPr>
          <w:rFonts w:ascii="Arial" w:hAnsi="Arial" w:cs="Arial"/>
        </w:rPr>
        <w:t xml:space="preserve">could </w:t>
      </w:r>
      <w:r w:rsidRPr="006F1D04">
        <w:rPr>
          <w:rFonts w:ascii="Arial" w:hAnsi="Arial" w:cs="Arial"/>
        </w:rPr>
        <w:t>be itemised in a sep</w:t>
      </w:r>
      <w:r w:rsidR="0087080F" w:rsidRPr="006F1D04">
        <w:rPr>
          <w:rFonts w:ascii="Arial" w:hAnsi="Arial" w:cs="Arial"/>
        </w:rPr>
        <w:t xml:space="preserve">arate section of the jurisdictional </w:t>
      </w:r>
      <w:r w:rsidR="00EF24F8" w:rsidRPr="006F1D04">
        <w:rPr>
          <w:rFonts w:ascii="Arial" w:hAnsi="Arial" w:cs="Arial"/>
        </w:rPr>
        <w:t>AAQ NEPM</w:t>
      </w:r>
      <w:r w:rsidR="0087080F" w:rsidRPr="006F1D04">
        <w:rPr>
          <w:rFonts w:ascii="Arial" w:hAnsi="Arial" w:cs="Arial"/>
        </w:rPr>
        <w:t xml:space="preserve"> </w:t>
      </w:r>
      <w:r w:rsidRPr="006F1D04">
        <w:rPr>
          <w:rFonts w:ascii="Arial" w:hAnsi="Arial" w:cs="Arial"/>
        </w:rPr>
        <w:t>repo</w:t>
      </w:r>
      <w:r w:rsidR="00D96260" w:rsidRPr="006F1D04">
        <w:rPr>
          <w:rFonts w:ascii="Arial" w:hAnsi="Arial" w:cs="Arial"/>
        </w:rPr>
        <w:t>rt</w:t>
      </w:r>
      <w:r w:rsidRPr="006F1D04">
        <w:rPr>
          <w:rFonts w:ascii="Arial" w:hAnsi="Arial" w:cs="Arial"/>
        </w:rPr>
        <w:t>.</w:t>
      </w:r>
    </w:p>
    <w:p w:rsidR="003A4476" w:rsidRPr="006F1D04" w:rsidRDefault="00D96260" w:rsidP="00CE2B02">
      <w:pPr>
        <w:rPr>
          <w:rFonts w:ascii="Arial" w:hAnsi="Arial" w:cs="Arial"/>
        </w:rPr>
      </w:pPr>
      <w:r w:rsidRPr="006F1D04">
        <w:rPr>
          <w:rFonts w:ascii="Arial" w:hAnsi="Arial" w:cs="Arial"/>
        </w:rPr>
        <w:t>The natural events rule is not intended to create a significant burden of investigative work</w:t>
      </w:r>
      <w:r w:rsidR="00A67D21" w:rsidRPr="006F1D04">
        <w:rPr>
          <w:rFonts w:ascii="Arial" w:hAnsi="Arial" w:cs="Arial"/>
        </w:rPr>
        <w:t>;</w:t>
      </w:r>
      <w:r w:rsidRPr="006F1D04">
        <w:rPr>
          <w:rFonts w:ascii="Arial" w:hAnsi="Arial" w:cs="Arial"/>
        </w:rPr>
        <w:t xml:space="preserve"> </w:t>
      </w:r>
      <w:r w:rsidR="00A67D21" w:rsidRPr="006F1D04">
        <w:rPr>
          <w:rFonts w:ascii="Arial" w:hAnsi="Arial" w:cs="Arial"/>
        </w:rPr>
        <w:t>h</w:t>
      </w:r>
      <w:r w:rsidRPr="006F1D04">
        <w:rPr>
          <w:rFonts w:ascii="Arial" w:hAnsi="Arial" w:cs="Arial"/>
        </w:rPr>
        <w:t>owever</w:t>
      </w:r>
      <w:r w:rsidR="00CB6A70" w:rsidRPr="006F1D04">
        <w:rPr>
          <w:rFonts w:ascii="Arial" w:hAnsi="Arial" w:cs="Arial"/>
        </w:rPr>
        <w:t xml:space="preserve">, it would </w:t>
      </w:r>
      <w:r w:rsidRPr="006F1D04">
        <w:rPr>
          <w:rFonts w:ascii="Arial" w:hAnsi="Arial" w:cs="Arial"/>
        </w:rPr>
        <w:t xml:space="preserve">need to be tested in practice to ensure it could be applied rigorously. </w:t>
      </w:r>
      <w:r w:rsidR="00583B8B" w:rsidRPr="006F1D04">
        <w:rPr>
          <w:rFonts w:ascii="Arial" w:hAnsi="Arial" w:cs="Arial"/>
        </w:rPr>
        <w:t>Natural events could</w:t>
      </w:r>
      <w:r w:rsidR="003A4476" w:rsidRPr="006F1D04">
        <w:rPr>
          <w:rFonts w:ascii="Arial" w:hAnsi="Arial" w:cs="Arial"/>
        </w:rPr>
        <w:t xml:space="preserve"> be identified based on a co</w:t>
      </w:r>
      <w:r w:rsidR="00D0053F" w:rsidRPr="006F1D04">
        <w:rPr>
          <w:rFonts w:ascii="Arial" w:hAnsi="Arial" w:cs="Arial"/>
        </w:rPr>
        <w:t>mbination of records</w:t>
      </w:r>
      <w:r w:rsidR="003A4476" w:rsidRPr="006F1D04">
        <w:rPr>
          <w:rFonts w:ascii="Arial" w:hAnsi="Arial" w:cs="Arial"/>
        </w:rPr>
        <w:t>, satellite images, analysis of meteorology and pollution data (including both PM</w:t>
      </w:r>
      <w:r w:rsidR="003A4476" w:rsidRPr="006F1D04">
        <w:rPr>
          <w:rFonts w:ascii="Arial" w:hAnsi="Arial" w:cs="Arial"/>
          <w:vertAlign w:val="subscript"/>
        </w:rPr>
        <w:t>10</w:t>
      </w:r>
      <w:r w:rsidR="003A4476" w:rsidRPr="006F1D04">
        <w:rPr>
          <w:rFonts w:ascii="Arial" w:hAnsi="Arial" w:cs="Arial"/>
        </w:rPr>
        <w:t xml:space="preserve"> and PM</w:t>
      </w:r>
      <w:r w:rsidR="003A4476" w:rsidRPr="006F1D04">
        <w:rPr>
          <w:rFonts w:ascii="Arial" w:hAnsi="Arial" w:cs="Arial"/>
          <w:vertAlign w:val="subscript"/>
        </w:rPr>
        <w:t>2.5</w:t>
      </w:r>
      <w:r w:rsidR="003A4476" w:rsidRPr="006F1D04">
        <w:rPr>
          <w:rFonts w:ascii="Arial" w:hAnsi="Arial" w:cs="Arial"/>
        </w:rPr>
        <w:t xml:space="preserve"> to aid source identification), or first-hand observer reports from the affected region.</w:t>
      </w:r>
    </w:p>
    <w:p w:rsidR="00D96260" w:rsidRPr="006F1D04" w:rsidRDefault="00D96260" w:rsidP="00CE2B02">
      <w:pPr>
        <w:spacing w:after="300"/>
        <w:rPr>
          <w:rFonts w:ascii="Arial" w:hAnsi="Arial" w:cs="Arial"/>
        </w:rPr>
      </w:pPr>
      <w:r w:rsidRPr="006F1D04">
        <w:rPr>
          <w:rFonts w:ascii="Arial" w:hAnsi="Arial" w:cs="Arial"/>
          <w:lang w:eastAsia="en-US"/>
        </w:rPr>
        <w:t xml:space="preserve">A </w:t>
      </w:r>
      <w:r w:rsidR="00656E0B" w:rsidRPr="006F1D04">
        <w:rPr>
          <w:rFonts w:ascii="Arial" w:hAnsi="Arial" w:cs="Arial"/>
          <w:lang w:eastAsia="en-US"/>
        </w:rPr>
        <w:t xml:space="preserve">broadly </w:t>
      </w:r>
      <w:r w:rsidRPr="006F1D04">
        <w:rPr>
          <w:rFonts w:ascii="Arial" w:hAnsi="Arial" w:cs="Arial"/>
          <w:lang w:eastAsia="en-US"/>
        </w:rPr>
        <w:t>similar approach has been adopted in Europe</w:t>
      </w:r>
      <w:r w:rsidR="00656E0B" w:rsidRPr="006F1D04">
        <w:rPr>
          <w:rFonts w:ascii="Arial" w:hAnsi="Arial" w:cs="Arial"/>
          <w:lang w:eastAsia="en-US"/>
        </w:rPr>
        <w:t xml:space="preserve"> and the United States</w:t>
      </w:r>
      <w:r w:rsidRPr="006F1D04">
        <w:rPr>
          <w:rFonts w:ascii="Arial" w:hAnsi="Arial" w:cs="Arial"/>
          <w:lang w:eastAsia="en-US"/>
        </w:rPr>
        <w:t>, and i</w:t>
      </w:r>
      <w:r w:rsidR="00CB6A70" w:rsidRPr="006F1D04">
        <w:rPr>
          <w:rFonts w:ascii="Arial" w:hAnsi="Arial" w:cs="Arial"/>
        </w:rPr>
        <w:t>t is worth noting that</w:t>
      </w:r>
      <w:r w:rsidR="00EA0914" w:rsidRPr="006F1D04">
        <w:rPr>
          <w:rFonts w:ascii="Arial" w:hAnsi="Arial" w:cs="Arial"/>
        </w:rPr>
        <w:t xml:space="preserve"> some difficultie</w:t>
      </w:r>
      <w:r w:rsidRPr="006F1D04">
        <w:rPr>
          <w:rFonts w:ascii="Arial" w:hAnsi="Arial" w:cs="Arial"/>
        </w:rPr>
        <w:t>s have been encountered</w:t>
      </w:r>
      <w:r w:rsidR="00EA0914" w:rsidRPr="006F1D04">
        <w:rPr>
          <w:rFonts w:ascii="Arial" w:hAnsi="Arial" w:cs="Arial"/>
        </w:rPr>
        <w:t xml:space="preserve">. </w:t>
      </w:r>
      <w:r w:rsidR="00EA0914" w:rsidRPr="006F1D04">
        <w:rPr>
          <w:rFonts w:ascii="Arial" w:hAnsi="Arial" w:cs="Arial"/>
          <w:b/>
        </w:rPr>
        <w:t>EEA (2012)</w:t>
      </w:r>
      <w:r w:rsidR="00EA0914" w:rsidRPr="006F1D04">
        <w:rPr>
          <w:rFonts w:ascii="Arial" w:hAnsi="Arial" w:cs="Arial"/>
        </w:rPr>
        <w:t xml:space="preserve"> found that </w:t>
      </w:r>
      <w:r w:rsidR="003A4476" w:rsidRPr="006F1D04">
        <w:rPr>
          <w:rFonts w:ascii="Arial" w:hAnsi="Arial" w:cs="Arial"/>
        </w:rPr>
        <w:t>it was hard to detect a common Europe-wide strategy on how to deal with the natural emissions and their contributions to limit value exceedances when analysing Member State submissions</w:t>
      </w:r>
      <w:r w:rsidR="00EA0914" w:rsidRPr="006F1D04">
        <w:rPr>
          <w:rFonts w:ascii="Arial" w:hAnsi="Arial" w:cs="Arial"/>
        </w:rPr>
        <w:t xml:space="preserve"> for the Air Quality Directive</w:t>
      </w:r>
      <w:r w:rsidR="003A4476" w:rsidRPr="006F1D04">
        <w:rPr>
          <w:rFonts w:ascii="Arial" w:hAnsi="Arial" w:cs="Arial"/>
        </w:rPr>
        <w:t>. The eleven countries that reported natural contributions to PM</w:t>
      </w:r>
      <w:r w:rsidR="003A4476" w:rsidRPr="006F1D04">
        <w:rPr>
          <w:rStyle w:val="A5"/>
          <w:rFonts w:ascii="Arial" w:hAnsi="Arial" w:cs="Arial"/>
          <w:color w:val="auto"/>
          <w:sz w:val="18"/>
          <w:szCs w:val="18"/>
          <w:vertAlign w:val="subscript"/>
        </w:rPr>
        <w:t>10</w:t>
      </w:r>
      <w:r w:rsidR="003A4476" w:rsidRPr="006F1D04">
        <w:rPr>
          <w:rStyle w:val="A5"/>
          <w:rFonts w:ascii="Arial" w:hAnsi="Arial" w:cs="Arial"/>
          <w:color w:val="FF0000"/>
          <w:sz w:val="18"/>
          <w:szCs w:val="18"/>
        </w:rPr>
        <w:t xml:space="preserve"> </w:t>
      </w:r>
      <w:r w:rsidR="003A4476" w:rsidRPr="006F1D04">
        <w:rPr>
          <w:rFonts w:ascii="Arial" w:hAnsi="Arial" w:cs="Arial"/>
        </w:rPr>
        <w:t>limit value exceedances u</w:t>
      </w:r>
      <w:r w:rsidR="00EA0914" w:rsidRPr="006F1D04">
        <w:rPr>
          <w:rFonts w:ascii="Arial" w:hAnsi="Arial" w:cs="Arial"/>
        </w:rPr>
        <w:t>sed quite different approaches.</w:t>
      </w:r>
      <w:r w:rsidRPr="006F1D04">
        <w:rPr>
          <w:rFonts w:ascii="Arial" w:hAnsi="Arial" w:cs="Arial"/>
        </w:rPr>
        <w:t xml:space="preserve"> </w:t>
      </w:r>
      <w:r w:rsidRPr="006F1D04">
        <w:rPr>
          <w:rFonts w:ascii="Arial" w:hAnsi="Arial" w:cs="Arial"/>
          <w:lang w:eastAsia="en-US"/>
        </w:rPr>
        <w:t xml:space="preserve">This suggests that strict guidelines would need to be developed </w:t>
      </w:r>
      <w:r w:rsidR="00EA1A0C" w:rsidRPr="006F1D04">
        <w:rPr>
          <w:rFonts w:ascii="Arial" w:hAnsi="Arial" w:cs="Arial"/>
          <w:lang w:eastAsia="en-US"/>
        </w:rPr>
        <w:t xml:space="preserve">and trialled prior to consideration </w:t>
      </w:r>
      <w:r w:rsidR="00D0053F" w:rsidRPr="006F1D04">
        <w:rPr>
          <w:rFonts w:ascii="Arial" w:hAnsi="Arial" w:cs="Arial"/>
          <w:lang w:eastAsia="en-US"/>
        </w:rPr>
        <w:t xml:space="preserve">of </w:t>
      </w:r>
      <w:r w:rsidRPr="006F1D04">
        <w:rPr>
          <w:rFonts w:ascii="Arial" w:hAnsi="Arial" w:cs="Arial"/>
          <w:lang w:eastAsia="en-US"/>
        </w:rPr>
        <w:t>a natural events rule in Australia.</w:t>
      </w:r>
    </w:p>
    <w:p w:rsidR="00BA168D" w:rsidRPr="006F1D04" w:rsidRDefault="00BA168D" w:rsidP="00E67FC8">
      <w:pPr>
        <w:pStyle w:val="Heading3"/>
        <w:pageBreakBefore/>
        <w:spacing w:before="0" w:after="160"/>
        <w:rPr>
          <w:rFonts w:ascii="Arial" w:hAnsi="Arial"/>
        </w:rPr>
      </w:pPr>
      <w:bookmarkStart w:id="144" w:name="_Toc394011133"/>
      <w:r w:rsidRPr="006F1D04">
        <w:rPr>
          <w:rFonts w:ascii="Arial" w:hAnsi="Arial"/>
        </w:rPr>
        <w:lastRenderedPageBreak/>
        <w:t xml:space="preserve">Summary of options for </w:t>
      </w:r>
      <w:r w:rsidR="00A67D21" w:rsidRPr="006F1D04">
        <w:rPr>
          <w:rFonts w:ascii="Arial" w:hAnsi="Arial"/>
        </w:rPr>
        <w:t xml:space="preserve">the </w:t>
      </w:r>
      <w:r w:rsidRPr="006F1D04">
        <w:rPr>
          <w:rFonts w:ascii="Arial" w:hAnsi="Arial"/>
        </w:rPr>
        <w:t xml:space="preserve">form of </w:t>
      </w:r>
      <w:r w:rsidR="00A67D21" w:rsidRPr="006F1D04">
        <w:rPr>
          <w:rFonts w:ascii="Arial" w:hAnsi="Arial"/>
        </w:rPr>
        <w:t xml:space="preserve">the </w:t>
      </w:r>
      <w:r w:rsidR="004C7D30" w:rsidRPr="006F1D04">
        <w:rPr>
          <w:rFonts w:ascii="Arial" w:hAnsi="Arial"/>
        </w:rPr>
        <w:t xml:space="preserve">24-hour </w:t>
      </w:r>
      <w:r w:rsidRPr="006F1D04">
        <w:rPr>
          <w:rFonts w:ascii="Arial" w:hAnsi="Arial"/>
        </w:rPr>
        <w:t>standard</w:t>
      </w:r>
      <w:r w:rsidR="004C7D30" w:rsidRPr="006F1D04">
        <w:rPr>
          <w:rFonts w:ascii="Arial" w:hAnsi="Arial"/>
        </w:rPr>
        <w:t>s</w:t>
      </w:r>
      <w:bookmarkEnd w:id="144"/>
    </w:p>
    <w:p w:rsidR="007623CE" w:rsidRPr="006F1D04" w:rsidRDefault="007623CE" w:rsidP="00E67FC8">
      <w:pPr>
        <w:spacing w:after="180"/>
        <w:rPr>
          <w:rFonts w:ascii="Arial" w:hAnsi="Arial" w:cs="Arial"/>
        </w:rPr>
      </w:pPr>
      <w:r w:rsidRPr="006F1D04">
        <w:rPr>
          <w:rFonts w:ascii="Arial" w:hAnsi="Arial" w:cs="Arial"/>
        </w:rPr>
        <w:t>Four options for the form of the 24-hour standards are to be considered for the AAQ NEPM:</w:t>
      </w:r>
    </w:p>
    <w:p w:rsidR="007623CE" w:rsidRPr="006F1D04" w:rsidRDefault="007623CE" w:rsidP="00E67FC8">
      <w:pPr>
        <w:pStyle w:val="ListParagraph"/>
        <w:numPr>
          <w:ilvl w:val="0"/>
          <w:numId w:val="31"/>
        </w:numPr>
        <w:spacing w:after="120"/>
        <w:ind w:left="568" w:hanging="284"/>
        <w:contextualSpacing w:val="0"/>
        <w:rPr>
          <w:rFonts w:ascii="Arial" w:hAnsi="Arial" w:cs="Arial"/>
          <w:spacing w:val="-2"/>
        </w:rPr>
      </w:pPr>
      <w:r w:rsidRPr="006F1D04">
        <w:rPr>
          <w:rFonts w:ascii="Arial" w:hAnsi="Arial" w:cs="Arial"/>
          <w:spacing w:val="-2"/>
        </w:rPr>
        <w:t>Business as usual option. A rule that allows a fixed number of exceedances of a PM standard in a given year (as is currently the case for PM</w:t>
      </w:r>
      <w:r w:rsidRPr="006F1D04">
        <w:rPr>
          <w:rFonts w:ascii="Arial" w:hAnsi="Arial" w:cs="Arial"/>
          <w:spacing w:val="-2"/>
          <w:vertAlign w:val="subscript"/>
        </w:rPr>
        <w:t>10</w:t>
      </w:r>
      <w:r w:rsidRPr="006F1D04">
        <w:rPr>
          <w:rFonts w:ascii="Arial" w:hAnsi="Arial" w:cs="Arial"/>
          <w:spacing w:val="-2"/>
        </w:rPr>
        <w:t xml:space="preserve">), but with no exclusion of data for exceptional events. The fixed number of allowable exceedance days (e.g. </w:t>
      </w:r>
      <w:r w:rsidR="00A67D21" w:rsidRPr="006F1D04">
        <w:rPr>
          <w:rFonts w:ascii="Arial" w:hAnsi="Arial" w:cs="Arial"/>
          <w:spacing w:val="-2"/>
        </w:rPr>
        <w:t>five</w:t>
      </w:r>
      <w:r w:rsidRPr="006F1D04">
        <w:rPr>
          <w:rFonts w:ascii="Arial" w:hAnsi="Arial" w:cs="Arial"/>
          <w:spacing w:val="-2"/>
        </w:rPr>
        <w:t xml:space="preserve"> days per year) would be based on an estimated number of exceptional events. For reporting purposes the occurrence of exceptional events will be recorded, and various statistics will be presented (including percentiles), but these will not be used when comparing measured concentrations with the standard.</w:t>
      </w:r>
      <w:r w:rsidR="005E09D0" w:rsidRPr="006F1D04">
        <w:rPr>
          <w:rFonts w:ascii="Arial" w:hAnsi="Arial" w:cs="Arial"/>
          <w:spacing w:val="-2"/>
        </w:rPr>
        <w:t xml:space="preserve"> </w:t>
      </w:r>
    </w:p>
    <w:p w:rsidR="007623CE" w:rsidRPr="006F1D04" w:rsidRDefault="007623CE" w:rsidP="00E67FC8">
      <w:pPr>
        <w:numPr>
          <w:ilvl w:val="0"/>
          <w:numId w:val="31"/>
        </w:numPr>
        <w:spacing w:after="120"/>
        <w:ind w:left="568" w:hanging="284"/>
        <w:rPr>
          <w:rFonts w:ascii="Arial" w:hAnsi="Arial" w:cs="Arial"/>
        </w:rPr>
      </w:pPr>
      <w:r w:rsidRPr="006F1D04">
        <w:rPr>
          <w:rFonts w:ascii="Arial" w:hAnsi="Arial" w:cs="Arial"/>
        </w:rPr>
        <w:t xml:space="preserve">A rule that allows a fixed number of exceedances of a PM standard in a given year based </w:t>
      </w:r>
      <w:r w:rsidR="00364C2E" w:rsidRPr="006F1D04">
        <w:rPr>
          <w:rFonts w:ascii="Arial" w:hAnsi="Arial" w:cs="Arial"/>
        </w:rPr>
        <w:t>on the exclusion</w:t>
      </w:r>
      <w:r w:rsidRPr="006F1D04">
        <w:rPr>
          <w:rFonts w:ascii="Arial" w:hAnsi="Arial" w:cs="Arial"/>
        </w:rPr>
        <w:t xml:space="preserve"> </w:t>
      </w:r>
      <w:r w:rsidR="00364C2E" w:rsidRPr="006F1D04">
        <w:rPr>
          <w:rFonts w:ascii="Arial" w:hAnsi="Arial" w:cs="Arial"/>
        </w:rPr>
        <w:t xml:space="preserve">of data </w:t>
      </w:r>
      <w:r w:rsidRPr="006F1D04">
        <w:rPr>
          <w:rFonts w:ascii="Arial" w:hAnsi="Arial" w:cs="Arial"/>
        </w:rPr>
        <w:t>for actual exceptional events. This is similar to the approach used in the EU.</w:t>
      </w:r>
    </w:p>
    <w:p w:rsidR="007623CE" w:rsidRPr="006F1D04" w:rsidRDefault="007623CE" w:rsidP="00E67FC8">
      <w:pPr>
        <w:numPr>
          <w:ilvl w:val="0"/>
          <w:numId w:val="31"/>
        </w:numPr>
        <w:spacing w:after="120"/>
        <w:ind w:left="568" w:hanging="284"/>
        <w:rPr>
          <w:rFonts w:ascii="Arial" w:hAnsi="Arial" w:cs="Arial"/>
        </w:rPr>
      </w:pPr>
      <w:r w:rsidRPr="006F1D04">
        <w:rPr>
          <w:rFonts w:ascii="Arial" w:hAnsi="Arial" w:cs="Arial"/>
        </w:rPr>
        <w:t>A rule in which the 98</w:t>
      </w:r>
      <w:r w:rsidRPr="006F1D04">
        <w:rPr>
          <w:rFonts w:ascii="Arial" w:hAnsi="Arial" w:cs="Arial"/>
          <w:vertAlign w:val="superscript"/>
        </w:rPr>
        <w:t>th</w:t>
      </w:r>
      <w:r w:rsidRPr="006F1D04">
        <w:rPr>
          <w:rFonts w:ascii="Arial" w:hAnsi="Arial" w:cs="Arial"/>
        </w:rPr>
        <w:t xml:space="preserve"> percentile PM concentration in a given year is compared with a standard, but with no exclusion of data for exceptional events. For reporting purposes the occurrence of exceptional events will be recorded and various statistics will be presented (including percentiles), but these will not be used when comparing measured concentrations with the standard.</w:t>
      </w:r>
    </w:p>
    <w:p w:rsidR="007623CE" w:rsidRPr="006F1D04" w:rsidRDefault="007623CE" w:rsidP="00E67FC8">
      <w:pPr>
        <w:numPr>
          <w:ilvl w:val="0"/>
          <w:numId w:val="31"/>
        </w:numPr>
        <w:spacing w:after="140"/>
        <w:ind w:left="568" w:hanging="284"/>
        <w:rPr>
          <w:rFonts w:ascii="Arial" w:hAnsi="Arial" w:cs="Arial"/>
        </w:rPr>
      </w:pPr>
      <w:r w:rsidRPr="006F1D04">
        <w:rPr>
          <w:rFonts w:ascii="Arial" w:hAnsi="Arial" w:cs="Arial"/>
        </w:rPr>
        <w:t>A rule in which the 98</w:t>
      </w:r>
      <w:r w:rsidRPr="006F1D04">
        <w:rPr>
          <w:rFonts w:ascii="Arial" w:hAnsi="Arial" w:cs="Arial"/>
          <w:vertAlign w:val="superscript"/>
        </w:rPr>
        <w:t>th</w:t>
      </w:r>
      <w:r w:rsidRPr="006F1D04">
        <w:rPr>
          <w:rFonts w:ascii="Arial" w:hAnsi="Arial" w:cs="Arial"/>
        </w:rPr>
        <w:t xml:space="preserve"> percentile PM concentration in a given year is compared with a standard, but with </w:t>
      </w:r>
      <w:r w:rsidR="00364C2E" w:rsidRPr="006F1D04">
        <w:rPr>
          <w:rFonts w:ascii="Arial" w:hAnsi="Arial" w:cs="Arial"/>
        </w:rPr>
        <w:t>the exclusion of data</w:t>
      </w:r>
      <w:r w:rsidRPr="006F1D04">
        <w:rPr>
          <w:rFonts w:ascii="Arial" w:hAnsi="Arial" w:cs="Arial"/>
        </w:rPr>
        <w:t xml:space="preserve"> for exceptional events. This is similar to the approach used </w:t>
      </w:r>
      <w:r w:rsidR="00364C2E" w:rsidRPr="006F1D04">
        <w:rPr>
          <w:rFonts w:ascii="Arial" w:hAnsi="Arial" w:cs="Arial"/>
        </w:rPr>
        <w:t>for PM</w:t>
      </w:r>
      <w:r w:rsidR="00364C2E" w:rsidRPr="006F1D04">
        <w:rPr>
          <w:rFonts w:ascii="Arial" w:hAnsi="Arial" w:cs="Arial"/>
          <w:vertAlign w:val="subscript"/>
        </w:rPr>
        <w:t>2.5</w:t>
      </w:r>
      <w:r w:rsidR="00364C2E" w:rsidRPr="006F1D04">
        <w:rPr>
          <w:rFonts w:ascii="Arial" w:hAnsi="Arial" w:cs="Arial"/>
        </w:rPr>
        <w:t xml:space="preserve"> </w:t>
      </w:r>
      <w:r w:rsidRPr="006F1D04">
        <w:rPr>
          <w:rFonts w:ascii="Arial" w:hAnsi="Arial" w:cs="Arial"/>
        </w:rPr>
        <w:t>in the US.</w:t>
      </w:r>
    </w:p>
    <w:p w:rsidR="004671FE" w:rsidRPr="006F1D04" w:rsidRDefault="004671FE" w:rsidP="00E67FC8">
      <w:pPr>
        <w:spacing w:after="180"/>
        <w:rPr>
          <w:rFonts w:ascii="Arial" w:hAnsi="Arial" w:cs="Arial"/>
        </w:rPr>
      </w:pPr>
      <w:r w:rsidRPr="006F1D04">
        <w:rPr>
          <w:rFonts w:ascii="Arial" w:hAnsi="Arial" w:cs="Arial"/>
        </w:rPr>
        <w:t xml:space="preserve">The form of the 24-hour standard should also result in an appropriate balance between the annual mean and 24-hour standards. </w:t>
      </w:r>
      <w:r w:rsidR="00A67D21" w:rsidRPr="006F1D04">
        <w:rPr>
          <w:rFonts w:ascii="Arial" w:hAnsi="Arial" w:cs="Arial"/>
        </w:rPr>
        <w:t>As discussed above, the situation in which the numerical value and form of the 24-hour standard leads to the perception that it is more important than the annual standard needs to be avoided, due to the potential for a disproportionate focus on short-term concentrations.</w:t>
      </w:r>
    </w:p>
    <w:p w:rsidR="003A247A" w:rsidRPr="006F1D04" w:rsidRDefault="003A247A" w:rsidP="00E67FC8">
      <w:pPr>
        <w:pStyle w:val="Heading2"/>
        <w:spacing w:before="200" w:after="160"/>
        <w:rPr>
          <w:rFonts w:ascii="Arial" w:hAnsi="Arial"/>
        </w:rPr>
      </w:pPr>
      <w:bookmarkStart w:id="145" w:name="_Toc394011134"/>
      <w:r w:rsidRPr="006F1D04">
        <w:rPr>
          <w:rFonts w:ascii="Arial" w:hAnsi="Arial"/>
        </w:rPr>
        <w:t>Applicability of standards</w:t>
      </w:r>
      <w:bookmarkEnd w:id="145"/>
    </w:p>
    <w:p w:rsidR="006558AF" w:rsidRPr="006F1D04" w:rsidRDefault="006558AF" w:rsidP="00E67FC8">
      <w:pPr>
        <w:tabs>
          <w:tab w:val="left" w:pos="576"/>
        </w:tabs>
        <w:spacing w:after="180"/>
        <w:rPr>
          <w:rFonts w:ascii="Arial" w:hAnsi="Arial" w:cs="Arial"/>
        </w:rPr>
      </w:pPr>
      <w:r w:rsidRPr="006F1D04">
        <w:rPr>
          <w:rFonts w:ascii="Arial" w:hAnsi="Arial" w:cs="Arial"/>
        </w:rPr>
        <w:t>The approach whereby the AAQ NEPM standards for PM are based on measurements at sites that reflect the general exposure of populations in large metropolitan areas is planned to be maintained. Under this general exposure approach the standards and goals are applicable to urban sites away from sources of pollution, such as busy roads and industrial stacks. Individual jurisdictions can employ compl</w:t>
      </w:r>
      <w:r w:rsidR="00A75665" w:rsidRPr="006F1D04">
        <w:rPr>
          <w:rFonts w:ascii="Arial" w:hAnsi="Arial" w:cs="Arial"/>
        </w:rPr>
        <w:t>e</w:t>
      </w:r>
      <w:r w:rsidRPr="006F1D04">
        <w:rPr>
          <w:rFonts w:ascii="Arial" w:hAnsi="Arial" w:cs="Arial"/>
        </w:rPr>
        <w:t>mentary methods to inform development applications for proposed infrastructure and industrial proposals in a variety of locations and contexts.</w:t>
      </w:r>
    </w:p>
    <w:p w:rsidR="007B1A5E" w:rsidRPr="006F1D04" w:rsidRDefault="007B1A5E" w:rsidP="00E67FC8">
      <w:pPr>
        <w:pStyle w:val="Heading2"/>
        <w:spacing w:before="200" w:after="160"/>
        <w:rPr>
          <w:rFonts w:ascii="Arial" w:hAnsi="Arial"/>
        </w:rPr>
      </w:pPr>
      <w:bookmarkStart w:id="146" w:name="_Toc394011135"/>
      <w:r w:rsidRPr="006F1D04">
        <w:rPr>
          <w:rFonts w:ascii="Arial" w:hAnsi="Arial"/>
        </w:rPr>
        <w:t>Exposure-reduction framework</w:t>
      </w:r>
      <w:bookmarkEnd w:id="146"/>
    </w:p>
    <w:p w:rsidR="00DB5D5F" w:rsidRPr="006F1D04" w:rsidRDefault="00C42C7B" w:rsidP="00E67FC8">
      <w:pPr>
        <w:spacing w:after="180"/>
        <w:rPr>
          <w:rFonts w:ascii="Arial" w:hAnsi="Arial" w:cs="Arial"/>
        </w:rPr>
      </w:pPr>
      <w:proofErr w:type="spellStart"/>
      <w:r w:rsidRPr="006F1D04">
        <w:rPr>
          <w:rFonts w:ascii="Arial" w:hAnsi="Arial" w:cs="Arial"/>
          <w:b/>
        </w:rPr>
        <w:t>Bawden</w:t>
      </w:r>
      <w:proofErr w:type="spellEnd"/>
      <w:r w:rsidRPr="006F1D04">
        <w:rPr>
          <w:rFonts w:ascii="Arial" w:hAnsi="Arial" w:cs="Arial"/>
          <w:b/>
        </w:rPr>
        <w:t xml:space="preserve"> </w:t>
      </w:r>
      <w:r w:rsidR="009334F4" w:rsidRPr="006F1D04">
        <w:rPr>
          <w:rFonts w:ascii="Arial" w:hAnsi="Arial" w:cs="Arial"/>
          <w:b/>
        </w:rPr>
        <w:t>et al.</w:t>
      </w:r>
      <w:r w:rsidRPr="006F1D04">
        <w:rPr>
          <w:rFonts w:ascii="Arial" w:hAnsi="Arial" w:cs="Arial"/>
          <w:b/>
        </w:rPr>
        <w:t xml:space="preserve"> (2012)</w:t>
      </w:r>
      <w:r w:rsidRPr="006F1D04">
        <w:rPr>
          <w:rFonts w:ascii="Arial" w:hAnsi="Arial" w:cs="Arial"/>
        </w:rPr>
        <w:t xml:space="preserve"> recommended the establishment of an exposure-reduction framework within the </w:t>
      </w:r>
      <w:r w:rsidR="00EF24F8" w:rsidRPr="006F1D04">
        <w:rPr>
          <w:rFonts w:ascii="Arial" w:hAnsi="Arial" w:cs="Arial"/>
        </w:rPr>
        <w:t>AAQ NEPM</w:t>
      </w:r>
      <w:r w:rsidRPr="006F1D04">
        <w:rPr>
          <w:rFonts w:ascii="Arial" w:hAnsi="Arial" w:cs="Arial"/>
        </w:rPr>
        <w:t xml:space="preserve">. </w:t>
      </w:r>
      <w:r w:rsidR="00DB5D5F" w:rsidRPr="006F1D04">
        <w:rPr>
          <w:rFonts w:ascii="Arial" w:hAnsi="Arial" w:cs="Arial"/>
        </w:rPr>
        <w:t xml:space="preserve">The framework would consist of three </w:t>
      </w:r>
      <w:r w:rsidR="00B76C4D" w:rsidRPr="006F1D04">
        <w:rPr>
          <w:rFonts w:ascii="Arial" w:hAnsi="Arial" w:cs="Arial"/>
        </w:rPr>
        <w:t xml:space="preserve">main </w:t>
      </w:r>
      <w:r w:rsidR="00DB5D5F" w:rsidRPr="006F1D04">
        <w:rPr>
          <w:rFonts w:ascii="Arial" w:hAnsi="Arial" w:cs="Arial"/>
        </w:rPr>
        <w:t>tasks.</w:t>
      </w:r>
    </w:p>
    <w:p w:rsidR="00DB5D5F" w:rsidRPr="006F1D04" w:rsidRDefault="00DB5D5F" w:rsidP="00E67FC8">
      <w:pPr>
        <w:pStyle w:val="BulletArrows"/>
        <w:numPr>
          <w:ilvl w:val="0"/>
          <w:numId w:val="112"/>
        </w:numPr>
        <w:tabs>
          <w:tab w:val="left" w:pos="567"/>
        </w:tabs>
        <w:ind w:left="568" w:hanging="284"/>
        <w:rPr>
          <w:rFonts w:ascii="Arial" w:hAnsi="Arial"/>
          <w:b/>
          <w:color w:val="auto"/>
        </w:rPr>
      </w:pPr>
      <w:r w:rsidRPr="006F1D04">
        <w:rPr>
          <w:rFonts w:ascii="Arial" w:hAnsi="Arial"/>
          <w:i/>
          <w:color w:val="auto"/>
        </w:rPr>
        <w:t>Task 1</w:t>
      </w:r>
      <w:r w:rsidR="00663AF6" w:rsidRPr="006F1D04">
        <w:rPr>
          <w:rFonts w:ascii="Arial" w:hAnsi="Arial"/>
          <w:i/>
          <w:color w:val="auto"/>
        </w:rPr>
        <w:t xml:space="preserve"> – Development of emission-</w:t>
      </w:r>
      <w:r w:rsidRPr="006F1D04">
        <w:rPr>
          <w:rFonts w:ascii="Arial" w:hAnsi="Arial"/>
          <w:i/>
          <w:color w:val="auto"/>
        </w:rPr>
        <w:t xml:space="preserve">reduction </w:t>
      </w:r>
      <w:r w:rsidR="009938C5" w:rsidRPr="006F1D04">
        <w:rPr>
          <w:rFonts w:ascii="Arial" w:hAnsi="Arial"/>
          <w:i/>
          <w:color w:val="auto"/>
        </w:rPr>
        <w:t>programs</w:t>
      </w:r>
      <w:r w:rsidR="00663AF6" w:rsidRPr="006F1D04">
        <w:rPr>
          <w:rFonts w:ascii="Arial" w:hAnsi="Arial"/>
          <w:color w:val="auto"/>
        </w:rPr>
        <w:t>.</w:t>
      </w:r>
      <w:r w:rsidR="00663AF6" w:rsidRPr="006F1D04">
        <w:rPr>
          <w:rFonts w:ascii="Arial" w:hAnsi="Arial"/>
          <w:b/>
          <w:color w:val="auto"/>
        </w:rPr>
        <w:t xml:space="preserve"> </w:t>
      </w:r>
      <w:r w:rsidRPr="006F1D04">
        <w:rPr>
          <w:rFonts w:ascii="Arial" w:hAnsi="Arial"/>
          <w:color w:val="auto"/>
        </w:rPr>
        <w:t>T</w:t>
      </w:r>
      <w:r w:rsidR="00204E44" w:rsidRPr="006F1D04">
        <w:rPr>
          <w:rFonts w:ascii="Arial" w:hAnsi="Arial"/>
          <w:color w:val="auto"/>
        </w:rPr>
        <w:t xml:space="preserve">his would introduce a </w:t>
      </w:r>
      <w:r w:rsidRPr="006F1D04">
        <w:rPr>
          <w:rFonts w:ascii="Arial" w:hAnsi="Arial"/>
          <w:color w:val="auto"/>
        </w:rPr>
        <w:t xml:space="preserve">requirement for jurisdictions to develop </w:t>
      </w:r>
      <w:r w:rsidR="009938C5" w:rsidRPr="006F1D04">
        <w:rPr>
          <w:rFonts w:ascii="Arial" w:hAnsi="Arial"/>
          <w:color w:val="auto"/>
        </w:rPr>
        <w:t>programs</w:t>
      </w:r>
      <w:r w:rsidRPr="006F1D04">
        <w:rPr>
          <w:rFonts w:ascii="Arial" w:hAnsi="Arial"/>
          <w:color w:val="auto"/>
        </w:rPr>
        <w:t xml:space="preserve"> to reduce emissions so as to reduce exposure </w:t>
      </w:r>
      <w:r w:rsidR="00B76C4D" w:rsidRPr="006F1D04">
        <w:rPr>
          <w:rFonts w:ascii="Arial" w:hAnsi="Arial"/>
          <w:color w:val="auto"/>
        </w:rPr>
        <w:t>to PM</w:t>
      </w:r>
      <w:r w:rsidRPr="006F1D04">
        <w:rPr>
          <w:rFonts w:ascii="Arial" w:hAnsi="Arial"/>
          <w:color w:val="auto"/>
        </w:rPr>
        <w:t>.</w:t>
      </w:r>
      <w:r w:rsidR="00663AF6" w:rsidRPr="006F1D04">
        <w:rPr>
          <w:rFonts w:ascii="Arial" w:hAnsi="Arial"/>
          <w:b/>
          <w:color w:val="auto"/>
        </w:rPr>
        <w:t xml:space="preserve"> </w:t>
      </w:r>
      <w:r w:rsidRPr="006F1D04">
        <w:rPr>
          <w:rFonts w:ascii="Arial" w:hAnsi="Arial"/>
          <w:color w:val="auto"/>
        </w:rPr>
        <w:t>There is potential fo</w:t>
      </w:r>
      <w:r w:rsidR="00204E44" w:rsidRPr="006F1D04">
        <w:rPr>
          <w:rFonts w:ascii="Arial" w:hAnsi="Arial"/>
          <w:color w:val="auto"/>
        </w:rPr>
        <w:t xml:space="preserve">r the requirements </w:t>
      </w:r>
      <w:r w:rsidRPr="006F1D04">
        <w:rPr>
          <w:rFonts w:ascii="Arial" w:hAnsi="Arial"/>
          <w:color w:val="auto"/>
        </w:rPr>
        <w:t>to be tailored to the scale of the problems withi</w:t>
      </w:r>
      <w:r w:rsidR="009C7BE6" w:rsidRPr="006F1D04">
        <w:rPr>
          <w:rFonts w:ascii="Arial" w:hAnsi="Arial"/>
          <w:color w:val="auto"/>
        </w:rPr>
        <w:t xml:space="preserve">n the different jurisdictions. </w:t>
      </w:r>
      <w:r w:rsidRPr="006F1D04">
        <w:rPr>
          <w:rFonts w:ascii="Arial" w:hAnsi="Arial"/>
          <w:color w:val="auto"/>
        </w:rPr>
        <w:t>National guidance would need to be developed</w:t>
      </w:r>
      <w:r w:rsidR="00B76C4D" w:rsidRPr="006F1D04">
        <w:rPr>
          <w:rFonts w:ascii="Arial" w:hAnsi="Arial"/>
          <w:color w:val="auto"/>
        </w:rPr>
        <w:t>.</w:t>
      </w:r>
    </w:p>
    <w:p w:rsidR="00DB5D5F" w:rsidRPr="006F1D04" w:rsidRDefault="00DB5D5F" w:rsidP="00E67FC8">
      <w:pPr>
        <w:pStyle w:val="BulletArrows"/>
        <w:numPr>
          <w:ilvl w:val="0"/>
          <w:numId w:val="112"/>
        </w:numPr>
        <w:tabs>
          <w:tab w:val="left" w:pos="567"/>
        </w:tabs>
        <w:ind w:left="568" w:hanging="284"/>
        <w:rPr>
          <w:rFonts w:ascii="Arial" w:hAnsi="Arial"/>
          <w:b/>
        </w:rPr>
      </w:pPr>
      <w:r w:rsidRPr="006F1D04">
        <w:rPr>
          <w:rFonts w:ascii="Arial" w:hAnsi="Arial"/>
          <w:i/>
        </w:rPr>
        <w:t>Task 2 – Develop</w:t>
      </w:r>
      <w:r w:rsidR="00663AF6" w:rsidRPr="006F1D04">
        <w:rPr>
          <w:rFonts w:ascii="Arial" w:hAnsi="Arial"/>
          <w:i/>
        </w:rPr>
        <w:t>ment of</w:t>
      </w:r>
      <w:r w:rsidRPr="006F1D04">
        <w:rPr>
          <w:rFonts w:ascii="Arial" w:hAnsi="Arial"/>
          <w:i/>
        </w:rPr>
        <w:t xml:space="preserve"> PM</w:t>
      </w:r>
      <w:r w:rsidRPr="006F1D04">
        <w:rPr>
          <w:rFonts w:ascii="Arial" w:hAnsi="Arial"/>
          <w:i/>
          <w:vertAlign w:val="subscript"/>
        </w:rPr>
        <w:t>2.5</w:t>
      </w:r>
      <w:r w:rsidR="00663AF6" w:rsidRPr="006F1D04">
        <w:rPr>
          <w:rFonts w:ascii="Arial" w:hAnsi="Arial"/>
          <w:i/>
        </w:rPr>
        <w:t xml:space="preserve"> monitoring networks and r</w:t>
      </w:r>
      <w:r w:rsidRPr="006F1D04">
        <w:rPr>
          <w:rFonts w:ascii="Arial" w:hAnsi="Arial"/>
          <w:i/>
        </w:rPr>
        <w:t xml:space="preserve">egional </w:t>
      </w:r>
      <w:r w:rsidR="00B44448" w:rsidRPr="006F1D04">
        <w:rPr>
          <w:rFonts w:ascii="Arial" w:hAnsi="Arial"/>
          <w:i/>
        </w:rPr>
        <w:t xml:space="preserve">emissions </w:t>
      </w:r>
      <w:r w:rsidRPr="006F1D04">
        <w:rPr>
          <w:rFonts w:ascii="Arial" w:hAnsi="Arial"/>
          <w:i/>
        </w:rPr>
        <w:t>inventories</w:t>
      </w:r>
      <w:r w:rsidR="00663AF6" w:rsidRPr="006F1D04">
        <w:rPr>
          <w:rFonts w:ascii="Arial" w:hAnsi="Arial"/>
        </w:rPr>
        <w:t>.</w:t>
      </w:r>
      <w:r w:rsidR="00663AF6" w:rsidRPr="006F1D04">
        <w:rPr>
          <w:rFonts w:ascii="Arial" w:hAnsi="Arial"/>
          <w:b/>
        </w:rPr>
        <w:t xml:space="preserve"> </w:t>
      </w:r>
      <w:r w:rsidR="00204E44" w:rsidRPr="006F1D04">
        <w:rPr>
          <w:rFonts w:ascii="Arial" w:hAnsi="Arial"/>
        </w:rPr>
        <w:t>This would involve</w:t>
      </w:r>
      <w:r w:rsidRPr="006F1D04">
        <w:rPr>
          <w:rFonts w:ascii="Arial" w:hAnsi="Arial"/>
        </w:rPr>
        <w:t xml:space="preserve"> a requirement </w:t>
      </w:r>
      <w:r w:rsidR="00B76C4D" w:rsidRPr="006F1D04">
        <w:rPr>
          <w:rFonts w:ascii="Arial" w:hAnsi="Arial"/>
        </w:rPr>
        <w:t xml:space="preserve">to focus </w:t>
      </w:r>
      <w:r w:rsidRPr="006F1D04">
        <w:rPr>
          <w:rFonts w:ascii="Arial" w:hAnsi="Arial"/>
        </w:rPr>
        <w:t>monitoring on PM</w:t>
      </w:r>
      <w:r w:rsidRPr="006F1D04">
        <w:rPr>
          <w:rFonts w:ascii="Arial" w:hAnsi="Arial"/>
          <w:vertAlign w:val="subscript"/>
        </w:rPr>
        <w:t>2.5</w:t>
      </w:r>
      <w:r w:rsidRPr="006F1D04">
        <w:rPr>
          <w:rFonts w:ascii="Arial" w:hAnsi="Arial"/>
        </w:rPr>
        <w:t xml:space="preserve"> and to carry out a minimum level of monitoring following appropriate national guidance.</w:t>
      </w:r>
      <w:r w:rsidR="00663AF6" w:rsidRPr="006F1D04">
        <w:rPr>
          <w:rFonts w:ascii="Arial" w:hAnsi="Arial"/>
          <w:b/>
        </w:rPr>
        <w:t xml:space="preserve"> </w:t>
      </w:r>
      <w:r w:rsidRPr="006F1D04">
        <w:rPr>
          <w:rFonts w:ascii="Arial" w:hAnsi="Arial"/>
        </w:rPr>
        <w:t xml:space="preserve">This task would also encourage </w:t>
      </w:r>
      <w:r w:rsidR="00204E44" w:rsidRPr="006F1D04">
        <w:rPr>
          <w:rFonts w:ascii="Arial" w:hAnsi="Arial"/>
        </w:rPr>
        <w:t xml:space="preserve">the </w:t>
      </w:r>
      <w:r w:rsidRPr="006F1D04">
        <w:rPr>
          <w:rFonts w:ascii="Arial" w:hAnsi="Arial"/>
        </w:rPr>
        <w:t xml:space="preserve">jurisdictions to develop </w:t>
      </w:r>
      <w:r w:rsidR="00B44448" w:rsidRPr="006F1D04">
        <w:rPr>
          <w:rFonts w:ascii="Arial" w:hAnsi="Arial"/>
        </w:rPr>
        <w:t xml:space="preserve">emissions </w:t>
      </w:r>
      <w:r w:rsidRPr="006F1D04">
        <w:rPr>
          <w:rFonts w:ascii="Arial" w:hAnsi="Arial"/>
        </w:rPr>
        <w:t>inventories a</w:t>
      </w:r>
      <w:r w:rsidR="00B76C4D" w:rsidRPr="006F1D04">
        <w:rPr>
          <w:rFonts w:ascii="Arial" w:hAnsi="Arial"/>
        </w:rPr>
        <w:t>ccording to national guidance</w:t>
      </w:r>
      <w:r w:rsidRPr="006F1D04">
        <w:rPr>
          <w:rFonts w:ascii="Arial" w:hAnsi="Arial"/>
        </w:rPr>
        <w:t>.</w:t>
      </w:r>
      <w:r w:rsidR="009A61FC" w:rsidRPr="006F1D04">
        <w:rPr>
          <w:rFonts w:ascii="Arial" w:hAnsi="Arial"/>
        </w:rPr>
        <w:t xml:space="preserve"> </w:t>
      </w:r>
      <w:r w:rsidR="009A61FC" w:rsidRPr="006F1D04">
        <w:rPr>
          <w:rFonts w:ascii="Arial" w:hAnsi="Arial"/>
          <w:color w:val="auto"/>
        </w:rPr>
        <w:t xml:space="preserve">A monitoring metric </w:t>
      </w:r>
      <w:r w:rsidR="00204E44" w:rsidRPr="006F1D04">
        <w:rPr>
          <w:rFonts w:ascii="Arial" w:hAnsi="Arial"/>
          <w:color w:val="auto"/>
        </w:rPr>
        <w:t xml:space="preserve">would </w:t>
      </w:r>
      <w:r w:rsidR="009A61FC" w:rsidRPr="006F1D04">
        <w:rPr>
          <w:rFonts w:ascii="Arial" w:hAnsi="Arial"/>
          <w:color w:val="auto"/>
        </w:rPr>
        <w:t>need to be developed so that population exposure for major urban areas could be quantified.</w:t>
      </w:r>
    </w:p>
    <w:p w:rsidR="00DB5D5F" w:rsidRPr="006F1D04" w:rsidRDefault="00DB5D5F" w:rsidP="00E67FC8">
      <w:pPr>
        <w:pStyle w:val="BulletArrows"/>
        <w:numPr>
          <w:ilvl w:val="0"/>
          <w:numId w:val="112"/>
        </w:numPr>
        <w:tabs>
          <w:tab w:val="left" w:pos="567"/>
        </w:tabs>
        <w:spacing w:after="140"/>
        <w:ind w:left="568" w:hanging="284"/>
        <w:rPr>
          <w:rFonts w:ascii="Arial" w:hAnsi="Arial"/>
          <w:b/>
          <w:color w:val="auto"/>
        </w:rPr>
      </w:pPr>
      <w:r w:rsidRPr="006F1D04">
        <w:rPr>
          <w:rFonts w:ascii="Arial" w:hAnsi="Arial"/>
          <w:i/>
          <w:color w:val="auto"/>
        </w:rPr>
        <w:t>Task 3 – Develop</w:t>
      </w:r>
      <w:r w:rsidR="00663AF6" w:rsidRPr="006F1D04">
        <w:rPr>
          <w:rFonts w:ascii="Arial" w:hAnsi="Arial"/>
          <w:i/>
          <w:color w:val="auto"/>
        </w:rPr>
        <w:t>ment of exposure-r</w:t>
      </w:r>
      <w:r w:rsidRPr="006F1D04">
        <w:rPr>
          <w:rFonts w:ascii="Arial" w:hAnsi="Arial"/>
          <w:i/>
          <w:color w:val="auto"/>
        </w:rPr>
        <w:t>eduction targets</w:t>
      </w:r>
      <w:r w:rsidR="00663AF6" w:rsidRPr="006F1D04">
        <w:rPr>
          <w:rFonts w:ascii="Arial" w:hAnsi="Arial"/>
          <w:color w:val="auto"/>
        </w:rPr>
        <w:t xml:space="preserve">. </w:t>
      </w:r>
      <w:r w:rsidR="00B76C4D" w:rsidRPr="006F1D04">
        <w:rPr>
          <w:rFonts w:ascii="Arial" w:hAnsi="Arial"/>
          <w:color w:val="auto"/>
        </w:rPr>
        <w:t>Work would be required</w:t>
      </w:r>
      <w:r w:rsidRPr="006F1D04">
        <w:rPr>
          <w:rFonts w:ascii="Arial" w:hAnsi="Arial"/>
          <w:color w:val="auto"/>
        </w:rPr>
        <w:t xml:space="preserve"> at a national level using available information to identify sources and suitable cost-effective control </w:t>
      </w:r>
      <w:r w:rsidR="009938C5" w:rsidRPr="006F1D04">
        <w:rPr>
          <w:rFonts w:ascii="Arial" w:hAnsi="Arial"/>
          <w:color w:val="auto"/>
        </w:rPr>
        <w:t>programs</w:t>
      </w:r>
      <w:r w:rsidR="00B76C4D" w:rsidRPr="006F1D04">
        <w:rPr>
          <w:rFonts w:ascii="Arial" w:hAnsi="Arial"/>
          <w:color w:val="auto"/>
        </w:rPr>
        <w:t>, and thus to define realistic targets</w:t>
      </w:r>
      <w:r w:rsidRPr="006F1D04">
        <w:rPr>
          <w:rFonts w:ascii="Arial" w:hAnsi="Arial"/>
          <w:color w:val="auto"/>
        </w:rPr>
        <w:t xml:space="preserve">. </w:t>
      </w:r>
      <w:r w:rsidR="00B76C4D" w:rsidRPr="006F1D04">
        <w:rPr>
          <w:rFonts w:ascii="Arial" w:hAnsi="Arial"/>
          <w:color w:val="auto"/>
        </w:rPr>
        <w:t>A substantial part of this work was undertaken in the Economic Analysis project</w:t>
      </w:r>
      <w:r w:rsidRPr="006F1D04">
        <w:rPr>
          <w:rFonts w:ascii="Arial" w:hAnsi="Arial"/>
          <w:color w:val="auto"/>
        </w:rPr>
        <w:t>.</w:t>
      </w:r>
    </w:p>
    <w:p w:rsidR="001B7F64" w:rsidRPr="006F1D04" w:rsidRDefault="00F302A2" w:rsidP="00E67FC8">
      <w:pPr>
        <w:pStyle w:val="BulletArrows"/>
        <w:spacing w:after="180"/>
        <w:rPr>
          <w:rFonts w:ascii="Arial" w:hAnsi="Arial"/>
        </w:rPr>
      </w:pPr>
      <w:r w:rsidRPr="006F1D04">
        <w:rPr>
          <w:rFonts w:ascii="Arial" w:hAnsi="Arial"/>
        </w:rPr>
        <w:t>T</w:t>
      </w:r>
      <w:r w:rsidR="00663AF6" w:rsidRPr="006F1D04">
        <w:rPr>
          <w:rFonts w:ascii="Arial" w:hAnsi="Arial"/>
        </w:rPr>
        <w:t>he introduction of an exposure-reduction framework into the</w:t>
      </w:r>
      <w:r w:rsidR="0029278F" w:rsidRPr="006F1D04">
        <w:rPr>
          <w:rFonts w:ascii="Arial" w:hAnsi="Arial"/>
        </w:rPr>
        <w:t xml:space="preserve"> </w:t>
      </w:r>
      <w:r w:rsidR="00EF24F8" w:rsidRPr="006F1D04">
        <w:rPr>
          <w:rFonts w:ascii="Arial" w:hAnsi="Arial"/>
        </w:rPr>
        <w:t>AAQ NEPM</w:t>
      </w:r>
      <w:r w:rsidR="0029278F" w:rsidRPr="006F1D04">
        <w:rPr>
          <w:rFonts w:ascii="Arial" w:hAnsi="Arial"/>
        </w:rPr>
        <w:t xml:space="preserve"> has been considered as a ‘c</w:t>
      </w:r>
      <w:r w:rsidR="00663AF6" w:rsidRPr="006F1D04">
        <w:rPr>
          <w:rFonts w:ascii="Arial" w:hAnsi="Arial"/>
        </w:rPr>
        <w:t>o-option</w:t>
      </w:r>
      <w:r w:rsidR="0029278F" w:rsidRPr="006F1D04">
        <w:rPr>
          <w:rFonts w:ascii="Arial" w:hAnsi="Arial"/>
        </w:rPr>
        <w:t>’</w:t>
      </w:r>
      <w:r w:rsidR="007C173C" w:rsidRPr="006F1D04">
        <w:rPr>
          <w:rFonts w:ascii="Arial" w:hAnsi="Arial"/>
        </w:rPr>
        <w:t xml:space="preserve">. </w:t>
      </w:r>
      <w:r w:rsidR="00CE2B02" w:rsidRPr="006F1D04">
        <w:rPr>
          <w:rFonts w:ascii="Arial" w:hAnsi="Arial"/>
        </w:rPr>
        <w:t xml:space="preserve">It is assumed that progress towards reducing exposure would be framed in terms of </w:t>
      </w:r>
      <w:r w:rsidR="008F001A" w:rsidRPr="006F1D04">
        <w:rPr>
          <w:rFonts w:ascii="Arial" w:hAnsi="Arial"/>
        </w:rPr>
        <w:t xml:space="preserve">the </w:t>
      </w:r>
      <w:r w:rsidR="00CE2B02" w:rsidRPr="006F1D04">
        <w:rPr>
          <w:rFonts w:ascii="Arial" w:hAnsi="Arial"/>
        </w:rPr>
        <w:t>monitored PM</w:t>
      </w:r>
      <w:r w:rsidR="00CE2B02" w:rsidRPr="006F1D04">
        <w:rPr>
          <w:rFonts w:ascii="Arial" w:hAnsi="Arial"/>
          <w:vertAlign w:val="subscript"/>
        </w:rPr>
        <w:t>2.5</w:t>
      </w:r>
      <w:r w:rsidR="00CE2B02" w:rsidRPr="006F1D04">
        <w:rPr>
          <w:rFonts w:ascii="Arial" w:hAnsi="Arial"/>
        </w:rPr>
        <w:t xml:space="preserve"> concentration (as in the AEI approach used in the EU), or an equivalent modelling approach. </w:t>
      </w:r>
      <w:r w:rsidR="007C173C" w:rsidRPr="006F1D04">
        <w:rPr>
          <w:rFonts w:ascii="Arial" w:hAnsi="Arial"/>
        </w:rPr>
        <w:t>Two options have been considered for dealing with population exposure in major urban areas</w:t>
      </w:r>
      <w:r w:rsidR="00CE2B02" w:rsidRPr="006F1D04">
        <w:rPr>
          <w:rFonts w:ascii="Arial" w:hAnsi="Arial"/>
        </w:rPr>
        <w:t xml:space="preserve">, as shown in </w:t>
      </w:r>
      <w:fldSimple w:instr=" REF _Ref369520008 \h  \* MERGEFORMAT ">
        <w:r w:rsidR="0085182E" w:rsidRPr="0085182E">
          <w:rPr>
            <w:rFonts w:ascii="Arial" w:hAnsi="Arial"/>
            <w:b/>
          </w:rPr>
          <w:t>Table 7.2</w:t>
        </w:r>
      </w:fldSimple>
      <w:r w:rsidR="00CE2B02" w:rsidRPr="006F1D04">
        <w:rPr>
          <w:rFonts w:ascii="Arial" w:hAnsi="Arial"/>
        </w:rPr>
        <w:t>. In option ER1 the target of a 10% reduction in the annual mean PM</w:t>
      </w:r>
      <w:r w:rsidR="00CE2B02" w:rsidRPr="006F1D04">
        <w:rPr>
          <w:rFonts w:ascii="Arial" w:hAnsi="Arial"/>
          <w:vertAlign w:val="subscript"/>
        </w:rPr>
        <w:t>2.5</w:t>
      </w:r>
      <w:r w:rsidR="00CE2B02" w:rsidRPr="006F1D04">
        <w:rPr>
          <w:rFonts w:ascii="Arial" w:hAnsi="Arial"/>
        </w:rPr>
        <w:t xml:space="preserve"> concentration between 2015 and 2025 has been included</w:t>
      </w:r>
      <w:r w:rsidR="008F001A" w:rsidRPr="006F1D04">
        <w:rPr>
          <w:rFonts w:ascii="Arial" w:hAnsi="Arial"/>
        </w:rPr>
        <w:t>, as this</w:t>
      </w:r>
      <w:r w:rsidR="00CE2B02" w:rsidRPr="006F1D04">
        <w:rPr>
          <w:rFonts w:ascii="Arial" w:hAnsi="Arial"/>
        </w:rPr>
        <w:t xml:space="preserve"> was assessed in the Economic Analysis. Option ER2 would involve a similar </w:t>
      </w:r>
      <w:r w:rsidR="00493178" w:rsidRPr="006F1D04">
        <w:rPr>
          <w:rFonts w:ascii="Arial" w:hAnsi="Arial"/>
        </w:rPr>
        <w:t>approach, but there would be no</w:t>
      </w:r>
      <w:r w:rsidR="00CE2B02" w:rsidRPr="006F1D04">
        <w:rPr>
          <w:rFonts w:ascii="Arial" w:hAnsi="Arial"/>
        </w:rPr>
        <w:t xml:space="preserve"> </w:t>
      </w:r>
      <w:r w:rsidRPr="006F1D04">
        <w:rPr>
          <w:rFonts w:ascii="Arial" w:hAnsi="Arial"/>
        </w:rPr>
        <w:t xml:space="preserve">numerical </w:t>
      </w:r>
      <w:r w:rsidR="00CE2B02" w:rsidRPr="006F1D04">
        <w:rPr>
          <w:rFonts w:ascii="Arial" w:hAnsi="Arial"/>
        </w:rPr>
        <w:t>target</w:t>
      </w:r>
      <w:r w:rsidRPr="006F1D04">
        <w:rPr>
          <w:rFonts w:ascii="Arial" w:hAnsi="Arial"/>
        </w:rPr>
        <w:t xml:space="preserve"> but an implicit aim of continual improvement and/or no deterioration of air quality</w:t>
      </w:r>
      <w:r w:rsidR="00CE2B02" w:rsidRPr="006F1D04">
        <w:rPr>
          <w:rFonts w:ascii="Arial" w:hAnsi="Arial"/>
        </w:rPr>
        <w:t>.</w:t>
      </w:r>
      <w:r w:rsidR="001B7F64" w:rsidRPr="006F1D04">
        <w:rPr>
          <w:rFonts w:ascii="Arial" w:hAnsi="Arial"/>
        </w:rPr>
        <w:t xml:space="preserve"> </w:t>
      </w:r>
    </w:p>
    <w:p w:rsidR="001B7F64" w:rsidRPr="006F1D04" w:rsidRDefault="001B7F64" w:rsidP="001B7F64">
      <w:pPr>
        <w:pStyle w:val="Caption"/>
        <w:rPr>
          <w:rFonts w:ascii="Arial" w:hAnsi="Arial" w:cs="Arial"/>
        </w:rPr>
      </w:pPr>
      <w:bookmarkStart w:id="147" w:name="_Ref369520008"/>
      <w:r w:rsidRPr="006F1D04">
        <w:rPr>
          <w:rFonts w:ascii="Arial" w:hAnsi="Arial" w:cs="Arial"/>
        </w:rPr>
        <w:lastRenderedPageBreak/>
        <w:t xml:space="preserve">Table </w:t>
      </w:r>
      <w:r w:rsidR="00BF6019" w:rsidRPr="006F1D04">
        <w:rPr>
          <w:rFonts w:ascii="Arial" w:hAnsi="Arial" w:cs="Arial"/>
        </w:rPr>
        <w:fldChar w:fldCharType="begin"/>
      </w:r>
      <w:r w:rsidRPr="006F1D04">
        <w:rPr>
          <w:rFonts w:ascii="Arial" w:hAnsi="Arial" w:cs="Arial"/>
        </w:rPr>
        <w:instrText xml:space="preserve"> STYLEREF 1 \s </w:instrText>
      </w:r>
      <w:r w:rsidR="00BF6019" w:rsidRPr="006F1D04">
        <w:rPr>
          <w:rFonts w:ascii="Arial" w:hAnsi="Arial" w:cs="Arial"/>
        </w:rPr>
        <w:fldChar w:fldCharType="separate"/>
      </w:r>
      <w:r w:rsidR="0085182E">
        <w:rPr>
          <w:rFonts w:ascii="Arial" w:hAnsi="Arial" w:cs="Arial"/>
          <w:noProof/>
        </w:rPr>
        <w:t>7</w:t>
      </w:r>
      <w:r w:rsidR="00BF6019" w:rsidRPr="006F1D04">
        <w:rPr>
          <w:rFonts w:ascii="Arial" w:hAnsi="Arial" w:cs="Arial"/>
        </w:rPr>
        <w:fldChar w:fldCharType="end"/>
      </w:r>
      <w:r w:rsidRPr="006F1D04">
        <w:rPr>
          <w:rFonts w:ascii="Arial" w:hAnsi="Arial" w:cs="Arial"/>
        </w:rPr>
        <w:t>.</w:t>
      </w:r>
      <w:r w:rsidR="00BF6019" w:rsidRPr="006F1D04">
        <w:rPr>
          <w:rFonts w:ascii="Arial" w:hAnsi="Arial" w:cs="Arial"/>
        </w:rPr>
        <w:fldChar w:fldCharType="begin"/>
      </w:r>
      <w:r w:rsidRPr="006F1D04">
        <w:rPr>
          <w:rFonts w:ascii="Arial" w:hAnsi="Arial" w:cs="Arial"/>
        </w:rPr>
        <w:instrText xml:space="preserve"> SEQ Table \* ARABIC \s 1 </w:instrText>
      </w:r>
      <w:r w:rsidR="00BF6019" w:rsidRPr="006F1D04">
        <w:rPr>
          <w:rFonts w:ascii="Arial" w:hAnsi="Arial" w:cs="Arial"/>
        </w:rPr>
        <w:fldChar w:fldCharType="separate"/>
      </w:r>
      <w:r w:rsidR="0085182E">
        <w:rPr>
          <w:rFonts w:ascii="Arial" w:hAnsi="Arial" w:cs="Arial"/>
          <w:noProof/>
        </w:rPr>
        <w:t>2</w:t>
      </w:r>
      <w:r w:rsidR="00BF6019" w:rsidRPr="006F1D04">
        <w:rPr>
          <w:rFonts w:ascii="Arial" w:hAnsi="Arial" w:cs="Arial"/>
        </w:rPr>
        <w:fldChar w:fldCharType="end"/>
      </w:r>
      <w:bookmarkEnd w:id="147"/>
      <w:r w:rsidRPr="006F1D04">
        <w:rPr>
          <w:rFonts w:ascii="Arial" w:hAnsi="Arial" w:cs="Arial"/>
        </w:rPr>
        <w:t>: Options and sub-options – exposure-reduction</w:t>
      </w:r>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A0"/>
      </w:tblPr>
      <w:tblGrid>
        <w:gridCol w:w="1044"/>
        <w:gridCol w:w="817"/>
        <w:gridCol w:w="3558"/>
        <w:gridCol w:w="3222"/>
      </w:tblGrid>
      <w:tr w:rsidR="005360B4" w:rsidRPr="006F1D04" w:rsidTr="00524962">
        <w:trPr>
          <w:trHeight w:val="591"/>
          <w:jc w:val="center"/>
        </w:trPr>
        <w:tc>
          <w:tcPr>
            <w:tcW w:w="1044" w:type="dxa"/>
            <w:shd w:val="clear" w:color="auto" w:fill="0070C0"/>
            <w:vAlign w:val="center"/>
          </w:tcPr>
          <w:p w:rsidR="005360B4" w:rsidRPr="006F1D04" w:rsidRDefault="005360B4" w:rsidP="005360B4">
            <w:pPr>
              <w:spacing w:after="0" w:line="240" w:lineRule="auto"/>
              <w:jc w:val="center"/>
              <w:rPr>
                <w:rFonts w:ascii="Arial" w:hAnsi="Arial" w:cs="Arial"/>
                <w:b/>
                <w:color w:val="FFFFFF"/>
                <w:sz w:val="16"/>
                <w:szCs w:val="16"/>
              </w:rPr>
            </w:pPr>
            <w:r w:rsidRPr="006F1D04">
              <w:rPr>
                <w:rFonts w:ascii="Arial" w:hAnsi="Arial" w:cs="Arial"/>
                <w:b/>
                <w:color w:val="FFFFFF"/>
                <w:sz w:val="16"/>
                <w:szCs w:val="16"/>
              </w:rPr>
              <w:t>Option</w:t>
            </w:r>
          </w:p>
        </w:tc>
        <w:tc>
          <w:tcPr>
            <w:tcW w:w="817" w:type="dxa"/>
            <w:shd w:val="clear" w:color="auto" w:fill="0070C0"/>
            <w:vAlign w:val="center"/>
          </w:tcPr>
          <w:p w:rsidR="005360B4" w:rsidRPr="006F1D04" w:rsidRDefault="005360B4" w:rsidP="005360B4">
            <w:pPr>
              <w:spacing w:after="0" w:line="240" w:lineRule="auto"/>
              <w:jc w:val="center"/>
              <w:rPr>
                <w:rFonts w:ascii="Arial" w:hAnsi="Arial" w:cs="Arial"/>
                <w:b/>
                <w:color w:val="FFFFFF"/>
                <w:sz w:val="16"/>
                <w:szCs w:val="16"/>
              </w:rPr>
            </w:pPr>
            <w:r w:rsidRPr="006F1D04">
              <w:rPr>
                <w:rFonts w:ascii="Arial" w:hAnsi="Arial" w:cs="Arial"/>
                <w:b/>
                <w:color w:val="FFFFFF"/>
                <w:sz w:val="16"/>
                <w:szCs w:val="16"/>
              </w:rPr>
              <w:t>Sub-option</w:t>
            </w:r>
          </w:p>
        </w:tc>
        <w:tc>
          <w:tcPr>
            <w:tcW w:w="3558" w:type="dxa"/>
            <w:shd w:val="clear" w:color="auto" w:fill="0070C0"/>
            <w:vAlign w:val="center"/>
          </w:tcPr>
          <w:p w:rsidR="005360B4" w:rsidRPr="006F1D04" w:rsidRDefault="005360B4" w:rsidP="00634C04">
            <w:pPr>
              <w:spacing w:after="0" w:line="240" w:lineRule="auto"/>
              <w:jc w:val="center"/>
              <w:rPr>
                <w:rFonts w:ascii="Arial" w:hAnsi="Arial" w:cs="Arial"/>
                <w:b/>
                <w:color w:val="FFFFFF"/>
                <w:sz w:val="16"/>
                <w:szCs w:val="16"/>
              </w:rPr>
            </w:pPr>
            <w:r w:rsidRPr="006F1D04">
              <w:rPr>
                <w:rFonts w:ascii="Arial" w:hAnsi="Arial" w:cs="Arial"/>
                <w:b/>
                <w:color w:val="FFFFFF"/>
                <w:sz w:val="16"/>
                <w:szCs w:val="16"/>
              </w:rPr>
              <w:t>Description</w:t>
            </w:r>
            <w:r w:rsidRPr="006F1D04">
              <w:rPr>
                <w:rFonts w:ascii="Arial" w:hAnsi="Arial" w:cs="Arial"/>
                <w:b/>
                <w:color w:val="FFFFFF"/>
                <w:sz w:val="16"/>
                <w:szCs w:val="16"/>
                <w:vertAlign w:val="superscript"/>
              </w:rPr>
              <w:t>(</w:t>
            </w:r>
            <w:proofErr w:type="spellStart"/>
            <w:r w:rsidRPr="006F1D04">
              <w:rPr>
                <w:rFonts w:ascii="Arial" w:hAnsi="Arial" w:cs="Arial"/>
                <w:b/>
                <w:color w:val="FFFFFF"/>
                <w:sz w:val="16"/>
                <w:szCs w:val="16"/>
                <w:vertAlign w:val="superscript"/>
              </w:rPr>
              <w:t>a</w:t>
            </w:r>
            <w:r w:rsidR="00E4066D" w:rsidRPr="006F1D04">
              <w:rPr>
                <w:rFonts w:ascii="Arial" w:hAnsi="Arial" w:cs="Arial"/>
                <w:b/>
                <w:color w:val="FFFFFF"/>
                <w:sz w:val="16"/>
                <w:szCs w:val="16"/>
                <w:vertAlign w:val="superscript"/>
              </w:rPr>
              <w:t>,b</w:t>
            </w:r>
            <w:proofErr w:type="spellEnd"/>
            <w:r w:rsidRPr="006F1D04">
              <w:rPr>
                <w:rFonts w:ascii="Arial" w:hAnsi="Arial" w:cs="Arial"/>
                <w:b/>
                <w:color w:val="FFFFFF"/>
                <w:sz w:val="16"/>
                <w:szCs w:val="16"/>
                <w:vertAlign w:val="superscript"/>
              </w:rPr>
              <w:t>)</w:t>
            </w:r>
          </w:p>
        </w:tc>
        <w:tc>
          <w:tcPr>
            <w:tcW w:w="3222" w:type="dxa"/>
            <w:shd w:val="clear" w:color="auto" w:fill="0070C0"/>
            <w:vAlign w:val="center"/>
          </w:tcPr>
          <w:p w:rsidR="005360B4" w:rsidRPr="006F1D04" w:rsidRDefault="005360B4" w:rsidP="00634C04">
            <w:pPr>
              <w:spacing w:after="0" w:line="240" w:lineRule="auto"/>
              <w:jc w:val="center"/>
              <w:rPr>
                <w:rFonts w:ascii="Arial" w:hAnsi="Arial" w:cs="Arial"/>
                <w:b/>
                <w:color w:val="FFFFFF"/>
                <w:sz w:val="16"/>
                <w:szCs w:val="16"/>
              </w:rPr>
            </w:pPr>
            <w:r w:rsidRPr="006F1D04">
              <w:rPr>
                <w:rFonts w:ascii="Arial" w:hAnsi="Arial" w:cs="Arial"/>
                <w:b/>
                <w:color w:val="FFFFFF"/>
                <w:sz w:val="16"/>
                <w:szCs w:val="16"/>
              </w:rPr>
              <w:t>Target</w:t>
            </w:r>
          </w:p>
        </w:tc>
      </w:tr>
      <w:tr w:rsidR="005360B4" w:rsidRPr="006F1D04" w:rsidTr="008F001A">
        <w:trPr>
          <w:cantSplit/>
          <w:trHeight w:hRule="exact" w:val="737"/>
          <w:jc w:val="center"/>
        </w:trPr>
        <w:tc>
          <w:tcPr>
            <w:tcW w:w="1044" w:type="dxa"/>
            <w:vMerge w:val="restart"/>
            <w:vAlign w:val="center"/>
          </w:tcPr>
          <w:p w:rsidR="005360B4" w:rsidRPr="006F1D04" w:rsidRDefault="005360B4" w:rsidP="005360B4">
            <w:pPr>
              <w:spacing w:after="0" w:line="240" w:lineRule="auto"/>
              <w:jc w:val="center"/>
              <w:rPr>
                <w:rFonts w:ascii="Arial" w:hAnsi="Arial" w:cs="Arial"/>
                <w:sz w:val="16"/>
                <w:szCs w:val="16"/>
              </w:rPr>
            </w:pPr>
            <w:r w:rsidRPr="006F1D04">
              <w:rPr>
                <w:rFonts w:ascii="Arial" w:hAnsi="Arial" w:cs="Arial"/>
                <w:sz w:val="16"/>
                <w:szCs w:val="16"/>
              </w:rPr>
              <w:t>Exposure-reduction framework co-option</w:t>
            </w:r>
          </w:p>
        </w:tc>
        <w:tc>
          <w:tcPr>
            <w:tcW w:w="817" w:type="dxa"/>
            <w:vAlign w:val="center"/>
          </w:tcPr>
          <w:p w:rsidR="005360B4" w:rsidRPr="006F1D04" w:rsidRDefault="005360B4" w:rsidP="005360B4">
            <w:pPr>
              <w:spacing w:after="0" w:line="240" w:lineRule="auto"/>
              <w:jc w:val="center"/>
              <w:rPr>
                <w:rFonts w:ascii="Arial" w:hAnsi="Arial" w:cs="Arial"/>
                <w:sz w:val="16"/>
                <w:szCs w:val="16"/>
              </w:rPr>
            </w:pPr>
            <w:r w:rsidRPr="006F1D04">
              <w:rPr>
                <w:rFonts w:ascii="Arial" w:hAnsi="Arial" w:cs="Arial"/>
                <w:sz w:val="16"/>
                <w:szCs w:val="16"/>
              </w:rPr>
              <w:t>ER1</w:t>
            </w:r>
          </w:p>
        </w:tc>
        <w:tc>
          <w:tcPr>
            <w:tcW w:w="3558" w:type="dxa"/>
            <w:vAlign w:val="center"/>
          </w:tcPr>
          <w:p w:rsidR="005360B4" w:rsidRPr="006F1D04" w:rsidRDefault="005360B4" w:rsidP="00634C04">
            <w:pPr>
              <w:spacing w:after="0" w:line="240" w:lineRule="auto"/>
              <w:jc w:val="center"/>
              <w:rPr>
                <w:rFonts w:ascii="Arial" w:hAnsi="Arial" w:cs="Arial"/>
                <w:sz w:val="16"/>
                <w:szCs w:val="16"/>
              </w:rPr>
            </w:pPr>
            <w:r w:rsidRPr="006F1D04">
              <w:rPr>
                <w:rFonts w:ascii="Arial" w:hAnsi="Arial" w:cs="Arial"/>
                <w:sz w:val="16"/>
                <w:szCs w:val="16"/>
              </w:rPr>
              <w:t>‘Exposure index’ based on average PM</w:t>
            </w:r>
            <w:r w:rsidRPr="006F1D04">
              <w:rPr>
                <w:rFonts w:ascii="Arial" w:hAnsi="Arial" w:cs="Arial"/>
                <w:sz w:val="16"/>
                <w:szCs w:val="16"/>
                <w:vertAlign w:val="subscript"/>
              </w:rPr>
              <w:t>2.5</w:t>
            </w:r>
            <w:r w:rsidRPr="006F1D04">
              <w:rPr>
                <w:rFonts w:ascii="Arial" w:hAnsi="Arial" w:cs="Arial"/>
                <w:sz w:val="16"/>
                <w:szCs w:val="16"/>
              </w:rPr>
              <w:t xml:space="preserve"> co</w:t>
            </w:r>
            <w:r w:rsidR="00F22582" w:rsidRPr="006F1D04">
              <w:rPr>
                <w:rFonts w:ascii="Arial" w:hAnsi="Arial" w:cs="Arial"/>
                <w:sz w:val="16"/>
                <w:szCs w:val="16"/>
              </w:rPr>
              <w:t>ncentration at metropolitan</w:t>
            </w:r>
            <w:r w:rsidRPr="006F1D04">
              <w:rPr>
                <w:rFonts w:ascii="Arial" w:hAnsi="Arial" w:cs="Arial"/>
                <w:sz w:val="16"/>
                <w:szCs w:val="16"/>
              </w:rPr>
              <w:t xml:space="preserve"> </w:t>
            </w:r>
            <w:r w:rsidR="00EF24F8" w:rsidRPr="006F1D04">
              <w:rPr>
                <w:rFonts w:ascii="Arial" w:hAnsi="Arial" w:cs="Arial"/>
                <w:sz w:val="16"/>
                <w:szCs w:val="16"/>
              </w:rPr>
              <w:t>AAQ NEPM</w:t>
            </w:r>
            <w:r w:rsidRPr="006F1D04">
              <w:rPr>
                <w:rFonts w:ascii="Arial" w:hAnsi="Arial" w:cs="Arial"/>
                <w:sz w:val="16"/>
                <w:szCs w:val="16"/>
              </w:rPr>
              <w:t xml:space="preserve"> monitoring sites within a jurisdiction</w:t>
            </w:r>
          </w:p>
        </w:tc>
        <w:tc>
          <w:tcPr>
            <w:tcW w:w="3222" w:type="dxa"/>
            <w:vAlign w:val="center"/>
          </w:tcPr>
          <w:p w:rsidR="005360B4" w:rsidRPr="006F1D04" w:rsidRDefault="005360B4" w:rsidP="00634C04">
            <w:pPr>
              <w:spacing w:after="0" w:line="240" w:lineRule="auto"/>
              <w:jc w:val="center"/>
              <w:rPr>
                <w:rFonts w:ascii="Arial" w:hAnsi="Arial" w:cs="Arial"/>
                <w:sz w:val="16"/>
                <w:szCs w:val="16"/>
              </w:rPr>
            </w:pPr>
            <w:r w:rsidRPr="006F1D04">
              <w:rPr>
                <w:rFonts w:ascii="Arial" w:hAnsi="Arial" w:cs="Arial"/>
                <w:sz w:val="16"/>
                <w:szCs w:val="16"/>
              </w:rPr>
              <w:t>10% reduction in the annual mean PM</w:t>
            </w:r>
            <w:r w:rsidRPr="006F1D04">
              <w:rPr>
                <w:rFonts w:ascii="Arial" w:hAnsi="Arial" w:cs="Arial"/>
                <w:sz w:val="16"/>
                <w:szCs w:val="16"/>
                <w:vertAlign w:val="subscript"/>
              </w:rPr>
              <w:t>2.5</w:t>
            </w:r>
            <w:r w:rsidRPr="006F1D04">
              <w:rPr>
                <w:rFonts w:ascii="Arial" w:hAnsi="Arial" w:cs="Arial"/>
                <w:sz w:val="16"/>
                <w:szCs w:val="16"/>
              </w:rPr>
              <w:t xml:space="preserve"> concentration between 2015 and 2025</w:t>
            </w:r>
          </w:p>
        </w:tc>
      </w:tr>
      <w:tr w:rsidR="005360B4" w:rsidRPr="006F1D04" w:rsidTr="008F001A">
        <w:trPr>
          <w:cantSplit/>
          <w:trHeight w:hRule="exact" w:val="737"/>
          <w:jc w:val="center"/>
        </w:trPr>
        <w:tc>
          <w:tcPr>
            <w:tcW w:w="1044" w:type="dxa"/>
            <w:vMerge/>
            <w:vAlign w:val="center"/>
          </w:tcPr>
          <w:p w:rsidR="005360B4" w:rsidRPr="006F1D04" w:rsidRDefault="005360B4" w:rsidP="005360B4">
            <w:pPr>
              <w:spacing w:after="0" w:line="240" w:lineRule="auto"/>
              <w:jc w:val="center"/>
              <w:rPr>
                <w:rFonts w:ascii="Arial" w:hAnsi="Arial" w:cs="Arial"/>
                <w:sz w:val="16"/>
                <w:szCs w:val="16"/>
              </w:rPr>
            </w:pPr>
          </w:p>
        </w:tc>
        <w:tc>
          <w:tcPr>
            <w:tcW w:w="817" w:type="dxa"/>
            <w:vAlign w:val="center"/>
          </w:tcPr>
          <w:p w:rsidR="005360B4" w:rsidRPr="006F1D04" w:rsidRDefault="005360B4" w:rsidP="005360B4">
            <w:pPr>
              <w:spacing w:after="0" w:line="240" w:lineRule="auto"/>
              <w:jc w:val="center"/>
              <w:rPr>
                <w:rFonts w:ascii="Arial" w:hAnsi="Arial" w:cs="Arial"/>
                <w:sz w:val="16"/>
                <w:szCs w:val="16"/>
              </w:rPr>
            </w:pPr>
            <w:r w:rsidRPr="006F1D04">
              <w:rPr>
                <w:rFonts w:ascii="Arial" w:hAnsi="Arial" w:cs="Arial"/>
                <w:sz w:val="16"/>
                <w:szCs w:val="16"/>
              </w:rPr>
              <w:t>ER2</w:t>
            </w:r>
          </w:p>
        </w:tc>
        <w:tc>
          <w:tcPr>
            <w:tcW w:w="3558" w:type="dxa"/>
            <w:vAlign w:val="center"/>
          </w:tcPr>
          <w:p w:rsidR="005360B4" w:rsidRPr="006F1D04" w:rsidRDefault="005360B4" w:rsidP="00634C04">
            <w:pPr>
              <w:spacing w:after="0" w:line="240" w:lineRule="auto"/>
              <w:jc w:val="center"/>
              <w:rPr>
                <w:rFonts w:ascii="Arial" w:hAnsi="Arial" w:cs="Arial"/>
                <w:sz w:val="16"/>
                <w:szCs w:val="16"/>
              </w:rPr>
            </w:pPr>
            <w:r w:rsidRPr="006F1D04">
              <w:rPr>
                <w:rFonts w:ascii="Arial" w:hAnsi="Arial" w:cs="Arial"/>
                <w:sz w:val="16"/>
                <w:szCs w:val="16"/>
              </w:rPr>
              <w:t>‘Exposure index’ based on average PM</w:t>
            </w:r>
            <w:r w:rsidRPr="006F1D04">
              <w:rPr>
                <w:rFonts w:ascii="Arial" w:hAnsi="Arial" w:cs="Arial"/>
                <w:sz w:val="16"/>
                <w:szCs w:val="16"/>
                <w:vertAlign w:val="subscript"/>
              </w:rPr>
              <w:t>2.5</w:t>
            </w:r>
            <w:r w:rsidR="00F22582" w:rsidRPr="006F1D04">
              <w:rPr>
                <w:rFonts w:ascii="Arial" w:hAnsi="Arial" w:cs="Arial"/>
                <w:sz w:val="16"/>
                <w:szCs w:val="16"/>
              </w:rPr>
              <w:t xml:space="preserve"> concentration at metropolitan</w:t>
            </w:r>
            <w:r w:rsidRPr="006F1D04">
              <w:rPr>
                <w:rFonts w:ascii="Arial" w:hAnsi="Arial" w:cs="Arial"/>
                <w:sz w:val="16"/>
                <w:szCs w:val="16"/>
              </w:rPr>
              <w:t xml:space="preserve"> </w:t>
            </w:r>
            <w:r w:rsidR="00EF24F8" w:rsidRPr="006F1D04">
              <w:rPr>
                <w:rFonts w:ascii="Arial" w:hAnsi="Arial" w:cs="Arial"/>
                <w:sz w:val="16"/>
                <w:szCs w:val="16"/>
              </w:rPr>
              <w:t>AAQ NEPM</w:t>
            </w:r>
            <w:r w:rsidRPr="006F1D04">
              <w:rPr>
                <w:rFonts w:ascii="Arial" w:hAnsi="Arial" w:cs="Arial"/>
                <w:sz w:val="16"/>
                <w:szCs w:val="16"/>
              </w:rPr>
              <w:t xml:space="preserve"> monitoring sites within a jurisdiction</w:t>
            </w:r>
          </w:p>
        </w:tc>
        <w:tc>
          <w:tcPr>
            <w:tcW w:w="3222" w:type="dxa"/>
            <w:vAlign w:val="center"/>
          </w:tcPr>
          <w:p w:rsidR="005360B4" w:rsidRPr="006F1D04" w:rsidRDefault="00F302A2" w:rsidP="00D7103E">
            <w:pPr>
              <w:spacing w:after="0" w:line="240" w:lineRule="auto"/>
              <w:jc w:val="center"/>
              <w:rPr>
                <w:rFonts w:ascii="Arial" w:hAnsi="Arial" w:cs="Arial"/>
                <w:sz w:val="16"/>
                <w:szCs w:val="16"/>
              </w:rPr>
            </w:pPr>
            <w:r w:rsidRPr="006F1D04">
              <w:rPr>
                <w:rFonts w:ascii="Arial" w:hAnsi="Arial" w:cs="Arial"/>
                <w:sz w:val="16"/>
                <w:szCs w:val="16"/>
              </w:rPr>
              <w:t>Continual improvement and/or no deterioration</w:t>
            </w:r>
            <w:r w:rsidR="005360B4" w:rsidRPr="006F1D04">
              <w:rPr>
                <w:rFonts w:ascii="Arial" w:hAnsi="Arial" w:cs="Arial"/>
                <w:sz w:val="16"/>
                <w:szCs w:val="16"/>
              </w:rPr>
              <w:t>. Exposure index is used to assess progress in terms of reducing exposure</w:t>
            </w:r>
          </w:p>
        </w:tc>
      </w:tr>
    </w:tbl>
    <w:p w:rsidR="00E4066D" w:rsidRPr="006F1D04" w:rsidRDefault="001B7F64" w:rsidP="002A2116">
      <w:pPr>
        <w:numPr>
          <w:ilvl w:val="0"/>
          <w:numId w:val="25"/>
        </w:numPr>
        <w:spacing w:before="120" w:after="0" w:line="240" w:lineRule="auto"/>
        <w:ind w:left="567" w:right="379" w:hanging="284"/>
        <w:rPr>
          <w:rFonts w:ascii="Arial" w:hAnsi="Arial" w:cs="Arial"/>
          <w:sz w:val="14"/>
          <w:szCs w:val="14"/>
        </w:rPr>
      </w:pPr>
      <w:r w:rsidRPr="006F1D04">
        <w:rPr>
          <w:rFonts w:ascii="Arial" w:hAnsi="Arial" w:cs="Arial"/>
          <w:sz w:val="14"/>
          <w:szCs w:val="14"/>
        </w:rPr>
        <w:t>The ‘exposure index’ could either be specified as a single year average or a multi-year average (for example, a three-year average is used in the EU).</w:t>
      </w:r>
    </w:p>
    <w:p w:rsidR="001B7F64" w:rsidRPr="006F1D04" w:rsidRDefault="00E4066D" w:rsidP="002A2116">
      <w:pPr>
        <w:numPr>
          <w:ilvl w:val="0"/>
          <w:numId w:val="25"/>
        </w:numPr>
        <w:spacing w:before="40" w:after="0" w:line="240" w:lineRule="auto"/>
        <w:ind w:left="567" w:right="379" w:hanging="284"/>
        <w:rPr>
          <w:rFonts w:ascii="Arial" w:hAnsi="Arial" w:cs="Arial"/>
          <w:sz w:val="14"/>
          <w:szCs w:val="14"/>
        </w:rPr>
      </w:pPr>
      <w:r w:rsidRPr="006F1D04">
        <w:rPr>
          <w:rFonts w:ascii="Arial" w:hAnsi="Arial" w:cs="Arial"/>
          <w:sz w:val="14"/>
          <w:szCs w:val="14"/>
        </w:rPr>
        <w:t xml:space="preserve">There is no explicit population weighting in the options, although population-weighted exposures were calculated for option ER1 in the </w:t>
      </w:r>
      <w:r w:rsidR="00136447" w:rsidRPr="006F1D04">
        <w:rPr>
          <w:rFonts w:ascii="Arial" w:hAnsi="Arial" w:cs="Arial"/>
          <w:sz w:val="14"/>
          <w:szCs w:val="14"/>
        </w:rPr>
        <w:t>E</w:t>
      </w:r>
      <w:r w:rsidRPr="006F1D04">
        <w:rPr>
          <w:rFonts w:ascii="Arial" w:hAnsi="Arial" w:cs="Arial"/>
          <w:sz w:val="14"/>
          <w:szCs w:val="14"/>
        </w:rPr>
        <w:t xml:space="preserve">conomic </w:t>
      </w:r>
      <w:r w:rsidR="00136447" w:rsidRPr="006F1D04">
        <w:rPr>
          <w:rFonts w:ascii="Arial" w:hAnsi="Arial" w:cs="Arial"/>
          <w:sz w:val="14"/>
          <w:szCs w:val="14"/>
        </w:rPr>
        <w:t>A</w:t>
      </w:r>
      <w:r w:rsidRPr="006F1D04">
        <w:rPr>
          <w:rFonts w:ascii="Arial" w:hAnsi="Arial" w:cs="Arial"/>
          <w:sz w:val="14"/>
          <w:szCs w:val="14"/>
        </w:rPr>
        <w:t xml:space="preserve">nalysis, as concentrations were estimated in both urban and </w:t>
      </w:r>
      <w:r w:rsidR="00583B8B" w:rsidRPr="006F1D04">
        <w:rPr>
          <w:rFonts w:ascii="Arial" w:hAnsi="Arial" w:cs="Arial"/>
          <w:sz w:val="14"/>
          <w:szCs w:val="14"/>
        </w:rPr>
        <w:t xml:space="preserve">rural </w:t>
      </w:r>
      <w:r w:rsidRPr="006F1D04">
        <w:rPr>
          <w:rFonts w:ascii="Arial" w:hAnsi="Arial" w:cs="Arial"/>
          <w:sz w:val="14"/>
          <w:szCs w:val="14"/>
        </w:rPr>
        <w:t>areas. The population-weighted concentrations were biased towards urban areas, and therefore broadly equivalent to an exposure index for such areas.</w:t>
      </w:r>
    </w:p>
    <w:p w:rsidR="00F302A2" w:rsidRPr="006F1D04" w:rsidRDefault="00F302A2" w:rsidP="00E4066D">
      <w:pPr>
        <w:pStyle w:val="BulletArrows"/>
        <w:spacing w:after="0"/>
        <w:rPr>
          <w:rFonts w:ascii="Arial" w:hAnsi="Arial"/>
        </w:rPr>
      </w:pPr>
    </w:p>
    <w:p w:rsidR="00CE2B02" w:rsidRPr="006F1D04" w:rsidRDefault="00F302A2" w:rsidP="00E4066D">
      <w:pPr>
        <w:pStyle w:val="BulletArrows"/>
        <w:spacing w:after="0"/>
        <w:rPr>
          <w:rFonts w:ascii="Arial" w:hAnsi="Arial"/>
        </w:rPr>
      </w:pPr>
      <w:r w:rsidRPr="006F1D04">
        <w:rPr>
          <w:rFonts w:ascii="Arial" w:hAnsi="Arial"/>
        </w:rPr>
        <w:t>I</w:t>
      </w:r>
      <w:r w:rsidR="001B7F64" w:rsidRPr="006F1D04">
        <w:rPr>
          <w:rFonts w:ascii="Arial" w:hAnsi="Arial"/>
        </w:rPr>
        <w:t xml:space="preserve">n </w:t>
      </w:r>
      <w:r w:rsidR="001B7F64" w:rsidRPr="006F1D04">
        <w:rPr>
          <w:rFonts w:ascii="Arial" w:hAnsi="Arial"/>
          <w:b/>
        </w:rPr>
        <w:t xml:space="preserve">Section </w:t>
      </w:r>
      <w:fldSimple w:instr=" REF _Ref369606758 \n \h  \* MERGEFORMAT ">
        <w:r w:rsidR="0085182E">
          <w:rPr>
            <w:rFonts w:ascii="Arial" w:hAnsi="Arial"/>
            <w:b/>
          </w:rPr>
          <w:t>4.2.2.6</w:t>
        </w:r>
      </w:fldSimple>
      <w:r w:rsidR="001B7F64" w:rsidRPr="006F1D04">
        <w:rPr>
          <w:rFonts w:ascii="Arial" w:hAnsi="Arial"/>
        </w:rPr>
        <w:t xml:space="preserve"> it was indicated that a complete understanding of population exposure in Australia would involve significant investment. However, </w:t>
      </w:r>
      <w:r w:rsidR="00271378" w:rsidRPr="006F1D04">
        <w:rPr>
          <w:rFonts w:ascii="Arial" w:hAnsi="Arial"/>
        </w:rPr>
        <w:t xml:space="preserve">undertaking </w:t>
      </w:r>
      <w:r w:rsidR="00DD7753" w:rsidRPr="006F1D04">
        <w:rPr>
          <w:rFonts w:ascii="Arial" w:hAnsi="Arial"/>
        </w:rPr>
        <w:t xml:space="preserve">the </w:t>
      </w:r>
      <w:r w:rsidR="001B7F64" w:rsidRPr="006F1D04">
        <w:rPr>
          <w:rFonts w:ascii="Arial" w:hAnsi="Arial"/>
        </w:rPr>
        <w:t>first step</w:t>
      </w:r>
      <w:r w:rsidR="001D4F9D" w:rsidRPr="006F1D04">
        <w:rPr>
          <w:rFonts w:ascii="Arial" w:hAnsi="Arial"/>
        </w:rPr>
        <w:t>s</w:t>
      </w:r>
      <w:r w:rsidR="001B7F64" w:rsidRPr="006F1D04">
        <w:rPr>
          <w:rFonts w:ascii="Arial" w:hAnsi="Arial"/>
        </w:rPr>
        <w:t xml:space="preserve"> towards characterising exposure based on the existing monitoring network</w:t>
      </w:r>
      <w:r w:rsidR="00271378" w:rsidRPr="006F1D04">
        <w:rPr>
          <w:rFonts w:ascii="Arial" w:hAnsi="Arial"/>
        </w:rPr>
        <w:t xml:space="preserve"> </w:t>
      </w:r>
      <w:r w:rsidR="001B7F64" w:rsidRPr="006F1D04">
        <w:rPr>
          <w:rFonts w:ascii="Arial" w:hAnsi="Arial"/>
        </w:rPr>
        <w:t xml:space="preserve">would require little or no investment on the part of the jurisdictions. </w:t>
      </w:r>
      <w:r w:rsidR="001D4F9D" w:rsidRPr="006F1D04">
        <w:rPr>
          <w:rFonts w:ascii="Arial" w:hAnsi="Arial"/>
        </w:rPr>
        <w:t>T</w:t>
      </w:r>
      <w:r w:rsidR="001B7F64" w:rsidRPr="006F1D04">
        <w:rPr>
          <w:rFonts w:ascii="Arial" w:hAnsi="Arial"/>
        </w:rPr>
        <w:t xml:space="preserve">he robustness of the exposure index in a given jurisdiction would increase </w:t>
      </w:r>
      <w:r w:rsidRPr="006F1D04">
        <w:rPr>
          <w:rFonts w:ascii="Arial" w:hAnsi="Arial"/>
        </w:rPr>
        <w:t xml:space="preserve">as </w:t>
      </w:r>
      <w:r w:rsidR="001B7F64" w:rsidRPr="006F1D04">
        <w:rPr>
          <w:rFonts w:ascii="Arial" w:hAnsi="Arial"/>
        </w:rPr>
        <w:t>jurisdiction</w:t>
      </w:r>
      <w:r w:rsidRPr="006F1D04">
        <w:rPr>
          <w:rFonts w:ascii="Arial" w:hAnsi="Arial"/>
        </w:rPr>
        <w:t>s</w:t>
      </w:r>
      <w:r w:rsidR="001B7F64" w:rsidRPr="006F1D04">
        <w:rPr>
          <w:rFonts w:ascii="Arial" w:hAnsi="Arial"/>
        </w:rPr>
        <w:t xml:space="preserve"> monitor PM</w:t>
      </w:r>
      <w:r w:rsidR="001B7F64" w:rsidRPr="006F1D04">
        <w:rPr>
          <w:rFonts w:ascii="Arial" w:hAnsi="Arial"/>
          <w:vertAlign w:val="subscript"/>
        </w:rPr>
        <w:t>2.5</w:t>
      </w:r>
      <w:r w:rsidR="001B7F64" w:rsidRPr="006F1D04">
        <w:rPr>
          <w:rFonts w:ascii="Arial" w:hAnsi="Arial"/>
        </w:rPr>
        <w:t xml:space="preserve"> at more sites.</w:t>
      </w:r>
    </w:p>
    <w:p w:rsidR="007623CE" w:rsidRPr="006F1D04" w:rsidRDefault="007623CE" w:rsidP="00E4066D">
      <w:pPr>
        <w:pStyle w:val="BulletArrows"/>
        <w:spacing w:after="0"/>
        <w:rPr>
          <w:rFonts w:ascii="Arial" w:hAnsi="Arial"/>
        </w:rPr>
      </w:pPr>
    </w:p>
    <w:p w:rsidR="007623CE" w:rsidRPr="006F1D04" w:rsidRDefault="007623CE" w:rsidP="00E4066D">
      <w:pPr>
        <w:pStyle w:val="BulletArrows"/>
        <w:spacing w:after="0"/>
        <w:rPr>
          <w:rFonts w:ascii="Arial" w:hAnsi="Arial"/>
        </w:rPr>
      </w:pPr>
    </w:p>
    <w:p w:rsidR="007623CE" w:rsidRPr="006F1D04" w:rsidRDefault="007623CE" w:rsidP="00E4066D">
      <w:pPr>
        <w:pStyle w:val="BulletArrows"/>
        <w:spacing w:after="0"/>
        <w:rPr>
          <w:rFonts w:ascii="Arial" w:hAnsi="Arial"/>
        </w:rPr>
      </w:pPr>
    </w:p>
    <w:p w:rsidR="00B759BE" w:rsidRPr="006F1D04" w:rsidRDefault="00BF6019" w:rsidP="00493178">
      <w:pPr>
        <w:jc w:val="center"/>
        <w:rPr>
          <w:rFonts w:ascii="Arial" w:hAnsi="Arial" w:cs="Arial"/>
          <w:color w:val="FF0000"/>
        </w:rPr>
      </w:pPr>
      <w:r>
        <w:rPr>
          <w:rFonts w:ascii="Arial" w:hAnsi="Arial" w:cs="Arial"/>
          <w:noProof/>
          <w:color w:val="FF0000"/>
        </w:rPr>
      </w:r>
      <w:r>
        <w:rPr>
          <w:rFonts w:ascii="Arial" w:hAnsi="Arial" w:cs="Arial"/>
          <w:noProof/>
          <w:color w:val="FF0000"/>
        </w:rPr>
        <w:pict>
          <v:shape id="AutoShape 34" o:spid="_x0000_s1031" type="#_x0000_t176" style="width:433.7pt;height:48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" fillcolor="#b8cce4" strokecolor="#4f81bd" strokeweight="2.5pt">
            <v:fill opacity="13107f"/>
            <v:shadow color="#868686"/>
            <v:textbox inset=",.3mm,2.5mm,.3mm">
              <w:txbxContent>
                <w:p w:rsidR="0085182E" w:rsidRPr="0053199F" w:rsidRDefault="0085182E" w:rsidP="00493178">
                  <w:pPr>
                    <w:spacing w:after="200"/>
                    <w:jc w:val="center"/>
                    <w:rPr>
                      <w:b/>
                      <w:color w:val="0070C0"/>
                      <w:sz w:val="24"/>
                      <w:szCs w:val="24"/>
                    </w:rPr>
                  </w:pPr>
                  <w:r w:rsidRPr="0053199F">
                    <w:rPr>
                      <w:b/>
                      <w:color w:val="0070C0"/>
                      <w:sz w:val="24"/>
                      <w:szCs w:val="24"/>
                    </w:rPr>
                    <w:t>Key points from Chapter 7</w:t>
                  </w:r>
                </w:p>
                <w:p w:rsidR="0085182E" w:rsidRPr="00F57BBE" w:rsidRDefault="0085182E" w:rsidP="002A7474">
                  <w:pPr>
                    <w:pStyle w:val="BulletArrows"/>
                    <w:numPr>
                      <w:ilvl w:val="0"/>
                      <w:numId w:val="113"/>
                    </w:numPr>
                    <w:ind w:right="-88"/>
                    <w:rPr>
                      <w:color w:val="auto"/>
                      <w:szCs w:val="18"/>
                    </w:rPr>
                  </w:pPr>
                  <w:r w:rsidRPr="00F57BBE">
                    <w:rPr>
                      <w:color w:val="auto"/>
                      <w:szCs w:val="18"/>
                    </w:rPr>
                    <w:t xml:space="preserve">The AAQ NEPM framework has allowed for a nationally consistent framework for the setting and implementation of air quality standards and goals, and for the monitoring and reporting of air quality against those standards. </w:t>
                  </w:r>
                </w:p>
                <w:p w:rsidR="0085182E" w:rsidRPr="00F57BBE" w:rsidRDefault="0085182E" w:rsidP="002A7474">
                  <w:pPr>
                    <w:pStyle w:val="BulletArrows"/>
                    <w:numPr>
                      <w:ilvl w:val="0"/>
                      <w:numId w:val="113"/>
                    </w:numPr>
                    <w:ind w:right="-88"/>
                    <w:rPr>
                      <w:color w:val="auto"/>
                      <w:szCs w:val="18"/>
                    </w:rPr>
                  </w:pPr>
                  <w:r w:rsidRPr="00F57BBE">
                    <w:rPr>
                      <w:color w:val="auto"/>
                      <w:szCs w:val="18"/>
                    </w:rPr>
                    <w:t xml:space="preserve">The most effective way to ensure future consistency in national air quality management and data collection will be the development of a variation to the existing AAQ NEPM, </w:t>
                  </w:r>
                  <w:r w:rsidRPr="005A2800">
                    <w:rPr>
                      <w:color w:val="auto"/>
                      <w:szCs w:val="18"/>
                    </w:rPr>
                    <w:t xml:space="preserve">with </w:t>
                  </w:r>
                  <w:r>
                    <w:rPr>
                      <w:color w:val="auto"/>
                      <w:szCs w:val="18"/>
                    </w:rPr>
                    <w:t>s</w:t>
                  </w:r>
                  <w:r w:rsidRPr="005A2800">
                    <w:rPr>
                      <w:color w:val="auto"/>
                      <w:szCs w:val="18"/>
                    </w:rPr>
                    <w:t xml:space="preserve">tates and </w:t>
                  </w:r>
                  <w:r>
                    <w:rPr>
                      <w:color w:val="auto"/>
                      <w:szCs w:val="18"/>
                    </w:rPr>
                    <w:t>t</w:t>
                  </w:r>
                  <w:r w:rsidRPr="005A2800">
                    <w:rPr>
                      <w:color w:val="auto"/>
                      <w:szCs w:val="18"/>
                    </w:rPr>
                    <w:t>erritories using the AAQ NEPM provisions in their own jurisdiction</w:t>
                  </w:r>
                  <w:r>
                    <w:rPr>
                      <w:color w:val="auto"/>
                      <w:szCs w:val="18"/>
                    </w:rPr>
                    <w:t>,</w:t>
                  </w:r>
                  <w:r w:rsidRPr="005A2800">
                    <w:rPr>
                      <w:color w:val="auto"/>
                      <w:szCs w:val="18"/>
                    </w:rPr>
                    <w:t xml:space="preserve"> as is currently done</w:t>
                  </w:r>
                  <w:r w:rsidRPr="00F57BBE">
                    <w:rPr>
                      <w:color w:val="auto"/>
                      <w:szCs w:val="18"/>
                    </w:rPr>
                    <w:t>.</w:t>
                  </w:r>
                </w:p>
                <w:p w:rsidR="0085182E" w:rsidRDefault="0085182E" w:rsidP="002A7474">
                  <w:pPr>
                    <w:pStyle w:val="BulletArrows"/>
                    <w:numPr>
                      <w:ilvl w:val="0"/>
                      <w:numId w:val="113"/>
                    </w:numPr>
                    <w:ind w:right="-88"/>
                    <w:rPr>
                      <w:color w:val="auto"/>
                      <w:szCs w:val="18"/>
                    </w:rPr>
                  </w:pPr>
                  <w:r>
                    <w:rPr>
                      <w:color w:val="auto"/>
                      <w:szCs w:val="18"/>
                    </w:rPr>
                    <w:t>P</w:t>
                  </w:r>
                  <w:r w:rsidRPr="00F57BBE">
                    <w:rPr>
                      <w:color w:val="auto"/>
                      <w:szCs w:val="18"/>
                    </w:rPr>
                    <w:t>otential new air quality standards for both PM</w:t>
                  </w:r>
                  <w:r w:rsidRPr="0055019E">
                    <w:rPr>
                      <w:color w:val="auto"/>
                      <w:szCs w:val="18"/>
                      <w:vertAlign w:val="subscript"/>
                    </w:rPr>
                    <w:t>10</w:t>
                  </w:r>
                  <w:r w:rsidRPr="00F57BBE">
                    <w:rPr>
                      <w:color w:val="auto"/>
                      <w:szCs w:val="18"/>
                    </w:rPr>
                    <w:t xml:space="preserve"> and PM</w:t>
                  </w:r>
                  <w:r w:rsidRPr="0055019E">
                    <w:rPr>
                      <w:color w:val="auto"/>
                      <w:szCs w:val="18"/>
                      <w:vertAlign w:val="subscript"/>
                    </w:rPr>
                    <w:t>2.5</w:t>
                  </w:r>
                  <w:r w:rsidRPr="00F57BBE">
                    <w:rPr>
                      <w:color w:val="auto"/>
                      <w:szCs w:val="18"/>
                    </w:rPr>
                    <w:t xml:space="preserve"> </w:t>
                  </w:r>
                  <w:r>
                    <w:rPr>
                      <w:color w:val="auto"/>
                      <w:szCs w:val="18"/>
                    </w:rPr>
                    <w:t>are to be</w:t>
                  </w:r>
                  <w:r w:rsidRPr="00F57BBE">
                    <w:rPr>
                      <w:color w:val="auto"/>
                      <w:szCs w:val="18"/>
                    </w:rPr>
                    <w:t xml:space="preserve"> considered as options for varying the AAQ NEPM.</w:t>
                  </w:r>
                </w:p>
                <w:p w:rsidR="0085182E" w:rsidRPr="00C80E3A" w:rsidRDefault="0085182E" w:rsidP="002A7474">
                  <w:pPr>
                    <w:pStyle w:val="BulletArrows"/>
                    <w:numPr>
                      <w:ilvl w:val="0"/>
                      <w:numId w:val="113"/>
                    </w:numPr>
                    <w:ind w:right="-88"/>
                    <w:rPr>
                      <w:color w:val="auto"/>
                      <w:szCs w:val="18"/>
                    </w:rPr>
                  </w:pPr>
                  <w:r>
                    <w:t>Four options for the form of the 24-hour standard are to be considered:</w:t>
                  </w:r>
                </w:p>
                <w:p w:rsidR="0085182E" w:rsidRPr="004C7D30" w:rsidRDefault="0085182E" w:rsidP="002A7474">
                  <w:pPr>
                    <w:pStyle w:val="BulletArrows"/>
                    <w:numPr>
                      <w:ilvl w:val="0"/>
                      <w:numId w:val="116"/>
                    </w:numPr>
                  </w:pPr>
                  <w:r>
                    <w:t>n</w:t>
                  </w:r>
                  <w:r w:rsidRPr="004C7D30">
                    <w:t>o change, where there is an existing standard (</w:t>
                  </w:r>
                  <w:r w:rsidRPr="002A2116">
                    <w:t>i.e.</w:t>
                  </w:r>
                  <w:r w:rsidRPr="00164EC8">
                    <w:t xml:space="preserve"> </w:t>
                  </w:r>
                  <w:r w:rsidRPr="004C7D30">
                    <w:t>for PM</w:t>
                  </w:r>
                  <w:r w:rsidRPr="004C7D30">
                    <w:rPr>
                      <w:vertAlign w:val="subscript"/>
                    </w:rPr>
                    <w:t>10</w:t>
                  </w:r>
                  <w:r w:rsidRPr="004C7D30">
                    <w:t>)</w:t>
                  </w:r>
                  <w:r>
                    <w:t>, and no exclusion of exceptional events</w:t>
                  </w:r>
                </w:p>
                <w:p w:rsidR="0085182E" w:rsidRDefault="0085182E" w:rsidP="002A7474">
                  <w:pPr>
                    <w:pStyle w:val="BulletArrows"/>
                    <w:numPr>
                      <w:ilvl w:val="0"/>
                      <w:numId w:val="116"/>
                    </w:numPr>
                  </w:pPr>
                  <w:r>
                    <w:t>a</w:t>
                  </w:r>
                  <w:r w:rsidRPr="004C7D30">
                    <w:t xml:space="preserve"> rule</w:t>
                  </w:r>
                  <w:r>
                    <w:t xml:space="preserve"> allowing a fixed number of exceedances of a PM standard in a given year, based on exclusion of exceptional events</w:t>
                  </w:r>
                </w:p>
                <w:p w:rsidR="0085182E" w:rsidRDefault="0085182E" w:rsidP="002A7474">
                  <w:pPr>
                    <w:pStyle w:val="BulletArrows"/>
                    <w:numPr>
                      <w:ilvl w:val="0"/>
                      <w:numId w:val="116"/>
                    </w:numPr>
                  </w:pPr>
                  <w:r>
                    <w:t>the 98</w:t>
                  </w:r>
                  <w:r w:rsidRPr="00066F52">
                    <w:rPr>
                      <w:vertAlign w:val="superscript"/>
                    </w:rPr>
                    <w:t>th</w:t>
                  </w:r>
                  <w:r>
                    <w:t xml:space="preserve"> percentile PM</w:t>
                  </w:r>
                  <w:r w:rsidRPr="00066F52">
                    <w:rPr>
                      <w:vertAlign w:val="subscript"/>
                    </w:rPr>
                    <w:t>10</w:t>
                  </w:r>
                  <w:r>
                    <w:t xml:space="preserve"> concentration in a given year is compared with the standard with no exclusion of exceptional events</w:t>
                  </w:r>
                </w:p>
                <w:p w:rsidR="0085182E" w:rsidRPr="004C7D30" w:rsidRDefault="0085182E" w:rsidP="002A7474">
                  <w:pPr>
                    <w:pStyle w:val="BulletArrows"/>
                    <w:numPr>
                      <w:ilvl w:val="0"/>
                      <w:numId w:val="116"/>
                    </w:numPr>
                  </w:pPr>
                  <w:proofErr w:type="gramStart"/>
                  <w:r>
                    <w:t>t</w:t>
                  </w:r>
                  <w:r w:rsidRPr="004C7D30">
                    <w:t>he</w:t>
                  </w:r>
                  <w:proofErr w:type="gramEnd"/>
                  <w:r w:rsidRPr="004C7D30">
                    <w:t xml:space="preserve"> 98</w:t>
                  </w:r>
                  <w:r w:rsidRPr="004C7D30">
                    <w:rPr>
                      <w:vertAlign w:val="superscript"/>
                    </w:rPr>
                    <w:t>th</w:t>
                  </w:r>
                  <w:r w:rsidRPr="004C7D30">
                    <w:t xml:space="preserve"> percentile PM</w:t>
                  </w:r>
                  <w:r w:rsidRPr="004C7D30">
                    <w:rPr>
                      <w:vertAlign w:val="subscript"/>
                    </w:rPr>
                    <w:t>10</w:t>
                  </w:r>
                  <w:r w:rsidRPr="004C7D30">
                    <w:t xml:space="preserve"> concentration in a given year is compared with </w:t>
                  </w:r>
                  <w:r>
                    <w:t xml:space="preserve">the </w:t>
                  </w:r>
                  <w:r w:rsidRPr="004C7D30">
                    <w:t>standard</w:t>
                  </w:r>
                  <w:r>
                    <w:t xml:space="preserve"> and exceptional events are excluded</w:t>
                  </w:r>
                  <w:r w:rsidRPr="004C7D30">
                    <w:t>.</w:t>
                  </w:r>
                </w:p>
                <w:p w:rsidR="0085182E" w:rsidRPr="00F57BBE" w:rsidRDefault="0085182E" w:rsidP="002A7474">
                  <w:pPr>
                    <w:pStyle w:val="BulletArrows"/>
                    <w:numPr>
                      <w:ilvl w:val="0"/>
                      <w:numId w:val="117"/>
                    </w:numPr>
                    <w:ind w:right="-88"/>
                    <w:rPr>
                      <w:color w:val="auto"/>
                      <w:szCs w:val="18"/>
                    </w:rPr>
                  </w:pPr>
                  <w:r w:rsidRPr="00F57BBE">
                    <w:rPr>
                      <w:color w:val="auto"/>
                      <w:szCs w:val="18"/>
                    </w:rPr>
                    <w:t>There are several different ways in which the jurisdictions can (and do) guide air quality in relation to developments. However, a further discussion of the advantages and disadvantages of the different approaches is required, and should be addressed in the first instance during the consultation process.</w:t>
                  </w:r>
                </w:p>
                <w:p w:rsidR="0085182E" w:rsidRPr="00F57BBE" w:rsidRDefault="0085182E" w:rsidP="002A7474">
                  <w:pPr>
                    <w:pStyle w:val="BulletArrows"/>
                    <w:numPr>
                      <w:ilvl w:val="0"/>
                      <w:numId w:val="117"/>
                    </w:numPr>
                    <w:spacing w:after="0"/>
                    <w:ind w:right="-91"/>
                    <w:rPr>
                      <w:color w:val="auto"/>
                      <w:szCs w:val="18"/>
                    </w:rPr>
                  </w:pPr>
                  <w:r>
                    <w:rPr>
                      <w:color w:val="auto"/>
                      <w:szCs w:val="18"/>
                    </w:rPr>
                    <w:t>Exposure-reduction</w:t>
                  </w:r>
                  <w:r w:rsidRPr="00F57BBE">
                    <w:rPr>
                      <w:color w:val="auto"/>
                      <w:szCs w:val="18"/>
                    </w:rPr>
                    <w:t xml:space="preserve"> has been considered as a ‘co-option’. It is assumed that progress towards reducing exposure would be framed in terms of</w:t>
                  </w:r>
                  <w:r>
                    <w:rPr>
                      <w:color w:val="auto"/>
                      <w:szCs w:val="18"/>
                    </w:rPr>
                    <w:t xml:space="preserve"> monitored PM</w:t>
                  </w:r>
                  <w:r w:rsidRPr="00F57BBE">
                    <w:rPr>
                      <w:color w:val="auto"/>
                      <w:szCs w:val="18"/>
                      <w:vertAlign w:val="subscript"/>
                    </w:rPr>
                    <w:t>2.5</w:t>
                  </w:r>
                  <w:r>
                    <w:rPr>
                      <w:color w:val="auto"/>
                      <w:szCs w:val="18"/>
                    </w:rPr>
                    <w:t xml:space="preserve"> concentrations</w:t>
                  </w:r>
                  <w:r w:rsidRPr="00F57BBE">
                    <w:rPr>
                      <w:color w:val="auto"/>
                      <w:szCs w:val="18"/>
                    </w:rPr>
                    <w:t>, or an equivalent modelling approach. Two options have been considered for dealing with population exposure in major urban areas, one with a sp</w:t>
                  </w:r>
                  <w:r>
                    <w:rPr>
                      <w:color w:val="auto"/>
                      <w:szCs w:val="18"/>
                    </w:rPr>
                    <w:t>ecific target, and one with an aim of continual improvement and/or no deterioration of air quality.</w:t>
                  </w:r>
                </w:p>
              </w:txbxContent>
            </v:textbox>
            <w10:wrap type="none"/>
            <w10:anchorlock/>
          </v:shape>
        </w:pict>
      </w:r>
    </w:p>
    <w:p w:rsidR="00B759BE" w:rsidRPr="006F1D04" w:rsidRDefault="00BF6019" w:rsidP="00B759BE">
      <w:pPr>
        <w:jc w:val="center"/>
        <w:rPr>
          <w:rFonts w:ascii="Arial" w:hAnsi="Arial" w:cs="Arial"/>
          <w:color w:val="FF0000"/>
        </w:rPr>
      </w:pPr>
      <w:r>
        <w:rPr>
          <w:rFonts w:ascii="Arial" w:hAnsi="Arial" w:cs="Arial"/>
          <w:noProof/>
          <w:color w:val="FF0000"/>
        </w:rPr>
      </w:r>
      <w:r>
        <w:rPr>
          <w:rFonts w:ascii="Arial" w:hAnsi="Arial" w:cs="Arial"/>
          <w:noProof/>
          <w:color w:val="FF0000"/>
        </w:rPr>
        <w:pict>
          <v:shape id="AutoShape 40" o:spid="_x0000_s1030" type="#_x0000_t176" style="width:433.7pt;height:20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" fillcolor="#fbd4b4" strokecolor="#f79646" strokeweight="2.5pt">
            <v:fill opacity="13107f"/>
            <v:shadow color="#868686"/>
            <v:textbox inset=",.3mm,,.3mm">
              <w:txbxContent>
                <w:p w:rsidR="0085182E" w:rsidRPr="0006622B" w:rsidRDefault="0085182E" w:rsidP="00F57BBE">
                  <w:pPr>
                    <w:jc w:val="center"/>
                    <w:rPr>
                      <w:b/>
                      <w:color w:val="E36C0A"/>
                      <w:sz w:val="24"/>
                      <w:szCs w:val="24"/>
                    </w:rPr>
                  </w:pPr>
                  <w:r w:rsidRPr="0006622B">
                    <w:rPr>
                      <w:b/>
                      <w:color w:val="E36C0A"/>
                      <w:sz w:val="24"/>
                      <w:szCs w:val="24"/>
                    </w:rPr>
                    <w:t>Proposed questions for consultation: Statement of options</w:t>
                  </w:r>
                </w:p>
                <w:p w:rsidR="0085182E" w:rsidRPr="006A5626" w:rsidRDefault="0085182E" w:rsidP="006A5626">
                  <w:pPr>
                    <w:pStyle w:val="BulletArrows"/>
                    <w:numPr>
                      <w:ilvl w:val="0"/>
                      <w:numId w:val="1"/>
                    </w:numPr>
                    <w:ind w:left="714" w:hanging="357"/>
                  </w:pPr>
                  <w:r w:rsidRPr="006A5626">
                    <w:rPr>
                      <w:color w:val="auto"/>
                    </w:rPr>
                    <w:t xml:space="preserve">Do you agree that the AAQ NEPM framework </w:t>
                  </w:r>
                  <w:r>
                    <w:rPr>
                      <w:color w:val="auto"/>
                    </w:rPr>
                    <w:t>is an important element in the</w:t>
                  </w:r>
                  <w:r w:rsidRPr="006A5626">
                    <w:rPr>
                      <w:color w:val="auto"/>
                    </w:rPr>
                    <w:t xml:space="preserve"> management actions to address ambient air quality in Australia</w:t>
                  </w:r>
                  <w:r w:rsidRPr="006A5626">
                    <w:t>?</w:t>
                  </w:r>
                </w:p>
                <w:p w:rsidR="0085182E" w:rsidRPr="006A5626" w:rsidRDefault="0085182E" w:rsidP="006A5626">
                  <w:pPr>
                    <w:pStyle w:val="BulletArrows"/>
                    <w:numPr>
                      <w:ilvl w:val="0"/>
                      <w:numId w:val="1"/>
                    </w:numPr>
                    <w:ind w:left="714" w:hanging="357"/>
                  </w:pPr>
                  <w:r w:rsidRPr="006A5626">
                    <w:t>Have any options for the metrics, averaging times, and values of the standards been overlooked?</w:t>
                  </w:r>
                </w:p>
                <w:p w:rsidR="0085182E" w:rsidRPr="006A5626" w:rsidRDefault="0085182E" w:rsidP="006A5626">
                  <w:pPr>
                    <w:pStyle w:val="BulletArrows"/>
                    <w:numPr>
                      <w:ilvl w:val="0"/>
                      <w:numId w:val="1"/>
                    </w:numPr>
                    <w:ind w:left="714" w:hanging="357"/>
                  </w:pPr>
                  <w:r>
                    <w:t>Do you agree that the PM standards selected for analysis (including metrics, averaging times and values) are appropriate for Australia?</w:t>
                  </w:r>
                </w:p>
                <w:p w:rsidR="0085182E" w:rsidRPr="006A5626" w:rsidRDefault="0085182E" w:rsidP="006A5626">
                  <w:pPr>
                    <w:pStyle w:val="BulletArrows"/>
                    <w:numPr>
                      <w:ilvl w:val="0"/>
                      <w:numId w:val="1"/>
                    </w:numPr>
                    <w:ind w:left="714" w:hanging="357"/>
                  </w:pPr>
                  <w:r w:rsidRPr="006A5626">
                    <w:t>Do you consider the options outlined for the form of the standards to be feasible for Australia? Have any options been overlooked?</w:t>
                  </w:r>
                </w:p>
                <w:p w:rsidR="0085182E" w:rsidRPr="006A5626" w:rsidRDefault="0085182E" w:rsidP="006A5626">
                  <w:pPr>
                    <w:pStyle w:val="BulletArrows"/>
                    <w:numPr>
                      <w:ilvl w:val="0"/>
                      <w:numId w:val="1"/>
                    </w:numPr>
                    <w:ind w:left="714" w:hanging="357"/>
                  </w:pPr>
                  <w:r w:rsidRPr="006A5626">
                    <w:t>Is there any other information relating to the options for an exposure-reduction framework that should be considered?</w:t>
                  </w:r>
                </w:p>
                <w:p w:rsidR="0085182E" w:rsidRPr="006F1D04" w:rsidRDefault="0085182E" w:rsidP="00E6492A">
                  <w:pPr>
                    <w:rPr>
                      <w:rFonts w:ascii="Arial" w:hAnsi="Arial" w:cs="Arial"/>
                      <w:b/>
                      <w:sz w:val="2"/>
                      <w:szCs w:val="2"/>
                    </w:rPr>
                  </w:pPr>
                </w:p>
                <w:p w:rsidR="0085182E" w:rsidRPr="0055019E" w:rsidRDefault="0085182E" w:rsidP="00E6492A">
                  <w:pPr>
                    <w:pStyle w:val="BulletArrows"/>
                    <w:numPr>
                      <w:ilvl w:val="0"/>
                      <w:numId w:val="22"/>
                    </w:numPr>
                    <w:ind w:left="284" w:right="-120" w:hanging="284"/>
                    <w:rPr>
                      <w:color w:val="auto"/>
                    </w:rPr>
                  </w:pPr>
                </w:p>
              </w:txbxContent>
            </v:textbox>
            <w10:wrap type="none"/>
            <w10:anchorlock/>
          </v:shape>
        </w:pict>
      </w:r>
    </w:p>
    <w:p w:rsidR="00692A6D" w:rsidRPr="006F1D04" w:rsidRDefault="00692A6D" w:rsidP="002C6E3A">
      <w:pPr>
        <w:rPr>
          <w:rFonts w:ascii="Arial" w:hAnsi="Arial" w:cs="Arial"/>
        </w:rPr>
        <w:sectPr w:rsidR="00692A6D" w:rsidRPr="006F1D04" w:rsidSect="006A5626">
          <w:headerReference w:type="even" r:id="rId72"/>
          <w:headerReference w:type="default" r:id="rId73"/>
          <w:footerReference w:type="default" r:id="rId74"/>
          <w:headerReference w:type="first" r:id="rId75"/>
          <w:pgSz w:w="11906" w:h="16838" w:code="9"/>
          <w:pgMar w:top="1440" w:right="1440" w:bottom="1440" w:left="1440" w:header="284" w:footer="244" w:gutter="0"/>
          <w:cols w:space="255"/>
          <w:docGrid w:linePitch="360"/>
        </w:sectPr>
      </w:pPr>
    </w:p>
    <w:p w:rsidR="00A76F39" w:rsidRPr="006F1D04" w:rsidRDefault="00A76F39" w:rsidP="002440F9">
      <w:pPr>
        <w:pStyle w:val="Heading1"/>
        <w:rPr>
          <w:rFonts w:ascii="Arial" w:hAnsi="Arial"/>
        </w:rPr>
      </w:pPr>
      <w:bookmarkStart w:id="148" w:name="_Toc394011136"/>
      <w:r w:rsidRPr="006F1D04">
        <w:rPr>
          <w:rFonts w:ascii="Arial" w:hAnsi="Arial"/>
        </w:rPr>
        <w:lastRenderedPageBreak/>
        <w:t>Impact analysis</w:t>
      </w:r>
      <w:bookmarkEnd w:id="142"/>
      <w:bookmarkEnd w:id="148"/>
    </w:p>
    <w:p w:rsidR="0006490F" w:rsidRPr="006F1D04" w:rsidRDefault="00FB1FAB" w:rsidP="0006490F">
      <w:pPr>
        <w:pStyle w:val="Heading2"/>
        <w:rPr>
          <w:rFonts w:ascii="Arial" w:hAnsi="Arial"/>
        </w:rPr>
      </w:pPr>
      <w:bookmarkStart w:id="149" w:name="_Toc394011137"/>
      <w:r w:rsidRPr="006F1D04">
        <w:rPr>
          <w:rFonts w:ascii="Arial" w:hAnsi="Arial"/>
        </w:rPr>
        <w:t>Overview</w:t>
      </w:r>
      <w:bookmarkEnd w:id="149"/>
    </w:p>
    <w:p w:rsidR="006770A3" w:rsidRPr="006F1D04" w:rsidRDefault="001C34C3" w:rsidP="00F40168">
      <w:pPr>
        <w:spacing w:after="120"/>
        <w:rPr>
          <w:rFonts w:ascii="Arial" w:hAnsi="Arial" w:cs="Arial"/>
        </w:rPr>
      </w:pPr>
      <w:r w:rsidRPr="006F1D04">
        <w:rPr>
          <w:rFonts w:ascii="Arial" w:hAnsi="Arial" w:cs="Arial"/>
        </w:rPr>
        <w:t xml:space="preserve">The impact analysis considered the </w:t>
      </w:r>
      <w:r w:rsidR="00BE4D7B" w:rsidRPr="006F1D04">
        <w:rPr>
          <w:rFonts w:ascii="Arial" w:hAnsi="Arial" w:cs="Arial"/>
        </w:rPr>
        <w:t xml:space="preserve">potential </w:t>
      </w:r>
      <w:r w:rsidRPr="006F1D04">
        <w:rPr>
          <w:rFonts w:ascii="Arial" w:hAnsi="Arial" w:cs="Arial"/>
        </w:rPr>
        <w:t xml:space="preserve">effects of the </w:t>
      </w:r>
      <w:r w:rsidR="0029278F" w:rsidRPr="006F1D04">
        <w:rPr>
          <w:rFonts w:ascii="Arial" w:hAnsi="Arial" w:cs="Arial"/>
        </w:rPr>
        <w:t>various o</w:t>
      </w:r>
      <w:r w:rsidRPr="006F1D04">
        <w:rPr>
          <w:rFonts w:ascii="Arial" w:hAnsi="Arial" w:cs="Arial"/>
        </w:rPr>
        <w:t>ptions</w:t>
      </w:r>
      <w:r w:rsidR="0029278F" w:rsidRPr="006F1D04">
        <w:rPr>
          <w:rFonts w:ascii="Arial" w:hAnsi="Arial" w:cs="Arial"/>
        </w:rPr>
        <w:t xml:space="preserve"> and sub-options</w:t>
      </w:r>
      <w:r w:rsidR="003A247A" w:rsidRPr="006F1D04">
        <w:rPr>
          <w:rFonts w:ascii="Arial" w:hAnsi="Arial" w:cs="Arial"/>
        </w:rPr>
        <w:t xml:space="preserve"> </w:t>
      </w:r>
      <w:r w:rsidR="00AC70D7" w:rsidRPr="006F1D04">
        <w:rPr>
          <w:rFonts w:ascii="Arial" w:hAnsi="Arial" w:cs="Arial"/>
        </w:rPr>
        <w:t xml:space="preserve">outlined </w:t>
      </w:r>
      <w:r w:rsidR="003A247A" w:rsidRPr="006F1D04">
        <w:rPr>
          <w:rFonts w:ascii="Arial" w:hAnsi="Arial" w:cs="Arial"/>
        </w:rPr>
        <w:t xml:space="preserve">in </w:t>
      </w:r>
      <w:r w:rsidR="003A247A" w:rsidRPr="006F1D04">
        <w:rPr>
          <w:rFonts w:ascii="Arial" w:hAnsi="Arial" w:cs="Arial"/>
          <w:b/>
        </w:rPr>
        <w:t>Chapter</w:t>
      </w:r>
      <w:r w:rsidR="00CA0771" w:rsidRPr="006F1D04">
        <w:rPr>
          <w:rFonts w:ascii="Arial" w:hAnsi="Arial" w:cs="Arial"/>
          <w:b/>
        </w:rPr>
        <w:t> </w:t>
      </w:r>
      <w:r w:rsidR="003A247A" w:rsidRPr="006F1D04">
        <w:rPr>
          <w:rFonts w:ascii="Arial" w:hAnsi="Arial" w:cs="Arial"/>
          <w:b/>
        </w:rPr>
        <w:t>7</w:t>
      </w:r>
      <w:r w:rsidRPr="006F1D04">
        <w:rPr>
          <w:rFonts w:ascii="Arial" w:hAnsi="Arial" w:cs="Arial"/>
        </w:rPr>
        <w:t xml:space="preserve">. </w:t>
      </w:r>
      <w:r w:rsidR="00BE4D7B" w:rsidRPr="006F1D04">
        <w:rPr>
          <w:rFonts w:ascii="Arial" w:hAnsi="Arial" w:cs="Arial"/>
        </w:rPr>
        <w:t>Information</w:t>
      </w:r>
      <w:r w:rsidR="0029278F" w:rsidRPr="006F1D04">
        <w:rPr>
          <w:rFonts w:ascii="Arial" w:hAnsi="Arial" w:cs="Arial"/>
        </w:rPr>
        <w:t xml:space="preserve"> on the o</w:t>
      </w:r>
      <w:r w:rsidR="006770A3" w:rsidRPr="006F1D04">
        <w:rPr>
          <w:rFonts w:ascii="Arial" w:hAnsi="Arial" w:cs="Arial"/>
        </w:rPr>
        <w:t>ptions</w:t>
      </w:r>
      <w:r w:rsidR="0029278F" w:rsidRPr="006F1D04">
        <w:rPr>
          <w:rFonts w:ascii="Arial" w:hAnsi="Arial" w:cs="Arial"/>
        </w:rPr>
        <w:t xml:space="preserve"> and sub-options</w:t>
      </w:r>
      <w:r w:rsidR="006770A3" w:rsidRPr="006F1D04">
        <w:rPr>
          <w:rFonts w:ascii="Arial" w:hAnsi="Arial" w:cs="Arial"/>
        </w:rPr>
        <w:t xml:space="preserve"> with respect to </w:t>
      </w:r>
      <w:r w:rsidR="00BE4D7B" w:rsidRPr="006F1D04">
        <w:rPr>
          <w:rFonts w:ascii="Arial" w:hAnsi="Arial" w:cs="Arial"/>
        </w:rPr>
        <w:t xml:space="preserve">PM </w:t>
      </w:r>
      <w:r w:rsidR="006770A3" w:rsidRPr="006F1D04">
        <w:rPr>
          <w:rFonts w:ascii="Arial" w:hAnsi="Arial" w:cs="Arial"/>
        </w:rPr>
        <w:t>concentrations, health ben</w:t>
      </w:r>
      <w:r w:rsidR="00BE4D7B" w:rsidRPr="006F1D04">
        <w:rPr>
          <w:rFonts w:ascii="Arial" w:hAnsi="Arial" w:cs="Arial"/>
        </w:rPr>
        <w:t>efits and monetary benefits was</w:t>
      </w:r>
      <w:r w:rsidR="006770A3" w:rsidRPr="006F1D04">
        <w:rPr>
          <w:rFonts w:ascii="Arial" w:hAnsi="Arial" w:cs="Arial"/>
        </w:rPr>
        <w:t xml:space="preserve"> available from the </w:t>
      </w:r>
      <w:r w:rsidR="00AB642D" w:rsidRPr="006F1D04">
        <w:rPr>
          <w:rFonts w:ascii="Arial" w:hAnsi="Arial" w:cs="Arial"/>
        </w:rPr>
        <w:t xml:space="preserve">following </w:t>
      </w:r>
      <w:r w:rsidR="006770A3" w:rsidRPr="006F1D04">
        <w:rPr>
          <w:rFonts w:ascii="Arial" w:hAnsi="Arial" w:cs="Arial"/>
        </w:rPr>
        <w:t>sources:</w:t>
      </w:r>
    </w:p>
    <w:p w:rsidR="006770A3" w:rsidRPr="006F1D04" w:rsidRDefault="006770A3" w:rsidP="00003665">
      <w:pPr>
        <w:pStyle w:val="BulletArrows"/>
        <w:numPr>
          <w:ilvl w:val="0"/>
          <w:numId w:val="118"/>
        </w:numPr>
        <w:spacing w:after="160"/>
        <w:rPr>
          <w:rFonts w:ascii="Arial" w:hAnsi="Arial"/>
          <w:color w:val="auto"/>
        </w:rPr>
      </w:pPr>
      <w:r w:rsidRPr="006F1D04">
        <w:rPr>
          <w:rFonts w:ascii="Arial" w:hAnsi="Arial"/>
          <w:color w:val="auto"/>
        </w:rPr>
        <w:t>PM</w:t>
      </w:r>
      <w:r w:rsidRPr="006F1D04">
        <w:rPr>
          <w:rFonts w:ascii="Arial" w:hAnsi="Arial"/>
          <w:color w:val="auto"/>
          <w:vertAlign w:val="subscript"/>
        </w:rPr>
        <w:t>10</w:t>
      </w:r>
      <w:r w:rsidRPr="006F1D04">
        <w:rPr>
          <w:rFonts w:ascii="Arial" w:hAnsi="Arial"/>
          <w:color w:val="auto"/>
        </w:rPr>
        <w:t xml:space="preserve"> and PM</w:t>
      </w:r>
      <w:r w:rsidRPr="006F1D04">
        <w:rPr>
          <w:rFonts w:ascii="Arial" w:hAnsi="Arial"/>
          <w:color w:val="auto"/>
          <w:vertAlign w:val="subscript"/>
        </w:rPr>
        <w:t>2.5</w:t>
      </w:r>
      <w:r w:rsidRPr="006F1D04">
        <w:rPr>
          <w:rFonts w:ascii="Arial" w:hAnsi="Arial"/>
          <w:color w:val="auto"/>
        </w:rPr>
        <w:t xml:space="preserve"> concentrations from monitoring sites in Australia.</w:t>
      </w:r>
      <w:r w:rsidR="006C6904" w:rsidRPr="006F1D04">
        <w:rPr>
          <w:rFonts w:ascii="Arial" w:hAnsi="Arial"/>
          <w:color w:val="auto"/>
        </w:rPr>
        <w:t xml:space="preserve"> Any new air quality standards would have to be achievable</w:t>
      </w:r>
      <w:r w:rsidR="007D5240" w:rsidRPr="006F1D04">
        <w:rPr>
          <w:rFonts w:ascii="Arial" w:hAnsi="Arial"/>
          <w:color w:val="auto"/>
        </w:rPr>
        <w:t xml:space="preserve"> based on the </w:t>
      </w:r>
      <w:r w:rsidR="00BE4D7B" w:rsidRPr="006F1D04">
        <w:rPr>
          <w:rFonts w:ascii="Arial" w:hAnsi="Arial"/>
          <w:color w:val="auto"/>
        </w:rPr>
        <w:t>understanding of trends in concentrations</w:t>
      </w:r>
      <w:r w:rsidR="006C6904" w:rsidRPr="006F1D04">
        <w:rPr>
          <w:rFonts w:ascii="Arial" w:hAnsi="Arial"/>
          <w:color w:val="auto"/>
        </w:rPr>
        <w:t xml:space="preserve">, but they should also </w:t>
      </w:r>
      <w:r w:rsidR="0045300B" w:rsidRPr="006F1D04">
        <w:rPr>
          <w:rFonts w:ascii="Arial" w:hAnsi="Arial"/>
          <w:color w:val="auto"/>
        </w:rPr>
        <w:t>promote action to reduce PM concentrations</w:t>
      </w:r>
    </w:p>
    <w:p w:rsidR="006770A3" w:rsidRPr="006F1D04" w:rsidRDefault="00CB6A70" w:rsidP="00003665">
      <w:pPr>
        <w:pStyle w:val="BulletArrows"/>
        <w:numPr>
          <w:ilvl w:val="0"/>
          <w:numId w:val="118"/>
        </w:numPr>
        <w:spacing w:after="160"/>
        <w:rPr>
          <w:rFonts w:ascii="Arial" w:hAnsi="Arial"/>
          <w:color w:val="auto"/>
        </w:rPr>
      </w:pPr>
      <w:r w:rsidRPr="006F1D04">
        <w:rPr>
          <w:rFonts w:ascii="Arial" w:hAnsi="Arial"/>
          <w:color w:val="auto"/>
        </w:rPr>
        <w:t>Health Risk Assessment</w:t>
      </w:r>
      <w:r w:rsidR="006770A3" w:rsidRPr="006F1D04">
        <w:rPr>
          <w:rFonts w:ascii="Arial" w:hAnsi="Arial"/>
          <w:color w:val="auto"/>
        </w:rPr>
        <w:t xml:space="preserve"> project</w:t>
      </w:r>
      <w:r w:rsidR="00713F9F" w:rsidRPr="006F1D04">
        <w:rPr>
          <w:rFonts w:ascii="Arial" w:hAnsi="Arial"/>
          <w:color w:val="auto"/>
        </w:rPr>
        <w:t xml:space="preserve"> </w:t>
      </w:r>
      <w:r w:rsidR="00713F9F" w:rsidRPr="006F1D04">
        <w:rPr>
          <w:rFonts w:ascii="Arial" w:hAnsi="Arial"/>
          <w:b/>
          <w:color w:val="auto"/>
        </w:rPr>
        <w:t>(</w:t>
      </w:r>
      <w:proofErr w:type="spellStart"/>
      <w:r w:rsidR="00713F9F" w:rsidRPr="006F1D04">
        <w:rPr>
          <w:rFonts w:ascii="Arial" w:hAnsi="Arial"/>
          <w:b/>
          <w:color w:val="auto"/>
        </w:rPr>
        <w:t>Frangos</w:t>
      </w:r>
      <w:proofErr w:type="spellEnd"/>
      <w:r w:rsidR="00713F9F" w:rsidRPr="006F1D04">
        <w:rPr>
          <w:rFonts w:ascii="Arial" w:hAnsi="Arial"/>
          <w:b/>
          <w:color w:val="auto"/>
        </w:rPr>
        <w:t xml:space="preserve"> </w:t>
      </w:r>
      <w:r w:rsidR="008854A2" w:rsidRPr="006F1D04">
        <w:rPr>
          <w:rFonts w:ascii="Arial" w:hAnsi="Arial"/>
          <w:b/>
          <w:color w:val="auto"/>
        </w:rPr>
        <w:t xml:space="preserve">&amp; </w:t>
      </w:r>
      <w:proofErr w:type="spellStart"/>
      <w:r w:rsidR="00F767DE" w:rsidRPr="006F1D04">
        <w:rPr>
          <w:rFonts w:ascii="Arial" w:hAnsi="Arial"/>
          <w:b/>
          <w:color w:val="auto"/>
        </w:rPr>
        <w:t>DiMarco</w:t>
      </w:r>
      <w:proofErr w:type="spellEnd"/>
      <w:r w:rsidR="00F767DE" w:rsidRPr="006F1D04">
        <w:rPr>
          <w:rFonts w:ascii="Arial" w:hAnsi="Arial"/>
          <w:b/>
          <w:color w:val="auto"/>
        </w:rPr>
        <w:t xml:space="preserve"> 2013</w:t>
      </w:r>
      <w:r w:rsidR="00713F9F" w:rsidRPr="006F1D04">
        <w:rPr>
          <w:rFonts w:ascii="Arial" w:hAnsi="Arial"/>
          <w:b/>
          <w:color w:val="auto"/>
        </w:rPr>
        <w:t>)</w:t>
      </w:r>
    </w:p>
    <w:p w:rsidR="006770A3" w:rsidRPr="006F1D04" w:rsidRDefault="006770A3" w:rsidP="00003665">
      <w:pPr>
        <w:pStyle w:val="BulletArrows"/>
        <w:numPr>
          <w:ilvl w:val="0"/>
          <w:numId w:val="118"/>
        </w:numPr>
        <w:spacing w:after="240"/>
        <w:rPr>
          <w:rFonts w:ascii="Arial" w:hAnsi="Arial"/>
          <w:color w:val="auto"/>
        </w:rPr>
      </w:pPr>
      <w:r w:rsidRPr="006F1D04">
        <w:rPr>
          <w:rFonts w:ascii="Arial" w:hAnsi="Arial"/>
          <w:color w:val="auto"/>
        </w:rPr>
        <w:t>Economic Analysis project</w:t>
      </w:r>
      <w:r w:rsidR="00713F9F" w:rsidRPr="006F1D04">
        <w:rPr>
          <w:rFonts w:ascii="Arial" w:hAnsi="Arial"/>
          <w:color w:val="auto"/>
        </w:rPr>
        <w:t xml:space="preserve"> </w:t>
      </w:r>
      <w:r w:rsidR="00713F9F" w:rsidRPr="006F1D04">
        <w:rPr>
          <w:rFonts w:ascii="Arial" w:hAnsi="Arial"/>
          <w:b/>
          <w:color w:val="auto"/>
        </w:rPr>
        <w:t xml:space="preserve">(Boulter </w:t>
      </w:r>
      <w:r w:rsidR="008854A2" w:rsidRPr="006F1D04">
        <w:rPr>
          <w:rFonts w:ascii="Arial" w:hAnsi="Arial"/>
          <w:b/>
          <w:color w:val="auto"/>
        </w:rPr>
        <w:t xml:space="preserve">&amp; </w:t>
      </w:r>
      <w:r w:rsidR="00713F9F" w:rsidRPr="006F1D04">
        <w:rPr>
          <w:rFonts w:ascii="Arial" w:hAnsi="Arial"/>
          <w:b/>
          <w:color w:val="auto"/>
        </w:rPr>
        <w:t>Kulkarni 2013)</w:t>
      </w:r>
      <w:r w:rsidR="00713F9F" w:rsidRPr="006F1D04">
        <w:rPr>
          <w:rFonts w:ascii="Arial" w:hAnsi="Arial"/>
          <w:color w:val="auto"/>
        </w:rPr>
        <w:t>.</w:t>
      </w:r>
    </w:p>
    <w:p w:rsidR="006770A3" w:rsidRPr="006F1D04" w:rsidRDefault="006770A3" w:rsidP="00F40168">
      <w:pPr>
        <w:spacing w:after="200"/>
        <w:rPr>
          <w:rFonts w:ascii="Arial" w:hAnsi="Arial" w:cs="Arial"/>
        </w:rPr>
      </w:pPr>
      <w:r w:rsidRPr="006F1D04">
        <w:rPr>
          <w:rFonts w:ascii="Arial" w:hAnsi="Arial" w:cs="Arial"/>
        </w:rPr>
        <w:t>The in</w:t>
      </w:r>
      <w:r w:rsidR="009C7BE6" w:rsidRPr="006F1D04">
        <w:rPr>
          <w:rFonts w:ascii="Arial" w:hAnsi="Arial" w:cs="Arial"/>
        </w:rPr>
        <w:t>formation from these sources is</w:t>
      </w:r>
      <w:r w:rsidRPr="006F1D04">
        <w:rPr>
          <w:rFonts w:ascii="Arial" w:hAnsi="Arial" w:cs="Arial"/>
        </w:rPr>
        <w:t xml:space="preserve"> summarised in </w:t>
      </w:r>
      <w:r w:rsidRPr="006F1D04">
        <w:rPr>
          <w:rFonts w:ascii="Arial" w:hAnsi="Arial" w:cs="Arial"/>
          <w:b/>
        </w:rPr>
        <w:t>Sections 8.2</w:t>
      </w:r>
      <w:r w:rsidRPr="006F1D04">
        <w:rPr>
          <w:rFonts w:ascii="Arial" w:hAnsi="Arial" w:cs="Arial"/>
        </w:rPr>
        <w:t xml:space="preserve"> to </w:t>
      </w:r>
      <w:r w:rsidR="006C6904" w:rsidRPr="006F1D04">
        <w:rPr>
          <w:rFonts w:ascii="Arial" w:hAnsi="Arial" w:cs="Arial"/>
          <w:b/>
        </w:rPr>
        <w:t>8.4</w:t>
      </w:r>
      <w:r w:rsidRPr="006F1D04">
        <w:rPr>
          <w:rFonts w:ascii="Arial" w:hAnsi="Arial" w:cs="Arial"/>
        </w:rPr>
        <w:t xml:space="preserve">, </w:t>
      </w:r>
      <w:r w:rsidR="009C7BE6" w:rsidRPr="006F1D04">
        <w:rPr>
          <w:rFonts w:ascii="Arial" w:hAnsi="Arial" w:cs="Arial"/>
        </w:rPr>
        <w:t>and the main findings are brought</w:t>
      </w:r>
      <w:r w:rsidRPr="006F1D04">
        <w:rPr>
          <w:rFonts w:ascii="Arial" w:hAnsi="Arial" w:cs="Arial"/>
        </w:rPr>
        <w:t xml:space="preserve"> together in </w:t>
      </w:r>
      <w:r w:rsidR="006C6904" w:rsidRPr="006F1D04">
        <w:rPr>
          <w:rFonts w:ascii="Arial" w:hAnsi="Arial" w:cs="Arial"/>
          <w:b/>
        </w:rPr>
        <w:t>Section 8.5</w:t>
      </w:r>
      <w:r w:rsidRPr="006F1D04">
        <w:rPr>
          <w:rFonts w:ascii="Arial" w:hAnsi="Arial" w:cs="Arial"/>
        </w:rPr>
        <w:t>.</w:t>
      </w:r>
      <w:r w:rsidR="006C6904" w:rsidRPr="006F1D04">
        <w:rPr>
          <w:rFonts w:ascii="Arial" w:hAnsi="Arial" w:cs="Arial"/>
        </w:rPr>
        <w:t xml:space="preserve"> Other </w:t>
      </w:r>
      <w:r w:rsidR="00F37B07" w:rsidRPr="006F1D04">
        <w:rPr>
          <w:rFonts w:ascii="Arial" w:hAnsi="Arial" w:cs="Arial"/>
        </w:rPr>
        <w:t xml:space="preserve">considerations for jurisdictions </w:t>
      </w:r>
      <w:r w:rsidR="006C6904" w:rsidRPr="006F1D04">
        <w:rPr>
          <w:rFonts w:ascii="Arial" w:hAnsi="Arial" w:cs="Arial"/>
        </w:rPr>
        <w:t xml:space="preserve">are discussed in </w:t>
      </w:r>
      <w:r w:rsidR="006C6904" w:rsidRPr="006F1D04">
        <w:rPr>
          <w:rFonts w:ascii="Arial" w:hAnsi="Arial" w:cs="Arial"/>
          <w:b/>
        </w:rPr>
        <w:t>Section 8.6</w:t>
      </w:r>
      <w:r w:rsidR="006C6904" w:rsidRPr="006F1D04">
        <w:rPr>
          <w:rFonts w:ascii="Arial" w:hAnsi="Arial" w:cs="Arial"/>
        </w:rPr>
        <w:t>.</w:t>
      </w:r>
    </w:p>
    <w:p w:rsidR="00CA4491" w:rsidRPr="006F1D04" w:rsidRDefault="009C7BE6" w:rsidP="00F40168">
      <w:pPr>
        <w:spacing w:after="300"/>
        <w:rPr>
          <w:rFonts w:ascii="Arial" w:hAnsi="Arial" w:cs="Arial"/>
        </w:rPr>
      </w:pPr>
      <w:r w:rsidRPr="006F1D04">
        <w:rPr>
          <w:rFonts w:ascii="Arial" w:hAnsi="Arial" w:cs="Arial"/>
        </w:rPr>
        <w:t>W</w:t>
      </w:r>
      <w:r w:rsidR="00713F9F" w:rsidRPr="006F1D04">
        <w:rPr>
          <w:rFonts w:ascii="Arial" w:hAnsi="Arial" w:cs="Arial"/>
        </w:rPr>
        <w:t xml:space="preserve">hilst the </w:t>
      </w:r>
      <w:r w:rsidR="00BE4D7B" w:rsidRPr="006F1D04">
        <w:rPr>
          <w:rFonts w:ascii="Arial" w:hAnsi="Arial" w:cs="Arial"/>
        </w:rPr>
        <w:t xml:space="preserve">analysis of the monitoring data, the </w:t>
      </w:r>
      <w:r w:rsidR="00713F9F" w:rsidRPr="006F1D04">
        <w:rPr>
          <w:rFonts w:ascii="Arial" w:hAnsi="Arial" w:cs="Arial"/>
        </w:rPr>
        <w:t xml:space="preserve">HRA </w:t>
      </w:r>
      <w:r w:rsidR="00BE4D7B" w:rsidRPr="006F1D04">
        <w:rPr>
          <w:rFonts w:ascii="Arial" w:hAnsi="Arial" w:cs="Arial"/>
        </w:rPr>
        <w:t xml:space="preserve">project </w:t>
      </w:r>
      <w:r w:rsidR="00713F9F" w:rsidRPr="006F1D04">
        <w:rPr>
          <w:rFonts w:ascii="Arial" w:hAnsi="Arial" w:cs="Arial"/>
        </w:rPr>
        <w:t xml:space="preserve">and </w:t>
      </w:r>
      <w:r w:rsidR="00CA4491" w:rsidRPr="006F1D04">
        <w:rPr>
          <w:rFonts w:ascii="Arial" w:hAnsi="Arial" w:cs="Arial"/>
        </w:rPr>
        <w:t xml:space="preserve">Economic Analysis </w:t>
      </w:r>
      <w:r w:rsidR="00BE4D7B" w:rsidRPr="006F1D04">
        <w:rPr>
          <w:rFonts w:ascii="Arial" w:hAnsi="Arial" w:cs="Arial"/>
        </w:rPr>
        <w:t xml:space="preserve">project </w:t>
      </w:r>
      <w:r w:rsidR="00713F9F" w:rsidRPr="006F1D04">
        <w:rPr>
          <w:rFonts w:ascii="Arial" w:hAnsi="Arial" w:cs="Arial"/>
        </w:rPr>
        <w:t xml:space="preserve">examined the same options, the </w:t>
      </w:r>
      <w:r w:rsidR="00562DF2" w:rsidRPr="006F1D04">
        <w:rPr>
          <w:rFonts w:ascii="Arial" w:hAnsi="Arial" w:cs="Arial"/>
        </w:rPr>
        <w:t>f</w:t>
      </w:r>
      <w:r w:rsidR="00713F9F" w:rsidRPr="006F1D04">
        <w:rPr>
          <w:rFonts w:ascii="Arial" w:hAnsi="Arial" w:cs="Arial"/>
        </w:rPr>
        <w:t xml:space="preserve">ocus was different in each case </w:t>
      </w:r>
      <w:r w:rsidR="009B63C5" w:rsidRPr="006F1D04">
        <w:rPr>
          <w:rFonts w:ascii="Arial" w:hAnsi="Arial" w:cs="Arial"/>
        </w:rPr>
        <w:t>(</w:t>
      </w:r>
      <w:r w:rsidR="00CA4491" w:rsidRPr="006F1D04">
        <w:rPr>
          <w:rFonts w:ascii="Arial" w:hAnsi="Arial" w:cs="Arial"/>
        </w:rPr>
        <w:t>with different base</w:t>
      </w:r>
      <w:r w:rsidR="009B63C5" w:rsidRPr="006F1D04">
        <w:rPr>
          <w:rFonts w:ascii="Arial" w:hAnsi="Arial" w:cs="Arial"/>
        </w:rPr>
        <w:t>line conditions and assumptions)</w:t>
      </w:r>
      <w:r w:rsidR="00713F9F" w:rsidRPr="006F1D04">
        <w:rPr>
          <w:rFonts w:ascii="Arial" w:hAnsi="Arial" w:cs="Arial"/>
        </w:rPr>
        <w:t>. I</w:t>
      </w:r>
      <w:r w:rsidR="00CA4491" w:rsidRPr="006F1D04">
        <w:rPr>
          <w:rFonts w:ascii="Arial" w:hAnsi="Arial" w:cs="Arial"/>
        </w:rPr>
        <w:t>t is therefore not possible to completely reconc</w:t>
      </w:r>
      <w:r w:rsidR="00504103" w:rsidRPr="006F1D04">
        <w:rPr>
          <w:rFonts w:ascii="Arial" w:hAnsi="Arial" w:cs="Arial"/>
        </w:rPr>
        <w:t>ile the data</w:t>
      </w:r>
      <w:r w:rsidR="00F37B07" w:rsidRPr="006F1D04">
        <w:rPr>
          <w:rFonts w:ascii="Arial" w:hAnsi="Arial" w:cs="Arial"/>
        </w:rPr>
        <w:t>. T</w:t>
      </w:r>
      <w:r w:rsidR="00504103" w:rsidRPr="006F1D04">
        <w:rPr>
          <w:rFonts w:ascii="Arial" w:hAnsi="Arial" w:cs="Arial"/>
        </w:rPr>
        <w:t>he HRA provides an assessment of the attributable</w:t>
      </w:r>
      <w:r w:rsidR="00D2046F" w:rsidRPr="006F1D04">
        <w:rPr>
          <w:rStyle w:val="FootnoteReference"/>
          <w:rFonts w:ascii="Arial" w:hAnsi="Arial" w:cs="Arial"/>
        </w:rPr>
        <w:footnoteReference w:id="28"/>
      </w:r>
      <w:r w:rsidR="00504103" w:rsidRPr="006F1D04">
        <w:rPr>
          <w:rFonts w:ascii="Arial" w:hAnsi="Arial" w:cs="Arial"/>
        </w:rPr>
        <w:t xml:space="preserve"> health impacts due to current air pollution levels, together with a ‘what if’ analysis using a number of scena</w:t>
      </w:r>
      <w:r w:rsidR="007D5240" w:rsidRPr="006F1D04">
        <w:rPr>
          <w:rFonts w:ascii="Arial" w:hAnsi="Arial" w:cs="Arial"/>
        </w:rPr>
        <w:t>rios in which pollution levels we</w:t>
      </w:r>
      <w:r w:rsidR="00504103" w:rsidRPr="006F1D04">
        <w:rPr>
          <w:rFonts w:ascii="Arial" w:hAnsi="Arial" w:cs="Arial"/>
        </w:rPr>
        <w:t>re adjusted</w:t>
      </w:r>
      <w:r w:rsidR="0087080F" w:rsidRPr="006F1D04">
        <w:rPr>
          <w:rFonts w:ascii="Arial" w:hAnsi="Arial" w:cs="Arial"/>
        </w:rPr>
        <w:t xml:space="preserve"> to meet</w:t>
      </w:r>
      <w:r w:rsidR="00504103" w:rsidRPr="006F1D04">
        <w:rPr>
          <w:rFonts w:ascii="Arial" w:hAnsi="Arial" w:cs="Arial"/>
        </w:rPr>
        <w:t xml:space="preserve"> various standards. In contrast, the Economic Analysis examined the costs and benefits of interventions to reduce PM emissions and concentrations by mapping likely future changes in PM levels unde</w:t>
      </w:r>
      <w:r w:rsidR="00E047E2" w:rsidRPr="006F1D04">
        <w:rPr>
          <w:rFonts w:ascii="Arial" w:hAnsi="Arial" w:cs="Arial"/>
        </w:rPr>
        <w:t>r a BAU</w:t>
      </w:r>
      <w:r w:rsidR="00504103" w:rsidRPr="006F1D04">
        <w:rPr>
          <w:rFonts w:ascii="Arial" w:hAnsi="Arial" w:cs="Arial"/>
        </w:rPr>
        <w:t xml:space="preserve"> case and also</w:t>
      </w:r>
      <w:r w:rsidR="007D5240" w:rsidRPr="006F1D04">
        <w:rPr>
          <w:rFonts w:ascii="Arial" w:hAnsi="Arial" w:cs="Arial"/>
        </w:rPr>
        <w:t xml:space="preserve"> with a package of abatement</w:t>
      </w:r>
      <w:r w:rsidR="00504103" w:rsidRPr="006F1D04">
        <w:rPr>
          <w:rFonts w:ascii="Arial" w:hAnsi="Arial" w:cs="Arial"/>
        </w:rPr>
        <w:t xml:space="preserve"> measures in place.</w:t>
      </w:r>
    </w:p>
    <w:p w:rsidR="00713F9F" w:rsidRPr="006F1D04" w:rsidRDefault="004D3BAA" w:rsidP="00713F9F">
      <w:pPr>
        <w:pStyle w:val="Heading2"/>
        <w:rPr>
          <w:rFonts w:ascii="Arial" w:hAnsi="Arial"/>
        </w:rPr>
      </w:pPr>
      <w:bookmarkStart w:id="150" w:name="_Toc394011138"/>
      <w:r w:rsidRPr="006F1D04">
        <w:rPr>
          <w:rFonts w:ascii="Arial" w:hAnsi="Arial"/>
        </w:rPr>
        <w:t>Analysis of m</w:t>
      </w:r>
      <w:r w:rsidR="00713F9F" w:rsidRPr="006F1D04">
        <w:rPr>
          <w:rFonts w:ascii="Arial" w:hAnsi="Arial"/>
        </w:rPr>
        <w:t>onitoring data</w:t>
      </w:r>
      <w:r w:rsidR="00317C6B" w:rsidRPr="006F1D04">
        <w:rPr>
          <w:rFonts w:ascii="Arial" w:hAnsi="Arial"/>
        </w:rPr>
        <w:t xml:space="preserve"> and achievability of the standards</w:t>
      </w:r>
      <w:bookmarkEnd w:id="150"/>
    </w:p>
    <w:p w:rsidR="00BE4D7B" w:rsidRPr="006F1D04" w:rsidRDefault="00BE4D7B" w:rsidP="00F40168">
      <w:pPr>
        <w:spacing w:after="200"/>
        <w:rPr>
          <w:rFonts w:ascii="Arial" w:hAnsi="Arial" w:cs="Arial"/>
        </w:rPr>
      </w:pPr>
      <w:r w:rsidRPr="006F1D04">
        <w:rPr>
          <w:rFonts w:ascii="Arial" w:hAnsi="Arial" w:cs="Arial"/>
        </w:rPr>
        <w:t>The historical</w:t>
      </w:r>
      <w:r w:rsidR="007F0C28" w:rsidRPr="006F1D04">
        <w:rPr>
          <w:rFonts w:ascii="Arial" w:hAnsi="Arial" w:cs="Arial"/>
        </w:rPr>
        <w:t xml:space="preserve"> trends</w:t>
      </w:r>
      <w:r w:rsidRPr="006F1D04">
        <w:rPr>
          <w:rFonts w:ascii="Arial" w:hAnsi="Arial" w:cs="Arial"/>
        </w:rPr>
        <w:t xml:space="preserve"> and patterns </w:t>
      </w:r>
      <w:r w:rsidR="007F0C28" w:rsidRPr="006F1D04">
        <w:rPr>
          <w:rFonts w:ascii="Arial" w:hAnsi="Arial" w:cs="Arial"/>
        </w:rPr>
        <w:t>in PM</w:t>
      </w:r>
      <w:r w:rsidR="007F0C28" w:rsidRPr="006F1D04">
        <w:rPr>
          <w:rFonts w:ascii="Arial" w:hAnsi="Arial" w:cs="Arial"/>
          <w:vertAlign w:val="subscript"/>
        </w:rPr>
        <w:t>10</w:t>
      </w:r>
      <w:r w:rsidR="007F0C28" w:rsidRPr="006F1D04">
        <w:rPr>
          <w:rFonts w:ascii="Arial" w:hAnsi="Arial" w:cs="Arial"/>
        </w:rPr>
        <w:t xml:space="preserve"> and PM</w:t>
      </w:r>
      <w:r w:rsidR="007F0C28" w:rsidRPr="006F1D04">
        <w:rPr>
          <w:rFonts w:ascii="Arial" w:hAnsi="Arial" w:cs="Arial"/>
          <w:vertAlign w:val="subscript"/>
        </w:rPr>
        <w:t>2.5</w:t>
      </w:r>
      <w:r w:rsidR="007F0C28" w:rsidRPr="006F1D04">
        <w:rPr>
          <w:rFonts w:ascii="Arial" w:hAnsi="Arial" w:cs="Arial"/>
        </w:rPr>
        <w:t xml:space="preserve"> concentrations</w:t>
      </w:r>
      <w:r w:rsidRPr="006F1D04">
        <w:rPr>
          <w:rFonts w:ascii="Arial" w:hAnsi="Arial" w:cs="Arial"/>
        </w:rPr>
        <w:t xml:space="preserve"> between</w:t>
      </w:r>
      <w:r w:rsidR="007F0C28" w:rsidRPr="006F1D04">
        <w:rPr>
          <w:rFonts w:ascii="Arial" w:hAnsi="Arial" w:cs="Arial"/>
        </w:rPr>
        <w:t xml:space="preserve"> </w:t>
      </w:r>
      <w:r w:rsidRPr="006F1D04">
        <w:rPr>
          <w:rFonts w:ascii="Arial" w:hAnsi="Arial" w:cs="Arial"/>
        </w:rPr>
        <w:t xml:space="preserve">2003 and 2012 </w:t>
      </w:r>
      <w:r w:rsidR="007F0C28" w:rsidRPr="006F1D04">
        <w:rPr>
          <w:rFonts w:ascii="Arial" w:hAnsi="Arial" w:cs="Arial"/>
        </w:rPr>
        <w:t xml:space="preserve">were examined in </w:t>
      </w:r>
      <w:r w:rsidR="007F0C28" w:rsidRPr="006F1D04">
        <w:rPr>
          <w:rFonts w:ascii="Arial" w:hAnsi="Arial" w:cs="Arial"/>
          <w:b/>
        </w:rPr>
        <w:t xml:space="preserve">Section </w:t>
      </w:r>
      <w:fldSimple w:instr=" REF _Ref367373490 \n \h  \* MERGEFORMAT ">
        <w:r w:rsidR="0085182E">
          <w:rPr>
            <w:rFonts w:ascii="Arial" w:hAnsi="Arial" w:cs="Arial"/>
            <w:b/>
          </w:rPr>
          <w:t>5.3</w:t>
        </w:r>
      </w:fldSimple>
      <w:r w:rsidR="007F0C28" w:rsidRPr="006F1D04">
        <w:rPr>
          <w:rFonts w:ascii="Arial" w:hAnsi="Arial" w:cs="Arial"/>
        </w:rPr>
        <w:t xml:space="preserve">. The following </w:t>
      </w:r>
      <w:r w:rsidR="00136447" w:rsidRPr="006F1D04">
        <w:rPr>
          <w:rFonts w:ascii="Arial" w:hAnsi="Arial" w:cs="Arial"/>
        </w:rPr>
        <w:t>s</w:t>
      </w:r>
      <w:r w:rsidR="007F0C28" w:rsidRPr="006F1D04">
        <w:rPr>
          <w:rFonts w:ascii="Arial" w:hAnsi="Arial" w:cs="Arial"/>
        </w:rPr>
        <w:t>ections explore the</w:t>
      </w:r>
      <w:r w:rsidR="0029278F" w:rsidRPr="006F1D04">
        <w:rPr>
          <w:rFonts w:ascii="Arial" w:hAnsi="Arial" w:cs="Arial"/>
        </w:rPr>
        <w:t xml:space="preserve"> </w:t>
      </w:r>
      <w:r w:rsidRPr="006F1D04">
        <w:rPr>
          <w:rFonts w:ascii="Arial" w:hAnsi="Arial" w:cs="Arial"/>
        </w:rPr>
        <w:t>achievability of the different options and sub-options across Australia with respect to these data and trends. The approach is quantitative, but some</w:t>
      </w:r>
      <w:r w:rsidR="00A93DC8" w:rsidRPr="006F1D04">
        <w:rPr>
          <w:rFonts w:ascii="Arial" w:hAnsi="Arial" w:cs="Arial"/>
        </w:rPr>
        <w:t xml:space="preserve"> judgement has been required. For example, ‘a</w:t>
      </w:r>
      <w:r w:rsidRPr="006F1D04">
        <w:rPr>
          <w:rFonts w:ascii="Arial" w:hAnsi="Arial" w:cs="Arial"/>
        </w:rPr>
        <w:t>chievability’ has been judged in terms of the likelihood that concentrations will meet a given standard/goal within a reasonable time period</w:t>
      </w:r>
      <w:r w:rsidR="00136447" w:rsidRPr="006F1D04">
        <w:rPr>
          <w:rFonts w:ascii="Arial" w:hAnsi="Arial" w:cs="Arial"/>
        </w:rPr>
        <w:t xml:space="preserve"> </w:t>
      </w:r>
      <w:r w:rsidRPr="006F1D04">
        <w:rPr>
          <w:rFonts w:ascii="Arial" w:hAnsi="Arial" w:cs="Arial"/>
        </w:rPr>
        <w:t>(say, 10</w:t>
      </w:r>
      <w:r w:rsidR="00136447" w:rsidRPr="006F1D04">
        <w:rPr>
          <w:rFonts w:ascii="Arial" w:hAnsi="Arial" w:cs="Arial"/>
        </w:rPr>
        <w:t> </w:t>
      </w:r>
      <w:r w:rsidRPr="006F1D04">
        <w:rPr>
          <w:rFonts w:ascii="Arial" w:hAnsi="Arial" w:cs="Arial"/>
        </w:rPr>
        <w:t>years), based on the historical trends. This work is complementary to the assessment that was conducted for future concentrations in the Economic Analysis project.</w:t>
      </w:r>
    </w:p>
    <w:p w:rsidR="00BE4D7B" w:rsidRPr="006F1D04" w:rsidRDefault="007D5240" w:rsidP="00F40168">
      <w:pPr>
        <w:spacing w:after="200"/>
        <w:rPr>
          <w:rFonts w:ascii="Arial" w:hAnsi="Arial" w:cs="Arial"/>
        </w:rPr>
      </w:pPr>
      <w:r w:rsidRPr="006F1D04">
        <w:rPr>
          <w:rFonts w:ascii="Arial" w:hAnsi="Arial" w:cs="Arial"/>
        </w:rPr>
        <w:t>The approach also involved identifying</w:t>
      </w:r>
      <w:r w:rsidR="00BE4D7B" w:rsidRPr="006F1D04">
        <w:rPr>
          <w:rFonts w:ascii="Arial" w:hAnsi="Arial" w:cs="Arial"/>
        </w:rPr>
        <w:t xml:space="preserve"> </w:t>
      </w:r>
      <w:r w:rsidR="00F37B07" w:rsidRPr="006F1D04">
        <w:rPr>
          <w:rFonts w:ascii="Arial" w:hAnsi="Arial" w:cs="Arial"/>
        </w:rPr>
        <w:t xml:space="preserve">more stringent </w:t>
      </w:r>
      <w:r w:rsidR="00BE4D7B" w:rsidRPr="006F1D04">
        <w:rPr>
          <w:rFonts w:ascii="Arial" w:hAnsi="Arial" w:cs="Arial"/>
        </w:rPr>
        <w:t xml:space="preserve">PM standards/goals that could be achieved incrementally rather than as a result of some dramatic improvement, the idea being that the </w:t>
      </w:r>
      <w:r w:rsidRPr="006F1D04">
        <w:rPr>
          <w:rFonts w:ascii="Arial" w:hAnsi="Arial" w:cs="Arial"/>
        </w:rPr>
        <w:t xml:space="preserve">values of the </w:t>
      </w:r>
      <w:r w:rsidR="00BE4D7B" w:rsidRPr="006F1D04">
        <w:rPr>
          <w:rFonts w:ascii="Arial" w:hAnsi="Arial" w:cs="Arial"/>
        </w:rPr>
        <w:t xml:space="preserve">standards and goals could </w:t>
      </w:r>
      <w:r w:rsidRPr="006F1D04">
        <w:rPr>
          <w:rFonts w:ascii="Arial" w:hAnsi="Arial" w:cs="Arial"/>
        </w:rPr>
        <w:t xml:space="preserve">subsequently </w:t>
      </w:r>
      <w:r w:rsidR="00BE4D7B" w:rsidRPr="006F1D04">
        <w:rPr>
          <w:rFonts w:ascii="Arial" w:hAnsi="Arial" w:cs="Arial"/>
        </w:rPr>
        <w:t xml:space="preserve">be </w:t>
      </w:r>
      <w:r w:rsidR="00F37B07" w:rsidRPr="006F1D04">
        <w:rPr>
          <w:rFonts w:ascii="Arial" w:hAnsi="Arial" w:cs="Arial"/>
        </w:rPr>
        <w:t>revised</w:t>
      </w:r>
      <w:r w:rsidR="005E09D0" w:rsidRPr="006F1D04">
        <w:rPr>
          <w:rFonts w:ascii="Arial" w:hAnsi="Arial" w:cs="Arial"/>
        </w:rPr>
        <w:t xml:space="preserve"> </w:t>
      </w:r>
      <w:r w:rsidR="00BE4D7B" w:rsidRPr="006F1D04">
        <w:rPr>
          <w:rFonts w:ascii="Arial" w:hAnsi="Arial" w:cs="Arial"/>
        </w:rPr>
        <w:t xml:space="preserve">if they </w:t>
      </w:r>
      <w:r w:rsidR="00136447" w:rsidRPr="006F1D04">
        <w:rPr>
          <w:rFonts w:ascii="Arial" w:hAnsi="Arial" w:cs="Arial"/>
        </w:rPr>
        <w:t xml:space="preserve">were </w:t>
      </w:r>
      <w:r w:rsidR="00BE4D7B" w:rsidRPr="006F1D04">
        <w:rPr>
          <w:rFonts w:ascii="Arial" w:hAnsi="Arial" w:cs="Arial"/>
        </w:rPr>
        <w:t>being met as a matter of course in all jurisdictions.</w:t>
      </w:r>
    </w:p>
    <w:p w:rsidR="00BE4D7B" w:rsidRPr="006F1D04" w:rsidRDefault="00F37B07" w:rsidP="00F40168">
      <w:pPr>
        <w:spacing w:after="200"/>
        <w:rPr>
          <w:rFonts w:ascii="Arial" w:hAnsi="Arial" w:cs="Arial"/>
        </w:rPr>
      </w:pPr>
      <w:r w:rsidRPr="006F1D04">
        <w:rPr>
          <w:rFonts w:ascii="Arial" w:hAnsi="Arial" w:cs="Arial"/>
        </w:rPr>
        <w:t>I</w:t>
      </w:r>
      <w:r w:rsidR="00BE4D7B" w:rsidRPr="006F1D04">
        <w:rPr>
          <w:rFonts w:ascii="Arial" w:hAnsi="Arial" w:cs="Arial"/>
        </w:rPr>
        <w:t xml:space="preserve">n the Economic Analysis (see </w:t>
      </w:r>
      <w:r w:rsidR="00BE4D7B" w:rsidRPr="006F1D04">
        <w:rPr>
          <w:rFonts w:ascii="Arial" w:hAnsi="Arial" w:cs="Arial"/>
          <w:b/>
        </w:rPr>
        <w:t>Section 8.4</w:t>
      </w:r>
      <w:r w:rsidR="007D5240" w:rsidRPr="006F1D04">
        <w:rPr>
          <w:rFonts w:ascii="Arial" w:hAnsi="Arial" w:cs="Arial"/>
        </w:rPr>
        <w:t>)</w:t>
      </w:r>
      <w:r w:rsidR="00BE4D7B" w:rsidRPr="006F1D04">
        <w:rPr>
          <w:rFonts w:ascii="Arial" w:hAnsi="Arial" w:cs="Arial"/>
        </w:rPr>
        <w:t xml:space="preserve"> some options were found to be unfeasible in most jurisdictions because the standard was very close to</w:t>
      </w:r>
      <w:r w:rsidR="007D5240" w:rsidRPr="006F1D04">
        <w:rPr>
          <w:rFonts w:ascii="Arial" w:hAnsi="Arial" w:cs="Arial"/>
        </w:rPr>
        <w:t>,</w:t>
      </w:r>
      <w:r w:rsidR="00BE4D7B" w:rsidRPr="006F1D04">
        <w:rPr>
          <w:rFonts w:ascii="Arial" w:hAnsi="Arial" w:cs="Arial"/>
        </w:rPr>
        <w:t xml:space="preserve"> or below</w:t>
      </w:r>
      <w:r w:rsidR="007D5240" w:rsidRPr="006F1D04">
        <w:rPr>
          <w:rFonts w:ascii="Arial" w:hAnsi="Arial" w:cs="Arial"/>
        </w:rPr>
        <w:t>,</w:t>
      </w:r>
      <w:r w:rsidR="00BE4D7B" w:rsidRPr="006F1D04">
        <w:rPr>
          <w:rFonts w:ascii="Arial" w:hAnsi="Arial" w:cs="Arial"/>
        </w:rPr>
        <w:t xml:space="preserve"> the regional background concentration. Such conclusions were based on some generalisations about PM composition which were made to ensure a consistent approach across jurisdictions. The distinction between different PM components has not been explicitly considered in the analysis in this </w:t>
      </w:r>
      <w:r w:rsidR="00136447" w:rsidRPr="006F1D04">
        <w:rPr>
          <w:rFonts w:ascii="Arial" w:hAnsi="Arial" w:cs="Arial"/>
        </w:rPr>
        <w:t>s</w:t>
      </w:r>
      <w:r w:rsidR="00BE4D7B" w:rsidRPr="006F1D04">
        <w:rPr>
          <w:rFonts w:ascii="Arial" w:hAnsi="Arial" w:cs="Arial"/>
        </w:rPr>
        <w:t xml:space="preserve">ection of the </w:t>
      </w:r>
      <w:r w:rsidR="005B38F9" w:rsidRPr="006F1D04">
        <w:rPr>
          <w:rFonts w:ascii="Arial" w:hAnsi="Arial"/>
        </w:rPr>
        <w:t>Impact Statement</w:t>
      </w:r>
      <w:r w:rsidR="00BE4D7B" w:rsidRPr="006F1D04">
        <w:rPr>
          <w:rFonts w:ascii="Arial" w:hAnsi="Arial" w:cs="Arial"/>
        </w:rPr>
        <w:t xml:space="preserve">, as insufficient </w:t>
      </w:r>
      <w:r w:rsidR="007D5240" w:rsidRPr="006F1D04">
        <w:rPr>
          <w:rFonts w:ascii="Arial" w:hAnsi="Arial" w:cs="Arial"/>
        </w:rPr>
        <w:t xml:space="preserve">local </w:t>
      </w:r>
      <w:r w:rsidR="00BE4D7B" w:rsidRPr="006F1D04">
        <w:rPr>
          <w:rFonts w:ascii="Arial" w:hAnsi="Arial" w:cs="Arial"/>
        </w:rPr>
        <w:t>data on PM composition were available in all jurisdictions. However, the different PM components are implicitly included in the measurements.</w:t>
      </w:r>
    </w:p>
    <w:p w:rsidR="00317C6B" w:rsidRPr="006F1D04" w:rsidRDefault="00317C6B" w:rsidP="00F40168">
      <w:pPr>
        <w:spacing w:after="200"/>
        <w:rPr>
          <w:rFonts w:ascii="Arial" w:hAnsi="Arial" w:cs="Arial"/>
        </w:rPr>
      </w:pPr>
      <w:r w:rsidRPr="006F1D04">
        <w:rPr>
          <w:rFonts w:ascii="Arial" w:hAnsi="Arial" w:cs="Arial"/>
        </w:rPr>
        <w:t>The achievability of each of the PM standard sub-options, including form, is assessed below.</w:t>
      </w:r>
    </w:p>
    <w:p w:rsidR="00713F9F" w:rsidRPr="006F1D04" w:rsidRDefault="00713F9F" w:rsidP="00440901">
      <w:pPr>
        <w:pStyle w:val="Heading3"/>
        <w:rPr>
          <w:rFonts w:ascii="Arial" w:hAnsi="Arial"/>
        </w:rPr>
      </w:pPr>
      <w:bookmarkStart w:id="151" w:name="_Toc394011139"/>
      <w:r w:rsidRPr="006F1D04">
        <w:rPr>
          <w:rFonts w:ascii="Arial" w:hAnsi="Arial"/>
        </w:rPr>
        <w:t>PM</w:t>
      </w:r>
      <w:r w:rsidRPr="006F1D04">
        <w:rPr>
          <w:rFonts w:ascii="Arial" w:hAnsi="Arial"/>
          <w:vertAlign w:val="subscript"/>
        </w:rPr>
        <w:t>10</w:t>
      </w:r>
      <w:r w:rsidRPr="006F1D04">
        <w:rPr>
          <w:rFonts w:ascii="Arial" w:hAnsi="Arial"/>
        </w:rPr>
        <w:t xml:space="preserve"> annual mean</w:t>
      </w:r>
      <w:r w:rsidR="003A4476" w:rsidRPr="006F1D04">
        <w:rPr>
          <w:rFonts w:ascii="Arial" w:hAnsi="Arial"/>
        </w:rPr>
        <w:t xml:space="preserve"> standard</w:t>
      </w:r>
      <w:bookmarkEnd w:id="151"/>
    </w:p>
    <w:p w:rsidR="00084486" w:rsidRPr="006F1D04" w:rsidRDefault="0029278F" w:rsidP="00331FCA">
      <w:pPr>
        <w:spacing w:after="300"/>
        <w:rPr>
          <w:rFonts w:ascii="Arial" w:hAnsi="Arial" w:cs="Arial"/>
        </w:rPr>
      </w:pPr>
      <w:r w:rsidRPr="006F1D04">
        <w:rPr>
          <w:rFonts w:ascii="Arial" w:hAnsi="Arial" w:cs="Arial"/>
        </w:rPr>
        <w:t>The achievability of each sub-o</w:t>
      </w:r>
      <w:r w:rsidR="004C3F55" w:rsidRPr="006F1D04">
        <w:rPr>
          <w:rFonts w:ascii="Arial" w:hAnsi="Arial" w:cs="Arial"/>
        </w:rPr>
        <w:t>ption for the annual mean PM</w:t>
      </w:r>
      <w:r w:rsidR="004C3F55" w:rsidRPr="006F1D04">
        <w:rPr>
          <w:rFonts w:ascii="Arial" w:hAnsi="Arial" w:cs="Arial"/>
          <w:vertAlign w:val="subscript"/>
        </w:rPr>
        <w:t>10</w:t>
      </w:r>
      <w:r w:rsidR="004C3F55" w:rsidRPr="006F1D04">
        <w:rPr>
          <w:rFonts w:ascii="Arial" w:hAnsi="Arial" w:cs="Arial"/>
        </w:rPr>
        <w:t xml:space="preserve"> concentration was examined in terms of the percentage of monitoring sites across Australia with a value above the corresponding standard. This percentage was calculated for each year between 2003 and 2012, and the results are shown in </w:t>
      </w:r>
      <w:fldSimple w:instr=" REF _Ref367432728 \h  \* MERGEFORMAT ">
        <w:r w:rsidR="0085182E" w:rsidRPr="0085182E">
          <w:rPr>
            <w:rFonts w:ascii="Arial" w:hAnsi="Arial" w:cs="Arial"/>
            <w:b/>
          </w:rPr>
          <w:t>Figure 8.1</w:t>
        </w:r>
      </w:fldSimple>
      <w:r w:rsidR="004C3F55" w:rsidRPr="006F1D04">
        <w:rPr>
          <w:rFonts w:ascii="Arial" w:hAnsi="Arial" w:cs="Arial"/>
        </w:rPr>
        <w:t>.</w:t>
      </w:r>
      <w:r w:rsidR="00BE4D7B" w:rsidRPr="006F1D04">
        <w:rPr>
          <w:rFonts w:ascii="Arial" w:hAnsi="Arial" w:cs="Arial"/>
        </w:rPr>
        <w:t xml:space="preserve"> </w:t>
      </w:r>
      <w:r w:rsidR="00002D6C" w:rsidRPr="006F1D04">
        <w:rPr>
          <w:rFonts w:ascii="Arial" w:hAnsi="Arial" w:cs="Arial"/>
        </w:rPr>
        <w:t>T</w:t>
      </w:r>
      <w:r w:rsidR="00BE4D7B" w:rsidRPr="006F1D04">
        <w:rPr>
          <w:rFonts w:ascii="Arial" w:hAnsi="Arial" w:cs="Arial"/>
        </w:rPr>
        <w:t xml:space="preserve">he overall </w:t>
      </w:r>
      <w:r w:rsidR="00BE4D7B" w:rsidRPr="006F1D04">
        <w:rPr>
          <w:rFonts w:ascii="Arial" w:hAnsi="Arial" w:cs="Arial"/>
        </w:rPr>
        <w:lastRenderedPageBreak/>
        <w:t>results for Australia are influenced by the jurisdictions with the most monitoring sites (NSW, Victoria, Queensland).</w:t>
      </w:r>
    </w:p>
    <w:p w:rsidR="007F0C28" w:rsidRPr="006F1D04" w:rsidRDefault="006D7F17" w:rsidP="00454FFD">
      <w:pPr>
        <w:spacing w:after="120" w:line="240" w:lineRule="auto"/>
        <w:jc w:val="center"/>
        <w:rPr>
          <w:rFonts w:ascii="Arial" w:hAnsi="Arial" w:cs="Arial"/>
        </w:rPr>
      </w:pPr>
      <w:r w:rsidRPr="006F1D04">
        <w:rPr>
          <w:rFonts w:ascii="Arial" w:hAnsi="Arial" w:cs="Arial"/>
          <w:noProof/>
        </w:rPr>
        <w:drawing>
          <wp:inline distT="0" distB="0" distL="0" distR="0">
            <wp:extent cx="4317365" cy="2504440"/>
            <wp:effectExtent l="19050" t="19050" r="26035" b="1016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390"/>
                    <a:stretch>
                      <a:fillRect/>
                    </a:stretch>
                  </pic:blipFill>
                  <pic:spPr bwMode="auto">
                    <a:xfrm>
                      <a:off x="0" y="0"/>
                      <a:ext cx="4317365" cy="2504440"/>
                    </a:xfrm>
                    <a:prstGeom prst="rect">
                      <a:avLst/>
                    </a:prstGeom>
                    <a:noFill/>
                    <a:ln w="6350" cmpd="sng">
                      <a:solidFill>
                        <a:srgbClr val="0070C0"/>
                      </a:solidFill>
                      <a:miter lim="800000"/>
                      <a:headEnd/>
                      <a:tailEnd/>
                    </a:ln>
                    <a:effectLst/>
                  </pic:spPr>
                </pic:pic>
              </a:graphicData>
            </a:graphic>
          </wp:inline>
        </w:drawing>
      </w:r>
    </w:p>
    <w:p w:rsidR="007F0C28" w:rsidRPr="006F1D04" w:rsidRDefault="00440901" w:rsidP="00440901">
      <w:pPr>
        <w:pStyle w:val="Caption"/>
        <w:ind w:left="1418" w:right="1371"/>
        <w:rPr>
          <w:rFonts w:ascii="Arial" w:hAnsi="Arial" w:cs="Arial"/>
        </w:rPr>
      </w:pPr>
      <w:bookmarkStart w:id="152" w:name="_Ref367432728"/>
      <w:r w:rsidRPr="006F1D04">
        <w:rPr>
          <w:rFonts w:ascii="Arial" w:hAnsi="Arial" w:cs="Arial"/>
        </w:rPr>
        <w:t xml:space="preserve">Figure </w:t>
      </w:r>
      <w:r w:rsidR="00BF6019" w:rsidRPr="006F1D04">
        <w:rPr>
          <w:rFonts w:ascii="Arial" w:hAnsi="Arial" w:cs="Arial"/>
        </w:rPr>
        <w:fldChar w:fldCharType="begin"/>
      </w:r>
      <w:r w:rsidRPr="006F1D04">
        <w:rPr>
          <w:rFonts w:ascii="Arial" w:hAnsi="Arial" w:cs="Arial"/>
        </w:rPr>
        <w:instrText xml:space="preserve"> STYLEREF 1 \s </w:instrText>
      </w:r>
      <w:r w:rsidR="00BF6019" w:rsidRPr="006F1D04">
        <w:rPr>
          <w:rFonts w:ascii="Arial" w:hAnsi="Arial" w:cs="Arial"/>
        </w:rPr>
        <w:fldChar w:fldCharType="separate"/>
      </w:r>
      <w:r w:rsidR="0085182E">
        <w:rPr>
          <w:rFonts w:ascii="Arial" w:hAnsi="Arial" w:cs="Arial"/>
          <w:noProof/>
        </w:rPr>
        <w:t>8</w:t>
      </w:r>
      <w:r w:rsidR="00BF6019" w:rsidRPr="006F1D04">
        <w:rPr>
          <w:rFonts w:ascii="Arial" w:hAnsi="Arial" w:cs="Arial"/>
        </w:rPr>
        <w:fldChar w:fldCharType="end"/>
      </w:r>
      <w:r w:rsidRPr="006F1D04">
        <w:rPr>
          <w:rFonts w:ascii="Arial" w:hAnsi="Arial" w:cs="Arial"/>
        </w:rPr>
        <w:t>.</w:t>
      </w:r>
      <w:r w:rsidR="00BF6019" w:rsidRPr="006F1D04">
        <w:rPr>
          <w:rFonts w:ascii="Arial" w:hAnsi="Arial" w:cs="Arial"/>
        </w:rPr>
        <w:fldChar w:fldCharType="begin"/>
      </w:r>
      <w:r w:rsidRPr="006F1D04">
        <w:rPr>
          <w:rFonts w:ascii="Arial" w:hAnsi="Arial" w:cs="Arial"/>
        </w:rPr>
        <w:instrText xml:space="preserve"> SEQ Figure \* ARABIC \s 1 </w:instrText>
      </w:r>
      <w:r w:rsidR="00BF6019" w:rsidRPr="006F1D04">
        <w:rPr>
          <w:rFonts w:ascii="Arial" w:hAnsi="Arial" w:cs="Arial"/>
        </w:rPr>
        <w:fldChar w:fldCharType="separate"/>
      </w:r>
      <w:r w:rsidR="0085182E">
        <w:rPr>
          <w:rFonts w:ascii="Arial" w:hAnsi="Arial" w:cs="Arial"/>
          <w:noProof/>
        </w:rPr>
        <w:t>1</w:t>
      </w:r>
      <w:r w:rsidR="00BF6019" w:rsidRPr="006F1D04">
        <w:rPr>
          <w:rFonts w:ascii="Arial" w:hAnsi="Arial" w:cs="Arial"/>
        </w:rPr>
        <w:fldChar w:fldCharType="end"/>
      </w:r>
      <w:bookmarkEnd w:id="152"/>
      <w:r w:rsidRPr="006F1D04">
        <w:rPr>
          <w:rFonts w:ascii="Arial" w:hAnsi="Arial" w:cs="Arial"/>
        </w:rPr>
        <w:t>: Percentage of monitoring sites with annual mean PM</w:t>
      </w:r>
      <w:r w:rsidRPr="006F1D04">
        <w:rPr>
          <w:rFonts w:ascii="Arial" w:hAnsi="Arial" w:cs="Arial"/>
          <w:vertAlign w:val="subscript"/>
        </w:rPr>
        <w:t>10</w:t>
      </w:r>
      <w:r w:rsidRPr="006F1D04">
        <w:rPr>
          <w:rFonts w:ascii="Arial" w:hAnsi="Arial" w:cs="Arial"/>
        </w:rPr>
        <w:t xml:space="preserve"> conc</w:t>
      </w:r>
      <w:r w:rsidR="00CC1995" w:rsidRPr="006F1D04">
        <w:rPr>
          <w:rFonts w:ascii="Arial" w:hAnsi="Arial" w:cs="Arial"/>
        </w:rPr>
        <w:t>entration above standard</w:t>
      </w:r>
    </w:p>
    <w:p w:rsidR="00002D6C" w:rsidRPr="006F1D04" w:rsidRDefault="00002D6C" w:rsidP="00002D6C">
      <w:pPr>
        <w:spacing w:after="0"/>
        <w:rPr>
          <w:rFonts w:ascii="Arial" w:hAnsi="Arial" w:cs="Arial"/>
        </w:rPr>
      </w:pPr>
    </w:p>
    <w:p w:rsidR="00002D6C" w:rsidRPr="006F1D04" w:rsidRDefault="00002D6C" w:rsidP="00002D6C">
      <w:pPr>
        <w:rPr>
          <w:rFonts w:ascii="Arial" w:hAnsi="Arial" w:cs="Arial"/>
        </w:rPr>
      </w:pPr>
      <w:r w:rsidRPr="006F1D04">
        <w:rPr>
          <w:rFonts w:ascii="Arial" w:hAnsi="Arial" w:cs="Arial"/>
        </w:rPr>
        <w:t xml:space="preserve">The results clearly show that a standard of 12 </w:t>
      </w:r>
      <w:proofErr w:type="spellStart"/>
      <w:r w:rsidRPr="006F1D04">
        <w:rPr>
          <w:rFonts w:ascii="Arial" w:hAnsi="Arial" w:cs="Arial"/>
        </w:rPr>
        <w:t>μg</w:t>
      </w:r>
      <w:proofErr w:type="spellEnd"/>
      <w:r w:rsidRPr="006F1D04">
        <w:rPr>
          <w:rFonts w:ascii="Arial" w:hAnsi="Arial" w:cs="Arial"/>
        </w:rPr>
        <w:t>/m</w:t>
      </w:r>
      <w:r w:rsidRPr="006F1D04">
        <w:rPr>
          <w:rFonts w:ascii="Arial" w:hAnsi="Arial" w:cs="Arial"/>
          <w:vertAlign w:val="superscript"/>
        </w:rPr>
        <w:t>3</w:t>
      </w:r>
      <w:r w:rsidRPr="006F1D04">
        <w:rPr>
          <w:rFonts w:ascii="Arial" w:hAnsi="Arial" w:cs="Arial"/>
        </w:rPr>
        <w:t xml:space="preserve"> would not be feasible in Australia</w:t>
      </w:r>
      <w:r w:rsidR="00AC4EDB" w:rsidRPr="006F1D04">
        <w:rPr>
          <w:rFonts w:ascii="Arial" w:hAnsi="Arial" w:cs="Arial"/>
        </w:rPr>
        <w:t xml:space="preserve"> in the near future</w:t>
      </w:r>
      <w:r w:rsidRPr="006F1D04">
        <w:rPr>
          <w:rFonts w:ascii="Arial" w:hAnsi="Arial" w:cs="Arial"/>
        </w:rPr>
        <w:t xml:space="preserve">. Prior to 2010 this value was exceeded at all monitoring sites, and continued to be exceeded after 2010 at more than 90% of monitoring sites. The proportion of sites which would not have met a standard of </w:t>
      </w:r>
      <w:r w:rsidR="003F577F" w:rsidRPr="006F1D04">
        <w:rPr>
          <w:rFonts w:ascii="Arial" w:hAnsi="Arial" w:cs="Arial"/>
        </w:rPr>
        <w:t>16</w:t>
      </w:r>
      <w:r w:rsidR="00136447" w:rsidRPr="006F1D04">
        <w:rPr>
          <w:rFonts w:ascii="Arial" w:hAnsi="Arial" w:cs="Arial"/>
        </w:rPr>
        <w:t> </w:t>
      </w:r>
      <w:proofErr w:type="spellStart"/>
      <w:r w:rsidRPr="006F1D04">
        <w:rPr>
          <w:rFonts w:ascii="Arial" w:hAnsi="Arial" w:cs="Arial"/>
        </w:rPr>
        <w:t>μg</w:t>
      </w:r>
      <w:proofErr w:type="spellEnd"/>
      <w:r w:rsidRPr="006F1D04">
        <w:rPr>
          <w:rFonts w:ascii="Arial" w:hAnsi="Arial" w:cs="Arial"/>
        </w:rPr>
        <w:t>/m</w:t>
      </w:r>
      <w:r w:rsidRPr="006F1D04">
        <w:rPr>
          <w:rFonts w:ascii="Arial" w:hAnsi="Arial" w:cs="Arial"/>
          <w:vertAlign w:val="superscript"/>
        </w:rPr>
        <w:t>3</w:t>
      </w:r>
      <w:r w:rsidRPr="006F1D04">
        <w:rPr>
          <w:rFonts w:ascii="Arial" w:hAnsi="Arial" w:cs="Arial"/>
        </w:rPr>
        <w:t xml:space="preserve"> decreased between 2003 and 2012, but the standard would still be exceeded at 60% of sites in 2012 and would therefore also not represent a realistic target. The most realistic sub-option would be the standard of 20 </w:t>
      </w:r>
      <w:proofErr w:type="spellStart"/>
      <w:r w:rsidRPr="006F1D04">
        <w:rPr>
          <w:rFonts w:ascii="Arial" w:hAnsi="Arial" w:cs="Arial"/>
        </w:rPr>
        <w:t>μg</w:t>
      </w:r>
      <w:proofErr w:type="spellEnd"/>
      <w:r w:rsidRPr="006F1D04">
        <w:rPr>
          <w:rFonts w:ascii="Arial" w:hAnsi="Arial" w:cs="Arial"/>
        </w:rPr>
        <w:t>/m</w:t>
      </w:r>
      <w:r w:rsidRPr="006F1D04">
        <w:rPr>
          <w:rFonts w:ascii="Arial" w:hAnsi="Arial" w:cs="Arial"/>
          <w:vertAlign w:val="superscript"/>
        </w:rPr>
        <w:t>3</w:t>
      </w:r>
      <w:r w:rsidRPr="006F1D04">
        <w:rPr>
          <w:rFonts w:ascii="Arial" w:hAnsi="Arial" w:cs="Arial"/>
        </w:rPr>
        <w:t xml:space="preserve">. Again, the number of exceedances of this value has decreased with time and the trend suggests that it will be exceeded at between around 10% and 20% of sites in the coming years, but beyond 2020 it could be the case that few sites exceed 20 </w:t>
      </w:r>
      <w:proofErr w:type="spellStart"/>
      <w:r w:rsidRPr="006F1D04">
        <w:rPr>
          <w:rFonts w:ascii="Arial" w:hAnsi="Arial" w:cs="Arial"/>
        </w:rPr>
        <w:t>μg</w:t>
      </w:r>
      <w:proofErr w:type="spellEnd"/>
      <w:r w:rsidRPr="006F1D04">
        <w:rPr>
          <w:rFonts w:ascii="Arial" w:hAnsi="Arial" w:cs="Arial"/>
        </w:rPr>
        <w:t>/m</w:t>
      </w:r>
      <w:r w:rsidRPr="006F1D04">
        <w:rPr>
          <w:rFonts w:ascii="Arial" w:hAnsi="Arial" w:cs="Arial"/>
          <w:vertAlign w:val="superscript"/>
        </w:rPr>
        <w:t>3</w:t>
      </w:r>
      <w:r w:rsidRPr="006F1D04">
        <w:rPr>
          <w:rFonts w:ascii="Arial" w:hAnsi="Arial" w:cs="Arial"/>
        </w:rPr>
        <w:t>. This suggests that there is still scope for this sub-option to drive further improvement, but also that there may be a case for lowering the standa</w:t>
      </w:r>
      <w:r w:rsidR="00973D35" w:rsidRPr="006F1D04">
        <w:rPr>
          <w:rFonts w:ascii="Arial" w:hAnsi="Arial" w:cs="Arial"/>
        </w:rPr>
        <w:t>rd within the next 5</w:t>
      </w:r>
      <w:r w:rsidR="00136447" w:rsidRPr="006F1D04">
        <w:rPr>
          <w:rFonts w:ascii="Arial" w:hAnsi="Arial" w:cs="Arial"/>
        </w:rPr>
        <w:t>–</w:t>
      </w:r>
      <w:r w:rsidR="00973D35" w:rsidRPr="006F1D04">
        <w:rPr>
          <w:rFonts w:ascii="Arial" w:hAnsi="Arial" w:cs="Arial"/>
        </w:rPr>
        <w:t>10</w:t>
      </w:r>
      <w:r w:rsidRPr="006F1D04">
        <w:rPr>
          <w:rFonts w:ascii="Arial" w:hAnsi="Arial" w:cs="Arial"/>
        </w:rPr>
        <w:t xml:space="preserve"> years.</w:t>
      </w:r>
    </w:p>
    <w:p w:rsidR="00002D6C" w:rsidRPr="006F1D04" w:rsidRDefault="00002D6C" w:rsidP="00002D6C">
      <w:pPr>
        <w:spacing w:after="360"/>
        <w:rPr>
          <w:rFonts w:ascii="Arial" w:hAnsi="Arial" w:cs="Arial"/>
        </w:rPr>
      </w:pPr>
      <w:r w:rsidRPr="006F1D04">
        <w:rPr>
          <w:rFonts w:ascii="Arial" w:hAnsi="Arial" w:cs="Arial"/>
        </w:rPr>
        <w:t xml:space="preserve">Another feature of the results is the peak in exceedances </w:t>
      </w:r>
      <w:r w:rsidR="003F577F" w:rsidRPr="006F1D04">
        <w:rPr>
          <w:rFonts w:ascii="Arial" w:hAnsi="Arial" w:cs="Arial"/>
        </w:rPr>
        <w:t xml:space="preserve">observed </w:t>
      </w:r>
      <w:r w:rsidRPr="006F1D04">
        <w:rPr>
          <w:rFonts w:ascii="Arial" w:hAnsi="Arial" w:cs="Arial"/>
        </w:rPr>
        <w:t>during t</w:t>
      </w:r>
      <w:r w:rsidR="00331FCA" w:rsidRPr="006F1D04">
        <w:rPr>
          <w:rFonts w:ascii="Arial" w:hAnsi="Arial" w:cs="Arial"/>
        </w:rPr>
        <w:t>he warm, dry year of 2009. M</w:t>
      </w:r>
      <w:r w:rsidRPr="006F1D04">
        <w:rPr>
          <w:rFonts w:ascii="Arial" w:hAnsi="Arial" w:cs="Arial"/>
        </w:rPr>
        <w:t xml:space="preserve">eeting </w:t>
      </w:r>
      <w:r w:rsidR="00AC4EDB" w:rsidRPr="006F1D04">
        <w:rPr>
          <w:rFonts w:ascii="Arial" w:hAnsi="Arial" w:cs="Arial"/>
        </w:rPr>
        <w:t>any air quality standard</w:t>
      </w:r>
      <w:r w:rsidRPr="006F1D04">
        <w:rPr>
          <w:rFonts w:ascii="Arial" w:hAnsi="Arial" w:cs="Arial"/>
        </w:rPr>
        <w:t xml:space="preserve"> </w:t>
      </w:r>
      <w:r w:rsidR="00AC4EDB" w:rsidRPr="006F1D04">
        <w:rPr>
          <w:rFonts w:ascii="Arial" w:hAnsi="Arial" w:cs="Arial"/>
        </w:rPr>
        <w:t xml:space="preserve">based on more representative data </w:t>
      </w:r>
      <w:r w:rsidRPr="006F1D04">
        <w:rPr>
          <w:rFonts w:ascii="Arial" w:hAnsi="Arial" w:cs="Arial"/>
        </w:rPr>
        <w:t xml:space="preserve">would clearly be a challenge under such circumstances. The low concentrations in the </w:t>
      </w:r>
      <w:r w:rsidRPr="006F1D04">
        <w:rPr>
          <w:rFonts w:ascii="Arial" w:hAnsi="Arial" w:cs="Arial"/>
          <w:i/>
        </w:rPr>
        <w:t>La Niña</w:t>
      </w:r>
      <w:r w:rsidRPr="006F1D04">
        <w:rPr>
          <w:rFonts w:ascii="Arial" w:hAnsi="Arial" w:cs="Arial"/>
        </w:rPr>
        <w:t xml:space="preserve"> years of 2010 and 2011 are also apparent. The increase in exceedances in 2012 is due in part to the inclusion of new monitoring sites in the Hunter Valley region of NSW, where annual mean PM</w:t>
      </w:r>
      <w:r w:rsidRPr="006F1D04">
        <w:rPr>
          <w:rFonts w:ascii="Arial" w:hAnsi="Arial" w:cs="Arial"/>
          <w:vertAlign w:val="subscript"/>
        </w:rPr>
        <w:t>10</w:t>
      </w:r>
      <w:r w:rsidRPr="006F1D04">
        <w:rPr>
          <w:rFonts w:ascii="Arial" w:hAnsi="Arial" w:cs="Arial"/>
        </w:rPr>
        <w:t xml:space="preserve"> concentrations are generally above 20</w:t>
      </w:r>
      <w:r w:rsidR="00CE3683" w:rsidRPr="006F1D04">
        <w:rPr>
          <w:rFonts w:ascii="Arial" w:hAnsi="Arial" w:cs="Arial"/>
        </w:rPr>
        <w:t> </w:t>
      </w:r>
      <w:proofErr w:type="spellStart"/>
      <w:r w:rsidRPr="006F1D04">
        <w:rPr>
          <w:rFonts w:ascii="Arial" w:hAnsi="Arial" w:cs="Arial"/>
        </w:rPr>
        <w:t>μg</w:t>
      </w:r>
      <w:proofErr w:type="spellEnd"/>
      <w:r w:rsidRPr="006F1D04">
        <w:rPr>
          <w:rFonts w:ascii="Arial" w:hAnsi="Arial" w:cs="Arial"/>
        </w:rPr>
        <w:t>/m</w:t>
      </w:r>
      <w:r w:rsidRPr="006F1D04">
        <w:rPr>
          <w:rFonts w:ascii="Arial" w:hAnsi="Arial" w:cs="Arial"/>
          <w:vertAlign w:val="superscript"/>
        </w:rPr>
        <w:t>3</w:t>
      </w:r>
      <w:r w:rsidR="003F577F" w:rsidRPr="006F1D04">
        <w:rPr>
          <w:rFonts w:ascii="Arial" w:hAnsi="Arial" w:cs="Arial"/>
          <w:vertAlign w:val="superscript"/>
        </w:rPr>
        <w:t xml:space="preserve"> </w:t>
      </w:r>
      <w:r w:rsidR="003F577F" w:rsidRPr="006F1D04">
        <w:rPr>
          <w:rFonts w:ascii="Arial" w:hAnsi="Arial" w:cs="Arial"/>
        </w:rPr>
        <w:t xml:space="preserve">(see </w:t>
      </w:r>
      <w:r w:rsidR="003F577F" w:rsidRPr="006F1D04">
        <w:rPr>
          <w:rFonts w:ascii="Arial" w:hAnsi="Arial" w:cs="Arial"/>
          <w:b/>
        </w:rPr>
        <w:t>Appendix E</w:t>
      </w:r>
      <w:r w:rsidR="003F577F" w:rsidRPr="006F1D04">
        <w:rPr>
          <w:rFonts w:ascii="Arial" w:hAnsi="Arial" w:cs="Arial"/>
        </w:rPr>
        <w:t>).</w:t>
      </w:r>
      <w:r w:rsidR="004B4989" w:rsidRPr="006F1D04">
        <w:rPr>
          <w:rFonts w:ascii="Arial" w:hAnsi="Arial" w:cs="Arial"/>
        </w:rPr>
        <w:t xml:space="preserve"> </w:t>
      </w:r>
    </w:p>
    <w:p w:rsidR="00713F9F" w:rsidRPr="006F1D04" w:rsidRDefault="00713F9F" w:rsidP="00454FFD">
      <w:pPr>
        <w:pStyle w:val="Heading3"/>
        <w:spacing w:before="0"/>
        <w:rPr>
          <w:rFonts w:ascii="Arial" w:hAnsi="Arial"/>
        </w:rPr>
      </w:pPr>
      <w:bookmarkStart w:id="153" w:name="_Toc394011140"/>
      <w:r w:rsidRPr="006F1D04">
        <w:rPr>
          <w:rFonts w:ascii="Arial" w:hAnsi="Arial"/>
        </w:rPr>
        <w:t>PM</w:t>
      </w:r>
      <w:r w:rsidRPr="006F1D04">
        <w:rPr>
          <w:rFonts w:ascii="Arial" w:hAnsi="Arial"/>
          <w:vertAlign w:val="subscript"/>
        </w:rPr>
        <w:t>10</w:t>
      </w:r>
      <w:r w:rsidRPr="006F1D04">
        <w:rPr>
          <w:rFonts w:ascii="Arial" w:hAnsi="Arial"/>
        </w:rPr>
        <w:t xml:space="preserve"> 24-hour mean</w:t>
      </w:r>
      <w:r w:rsidR="003A4476" w:rsidRPr="006F1D04">
        <w:rPr>
          <w:rFonts w:ascii="Arial" w:hAnsi="Arial"/>
        </w:rPr>
        <w:t xml:space="preserve"> standard</w:t>
      </w:r>
      <w:bookmarkEnd w:id="153"/>
    </w:p>
    <w:p w:rsidR="005E4C36" w:rsidRPr="006F1D04" w:rsidRDefault="005E663A" w:rsidP="005E4C36">
      <w:pPr>
        <w:spacing w:after="200"/>
        <w:rPr>
          <w:rFonts w:ascii="Arial" w:hAnsi="Arial" w:cs="Arial"/>
        </w:rPr>
      </w:pPr>
      <w:r w:rsidRPr="006F1D04">
        <w:rPr>
          <w:rFonts w:ascii="Arial" w:hAnsi="Arial" w:cs="Arial"/>
        </w:rPr>
        <w:t>The sub-options relating to the standards for the 24-hour mean PM</w:t>
      </w:r>
      <w:r w:rsidRPr="006F1D04">
        <w:rPr>
          <w:rFonts w:ascii="Arial" w:hAnsi="Arial" w:cs="Arial"/>
          <w:vertAlign w:val="subscript"/>
        </w:rPr>
        <w:t>10</w:t>
      </w:r>
      <w:r w:rsidRPr="006F1D04">
        <w:rPr>
          <w:rFonts w:ascii="Arial" w:hAnsi="Arial" w:cs="Arial"/>
        </w:rPr>
        <w:t xml:space="preserve"> concentration were treated slightly differently</w:t>
      </w:r>
      <w:r w:rsidR="00AC4EDB" w:rsidRPr="006F1D04">
        <w:rPr>
          <w:rFonts w:ascii="Arial" w:hAnsi="Arial" w:cs="Arial"/>
        </w:rPr>
        <w:t xml:space="preserve"> to those for the annual mean</w:t>
      </w:r>
      <w:r w:rsidRPr="006F1D04">
        <w:rPr>
          <w:rFonts w:ascii="Arial" w:hAnsi="Arial" w:cs="Arial"/>
        </w:rPr>
        <w:t>. There is a large amount of temporal variability (changes over time at a site) and spatial variability (differences between sites) in terms of exceedances of the 24-hour standard. The metric used here to gauge the achievability of the different sub-options was the average number of exceeda</w:t>
      </w:r>
      <w:r w:rsidR="005E4C36" w:rsidRPr="006F1D04">
        <w:rPr>
          <w:rFonts w:ascii="Arial" w:hAnsi="Arial" w:cs="Arial"/>
        </w:rPr>
        <w:t>nce days per year and per site.</w:t>
      </w:r>
    </w:p>
    <w:p w:rsidR="00583B8B" w:rsidRPr="006F1D04" w:rsidRDefault="00331FCA" w:rsidP="00847485">
      <w:pPr>
        <w:spacing w:after="320"/>
        <w:rPr>
          <w:rFonts w:ascii="Arial" w:hAnsi="Arial" w:cs="Arial"/>
          <w:spacing w:val="-2"/>
        </w:rPr>
      </w:pPr>
      <w:r w:rsidRPr="006F1D04">
        <w:rPr>
          <w:rFonts w:ascii="Arial" w:hAnsi="Arial" w:cs="Arial"/>
          <w:spacing w:val="-2"/>
        </w:rPr>
        <w:t xml:space="preserve">The results are shown in </w:t>
      </w:r>
      <w:fldSimple w:instr=" REF _Ref367434234 \h  \* MERGEFORMAT ">
        <w:r w:rsidR="0085182E" w:rsidRPr="0085182E">
          <w:rPr>
            <w:rFonts w:ascii="Arial" w:hAnsi="Arial" w:cs="Arial"/>
            <w:b/>
            <w:spacing w:val="-2"/>
          </w:rPr>
          <w:t>Figure 8.2</w:t>
        </w:r>
      </w:fldSimple>
      <w:r w:rsidRPr="006F1D04">
        <w:rPr>
          <w:rFonts w:ascii="Arial" w:hAnsi="Arial" w:cs="Arial"/>
          <w:spacing w:val="-2"/>
        </w:rPr>
        <w:t xml:space="preserve">. </w:t>
      </w:r>
      <w:r w:rsidR="005E663A" w:rsidRPr="006F1D04">
        <w:rPr>
          <w:rFonts w:ascii="Arial" w:hAnsi="Arial" w:cs="Arial"/>
          <w:spacing w:val="-2"/>
        </w:rPr>
        <w:t xml:space="preserve">The original goal of the Air </w:t>
      </w:r>
      <w:r w:rsidR="00EF24F8" w:rsidRPr="006F1D04">
        <w:rPr>
          <w:rFonts w:ascii="Arial" w:hAnsi="Arial" w:cs="Arial"/>
          <w:spacing w:val="-2"/>
        </w:rPr>
        <w:t>AAQ NEPM</w:t>
      </w:r>
      <w:r w:rsidR="005E663A" w:rsidRPr="006F1D04">
        <w:rPr>
          <w:rFonts w:ascii="Arial" w:hAnsi="Arial" w:cs="Arial"/>
          <w:spacing w:val="-2"/>
        </w:rPr>
        <w:t xml:space="preserve"> (to be achieved by 2008) involved a target of no more than five exceedances of the 50 </w:t>
      </w:r>
      <w:proofErr w:type="spellStart"/>
      <w:r w:rsidR="005E663A" w:rsidRPr="006F1D04">
        <w:rPr>
          <w:rFonts w:ascii="Arial" w:hAnsi="Arial" w:cs="Arial"/>
          <w:spacing w:val="-2"/>
        </w:rPr>
        <w:t>μg</w:t>
      </w:r>
      <w:proofErr w:type="spellEnd"/>
      <w:r w:rsidR="005E663A" w:rsidRPr="006F1D04">
        <w:rPr>
          <w:rFonts w:ascii="Arial" w:hAnsi="Arial" w:cs="Arial"/>
          <w:spacing w:val="-2"/>
        </w:rPr>
        <w:t>/m</w:t>
      </w:r>
      <w:r w:rsidR="005E663A" w:rsidRPr="006F1D04">
        <w:rPr>
          <w:rFonts w:ascii="Arial" w:hAnsi="Arial" w:cs="Arial"/>
          <w:spacing w:val="-2"/>
          <w:vertAlign w:val="superscript"/>
        </w:rPr>
        <w:t>3</w:t>
      </w:r>
      <w:r w:rsidR="005E663A" w:rsidRPr="006F1D04">
        <w:rPr>
          <w:rFonts w:ascii="Arial" w:hAnsi="Arial" w:cs="Arial"/>
          <w:spacing w:val="-2"/>
        </w:rPr>
        <w:t xml:space="preserve"> standard per year.</w:t>
      </w:r>
      <w:r w:rsidR="005E4C36" w:rsidRPr="006F1D04">
        <w:rPr>
          <w:rFonts w:ascii="Arial" w:hAnsi="Arial" w:cs="Arial"/>
          <w:spacing w:val="-2"/>
        </w:rPr>
        <w:t xml:space="preserve"> </w:t>
      </w:r>
      <w:r w:rsidR="00084486" w:rsidRPr="006F1D04">
        <w:rPr>
          <w:rFonts w:ascii="Arial" w:hAnsi="Arial" w:cs="Arial"/>
          <w:spacing w:val="-2"/>
        </w:rPr>
        <w:t xml:space="preserve">It can be seen that, on average across Australia, </w:t>
      </w:r>
      <w:r w:rsidR="0087080F" w:rsidRPr="006F1D04">
        <w:rPr>
          <w:rFonts w:ascii="Arial" w:hAnsi="Arial" w:cs="Arial"/>
          <w:spacing w:val="-2"/>
        </w:rPr>
        <w:t xml:space="preserve">the </w:t>
      </w:r>
      <w:r w:rsidRPr="006F1D04">
        <w:rPr>
          <w:rFonts w:ascii="Arial" w:hAnsi="Arial" w:cs="Arial"/>
          <w:spacing w:val="-2"/>
        </w:rPr>
        <w:t xml:space="preserve">current </w:t>
      </w:r>
      <w:r w:rsidR="008449A5" w:rsidRPr="006F1D04">
        <w:rPr>
          <w:rFonts w:ascii="Arial" w:hAnsi="Arial" w:cs="Arial"/>
          <w:spacing w:val="-2"/>
        </w:rPr>
        <w:t>standard</w:t>
      </w:r>
      <w:r w:rsidR="0087080F" w:rsidRPr="006F1D04">
        <w:rPr>
          <w:rFonts w:ascii="Arial" w:hAnsi="Arial" w:cs="Arial"/>
          <w:spacing w:val="-2"/>
        </w:rPr>
        <w:t xml:space="preserve"> </w:t>
      </w:r>
      <w:r w:rsidR="00D66FFC" w:rsidRPr="006F1D04">
        <w:rPr>
          <w:rFonts w:ascii="Arial" w:hAnsi="Arial" w:cs="Arial"/>
          <w:spacing w:val="-2"/>
        </w:rPr>
        <w:t xml:space="preserve">of 50 </w:t>
      </w:r>
      <w:proofErr w:type="spellStart"/>
      <w:r w:rsidR="00D66FFC" w:rsidRPr="006F1D04">
        <w:rPr>
          <w:rFonts w:ascii="Arial" w:hAnsi="Arial" w:cs="Arial"/>
          <w:spacing w:val="-2"/>
        </w:rPr>
        <w:t>μg</w:t>
      </w:r>
      <w:proofErr w:type="spellEnd"/>
      <w:r w:rsidR="00D66FFC" w:rsidRPr="006F1D04">
        <w:rPr>
          <w:rFonts w:ascii="Arial" w:hAnsi="Arial" w:cs="Arial"/>
          <w:spacing w:val="-2"/>
        </w:rPr>
        <w:t>/m</w:t>
      </w:r>
      <w:r w:rsidR="00D66FFC" w:rsidRPr="006F1D04">
        <w:rPr>
          <w:rFonts w:ascii="Arial" w:hAnsi="Arial" w:cs="Arial"/>
          <w:spacing w:val="-2"/>
          <w:vertAlign w:val="superscript"/>
        </w:rPr>
        <w:t>3</w:t>
      </w:r>
      <w:r w:rsidR="0087080F" w:rsidRPr="006F1D04">
        <w:rPr>
          <w:rFonts w:ascii="Arial" w:hAnsi="Arial" w:cs="Arial"/>
          <w:spacing w:val="-2"/>
        </w:rPr>
        <w:t xml:space="preserve"> (with </w:t>
      </w:r>
      <w:r w:rsidR="00136447" w:rsidRPr="006F1D04">
        <w:rPr>
          <w:rFonts w:ascii="Arial" w:hAnsi="Arial" w:cs="Arial"/>
          <w:spacing w:val="-2"/>
        </w:rPr>
        <w:t>five</w:t>
      </w:r>
      <w:r w:rsidR="0087080F" w:rsidRPr="006F1D04">
        <w:rPr>
          <w:rFonts w:ascii="Arial" w:hAnsi="Arial" w:cs="Arial"/>
          <w:spacing w:val="-2"/>
        </w:rPr>
        <w:t xml:space="preserve"> allowed exceedance days) is being achieved.</w:t>
      </w:r>
      <w:r w:rsidR="008449A5" w:rsidRPr="006F1D04">
        <w:rPr>
          <w:rFonts w:ascii="Arial" w:hAnsi="Arial" w:cs="Arial"/>
          <w:spacing w:val="-2"/>
        </w:rPr>
        <w:t xml:space="preserve"> Of course, this masks a great deal of temporal and</w:t>
      </w:r>
      <w:r w:rsidR="0087080F" w:rsidRPr="006F1D04">
        <w:rPr>
          <w:rFonts w:ascii="Arial" w:hAnsi="Arial" w:cs="Arial"/>
          <w:spacing w:val="-2"/>
        </w:rPr>
        <w:t xml:space="preserve"> spatial variation in exceedances</w:t>
      </w:r>
      <w:r w:rsidR="008449A5" w:rsidRPr="006F1D04">
        <w:rPr>
          <w:rFonts w:ascii="Arial" w:hAnsi="Arial" w:cs="Arial"/>
          <w:spacing w:val="-2"/>
        </w:rPr>
        <w:t>, and some locations are more problematic than others.</w:t>
      </w:r>
      <w:r w:rsidR="00870176" w:rsidRPr="006F1D04">
        <w:rPr>
          <w:rFonts w:ascii="Arial" w:hAnsi="Arial" w:cs="Arial"/>
          <w:spacing w:val="-2"/>
        </w:rPr>
        <w:t xml:space="preserve"> Notwithstanding the fact that 2009 was associated with exceptionally high PM</w:t>
      </w:r>
      <w:r w:rsidR="009C7BE6" w:rsidRPr="006F1D04">
        <w:rPr>
          <w:rFonts w:ascii="Arial" w:hAnsi="Arial" w:cs="Arial"/>
          <w:spacing w:val="-2"/>
        </w:rPr>
        <w:t xml:space="preserve"> concentrations across all sites</w:t>
      </w:r>
      <w:r w:rsidR="00FD3584" w:rsidRPr="006F1D04">
        <w:rPr>
          <w:rFonts w:ascii="Arial" w:hAnsi="Arial" w:cs="Arial"/>
          <w:spacing w:val="-2"/>
        </w:rPr>
        <w:t>, excee</w:t>
      </w:r>
      <w:r w:rsidR="009C7BE6" w:rsidRPr="006F1D04">
        <w:rPr>
          <w:rFonts w:ascii="Arial" w:hAnsi="Arial" w:cs="Arial"/>
          <w:spacing w:val="-2"/>
        </w:rPr>
        <w:t xml:space="preserve">dances are </w:t>
      </w:r>
      <w:r w:rsidR="00FD3584" w:rsidRPr="006F1D04">
        <w:rPr>
          <w:rFonts w:ascii="Arial" w:hAnsi="Arial" w:cs="Arial"/>
          <w:spacing w:val="-2"/>
        </w:rPr>
        <w:t>more common (more than 20 per year) in the Upper Hunter Valley (again, this explains in part the increase in 2012), regional NSW (notably Wagga Wagga) and Whyalla i</w:t>
      </w:r>
      <w:r w:rsidR="00CB6A70" w:rsidRPr="006F1D04">
        <w:rPr>
          <w:rFonts w:ascii="Arial" w:hAnsi="Arial" w:cs="Arial"/>
          <w:spacing w:val="-2"/>
        </w:rPr>
        <w:t xml:space="preserve">n SA. Launceston used to have </w:t>
      </w:r>
      <w:r w:rsidR="00FD3584" w:rsidRPr="006F1D04">
        <w:rPr>
          <w:rFonts w:ascii="Arial" w:hAnsi="Arial" w:cs="Arial"/>
          <w:spacing w:val="-2"/>
        </w:rPr>
        <w:t xml:space="preserve">relatively high numbers of exceedances, but </w:t>
      </w:r>
      <w:r w:rsidR="009C7BE6" w:rsidRPr="006F1D04">
        <w:rPr>
          <w:rFonts w:ascii="Arial" w:hAnsi="Arial" w:cs="Arial"/>
          <w:spacing w:val="-2"/>
        </w:rPr>
        <w:t xml:space="preserve">has had </w:t>
      </w:r>
      <w:r w:rsidR="00FD3584" w:rsidRPr="006F1D04">
        <w:rPr>
          <w:rFonts w:ascii="Arial" w:hAnsi="Arial" w:cs="Arial"/>
          <w:spacing w:val="-2"/>
        </w:rPr>
        <w:t>far fewer in recent years. The Palmerston site in Darwin also had more than 20 exceedances in 2012</w:t>
      </w:r>
      <w:r w:rsidR="00583B8B" w:rsidRPr="006F1D04">
        <w:rPr>
          <w:rFonts w:ascii="Arial" w:hAnsi="Arial" w:cs="Arial"/>
          <w:spacing w:val="-2"/>
        </w:rPr>
        <w:t xml:space="preserve">. Further information on exceedances is provided in </w:t>
      </w:r>
      <w:r w:rsidR="00583B8B" w:rsidRPr="006F1D04">
        <w:rPr>
          <w:rFonts w:ascii="Arial" w:hAnsi="Arial" w:cs="Arial"/>
          <w:b/>
          <w:spacing w:val="-2"/>
        </w:rPr>
        <w:t>Appendix</w:t>
      </w:r>
      <w:r w:rsidR="00136447" w:rsidRPr="006F1D04">
        <w:rPr>
          <w:rFonts w:ascii="Arial" w:hAnsi="Arial" w:cs="Arial"/>
          <w:b/>
          <w:spacing w:val="-2"/>
        </w:rPr>
        <w:t> </w:t>
      </w:r>
      <w:r w:rsidR="00583B8B" w:rsidRPr="006F1D04">
        <w:rPr>
          <w:rFonts w:ascii="Arial" w:hAnsi="Arial" w:cs="Arial"/>
          <w:b/>
          <w:spacing w:val="-2"/>
        </w:rPr>
        <w:t>E</w:t>
      </w:r>
      <w:r w:rsidR="00FD3584" w:rsidRPr="006F1D04">
        <w:rPr>
          <w:rFonts w:ascii="Arial" w:hAnsi="Arial" w:cs="Arial"/>
          <w:spacing w:val="-2"/>
        </w:rPr>
        <w:t>.</w:t>
      </w:r>
    </w:p>
    <w:p w:rsidR="007F0C28" w:rsidRPr="006F1D04" w:rsidRDefault="00583B8B" w:rsidP="00454FFD">
      <w:pPr>
        <w:spacing w:after="120" w:line="240" w:lineRule="auto"/>
        <w:jc w:val="center"/>
        <w:rPr>
          <w:rFonts w:ascii="Arial" w:hAnsi="Arial" w:cs="Arial"/>
        </w:rPr>
      </w:pPr>
      <w:r w:rsidRPr="006F1D04">
        <w:rPr>
          <w:rFonts w:ascii="Arial" w:hAnsi="Arial" w:cs="Arial"/>
        </w:rPr>
        <w:lastRenderedPageBreak/>
        <w:t xml:space="preserve"> </w:t>
      </w:r>
      <w:r w:rsidR="006D7F17" w:rsidRPr="006F1D04">
        <w:rPr>
          <w:rFonts w:ascii="Arial" w:hAnsi="Arial" w:cs="Arial"/>
          <w:noProof/>
        </w:rPr>
        <w:drawing>
          <wp:inline distT="0" distB="0" distL="0" distR="0">
            <wp:extent cx="4317365" cy="2440940"/>
            <wp:effectExtent l="19050" t="19050" r="26035" b="1651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7365" cy="2440940"/>
                    </a:xfrm>
                    <a:prstGeom prst="rect">
                      <a:avLst/>
                    </a:prstGeom>
                    <a:noFill/>
                    <a:ln w="6350" cmpd="sng">
                      <a:solidFill>
                        <a:srgbClr val="0070C0"/>
                      </a:solidFill>
                      <a:miter lim="800000"/>
                      <a:headEnd/>
                      <a:tailEnd/>
                    </a:ln>
                    <a:effectLst/>
                  </pic:spPr>
                </pic:pic>
              </a:graphicData>
            </a:graphic>
          </wp:inline>
        </w:drawing>
      </w:r>
    </w:p>
    <w:p w:rsidR="006338C4" w:rsidRPr="006F1D04" w:rsidRDefault="006338C4" w:rsidP="00454FFD">
      <w:pPr>
        <w:pStyle w:val="Caption"/>
        <w:spacing w:after="0"/>
        <w:ind w:left="1418" w:right="1372"/>
        <w:rPr>
          <w:rFonts w:ascii="Arial" w:hAnsi="Arial" w:cs="Arial"/>
        </w:rPr>
      </w:pPr>
      <w:bookmarkStart w:id="154" w:name="_Ref367434234"/>
      <w:r w:rsidRPr="006F1D04">
        <w:rPr>
          <w:rFonts w:ascii="Arial" w:hAnsi="Arial" w:cs="Arial"/>
        </w:rPr>
        <w:t xml:space="preserve">Figure </w:t>
      </w:r>
      <w:r w:rsidR="00BF6019" w:rsidRPr="006F1D04">
        <w:rPr>
          <w:rFonts w:ascii="Arial" w:hAnsi="Arial" w:cs="Arial"/>
        </w:rPr>
        <w:fldChar w:fldCharType="begin"/>
      </w:r>
      <w:r w:rsidRPr="006F1D04">
        <w:rPr>
          <w:rFonts w:ascii="Arial" w:hAnsi="Arial" w:cs="Arial"/>
        </w:rPr>
        <w:instrText xml:space="preserve"> STYLEREF 1 \s </w:instrText>
      </w:r>
      <w:r w:rsidR="00BF6019" w:rsidRPr="006F1D04">
        <w:rPr>
          <w:rFonts w:ascii="Arial" w:hAnsi="Arial" w:cs="Arial"/>
        </w:rPr>
        <w:fldChar w:fldCharType="separate"/>
      </w:r>
      <w:r w:rsidR="0085182E">
        <w:rPr>
          <w:rFonts w:ascii="Arial" w:hAnsi="Arial" w:cs="Arial"/>
          <w:noProof/>
        </w:rPr>
        <w:t>8</w:t>
      </w:r>
      <w:r w:rsidR="00BF6019" w:rsidRPr="006F1D04">
        <w:rPr>
          <w:rFonts w:ascii="Arial" w:hAnsi="Arial" w:cs="Arial"/>
        </w:rPr>
        <w:fldChar w:fldCharType="end"/>
      </w:r>
      <w:r w:rsidRPr="006F1D04">
        <w:rPr>
          <w:rFonts w:ascii="Arial" w:hAnsi="Arial" w:cs="Arial"/>
        </w:rPr>
        <w:t>.</w:t>
      </w:r>
      <w:r w:rsidR="00BF6019" w:rsidRPr="006F1D04">
        <w:rPr>
          <w:rFonts w:ascii="Arial" w:hAnsi="Arial" w:cs="Arial"/>
        </w:rPr>
        <w:fldChar w:fldCharType="begin"/>
      </w:r>
      <w:r w:rsidRPr="006F1D04">
        <w:rPr>
          <w:rFonts w:ascii="Arial" w:hAnsi="Arial" w:cs="Arial"/>
        </w:rPr>
        <w:instrText xml:space="preserve"> SEQ Figure \* ARABIC \s 1 </w:instrText>
      </w:r>
      <w:r w:rsidR="00BF6019" w:rsidRPr="006F1D04">
        <w:rPr>
          <w:rFonts w:ascii="Arial" w:hAnsi="Arial" w:cs="Arial"/>
        </w:rPr>
        <w:fldChar w:fldCharType="separate"/>
      </w:r>
      <w:r w:rsidR="0085182E">
        <w:rPr>
          <w:rFonts w:ascii="Arial" w:hAnsi="Arial" w:cs="Arial"/>
          <w:noProof/>
        </w:rPr>
        <w:t>2</w:t>
      </w:r>
      <w:r w:rsidR="00BF6019" w:rsidRPr="006F1D04">
        <w:rPr>
          <w:rFonts w:ascii="Arial" w:hAnsi="Arial" w:cs="Arial"/>
        </w:rPr>
        <w:fldChar w:fldCharType="end"/>
      </w:r>
      <w:bookmarkEnd w:id="154"/>
      <w:r w:rsidRPr="006F1D04">
        <w:rPr>
          <w:rFonts w:ascii="Arial" w:hAnsi="Arial" w:cs="Arial"/>
        </w:rPr>
        <w:t xml:space="preserve">: Average number of days per site per year </w:t>
      </w:r>
      <w:r w:rsidR="00CC1995" w:rsidRPr="006F1D04">
        <w:rPr>
          <w:rFonts w:ascii="Arial" w:hAnsi="Arial" w:cs="Arial"/>
        </w:rPr>
        <w:t>with 24-hour</w:t>
      </w:r>
      <w:r w:rsidRPr="006F1D04">
        <w:rPr>
          <w:rFonts w:ascii="Arial" w:hAnsi="Arial" w:cs="Arial"/>
        </w:rPr>
        <w:t xml:space="preserve"> mean PM</w:t>
      </w:r>
      <w:r w:rsidR="00CC1995" w:rsidRPr="006F1D04">
        <w:rPr>
          <w:rFonts w:ascii="Arial" w:hAnsi="Arial" w:cs="Arial"/>
          <w:vertAlign w:val="subscript"/>
        </w:rPr>
        <w:t>10</w:t>
      </w:r>
      <w:r w:rsidRPr="006F1D04">
        <w:rPr>
          <w:rFonts w:ascii="Arial" w:hAnsi="Arial" w:cs="Arial"/>
        </w:rPr>
        <w:t xml:space="preserve"> conc</w:t>
      </w:r>
      <w:r w:rsidR="00CC1995" w:rsidRPr="006F1D04">
        <w:rPr>
          <w:rFonts w:ascii="Arial" w:hAnsi="Arial" w:cs="Arial"/>
        </w:rPr>
        <w:t>entration above standard</w:t>
      </w:r>
    </w:p>
    <w:p w:rsidR="00FD3584" w:rsidRPr="006F1D04" w:rsidRDefault="00FD3584" w:rsidP="00847485">
      <w:pPr>
        <w:spacing w:after="0"/>
        <w:rPr>
          <w:rFonts w:ascii="Arial" w:hAnsi="Arial" w:cs="Arial"/>
        </w:rPr>
      </w:pPr>
    </w:p>
    <w:p w:rsidR="00FD3584" w:rsidRPr="006F1D04" w:rsidRDefault="00AC4EDB" w:rsidP="00847485">
      <w:pPr>
        <w:spacing w:after="160"/>
        <w:rPr>
          <w:rFonts w:ascii="Arial" w:hAnsi="Arial" w:cs="Arial"/>
        </w:rPr>
      </w:pPr>
      <w:r w:rsidRPr="006F1D04">
        <w:rPr>
          <w:rFonts w:ascii="Arial" w:hAnsi="Arial" w:cs="Arial"/>
        </w:rPr>
        <w:t>The data therefore suggest</w:t>
      </w:r>
      <w:r w:rsidR="00FD3584" w:rsidRPr="006F1D04">
        <w:rPr>
          <w:rFonts w:ascii="Arial" w:hAnsi="Arial" w:cs="Arial"/>
        </w:rPr>
        <w:t xml:space="preserve"> that a tightening of the 24-hour standard for PM</w:t>
      </w:r>
      <w:r w:rsidR="00FD3584" w:rsidRPr="006F1D04">
        <w:rPr>
          <w:rFonts w:ascii="Arial" w:hAnsi="Arial" w:cs="Arial"/>
          <w:vertAlign w:val="subscript"/>
        </w:rPr>
        <w:t>10</w:t>
      </w:r>
      <w:r w:rsidR="00F22582" w:rsidRPr="006F1D04">
        <w:rPr>
          <w:rFonts w:ascii="Arial" w:hAnsi="Arial" w:cs="Arial"/>
        </w:rPr>
        <w:t xml:space="preserve"> could </w:t>
      </w:r>
      <w:r w:rsidR="00FD3584" w:rsidRPr="006F1D04">
        <w:rPr>
          <w:rFonts w:ascii="Arial" w:hAnsi="Arial" w:cs="Arial"/>
        </w:rPr>
        <w:t>encourage future im</w:t>
      </w:r>
      <w:r w:rsidR="0029278F" w:rsidRPr="006F1D04">
        <w:rPr>
          <w:rFonts w:ascii="Arial" w:hAnsi="Arial" w:cs="Arial"/>
        </w:rPr>
        <w:t>provements in air quality. The sub-o</w:t>
      </w:r>
      <w:r w:rsidR="00FD3584" w:rsidRPr="006F1D04">
        <w:rPr>
          <w:rFonts w:ascii="Arial" w:hAnsi="Arial" w:cs="Arial"/>
        </w:rPr>
        <w:t xml:space="preserve">ption of 30 </w:t>
      </w:r>
      <w:proofErr w:type="spellStart"/>
      <w:r w:rsidR="00FD3584" w:rsidRPr="006F1D04">
        <w:rPr>
          <w:rFonts w:ascii="Arial" w:hAnsi="Arial" w:cs="Arial"/>
        </w:rPr>
        <w:t>μg</w:t>
      </w:r>
      <w:proofErr w:type="spellEnd"/>
      <w:r w:rsidR="00FD3584" w:rsidRPr="006F1D04">
        <w:rPr>
          <w:rFonts w:ascii="Arial" w:hAnsi="Arial" w:cs="Arial"/>
        </w:rPr>
        <w:t>/m</w:t>
      </w:r>
      <w:r w:rsidR="00FD3584" w:rsidRPr="006F1D04">
        <w:rPr>
          <w:rFonts w:ascii="Arial" w:hAnsi="Arial" w:cs="Arial"/>
          <w:vertAlign w:val="superscript"/>
        </w:rPr>
        <w:t>3</w:t>
      </w:r>
      <w:r w:rsidR="00FD3584" w:rsidRPr="006F1D04">
        <w:rPr>
          <w:rFonts w:ascii="Arial" w:hAnsi="Arial" w:cs="Arial"/>
        </w:rPr>
        <w:t xml:space="preserve"> appears to be unrealistic</w:t>
      </w:r>
      <w:r w:rsidR="001B160A" w:rsidRPr="006F1D04">
        <w:rPr>
          <w:rFonts w:ascii="Arial" w:hAnsi="Arial" w:cs="Arial"/>
        </w:rPr>
        <w:t xml:space="preserve"> in the near</w:t>
      </w:r>
      <w:r w:rsidR="00136447" w:rsidRPr="006F1D04">
        <w:rPr>
          <w:rFonts w:ascii="Arial" w:hAnsi="Arial" w:cs="Arial"/>
        </w:rPr>
        <w:t xml:space="preserve"> </w:t>
      </w:r>
      <w:r w:rsidR="001B160A" w:rsidRPr="006F1D04">
        <w:rPr>
          <w:rFonts w:ascii="Arial" w:hAnsi="Arial" w:cs="Arial"/>
        </w:rPr>
        <w:t>term (assuming that the data for 2009</w:t>
      </w:r>
      <w:r w:rsidR="00136447" w:rsidRPr="006F1D04">
        <w:rPr>
          <w:rFonts w:ascii="Arial" w:hAnsi="Arial" w:cs="Arial"/>
        </w:rPr>
        <w:t>–</w:t>
      </w:r>
      <w:r w:rsidR="001B160A" w:rsidRPr="006F1D04">
        <w:rPr>
          <w:rFonts w:ascii="Arial" w:hAnsi="Arial" w:cs="Arial"/>
        </w:rPr>
        <w:t>2011 are anomalous)</w:t>
      </w:r>
      <w:r w:rsidR="00FD3584" w:rsidRPr="006F1D04">
        <w:rPr>
          <w:rFonts w:ascii="Arial" w:hAnsi="Arial" w:cs="Arial"/>
        </w:rPr>
        <w:t xml:space="preserve">, and so a change to a standard of 40 </w:t>
      </w:r>
      <w:proofErr w:type="spellStart"/>
      <w:r w:rsidR="00FD3584" w:rsidRPr="006F1D04">
        <w:rPr>
          <w:rFonts w:ascii="Arial" w:hAnsi="Arial" w:cs="Arial"/>
        </w:rPr>
        <w:t>μg</w:t>
      </w:r>
      <w:proofErr w:type="spellEnd"/>
      <w:r w:rsidR="00FD3584" w:rsidRPr="006F1D04">
        <w:rPr>
          <w:rFonts w:ascii="Arial" w:hAnsi="Arial" w:cs="Arial"/>
        </w:rPr>
        <w:t>/m</w:t>
      </w:r>
      <w:r w:rsidR="00FD3584" w:rsidRPr="006F1D04">
        <w:rPr>
          <w:rFonts w:ascii="Arial" w:hAnsi="Arial" w:cs="Arial"/>
          <w:vertAlign w:val="superscript"/>
        </w:rPr>
        <w:t>3</w:t>
      </w:r>
      <w:r w:rsidR="00FD3584" w:rsidRPr="006F1D04">
        <w:rPr>
          <w:rFonts w:ascii="Arial" w:hAnsi="Arial" w:cs="Arial"/>
        </w:rPr>
        <w:t xml:space="preserve"> would represent a more logical step.</w:t>
      </w:r>
      <w:r w:rsidR="001B160A" w:rsidRPr="006F1D04">
        <w:rPr>
          <w:rFonts w:ascii="Arial" w:hAnsi="Arial" w:cs="Arial"/>
        </w:rPr>
        <w:t xml:space="preserve"> However, it would be advisable to retain the 50</w:t>
      </w:r>
      <w:r w:rsidR="00C57FBE" w:rsidRPr="006F1D04">
        <w:rPr>
          <w:rFonts w:ascii="Arial" w:hAnsi="Arial" w:cs="Arial"/>
        </w:rPr>
        <w:t> </w:t>
      </w:r>
      <w:proofErr w:type="spellStart"/>
      <w:r w:rsidR="001B160A" w:rsidRPr="006F1D04">
        <w:rPr>
          <w:rFonts w:ascii="Arial" w:hAnsi="Arial" w:cs="Arial"/>
        </w:rPr>
        <w:t>μg</w:t>
      </w:r>
      <w:proofErr w:type="spellEnd"/>
      <w:r w:rsidR="001B160A" w:rsidRPr="006F1D04">
        <w:rPr>
          <w:rFonts w:ascii="Arial" w:hAnsi="Arial" w:cs="Arial"/>
        </w:rPr>
        <w:t>/m</w:t>
      </w:r>
      <w:r w:rsidR="001B160A" w:rsidRPr="006F1D04">
        <w:rPr>
          <w:rFonts w:ascii="Arial" w:hAnsi="Arial" w:cs="Arial"/>
          <w:vertAlign w:val="superscript"/>
        </w:rPr>
        <w:t>3</w:t>
      </w:r>
      <w:r w:rsidR="00507220" w:rsidRPr="006F1D04">
        <w:rPr>
          <w:rFonts w:ascii="Arial" w:hAnsi="Arial" w:cs="Arial"/>
        </w:rPr>
        <w:t xml:space="preserve"> standard as a</w:t>
      </w:r>
      <w:r w:rsidR="001B160A" w:rsidRPr="006F1D04">
        <w:rPr>
          <w:rFonts w:ascii="Arial" w:hAnsi="Arial" w:cs="Arial"/>
        </w:rPr>
        <w:t xml:space="preserve"> </w:t>
      </w:r>
      <w:r w:rsidR="00507220" w:rsidRPr="006F1D04">
        <w:rPr>
          <w:rFonts w:ascii="Arial" w:hAnsi="Arial" w:cs="Arial"/>
        </w:rPr>
        <w:t>sub-</w:t>
      </w:r>
      <w:r w:rsidR="001B160A" w:rsidRPr="006F1D04">
        <w:rPr>
          <w:rFonts w:ascii="Arial" w:hAnsi="Arial" w:cs="Arial"/>
        </w:rPr>
        <w:t>option.</w:t>
      </w:r>
      <w:r w:rsidR="00C57FBE" w:rsidRPr="006F1D04">
        <w:rPr>
          <w:rFonts w:ascii="Arial" w:hAnsi="Arial" w:cs="Arial"/>
        </w:rPr>
        <w:t xml:space="preserve"> Because the difference between 40 </w:t>
      </w:r>
      <w:proofErr w:type="spellStart"/>
      <w:r w:rsidR="00C57FBE" w:rsidRPr="006F1D04">
        <w:rPr>
          <w:rFonts w:ascii="Arial" w:hAnsi="Arial" w:cs="Arial"/>
        </w:rPr>
        <w:t>μg</w:t>
      </w:r>
      <w:proofErr w:type="spellEnd"/>
      <w:r w:rsidR="00C57FBE" w:rsidRPr="006F1D04">
        <w:rPr>
          <w:rFonts w:ascii="Arial" w:hAnsi="Arial" w:cs="Arial"/>
        </w:rPr>
        <w:t>/m</w:t>
      </w:r>
      <w:r w:rsidR="00C57FBE" w:rsidRPr="006F1D04">
        <w:rPr>
          <w:rFonts w:ascii="Arial" w:hAnsi="Arial" w:cs="Arial"/>
          <w:vertAlign w:val="superscript"/>
        </w:rPr>
        <w:t>3</w:t>
      </w:r>
      <w:r w:rsidR="00C57FBE" w:rsidRPr="006F1D04">
        <w:rPr>
          <w:rFonts w:ascii="Arial" w:hAnsi="Arial" w:cs="Arial"/>
        </w:rPr>
        <w:t xml:space="preserve"> and 50 </w:t>
      </w:r>
      <w:proofErr w:type="spellStart"/>
      <w:r w:rsidR="00C57FBE" w:rsidRPr="006F1D04">
        <w:rPr>
          <w:rFonts w:ascii="Arial" w:hAnsi="Arial" w:cs="Arial"/>
        </w:rPr>
        <w:t>μg</w:t>
      </w:r>
      <w:proofErr w:type="spellEnd"/>
      <w:r w:rsidR="00C57FBE" w:rsidRPr="006F1D04">
        <w:rPr>
          <w:rFonts w:ascii="Arial" w:hAnsi="Arial" w:cs="Arial"/>
        </w:rPr>
        <w:t>/m</w:t>
      </w:r>
      <w:r w:rsidR="00C57FBE" w:rsidRPr="006F1D04">
        <w:rPr>
          <w:rFonts w:ascii="Arial" w:hAnsi="Arial" w:cs="Arial"/>
          <w:vertAlign w:val="superscript"/>
        </w:rPr>
        <w:t>3</w:t>
      </w:r>
      <w:r w:rsidR="00C57FBE" w:rsidRPr="006F1D04">
        <w:rPr>
          <w:rFonts w:ascii="Arial" w:hAnsi="Arial" w:cs="Arial"/>
        </w:rPr>
        <w:t xml:space="preserve"> is quite large, and moving to the lower value could present some difficulties in certain jurisdictions, an alternative would be to consider an intermediate </w:t>
      </w:r>
      <w:r w:rsidR="00507220" w:rsidRPr="006F1D04">
        <w:rPr>
          <w:rFonts w:ascii="Arial" w:hAnsi="Arial" w:cs="Arial"/>
        </w:rPr>
        <w:t>sub-</w:t>
      </w:r>
      <w:r w:rsidR="00C57FBE" w:rsidRPr="006F1D04">
        <w:rPr>
          <w:rFonts w:ascii="Arial" w:hAnsi="Arial" w:cs="Arial"/>
        </w:rPr>
        <w:t>option of 45 </w:t>
      </w:r>
      <w:proofErr w:type="spellStart"/>
      <w:r w:rsidR="00C57FBE" w:rsidRPr="006F1D04">
        <w:rPr>
          <w:rFonts w:ascii="Arial" w:hAnsi="Arial" w:cs="Arial"/>
        </w:rPr>
        <w:t>μg</w:t>
      </w:r>
      <w:proofErr w:type="spellEnd"/>
      <w:r w:rsidR="00C57FBE" w:rsidRPr="006F1D04">
        <w:rPr>
          <w:rFonts w:ascii="Arial" w:hAnsi="Arial" w:cs="Arial"/>
        </w:rPr>
        <w:t>/m</w:t>
      </w:r>
      <w:r w:rsidR="00C57FBE" w:rsidRPr="006F1D04">
        <w:rPr>
          <w:rFonts w:ascii="Arial" w:hAnsi="Arial" w:cs="Arial"/>
          <w:vertAlign w:val="superscript"/>
        </w:rPr>
        <w:t>3</w:t>
      </w:r>
      <w:r w:rsidR="00C57FBE" w:rsidRPr="006F1D04">
        <w:rPr>
          <w:rFonts w:ascii="Arial" w:hAnsi="Arial" w:cs="Arial"/>
        </w:rPr>
        <w:t>.</w:t>
      </w:r>
      <w:r w:rsidR="00331FCA" w:rsidRPr="006F1D04">
        <w:rPr>
          <w:rFonts w:ascii="Arial" w:hAnsi="Arial" w:cs="Arial"/>
        </w:rPr>
        <w:t xml:space="preserve"> </w:t>
      </w:r>
      <w:r w:rsidR="00FD3584" w:rsidRPr="006F1D04">
        <w:rPr>
          <w:rFonts w:ascii="Arial" w:hAnsi="Arial" w:cs="Arial"/>
        </w:rPr>
        <w:t>The analysis above does not address the severity of exceedances.</w:t>
      </w:r>
      <w:r w:rsidR="00AC7E62" w:rsidRPr="006F1D04">
        <w:rPr>
          <w:rFonts w:ascii="Arial" w:hAnsi="Arial" w:cs="Arial"/>
        </w:rPr>
        <w:t xml:space="preserve"> This could be investigated through the use of a metric such as the sum of the concentration exceedances over the year.</w:t>
      </w:r>
    </w:p>
    <w:p w:rsidR="00713F9F" w:rsidRPr="006F1D04" w:rsidRDefault="00713F9F" w:rsidP="00847485">
      <w:pPr>
        <w:pStyle w:val="Heading3"/>
        <w:spacing w:before="220" w:after="180"/>
        <w:rPr>
          <w:rFonts w:ascii="Arial" w:hAnsi="Arial"/>
        </w:rPr>
      </w:pPr>
      <w:bookmarkStart w:id="155" w:name="_Toc394011141"/>
      <w:r w:rsidRPr="006F1D04">
        <w:rPr>
          <w:rFonts w:ascii="Arial" w:hAnsi="Arial"/>
        </w:rPr>
        <w:t>PM</w:t>
      </w:r>
      <w:r w:rsidRPr="006F1D04">
        <w:rPr>
          <w:rFonts w:ascii="Arial" w:hAnsi="Arial"/>
          <w:vertAlign w:val="subscript"/>
        </w:rPr>
        <w:t>2.5</w:t>
      </w:r>
      <w:r w:rsidRPr="006F1D04">
        <w:rPr>
          <w:rFonts w:ascii="Arial" w:hAnsi="Arial"/>
        </w:rPr>
        <w:t xml:space="preserve"> annual mean</w:t>
      </w:r>
      <w:r w:rsidR="003A4476" w:rsidRPr="006F1D04">
        <w:rPr>
          <w:rFonts w:ascii="Arial" w:hAnsi="Arial"/>
        </w:rPr>
        <w:t xml:space="preserve"> standard</w:t>
      </w:r>
      <w:bookmarkEnd w:id="155"/>
    </w:p>
    <w:p w:rsidR="001B160A" w:rsidRPr="006F1D04" w:rsidRDefault="00F64FDE" w:rsidP="00847485">
      <w:pPr>
        <w:spacing w:after="160"/>
        <w:rPr>
          <w:rFonts w:ascii="Arial" w:hAnsi="Arial" w:cs="Arial"/>
        </w:rPr>
      </w:pPr>
      <w:r w:rsidRPr="006F1D04">
        <w:rPr>
          <w:rFonts w:ascii="Arial" w:hAnsi="Arial" w:cs="Arial"/>
        </w:rPr>
        <w:t xml:space="preserve">The percentage of monitoring sites across Australia with a value </w:t>
      </w:r>
      <w:r w:rsidR="0029278F" w:rsidRPr="006F1D04">
        <w:rPr>
          <w:rFonts w:ascii="Arial" w:hAnsi="Arial" w:cs="Arial"/>
        </w:rPr>
        <w:t>above each sub-o</w:t>
      </w:r>
      <w:r w:rsidRPr="006F1D04">
        <w:rPr>
          <w:rFonts w:ascii="Arial" w:hAnsi="Arial" w:cs="Arial"/>
        </w:rPr>
        <w:t>ption for the annual mean PM</w:t>
      </w:r>
      <w:r w:rsidRPr="006F1D04">
        <w:rPr>
          <w:rFonts w:ascii="Arial" w:hAnsi="Arial" w:cs="Arial"/>
          <w:vertAlign w:val="subscript"/>
        </w:rPr>
        <w:t>2.5</w:t>
      </w:r>
      <w:r w:rsidRPr="006F1D04">
        <w:rPr>
          <w:rFonts w:ascii="Arial" w:hAnsi="Arial" w:cs="Arial"/>
        </w:rPr>
        <w:t xml:space="preserve"> concentration is shown in </w:t>
      </w:r>
      <w:fldSimple w:instr=" REF _Ref367433503 \h  \* MERGEFORMAT ">
        <w:r w:rsidR="0085182E" w:rsidRPr="0085182E">
          <w:rPr>
            <w:rFonts w:ascii="Arial" w:hAnsi="Arial" w:cs="Arial"/>
            <w:b/>
          </w:rPr>
          <w:t>Figure 8.3</w:t>
        </w:r>
      </w:fldSimple>
      <w:r w:rsidRPr="006F1D04">
        <w:rPr>
          <w:rFonts w:ascii="Arial" w:hAnsi="Arial" w:cs="Arial"/>
        </w:rPr>
        <w:t xml:space="preserve">. In this case a standard of 6 </w:t>
      </w:r>
      <w:proofErr w:type="spellStart"/>
      <w:r w:rsidRPr="006F1D04">
        <w:rPr>
          <w:rFonts w:ascii="Arial" w:hAnsi="Arial" w:cs="Arial"/>
        </w:rPr>
        <w:t>μg</w:t>
      </w:r>
      <w:proofErr w:type="spellEnd"/>
      <w:r w:rsidRPr="006F1D04">
        <w:rPr>
          <w:rFonts w:ascii="Arial" w:hAnsi="Arial" w:cs="Arial"/>
        </w:rPr>
        <w:t>/m</w:t>
      </w:r>
      <w:r w:rsidRPr="006F1D04">
        <w:rPr>
          <w:rFonts w:ascii="Arial" w:hAnsi="Arial" w:cs="Arial"/>
          <w:vertAlign w:val="superscript"/>
        </w:rPr>
        <w:t>3</w:t>
      </w:r>
      <w:r w:rsidRPr="006F1D04">
        <w:rPr>
          <w:rFonts w:ascii="Arial" w:hAnsi="Arial" w:cs="Arial"/>
        </w:rPr>
        <w:t xml:space="preserve"> would not be feasible in Australia. </w:t>
      </w:r>
      <w:r w:rsidR="001B160A" w:rsidRPr="006F1D04">
        <w:rPr>
          <w:rFonts w:ascii="Arial" w:hAnsi="Arial" w:cs="Arial"/>
        </w:rPr>
        <w:t xml:space="preserve">This was also a finding of the Economic Analysis, which showed that large reductions in primary anthropogenic emissions would be required in several jurisdictions because the standard is only slightly higher than the </w:t>
      </w:r>
      <w:r w:rsidR="00A55CC2" w:rsidRPr="006F1D04">
        <w:rPr>
          <w:rFonts w:ascii="Arial" w:hAnsi="Arial" w:cs="Arial"/>
        </w:rPr>
        <w:t xml:space="preserve">typical </w:t>
      </w:r>
      <w:r w:rsidR="001B160A" w:rsidRPr="006F1D04">
        <w:rPr>
          <w:rFonts w:ascii="Arial" w:hAnsi="Arial" w:cs="Arial"/>
        </w:rPr>
        <w:t>combined contribution of natural and secondary particles.</w:t>
      </w:r>
    </w:p>
    <w:p w:rsidR="00F64FDE" w:rsidRPr="006F1D04" w:rsidRDefault="00752569" w:rsidP="00847485">
      <w:pPr>
        <w:spacing w:after="160"/>
        <w:rPr>
          <w:rFonts w:ascii="Arial" w:hAnsi="Arial" w:cs="Arial"/>
        </w:rPr>
      </w:pPr>
      <w:r w:rsidRPr="006F1D04">
        <w:rPr>
          <w:rFonts w:ascii="Arial" w:hAnsi="Arial" w:cs="Arial"/>
        </w:rPr>
        <w:t>M</w:t>
      </w:r>
      <w:r w:rsidR="00F64FDE" w:rsidRPr="006F1D04">
        <w:rPr>
          <w:rFonts w:ascii="Arial" w:hAnsi="Arial" w:cs="Arial"/>
        </w:rPr>
        <w:t>ost mon</w:t>
      </w:r>
      <w:r w:rsidR="0087080F" w:rsidRPr="006F1D04">
        <w:rPr>
          <w:rFonts w:ascii="Arial" w:hAnsi="Arial" w:cs="Arial"/>
        </w:rPr>
        <w:t xml:space="preserve">itoring sites would meet </w:t>
      </w:r>
      <w:r w:rsidR="00F64FDE" w:rsidRPr="006F1D04">
        <w:rPr>
          <w:rFonts w:ascii="Arial" w:hAnsi="Arial" w:cs="Arial"/>
        </w:rPr>
        <w:t>a standard of 10 </w:t>
      </w:r>
      <w:proofErr w:type="spellStart"/>
      <w:r w:rsidR="00F64FDE" w:rsidRPr="006F1D04">
        <w:rPr>
          <w:rFonts w:ascii="Arial" w:hAnsi="Arial" w:cs="Arial"/>
        </w:rPr>
        <w:t>μg</w:t>
      </w:r>
      <w:proofErr w:type="spellEnd"/>
      <w:r w:rsidR="00F64FDE" w:rsidRPr="006F1D04">
        <w:rPr>
          <w:rFonts w:ascii="Arial" w:hAnsi="Arial" w:cs="Arial"/>
        </w:rPr>
        <w:t>/m</w:t>
      </w:r>
      <w:r w:rsidR="00F64FDE" w:rsidRPr="006F1D04">
        <w:rPr>
          <w:rFonts w:ascii="Arial" w:hAnsi="Arial" w:cs="Arial"/>
          <w:vertAlign w:val="superscript"/>
        </w:rPr>
        <w:t>3</w:t>
      </w:r>
      <w:r w:rsidR="00F64FDE" w:rsidRPr="006F1D04">
        <w:rPr>
          <w:rFonts w:ascii="Arial" w:hAnsi="Arial" w:cs="Arial"/>
        </w:rPr>
        <w:t xml:space="preserve">, and </w:t>
      </w:r>
      <w:r w:rsidR="00583B8B" w:rsidRPr="006F1D04">
        <w:rPr>
          <w:rFonts w:ascii="Arial" w:hAnsi="Arial" w:cs="Arial"/>
        </w:rPr>
        <w:t xml:space="preserve">therefore the adoption of such a standard </w:t>
      </w:r>
      <w:r w:rsidR="00F64FDE" w:rsidRPr="006F1D04">
        <w:rPr>
          <w:rFonts w:ascii="Arial" w:hAnsi="Arial" w:cs="Arial"/>
        </w:rPr>
        <w:t>would be unlikely to drive future im</w:t>
      </w:r>
      <w:r w:rsidR="0029278F" w:rsidRPr="006F1D04">
        <w:rPr>
          <w:rFonts w:ascii="Arial" w:hAnsi="Arial" w:cs="Arial"/>
        </w:rPr>
        <w:t>provements in air quality. The sub-o</w:t>
      </w:r>
      <w:r w:rsidR="00F64FDE" w:rsidRPr="006F1D04">
        <w:rPr>
          <w:rFonts w:ascii="Arial" w:hAnsi="Arial" w:cs="Arial"/>
        </w:rPr>
        <w:t xml:space="preserve">ption of 8 </w:t>
      </w:r>
      <w:proofErr w:type="spellStart"/>
      <w:r w:rsidR="00F64FDE" w:rsidRPr="006F1D04">
        <w:rPr>
          <w:rFonts w:ascii="Arial" w:hAnsi="Arial" w:cs="Arial"/>
        </w:rPr>
        <w:t>μg</w:t>
      </w:r>
      <w:proofErr w:type="spellEnd"/>
      <w:r w:rsidR="00F64FDE" w:rsidRPr="006F1D04">
        <w:rPr>
          <w:rFonts w:ascii="Arial" w:hAnsi="Arial" w:cs="Arial"/>
        </w:rPr>
        <w:t>/m</w:t>
      </w:r>
      <w:r w:rsidR="00F64FDE" w:rsidRPr="006F1D04">
        <w:rPr>
          <w:rFonts w:ascii="Arial" w:hAnsi="Arial" w:cs="Arial"/>
          <w:vertAlign w:val="superscript"/>
        </w:rPr>
        <w:t>3</w:t>
      </w:r>
      <w:r w:rsidR="00F64FDE" w:rsidRPr="006F1D04">
        <w:rPr>
          <w:rFonts w:ascii="Arial" w:hAnsi="Arial" w:cs="Arial"/>
        </w:rPr>
        <w:t xml:space="preserve"> </w:t>
      </w:r>
      <w:r w:rsidR="00AE7A83" w:rsidRPr="006F1D04">
        <w:rPr>
          <w:rFonts w:ascii="Arial" w:hAnsi="Arial" w:cs="Arial"/>
        </w:rPr>
        <w:t>–</w:t>
      </w:r>
      <w:r w:rsidR="0016103C" w:rsidRPr="006F1D04">
        <w:rPr>
          <w:rFonts w:ascii="Arial" w:hAnsi="Arial" w:cs="Arial"/>
        </w:rPr>
        <w:t xml:space="preserve"> </w:t>
      </w:r>
      <w:r w:rsidR="009C7BE6" w:rsidRPr="006F1D04">
        <w:rPr>
          <w:rFonts w:ascii="Arial" w:hAnsi="Arial" w:cs="Arial"/>
        </w:rPr>
        <w:t>the cur</w:t>
      </w:r>
      <w:r w:rsidR="0016103C" w:rsidRPr="006F1D04">
        <w:rPr>
          <w:rFonts w:ascii="Arial" w:hAnsi="Arial" w:cs="Arial"/>
        </w:rPr>
        <w:t xml:space="preserve">rent advisory level in the </w:t>
      </w:r>
      <w:r w:rsidR="00EF24F8" w:rsidRPr="006F1D04">
        <w:rPr>
          <w:rFonts w:ascii="Arial" w:hAnsi="Arial" w:cs="Arial"/>
        </w:rPr>
        <w:t>AAQ NEPM</w:t>
      </w:r>
      <w:r w:rsidR="0016103C" w:rsidRPr="006F1D04">
        <w:rPr>
          <w:rFonts w:ascii="Arial" w:hAnsi="Arial" w:cs="Arial"/>
        </w:rPr>
        <w:t xml:space="preserve"> </w:t>
      </w:r>
      <w:r w:rsidR="00AE7A83" w:rsidRPr="006F1D04">
        <w:rPr>
          <w:rFonts w:ascii="Arial" w:hAnsi="Arial" w:cs="Arial"/>
        </w:rPr>
        <w:t>–</w:t>
      </w:r>
      <w:r w:rsidR="009C7BE6" w:rsidRPr="006F1D04">
        <w:rPr>
          <w:rFonts w:ascii="Arial" w:hAnsi="Arial" w:cs="Arial"/>
        </w:rPr>
        <w:t xml:space="preserve"> </w:t>
      </w:r>
      <w:r w:rsidR="00F64FDE" w:rsidRPr="006F1D04">
        <w:rPr>
          <w:rFonts w:ascii="Arial" w:hAnsi="Arial" w:cs="Arial"/>
        </w:rPr>
        <w:t xml:space="preserve">would therefore </w:t>
      </w:r>
      <w:r w:rsidR="009C7BE6" w:rsidRPr="006F1D04">
        <w:rPr>
          <w:rFonts w:ascii="Arial" w:hAnsi="Arial" w:cs="Arial"/>
        </w:rPr>
        <w:t>appear to be the most suitable</w:t>
      </w:r>
      <w:r w:rsidR="0016103C" w:rsidRPr="006F1D04">
        <w:rPr>
          <w:rFonts w:ascii="Arial" w:hAnsi="Arial" w:cs="Arial"/>
        </w:rPr>
        <w:t xml:space="preserve"> one</w:t>
      </w:r>
      <w:r w:rsidR="00F64FDE" w:rsidRPr="006F1D04">
        <w:rPr>
          <w:rFonts w:ascii="Arial" w:hAnsi="Arial" w:cs="Arial"/>
        </w:rPr>
        <w:t>. H</w:t>
      </w:r>
      <w:r w:rsidR="009C7BE6" w:rsidRPr="006F1D04">
        <w:rPr>
          <w:rFonts w:ascii="Arial" w:hAnsi="Arial" w:cs="Arial"/>
        </w:rPr>
        <w:t xml:space="preserve">owever, </w:t>
      </w:r>
      <w:r w:rsidR="0016103C" w:rsidRPr="006F1D04">
        <w:rPr>
          <w:rFonts w:ascii="Arial" w:hAnsi="Arial" w:cs="Arial"/>
        </w:rPr>
        <w:t>whilst the state</w:t>
      </w:r>
      <w:r w:rsidR="00F961C7" w:rsidRPr="006F1D04">
        <w:rPr>
          <w:rFonts w:ascii="Arial" w:hAnsi="Arial" w:cs="Arial"/>
        </w:rPr>
        <w:t xml:space="preserve"> </w:t>
      </w:r>
      <w:r w:rsidR="0016103C" w:rsidRPr="006F1D04">
        <w:rPr>
          <w:rFonts w:ascii="Arial" w:hAnsi="Arial" w:cs="Arial"/>
        </w:rPr>
        <w:t>average annual PM</w:t>
      </w:r>
      <w:r w:rsidR="0016103C" w:rsidRPr="006F1D04">
        <w:rPr>
          <w:rFonts w:ascii="Arial" w:hAnsi="Arial" w:cs="Arial"/>
          <w:vertAlign w:val="subscript"/>
        </w:rPr>
        <w:t>2.5</w:t>
      </w:r>
      <w:r w:rsidR="0016103C" w:rsidRPr="006F1D04">
        <w:rPr>
          <w:rFonts w:ascii="Arial" w:hAnsi="Arial" w:cs="Arial"/>
        </w:rPr>
        <w:t xml:space="preserve"> concentration in 2012 was below </w:t>
      </w:r>
      <w:r w:rsidR="00CA0771" w:rsidRPr="006F1D04">
        <w:rPr>
          <w:rFonts w:ascii="Arial" w:hAnsi="Arial" w:cs="Arial"/>
        </w:rPr>
        <w:t>8 </w:t>
      </w:r>
      <w:proofErr w:type="spellStart"/>
      <w:r w:rsidR="0016103C" w:rsidRPr="006F1D04">
        <w:rPr>
          <w:rFonts w:ascii="Arial" w:hAnsi="Arial" w:cs="Arial"/>
        </w:rPr>
        <w:t>μg</w:t>
      </w:r>
      <w:proofErr w:type="spellEnd"/>
      <w:r w:rsidR="0016103C" w:rsidRPr="006F1D04">
        <w:rPr>
          <w:rFonts w:ascii="Arial" w:hAnsi="Arial" w:cs="Arial"/>
        </w:rPr>
        <w:t>/m</w:t>
      </w:r>
      <w:r w:rsidR="0016103C" w:rsidRPr="006F1D04">
        <w:rPr>
          <w:rFonts w:ascii="Arial" w:hAnsi="Arial" w:cs="Arial"/>
          <w:vertAlign w:val="superscript"/>
        </w:rPr>
        <w:t>3</w:t>
      </w:r>
      <w:r w:rsidR="0016103C" w:rsidRPr="006F1D04">
        <w:rPr>
          <w:rFonts w:ascii="Arial" w:hAnsi="Arial" w:cs="Arial"/>
        </w:rPr>
        <w:t xml:space="preserve"> in most jurisdictions (see </w:t>
      </w:r>
      <w:r w:rsidR="0016103C" w:rsidRPr="006F1D04">
        <w:rPr>
          <w:rFonts w:ascii="Arial" w:hAnsi="Arial" w:cs="Arial"/>
          <w:b/>
        </w:rPr>
        <w:t>Figure E.4</w:t>
      </w:r>
      <w:r w:rsidR="00AE7A83" w:rsidRPr="006F1D04">
        <w:rPr>
          <w:rFonts w:ascii="Arial" w:hAnsi="Arial" w:cs="Arial"/>
        </w:rPr>
        <w:t xml:space="preserve"> in </w:t>
      </w:r>
      <w:r w:rsidR="00AE7A83" w:rsidRPr="006F1D04">
        <w:rPr>
          <w:rFonts w:ascii="Arial" w:hAnsi="Arial" w:cs="Arial"/>
          <w:b/>
        </w:rPr>
        <w:t>Appendix E</w:t>
      </w:r>
      <w:r w:rsidR="0016103C" w:rsidRPr="006F1D04">
        <w:rPr>
          <w:rFonts w:ascii="Arial" w:hAnsi="Arial" w:cs="Arial"/>
        </w:rPr>
        <w:t xml:space="preserve">), </w:t>
      </w:r>
      <w:r w:rsidR="00F64FDE" w:rsidRPr="006F1D04">
        <w:rPr>
          <w:rFonts w:ascii="Arial" w:hAnsi="Arial" w:cs="Arial"/>
        </w:rPr>
        <w:t>the per</w:t>
      </w:r>
      <w:r w:rsidR="0016103C" w:rsidRPr="006F1D04">
        <w:rPr>
          <w:rFonts w:ascii="Arial" w:hAnsi="Arial" w:cs="Arial"/>
        </w:rPr>
        <w:t xml:space="preserve">centage of sites exceeding the </w:t>
      </w:r>
      <w:r w:rsidR="009C7BE6" w:rsidRPr="006F1D04">
        <w:rPr>
          <w:rFonts w:ascii="Arial" w:hAnsi="Arial" w:cs="Arial"/>
        </w:rPr>
        <w:t>standard</w:t>
      </w:r>
      <w:r w:rsidR="00084486" w:rsidRPr="006F1D04">
        <w:rPr>
          <w:rFonts w:ascii="Arial" w:hAnsi="Arial" w:cs="Arial"/>
        </w:rPr>
        <w:t xml:space="preserve"> </w:t>
      </w:r>
      <w:r w:rsidR="00F64FDE" w:rsidRPr="006F1D04">
        <w:rPr>
          <w:rFonts w:ascii="Arial" w:hAnsi="Arial" w:cs="Arial"/>
        </w:rPr>
        <w:t>has only shown a slight downward trend between 2003 and 2012, and therefore it is unlike</w:t>
      </w:r>
      <w:r w:rsidR="0016103C" w:rsidRPr="006F1D04">
        <w:rPr>
          <w:rFonts w:ascii="Arial" w:hAnsi="Arial" w:cs="Arial"/>
        </w:rPr>
        <w:t>ly that it</w:t>
      </w:r>
      <w:r w:rsidR="0087080F" w:rsidRPr="006F1D04">
        <w:rPr>
          <w:rFonts w:ascii="Arial" w:hAnsi="Arial" w:cs="Arial"/>
        </w:rPr>
        <w:t xml:space="preserve"> would be met </w:t>
      </w:r>
      <w:r w:rsidR="00F64FDE" w:rsidRPr="006F1D04">
        <w:rPr>
          <w:rFonts w:ascii="Arial" w:hAnsi="Arial" w:cs="Arial"/>
        </w:rPr>
        <w:t xml:space="preserve">at all sites in the </w:t>
      </w:r>
      <w:r w:rsidR="001B160A" w:rsidRPr="006F1D04">
        <w:rPr>
          <w:rFonts w:ascii="Arial" w:hAnsi="Arial" w:cs="Arial"/>
        </w:rPr>
        <w:t xml:space="preserve">near future without </w:t>
      </w:r>
      <w:r w:rsidR="00F64FDE" w:rsidRPr="006F1D04">
        <w:rPr>
          <w:rFonts w:ascii="Arial" w:hAnsi="Arial" w:cs="Arial"/>
        </w:rPr>
        <w:t>policy intervention</w:t>
      </w:r>
      <w:r w:rsidR="001B160A" w:rsidRPr="006F1D04">
        <w:rPr>
          <w:rFonts w:ascii="Arial" w:hAnsi="Arial" w:cs="Arial"/>
        </w:rPr>
        <w:t xml:space="preserve"> to reduce emissions</w:t>
      </w:r>
      <w:r w:rsidR="00F64FDE" w:rsidRPr="006F1D04">
        <w:rPr>
          <w:rFonts w:ascii="Arial" w:hAnsi="Arial" w:cs="Arial"/>
        </w:rPr>
        <w:t>.</w:t>
      </w:r>
    </w:p>
    <w:p w:rsidR="00E424A7" w:rsidRPr="006F1D04" w:rsidRDefault="006D7F17" w:rsidP="00E424A7">
      <w:pPr>
        <w:spacing w:after="120"/>
        <w:jc w:val="center"/>
        <w:rPr>
          <w:rFonts w:ascii="Arial" w:hAnsi="Arial" w:cs="Arial"/>
        </w:rPr>
      </w:pPr>
      <w:r w:rsidRPr="006F1D04">
        <w:rPr>
          <w:rFonts w:ascii="Arial" w:hAnsi="Arial" w:cs="Arial"/>
          <w:noProof/>
        </w:rPr>
        <w:lastRenderedPageBreak/>
        <w:drawing>
          <wp:inline distT="0" distB="0" distL="0" distR="0">
            <wp:extent cx="4325620" cy="2440940"/>
            <wp:effectExtent l="19050" t="19050" r="17780" b="1651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5620" cy="2440940"/>
                    </a:xfrm>
                    <a:prstGeom prst="rect">
                      <a:avLst/>
                    </a:prstGeom>
                    <a:noFill/>
                    <a:ln w="9525" cmpd="sng">
                      <a:solidFill>
                        <a:srgbClr val="0070C0"/>
                      </a:solidFill>
                      <a:miter lim="800000"/>
                      <a:headEnd/>
                      <a:tailEnd/>
                    </a:ln>
                    <a:effectLst/>
                  </pic:spPr>
                </pic:pic>
              </a:graphicData>
            </a:graphic>
          </wp:inline>
        </w:drawing>
      </w:r>
    </w:p>
    <w:p w:rsidR="00440901" w:rsidRPr="006F1D04" w:rsidRDefault="00440901" w:rsidP="00440901">
      <w:pPr>
        <w:pStyle w:val="Caption"/>
        <w:ind w:left="1418" w:right="1371"/>
        <w:rPr>
          <w:rFonts w:ascii="Arial" w:hAnsi="Arial" w:cs="Arial"/>
        </w:rPr>
      </w:pPr>
      <w:bookmarkStart w:id="156" w:name="_Ref367433503"/>
      <w:r w:rsidRPr="006F1D04">
        <w:rPr>
          <w:rFonts w:ascii="Arial" w:hAnsi="Arial" w:cs="Arial"/>
        </w:rPr>
        <w:t xml:space="preserve">Figure </w:t>
      </w:r>
      <w:r w:rsidR="00BF6019" w:rsidRPr="006F1D04">
        <w:rPr>
          <w:rFonts w:ascii="Arial" w:hAnsi="Arial" w:cs="Arial"/>
        </w:rPr>
        <w:fldChar w:fldCharType="begin"/>
      </w:r>
      <w:r w:rsidRPr="006F1D04">
        <w:rPr>
          <w:rFonts w:ascii="Arial" w:hAnsi="Arial" w:cs="Arial"/>
        </w:rPr>
        <w:instrText xml:space="preserve"> STYLEREF 1 \s </w:instrText>
      </w:r>
      <w:r w:rsidR="00BF6019" w:rsidRPr="006F1D04">
        <w:rPr>
          <w:rFonts w:ascii="Arial" w:hAnsi="Arial" w:cs="Arial"/>
        </w:rPr>
        <w:fldChar w:fldCharType="separate"/>
      </w:r>
      <w:r w:rsidR="0085182E">
        <w:rPr>
          <w:rFonts w:ascii="Arial" w:hAnsi="Arial" w:cs="Arial"/>
          <w:noProof/>
        </w:rPr>
        <w:t>8</w:t>
      </w:r>
      <w:r w:rsidR="00BF6019" w:rsidRPr="006F1D04">
        <w:rPr>
          <w:rFonts w:ascii="Arial" w:hAnsi="Arial" w:cs="Arial"/>
        </w:rPr>
        <w:fldChar w:fldCharType="end"/>
      </w:r>
      <w:r w:rsidRPr="006F1D04">
        <w:rPr>
          <w:rFonts w:ascii="Arial" w:hAnsi="Arial" w:cs="Arial"/>
        </w:rPr>
        <w:t>.</w:t>
      </w:r>
      <w:r w:rsidR="00BF6019" w:rsidRPr="006F1D04">
        <w:rPr>
          <w:rFonts w:ascii="Arial" w:hAnsi="Arial" w:cs="Arial"/>
        </w:rPr>
        <w:fldChar w:fldCharType="begin"/>
      </w:r>
      <w:r w:rsidRPr="006F1D04">
        <w:rPr>
          <w:rFonts w:ascii="Arial" w:hAnsi="Arial" w:cs="Arial"/>
        </w:rPr>
        <w:instrText xml:space="preserve"> SEQ Figure \* ARABIC \s 1 </w:instrText>
      </w:r>
      <w:r w:rsidR="00BF6019" w:rsidRPr="006F1D04">
        <w:rPr>
          <w:rFonts w:ascii="Arial" w:hAnsi="Arial" w:cs="Arial"/>
        </w:rPr>
        <w:fldChar w:fldCharType="separate"/>
      </w:r>
      <w:r w:rsidR="0085182E">
        <w:rPr>
          <w:rFonts w:ascii="Arial" w:hAnsi="Arial" w:cs="Arial"/>
          <w:noProof/>
        </w:rPr>
        <w:t>3</w:t>
      </w:r>
      <w:r w:rsidR="00BF6019" w:rsidRPr="006F1D04">
        <w:rPr>
          <w:rFonts w:ascii="Arial" w:hAnsi="Arial" w:cs="Arial"/>
        </w:rPr>
        <w:fldChar w:fldCharType="end"/>
      </w:r>
      <w:bookmarkEnd w:id="156"/>
      <w:r w:rsidRPr="006F1D04">
        <w:rPr>
          <w:rFonts w:ascii="Arial" w:hAnsi="Arial" w:cs="Arial"/>
        </w:rPr>
        <w:t>: Percentage of monitoring sites with annual mean PM</w:t>
      </w:r>
      <w:r w:rsidRPr="006F1D04">
        <w:rPr>
          <w:rFonts w:ascii="Arial" w:hAnsi="Arial" w:cs="Arial"/>
          <w:vertAlign w:val="subscript"/>
        </w:rPr>
        <w:t>2.5</w:t>
      </w:r>
      <w:r w:rsidRPr="006F1D04">
        <w:rPr>
          <w:rFonts w:ascii="Arial" w:hAnsi="Arial" w:cs="Arial"/>
        </w:rPr>
        <w:t xml:space="preserve"> conc</w:t>
      </w:r>
      <w:r w:rsidR="00CC1995" w:rsidRPr="006F1D04">
        <w:rPr>
          <w:rFonts w:ascii="Arial" w:hAnsi="Arial" w:cs="Arial"/>
        </w:rPr>
        <w:t>entration above standard</w:t>
      </w:r>
    </w:p>
    <w:p w:rsidR="00713F9F" w:rsidRPr="006F1D04" w:rsidRDefault="00713F9F" w:rsidP="003A4476">
      <w:pPr>
        <w:spacing w:after="0"/>
        <w:rPr>
          <w:rFonts w:ascii="Arial" w:hAnsi="Arial" w:cs="Arial"/>
          <w:sz w:val="16"/>
          <w:szCs w:val="16"/>
        </w:rPr>
      </w:pPr>
    </w:p>
    <w:p w:rsidR="00713F9F" w:rsidRPr="006F1D04" w:rsidRDefault="00713F9F" w:rsidP="00454FFD">
      <w:pPr>
        <w:pStyle w:val="Heading3"/>
        <w:spacing w:before="120"/>
        <w:rPr>
          <w:rFonts w:ascii="Arial" w:hAnsi="Arial"/>
        </w:rPr>
      </w:pPr>
      <w:bookmarkStart w:id="157" w:name="_Toc394011142"/>
      <w:r w:rsidRPr="006F1D04">
        <w:rPr>
          <w:rFonts w:ascii="Arial" w:hAnsi="Arial"/>
        </w:rPr>
        <w:t>PM</w:t>
      </w:r>
      <w:r w:rsidRPr="006F1D04">
        <w:rPr>
          <w:rFonts w:ascii="Arial" w:hAnsi="Arial"/>
          <w:vertAlign w:val="subscript"/>
        </w:rPr>
        <w:t>2.5</w:t>
      </w:r>
      <w:r w:rsidRPr="006F1D04">
        <w:rPr>
          <w:rFonts w:ascii="Arial" w:hAnsi="Arial"/>
        </w:rPr>
        <w:t xml:space="preserve"> 24-hour mean</w:t>
      </w:r>
      <w:r w:rsidR="003A4476" w:rsidRPr="006F1D04">
        <w:rPr>
          <w:rFonts w:ascii="Arial" w:hAnsi="Arial"/>
        </w:rPr>
        <w:t xml:space="preserve"> standard</w:t>
      </w:r>
      <w:bookmarkEnd w:id="157"/>
    </w:p>
    <w:p w:rsidR="006E130B" w:rsidRDefault="006019DF" w:rsidP="00A55CC2">
      <w:pPr>
        <w:spacing w:after="360"/>
        <w:rPr>
          <w:rFonts w:ascii="Arial" w:hAnsi="Arial" w:cs="Arial"/>
        </w:rPr>
      </w:pPr>
      <w:r w:rsidRPr="006F1D04">
        <w:rPr>
          <w:rFonts w:ascii="Arial" w:hAnsi="Arial" w:cs="Arial"/>
        </w:rPr>
        <w:t>The 24-hour PM</w:t>
      </w:r>
      <w:r w:rsidRPr="006F1D04">
        <w:rPr>
          <w:rFonts w:ascii="Arial" w:hAnsi="Arial" w:cs="Arial"/>
          <w:vertAlign w:val="subscript"/>
        </w:rPr>
        <w:t>2.5</w:t>
      </w:r>
      <w:r w:rsidRPr="006F1D04">
        <w:rPr>
          <w:rFonts w:ascii="Arial" w:hAnsi="Arial" w:cs="Arial"/>
        </w:rPr>
        <w:t xml:space="preserve"> concentration was treated in a similar way to the 24-hour PM</w:t>
      </w:r>
      <w:r w:rsidRPr="006F1D04">
        <w:rPr>
          <w:rFonts w:ascii="Arial" w:hAnsi="Arial" w:cs="Arial"/>
          <w:vertAlign w:val="subscript"/>
        </w:rPr>
        <w:t>10</w:t>
      </w:r>
      <w:r w:rsidR="009C7BE6" w:rsidRPr="006F1D04">
        <w:rPr>
          <w:rFonts w:ascii="Arial" w:hAnsi="Arial" w:cs="Arial"/>
        </w:rPr>
        <w:t xml:space="preserve"> concentration</w:t>
      </w:r>
      <w:r w:rsidRPr="006F1D04">
        <w:rPr>
          <w:rFonts w:ascii="Arial" w:hAnsi="Arial" w:cs="Arial"/>
        </w:rPr>
        <w:t xml:space="preserve">, </w:t>
      </w:r>
      <w:r w:rsidR="009C7BE6" w:rsidRPr="006F1D04">
        <w:rPr>
          <w:rFonts w:ascii="Arial" w:hAnsi="Arial" w:cs="Arial"/>
        </w:rPr>
        <w:t xml:space="preserve">except </w:t>
      </w:r>
      <w:r w:rsidRPr="006F1D04">
        <w:rPr>
          <w:rFonts w:ascii="Arial" w:hAnsi="Arial" w:cs="Arial"/>
        </w:rPr>
        <w:t xml:space="preserve">in this case </w:t>
      </w:r>
      <w:r w:rsidR="00FA4F19" w:rsidRPr="006F1D04">
        <w:rPr>
          <w:rFonts w:ascii="Arial" w:hAnsi="Arial" w:cs="Arial"/>
        </w:rPr>
        <w:t>there we</w:t>
      </w:r>
      <w:r w:rsidRPr="006F1D04">
        <w:rPr>
          <w:rFonts w:ascii="Arial" w:hAnsi="Arial" w:cs="Arial"/>
        </w:rPr>
        <w:t xml:space="preserve">re </w:t>
      </w:r>
      <w:r w:rsidR="00074010" w:rsidRPr="006F1D04">
        <w:rPr>
          <w:rFonts w:ascii="Arial" w:hAnsi="Arial" w:cs="Arial"/>
        </w:rPr>
        <w:t xml:space="preserve">assumed to be </w:t>
      </w:r>
      <w:r w:rsidRPr="006F1D04">
        <w:rPr>
          <w:rFonts w:ascii="Arial" w:hAnsi="Arial" w:cs="Arial"/>
        </w:rPr>
        <w:t xml:space="preserve">no allowed exceedances in the advisory </w:t>
      </w:r>
      <w:r w:rsidR="00EF24F8" w:rsidRPr="006F1D04">
        <w:rPr>
          <w:rFonts w:ascii="Arial" w:hAnsi="Arial" w:cs="Arial"/>
        </w:rPr>
        <w:t>AAQ NEPM</w:t>
      </w:r>
      <w:r w:rsidRPr="006F1D04">
        <w:rPr>
          <w:rFonts w:ascii="Arial" w:hAnsi="Arial" w:cs="Arial"/>
        </w:rPr>
        <w:t xml:space="preserve"> standard (25</w:t>
      </w:r>
      <w:r w:rsidR="00CA0771" w:rsidRPr="006F1D04">
        <w:rPr>
          <w:rFonts w:ascii="Arial" w:hAnsi="Arial" w:cs="Arial"/>
        </w:rPr>
        <w:t> </w:t>
      </w:r>
      <w:proofErr w:type="spellStart"/>
      <w:r w:rsidRPr="006F1D04">
        <w:rPr>
          <w:rFonts w:ascii="Arial" w:hAnsi="Arial" w:cs="Arial"/>
        </w:rPr>
        <w:t>μg</w:t>
      </w:r>
      <w:proofErr w:type="spellEnd"/>
      <w:r w:rsidRPr="006F1D04">
        <w:rPr>
          <w:rFonts w:ascii="Arial" w:hAnsi="Arial" w:cs="Arial"/>
        </w:rPr>
        <w:t>/m</w:t>
      </w:r>
      <w:r w:rsidRPr="006F1D04">
        <w:rPr>
          <w:rFonts w:ascii="Arial" w:hAnsi="Arial" w:cs="Arial"/>
          <w:vertAlign w:val="superscript"/>
        </w:rPr>
        <w:t>3</w:t>
      </w:r>
      <w:r w:rsidRPr="006F1D04">
        <w:rPr>
          <w:rFonts w:ascii="Arial" w:hAnsi="Arial" w:cs="Arial"/>
        </w:rPr>
        <w:t>).</w:t>
      </w:r>
      <w:r w:rsidR="006E130B" w:rsidRPr="006F1D04">
        <w:rPr>
          <w:rFonts w:ascii="Arial" w:hAnsi="Arial" w:cs="Arial"/>
        </w:rPr>
        <w:t xml:space="preserve"> The results, shown in </w:t>
      </w:r>
      <w:fldSimple w:instr=" REF _Ref367436072 \h  \* MERGEFORMAT ">
        <w:r w:rsidR="0085182E" w:rsidRPr="0085182E">
          <w:rPr>
            <w:rFonts w:ascii="Arial" w:hAnsi="Arial" w:cs="Arial"/>
            <w:b/>
          </w:rPr>
          <w:t>Figure 8.4</w:t>
        </w:r>
      </w:fldSimple>
      <w:r w:rsidR="006E130B" w:rsidRPr="006F1D04">
        <w:rPr>
          <w:rFonts w:ascii="Arial" w:hAnsi="Arial" w:cs="Arial"/>
        </w:rPr>
        <w:t xml:space="preserve">, indicate that a standard </w:t>
      </w:r>
      <w:proofErr w:type="gramStart"/>
      <w:r w:rsidR="006E130B" w:rsidRPr="006F1D04">
        <w:rPr>
          <w:rFonts w:ascii="Arial" w:hAnsi="Arial" w:cs="Arial"/>
        </w:rPr>
        <w:t xml:space="preserve">of 15 </w:t>
      </w:r>
      <w:proofErr w:type="spellStart"/>
      <w:r w:rsidR="006E130B" w:rsidRPr="006F1D04">
        <w:rPr>
          <w:rFonts w:ascii="Arial" w:hAnsi="Arial" w:cs="Arial"/>
        </w:rPr>
        <w:t>μg</w:t>
      </w:r>
      <w:proofErr w:type="spellEnd"/>
      <w:r w:rsidR="006E130B" w:rsidRPr="006F1D04">
        <w:rPr>
          <w:rFonts w:ascii="Arial" w:hAnsi="Arial" w:cs="Arial"/>
        </w:rPr>
        <w:t>/m</w:t>
      </w:r>
      <w:r w:rsidR="006E130B" w:rsidRPr="006F1D04">
        <w:rPr>
          <w:rFonts w:ascii="Arial" w:hAnsi="Arial" w:cs="Arial"/>
          <w:vertAlign w:val="superscript"/>
        </w:rPr>
        <w:t>3</w:t>
      </w:r>
      <w:proofErr w:type="gramEnd"/>
      <w:r w:rsidR="006E130B" w:rsidRPr="006F1D04">
        <w:rPr>
          <w:rFonts w:ascii="Arial" w:hAnsi="Arial" w:cs="Arial"/>
        </w:rPr>
        <w:t xml:space="preserve"> would b</w:t>
      </w:r>
      <w:r w:rsidR="00074010" w:rsidRPr="006F1D04">
        <w:rPr>
          <w:rFonts w:ascii="Arial" w:hAnsi="Arial" w:cs="Arial"/>
        </w:rPr>
        <w:t>e unrealistic given the historical trend in exceedances</w:t>
      </w:r>
      <w:r w:rsidR="006E130B" w:rsidRPr="006F1D04">
        <w:rPr>
          <w:rFonts w:ascii="Arial" w:hAnsi="Arial" w:cs="Arial"/>
        </w:rPr>
        <w:t xml:space="preserve">. The adoption of a standard of either 20 </w:t>
      </w:r>
      <w:proofErr w:type="spellStart"/>
      <w:r w:rsidR="006E130B" w:rsidRPr="006F1D04">
        <w:rPr>
          <w:rFonts w:ascii="Arial" w:hAnsi="Arial" w:cs="Arial"/>
        </w:rPr>
        <w:t>μg</w:t>
      </w:r>
      <w:proofErr w:type="spellEnd"/>
      <w:r w:rsidR="006E130B" w:rsidRPr="006F1D04">
        <w:rPr>
          <w:rFonts w:ascii="Arial" w:hAnsi="Arial" w:cs="Arial"/>
        </w:rPr>
        <w:t>/m</w:t>
      </w:r>
      <w:r w:rsidR="006E130B" w:rsidRPr="006F1D04">
        <w:rPr>
          <w:rFonts w:ascii="Arial" w:hAnsi="Arial" w:cs="Arial"/>
          <w:vertAlign w:val="superscript"/>
        </w:rPr>
        <w:t>3</w:t>
      </w:r>
      <w:r w:rsidR="006E130B" w:rsidRPr="006F1D04">
        <w:rPr>
          <w:rFonts w:ascii="Arial" w:hAnsi="Arial" w:cs="Arial"/>
        </w:rPr>
        <w:t xml:space="preserve"> or 25 </w:t>
      </w:r>
      <w:proofErr w:type="spellStart"/>
      <w:r w:rsidR="006E130B" w:rsidRPr="006F1D04">
        <w:rPr>
          <w:rFonts w:ascii="Arial" w:hAnsi="Arial" w:cs="Arial"/>
        </w:rPr>
        <w:t>μg</w:t>
      </w:r>
      <w:proofErr w:type="spellEnd"/>
      <w:r w:rsidR="006E130B" w:rsidRPr="006F1D04">
        <w:rPr>
          <w:rFonts w:ascii="Arial" w:hAnsi="Arial" w:cs="Arial"/>
        </w:rPr>
        <w:t>/m</w:t>
      </w:r>
      <w:r w:rsidR="006E130B" w:rsidRPr="006F1D04">
        <w:rPr>
          <w:rFonts w:ascii="Arial" w:hAnsi="Arial" w:cs="Arial"/>
          <w:vertAlign w:val="superscript"/>
        </w:rPr>
        <w:t>3</w:t>
      </w:r>
      <w:r w:rsidR="006E130B" w:rsidRPr="006F1D04">
        <w:rPr>
          <w:rFonts w:ascii="Arial" w:hAnsi="Arial" w:cs="Arial"/>
        </w:rPr>
        <w:t xml:space="preserve"> could be justified</w:t>
      </w:r>
      <w:r w:rsidR="005E4C36" w:rsidRPr="006F1D04">
        <w:rPr>
          <w:rFonts w:ascii="Arial" w:hAnsi="Arial" w:cs="Arial"/>
        </w:rPr>
        <w:t xml:space="preserve"> based on these data. If a</w:t>
      </w:r>
      <w:r w:rsidR="006E130B" w:rsidRPr="006F1D04">
        <w:rPr>
          <w:rFonts w:ascii="Arial" w:hAnsi="Arial" w:cs="Arial"/>
        </w:rPr>
        <w:t xml:space="preserve"> </w:t>
      </w:r>
      <w:r w:rsidR="005E4C36" w:rsidRPr="006F1D04">
        <w:rPr>
          <w:rFonts w:ascii="Arial" w:hAnsi="Arial" w:cs="Arial"/>
        </w:rPr>
        <w:t>zero-exceedance rule were to be</w:t>
      </w:r>
      <w:r w:rsidR="00074010" w:rsidRPr="006F1D04">
        <w:rPr>
          <w:rFonts w:ascii="Arial" w:hAnsi="Arial" w:cs="Arial"/>
        </w:rPr>
        <w:t xml:space="preserve"> applied</w:t>
      </w:r>
      <w:r w:rsidR="006E130B" w:rsidRPr="006F1D04">
        <w:rPr>
          <w:rFonts w:ascii="Arial" w:hAnsi="Arial" w:cs="Arial"/>
        </w:rPr>
        <w:t xml:space="preserve"> it w</w:t>
      </w:r>
      <w:r w:rsidR="00074010" w:rsidRPr="006F1D04">
        <w:rPr>
          <w:rFonts w:ascii="Arial" w:hAnsi="Arial" w:cs="Arial"/>
        </w:rPr>
        <w:t>ould be more realistic to retain</w:t>
      </w:r>
      <w:r w:rsidR="006E130B" w:rsidRPr="006F1D04">
        <w:rPr>
          <w:rFonts w:ascii="Arial" w:hAnsi="Arial" w:cs="Arial"/>
        </w:rPr>
        <w:t xml:space="preserve"> the 25 </w:t>
      </w:r>
      <w:proofErr w:type="spellStart"/>
      <w:r w:rsidR="006E130B" w:rsidRPr="006F1D04">
        <w:rPr>
          <w:rFonts w:ascii="Arial" w:hAnsi="Arial" w:cs="Arial"/>
        </w:rPr>
        <w:t>μg</w:t>
      </w:r>
      <w:proofErr w:type="spellEnd"/>
      <w:r w:rsidR="006E130B" w:rsidRPr="006F1D04">
        <w:rPr>
          <w:rFonts w:ascii="Arial" w:hAnsi="Arial" w:cs="Arial"/>
        </w:rPr>
        <w:t>/m</w:t>
      </w:r>
      <w:r w:rsidR="006E130B" w:rsidRPr="006F1D04">
        <w:rPr>
          <w:rFonts w:ascii="Arial" w:hAnsi="Arial" w:cs="Arial"/>
          <w:vertAlign w:val="superscript"/>
        </w:rPr>
        <w:t>3</w:t>
      </w:r>
      <w:r w:rsidR="005E4C36" w:rsidRPr="006F1D04">
        <w:rPr>
          <w:rFonts w:ascii="Arial" w:hAnsi="Arial" w:cs="Arial"/>
        </w:rPr>
        <w:t xml:space="preserve"> standard, whereas a standard of 20 </w:t>
      </w:r>
      <w:proofErr w:type="spellStart"/>
      <w:r w:rsidR="005E4C36" w:rsidRPr="006F1D04">
        <w:rPr>
          <w:rFonts w:ascii="Arial" w:hAnsi="Arial" w:cs="Arial"/>
        </w:rPr>
        <w:t>μg</w:t>
      </w:r>
      <w:proofErr w:type="spellEnd"/>
      <w:r w:rsidR="005E4C36" w:rsidRPr="006F1D04">
        <w:rPr>
          <w:rFonts w:ascii="Arial" w:hAnsi="Arial" w:cs="Arial"/>
        </w:rPr>
        <w:t>/m</w:t>
      </w:r>
      <w:r w:rsidR="005E4C36" w:rsidRPr="006F1D04">
        <w:rPr>
          <w:rFonts w:ascii="Arial" w:hAnsi="Arial" w:cs="Arial"/>
          <w:vertAlign w:val="superscript"/>
        </w:rPr>
        <w:t>3</w:t>
      </w:r>
      <w:r w:rsidR="005E4C36" w:rsidRPr="006F1D04">
        <w:rPr>
          <w:rFonts w:ascii="Arial" w:hAnsi="Arial" w:cs="Arial"/>
        </w:rPr>
        <w:t xml:space="preserve"> would be </w:t>
      </w:r>
      <w:r w:rsidR="00AE7A83" w:rsidRPr="006F1D04">
        <w:rPr>
          <w:rFonts w:ascii="Arial" w:hAnsi="Arial" w:cs="Arial"/>
        </w:rPr>
        <w:t xml:space="preserve">a </w:t>
      </w:r>
      <w:r w:rsidR="005E4C36" w:rsidRPr="006F1D04">
        <w:rPr>
          <w:rFonts w:ascii="Arial" w:hAnsi="Arial" w:cs="Arial"/>
        </w:rPr>
        <w:t>reasonable target with five allowed exceedance days.</w:t>
      </w:r>
    </w:p>
    <w:p w:rsidR="00B14803" w:rsidRPr="006F1D04" w:rsidRDefault="00B14803" w:rsidP="00A55CC2">
      <w:pPr>
        <w:spacing w:after="360"/>
        <w:rPr>
          <w:rFonts w:ascii="Arial" w:hAnsi="Arial" w:cs="Arial"/>
        </w:rPr>
      </w:pPr>
    </w:p>
    <w:p w:rsidR="00A55CC2" w:rsidRPr="006F1D04" w:rsidRDefault="006D7F17" w:rsidP="00A55CC2">
      <w:pPr>
        <w:spacing w:after="120"/>
        <w:jc w:val="center"/>
        <w:rPr>
          <w:rFonts w:ascii="Arial" w:hAnsi="Arial" w:cs="Arial"/>
        </w:rPr>
      </w:pPr>
      <w:r w:rsidRPr="006F1D04">
        <w:rPr>
          <w:rFonts w:ascii="Arial" w:hAnsi="Arial" w:cs="Arial"/>
          <w:noProof/>
        </w:rPr>
        <w:drawing>
          <wp:inline distT="0" distB="0" distL="0" distR="0">
            <wp:extent cx="4317365" cy="2504440"/>
            <wp:effectExtent l="19050" t="19050" r="26035" b="1016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05"/>
                    <a:stretch>
                      <a:fillRect/>
                    </a:stretch>
                  </pic:blipFill>
                  <pic:spPr bwMode="auto">
                    <a:xfrm>
                      <a:off x="0" y="0"/>
                      <a:ext cx="4317365" cy="2504440"/>
                    </a:xfrm>
                    <a:prstGeom prst="rect">
                      <a:avLst/>
                    </a:prstGeom>
                    <a:noFill/>
                    <a:ln w="6350" cmpd="sng">
                      <a:solidFill>
                        <a:srgbClr val="0070C0"/>
                      </a:solidFill>
                      <a:miter lim="800000"/>
                      <a:headEnd/>
                      <a:tailEnd/>
                    </a:ln>
                    <a:effectLst/>
                  </pic:spPr>
                </pic:pic>
              </a:graphicData>
            </a:graphic>
          </wp:inline>
        </w:drawing>
      </w:r>
    </w:p>
    <w:p w:rsidR="00A55CC2" w:rsidRPr="006F1D04" w:rsidRDefault="00A55CC2" w:rsidP="00A55CC2">
      <w:pPr>
        <w:pStyle w:val="Caption"/>
        <w:spacing w:after="0"/>
        <w:ind w:left="1418" w:right="1372"/>
        <w:rPr>
          <w:rFonts w:ascii="Arial" w:hAnsi="Arial" w:cs="Arial"/>
        </w:rPr>
      </w:pPr>
      <w:bookmarkStart w:id="158" w:name="_Ref367436072"/>
      <w:r w:rsidRPr="006F1D04">
        <w:rPr>
          <w:rFonts w:ascii="Arial" w:hAnsi="Arial" w:cs="Arial"/>
        </w:rPr>
        <w:t xml:space="preserve">Figure </w:t>
      </w:r>
      <w:r w:rsidR="00BF6019" w:rsidRPr="006F1D04">
        <w:rPr>
          <w:rFonts w:ascii="Arial" w:hAnsi="Arial" w:cs="Arial"/>
        </w:rPr>
        <w:fldChar w:fldCharType="begin"/>
      </w:r>
      <w:r w:rsidRPr="006F1D04">
        <w:rPr>
          <w:rFonts w:ascii="Arial" w:hAnsi="Arial" w:cs="Arial"/>
        </w:rPr>
        <w:instrText xml:space="preserve"> STYLEREF 1 \s </w:instrText>
      </w:r>
      <w:r w:rsidR="00BF6019" w:rsidRPr="006F1D04">
        <w:rPr>
          <w:rFonts w:ascii="Arial" w:hAnsi="Arial" w:cs="Arial"/>
        </w:rPr>
        <w:fldChar w:fldCharType="separate"/>
      </w:r>
      <w:r w:rsidR="0085182E">
        <w:rPr>
          <w:rFonts w:ascii="Arial" w:hAnsi="Arial" w:cs="Arial"/>
          <w:noProof/>
        </w:rPr>
        <w:t>8</w:t>
      </w:r>
      <w:r w:rsidR="00BF6019" w:rsidRPr="006F1D04">
        <w:rPr>
          <w:rFonts w:ascii="Arial" w:hAnsi="Arial" w:cs="Arial"/>
        </w:rPr>
        <w:fldChar w:fldCharType="end"/>
      </w:r>
      <w:r w:rsidRPr="006F1D04">
        <w:rPr>
          <w:rFonts w:ascii="Arial" w:hAnsi="Arial" w:cs="Arial"/>
        </w:rPr>
        <w:t>.</w:t>
      </w:r>
      <w:r w:rsidR="00BF6019" w:rsidRPr="006F1D04">
        <w:rPr>
          <w:rFonts w:ascii="Arial" w:hAnsi="Arial" w:cs="Arial"/>
        </w:rPr>
        <w:fldChar w:fldCharType="begin"/>
      </w:r>
      <w:r w:rsidRPr="006F1D04">
        <w:rPr>
          <w:rFonts w:ascii="Arial" w:hAnsi="Arial" w:cs="Arial"/>
        </w:rPr>
        <w:instrText xml:space="preserve"> SEQ Figure \* ARABIC \s 1 </w:instrText>
      </w:r>
      <w:r w:rsidR="00BF6019" w:rsidRPr="006F1D04">
        <w:rPr>
          <w:rFonts w:ascii="Arial" w:hAnsi="Arial" w:cs="Arial"/>
        </w:rPr>
        <w:fldChar w:fldCharType="separate"/>
      </w:r>
      <w:r w:rsidR="0085182E">
        <w:rPr>
          <w:rFonts w:ascii="Arial" w:hAnsi="Arial" w:cs="Arial"/>
          <w:noProof/>
        </w:rPr>
        <w:t>4</w:t>
      </w:r>
      <w:r w:rsidR="00BF6019" w:rsidRPr="006F1D04">
        <w:rPr>
          <w:rFonts w:ascii="Arial" w:hAnsi="Arial" w:cs="Arial"/>
        </w:rPr>
        <w:fldChar w:fldCharType="end"/>
      </w:r>
      <w:bookmarkEnd w:id="158"/>
      <w:r w:rsidRPr="006F1D04">
        <w:rPr>
          <w:rFonts w:ascii="Arial" w:hAnsi="Arial" w:cs="Arial"/>
        </w:rPr>
        <w:t>: Average number of days per site per year with 24-hour mean PM</w:t>
      </w:r>
      <w:r w:rsidRPr="006F1D04">
        <w:rPr>
          <w:rFonts w:ascii="Arial" w:hAnsi="Arial" w:cs="Arial"/>
          <w:vertAlign w:val="subscript"/>
        </w:rPr>
        <w:t>2.5</w:t>
      </w:r>
      <w:r w:rsidRPr="006F1D04">
        <w:rPr>
          <w:rFonts w:ascii="Arial" w:hAnsi="Arial" w:cs="Arial"/>
        </w:rPr>
        <w:t xml:space="preserve"> concentration above standard</w:t>
      </w:r>
    </w:p>
    <w:p w:rsidR="00A55CC2" w:rsidRPr="006F1D04" w:rsidRDefault="00A55CC2" w:rsidP="00F40168">
      <w:pPr>
        <w:spacing w:after="200"/>
        <w:rPr>
          <w:rFonts w:ascii="Arial" w:hAnsi="Arial" w:cs="Arial"/>
        </w:rPr>
      </w:pPr>
    </w:p>
    <w:p w:rsidR="003A4476" w:rsidRPr="006F1D04" w:rsidRDefault="003A4476" w:rsidP="002D397B">
      <w:pPr>
        <w:spacing w:after="360"/>
        <w:rPr>
          <w:rFonts w:ascii="Arial" w:hAnsi="Arial" w:cs="Arial"/>
        </w:rPr>
      </w:pPr>
      <w:r w:rsidRPr="006F1D04">
        <w:rPr>
          <w:rFonts w:ascii="Arial" w:hAnsi="Arial" w:cs="Arial"/>
        </w:rPr>
        <w:t>As with PM</w:t>
      </w:r>
      <w:r w:rsidRPr="006F1D04">
        <w:rPr>
          <w:rFonts w:ascii="Arial" w:hAnsi="Arial" w:cs="Arial"/>
          <w:vertAlign w:val="subscript"/>
        </w:rPr>
        <w:t>10</w:t>
      </w:r>
      <w:r w:rsidRPr="006F1D04">
        <w:rPr>
          <w:rFonts w:ascii="Arial" w:hAnsi="Arial" w:cs="Arial"/>
        </w:rPr>
        <w:t>, t</w:t>
      </w:r>
      <w:r w:rsidR="00074010" w:rsidRPr="006F1D04">
        <w:rPr>
          <w:rFonts w:ascii="Arial" w:hAnsi="Arial" w:cs="Arial"/>
        </w:rPr>
        <w:t>here is substantial spatial</w:t>
      </w:r>
      <w:r w:rsidRPr="006F1D04">
        <w:rPr>
          <w:rFonts w:ascii="Arial" w:hAnsi="Arial" w:cs="Arial"/>
        </w:rPr>
        <w:t xml:space="preserve"> variability in exceedances, but </w:t>
      </w:r>
      <w:r w:rsidR="009C7BE6" w:rsidRPr="006F1D04">
        <w:rPr>
          <w:rFonts w:ascii="Arial" w:hAnsi="Arial" w:cs="Arial"/>
        </w:rPr>
        <w:t>for PM</w:t>
      </w:r>
      <w:r w:rsidR="009C7BE6" w:rsidRPr="006F1D04">
        <w:rPr>
          <w:rFonts w:ascii="Arial" w:hAnsi="Arial" w:cs="Arial"/>
          <w:vertAlign w:val="subscript"/>
        </w:rPr>
        <w:t>2.5</w:t>
      </w:r>
      <w:r w:rsidR="009C7BE6" w:rsidRPr="006F1D04">
        <w:rPr>
          <w:rFonts w:ascii="Arial" w:hAnsi="Arial" w:cs="Arial"/>
        </w:rPr>
        <w:t xml:space="preserve"> </w:t>
      </w:r>
      <w:r w:rsidR="00074010" w:rsidRPr="006F1D04">
        <w:rPr>
          <w:rFonts w:ascii="Arial" w:hAnsi="Arial" w:cs="Arial"/>
        </w:rPr>
        <w:t>there is less temporal</w:t>
      </w:r>
      <w:r w:rsidRPr="006F1D04">
        <w:rPr>
          <w:rFonts w:ascii="Arial" w:hAnsi="Arial" w:cs="Arial"/>
        </w:rPr>
        <w:t xml:space="preserve"> variability. The most problematic sites are Launceston and Palmerston, which have had more than 20 exceedances of the current </w:t>
      </w:r>
      <w:r w:rsidR="00EF24F8" w:rsidRPr="006F1D04">
        <w:rPr>
          <w:rFonts w:ascii="Arial" w:hAnsi="Arial" w:cs="Arial"/>
        </w:rPr>
        <w:t>AAQ NEPM</w:t>
      </w:r>
      <w:r w:rsidRPr="006F1D04">
        <w:rPr>
          <w:rFonts w:ascii="Arial" w:hAnsi="Arial" w:cs="Arial"/>
        </w:rPr>
        <w:t xml:space="preserve"> standard in some years.</w:t>
      </w:r>
    </w:p>
    <w:p w:rsidR="00713F9F" w:rsidRPr="006F1D04" w:rsidRDefault="004D3BAA" w:rsidP="009C7BE6">
      <w:pPr>
        <w:pStyle w:val="Heading3"/>
        <w:spacing w:before="0"/>
        <w:rPr>
          <w:rFonts w:ascii="Arial" w:hAnsi="Arial"/>
        </w:rPr>
      </w:pPr>
      <w:bookmarkStart w:id="159" w:name="_Toc394011143"/>
      <w:r w:rsidRPr="006F1D04">
        <w:rPr>
          <w:rFonts w:ascii="Arial" w:hAnsi="Arial"/>
        </w:rPr>
        <w:lastRenderedPageBreak/>
        <w:t>Form of 24-hour standards</w:t>
      </w:r>
      <w:bookmarkEnd w:id="159"/>
    </w:p>
    <w:p w:rsidR="00364C2E" w:rsidRPr="006F1D04" w:rsidRDefault="003F577F" w:rsidP="00CE3683">
      <w:pPr>
        <w:spacing w:after="160"/>
        <w:rPr>
          <w:rFonts w:ascii="Arial" w:hAnsi="Arial" w:cs="Arial"/>
        </w:rPr>
      </w:pPr>
      <w:r w:rsidRPr="006F1D04">
        <w:rPr>
          <w:rFonts w:ascii="Arial" w:hAnsi="Arial" w:cs="Arial"/>
        </w:rPr>
        <w:t>F</w:t>
      </w:r>
      <w:r w:rsidR="00364C2E" w:rsidRPr="006F1D04">
        <w:rPr>
          <w:rFonts w:ascii="Arial" w:hAnsi="Arial" w:cs="Arial"/>
        </w:rPr>
        <w:t>our options for the form of the 24-hour standards are to be considered for the AAQ NEPM:</w:t>
      </w:r>
    </w:p>
    <w:p w:rsidR="00364C2E" w:rsidRPr="006F1D04" w:rsidRDefault="00AE7A83" w:rsidP="002A2116">
      <w:pPr>
        <w:pStyle w:val="ListParagraph"/>
        <w:numPr>
          <w:ilvl w:val="0"/>
          <w:numId w:val="31"/>
        </w:numPr>
        <w:spacing w:after="140"/>
        <w:ind w:left="568" w:hanging="284"/>
        <w:contextualSpacing w:val="0"/>
        <w:rPr>
          <w:rFonts w:ascii="Arial" w:hAnsi="Arial" w:cs="Arial"/>
        </w:rPr>
      </w:pPr>
      <w:r w:rsidRPr="006F1D04">
        <w:rPr>
          <w:rFonts w:ascii="Arial" w:hAnsi="Arial" w:cs="Arial"/>
        </w:rPr>
        <w:t>b</w:t>
      </w:r>
      <w:r w:rsidR="00364C2E" w:rsidRPr="006F1D04">
        <w:rPr>
          <w:rFonts w:ascii="Arial" w:hAnsi="Arial" w:cs="Arial"/>
        </w:rPr>
        <w:t>usiness as usual option; a rule that allows a fixed number of exceedances of a PM standard in a given year, but with no exclusion of data for exceptional events</w:t>
      </w:r>
    </w:p>
    <w:p w:rsidR="00364C2E" w:rsidRPr="006F1D04" w:rsidRDefault="00AE7A83" w:rsidP="002A2116">
      <w:pPr>
        <w:numPr>
          <w:ilvl w:val="0"/>
          <w:numId w:val="31"/>
        </w:numPr>
        <w:spacing w:after="140"/>
        <w:ind w:left="568" w:hanging="284"/>
        <w:rPr>
          <w:rFonts w:ascii="Arial" w:hAnsi="Arial" w:cs="Arial"/>
        </w:rPr>
      </w:pPr>
      <w:r w:rsidRPr="006F1D04">
        <w:rPr>
          <w:rFonts w:ascii="Arial" w:hAnsi="Arial" w:cs="Arial"/>
        </w:rPr>
        <w:t>a</w:t>
      </w:r>
      <w:r w:rsidR="00364C2E" w:rsidRPr="006F1D04">
        <w:rPr>
          <w:rFonts w:ascii="Arial" w:hAnsi="Arial" w:cs="Arial"/>
        </w:rPr>
        <w:t xml:space="preserve"> rule that allows a fixed number of exceedances of a PM standard in a given year, with exclusion of data for exceptional events</w:t>
      </w:r>
    </w:p>
    <w:p w:rsidR="00364C2E" w:rsidRPr="006F1D04" w:rsidRDefault="00AE7A83" w:rsidP="002A2116">
      <w:pPr>
        <w:numPr>
          <w:ilvl w:val="0"/>
          <w:numId w:val="31"/>
        </w:numPr>
        <w:spacing w:after="140"/>
        <w:ind w:left="568" w:hanging="284"/>
        <w:rPr>
          <w:rFonts w:ascii="Arial" w:hAnsi="Arial" w:cs="Arial"/>
        </w:rPr>
      </w:pPr>
      <w:r w:rsidRPr="006F1D04">
        <w:rPr>
          <w:rFonts w:ascii="Arial" w:hAnsi="Arial" w:cs="Arial"/>
        </w:rPr>
        <w:t>a</w:t>
      </w:r>
      <w:r w:rsidR="00364C2E" w:rsidRPr="006F1D04">
        <w:rPr>
          <w:rFonts w:ascii="Arial" w:hAnsi="Arial" w:cs="Arial"/>
        </w:rPr>
        <w:t xml:space="preserve"> rule in which the 98</w:t>
      </w:r>
      <w:r w:rsidR="00364C2E" w:rsidRPr="006F1D04">
        <w:rPr>
          <w:rFonts w:ascii="Arial" w:hAnsi="Arial" w:cs="Arial"/>
          <w:vertAlign w:val="superscript"/>
        </w:rPr>
        <w:t>th</w:t>
      </w:r>
      <w:r w:rsidR="00364C2E" w:rsidRPr="006F1D04">
        <w:rPr>
          <w:rFonts w:ascii="Arial" w:hAnsi="Arial" w:cs="Arial"/>
        </w:rPr>
        <w:t xml:space="preserve"> percentile PM concentration in a given year is compared with a standard, but with no exclusion of data for exceptional events</w:t>
      </w:r>
    </w:p>
    <w:p w:rsidR="00364C2E" w:rsidRPr="006F1D04" w:rsidRDefault="00AE7A83" w:rsidP="00003665">
      <w:pPr>
        <w:numPr>
          <w:ilvl w:val="0"/>
          <w:numId w:val="31"/>
        </w:numPr>
        <w:ind w:left="568" w:hanging="284"/>
        <w:rPr>
          <w:rFonts w:ascii="Arial" w:hAnsi="Arial" w:cs="Arial"/>
        </w:rPr>
      </w:pPr>
      <w:proofErr w:type="gramStart"/>
      <w:r w:rsidRPr="006F1D04">
        <w:rPr>
          <w:rFonts w:ascii="Arial" w:hAnsi="Arial" w:cs="Arial"/>
        </w:rPr>
        <w:t>a</w:t>
      </w:r>
      <w:proofErr w:type="gramEnd"/>
      <w:r w:rsidR="00364C2E" w:rsidRPr="006F1D04">
        <w:rPr>
          <w:rFonts w:ascii="Arial" w:hAnsi="Arial" w:cs="Arial"/>
        </w:rPr>
        <w:t xml:space="preserve"> rule in which the 98</w:t>
      </w:r>
      <w:r w:rsidR="00364C2E" w:rsidRPr="006F1D04">
        <w:rPr>
          <w:rFonts w:ascii="Arial" w:hAnsi="Arial" w:cs="Arial"/>
          <w:vertAlign w:val="superscript"/>
        </w:rPr>
        <w:t>th</w:t>
      </w:r>
      <w:r w:rsidR="00364C2E" w:rsidRPr="006F1D04">
        <w:rPr>
          <w:rFonts w:ascii="Arial" w:hAnsi="Arial" w:cs="Arial"/>
        </w:rPr>
        <w:t xml:space="preserve"> percentile PM concentration in a given year is compared with a standard, but with exclusion of data for exceptional events.</w:t>
      </w:r>
    </w:p>
    <w:p w:rsidR="00B14EB1" w:rsidRPr="006F1D04" w:rsidRDefault="00771CFB" w:rsidP="001E0DB8">
      <w:pPr>
        <w:spacing w:after="160"/>
        <w:rPr>
          <w:rFonts w:ascii="Arial" w:hAnsi="Arial" w:cs="Arial"/>
        </w:rPr>
      </w:pPr>
      <w:r w:rsidRPr="006F1D04">
        <w:rPr>
          <w:rFonts w:ascii="Arial" w:hAnsi="Arial" w:cs="Arial"/>
        </w:rPr>
        <w:t>There is no single</w:t>
      </w:r>
      <w:r w:rsidR="00B14EB1" w:rsidRPr="006F1D04">
        <w:rPr>
          <w:rFonts w:ascii="Arial" w:hAnsi="Arial" w:cs="Arial"/>
        </w:rPr>
        <w:t xml:space="preserve"> analysis that can be done to confirm whether any one form of a 24-hour standard is systematically </w:t>
      </w:r>
      <w:r w:rsidR="001E0DB8" w:rsidRPr="006F1D04">
        <w:rPr>
          <w:rFonts w:ascii="Arial" w:hAnsi="Arial" w:cs="Arial"/>
        </w:rPr>
        <w:t>‘</w:t>
      </w:r>
      <w:r w:rsidR="00B14EB1" w:rsidRPr="006F1D04">
        <w:rPr>
          <w:rFonts w:ascii="Arial" w:hAnsi="Arial" w:cs="Arial"/>
        </w:rPr>
        <w:t>better</w:t>
      </w:r>
      <w:r w:rsidR="001E0DB8" w:rsidRPr="006F1D04">
        <w:rPr>
          <w:rFonts w:ascii="Arial" w:hAnsi="Arial" w:cs="Arial"/>
        </w:rPr>
        <w:t>’</w:t>
      </w:r>
      <w:r w:rsidR="00B14EB1" w:rsidRPr="006F1D04">
        <w:rPr>
          <w:rFonts w:ascii="Arial" w:hAnsi="Arial" w:cs="Arial"/>
        </w:rPr>
        <w:t xml:space="preserve"> than any other form of the standard. The </w:t>
      </w:r>
      <w:r w:rsidR="009C7BE6" w:rsidRPr="006F1D04">
        <w:rPr>
          <w:rFonts w:ascii="Arial" w:hAnsi="Arial" w:cs="Arial"/>
        </w:rPr>
        <w:t xml:space="preserve">most suitable form </w:t>
      </w:r>
      <w:r w:rsidR="00B14EB1" w:rsidRPr="006F1D04">
        <w:rPr>
          <w:rFonts w:ascii="Arial" w:hAnsi="Arial" w:cs="Arial"/>
        </w:rPr>
        <w:t>depends on the objective of the monitoring and the required level of stringency. For example:</w:t>
      </w:r>
    </w:p>
    <w:p w:rsidR="00454FFD" w:rsidRPr="006F1D04" w:rsidRDefault="00B14EB1" w:rsidP="00003665">
      <w:pPr>
        <w:pStyle w:val="BulletArrows"/>
        <w:numPr>
          <w:ilvl w:val="0"/>
          <w:numId w:val="120"/>
        </w:numPr>
        <w:ind w:left="568" w:hanging="284"/>
        <w:rPr>
          <w:rFonts w:ascii="Arial" w:hAnsi="Arial"/>
        </w:rPr>
      </w:pPr>
      <w:r w:rsidRPr="006F1D04">
        <w:rPr>
          <w:rFonts w:ascii="Arial" w:hAnsi="Arial"/>
        </w:rPr>
        <w:t>If the objective is to report trends in air quality and progress towards a target, then a simpl</w:t>
      </w:r>
      <w:r w:rsidR="001E0DB8" w:rsidRPr="006F1D04">
        <w:rPr>
          <w:rFonts w:ascii="Arial" w:hAnsi="Arial"/>
        </w:rPr>
        <w:t xml:space="preserve">e and stable statistical metric, </w:t>
      </w:r>
      <w:r w:rsidRPr="006F1D04">
        <w:rPr>
          <w:rFonts w:ascii="Arial" w:hAnsi="Arial"/>
        </w:rPr>
        <w:t xml:space="preserve">such as </w:t>
      </w:r>
      <w:r w:rsidR="00364C2E" w:rsidRPr="006F1D04">
        <w:rPr>
          <w:rFonts w:ascii="Arial" w:hAnsi="Arial"/>
        </w:rPr>
        <w:t>the 98</w:t>
      </w:r>
      <w:r w:rsidR="00364C2E" w:rsidRPr="006F1D04">
        <w:rPr>
          <w:rFonts w:ascii="Arial" w:hAnsi="Arial"/>
          <w:vertAlign w:val="superscript"/>
        </w:rPr>
        <w:t>th</w:t>
      </w:r>
      <w:r w:rsidR="009C7BE6" w:rsidRPr="006F1D04">
        <w:rPr>
          <w:rFonts w:ascii="Arial" w:hAnsi="Arial"/>
        </w:rPr>
        <w:t xml:space="preserve"> percentile con</w:t>
      </w:r>
      <w:r w:rsidR="001E0DB8" w:rsidRPr="006F1D04">
        <w:rPr>
          <w:rFonts w:ascii="Arial" w:hAnsi="Arial"/>
        </w:rPr>
        <w:t xml:space="preserve">centration, </w:t>
      </w:r>
      <w:r w:rsidRPr="006F1D04">
        <w:rPr>
          <w:rFonts w:ascii="Arial" w:hAnsi="Arial"/>
        </w:rPr>
        <w:t>or a combination of statistical metrics would probably be sufficient.</w:t>
      </w:r>
      <w:r w:rsidR="00CB6A70" w:rsidRPr="006F1D04">
        <w:rPr>
          <w:rFonts w:ascii="Arial" w:hAnsi="Arial"/>
        </w:rPr>
        <w:t xml:space="preserve"> </w:t>
      </w:r>
    </w:p>
    <w:p w:rsidR="00B14EB1" w:rsidRPr="006F1D04" w:rsidRDefault="00B14EB1" w:rsidP="00003665">
      <w:pPr>
        <w:pStyle w:val="BulletArrows"/>
        <w:numPr>
          <w:ilvl w:val="0"/>
          <w:numId w:val="120"/>
        </w:numPr>
        <w:spacing w:after="240"/>
        <w:ind w:left="568" w:hanging="284"/>
        <w:rPr>
          <w:rFonts w:ascii="Arial" w:hAnsi="Arial"/>
        </w:rPr>
      </w:pPr>
      <w:r w:rsidRPr="006F1D04">
        <w:rPr>
          <w:rFonts w:ascii="Arial" w:hAnsi="Arial"/>
        </w:rPr>
        <w:t xml:space="preserve">If the objective is to enforce the standards then there is a </w:t>
      </w:r>
      <w:r w:rsidR="00137F39" w:rsidRPr="006F1D04">
        <w:rPr>
          <w:rFonts w:ascii="Arial" w:hAnsi="Arial"/>
        </w:rPr>
        <w:t xml:space="preserve">greater </w:t>
      </w:r>
      <w:r w:rsidRPr="006F1D04">
        <w:rPr>
          <w:rFonts w:ascii="Arial" w:hAnsi="Arial"/>
        </w:rPr>
        <w:t>need to understand the contributions of different sources to airborne PM and the reasons for exceedances. This would require a more thorough analysis of concentrations, PM composition</w:t>
      </w:r>
      <w:r w:rsidR="00752569" w:rsidRPr="006F1D04">
        <w:rPr>
          <w:rFonts w:ascii="Arial" w:hAnsi="Arial"/>
        </w:rPr>
        <w:t xml:space="preserve"> and</w:t>
      </w:r>
      <w:r w:rsidRPr="006F1D04">
        <w:rPr>
          <w:rFonts w:ascii="Arial" w:hAnsi="Arial"/>
        </w:rPr>
        <w:t xml:space="preserve"> meteorology.</w:t>
      </w:r>
    </w:p>
    <w:p w:rsidR="002D397B" w:rsidRPr="006F1D04" w:rsidRDefault="002D397B" w:rsidP="00CE3683">
      <w:pPr>
        <w:spacing w:after="220"/>
        <w:rPr>
          <w:rFonts w:ascii="Arial" w:hAnsi="Arial" w:cs="Arial"/>
        </w:rPr>
      </w:pPr>
      <w:r w:rsidRPr="006F1D04">
        <w:rPr>
          <w:rFonts w:ascii="Arial" w:hAnsi="Arial" w:cs="Arial"/>
        </w:rPr>
        <w:t>Some of the advantages and disadvant</w:t>
      </w:r>
      <w:r w:rsidR="001E0DB8" w:rsidRPr="006F1D04">
        <w:rPr>
          <w:rFonts w:ascii="Arial" w:hAnsi="Arial" w:cs="Arial"/>
        </w:rPr>
        <w:t>ages of the different options</w:t>
      </w:r>
      <w:r w:rsidRPr="006F1D04">
        <w:rPr>
          <w:rFonts w:ascii="Arial" w:hAnsi="Arial" w:cs="Arial"/>
        </w:rPr>
        <w:t xml:space="preserve"> </w:t>
      </w:r>
      <w:r w:rsidR="001E0DB8" w:rsidRPr="006F1D04">
        <w:rPr>
          <w:rFonts w:ascii="Arial" w:hAnsi="Arial" w:cs="Arial"/>
        </w:rPr>
        <w:t xml:space="preserve">in relation to definitions, implementation and resourcing </w:t>
      </w:r>
      <w:r w:rsidRPr="006F1D04">
        <w:rPr>
          <w:rFonts w:ascii="Arial" w:hAnsi="Arial" w:cs="Arial"/>
        </w:rPr>
        <w:t xml:space="preserve">are summarised in </w:t>
      </w:r>
      <w:fldSimple w:instr=" REF _Ref367451491 \h  \* MERGEFORMAT ">
        <w:r w:rsidR="0085182E" w:rsidRPr="0085182E">
          <w:rPr>
            <w:rFonts w:ascii="Arial" w:hAnsi="Arial" w:cs="Arial"/>
            <w:b/>
          </w:rPr>
          <w:t>Table 8.1</w:t>
        </w:r>
      </w:fldSimple>
      <w:r w:rsidRPr="006F1D04">
        <w:rPr>
          <w:rFonts w:ascii="Arial" w:hAnsi="Arial" w:cs="Arial"/>
        </w:rPr>
        <w:t>.</w:t>
      </w:r>
    </w:p>
    <w:p w:rsidR="002D397B" w:rsidRPr="006F1D04" w:rsidRDefault="002D397B" w:rsidP="00CE3683">
      <w:pPr>
        <w:spacing w:after="220"/>
        <w:rPr>
          <w:rFonts w:ascii="Arial" w:hAnsi="Arial" w:cs="Arial"/>
        </w:rPr>
      </w:pPr>
      <w:r w:rsidRPr="006F1D04">
        <w:rPr>
          <w:rFonts w:ascii="Arial" w:hAnsi="Arial" w:cs="Arial"/>
        </w:rPr>
        <w:t xml:space="preserve">The current approach used in the </w:t>
      </w:r>
      <w:r w:rsidR="00EF24F8" w:rsidRPr="006F1D04">
        <w:rPr>
          <w:rFonts w:ascii="Arial" w:hAnsi="Arial" w:cs="Arial"/>
        </w:rPr>
        <w:t>AAQ NEPM</w:t>
      </w:r>
      <w:r w:rsidRPr="006F1D04">
        <w:rPr>
          <w:rFonts w:ascii="Arial" w:hAnsi="Arial" w:cs="Arial"/>
        </w:rPr>
        <w:t xml:space="preserve"> – a fixed number of allowed exceedances per year </w:t>
      </w:r>
      <w:r w:rsidR="00487C06" w:rsidRPr="006F1D04">
        <w:rPr>
          <w:rFonts w:ascii="Arial" w:hAnsi="Arial" w:cs="Arial"/>
        </w:rPr>
        <w:t>–</w:t>
      </w:r>
      <w:r w:rsidRPr="006F1D04">
        <w:rPr>
          <w:rFonts w:ascii="Arial" w:hAnsi="Arial" w:cs="Arial"/>
        </w:rPr>
        <w:t xml:space="preserve"> </w:t>
      </w:r>
      <w:r w:rsidR="00487C06" w:rsidRPr="006F1D04">
        <w:rPr>
          <w:rFonts w:ascii="Arial" w:hAnsi="Arial" w:cs="Arial"/>
        </w:rPr>
        <w:t xml:space="preserve">is straightforward in terms of definition and application, but is arbitrary in nature. It is also difficult to compare results across jurisdictions. For example, the geographical size of Australia means that there are very different climatic influences on PM concentrations in different jurisdictions, and the scale of human activity is vastly different in say, Sydney and Darwin. </w:t>
      </w:r>
      <w:r w:rsidR="004312E0" w:rsidRPr="006F1D04">
        <w:rPr>
          <w:rFonts w:ascii="Arial" w:hAnsi="Arial" w:cs="Arial"/>
        </w:rPr>
        <w:t>T</w:t>
      </w:r>
      <w:r w:rsidR="00487C06" w:rsidRPr="006F1D04">
        <w:rPr>
          <w:rFonts w:ascii="Arial" w:hAnsi="Arial" w:cs="Arial"/>
        </w:rPr>
        <w:t xml:space="preserve">here can </w:t>
      </w:r>
      <w:r w:rsidR="004312E0" w:rsidRPr="006F1D04">
        <w:rPr>
          <w:rFonts w:ascii="Arial" w:hAnsi="Arial" w:cs="Arial"/>
        </w:rPr>
        <w:t xml:space="preserve">also </w:t>
      </w:r>
      <w:r w:rsidR="00487C06" w:rsidRPr="006F1D04">
        <w:rPr>
          <w:rFonts w:ascii="Arial" w:hAnsi="Arial" w:cs="Arial"/>
        </w:rPr>
        <w:t>be more than the permitted number exceedances in one year due to natural events alone.</w:t>
      </w:r>
    </w:p>
    <w:p w:rsidR="006238D7" w:rsidRPr="006F1D04" w:rsidRDefault="004671FE" w:rsidP="00CE3683">
      <w:pPr>
        <w:spacing w:after="0"/>
        <w:rPr>
          <w:rFonts w:ascii="Arial" w:hAnsi="Arial" w:cs="Arial"/>
        </w:rPr>
      </w:pPr>
      <w:r w:rsidRPr="006F1D04">
        <w:rPr>
          <w:rFonts w:ascii="Arial" w:hAnsi="Arial" w:cs="Arial"/>
        </w:rPr>
        <w:t xml:space="preserve">A percentile rule is simple to apply, and the Australian jurisdictions are already calculating percentile values in their AAQ NEPM submissions. Percentiles provide stable and practical reference points for tracking trends in air quality, although they do not aid the understanding of the causes of high-pollution events. </w:t>
      </w:r>
      <w:r w:rsidR="006238D7" w:rsidRPr="006F1D04">
        <w:rPr>
          <w:rFonts w:ascii="Arial" w:hAnsi="Arial" w:cs="Arial"/>
        </w:rPr>
        <w:t>When selecting</w:t>
      </w:r>
      <w:r w:rsidRPr="006F1D04">
        <w:rPr>
          <w:rFonts w:ascii="Arial" w:hAnsi="Arial" w:cs="Arial"/>
        </w:rPr>
        <w:t xml:space="preserve"> a percentile value it is important to consider the variability of the measurements and the stability of the metric. Maximum (100</w:t>
      </w:r>
      <w:r w:rsidRPr="006F1D04">
        <w:rPr>
          <w:rFonts w:ascii="Arial" w:hAnsi="Arial" w:cs="Arial"/>
          <w:vertAlign w:val="superscript"/>
        </w:rPr>
        <w:t>th</w:t>
      </w:r>
      <w:r w:rsidRPr="006F1D04">
        <w:rPr>
          <w:rFonts w:ascii="Arial" w:hAnsi="Arial" w:cs="Arial"/>
        </w:rPr>
        <w:t xml:space="preserve"> percentile) concentrations are highly variable, but the stability of a percentile metric increases as the percentile decreases. This can be seen in </w:t>
      </w:r>
      <w:fldSimple w:instr=" REF _Ref367450177 \h  \* MERGEFORMAT ">
        <w:r w:rsidR="0085182E" w:rsidRPr="0085182E">
          <w:rPr>
            <w:rFonts w:ascii="Arial" w:hAnsi="Arial" w:cs="Arial"/>
            <w:b/>
          </w:rPr>
          <w:t>Figure 8.5</w:t>
        </w:r>
      </w:fldSimple>
      <w:r w:rsidRPr="006F1D04">
        <w:rPr>
          <w:rFonts w:ascii="Arial" w:hAnsi="Arial" w:cs="Arial"/>
        </w:rPr>
        <w:t xml:space="preserve"> and </w:t>
      </w:r>
      <w:fldSimple w:instr=" REF _Ref367450178 \h  \* MERGEFORMAT ">
        <w:r w:rsidR="0085182E" w:rsidRPr="0085182E">
          <w:rPr>
            <w:rFonts w:ascii="Arial" w:hAnsi="Arial" w:cs="Arial"/>
            <w:b/>
          </w:rPr>
          <w:t>Figure 8.6</w:t>
        </w:r>
      </w:fldSimple>
      <w:r w:rsidRPr="006F1D04">
        <w:rPr>
          <w:rFonts w:ascii="Arial" w:hAnsi="Arial" w:cs="Arial"/>
        </w:rPr>
        <w:t>, which show different percentile values plotted against annual mean values for all sites and years included in the analysis of the ambient PM data. A similar approach (based on the coefficient of variation) was used by the USEPA to select the 98</w:t>
      </w:r>
      <w:r w:rsidRPr="006F1D04">
        <w:rPr>
          <w:rFonts w:ascii="Arial" w:hAnsi="Arial" w:cs="Arial"/>
          <w:vertAlign w:val="superscript"/>
        </w:rPr>
        <w:t>th</w:t>
      </w:r>
      <w:r w:rsidRPr="006F1D04">
        <w:rPr>
          <w:rFonts w:ascii="Arial" w:hAnsi="Arial" w:cs="Arial"/>
        </w:rPr>
        <w:t xml:space="preserve"> percentile in preference to the 99</w:t>
      </w:r>
      <w:r w:rsidRPr="006F1D04">
        <w:rPr>
          <w:rFonts w:ascii="Arial" w:hAnsi="Arial" w:cs="Arial"/>
          <w:vertAlign w:val="superscript"/>
        </w:rPr>
        <w:t>th</w:t>
      </w:r>
      <w:r w:rsidRPr="006F1D04">
        <w:rPr>
          <w:rFonts w:ascii="Arial" w:hAnsi="Arial" w:cs="Arial"/>
        </w:rPr>
        <w:t xml:space="preserve"> percentile. However, the stringency of the standard decreases as the percentile decreases; it is easier to achieve a given standard as the 98</w:t>
      </w:r>
      <w:r w:rsidRPr="006F1D04">
        <w:rPr>
          <w:rFonts w:ascii="Arial" w:hAnsi="Arial" w:cs="Arial"/>
          <w:vertAlign w:val="superscript"/>
        </w:rPr>
        <w:t>th</w:t>
      </w:r>
      <w:r w:rsidRPr="006F1D04">
        <w:rPr>
          <w:rFonts w:ascii="Arial" w:hAnsi="Arial" w:cs="Arial"/>
        </w:rPr>
        <w:t xml:space="preserve"> percentile of a series of measurements than as the 99</w:t>
      </w:r>
      <w:r w:rsidRPr="006F1D04">
        <w:rPr>
          <w:rFonts w:ascii="Arial" w:hAnsi="Arial" w:cs="Arial"/>
          <w:vertAlign w:val="superscript"/>
        </w:rPr>
        <w:t>th</w:t>
      </w:r>
      <w:r w:rsidRPr="006F1D04">
        <w:rPr>
          <w:rFonts w:ascii="Arial" w:hAnsi="Arial" w:cs="Arial"/>
        </w:rPr>
        <w:t xml:space="preserve"> percentile.</w:t>
      </w:r>
      <w:r w:rsidR="006238D7" w:rsidRPr="006F1D04">
        <w:rPr>
          <w:rFonts w:ascii="Arial" w:hAnsi="Arial" w:cs="Arial"/>
        </w:rPr>
        <w:t xml:space="preserve"> </w:t>
      </w:r>
      <w:r w:rsidR="006238D7" w:rsidRPr="006F1D04">
        <w:rPr>
          <w:rFonts w:ascii="Arial" w:hAnsi="Arial" w:cs="Arial"/>
          <w:lang w:eastAsia="en-US"/>
        </w:rPr>
        <w:t>The 98</w:t>
      </w:r>
      <w:r w:rsidR="006238D7" w:rsidRPr="006F1D04">
        <w:rPr>
          <w:rFonts w:ascii="Arial" w:hAnsi="Arial" w:cs="Arial"/>
          <w:vertAlign w:val="superscript"/>
          <w:lang w:eastAsia="en-US"/>
        </w:rPr>
        <w:t>th</w:t>
      </w:r>
      <w:r w:rsidR="006238D7" w:rsidRPr="006F1D04">
        <w:rPr>
          <w:rFonts w:ascii="Arial" w:hAnsi="Arial" w:cs="Arial"/>
          <w:lang w:eastAsia="en-US"/>
        </w:rPr>
        <w:t xml:space="preserve"> percentile was selected as an appropriate balance between limiting peak pollutant concentrations and providing a stable regulatory target for risk management </w:t>
      </w:r>
      <w:r w:rsidR="009938C5" w:rsidRPr="006F1D04">
        <w:rPr>
          <w:rFonts w:ascii="Arial" w:hAnsi="Arial" w:cs="Arial"/>
          <w:lang w:eastAsia="en-US"/>
        </w:rPr>
        <w:t>programs</w:t>
      </w:r>
      <w:r w:rsidR="006238D7" w:rsidRPr="006F1D04">
        <w:rPr>
          <w:rFonts w:ascii="Arial" w:hAnsi="Arial" w:cs="Arial"/>
          <w:lang w:eastAsia="en-US"/>
        </w:rPr>
        <w:t>.</w:t>
      </w:r>
    </w:p>
    <w:p w:rsidR="00ED7A41" w:rsidRPr="006F1D04" w:rsidRDefault="00ED7A41" w:rsidP="00B14EB1">
      <w:pPr>
        <w:rPr>
          <w:rFonts w:ascii="Arial" w:hAnsi="Arial" w:cs="Arial"/>
        </w:rPr>
        <w:sectPr w:rsidR="00ED7A41" w:rsidRPr="006F1D04" w:rsidSect="006A5626">
          <w:headerReference w:type="default" r:id="rId80"/>
          <w:footerReference w:type="default" r:id="rId81"/>
          <w:headerReference w:type="first" r:id="rId82"/>
          <w:pgSz w:w="11906" w:h="16838" w:code="9"/>
          <w:pgMar w:top="1440" w:right="1440" w:bottom="1440" w:left="1440" w:header="284" w:footer="244" w:gutter="0"/>
          <w:cols w:space="255"/>
          <w:docGrid w:linePitch="360"/>
        </w:sectPr>
      </w:pPr>
    </w:p>
    <w:p w:rsidR="00ED7A41" w:rsidRPr="006F1D04" w:rsidRDefault="00ED7A41" w:rsidP="00ED7A41">
      <w:pPr>
        <w:pStyle w:val="Caption"/>
        <w:rPr>
          <w:rFonts w:ascii="Arial" w:hAnsi="Arial" w:cs="Arial"/>
        </w:rPr>
      </w:pPr>
      <w:bookmarkStart w:id="160" w:name="_Ref367451491"/>
      <w:r w:rsidRPr="006F1D04">
        <w:rPr>
          <w:rFonts w:ascii="Arial" w:hAnsi="Arial" w:cs="Arial"/>
        </w:rPr>
        <w:lastRenderedPageBreak/>
        <w:t xml:space="preserve">Table </w:t>
      </w:r>
      <w:r w:rsidR="00BF6019" w:rsidRPr="006F1D04">
        <w:rPr>
          <w:rFonts w:ascii="Arial" w:hAnsi="Arial" w:cs="Arial"/>
        </w:rPr>
        <w:fldChar w:fldCharType="begin"/>
      </w:r>
      <w:r w:rsidRPr="006F1D04">
        <w:rPr>
          <w:rFonts w:ascii="Arial" w:hAnsi="Arial" w:cs="Arial"/>
        </w:rPr>
        <w:instrText xml:space="preserve"> STYLEREF 1 \s </w:instrText>
      </w:r>
      <w:r w:rsidR="00BF6019" w:rsidRPr="006F1D04">
        <w:rPr>
          <w:rFonts w:ascii="Arial" w:hAnsi="Arial" w:cs="Arial"/>
        </w:rPr>
        <w:fldChar w:fldCharType="separate"/>
      </w:r>
      <w:r w:rsidR="0085182E">
        <w:rPr>
          <w:rFonts w:ascii="Arial" w:hAnsi="Arial" w:cs="Arial"/>
          <w:noProof/>
        </w:rPr>
        <w:t>8</w:t>
      </w:r>
      <w:r w:rsidR="00BF6019" w:rsidRPr="006F1D04">
        <w:rPr>
          <w:rFonts w:ascii="Arial" w:hAnsi="Arial" w:cs="Arial"/>
        </w:rPr>
        <w:fldChar w:fldCharType="end"/>
      </w:r>
      <w:r w:rsidRPr="006F1D04">
        <w:rPr>
          <w:rFonts w:ascii="Arial" w:hAnsi="Arial" w:cs="Arial"/>
        </w:rPr>
        <w:t>.</w:t>
      </w:r>
      <w:r w:rsidR="00BF6019" w:rsidRPr="006F1D04">
        <w:rPr>
          <w:rFonts w:ascii="Arial" w:hAnsi="Arial" w:cs="Arial"/>
        </w:rPr>
        <w:fldChar w:fldCharType="begin"/>
      </w:r>
      <w:r w:rsidRPr="006F1D04">
        <w:rPr>
          <w:rFonts w:ascii="Arial" w:hAnsi="Arial" w:cs="Arial"/>
        </w:rPr>
        <w:instrText xml:space="preserve"> SEQ Table \* ARABIC \s 1 </w:instrText>
      </w:r>
      <w:r w:rsidR="00BF6019" w:rsidRPr="006F1D04">
        <w:rPr>
          <w:rFonts w:ascii="Arial" w:hAnsi="Arial" w:cs="Arial"/>
        </w:rPr>
        <w:fldChar w:fldCharType="separate"/>
      </w:r>
      <w:r w:rsidR="0085182E">
        <w:rPr>
          <w:rFonts w:ascii="Arial" w:hAnsi="Arial" w:cs="Arial"/>
          <w:noProof/>
        </w:rPr>
        <w:t>1</w:t>
      </w:r>
      <w:r w:rsidR="00BF6019" w:rsidRPr="006F1D04">
        <w:rPr>
          <w:rFonts w:ascii="Arial" w:hAnsi="Arial" w:cs="Arial"/>
        </w:rPr>
        <w:fldChar w:fldCharType="end"/>
      </w:r>
      <w:bookmarkEnd w:id="160"/>
      <w:r w:rsidRPr="006F1D04">
        <w:rPr>
          <w:rFonts w:ascii="Arial" w:hAnsi="Arial" w:cs="Arial"/>
        </w:rPr>
        <w:t xml:space="preserve">: </w:t>
      </w:r>
      <w:r w:rsidR="001E0DB8" w:rsidRPr="006F1D04">
        <w:rPr>
          <w:rFonts w:ascii="Arial" w:hAnsi="Arial" w:cs="Arial"/>
        </w:rPr>
        <w:t>Options for f</w:t>
      </w:r>
      <w:r w:rsidRPr="006F1D04">
        <w:rPr>
          <w:rFonts w:ascii="Arial" w:hAnsi="Arial" w:cs="Arial"/>
        </w:rPr>
        <w:t>orm of standards – advantages and disadvantages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1370"/>
        <w:gridCol w:w="1764"/>
        <w:gridCol w:w="1559"/>
        <w:gridCol w:w="1984"/>
        <w:gridCol w:w="2649"/>
        <w:gridCol w:w="1542"/>
        <w:gridCol w:w="1701"/>
      </w:tblGrid>
      <w:tr w:rsidR="00ED7A41" w:rsidRPr="006F1D04" w:rsidTr="00487C06">
        <w:trPr>
          <w:trHeight w:val="286"/>
          <w:jc w:val="center"/>
        </w:trPr>
        <w:tc>
          <w:tcPr>
            <w:tcW w:w="1370" w:type="dxa"/>
            <w:vMerge w:val="restart"/>
            <w:tcBorders>
              <w:top w:val="single" w:sz="4" w:space="0" w:color="0070C0"/>
              <w:left w:val="single" w:sz="4" w:space="0" w:color="0070C0"/>
              <w:bottom w:val="single" w:sz="4" w:space="0" w:color="0070C0"/>
              <w:right w:val="single" w:sz="4" w:space="0" w:color="0070C0"/>
            </w:tcBorders>
            <w:shd w:val="clear" w:color="auto" w:fill="0070C0"/>
            <w:vAlign w:val="center"/>
          </w:tcPr>
          <w:p w:rsidR="00ED7A41" w:rsidRPr="006F1D04" w:rsidRDefault="00ED7A41" w:rsidP="00885B82">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Form</w:t>
            </w:r>
          </w:p>
        </w:tc>
        <w:tc>
          <w:tcPr>
            <w:tcW w:w="3323" w:type="dxa"/>
            <w:gridSpan w:val="2"/>
            <w:tcBorders>
              <w:top w:val="single" w:sz="4" w:space="0" w:color="0070C0"/>
              <w:left w:val="single" w:sz="4" w:space="0" w:color="0070C0"/>
              <w:bottom w:val="single" w:sz="4" w:space="0" w:color="0070C0"/>
              <w:right w:val="single" w:sz="4" w:space="0" w:color="0070C0"/>
            </w:tcBorders>
            <w:shd w:val="clear" w:color="auto" w:fill="0070C0"/>
            <w:vAlign w:val="center"/>
          </w:tcPr>
          <w:p w:rsidR="00ED7A41" w:rsidRPr="006F1D04" w:rsidRDefault="00ED7A41" w:rsidP="00885B82">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Definition</w:t>
            </w:r>
          </w:p>
        </w:tc>
        <w:tc>
          <w:tcPr>
            <w:tcW w:w="4633" w:type="dxa"/>
            <w:gridSpan w:val="2"/>
            <w:tcBorders>
              <w:top w:val="single" w:sz="4" w:space="0" w:color="0070C0"/>
              <w:left w:val="single" w:sz="4" w:space="0" w:color="0070C0"/>
              <w:bottom w:val="single" w:sz="4" w:space="0" w:color="0070C0"/>
              <w:right w:val="single" w:sz="4" w:space="0" w:color="0070C0"/>
            </w:tcBorders>
            <w:shd w:val="clear" w:color="auto" w:fill="0070C0"/>
            <w:vAlign w:val="center"/>
          </w:tcPr>
          <w:p w:rsidR="00ED7A41" w:rsidRPr="006F1D04" w:rsidRDefault="00ED7A41" w:rsidP="00885B82">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Implementation</w:t>
            </w:r>
          </w:p>
        </w:tc>
        <w:tc>
          <w:tcPr>
            <w:tcW w:w="3243" w:type="dxa"/>
            <w:gridSpan w:val="2"/>
            <w:tcBorders>
              <w:top w:val="single" w:sz="4" w:space="0" w:color="0070C0"/>
              <w:left w:val="single" w:sz="4" w:space="0" w:color="0070C0"/>
              <w:bottom w:val="single" w:sz="4" w:space="0" w:color="0070C0"/>
              <w:right w:val="single" w:sz="4" w:space="0" w:color="0070C0"/>
            </w:tcBorders>
            <w:shd w:val="clear" w:color="auto" w:fill="0070C0"/>
            <w:vAlign w:val="center"/>
          </w:tcPr>
          <w:p w:rsidR="00ED7A41" w:rsidRPr="006F1D04" w:rsidRDefault="00ED7A41" w:rsidP="00885B82">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Resources</w:t>
            </w:r>
          </w:p>
        </w:tc>
      </w:tr>
      <w:tr w:rsidR="00ED7A41" w:rsidRPr="006F1D04" w:rsidTr="00F70C69">
        <w:trPr>
          <w:trHeight w:val="388"/>
          <w:jc w:val="center"/>
        </w:trPr>
        <w:tc>
          <w:tcPr>
            <w:tcW w:w="1370" w:type="dxa"/>
            <w:vMerge/>
            <w:tcBorders>
              <w:top w:val="single" w:sz="4" w:space="0" w:color="0070C0"/>
              <w:left w:val="single" w:sz="4" w:space="0" w:color="0070C0"/>
              <w:bottom w:val="single" w:sz="4" w:space="0" w:color="0070C0"/>
              <w:right w:val="single" w:sz="4" w:space="0" w:color="0070C0"/>
            </w:tcBorders>
            <w:shd w:val="clear" w:color="auto" w:fill="0070C0"/>
            <w:vAlign w:val="center"/>
          </w:tcPr>
          <w:p w:rsidR="00ED7A41" w:rsidRPr="006F1D04" w:rsidRDefault="00ED7A41" w:rsidP="00885B82">
            <w:pPr>
              <w:spacing w:after="0" w:line="240" w:lineRule="auto"/>
              <w:jc w:val="center"/>
              <w:rPr>
                <w:rFonts w:ascii="Arial" w:hAnsi="Arial" w:cs="Arial"/>
                <w:b/>
                <w:color w:val="FFFFFF"/>
                <w:sz w:val="14"/>
                <w:szCs w:val="14"/>
              </w:rPr>
            </w:pPr>
          </w:p>
        </w:tc>
        <w:tc>
          <w:tcPr>
            <w:tcW w:w="1764"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ED7A41" w:rsidRPr="006F1D04" w:rsidRDefault="00ED7A41" w:rsidP="00885B82">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Advantages</w:t>
            </w:r>
          </w:p>
        </w:tc>
        <w:tc>
          <w:tcPr>
            <w:tcW w:w="1559"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ED7A41" w:rsidRPr="006F1D04" w:rsidRDefault="00ED7A41" w:rsidP="00885B82">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Disadvantages</w:t>
            </w:r>
          </w:p>
        </w:tc>
        <w:tc>
          <w:tcPr>
            <w:tcW w:w="1984"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ED7A41" w:rsidRPr="006F1D04" w:rsidRDefault="00ED7A41" w:rsidP="00885B82">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Advantages</w:t>
            </w:r>
          </w:p>
        </w:tc>
        <w:tc>
          <w:tcPr>
            <w:tcW w:w="2649"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ED7A41" w:rsidRPr="006F1D04" w:rsidRDefault="00ED7A41" w:rsidP="00885B82">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Disadvantages</w:t>
            </w:r>
          </w:p>
        </w:tc>
        <w:tc>
          <w:tcPr>
            <w:tcW w:w="1542"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ED7A41" w:rsidRPr="006F1D04" w:rsidRDefault="00ED7A41" w:rsidP="00885B82">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Advantages</w:t>
            </w:r>
          </w:p>
        </w:tc>
        <w:tc>
          <w:tcPr>
            <w:tcW w:w="1701"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ED7A41" w:rsidRPr="006F1D04" w:rsidRDefault="00ED7A41" w:rsidP="00885B82">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Disadvantages</w:t>
            </w:r>
          </w:p>
        </w:tc>
      </w:tr>
      <w:tr w:rsidR="00487C06" w:rsidRPr="006F1D04" w:rsidTr="00F70C69">
        <w:trPr>
          <w:trHeight w:val="799"/>
          <w:jc w:val="center"/>
        </w:trPr>
        <w:tc>
          <w:tcPr>
            <w:tcW w:w="1370" w:type="dxa"/>
            <w:vMerge w:val="restart"/>
            <w:tcBorders>
              <w:top w:val="single" w:sz="4" w:space="0" w:color="0070C0"/>
              <w:left w:val="single" w:sz="4" w:space="0" w:color="0070C0"/>
              <w:right w:val="single" w:sz="4" w:space="0" w:color="0070C0"/>
            </w:tcBorders>
            <w:shd w:val="clear" w:color="auto" w:fill="D9D9D9"/>
          </w:tcPr>
          <w:p w:rsidR="00487C06" w:rsidRPr="006F1D04" w:rsidRDefault="00487C06" w:rsidP="009F2A8F">
            <w:pPr>
              <w:spacing w:before="60" w:after="0" w:line="240" w:lineRule="auto"/>
              <w:rPr>
                <w:rFonts w:ascii="Arial" w:hAnsi="Arial" w:cs="Arial"/>
                <w:sz w:val="14"/>
                <w:szCs w:val="14"/>
              </w:rPr>
            </w:pPr>
            <w:r w:rsidRPr="006F1D04">
              <w:rPr>
                <w:rFonts w:ascii="Arial" w:hAnsi="Arial" w:cs="Arial"/>
                <w:sz w:val="14"/>
                <w:szCs w:val="14"/>
              </w:rPr>
              <w:t>Fixed number of allowed exceedances (including zero)</w:t>
            </w:r>
          </w:p>
        </w:tc>
        <w:tc>
          <w:tcPr>
            <w:tcW w:w="1764" w:type="dxa"/>
            <w:vMerge w:val="restart"/>
            <w:tcBorders>
              <w:top w:val="single" w:sz="4" w:space="0" w:color="0070C0"/>
              <w:left w:val="single" w:sz="4" w:space="0" w:color="0070C0"/>
              <w:right w:val="dotted" w:sz="4" w:space="0" w:color="0070C0"/>
            </w:tcBorders>
            <w:shd w:val="clear" w:color="auto" w:fill="auto"/>
          </w:tcPr>
          <w:p w:rsidR="00487C06" w:rsidRPr="006F1D04" w:rsidRDefault="00487C06" w:rsidP="009F2A8F">
            <w:pPr>
              <w:spacing w:before="60" w:after="0" w:line="240" w:lineRule="auto"/>
              <w:rPr>
                <w:rFonts w:ascii="Arial" w:hAnsi="Arial" w:cs="Arial"/>
                <w:sz w:val="14"/>
                <w:szCs w:val="14"/>
              </w:rPr>
            </w:pPr>
            <w:r w:rsidRPr="006F1D04">
              <w:rPr>
                <w:rFonts w:ascii="Arial" w:hAnsi="Arial" w:cs="Arial"/>
                <w:sz w:val="14"/>
                <w:szCs w:val="14"/>
              </w:rPr>
              <w:t>Simple to define.</w:t>
            </w:r>
          </w:p>
        </w:tc>
        <w:tc>
          <w:tcPr>
            <w:tcW w:w="1559" w:type="dxa"/>
            <w:vMerge w:val="restart"/>
            <w:tcBorders>
              <w:top w:val="single" w:sz="4" w:space="0" w:color="0070C0"/>
              <w:left w:val="dotted" w:sz="4" w:space="0" w:color="0070C0"/>
              <w:right w:val="single" w:sz="4" w:space="0" w:color="0070C0"/>
            </w:tcBorders>
            <w:shd w:val="clear" w:color="auto" w:fill="auto"/>
          </w:tcPr>
          <w:p w:rsidR="00487C06" w:rsidRPr="006F1D04" w:rsidRDefault="00487C06" w:rsidP="009F2A8F">
            <w:pPr>
              <w:spacing w:before="60" w:after="0" w:line="240" w:lineRule="auto"/>
              <w:rPr>
                <w:rFonts w:ascii="Arial" w:hAnsi="Arial" w:cs="Arial"/>
                <w:sz w:val="14"/>
                <w:szCs w:val="14"/>
              </w:rPr>
            </w:pPr>
            <w:r w:rsidRPr="006F1D04">
              <w:rPr>
                <w:rFonts w:ascii="Arial" w:hAnsi="Arial" w:cs="Arial"/>
                <w:sz w:val="14"/>
                <w:szCs w:val="14"/>
              </w:rPr>
              <w:t>Arbitrary definition.</w:t>
            </w:r>
          </w:p>
        </w:tc>
        <w:tc>
          <w:tcPr>
            <w:tcW w:w="1984" w:type="dxa"/>
            <w:tcBorders>
              <w:top w:val="single" w:sz="4" w:space="0" w:color="0070C0"/>
              <w:left w:val="single" w:sz="4" w:space="0" w:color="0070C0"/>
              <w:bottom w:val="dotted" w:sz="4" w:space="0" w:color="0070C0"/>
              <w:right w:val="dotted" w:sz="4" w:space="0" w:color="0070C0"/>
            </w:tcBorders>
            <w:shd w:val="clear" w:color="auto" w:fill="auto"/>
          </w:tcPr>
          <w:p w:rsidR="00487C06" w:rsidRPr="006F1D04" w:rsidRDefault="00487C06" w:rsidP="009F2A8F">
            <w:pPr>
              <w:spacing w:before="60" w:after="0" w:line="240" w:lineRule="auto"/>
              <w:rPr>
                <w:rFonts w:ascii="Arial" w:hAnsi="Arial" w:cs="Arial"/>
                <w:sz w:val="14"/>
                <w:szCs w:val="14"/>
              </w:rPr>
            </w:pPr>
            <w:r w:rsidRPr="006F1D04">
              <w:rPr>
                <w:rFonts w:ascii="Arial" w:hAnsi="Arial" w:cs="Arial"/>
                <w:sz w:val="14"/>
                <w:szCs w:val="14"/>
              </w:rPr>
              <w:t>Easy to apply in principle.</w:t>
            </w:r>
          </w:p>
        </w:tc>
        <w:tc>
          <w:tcPr>
            <w:tcW w:w="2649" w:type="dxa"/>
            <w:tcBorders>
              <w:top w:val="single" w:sz="4" w:space="0" w:color="0070C0"/>
              <w:left w:val="dotted" w:sz="4" w:space="0" w:color="0070C0"/>
              <w:bottom w:val="dotted" w:sz="4" w:space="0" w:color="0070C0"/>
              <w:right w:val="single" w:sz="4" w:space="0" w:color="0070C0"/>
            </w:tcBorders>
            <w:shd w:val="clear" w:color="auto" w:fill="auto"/>
          </w:tcPr>
          <w:p w:rsidR="00487C06" w:rsidRPr="006F1D04" w:rsidRDefault="00F70C69" w:rsidP="009F2A8F">
            <w:pPr>
              <w:spacing w:before="60" w:after="0" w:line="240" w:lineRule="auto"/>
              <w:rPr>
                <w:rFonts w:ascii="Arial" w:hAnsi="Arial" w:cs="Arial"/>
                <w:sz w:val="14"/>
                <w:szCs w:val="14"/>
              </w:rPr>
            </w:pPr>
            <w:r w:rsidRPr="006F1D04">
              <w:rPr>
                <w:rFonts w:ascii="Arial" w:hAnsi="Arial" w:cs="Arial"/>
                <w:sz w:val="14"/>
                <w:szCs w:val="14"/>
              </w:rPr>
              <w:t>Could</w:t>
            </w:r>
            <w:r w:rsidR="00487C06" w:rsidRPr="006F1D04">
              <w:rPr>
                <w:rFonts w:ascii="Arial" w:hAnsi="Arial" w:cs="Arial"/>
                <w:sz w:val="14"/>
                <w:szCs w:val="14"/>
              </w:rPr>
              <w:t xml:space="preserve"> result in unfair comparisons between jurisdicti</w:t>
            </w:r>
            <w:r w:rsidRPr="006F1D04">
              <w:rPr>
                <w:rFonts w:ascii="Arial" w:hAnsi="Arial" w:cs="Arial"/>
                <w:sz w:val="14"/>
                <w:szCs w:val="14"/>
              </w:rPr>
              <w:t>ons, as some have more natural and</w:t>
            </w:r>
            <w:r w:rsidR="00487C06" w:rsidRPr="006F1D04">
              <w:rPr>
                <w:rFonts w:ascii="Arial" w:hAnsi="Arial" w:cs="Arial"/>
                <w:sz w:val="14"/>
                <w:szCs w:val="14"/>
              </w:rPr>
              <w:t xml:space="preserve"> trans-boundary events than others.</w:t>
            </w:r>
          </w:p>
        </w:tc>
        <w:tc>
          <w:tcPr>
            <w:tcW w:w="1542" w:type="dxa"/>
            <w:vMerge w:val="restart"/>
            <w:tcBorders>
              <w:top w:val="single" w:sz="4" w:space="0" w:color="0070C0"/>
              <w:left w:val="single" w:sz="4" w:space="0" w:color="0070C0"/>
              <w:right w:val="dotted" w:sz="4" w:space="0" w:color="0070C0"/>
            </w:tcBorders>
            <w:shd w:val="clear" w:color="auto" w:fill="auto"/>
          </w:tcPr>
          <w:p w:rsidR="00487C06" w:rsidRPr="006F1D04" w:rsidRDefault="00487C06" w:rsidP="009F2A8F">
            <w:pPr>
              <w:spacing w:before="60" w:after="0" w:line="240" w:lineRule="auto"/>
              <w:rPr>
                <w:rFonts w:ascii="Arial" w:hAnsi="Arial" w:cs="Arial"/>
                <w:sz w:val="14"/>
                <w:szCs w:val="14"/>
              </w:rPr>
            </w:pPr>
            <w:r w:rsidRPr="006F1D04">
              <w:rPr>
                <w:rFonts w:ascii="Arial" w:hAnsi="Arial" w:cs="Arial"/>
                <w:sz w:val="14"/>
                <w:szCs w:val="14"/>
              </w:rPr>
              <w:t>Current approach – no additional resources required</w:t>
            </w:r>
          </w:p>
        </w:tc>
        <w:tc>
          <w:tcPr>
            <w:tcW w:w="1701" w:type="dxa"/>
            <w:vMerge w:val="restart"/>
            <w:tcBorders>
              <w:top w:val="single" w:sz="4" w:space="0" w:color="0070C0"/>
              <w:left w:val="dotted" w:sz="4" w:space="0" w:color="0070C0"/>
              <w:right w:val="single" w:sz="4" w:space="0" w:color="0070C0"/>
            </w:tcBorders>
            <w:shd w:val="clear" w:color="auto" w:fill="auto"/>
          </w:tcPr>
          <w:p w:rsidR="00487C06" w:rsidRPr="006F1D04" w:rsidRDefault="00487C06" w:rsidP="009F2A8F">
            <w:pPr>
              <w:spacing w:before="60" w:after="0" w:line="240" w:lineRule="auto"/>
              <w:rPr>
                <w:rFonts w:ascii="Arial" w:hAnsi="Arial" w:cs="Arial"/>
                <w:sz w:val="14"/>
                <w:szCs w:val="14"/>
              </w:rPr>
            </w:pPr>
            <w:r w:rsidRPr="006F1D04">
              <w:rPr>
                <w:rFonts w:ascii="Arial" w:hAnsi="Arial" w:cs="Arial"/>
                <w:sz w:val="14"/>
                <w:szCs w:val="14"/>
              </w:rPr>
              <w:t>None.</w:t>
            </w:r>
          </w:p>
        </w:tc>
      </w:tr>
      <w:tr w:rsidR="00487C06" w:rsidRPr="006F1D04" w:rsidTr="00F70C69">
        <w:trPr>
          <w:trHeight w:hRule="exact" w:val="397"/>
          <w:jc w:val="center"/>
        </w:trPr>
        <w:tc>
          <w:tcPr>
            <w:tcW w:w="1370" w:type="dxa"/>
            <w:vMerge/>
            <w:tcBorders>
              <w:left w:val="single" w:sz="4" w:space="0" w:color="0070C0"/>
              <w:right w:val="single" w:sz="4" w:space="0" w:color="0070C0"/>
            </w:tcBorders>
            <w:shd w:val="clear" w:color="auto" w:fill="D9D9D9"/>
          </w:tcPr>
          <w:p w:rsidR="00487C06" w:rsidRPr="006F1D04" w:rsidRDefault="00487C06" w:rsidP="009F2A8F">
            <w:pPr>
              <w:spacing w:before="60" w:after="0" w:line="240" w:lineRule="auto"/>
              <w:rPr>
                <w:rFonts w:ascii="Arial" w:hAnsi="Arial" w:cs="Arial"/>
                <w:sz w:val="14"/>
                <w:szCs w:val="14"/>
              </w:rPr>
            </w:pPr>
          </w:p>
        </w:tc>
        <w:tc>
          <w:tcPr>
            <w:tcW w:w="1764" w:type="dxa"/>
            <w:vMerge/>
            <w:tcBorders>
              <w:left w:val="single" w:sz="4" w:space="0" w:color="0070C0"/>
              <w:right w:val="dotted" w:sz="4" w:space="0" w:color="0070C0"/>
            </w:tcBorders>
            <w:shd w:val="clear" w:color="auto" w:fill="auto"/>
          </w:tcPr>
          <w:p w:rsidR="00487C06" w:rsidRPr="006F1D04" w:rsidRDefault="00487C06" w:rsidP="009F2A8F">
            <w:pPr>
              <w:spacing w:before="60" w:after="0" w:line="240" w:lineRule="auto"/>
              <w:rPr>
                <w:rFonts w:ascii="Arial" w:hAnsi="Arial" w:cs="Arial"/>
                <w:sz w:val="14"/>
                <w:szCs w:val="14"/>
              </w:rPr>
            </w:pPr>
          </w:p>
        </w:tc>
        <w:tc>
          <w:tcPr>
            <w:tcW w:w="1559" w:type="dxa"/>
            <w:vMerge/>
            <w:tcBorders>
              <w:left w:val="dotted" w:sz="4" w:space="0" w:color="0070C0"/>
              <w:bottom w:val="nil"/>
              <w:right w:val="single" w:sz="4" w:space="0" w:color="0070C0"/>
            </w:tcBorders>
            <w:shd w:val="clear" w:color="auto" w:fill="auto"/>
          </w:tcPr>
          <w:p w:rsidR="00487C06" w:rsidRPr="006F1D04" w:rsidRDefault="00487C06" w:rsidP="009F2A8F">
            <w:pPr>
              <w:spacing w:before="60" w:after="0" w:line="240" w:lineRule="auto"/>
              <w:rPr>
                <w:rFonts w:ascii="Arial" w:hAnsi="Arial" w:cs="Arial"/>
                <w:sz w:val="14"/>
                <w:szCs w:val="14"/>
              </w:rPr>
            </w:pPr>
          </w:p>
        </w:tc>
        <w:tc>
          <w:tcPr>
            <w:tcW w:w="1984" w:type="dxa"/>
            <w:vMerge w:val="restart"/>
            <w:tcBorders>
              <w:top w:val="dotted" w:sz="4" w:space="0" w:color="0070C0"/>
              <w:left w:val="single" w:sz="4" w:space="0" w:color="0070C0"/>
              <w:right w:val="dotted" w:sz="4" w:space="0" w:color="0070C0"/>
            </w:tcBorders>
            <w:shd w:val="clear" w:color="auto" w:fill="auto"/>
          </w:tcPr>
          <w:p w:rsidR="00487C06" w:rsidRPr="006F1D04" w:rsidRDefault="00487C06" w:rsidP="009F2A8F">
            <w:pPr>
              <w:spacing w:before="60" w:after="0" w:line="240" w:lineRule="auto"/>
              <w:rPr>
                <w:rFonts w:ascii="Arial" w:hAnsi="Arial" w:cs="Arial"/>
                <w:sz w:val="14"/>
                <w:szCs w:val="14"/>
              </w:rPr>
            </w:pPr>
            <w:r w:rsidRPr="006F1D04">
              <w:rPr>
                <w:rFonts w:ascii="Arial" w:hAnsi="Arial" w:cs="Arial"/>
                <w:sz w:val="14"/>
                <w:szCs w:val="14"/>
              </w:rPr>
              <w:t>Minimal change in reporting process.</w:t>
            </w:r>
          </w:p>
        </w:tc>
        <w:tc>
          <w:tcPr>
            <w:tcW w:w="2649" w:type="dxa"/>
            <w:vMerge w:val="restart"/>
            <w:tcBorders>
              <w:top w:val="dotted" w:sz="4" w:space="0" w:color="0070C0"/>
              <w:left w:val="dotted" w:sz="4" w:space="0" w:color="0070C0"/>
              <w:right w:val="single" w:sz="4" w:space="0" w:color="0070C0"/>
            </w:tcBorders>
            <w:shd w:val="clear" w:color="auto" w:fill="auto"/>
          </w:tcPr>
          <w:p w:rsidR="00487C06" w:rsidRPr="006F1D04" w:rsidRDefault="00487C06" w:rsidP="009F2A8F">
            <w:pPr>
              <w:spacing w:before="60" w:after="0" w:line="240" w:lineRule="auto"/>
              <w:rPr>
                <w:rFonts w:ascii="Arial" w:hAnsi="Arial" w:cs="Arial"/>
                <w:sz w:val="14"/>
                <w:szCs w:val="14"/>
              </w:rPr>
            </w:pPr>
            <w:r w:rsidRPr="006F1D04">
              <w:rPr>
                <w:rFonts w:ascii="Arial" w:hAnsi="Arial" w:cs="Arial"/>
                <w:sz w:val="14"/>
                <w:szCs w:val="14"/>
              </w:rPr>
              <w:t>Requires development of simple and clear guidelines on classification of pollution events.</w:t>
            </w:r>
          </w:p>
        </w:tc>
        <w:tc>
          <w:tcPr>
            <w:tcW w:w="1542" w:type="dxa"/>
            <w:vMerge/>
            <w:tcBorders>
              <w:left w:val="single" w:sz="4" w:space="0" w:color="0070C0"/>
              <w:bottom w:val="nil"/>
              <w:right w:val="dotted" w:sz="4" w:space="0" w:color="0070C0"/>
            </w:tcBorders>
            <w:shd w:val="clear" w:color="auto" w:fill="auto"/>
          </w:tcPr>
          <w:p w:rsidR="00487C06" w:rsidRPr="006F1D04" w:rsidRDefault="00487C06" w:rsidP="009F2A8F">
            <w:pPr>
              <w:spacing w:before="60" w:after="0" w:line="240" w:lineRule="auto"/>
              <w:rPr>
                <w:rFonts w:ascii="Arial" w:hAnsi="Arial" w:cs="Arial"/>
                <w:sz w:val="14"/>
                <w:szCs w:val="14"/>
              </w:rPr>
            </w:pPr>
          </w:p>
        </w:tc>
        <w:tc>
          <w:tcPr>
            <w:tcW w:w="1701" w:type="dxa"/>
            <w:vMerge/>
            <w:tcBorders>
              <w:left w:val="dotted" w:sz="4" w:space="0" w:color="0070C0"/>
              <w:right w:val="single" w:sz="4" w:space="0" w:color="0070C0"/>
            </w:tcBorders>
            <w:shd w:val="clear" w:color="auto" w:fill="auto"/>
          </w:tcPr>
          <w:p w:rsidR="00487C06" w:rsidRPr="006F1D04" w:rsidRDefault="00487C06" w:rsidP="009F2A8F">
            <w:pPr>
              <w:spacing w:before="60" w:after="0" w:line="240" w:lineRule="auto"/>
              <w:rPr>
                <w:rFonts w:ascii="Arial" w:hAnsi="Arial" w:cs="Arial"/>
                <w:sz w:val="14"/>
                <w:szCs w:val="14"/>
              </w:rPr>
            </w:pPr>
          </w:p>
        </w:tc>
      </w:tr>
      <w:tr w:rsidR="00487C06" w:rsidRPr="006F1D04" w:rsidTr="00F70C69">
        <w:trPr>
          <w:trHeight w:val="291"/>
          <w:jc w:val="center"/>
        </w:trPr>
        <w:tc>
          <w:tcPr>
            <w:tcW w:w="1370" w:type="dxa"/>
            <w:vMerge/>
            <w:tcBorders>
              <w:left w:val="single" w:sz="4" w:space="0" w:color="0070C0"/>
              <w:bottom w:val="single" w:sz="4" w:space="0" w:color="0070C0"/>
              <w:right w:val="single" w:sz="4" w:space="0" w:color="0070C0"/>
            </w:tcBorders>
            <w:shd w:val="clear" w:color="auto" w:fill="D9D9D9"/>
          </w:tcPr>
          <w:p w:rsidR="00487C06" w:rsidRPr="006F1D04" w:rsidRDefault="00487C06" w:rsidP="009F2A8F">
            <w:pPr>
              <w:spacing w:before="60" w:after="0" w:line="240" w:lineRule="auto"/>
              <w:rPr>
                <w:rFonts w:ascii="Arial" w:hAnsi="Arial" w:cs="Arial"/>
                <w:sz w:val="14"/>
                <w:szCs w:val="14"/>
              </w:rPr>
            </w:pPr>
          </w:p>
        </w:tc>
        <w:tc>
          <w:tcPr>
            <w:tcW w:w="1764" w:type="dxa"/>
            <w:vMerge/>
            <w:tcBorders>
              <w:left w:val="single" w:sz="4" w:space="0" w:color="0070C0"/>
              <w:bottom w:val="single" w:sz="4" w:space="0" w:color="0070C0"/>
              <w:right w:val="dotted" w:sz="4" w:space="0" w:color="0070C0"/>
            </w:tcBorders>
            <w:shd w:val="clear" w:color="auto" w:fill="auto"/>
          </w:tcPr>
          <w:p w:rsidR="00487C06" w:rsidRPr="006F1D04" w:rsidRDefault="00487C06" w:rsidP="009F2A8F">
            <w:pPr>
              <w:spacing w:before="60" w:after="0" w:line="240" w:lineRule="auto"/>
              <w:rPr>
                <w:rFonts w:ascii="Arial" w:hAnsi="Arial" w:cs="Arial"/>
                <w:sz w:val="14"/>
                <w:szCs w:val="14"/>
              </w:rPr>
            </w:pPr>
          </w:p>
        </w:tc>
        <w:tc>
          <w:tcPr>
            <w:tcW w:w="1559" w:type="dxa"/>
            <w:tcBorders>
              <w:top w:val="nil"/>
              <w:left w:val="dotted" w:sz="4" w:space="0" w:color="0070C0"/>
              <w:bottom w:val="single" w:sz="4" w:space="0" w:color="0070C0"/>
              <w:right w:val="single" w:sz="4" w:space="0" w:color="0070C0"/>
            </w:tcBorders>
            <w:shd w:val="clear" w:color="auto" w:fill="auto"/>
          </w:tcPr>
          <w:p w:rsidR="00487C06" w:rsidRPr="006F1D04" w:rsidRDefault="00487C06" w:rsidP="009F2A8F">
            <w:pPr>
              <w:spacing w:before="60" w:after="0" w:line="240" w:lineRule="auto"/>
              <w:rPr>
                <w:rFonts w:ascii="Arial" w:hAnsi="Arial" w:cs="Arial"/>
                <w:sz w:val="14"/>
                <w:szCs w:val="14"/>
              </w:rPr>
            </w:pPr>
          </w:p>
        </w:tc>
        <w:tc>
          <w:tcPr>
            <w:tcW w:w="1984" w:type="dxa"/>
            <w:vMerge/>
            <w:tcBorders>
              <w:left w:val="single" w:sz="4" w:space="0" w:color="0070C0"/>
              <w:bottom w:val="single" w:sz="4" w:space="0" w:color="0070C0"/>
              <w:right w:val="dotted" w:sz="4" w:space="0" w:color="0070C0"/>
            </w:tcBorders>
            <w:shd w:val="clear" w:color="auto" w:fill="auto"/>
          </w:tcPr>
          <w:p w:rsidR="00487C06" w:rsidRPr="006F1D04" w:rsidRDefault="00487C06" w:rsidP="009F2A8F">
            <w:pPr>
              <w:spacing w:before="60" w:after="0" w:line="240" w:lineRule="auto"/>
              <w:rPr>
                <w:rFonts w:ascii="Arial" w:hAnsi="Arial" w:cs="Arial"/>
                <w:sz w:val="14"/>
                <w:szCs w:val="14"/>
              </w:rPr>
            </w:pPr>
          </w:p>
        </w:tc>
        <w:tc>
          <w:tcPr>
            <w:tcW w:w="2649" w:type="dxa"/>
            <w:vMerge/>
            <w:tcBorders>
              <w:left w:val="dotted" w:sz="4" w:space="0" w:color="0070C0"/>
              <w:bottom w:val="single" w:sz="4" w:space="0" w:color="0070C0"/>
              <w:right w:val="single" w:sz="4" w:space="0" w:color="0070C0"/>
            </w:tcBorders>
            <w:shd w:val="clear" w:color="auto" w:fill="auto"/>
          </w:tcPr>
          <w:p w:rsidR="00487C06" w:rsidRPr="006F1D04" w:rsidRDefault="00487C06" w:rsidP="009F2A8F">
            <w:pPr>
              <w:spacing w:before="60" w:after="0" w:line="240" w:lineRule="auto"/>
              <w:rPr>
                <w:rFonts w:ascii="Arial" w:hAnsi="Arial" w:cs="Arial"/>
                <w:sz w:val="14"/>
                <w:szCs w:val="14"/>
              </w:rPr>
            </w:pPr>
          </w:p>
        </w:tc>
        <w:tc>
          <w:tcPr>
            <w:tcW w:w="1542" w:type="dxa"/>
            <w:tcBorders>
              <w:top w:val="nil"/>
              <w:left w:val="single" w:sz="4" w:space="0" w:color="0070C0"/>
              <w:bottom w:val="single" w:sz="4" w:space="0" w:color="0070C0"/>
              <w:right w:val="dotted" w:sz="4" w:space="0" w:color="0070C0"/>
            </w:tcBorders>
            <w:shd w:val="clear" w:color="auto" w:fill="auto"/>
          </w:tcPr>
          <w:p w:rsidR="00487C06" w:rsidRPr="006F1D04" w:rsidRDefault="00487C06" w:rsidP="009F2A8F">
            <w:pPr>
              <w:spacing w:before="60" w:after="0" w:line="240" w:lineRule="auto"/>
              <w:rPr>
                <w:rFonts w:ascii="Arial" w:hAnsi="Arial" w:cs="Arial"/>
                <w:sz w:val="14"/>
                <w:szCs w:val="14"/>
              </w:rPr>
            </w:pPr>
          </w:p>
        </w:tc>
        <w:tc>
          <w:tcPr>
            <w:tcW w:w="1701" w:type="dxa"/>
            <w:vMerge/>
            <w:tcBorders>
              <w:left w:val="dotted" w:sz="4" w:space="0" w:color="0070C0"/>
              <w:bottom w:val="single" w:sz="4" w:space="0" w:color="0070C0"/>
              <w:right w:val="single" w:sz="4" w:space="0" w:color="0070C0"/>
            </w:tcBorders>
            <w:shd w:val="clear" w:color="auto" w:fill="auto"/>
          </w:tcPr>
          <w:p w:rsidR="00487C06" w:rsidRPr="006F1D04" w:rsidRDefault="00487C06" w:rsidP="009F2A8F">
            <w:pPr>
              <w:spacing w:before="60" w:after="0" w:line="240" w:lineRule="auto"/>
              <w:rPr>
                <w:rFonts w:ascii="Arial" w:hAnsi="Arial" w:cs="Arial"/>
                <w:sz w:val="14"/>
                <w:szCs w:val="14"/>
              </w:rPr>
            </w:pPr>
          </w:p>
        </w:tc>
      </w:tr>
      <w:tr w:rsidR="00364C2E" w:rsidRPr="006F1D04" w:rsidTr="005E4C36">
        <w:trPr>
          <w:trHeight w:val="989"/>
          <w:jc w:val="center"/>
        </w:trPr>
        <w:tc>
          <w:tcPr>
            <w:tcW w:w="1370" w:type="dxa"/>
            <w:vMerge w:val="restart"/>
            <w:tcBorders>
              <w:top w:val="single" w:sz="4" w:space="0" w:color="0070C0"/>
              <w:left w:val="single" w:sz="4" w:space="0" w:color="0070C0"/>
              <w:right w:val="single" w:sz="4" w:space="0" w:color="0070C0"/>
            </w:tcBorders>
            <w:shd w:val="clear" w:color="auto" w:fill="D9D9D9"/>
          </w:tcPr>
          <w:p w:rsidR="00364C2E" w:rsidRPr="006F1D04" w:rsidRDefault="00364C2E" w:rsidP="009F2A8F">
            <w:pPr>
              <w:spacing w:before="60" w:after="0" w:line="240" w:lineRule="auto"/>
              <w:rPr>
                <w:rFonts w:ascii="Arial" w:hAnsi="Arial" w:cs="Arial"/>
                <w:sz w:val="14"/>
                <w:szCs w:val="14"/>
              </w:rPr>
            </w:pPr>
            <w:r w:rsidRPr="006F1D04">
              <w:rPr>
                <w:rFonts w:ascii="Arial" w:hAnsi="Arial" w:cs="Arial"/>
                <w:sz w:val="14"/>
                <w:szCs w:val="14"/>
              </w:rPr>
              <w:t>Percentile rule</w:t>
            </w:r>
          </w:p>
        </w:tc>
        <w:tc>
          <w:tcPr>
            <w:tcW w:w="1764" w:type="dxa"/>
            <w:tcBorders>
              <w:top w:val="single" w:sz="4" w:space="0" w:color="0070C0"/>
              <w:left w:val="single" w:sz="4" w:space="0" w:color="0070C0"/>
              <w:bottom w:val="dotted" w:sz="4" w:space="0" w:color="0070C0"/>
              <w:right w:val="dotted" w:sz="4" w:space="0" w:color="0070C0"/>
            </w:tcBorders>
            <w:shd w:val="clear" w:color="auto" w:fill="auto"/>
          </w:tcPr>
          <w:p w:rsidR="00364C2E" w:rsidRPr="006F1D04" w:rsidRDefault="00364C2E" w:rsidP="005E4C36">
            <w:pPr>
              <w:spacing w:before="60" w:after="0" w:line="240" w:lineRule="auto"/>
              <w:rPr>
                <w:rFonts w:ascii="Arial" w:hAnsi="Arial" w:cs="Arial"/>
                <w:sz w:val="14"/>
                <w:szCs w:val="14"/>
              </w:rPr>
            </w:pPr>
            <w:r w:rsidRPr="006F1D04">
              <w:rPr>
                <w:rFonts w:ascii="Arial" w:hAnsi="Arial" w:cs="Arial"/>
                <w:sz w:val="14"/>
                <w:szCs w:val="14"/>
              </w:rPr>
              <w:t>Simple definition. Provides stable and practical reference point.</w:t>
            </w:r>
          </w:p>
        </w:tc>
        <w:tc>
          <w:tcPr>
            <w:tcW w:w="1559" w:type="dxa"/>
            <w:vMerge w:val="restart"/>
            <w:tcBorders>
              <w:top w:val="single" w:sz="4" w:space="0" w:color="0070C0"/>
              <w:left w:val="dotted" w:sz="4" w:space="0" w:color="0070C0"/>
              <w:right w:val="single" w:sz="4" w:space="0" w:color="0070C0"/>
            </w:tcBorders>
            <w:shd w:val="clear" w:color="auto" w:fill="auto"/>
          </w:tcPr>
          <w:p w:rsidR="00364C2E" w:rsidRPr="006F1D04" w:rsidRDefault="00364C2E" w:rsidP="005E4C36">
            <w:pPr>
              <w:spacing w:before="60" w:after="0" w:line="240" w:lineRule="auto"/>
              <w:rPr>
                <w:rFonts w:ascii="Arial" w:hAnsi="Arial" w:cs="Arial"/>
                <w:sz w:val="14"/>
                <w:szCs w:val="14"/>
              </w:rPr>
            </w:pPr>
            <w:r w:rsidRPr="006F1D04">
              <w:rPr>
                <w:rFonts w:ascii="Arial" w:hAnsi="Arial" w:cs="Arial"/>
                <w:sz w:val="14"/>
                <w:szCs w:val="14"/>
              </w:rPr>
              <w:t>Does not aid the understanding of high-pollution events.</w:t>
            </w:r>
          </w:p>
          <w:p w:rsidR="00364C2E" w:rsidRPr="006F1D04" w:rsidRDefault="00364C2E" w:rsidP="005E4C36">
            <w:pPr>
              <w:spacing w:before="60" w:after="0" w:line="240" w:lineRule="auto"/>
              <w:rPr>
                <w:rFonts w:ascii="Arial" w:hAnsi="Arial" w:cs="Arial"/>
                <w:sz w:val="14"/>
                <w:szCs w:val="14"/>
              </w:rPr>
            </w:pPr>
          </w:p>
          <w:p w:rsidR="00364C2E" w:rsidRPr="006F1D04" w:rsidRDefault="00364C2E" w:rsidP="005E4C36">
            <w:pPr>
              <w:spacing w:before="60" w:after="0" w:line="240" w:lineRule="auto"/>
              <w:rPr>
                <w:rFonts w:ascii="Arial" w:hAnsi="Arial" w:cs="Arial"/>
                <w:sz w:val="14"/>
                <w:szCs w:val="14"/>
              </w:rPr>
            </w:pPr>
          </w:p>
        </w:tc>
        <w:tc>
          <w:tcPr>
            <w:tcW w:w="1984" w:type="dxa"/>
            <w:tcBorders>
              <w:top w:val="single" w:sz="4" w:space="0" w:color="0070C0"/>
              <w:left w:val="single" w:sz="4" w:space="0" w:color="0070C0"/>
              <w:bottom w:val="dotted" w:sz="4" w:space="0" w:color="0070C0"/>
              <w:right w:val="dotted" w:sz="4" w:space="0" w:color="0070C0"/>
            </w:tcBorders>
            <w:shd w:val="clear" w:color="auto" w:fill="auto"/>
          </w:tcPr>
          <w:p w:rsidR="00364C2E" w:rsidRPr="006F1D04" w:rsidRDefault="00364C2E" w:rsidP="005E4C36">
            <w:pPr>
              <w:spacing w:before="60" w:after="0" w:line="240" w:lineRule="auto"/>
              <w:rPr>
                <w:rFonts w:ascii="Arial" w:hAnsi="Arial" w:cs="Arial"/>
                <w:sz w:val="14"/>
                <w:szCs w:val="14"/>
              </w:rPr>
            </w:pPr>
            <w:r w:rsidRPr="006F1D04">
              <w:rPr>
                <w:rFonts w:ascii="Arial" w:hAnsi="Arial" w:cs="Arial"/>
                <w:sz w:val="14"/>
                <w:szCs w:val="14"/>
              </w:rPr>
              <w:t>Simple calculation based on existing data. No additional data required.</w:t>
            </w:r>
          </w:p>
          <w:p w:rsidR="00364C2E" w:rsidRPr="006F1D04" w:rsidRDefault="00364C2E" w:rsidP="005E4C36">
            <w:pPr>
              <w:spacing w:before="60" w:after="0" w:line="240" w:lineRule="auto"/>
              <w:rPr>
                <w:rFonts w:ascii="Arial" w:hAnsi="Arial" w:cs="Arial"/>
                <w:sz w:val="14"/>
                <w:szCs w:val="14"/>
              </w:rPr>
            </w:pPr>
            <w:r w:rsidRPr="006F1D04">
              <w:rPr>
                <w:rFonts w:ascii="Arial" w:hAnsi="Arial" w:cs="Arial"/>
                <w:sz w:val="14"/>
                <w:szCs w:val="14"/>
              </w:rPr>
              <w:t>Easy to average over several years.</w:t>
            </w:r>
          </w:p>
        </w:tc>
        <w:tc>
          <w:tcPr>
            <w:tcW w:w="2649" w:type="dxa"/>
            <w:tcBorders>
              <w:top w:val="single" w:sz="4" w:space="0" w:color="0070C0"/>
              <w:left w:val="dotted" w:sz="4" w:space="0" w:color="0070C0"/>
              <w:bottom w:val="dotted" w:sz="4" w:space="0" w:color="0070C0"/>
              <w:right w:val="single" w:sz="4" w:space="0" w:color="0070C0"/>
            </w:tcBorders>
            <w:shd w:val="clear" w:color="auto" w:fill="auto"/>
          </w:tcPr>
          <w:p w:rsidR="00364C2E" w:rsidRPr="006F1D04" w:rsidRDefault="00364C2E" w:rsidP="005E4C36">
            <w:pPr>
              <w:spacing w:before="60" w:after="0" w:line="240" w:lineRule="auto"/>
              <w:rPr>
                <w:rFonts w:ascii="Arial" w:hAnsi="Arial" w:cs="Arial"/>
                <w:sz w:val="14"/>
                <w:szCs w:val="14"/>
              </w:rPr>
            </w:pPr>
            <w:r w:rsidRPr="006F1D04">
              <w:rPr>
                <w:rFonts w:ascii="Arial" w:hAnsi="Arial" w:cs="Arial"/>
                <w:sz w:val="14"/>
                <w:szCs w:val="14"/>
              </w:rPr>
              <w:t>Could result in unfair comparisons between jurisdictions, as some suffer more natural &amp; trans-boundary events than others.</w:t>
            </w:r>
          </w:p>
          <w:p w:rsidR="00364C2E" w:rsidRPr="006F1D04" w:rsidRDefault="00364C2E" w:rsidP="005E4C36">
            <w:pPr>
              <w:spacing w:before="60" w:after="0" w:line="240" w:lineRule="auto"/>
              <w:rPr>
                <w:rFonts w:ascii="Arial" w:hAnsi="Arial" w:cs="Arial"/>
                <w:sz w:val="14"/>
                <w:szCs w:val="14"/>
              </w:rPr>
            </w:pPr>
          </w:p>
        </w:tc>
        <w:tc>
          <w:tcPr>
            <w:tcW w:w="1542" w:type="dxa"/>
            <w:vMerge w:val="restart"/>
            <w:tcBorders>
              <w:top w:val="single" w:sz="4" w:space="0" w:color="0070C0"/>
              <w:left w:val="single" w:sz="4" w:space="0" w:color="0070C0"/>
              <w:right w:val="dotted" w:sz="4" w:space="0" w:color="0070C0"/>
            </w:tcBorders>
            <w:shd w:val="clear" w:color="auto" w:fill="auto"/>
          </w:tcPr>
          <w:p w:rsidR="00364C2E" w:rsidRPr="006F1D04" w:rsidRDefault="00364C2E" w:rsidP="005E4C36">
            <w:pPr>
              <w:spacing w:before="60" w:after="0" w:line="240" w:lineRule="auto"/>
              <w:rPr>
                <w:rFonts w:ascii="Arial" w:hAnsi="Arial" w:cs="Arial"/>
                <w:sz w:val="14"/>
                <w:szCs w:val="14"/>
              </w:rPr>
            </w:pPr>
            <w:r w:rsidRPr="006F1D04">
              <w:rPr>
                <w:rFonts w:ascii="Arial" w:hAnsi="Arial" w:cs="Arial"/>
                <w:sz w:val="14"/>
                <w:szCs w:val="14"/>
              </w:rPr>
              <w:t>Few or no additional resources required.</w:t>
            </w:r>
          </w:p>
        </w:tc>
        <w:tc>
          <w:tcPr>
            <w:tcW w:w="1701" w:type="dxa"/>
            <w:vMerge w:val="restart"/>
            <w:tcBorders>
              <w:top w:val="single" w:sz="4" w:space="0" w:color="0070C0"/>
              <w:left w:val="dotted" w:sz="4" w:space="0" w:color="0070C0"/>
              <w:right w:val="single" w:sz="4" w:space="0" w:color="0070C0"/>
            </w:tcBorders>
            <w:shd w:val="clear" w:color="auto" w:fill="auto"/>
          </w:tcPr>
          <w:p w:rsidR="00364C2E" w:rsidRPr="006F1D04" w:rsidRDefault="00364C2E" w:rsidP="005E4C36">
            <w:pPr>
              <w:spacing w:before="60" w:after="0" w:line="240" w:lineRule="auto"/>
              <w:rPr>
                <w:rFonts w:ascii="Arial" w:hAnsi="Arial" w:cs="Arial"/>
                <w:sz w:val="14"/>
                <w:szCs w:val="14"/>
              </w:rPr>
            </w:pPr>
            <w:r w:rsidRPr="006F1D04">
              <w:rPr>
                <w:rFonts w:ascii="Arial" w:hAnsi="Arial" w:cs="Arial"/>
                <w:sz w:val="14"/>
                <w:szCs w:val="14"/>
              </w:rPr>
              <w:t>None.</w:t>
            </w:r>
          </w:p>
        </w:tc>
      </w:tr>
      <w:tr w:rsidR="00364C2E" w:rsidRPr="006F1D04" w:rsidTr="00364C2E">
        <w:trPr>
          <w:trHeight w:val="834"/>
          <w:jc w:val="center"/>
        </w:trPr>
        <w:tc>
          <w:tcPr>
            <w:tcW w:w="1370" w:type="dxa"/>
            <w:vMerge/>
            <w:tcBorders>
              <w:left w:val="single" w:sz="4" w:space="0" w:color="0070C0"/>
              <w:right w:val="single" w:sz="4" w:space="0" w:color="0070C0"/>
            </w:tcBorders>
            <w:shd w:val="clear" w:color="auto" w:fill="D9D9D9"/>
          </w:tcPr>
          <w:p w:rsidR="00364C2E" w:rsidRPr="006F1D04" w:rsidRDefault="00364C2E" w:rsidP="009F2A8F">
            <w:pPr>
              <w:spacing w:before="60" w:after="0" w:line="240" w:lineRule="auto"/>
              <w:rPr>
                <w:rFonts w:ascii="Arial" w:hAnsi="Arial" w:cs="Arial"/>
                <w:sz w:val="14"/>
                <w:szCs w:val="14"/>
              </w:rPr>
            </w:pPr>
          </w:p>
        </w:tc>
        <w:tc>
          <w:tcPr>
            <w:tcW w:w="1764" w:type="dxa"/>
            <w:vMerge w:val="restart"/>
            <w:tcBorders>
              <w:top w:val="single" w:sz="4" w:space="0" w:color="0070C0"/>
              <w:left w:val="single" w:sz="4" w:space="0" w:color="0070C0"/>
              <w:right w:val="dotted" w:sz="4" w:space="0" w:color="0070C0"/>
            </w:tcBorders>
            <w:shd w:val="clear" w:color="auto" w:fill="auto"/>
          </w:tcPr>
          <w:p w:rsidR="00364C2E" w:rsidRPr="006F1D04" w:rsidRDefault="00364C2E" w:rsidP="005E4C36">
            <w:pPr>
              <w:spacing w:before="60" w:after="0" w:line="240" w:lineRule="auto"/>
              <w:rPr>
                <w:rFonts w:ascii="Arial" w:hAnsi="Arial" w:cs="Arial"/>
                <w:sz w:val="14"/>
                <w:szCs w:val="14"/>
              </w:rPr>
            </w:pPr>
            <w:r w:rsidRPr="006F1D04">
              <w:rPr>
                <w:rFonts w:ascii="Arial" w:hAnsi="Arial" w:cs="Arial"/>
                <w:sz w:val="14"/>
                <w:szCs w:val="14"/>
              </w:rPr>
              <w:t>Focuses on providing protection for people residing in or near areas of high average concentration rather than extreme events.</w:t>
            </w:r>
          </w:p>
        </w:tc>
        <w:tc>
          <w:tcPr>
            <w:tcW w:w="1559" w:type="dxa"/>
            <w:vMerge/>
            <w:tcBorders>
              <w:left w:val="dotted" w:sz="4" w:space="0" w:color="0070C0"/>
              <w:right w:val="single" w:sz="4" w:space="0" w:color="0070C0"/>
            </w:tcBorders>
            <w:shd w:val="clear" w:color="auto" w:fill="auto"/>
          </w:tcPr>
          <w:p w:rsidR="00364C2E" w:rsidRPr="006F1D04" w:rsidRDefault="00364C2E" w:rsidP="005E4C36">
            <w:pPr>
              <w:spacing w:before="60" w:after="0" w:line="240" w:lineRule="auto"/>
              <w:rPr>
                <w:rFonts w:ascii="Arial" w:hAnsi="Arial" w:cs="Arial"/>
                <w:sz w:val="14"/>
                <w:szCs w:val="14"/>
              </w:rPr>
            </w:pPr>
          </w:p>
        </w:tc>
        <w:tc>
          <w:tcPr>
            <w:tcW w:w="1984" w:type="dxa"/>
            <w:vMerge w:val="restart"/>
            <w:tcBorders>
              <w:top w:val="single" w:sz="4" w:space="0" w:color="0070C0"/>
              <w:left w:val="single" w:sz="4" w:space="0" w:color="0070C0"/>
              <w:right w:val="dotted" w:sz="4" w:space="0" w:color="0070C0"/>
            </w:tcBorders>
            <w:shd w:val="clear" w:color="auto" w:fill="auto"/>
          </w:tcPr>
          <w:p w:rsidR="00364C2E" w:rsidRPr="006F1D04" w:rsidRDefault="00364C2E" w:rsidP="005E4C36">
            <w:pPr>
              <w:spacing w:before="60" w:after="0" w:line="240" w:lineRule="auto"/>
              <w:rPr>
                <w:rFonts w:ascii="Arial" w:hAnsi="Arial" w:cs="Arial"/>
                <w:sz w:val="14"/>
                <w:szCs w:val="14"/>
              </w:rPr>
            </w:pPr>
            <w:r w:rsidRPr="006F1D04">
              <w:rPr>
                <w:rFonts w:ascii="Arial" w:hAnsi="Arial" w:cs="Arial"/>
                <w:sz w:val="14"/>
                <w:szCs w:val="14"/>
              </w:rPr>
              <w:t>Consistency with some USEPA air quality standards.</w:t>
            </w:r>
          </w:p>
        </w:tc>
        <w:tc>
          <w:tcPr>
            <w:tcW w:w="2649" w:type="dxa"/>
            <w:tcBorders>
              <w:top w:val="single" w:sz="4" w:space="0" w:color="0070C0"/>
              <w:left w:val="dotted" w:sz="4" w:space="0" w:color="0070C0"/>
              <w:bottom w:val="dotted" w:sz="4" w:space="0" w:color="0070C0"/>
              <w:right w:val="single" w:sz="4" w:space="0" w:color="0070C0"/>
            </w:tcBorders>
            <w:shd w:val="clear" w:color="auto" w:fill="auto"/>
          </w:tcPr>
          <w:p w:rsidR="00364C2E" w:rsidRPr="006F1D04" w:rsidRDefault="00364C2E" w:rsidP="005E4C36">
            <w:pPr>
              <w:spacing w:before="60" w:after="0" w:line="240" w:lineRule="auto"/>
              <w:rPr>
                <w:rFonts w:ascii="Arial" w:hAnsi="Arial" w:cs="Arial"/>
                <w:sz w:val="14"/>
                <w:szCs w:val="14"/>
              </w:rPr>
            </w:pPr>
            <w:r w:rsidRPr="006F1D04">
              <w:rPr>
                <w:rFonts w:ascii="Arial" w:hAnsi="Arial" w:cs="Arial"/>
                <w:sz w:val="14"/>
                <w:szCs w:val="14"/>
              </w:rPr>
              <w:t>AAQ NEPM reports would not support an assessment of effort and progress in anthropogenic air pollution control.</w:t>
            </w:r>
          </w:p>
        </w:tc>
        <w:tc>
          <w:tcPr>
            <w:tcW w:w="1542" w:type="dxa"/>
            <w:vMerge/>
            <w:tcBorders>
              <w:left w:val="single" w:sz="4" w:space="0" w:color="0070C0"/>
              <w:right w:val="dotted" w:sz="4" w:space="0" w:color="0070C0"/>
            </w:tcBorders>
            <w:shd w:val="clear" w:color="auto" w:fill="auto"/>
          </w:tcPr>
          <w:p w:rsidR="00364C2E" w:rsidRPr="006F1D04" w:rsidRDefault="00364C2E" w:rsidP="009F2A8F">
            <w:pPr>
              <w:spacing w:before="60" w:after="0" w:line="240" w:lineRule="auto"/>
              <w:rPr>
                <w:rFonts w:ascii="Arial" w:hAnsi="Arial" w:cs="Arial"/>
                <w:sz w:val="14"/>
                <w:szCs w:val="14"/>
              </w:rPr>
            </w:pPr>
          </w:p>
        </w:tc>
        <w:tc>
          <w:tcPr>
            <w:tcW w:w="1701" w:type="dxa"/>
            <w:vMerge/>
            <w:tcBorders>
              <w:left w:val="dotted" w:sz="4" w:space="0" w:color="0070C0"/>
              <w:right w:val="single" w:sz="4" w:space="0" w:color="0070C0"/>
            </w:tcBorders>
            <w:shd w:val="clear" w:color="auto" w:fill="auto"/>
          </w:tcPr>
          <w:p w:rsidR="00364C2E" w:rsidRPr="006F1D04" w:rsidRDefault="00364C2E" w:rsidP="009F2A8F">
            <w:pPr>
              <w:spacing w:before="60" w:after="0" w:line="240" w:lineRule="auto"/>
              <w:rPr>
                <w:rFonts w:ascii="Arial" w:hAnsi="Arial" w:cs="Arial"/>
                <w:sz w:val="14"/>
                <w:szCs w:val="14"/>
              </w:rPr>
            </w:pPr>
          </w:p>
        </w:tc>
      </w:tr>
      <w:tr w:rsidR="00364C2E" w:rsidRPr="006F1D04" w:rsidTr="00CE3683">
        <w:trPr>
          <w:trHeight w:val="549"/>
          <w:jc w:val="center"/>
        </w:trPr>
        <w:tc>
          <w:tcPr>
            <w:tcW w:w="1370" w:type="dxa"/>
            <w:vMerge/>
            <w:tcBorders>
              <w:left w:val="single" w:sz="4" w:space="0" w:color="0070C0"/>
              <w:bottom w:val="nil"/>
              <w:right w:val="single" w:sz="4" w:space="0" w:color="0070C0"/>
            </w:tcBorders>
            <w:shd w:val="clear" w:color="auto" w:fill="D9D9D9"/>
          </w:tcPr>
          <w:p w:rsidR="00364C2E" w:rsidRPr="006F1D04" w:rsidRDefault="00364C2E" w:rsidP="009F2A8F">
            <w:pPr>
              <w:spacing w:before="60" w:after="0" w:line="240" w:lineRule="auto"/>
              <w:rPr>
                <w:rFonts w:ascii="Arial" w:hAnsi="Arial" w:cs="Arial"/>
                <w:sz w:val="14"/>
                <w:szCs w:val="14"/>
              </w:rPr>
            </w:pPr>
          </w:p>
        </w:tc>
        <w:tc>
          <w:tcPr>
            <w:tcW w:w="1764" w:type="dxa"/>
            <w:vMerge/>
            <w:tcBorders>
              <w:left w:val="single" w:sz="4" w:space="0" w:color="0070C0"/>
              <w:bottom w:val="dotted" w:sz="4" w:space="0" w:color="0070C0"/>
              <w:right w:val="dotted" w:sz="4" w:space="0" w:color="0070C0"/>
            </w:tcBorders>
            <w:shd w:val="clear" w:color="auto" w:fill="auto"/>
          </w:tcPr>
          <w:p w:rsidR="00364C2E" w:rsidRPr="006F1D04" w:rsidRDefault="00364C2E" w:rsidP="005E4C36">
            <w:pPr>
              <w:spacing w:before="60" w:after="0" w:line="240" w:lineRule="auto"/>
              <w:rPr>
                <w:rFonts w:ascii="Arial" w:hAnsi="Arial" w:cs="Arial"/>
                <w:sz w:val="14"/>
                <w:szCs w:val="14"/>
              </w:rPr>
            </w:pPr>
          </w:p>
        </w:tc>
        <w:tc>
          <w:tcPr>
            <w:tcW w:w="1559" w:type="dxa"/>
            <w:vMerge/>
            <w:tcBorders>
              <w:left w:val="dotted" w:sz="4" w:space="0" w:color="0070C0"/>
              <w:bottom w:val="single" w:sz="4" w:space="0" w:color="0070C0"/>
              <w:right w:val="single" w:sz="4" w:space="0" w:color="0070C0"/>
            </w:tcBorders>
            <w:shd w:val="clear" w:color="auto" w:fill="auto"/>
          </w:tcPr>
          <w:p w:rsidR="00364C2E" w:rsidRPr="006F1D04" w:rsidRDefault="00364C2E" w:rsidP="005E4C36">
            <w:pPr>
              <w:spacing w:before="60" w:after="0" w:line="240" w:lineRule="auto"/>
              <w:rPr>
                <w:rFonts w:ascii="Arial" w:hAnsi="Arial" w:cs="Arial"/>
                <w:sz w:val="14"/>
                <w:szCs w:val="14"/>
              </w:rPr>
            </w:pPr>
          </w:p>
        </w:tc>
        <w:tc>
          <w:tcPr>
            <w:tcW w:w="1984" w:type="dxa"/>
            <w:vMerge/>
            <w:tcBorders>
              <w:left w:val="single" w:sz="4" w:space="0" w:color="0070C0"/>
              <w:bottom w:val="dotted" w:sz="4" w:space="0" w:color="0070C0"/>
              <w:right w:val="dotted" w:sz="4" w:space="0" w:color="0070C0"/>
            </w:tcBorders>
            <w:shd w:val="clear" w:color="auto" w:fill="auto"/>
          </w:tcPr>
          <w:p w:rsidR="00364C2E" w:rsidRPr="006F1D04" w:rsidRDefault="00364C2E" w:rsidP="005E4C36">
            <w:pPr>
              <w:spacing w:before="60" w:after="0" w:line="240" w:lineRule="auto"/>
              <w:rPr>
                <w:rFonts w:ascii="Arial" w:hAnsi="Arial" w:cs="Arial"/>
                <w:sz w:val="14"/>
                <w:szCs w:val="14"/>
              </w:rPr>
            </w:pPr>
          </w:p>
        </w:tc>
        <w:tc>
          <w:tcPr>
            <w:tcW w:w="2649" w:type="dxa"/>
            <w:tcBorders>
              <w:top w:val="dotted" w:sz="4" w:space="0" w:color="0070C0"/>
              <w:left w:val="dotted" w:sz="4" w:space="0" w:color="0070C0"/>
              <w:bottom w:val="dotted" w:sz="4" w:space="0" w:color="0070C0"/>
              <w:right w:val="single" w:sz="4" w:space="0" w:color="0070C0"/>
            </w:tcBorders>
            <w:shd w:val="clear" w:color="auto" w:fill="auto"/>
          </w:tcPr>
          <w:p w:rsidR="00364C2E" w:rsidRPr="006F1D04" w:rsidRDefault="00364C2E" w:rsidP="005E4C36">
            <w:pPr>
              <w:spacing w:before="60" w:after="0" w:line="240" w:lineRule="auto"/>
              <w:rPr>
                <w:rFonts w:ascii="Arial" w:hAnsi="Arial" w:cs="Arial"/>
                <w:sz w:val="14"/>
                <w:szCs w:val="14"/>
              </w:rPr>
            </w:pPr>
            <w:r w:rsidRPr="006F1D04">
              <w:rPr>
                <w:rFonts w:ascii="Arial" w:hAnsi="Arial" w:cs="Arial"/>
                <w:sz w:val="14"/>
                <w:szCs w:val="14"/>
              </w:rPr>
              <w:t>Potentially complex to explain to non-specialists.</w:t>
            </w:r>
          </w:p>
        </w:tc>
        <w:tc>
          <w:tcPr>
            <w:tcW w:w="1542" w:type="dxa"/>
            <w:vMerge/>
            <w:tcBorders>
              <w:left w:val="single" w:sz="4" w:space="0" w:color="0070C0"/>
              <w:bottom w:val="nil"/>
              <w:right w:val="dotted" w:sz="4" w:space="0" w:color="0070C0"/>
            </w:tcBorders>
            <w:shd w:val="clear" w:color="auto" w:fill="auto"/>
          </w:tcPr>
          <w:p w:rsidR="00364C2E" w:rsidRPr="006F1D04" w:rsidRDefault="00364C2E" w:rsidP="009F2A8F">
            <w:pPr>
              <w:spacing w:before="60" w:after="0" w:line="240" w:lineRule="auto"/>
              <w:rPr>
                <w:rFonts w:ascii="Arial" w:hAnsi="Arial" w:cs="Arial"/>
                <w:sz w:val="14"/>
                <w:szCs w:val="14"/>
              </w:rPr>
            </w:pPr>
          </w:p>
        </w:tc>
        <w:tc>
          <w:tcPr>
            <w:tcW w:w="1701" w:type="dxa"/>
            <w:vMerge/>
            <w:tcBorders>
              <w:left w:val="dotted" w:sz="4" w:space="0" w:color="0070C0"/>
              <w:right w:val="single" w:sz="4" w:space="0" w:color="0070C0"/>
            </w:tcBorders>
            <w:shd w:val="clear" w:color="auto" w:fill="auto"/>
          </w:tcPr>
          <w:p w:rsidR="00364C2E" w:rsidRPr="006F1D04" w:rsidRDefault="00364C2E" w:rsidP="009F2A8F">
            <w:pPr>
              <w:spacing w:before="60" w:after="0" w:line="240" w:lineRule="auto"/>
              <w:rPr>
                <w:rFonts w:ascii="Arial" w:hAnsi="Arial" w:cs="Arial"/>
                <w:sz w:val="14"/>
                <w:szCs w:val="14"/>
              </w:rPr>
            </w:pPr>
          </w:p>
        </w:tc>
      </w:tr>
      <w:tr w:rsidR="00AF02FA" w:rsidRPr="006F1D04" w:rsidTr="005E4C36">
        <w:trPr>
          <w:trHeight w:val="993"/>
          <w:jc w:val="center"/>
        </w:trPr>
        <w:tc>
          <w:tcPr>
            <w:tcW w:w="1370" w:type="dxa"/>
            <w:vMerge w:val="restart"/>
            <w:tcBorders>
              <w:top w:val="single" w:sz="4" w:space="0" w:color="0070C0"/>
              <w:left w:val="single" w:sz="4" w:space="0" w:color="0070C0"/>
              <w:right w:val="single" w:sz="4" w:space="0" w:color="0070C0"/>
            </w:tcBorders>
            <w:shd w:val="clear" w:color="auto" w:fill="D9D9D9"/>
          </w:tcPr>
          <w:p w:rsidR="00AF02FA" w:rsidRPr="006F1D04" w:rsidRDefault="00AF02FA" w:rsidP="009F2A8F">
            <w:pPr>
              <w:spacing w:before="60" w:after="0" w:line="240" w:lineRule="auto"/>
              <w:rPr>
                <w:rFonts w:ascii="Arial" w:hAnsi="Arial" w:cs="Arial"/>
                <w:sz w:val="14"/>
                <w:szCs w:val="14"/>
              </w:rPr>
            </w:pPr>
            <w:r w:rsidRPr="006F1D04">
              <w:rPr>
                <w:rFonts w:ascii="Arial" w:hAnsi="Arial" w:cs="Arial"/>
                <w:sz w:val="14"/>
                <w:szCs w:val="14"/>
              </w:rPr>
              <w:t xml:space="preserve">Natural events rule (in combination with either a fixed number of allowed exceedances or a percentile) </w:t>
            </w:r>
          </w:p>
        </w:tc>
        <w:tc>
          <w:tcPr>
            <w:tcW w:w="1764" w:type="dxa"/>
            <w:tcBorders>
              <w:top w:val="single" w:sz="4" w:space="0" w:color="0070C0"/>
              <w:left w:val="single" w:sz="4" w:space="0" w:color="0070C0"/>
              <w:bottom w:val="dotted" w:sz="4" w:space="0" w:color="0070C0"/>
              <w:right w:val="dotted" w:sz="4" w:space="0" w:color="0070C0"/>
            </w:tcBorders>
            <w:shd w:val="clear" w:color="auto" w:fill="auto"/>
          </w:tcPr>
          <w:p w:rsidR="00AF02FA" w:rsidRPr="006F1D04" w:rsidRDefault="00AF02FA" w:rsidP="009F2A8F">
            <w:pPr>
              <w:spacing w:before="60" w:after="0" w:line="240" w:lineRule="auto"/>
              <w:rPr>
                <w:rFonts w:ascii="Arial" w:hAnsi="Arial" w:cs="Arial"/>
                <w:sz w:val="14"/>
                <w:szCs w:val="14"/>
              </w:rPr>
            </w:pPr>
            <w:r w:rsidRPr="006F1D04">
              <w:rPr>
                <w:rFonts w:ascii="Arial" w:hAnsi="Arial" w:cs="Arial"/>
                <w:sz w:val="14"/>
                <w:szCs w:val="14"/>
              </w:rPr>
              <w:t>Exceedances stated in relation to real and defined pollution events.</w:t>
            </w:r>
          </w:p>
        </w:tc>
        <w:tc>
          <w:tcPr>
            <w:tcW w:w="1559" w:type="dxa"/>
            <w:vMerge w:val="restart"/>
            <w:tcBorders>
              <w:top w:val="single" w:sz="4" w:space="0" w:color="0070C0"/>
              <w:left w:val="dotted" w:sz="4" w:space="0" w:color="0070C0"/>
              <w:right w:val="single" w:sz="4" w:space="0" w:color="0070C0"/>
            </w:tcBorders>
            <w:shd w:val="clear" w:color="auto" w:fill="auto"/>
          </w:tcPr>
          <w:p w:rsidR="00AF02FA" w:rsidRPr="006F1D04" w:rsidRDefault="00AF02FA" w:rsidP="009F2A8F">
            <w:pPr>
              <w:spacing w:before="60" w:after="0" w:line="240" w:lineRule="auto"/>
              <w:rPr>
                <w:rFonts w:ascii="Arial" w:hAnsi="Arial" w:cs="Arial"/>
                <w:sz w:val="14"/>
                <w:szCs w:val="14"/>
              </w:rPr>
            </w:pPr>
            <w:r w:rsidRPr="006F1D04">
              <w:rPr>
                <w:rFonts w:ascii="Arial" w:hAnsi="Arial" w:cs="Arial"/>
                <w:sz w:val="14"/>
                <w:szCs w:val="14"/>
              </w:rPr>
              <w:t>Definition of thresholds is currently unclear. How are small-scale events treated? Do natural events affect non-exceedance periods?</w:t>
            </w:r>
          </w:p>
        </w:tc>
        <w:tc>
          <w:tcPr>
            <w:tcW w:w="1984" w:type="dxa"/>
            <w:tcBorders>
              <w:top w:val="single" w:sz="4" w:space="0" w:color="0070C0"/>
              <w:left w:val="single" w:sz="4" w:space="0" w:color="0070C0"/>
              <w:bottom w:val="dotted" w:sz="4" w:space="0" w:color="0070C0"/>
              <w:right w:val="dotted" w:sz="4" w:space="0" w:color="0070C0"/>
            </w:tcBorders>
            <w:shd w:val="clear" w:color="auto" w:fill="auto"/>
          </w:tcPr>
          <w:p w:rsidR="00AF02FA" w:rsidRPr="006F1D04" w:rsidRDefault="00AF02FA" w:rsidP="009F2A8F">
            <w:pPr>
              <w:spacing w:before="60" w:after="0" w:line="240" w:lineRule="auto"/>
              <w:rPr>
                <w:rFonts w:ascii="Arial" w:hAnsi="Arial" w:cs="Arial"/>
                <w:sz w:val="14"/>
                <w:szCs w:val="14"/>
              </w:rPr>
            </w:pPr>
            <w:r w:rsidRPr="006F1D04">
              <w:rPr>
                <w:rFonts w:ascii="Arial" w:hAnsi="Arial" w:cs="Arial"/>
                <w:sz w:val="14"/>
                <w:szCs w:val="14"/>
              </w:rPr>
              <w:t>All breaches of standards caused by human activity are accounted for.</w:t>
            </w:r>
          </w:p>
        </w:tc>
        <w:tc>
          <w:tcPr>
            <w:tcW w:w="2649" w:type="dxa"/>
            <w:tcBorders>
              <w:top w:val="single" w:sz="4" w:space="0" w:color="0070C0"/>
              <w:left w:val="dotted" w:sz="4" w:space="0" w:color="0070C0"/>
              <w:bottom w:val="dotted" w:sz="4" w:space="0" w:color="0070C0"/>
              <w:right w:val="single" w:sz="4" w:space="0" w:color="0070C0"/>
            </w:tcBorders>
            <w:shd w:val="clear" w:color="auto" w:fill="auto"/>
          </w:tcPr>
          <w:p w:rsidR="00AF02FA" w:rsidRPr="006F1D04" w:rsidRDefault="00AF02FA" w:rsidP="005E4C36">
            <w:pPr>
              <w:spacing w:before="60" w:after="0" w:line="240" w:lineRule="auto"/>
              <w:rPr>
                <w:rFonts w:ascii="Arial" w:hAnsi="Arial" w:cs="Arial"/>
                <w:sz w:val="14"/>
                <w:szCs w:val="14"/>
              </w:rPr>
            </w:pPr>
            <w:r w:rsidRPr="006F1D04">
              <w:rPr>
                <w:rFonts w:ascii="Arial" w:hAnsi="Arial" w:cs="Arial"/>
                <w:sz w:val="14"/>
                <w:szCs w:val="14"/>
              </w:rPr>
              <w:t>Potentially impractical for jurisdictions with large land areas where bush fires and planned burning are prevalent but data are very limited (</w:t>
            </w:r>
            <w:r w:rsidR="009334F4" w:rsidRPr="006F1D04">
              <w:rPr>
                <w:rFonts w:ascii="Arial" w:hAnsi="Arial" w:cs="Arial"/>
                <w:sz w:val="14"/>
                <w:szCs w:val="14"/>
              </w:rPr>
              <w:t>e.g.</w:t>
            </w:r>
            <w:r w:rsidRPr="006F1D04">
              <w:rPr>
                <w:rFonts w:ascii="Arial" w:hAnsi="Arial" w:cs="Arial"/>
                <w:sz w:val="14"/>
                <w:szCs w:val="14"/>
              </w:rPr>
              <w:t xml:space="preserve"> NT).</w:t>
            </w:r>
          </w:p>
        </w:tc>
        <w:tc>
          <w:tcPr>
            <w:tcW w:w="1542" w:type="dxa"/>
            <w:vMerge w:val="restart"/>
            <w:tcBorders>
              <w:top w:val="single" w:sz="4" w:space="0" w:color="0070C0"/>
              <w:left w:val="single" w:sz="4" w:space="0" w:color="0070C0"/>
              <w:right w:val="dotted" w:sz="4" w:space="0" w:color="0070C0"/>
            </w:tcBorders>
            <w:shd w:val="clear" w:color="auto" w:fill="auto"/>
          </w:tcPr>
          <w:p w:rsidR="00AF02FA" w:rsidRPr="006F1D04" w:rsidRDefault="00AF02FA" w:rsidP="009F2A8F">
            <w:pPr>
              <w:spacing w:before="60" w:after="0" w:line="240" w:lineRule="auto"/>
              <w:rPr>
                <w:rFonts w:ascii="Arial" w:hAnsi="Arial" w:cs="Arial"/>
                <w:sz w:val="14"/>
                <w:szCs w:val="14"/>
              </w:rPr>
            </w:pPr>
            <w:r w:rsidRPr="006F1D04">
              <w:rPr>
                <w:rFonts w:ascii="Arial" w:hAnsi="Arial" w:cs="Arial"/>
                <w:sz w:val="14"/>
                <w:szCs w:val="14"/>
              </w:rPr>
              <w:t>None.</w:t>
            </w:r>
          </w:p>
        </w:tc>
        <w:tc>
          <w:tcPr>
            <w:tcW w:w="1701" w:type="dxa"/>
            <w:vMerge w:val="restart"/>
            <w:tcBorders>
              <w:top w:val="single" w:sz="4" w:space="0" w:color="0070C0"/>
              <w:left w:val="dotted" w:sz="4" w:space="0" w:color="0070C0"/>
              <w:right w:val="single" w:sz="4" w:space="0" w:color="0070C0"/>
            </w:tcBorders>
            <w:shd w:val="clear" w:color="auto" w:fill="auto"/>
          </w:tcPr>
          <w:p w:rsidR="00AF02FA" w:rsidRPr="006F1D04" w:rsidRDefault="00AF02FA" w:rsidP="009F2A8F">
            <w:pPr>
              <w:spacing w:before="60" w:after="0" w:line="240" w:lineRule="auto"/>
              <w:rPr>
                <w:rFonts w:ascii="Arial" w:hAnsi="Arial" w:cs="Arial"/>
                <w:sz w:val="14"/>
                <w:szCs w:val="14"/>
              </w:rPr>
            </w:pPr>
            <w:r w:rsidRPr="006F1D04">
              <w:rPr>
                <w:rFonts w:ascii="Arial" w:hAnsi="Arial" w:cs="Arial"/>
                <w:sz w:val="14"/>
                <w:szCs w:val="14"/>
              </w:rPr>
              <w:t>Potentially resource intensive. Likely to require additional analysis of data. Difficult to fund for smaller jurisdictions.</w:t>
            </w:r>
          </w:p>
        </w:tc>
      </w:tr>
      <w:tr w:rsidR="00AF02FA" w:rsidRPr="006F1D04" w:rsidTr="005E4C36">
        <w:trPr>
          <w:trHeight w:val="710"/>
          <w:jc w:val="center"/>
        </w:trPr>
        <w:tc>
          <w:tcPr>
            <w:tcW w:w="1370" w:type="dxa"/>
            <w:vMerge/>
            <w:tcBorders>
              <w:left w:val="single" w:sz="4" w:space="0" w:color="0070C0"/>
              <w:right w:val="single" w:sz="4" w:space="0" w:color="0070C0"/>
            </w:tcBorders>
            <w:shd w:val="clear" w:color="auto" w:fill="D9D9D9"/>
          </w:tcPr>
          <w:p w:rsidR="00AF02FA" w:rsidRPr="006F1D04" w:rsidRDefault="00AF02FA" w:rsidP="009F2A8F">
            <w:pPr>
              <w:spacing w:before="60" w:after="0" w:line="240" w:lineRule="auto"/>
              <w:rPr>
                <w:rFonts w:ascii="Arial" w:hAnsi="Arial" w:cs="Arial"/>
                <w:sz w:val="14"/>
                <w:szCs w:val="14"/>
              </w:rPr>
            </w:pPr>
          </w:p>
        </w:tc>
        <w:tc>
          <w:tcPr>
            <w:tcW w:w="1764" w:type="dxa"/>
            <w:tcBorders>
              <w:top w:val="dotted" w:sz="4" w:space="0" w:color="0070C0"/>
              <w:left w:val="single" w:sz="4" w:space="0" w:color="0070C0"/>
              <w:bottom w:val="dotted" w:sz="4" w:space="0" w:color="0070C0"/>
              <w:right w:val="dotted" w:sz="4" w:space="0" w:color="0070C0"/>
            </w:tcBorders>
            <w:shd w:val="clear" w:color="auto" w:fill="auto"/>
          </w:tcPr>
          <w:p w:rsidR="00AF02FA" w:rsidRPr="006F1D04" w:rsidRDefault="00AF02FA" w:rsidP="009F2A8F">
            <w:pPr>
              <w:spacing w:before="60" w:after="0" w:line="240" w:lineRule="auto"/>
              <w:rPr>
                <w:rFonts w:ascii="Arial" w:hAnsi="Arial" w:cs="Arial"/>
                <w:sz w:val="14"/>
                <w:szCs w:val="14"/>
              </w:rPr>
            </w:pPr>
            <w:r w:rsidRPr="006F1D04">
              <w:rPr>
                <w:rFonts w:ascii="Arial" w:hAnsi="Arial" w:cs="Arial"/>
                <w:sz w:val="14"/>
                <w:szCs w:val="14"/>
              </w:rPr>
              <w:t>Fairer comparison of anthropogenic pollution across jurisdictions.</w:t>
            </w:r>
          </w:p>
        </w:tc>
        <w:tc>
          <w:tcPr>
            <w:tcW w:w="1559" w:type="dxa"/>
            <w:vMerge/>
            <w:tcBorders>
              <w:left w:val="dotted" w:sz="4" w:space="0" w:color="0070C0"/>
              <w:right w:val="single" w:sz="4" w:space="0" w:color="0070C0"/>
            </w:tcBorders>
            <w:shd w:val="clear" w:color="auto" w:fill="auto"/>
          </w:tcPr>
          <w:p w:rsidR="00AF02FA" w:rsidRPr="006F1D04" w:rsidRDefault="00AF02FA" w:rsidP="009F2A8F">
            <w:pPr>
              <w:spacing w:before="60" w:after="0" w:line="240" w:lineRule="auto"/>
              <w:rPr>
                <w:rFonts w:ascii="Arial" w:hAnsi="Arial" w:cs="Arial"/>
                <w:sz w:val="14"/>
                <w:szCs w:val="14"/>
              </w:rPr>
            </w:pPr>
          </w:p>
        </w:tc>
        <w:tc>
          <w:tcPr>
            <w:tcW w:w="1984" w:type="dxa"/>
            <w:vMerge w:val="restart"/>
            <w:tcBorders>
              <w:top w:val="dotted" w:sz="4" w:space="0" w:color="0070C0"/>
              <w:left w:val="single" w:sz="4" w:space="0" w:color="0070C0"/>
              <w:right w:val="dotted" w:sz="4" w:space="0" w:color="0070C0"/>
            </w:tcBorders>
            <w:shd w:val="clear" w:color="auto" w:fill="auto"/>
          </w:tcPr>
          <w:p w:rsidR="00AF02FA" w:rsidRPr="006F1D04" w:rsidRDefault="00AF02FA" w:rsidP="009F2A8F">
            <w:pPr>
              <w:spacing w:before="60" w:after="0" w:line="240" w:lineRule="auto"/>
              <w:rPr>
                <w:rFonts w:ascii="Arial" w:hAnsi="Arial" w:cs="Arial"/>
                <w:sz w:val="14"/>
                <w:szCs w:val="14"/>
              </w:rPr>
            </w:pPr>
            <w:r w:rsidRPr="006F1D04">
              <w:rPr>
                <w:rFonts w:ascii="Arial" w:hAnsi="Arial" w:cs="Arial"/>
                <w:sz w:val="14"/>
                <w:szCs w:val="14"/>
              </w:rPr>
              <w:t>Allows a direct assessment of the success of policy efforts to control anthropogenic pollution.</w:t>
            </w:r>
          </w:p>
        </w:tc>
        <w:tc>
          <w:tcPr>
            <w:tcW w:w="2649" w:type="dxa"/>
            <w:vMerge w:val="restart"/>
            <w:tcBorders>
              <w:top w:val="dotted" w:sz="4" w:space="0" w:color="0070C0"/>
              <w:left w:val="dotted" w:sz="4" w:space="0" w:color="0070C0"/>
              <w:right w:val="single" w:sz="4" w:space="0" w:color="0070C0"/>
            </w:tcBorders>
            <w:shd w:val="clear" w:color="auto" w:fill="auto"/>
          </w:tcPr>
          <w:p w:rsidR="00AF02FA" w:rsidRPr="006F1D04" w:rsidRDefault="00AF02FA" w:rsidP="005E4C36">
            <w:pPr>
              <w:spacing w:before="60" w:after="0" w:line="240" w:lineRule="auto"/>
              <w:rPr>
                <w:rFonts w:ascii="Arial" w:hAnsi="Arial" w:cs="Arial"/>
                <w:sz w:val="14"/>
                <w:szCs w:val="14"/>
              </w:rPr>
            </w:pPr>
            <w:r w:rsidRPr="006F1D04">
              <w:rPr>
                <w:rFonts w:ascii="Arial" w:hAnsi="Arial" w:cs="Arial"/>
                <w:sz w:val="14"/>
                <w:szCs w:val="14"/>
              </w:rPr>
              <w:t>Lack of transparency. Elements are likely to be open to interpretation and ‘gaming’.</w:t>
            </w:r>
          </w:p>
        </w:tc>
        <w:tc>
          <w:tcPr>
            <w:tcW w:w="1542" w:type="dxa"/>
            <w:vMerge/>
            <w:tcBorders>
              <w:left w:val="single" w:sz="4" w:space="0" w:color="0070C0"/>
              <w:right w:val="dotted" w:sz="4" w:space="0" w:color="0070C0"/>
            </w:tcBorders>
            <w:shd w:val="clear" w:color="auto" w:fill="auto"/>
          </w:tcPr>
          <w:p w:rsidR="00AF02FA" w:rsidRPr="006F1D04" w:rsidRDefault="00AF02FA" w:rsidP="009F2A8F">
            <w:pPr>
              <w:spacing w:before="60" w:after="0" w:line="240" w:lineRule="auto"/>
              <w:rPr>
                <w:rFonts w:ascii="Arial" w:hAnsi="Arial" w:cs="Arial"/>
                <w:sz w:val="14"/>
                <w:szCs w:val="14"/>
              </w:rPr>
            </w:pPr>
          </w:p>
        </w:tc>
        <w:tc>
          <w:tcPr>
            <w:tcW w:w="1701" w:type="dxa"/>
            <w:vMerge/>
            <w:tcBorders>
              <w:left w:val="dotted" w:sz="4" w:space="0" w:color="0070C0"/>
              <w:right w:val="single" w:sz="4" w:space="0" w:color="0070C0"/>
            </w:tcBorders>
            <w:shd w:val="clear" w:color="auto" w:fill="auto"/>
          </w:tcPr>
          <w:p w:rsidR="00AF02FA" w:rsidRPr="006F1D04" w:rsidRDefault="00AF02FA" w:rsidP="009F2A8F">
            <w:pPr>
              <w:spacing w:before="60" w:after="0" w:line="240" w:lineRule="auto"/>
              <w:rPr>
                <w:rFonts w:ascii="Arial" w:hAnsi="Arial" w:cs="Arial"/>
                <w:sz w:val="14"/>
                <w:szCs w:val="14"/>
              </w:rPr>
            </w:pPr>
          </w:p>
        </w:tc>
      </w:tr>
      <w:tr w:rsidR="00AF02FA" w:rsidRPr="006F1D04" w:rsidTr="00AF02FA">
        <w:trPr>
          <w:trHeight w:hRule="exact" w:val="794"/>
          <w:jc w:val="center"/>
        </w:trPr>
        <w:tc>
          <w:tcPr>
            <w:tcW w:w="1370" w:type="dxa"/>
            <w:vMerge/>
            <w:tcBorders>
              <w:left w:val="single" w:sz="4" w:space="0" w:color="0070C0"/>
              <w:bottom w:val="nil"/>
              <w:right w:val="single" w:sz="4" w:space="0" w:color="0070C0"/>
            </w:tcBorders>
            <w:shd w:val="clear" w:color="auto" w:fill="D9D9D9"/>
          </w:tcPr>
          <w:p w:rsidR="00AF02FA" w:rsidRPr="006F1D04" w:rsidRDefault="00AF02FA" w:rsidP="009F2A8F">
            <w:pPr>
              <w:spacing w:before="60" w:after="0" w:line="240" w:lineRule="auto"/>
              <w:rPr>
                <w:rFonts w:ascii="Arial" w:hAnsi="Arial" w:cs="Arial"/>
                <w:sz w:val="14"/>
                <w:szCs w:val="14"/>
              </w:rPr>
            </w:pPr>
          </w:p>
        </w:tc>
        <w:tc>
          <w:tcPr>
            <w:tcW w:w="1764" w:type="dxa"/>
            <w:vMerge w:val="restart"/>
            <w:tcBorders>
              <w:top w:val="dotted" w:sz="4" w:space="0" w:color="0070C0"/>
              <w:left w:val="single" w:sz="4" w:space="0" w:color="0070C0"/>
              <w:bottom w:val="single" w:sz="4" w:space="0" w:color="000000"/>
              <w:right w:val="dotted" w:sz="4" w:space="0" w:color="0070C0"/>
            </w:tcBorders>
            <w:shd w:val="clear" w:color="auto" w:fill="auto"/>
          </w:tcPr>
          <w:p w:rsidR="00AF02FA" w:rsidRPr="006F1D04" w:rsidRDefault="00AF02FA" w:rsidP="009F2A8F">
            <w:pPr>
              <w:spacing w:before="60" w:after="0" w:line="240" w:lineRule="auto"/>
              <w:rPr>
                <w:rFonts w:ascii="Arial" w:hAnsi="Arial" w:cs="Arial"/>
                <w:sz w:val="14"/>
                <w:szCs w:val="14"/>
              </w:rPr>
            </w:pPr>
            <w:r w:rsidRPr="006F1D04">
              <w:rPr>
                <w:rFonts w:ascii="Arial" w:hAnsi="Arial" w:cs="Arial"/>
                <w:sz w:val="14"/>
                <w:szCs w:val="14"/>
              </w:rPr>
              <w:t>Removes confusion concerning the concept of allowable exceedances.</w:t>
            </w:r>
          </w:p>
        </w:tc>
        <w:tc>
          <w:tcPr>
            <w:tcW w:w="1559" w:type="dxa"/>
            <w:vMerge/>
            <w:tcBorders>
              <w:left w:val="dotted" w:sz="4" w:space="0" w:color="0070C0"/>
              <w:bottom w:val="single" w:sz="4" w:space="0" w:color="000000"/>
              <w:right w:val="single" w:sz="4" w:space="0" w:color="0070C0"/>
            </w:tcBorders>
            <w:shd w:val="clear" w:color="auto" w:fill="auto"/>
          </w:tcPr>
          <w:p w:rsidR="00AF02FA" w:rsidRPr="006F1D04" w:rsidRDefault="00AF02FA" w:rsidP="009F2A8F">
            <w:pPr>
              <w:spacing w:before="60" w:after="0" w:line="240" w:lineRule="auto"/>
              <w:rPr>
                <w:rFonts w:ascii="Arial" w:hAnsi="Arial" w:cs="Arial"/>
                <w:sz w:val="14"/>
                <w:szCs w:val="14"/>
              </w:rPr>
            </w:pPr>
          </w:p>
        </w:tc>
        <w:tc>
          <w:tcPr>
            <w:tcW w:w="1984" w:type="dxa"/>
            <w:vMerge/>
            <w:tcBorders>
              <w:left w:val="single" w:sz="4" w:space="0" w:color="0070C0"/>
              <w:right w:val="dotted" w:sz="4" w:space="0" w:color="0070C0"/>
            </w:tcBorders>
            <w:shd w:val="clear" w:color="auto" w:fill="auto"/>
          </w:tcPr>
          <w:p w:rsidR="00AF02FA" w:rsidRPr="006F1D04" w:rsidRDefault="00AF02FA" w:rsidP="009F2A8F">
            <w:pPr>
              <w:spacing w:before="60" w:after="0" w:line="240" w:lineRule="auto"/>
              <w:rPr>
                <w:rFonts w:ascii="Arial" w:hAnsi="Arial" w:cs="Arial"/>
                <w:sz w:val="14"/>
                <w:szCs w:val="14"/>
              </w:rPr>
            </w:pPr>
          </w:p>
        </w:tc>
        <w:tc>
          <w:tcPr>
            <w:tcW w:w="2649" w:type="dxa"/>
            <w:vMerge/>
            <w:tcBorders>
              <w:left w:val="dotted" w:sz="4" w:space="0" w:color="0070C0"/>
              <w:right w:val="single" w:sz="4" w:space="0" w:color="0070C0"/>
            </w:tcBorders>
            <w:shd w:val="clear" w:color="auto" w:fill="auto"/>
          </w:tcPr>
          <w:p w:rsidR="00AF02FA" w:rsidRPr="006F1D04" w:rsidRDefault="00AF02FA" w:rsidP="009F2A8F">
            <w:pPr>
              <w:spacing w:before="60" w:after="0" w:line="240" w:lineRule="auto"/>
              <w:rPr>
                <w:rFonts w:ascii="Arial" w:hAnsi="Arial" w:cs="Arial"/>
                <w:sz w:val="14"/>
                <w:szCs w:val="14"/>
              </w:rPr>
            </w:pPr>
          </w:p>
        </w:tc>
        <w:tc>
          <w:tcPr>
            <w:tcW w:w="1542" w:type="dxa"/>
            <w:vMerge/>
            <w:tcBorders>
              <w:left w:val="single" w:sz="4" w:space="0" w:color="0070C0"/>
              <w:right w:val="dotted" w:sz="4" w:space="0" w:color="0070C0"/>
            </w:tcBorders>
            <w:shd w:val="clear" w:color="auto" w:fill="auto"/>
          </w:tcPr>
          <w:p w:rsidR="00AF02FA" w:rsidRPr="006F1D04" w:rsidRDefault="00AF02FA" w:rsidP="009F2A8F">
            <w:pPr>
              <w:spacing w:before="60" w:after="0" w:line="240" w:lineRule="auto"/>
              <w:rPr>
                <w:rFonts w:ascii="Arial" w:hAnsi="Arial" w:cs="Arial"/>
                <w:sz w:val="14"/>
                <w:szCs w:val="14"/>
              </w:rPr>
            </w:pPr>
          </w:p>
        </w:tc>
        <w:tc>
          <w:tcPr>
            <w:tcW w:w="1701" w:type="dxa"/>
            <w:vMerge/>
            <w:tcBorders>
              <w:left w:val="dotted" w:sz="4" w:space="0" w:color="0070C0"/>
              <w:bottom w:val="single" w:sz="4" w:space="0" w:color="000000"/>
              <w:right w:val="single" w:sz="4" w:space="0" w:color="0070C0"/>
            </w:tcBorders>
            <w:shd w:val="clear" w:color="auto" w:fill="auto"/>
          </w:tcPr>
          <w:p w:rsidR="00AF02FA" w:rsidRPr="006F1D04" w:rsidRDefault="00AF02FA" w:rsidP="009F2A8F">
            <w:pPr>
              <w:spacing w:before="60" w:after="0" w:line="240" w:lineRule="auto"/>
              <w:rPr>
                <w:rFonts w:ascii="Arial" w:hAnsi="Arial" w:cs="Arial"/>
                <w:sz w:val="14"/>
                <w:szCs w:val="14"/>
              </w:rPr>
            </w:pPr>
          </w:p>
        </w:tc>
      </w:tr>
      <w:tr w:rsidR="00AF02FA" w:rsidRPr="006F1D04" w:rsidTr="00AF02FA">
        <w:trPr>
          <w:trHeight w:val="56"/>
          <w:jc w:val="center"/>
        </w:trPr>
        <w:tc>
          <w:tcPr>
            <w:tcW w:w="1370" w:type="dxa"/>
            <w:tcBorders>
              <w:top w:val="nil"/>
              <w:left w:val="single" w:sz="4" w:space="0" w:color="0070C0"/>
              <w:bottom w:val="single" w:sz="4" w:space="0" w:color="0070C0"/>
              <w:right w:val="single" w:sz="4" w:space="0" w:color="0070C0"/>
            </w:tcBorders>
            <w:shd w:val="clear" w:color="auto" w:fill="D9D9D9"/>
          </w:tcPr>
          <w:p w:rsidR="00AF02FA" w:rsidRPr="006F1D04" w:rsidRDefault="00AF02FA" w:rsidP="00885B82">
            <w:pPr>
              <w:spacing w:after="0" w:line="240" w:lineRule="auto"/>
              <w:rPr>
                <w:rFonts w:ascii="Arial" w:hAnsi="Arial" w:cs="Arial"/>
                <w:sz w:val="15"/>
                <w:szCs w:val="15"/>
              </w:rPr>
            </w:pPr>
          </w:p>
        </w:tc>
        <w:tc>
          <w:tcPr>
            <w:tcW w:w="1764" w:type="dxa"/>
            <w:vMerge/>
            <w:tcBorders>
              <w:left w:val="single" w:sz="4" w:space="0" w:color="0070C0"/>
              <w:bottom w:val="single" w:sz="4" w:space="0" w:color="0070C0"/>
              <w:right w:val="dotted" w:sz="4" w:space="0" w:color="0070C0"/>
            </w:tcBorders>
            <w:shd w:val="clear" w:color="auto" w:fill="auto"/>
          </w:tcPr>
          <w:p w:rsidR="00AF02FA" w:rsidRPr="006F1D04" w:rsidRDefault="00AF02FA" w:rsidP="00885B82">
            <w:pPr>
              <w:spacing w:after="0" w:line="240" w:lineRule="auto"/>
              <w:rPr>
                <w:rFonts w:ascii="Arial" w:hAnsi="Arial" w:cs="Arial"/>
                <w:sz w:val="15"/>
                <w:szCs w:val="15"/>
              </w:rPr>
            </w:pPr>
          </w:p>
        </w:tc>
        <w:tc>
          <w:tcPr>
            <w:tcW w:w="1559" w:type="dxa"/>
            <w:vMerge/>
            <w:tcBorders>
              <w:left w:val="dotted" w:sz="4" w:space="0" w:color="0070C0"/>
              <w:bottom w:val="single" w:sz="4" w:space="0" w:color="0070C0"/>
              <w:right w:val="single" w:sz="4" w:space="0" w:color="0070C0"/>
            </w:tcBorders>
            <w:shd w:val="clear" w:color="auto" w:fill="auto"/>
          </w:tcPr>
          <w:p w:rsidR="00AF02FA" w:rsidRPr="006F1D04" w:rsidRDefault="00AF02FA" w:rsidP="00885B82">
            <w:pPr>
              <w:spacing w:after="0" w:line="240" w:lineRule="auto"/>
              <w:rPr>
                <w:rFonts w:ascii="Arial" w:hAnsi="Arial" w:cs="Arial"/>
                <w:sz w:val="15"/>
                <w:szCs w:val="15"/>
              </w:rPr>
            </w:pPr>
          </w:p>
        </w:tc>
        <w:tc>
          <w:tcPr>
            <w:tcW w:w="1984" w:type="dxa"/>
            <w:vMerge/>
            <w:tcBorders>
              <w:left w:val="single" w:sz="4" w:space="0" w:color="0070C0"/>
              <w:bottom w:val="single" w:sz="4" w:space="0" w:color="0070C0"/>
              <w:right w:val="dotted" w:sz="4" w:space="0" w:color="0070C0"/>
            </w:tcBorders>
            <w:shd w:val="clear" w:color="auto" w:fill="auto"/>
          </w:tcPr>
          <w:p w:rsidR="00AF02FA" w:rsidRPr="006F1D04" w:rsidRDefault="00AF02FA" w:rsidP="00885B82">
            <w:pPr>
              <w:spacing w:after="0" w:line="240" w:lineRule="auto"/>
              <w:rPr>
                <w:rFonts w:ascii="Arial" w:hAnsi="Arial" w:cs="Arial"/>
                <w:sz w:val="15"/>
                <w:szCs w:val="15"/>
              </w:rPr>
            </w:pPr>
          </w:p>
        </w:tc>
        <w:tc>
          <w:tcPr>
            <w:tcW w:w="2649" w:type="dxa"/>
            <w:vMerge/>
            <w:tcBorders>
              <w:left w:val="dotted" w:sz="4" w:space="0" w:color="0070C0"/>
              <w:bottom w:val="single" w:sz="4" w:space="0" w:color="0070C0"/>
              <w:right w:val="single" w:sz="4" w:space="0" w:color="0070C0"/>
            </w:tcBorders>
            <w:shd w:val="clear" w:color="auto" w:fill="auto"/>
          </w:tcPr>
          <w:p w:rsidR="00AF02FA" w:rsidRPr="006F1D04" w:rsidRDefault="00AF02FA" w:rsidP="00885B82">
            <w:pPr>
              <w:spacing w:after="0" w:line="240" w:lineRule="auto"/>
              <w:rPr>
                <w:rFonts w:ascii="Arial" w:hAnsi="Arial" w:cs="Arial"/>
                <w:sz w:val="15"/>
                <w:szCs w:val="15"/>
              </w:rPr>
            </w:pPr>
          </w:p>
        </w:tc>
        <w:tc>
          <w:tcPr>
            <w:tcW w:w="1542" w:type="dxa"/>
            <w:vMerge/>
            <w:tcBorders>
              <w:left w:val="single" w:sz="4" w:space="0" w:color="0070C0"/>
              <w:bottom w:val="single" w:sz="4" w:space="0" w:color="0070C0"/>
              <w:right w:val="dotted" w:sz="4" w:space="0" w:color="0070C0"/>
            </w:tcBorders>
            <w:shd w:val="clear" w:color="auto" w:fill="auto"/>
          </w:tcPr>
          <w:p w:rsidR="00AF02FA" w:rsidRPr="006F1D04" w:rsidRDefault="00AF02FA" w:rsidP="00885B82">
            <w:pPr>
              <w:spacing w:after="0" w:line="240" w:lineRule="auto"/>
              <w:rPr>
                <w:rFonts w:ascii="Arial" w:hAnsi="Arial" w:cs="Arial"/>
                <w:sz w:val="15"/>
                <w:szCs w:val="15"/>
              </w:rPr>
            </w:pPr>
          </w:p>
        </w:tc>
        <w:tc>
          <w:tcPr>
            <w:tcW w:w="1701" w:type="dxa"/>
            <w:vMerge/>
            <w:tcBorders>
              <w:left w:val="dotted" w:sz="4" w:space="0" w:color="0070C0"/>
              <w:bottom w:val="single" w:sz="4" w:space="0" w:color="0070C0"/>
              <w:right w:val="single" w:sz="4" w:space="0" w:color="0070C0"/>
            </w:tcBorders>
            <w:shd w:val="clear" w:color="auto" w:fill="auto"/>
          </w:tcPr>
          <w:p w:rsidR="00AF02FA" w:rsidRPr="006F1D04" w:rsidRDefault="00AF02FA" w:rsidP="00885B82">
            <w:pPr>
              <w:spacing w:after="0" w:line="240" w:lineRule="auto"/>
              <w:rPr>
                <w:rFonts w:ascii="Arial" w:hAnsi="Arial" w:cs="Arial"/>
                <w:sz w:val="15"/>
                <w:szCs w:val="15"/>
              </w:rPr>
            </w:pPr>
          </w:p>
        </w:tc>
      </w:tr>
    </w:tbl>
    <w:p w:rsidR="00604108" w:rsidRPr="006F1D04" w:rsidRDefault="00604108" w:rsidP="00B14EB1">
      <w:pPr>
        <w:rPr>
          <w:rFonts w:ascii="Arial" w:hAnsi="Arial" w:cs="Arial"/>
        </w:rPr>
      </w:pPr>
    </w:p>
    <w:p w:rsidR="00ED7A41" w:rsidRPr="006F1D04" w:rsidRDefault="00ED7A41" w:rsidP="00B14EB1">
      <w:pPr>
        <w:rPr>
          <w:rFonts w:ascii="Arial" w:hAnsi="Arial" w:cs="Arial"/>
        </w:rPr>
      </w:pPr>
    </w:p>
    <w:p w:rsidR="00ED7A41" w:rsidRPr="006F1D04" w:rsidRDefault="00ED7A41" w:rsidP="00B14EB1">
      <w:pPr>
        <w:rPr>
          <w:rFonts w:ascii="Arial" w:hAnsi="Arial" w:cs="Arial"/>
        </w:rPr>
        <w:sectPr w:rsidR="00ED7A41" w:rsidRPr="006F1D04" w:rsidSect="006A5626">
          <w:headerReference w:type="even" r:id="rId83"/>
          <w:headerReference w:type="default" r:id="rId84"/>
          <w:footerReference w:type="even" r:id="rId85"/>
          <w:footerReference w:type="default" r:id="rId86"/>
          <w:headerReference w:type="first" r:id="rId87"/>
          <w:pgSz w:w="16838" w:h="11906" w:orient="landscape" w:code="9"/>
          <w:pgMar w:top="1440" w:right="1440" w:bottom="1440" w:left="1440" w:header="284" w:footer="403" w:gutter="0"/>
          <w:cols w:space="255"/>
          <w:docGrid w:linePitch="360"/>
        </w:sectPr>
      </w:pPr>
    </w:p>
    <w:p w:rsidR="002D397B" w:rsidRPr="006F1D04" w:rsidRDefault="006D7F17" w:rsidP="002D397B">
      <w:pPr>
        <w:autoSpaceDE w:val="0"/>
        <w:autoSpaceDN w:val="0"/>
        <w:adjustRightInd w:val="0"/>
        <w:spacing w:after="0" w:line="240" w:lineRule="auto"/>
        <w:jc w:val="center"/>
        <w:rPr>
          <w:rFonts w:ascii="Arial" w:hAnsi="Arial" w:cs="Arial"/>
          <w:color w:val="FF0000"/>
          <w:sz w:val="21"/>
          <w:szCs w:val="21"/>
          <w:lang w:eastAsia="en-US"/>
        </w:rPr>
      </w:pPr>
      <w:r w:rsidRPr="006F1D04">
        <w:rPr>
          <w:rFonts w:ascii="Arial" w:hAnsi="Arial" w:cs="Arial"/>
          <w:noProof/>
        </w:rPr>
        <w:lastRenderedPageBreak/>
        <w:drawing>
          <wp:inline distT="0" distB="0" distL="0" distR="0">
            <wp:extent cx="5295265" cy="4190365"/>
            <wp:effectExtent l="19050" t="19050" r="19685" b="1968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54" r="1382" b="1602"/>
                    <a:stretch>
                      <a:fillRect/>
                    </a:stretch>
                  </pic:blipFill>
                  <pic:spPr bwMode="auto">
                    <a:xfrm>
                      <a:off x="0" y="0"/>
                      <a:ext cx="5295265" cy="4190365"/>
                    </a:xfrm>
                    <a:prstGeom prst="rect">
                      <a:avLst/>
                    </a:prstGeom>
                    <a:noFill/>
                    <a:ln w="9525" cmpd="sng">
                      <a:solidFill>
                        <a:srgbClr val="0070C0"/>
                      </a:solidFill>
                      <a:miter lim="800000"/>
                      <a:headEnd/>
                      <a:tailEnd/>
                    </a:ln>
                    <a:effectLst/>
                  </pic:spPr>
                </pic:pic>
              </a:graphicData>
            </a:graphic>
          </wp:inline>
        </w:drawing>
      </w:r>
    </w:p>
    <w:p w:rsidR="002D397B" w:rsidRPr="006F1D04" w:rsidRDefault="002D397B" w:rsidP="002D397B">
      <w:pPr>
        <w:pStyle w:val="Caption"/>
        <w:rPr>
          <w:rFonts w:ascii="Arial" w:hAnsi="Arial" w:cs="Arial"/>
          <w:lang w:eastAsia="en-US"/>
        </w:rPr>
      </w:pPr>
      <w:bookmarkStart w:id="161" w:name="_Ref367450177"/>
      <w:r w:rsidRPr="006F1D04">
        <w:rPr>
          <w:rFonts w:ascii="Arial" w:hAnsi="Arial" w:cs="Arial"/>
        </w:rPr>
        <w:t xml:space="preserve">Figure </w:t>
      </w:r>
      <w:r w:rsidR="00BF6019" w:rsidRPr="006F1D04">
        <w:rPr>
          <w:rFonts w:ascii="Arial" w:hAnsi="Arial" w:cs="Arial"/>
        </w:rPr>
        <w:fldChar w:fldCharType="begin"/>
      </w:r>
      <w:r w:rsidRPr="006F1D04">
        <w:rPr>
          <w:rFonts w:ascii="Arial" w:hAnsi="Arial" w:cs="Arial"/>
        </w:rPr>
        <w:instrText xml:space="preserve"> STYLEREF 1 \s </w:instrText>
      </w:r>
      <w:r w:rsidR="00BF6019" w:rsidRPr="006F1D04">
        <w:rPr>
          <w:rFonts w:ascii="Arial" w:hAnsi="Arial" w:cs="Arial"/>
        </w:rPr>
        <w:fldChar w:fldCharType="separate"/>
      </w:r>
      <w:r w:rsidR="0085182E">
        <w:rPr>
          <w:rFonts w:ascii="Arial" w:hAnsi="Arial" w:cs="Arial"/>
          <w:noProof/>
        </w:rPr>
        <w:t>8</w:t>
      </w:r>
      <w:r w:rsidR="00BF6019" w:rsidRPr="006F1D04">
        <w:rPr>
          <w:rFonts w:ascii="Arial" w:hAnsi="Arial" w:cs="Arial"/>
        </w:rPr>
        <w:fldChar w:fldCharType="end"/>
      </w:r>
      <w:r w:rsidRPr="006F1D04">
        <w:rPr>
          <w:rFonts w:ascii="Arial" w:hAnsi="Arial" w:cs="Arial"/>
        </w:rPr>
        <w:t>.</w:t>
      </w:r>
      <w:r w:rsidR="00BF6019" w:rsidRPr="006F1D04">
        <w:rPr>
          <w:rFonts w:ascii="Arial" w:hAnsi="Arial" w:cs="Arial"/>
        </w:rPr>
        <w:fldChar w:fldCharType="begin"/>
      </w:r>
      <w:r w:rsidRPr="006F1D04">
        <w:rPr>
          <w:rFonts w:ascii="Arial" w:hAnsi="Arial" w:cs="Arial"/>
        </w:rPr>
        <w:instrText xml:space="preserve"> SEQ Figure \* ARABIC \s 1 </w:instrText>
      </w:r>
      <w:r w:rsidR="00BF6019" w:rsidRPr="006F1D04">
        <w:rPr>
          <w:rFonts w:ascii="Arial" w:hAnsi="Arial" w:cs="Arial"/>
        </w:rPr>
        <w:fldChar w:fldCharType="separate"/>
      </w:r>
      <w:r w:rsidR="0085182E">
        <w:rPr>
          <w:rFonts w:ascii="Arial" w:hAnsi="Arial" w:cs="Arial"/>
          <w:noProof/>
        </w:rPr>
        <w:t>5</w:t>
      </w:r>
      <w:r w:rsidR="00BF6019" w:rsidRPr="006F1D04">
        <w:rPr>
          <w:rFonts w:ascii="Arial" w:hAnsi="Arial" w:cs="Arial"/>
        </w:rPr>
        <w:fldChar w:fldCharType="end"/>
      </w:r>
      <w:bookmarkEnd w:id="161"/>
      <w:r w:rsidRPr="006F1D04">
        <w:rPr>
          <w:rFonts w:ascii="Arial" w:hAnsi="Arial" w:cs="Arial"/>
        </w:rPr>
        <w:t>: Percentile vs annual mean concentrations: PM</w:t>
      </w:r>
      <w:r w:rsidRPr="006F1D04">
        <w:rPr>
          <w:rFonts w:ascii="Arial" w:hAnsi="Arial" w:cs="Arial"/>
          <w:vertAlign w:val="subscript"/>
        </w:rPr>
        <w:t>10</w:t>
      </w:r>
      <w:r w:rsidRPr="006F1D04">
        <w:rPr>
          <w:rFonts w:ascii="Arial" w:hAnsi="Arial" w:cs="Arial"/>
        </w:rPr>
        <w:t>, all monitoring sites, 2003</w:t>
      </w:r>
      <w:r w:rsidR="00137F39" w:rsidRPr="006F1D04">
        <w:rPr>
          <w:rFonts w:ascii="Arial" w:hAnsi="Arial" w:cs="Arial"/>
        </w:rPr>
        <w:t>–</w:t>
      </w:r>
      <w:r w:rsidRPr="006F1D04">
        <w:rPr>
          <w:rFonts w:ascii="Arial" w:hAnsi="Arial" w:cs="Arial"/>
        </w:rPr>
        <w:t>2012</w:t>
      </w:r>
    </w:p>
    <w:p w:rsidR="002D397B" w:rsidRPr="006F1D04" w:rsidRDefault="002D397B" w:rsidP="002D397B">
      <w:pPr>
        <w:autoSpaceDE w:val="0"/>
        <w:autoSpaceDN w:val="0"/>
        <w:adjustRightInd w:val="0"/>
        <w:spacing w:after="0" w:line="240" w:lineRule="auto"/>
        <w:rPr>
          <w:rFonts w:ascii="Arial" w:hAnsi="Arial" w:cs="Arial"/>
          <w:color w:val="FF0000"/>
          <w:sz w:val="21"/>
          <w:szCs w:val="21"/>
          <w:lang w:eastAsia="en-US"/>
        </w:rPr>
      </w:pPr>
    </w:p>
    <w:p w:rsidR="002D397B" w:rsidRPr="006F1D04" w:rsidRDefault="006D7F17" w:rsidP="00F70C69">
      <w:pPr>
        <w:spacing w:after="120" w:line="240" w:lineRule="auto"/>
        <w:jc w:val="center"/>
        <w:rPr>
          <w:rFonts w:ascii="Arial" w:hAnsi="Arial" w:cs="Arial"/>
          <w:color w:val="FF0000"/>
        </w:rPr>
      </w:pPr>
      <w:r w:rsidRPr="006F1D04">
        <w:rPr>
          <w:rFonts w:ascii="Arial" w:hAnsi="Arial" w:cs="Arial"/>
          <w:noProof/>
        </w:rPr>
        <w:drawing>
          <wp:inline distT="0" distB="0" distL="0" distR="0">
            <wp:extent cx="5295265" cy="3896360"/>
            <wp:effectExtent l="19050" t="19050" r="19685" b="2794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1" t="2011" r="1495" b="1682"/>
                    <a:stretch>
                      <a:fillRect/>
                    </a:stretch>
                  </pic:blipFill>
                  <pic:spPr bwMode="auto">
                    <a:xfrm>
                      <a:off x="0" y="0"/>
                      <a:ext cx="5295265" cy="3896360"/>
                    </a:xfrm>
                    <a:prstGeom prst="rect">
                      <a:avLst/>
                    </a:prstGeom>
                    <a:noFill/>
                    <a:ln w="9525" cmpd="sng">
                      <a:solidFill>
                        <a:srgbClr val="0070C0"/>
                      </a:solidFill>
                      <a:miter lim="800000"/>
                      <a:headEnd/>
                      <a:tailEnd/>
                    </a:ln>
                    <a:effectLst/>
                  </pic:spPr>
                </pic:pic>
              </a:graphicData>
            </a:graphic>
          </wp:inline>
        </w:drawing>
      </w:r>
    </w:p>
    <w:p w:rsidR="002D397B" w:rsidRPr="006F1D04" w:rsidRDefault="002D397B" w:rsidP="003A3765">
      <w:pPr>
        <w:pStyle w:val="Caption"/>
        <w:spacing w:before="0" w:after="0"/>
        <w:rPr>
          <w:rFonts w:ascii="Arial" w:hAnsi="Arial" w:cs="Arial"/>
          <w:lang w:eastAsia="en-US"/>
        </w:rPr>
      </w:pPr>
      <w:bookmarkStart w:id="162" w:name="_Ref367450178"/>
      <w:r w:rsidRPr="006F1D04">
        <w:rPr>
          <w:rFonts w:ascii="Arial" w:hAnsi="Arial" w:cs="Arial"/>
        </w:rPr>
        <w:t xml:space="preserve">Figure </w:t>
      </w:r>
      <w:r w:rsidR="00BF6019" w:rsidRPr="006F1D04">
        <w:rPr>
          <w:rFonts w:ascii="Arial" w:hAnsi="Arial" w:cs="Arial"/>
        </w:rPr>
        <w:fldChar w:fldCharType="begin"/>
      </w:r>
      <w:r w:rsidRPr="006F1D04">
        <w:rPr>
          <w:rFonts w:ascii="Arial" w:hAnsi="Arial" w:cs="Arial"/>
        </w:rPr>
        <w:instrText xml:space="preserve"> STYLEREF 1 \s </w:instrText>
      </w:r>
      <w:r w:rsidR="00BF6019" w:rsidRPr="006F1D04">
        <w:rPr>
          <w:rFonts w:ascii="Arial" w:hAnsi="Arial" w:cs="Arial"/>
        </w:rPr>
        <w:fldChar w:fldCharType="separate"/>
      </w:r>
      <w:r w:rsidR="0085182E">
        <w:rPr>
          <w:rFonts w:ascii="Arial" w:hAnsi="Arial" w:cs="Arial"/>
          <w:noProof/>
        </w:rPr>
        <w:t>8</w:t>
      </w:r>
      <w:r w:rsidR="00BF6019" w:rsidRPr="006F1D04">
        <w:rPr>
          <w:rFonts w:ascii="Arial" w:hAnsi="Arial" w:cs="Arial"/>
        </w:rPr>
        <w:fldChar w:fldCharType="end"/>
      </w:r>
      <w:r w:rsidRPr="006F1D04">
        <w:rPr>
          <w:rFonts w:ascii="Arial" w:hAnsi="Arial" w:cs="Arial"/>
        </w:rPr>
        <w:t>.</w:t>
      </w:r>
      <w:r w:rsidR="00BF6019" w:rsidRPr="006F1D04">
        <w:rPr>
          <w:rFonts w:ascii="Arial" w:hAnsi="Arial" w:cs="Arial"/>
        </w:rPr>
        <w:fldChar w:fldCharType="begin"/>
      </w:r>
      <w:r w:rsidRPr="006F1D04">
        <w:rPr>
          <w:rFonts w:ascii="Arial" w:hAnsi="Arial" w:cs="Arial"/>
        </w:rPr>
        <w:instrText xml:space="preserve"> SEQ Figure \* ARABIC \s 1 </w:instrText>
      </w:r>
      <w:r w:rsidR="00BF6019" w:rsidRPr="006F1D04">
        <w:rPr>
          <w:rFonts w:ascii="Arial" w:hAnsi="Arial" w:cs="Arial"/>
        </w:rPr>
        <w:fldChar w:fldCharType="separate"/>
      </w:r>
      <w:r w:rsidR="0085182E">
        <w:rPr>
          <w:rFonts w:ascii="Arial" w:hAnsi="Arial" w:cs="Arial"/>
          <w:noProof/>
        </w:rPr>
        <w:t>6</w:t>
      </w:r>
      <w:r w:rsidR="00BF6019" w:rsidRPr="006F1D04">
        <w:rPr>
          <w:rFonts w:ascii="Arial" w:hAnsi="Arial" w:cs="Arial"/>
        </w:rPr>
        <w:fldChar w:fldCharType="end"/>
      </w:r>
      <w:bookmarkEnd w:id="162"/>
      <w:r w:rsidRPr="006F1D04">
        <w:rPr>
          <w:rFonts w:ascii="Arial" w:hAnsi="Arial" w:cs="Arial"/>
        </w:rPr>
        <w:t>: Percentile vs annual mean concentrations: PM</w:t>
      </w:r>
      <w:r w:rsidRPr="006F1D04">
        <w:rPr>
          <w:rFonts w:ascii="Arial" w:hAnsi="Arial" w:cs="Arial"/>
          <w:vertAlign w:val="subscript"/>
        </w:rPr>
        <w:t>2.5</w:t>
      </w:r>
      <w:r w:rsidRPr="006F1D04">
        <w:rPr>
          <w:rFonts w:ascii="Arial" w:hAnsi="Arial" w:cs="Arial"/>
        </w:rPr>
        <w:t>, all monitoring sites, 2003</w:t>
      </w:r>
      <w:r w:rsidR="00137F39" w:rsidRPr="006F1D04">
        <w:rPr>
          <w:rFonts w:ascii="Arial" w:hAnsi="Arial" w:cs="Arial"/>
        </w:rPr>
        <w:t>–</w:t>
      </w:r>
      <w:r w:rsidRPr="006F1D04">
        <w:rPr>
          <w:rFonts w:ascii="Arial" w:hAnsi="Arial" w:cs="Arial"/>
        </w:rPr>
        <w:t>2012</w:t>
      </w:r>
    </w:p>
    <w:p w:rsidR="002D397B" w:rsidRPr="006F1D04" w:rsidRDefault="002D397B" w:rsidP="00F70C69">
      <w:pPr>
        <w:rPr>
          <w:rFonts w:ascii="Arial" w:hAnsi="Arial" w:cs="Arial"/>
        </w:rPr>
      </w:pPr>
    </w:p>
    <w:p w:rsidR="00E91E77" w:rsidRPr="006F1D04" w:rsidRDefault="00E91E77" w:rsidP="00CE3683">
      <w:pPr>
        <w:spacing w:after="180"/>
        <w:rPr>
          <w:rFonts w:ascii="Arial" w:hAnsi="Arial" w:cs="Arial"/>
        </w:rPr>
      </w:pPr>
      <w:r w:rsidRPr="006F1D04">
        <w:rPr>
          <w:rFonts w:ascii="Arial" w:hAnsi="Arial" w:cs="Arial"/>
        </w:rPr>
        <w:lastRenderedPageBreak/>
        <w:t>A natural or exceptional events rule can overcome some of the confusion concerning the concept of allowable exceedances (either in terms of a fixed number of days or through a percentile) by identifying the real-world causes of pollution events. In theory this allows breaches of standards caused by human activity to be accounted for, thus assisting policy efforts to control anthropogenic pollution. However, this approach could be impractical and disproportionately expensive for jurisdictions with large land areas where bush fires and planned burning are prevalent but data are limited. There is also the concern that this approach could be open to ‘gaming’, in the sense that elements of it are likely to be open to (advantageous) interpretation on the part of jurisdictions</w:t>
      </w:r>
      <w:r w:rsidR="00CE3683" w:rsidRPr="006F1D04">
        <w:rPr>
          <w:rFonts w:ascii="Arial" w:hAnsi="Arial" w:cs="Arial"/>
        </w:rPr>
        <w:t>.</w:t>
      </w:r>
    </w:p>
    <w:p w:rsidR="00E91E77" w:rsidRPr="006F1D04" w:rsidRDefault="00E91E77" w:rsidP="00E91E77">
      <w:pPr>
        <w:rPr>
          <w:rFonts w:ascii="Arial" w:hAnsi="Arial" w:cs="Arial"/>
        </w:rPr>
      </w:pPr>
      <w:r w:rsidRPr="006F1D04">
        <w:rPr>
          <w:rFonts w:ascii="Arial" w:hAnsi="Arial" w:cs="Arial"/>
          <w:lang w:eastAsia="en-US"/>
        </w:rPr>
        <w:t>Another factor that needs to be considered is the basis for any calculation. In other words, would a 98</w:t>
      </w:r>
      <w:r w:rsidRPr="006F1D04">
        <w:rPr>
          <w:rFonts w:ascii="Arial" w:hAnsi="Arial" w:cs="Arial"/>
          <w:vertAlign w:val="superscript"/>
          <w:lang w:eastAsia="en-US"/>
        </w:rPr>
        <w:t>th</w:t>
      </w:r>
      <w:r w:rsidRPr="006F1D04">
        <w:rPr>
          <w:rFonts w:ascii="Arial" w:hAnsi="Arial" w:cs="Arial"/>
          <w:lang w:eastAsia="en-US"/>
        </w:rPr>
        <w:t xml:space="preserve"> percentile or similar be valid for a low annual data capture rate for a monitoring site? </w:t>
      </w:r>
      <w:r w:rsidR="005951D1" w:rsidRPr="006F1D04">
        <w:rPr>
          <w:rFonts w:ascii="Arial" w:hAnsi="Arial" w:cs="Arial"/>
          <w:lang w:eastAsia="en-US"/>
        </w:rPr>
        <w:t>A</w:t>
      </w:r>
      <w:r w:rsidRPr="006F1D04">
        <w:rPr>
          <w:rFonts w:ascii="Arial" w:hAnsi="Arial" w:cs="Arial"/>
          <w:lang w:eastAsia="en-US"/>
        </w:rPr>
        <w:t>re there any more general implications of a low data capture rate?</w:t>
      </w:r>
    </w:p>
    <w:p w:rsidR="00B76C4D" w:rsidRPr="006F1D04" w:rsidRDefault="009F2A8F" w:rsidP="00340514">
      <w:pPr>
        <w:pStyle w:val="Heading3"/>
        <w:spacing w:before="0" w:after="200"/>
        <w:rPr>
          <w:rFonts w:ascii="Arial" w:hAnsi="Arial"/>
        </w:rPr>
      </w:pPr>
      <w:bookmarkStart w:id="163" w:name="_Toc394011144"/>
      <w:r w:rsidRPr="006F1D04">
        <w:rPr>
          <w:rFonts w:ascii="Arial" w:hAnsi="Arial"/>
        </w:rPr>
        <w:t>Comparison between</w:t>
      </w:r>
      <w:r w:rsidR="00097BCF" w:rsidRPr="006F1D04">
        <w:rPr>
          <w:rFonts w:ascii="Arial" w:hAnsi="Arial"/>
        </w:rPr>
        <w:t xml:space="preserve"> PM</w:t>
      </w:r>
      <w:r w:rsidR="00097BCF" w:rsidRPr="006F1D04">
        <w:rPr>
          <w:rFonts w:ascii="Arial" w:hAnsi="Arial"/>
          <w:vertAlign w:val="subscript"/>
        </w:rPr>
        <w:t>10</w:t>
      </w:r>
      <w:r w:rsidR="00097BCF" w:rsidRPr="006F1D04">
        <w:rPr>
          <w:rFonts w:ascii="Arial" w:hAnsi="Arial"/>
        </w:rPr>
        <w:t xml:space="preserve"> and PM</w:t>
      </w:r>
      <w:r w:rsidR="00097BCF" w:rsidRPr="006F1D04">
        <w:rPr>
          <w:rFonts w:ascii="Arial" w:hAnsi="Arial"/>
          <w:vertAlign w:val="subscript"/>
        </w:rPr>
        <w:t>2.5</w:t>
      </w:r>
      <w:r w:rsidR="00B76C4D" w:rsidRPr="006F1D04">
        <w:rPr>
          <w:rFonts w:ascii="Arial" w:hAnsi="Arial"/>
        </w:rPr>
        <w:t xml:space="preserve"> standard</w:t>
      </w:r>
      <w:r w:rsidR="00097BCF" w:rsidRPr="006F1D04">
        <w:rPr>
          <w:rFonts w:ascii="Arial" w:hAnsi="Arial"/>
        </w:rPr>
        <w:t>s</w:t>
      </w:r>
      <w:bookmarkEnd w:id="163"/>
    </w:p>
    <w:p w:rsidR="006238D7" w:rsidRPr="006F1D04" w:rsidRDefault="00164EC8" w:rsidP="00CE3683">
      <w:pPr>
        <w:spacing w:after="180"/>
        <w:rPr>
          <w:rFonts w:ascii="Arial" w:hAnsi="Arial" w:cs="Arial"/>
        </w:rPr>
      </w:pPr>
      <w:r w:rsidRPr="006F1D04">
        <w:rPr>
          <w:rFonts w:ascii="Arial" w:hAnsi="Arial" w:cs="Arial"/>
        </w:rPr>
        <w:t>As previously discussed in Chapter 7, w</w:t>
      </w:r>
      <w:r w:rsidR="002155A1" w:rsidRPr="006F1D04">
        <w:rPr>
          <w:rFonts w:ascii="Arial" w:hAnsi="Arial" w:cs="Arial"/>
        </w:rPr>
        <w:t xml:space="preserve">here </w:t>
      </w:r>
      <w:r w:rsidR="007E7F62" w:rsidRPr="006F1D04">
        <w:rPr>
          <w:rFonts w:ascii="Arial" w:hAnsi="Arial" w:cs="Arial"/>
        </w:rPr>
        <w:t xml:space="preserve">two </w:t>
      </w:r>
      <w:r w:rsidR="002155A1" w:rsidRPr="006F1D04">
        <w:rPr>
          <w:rFonts w:ascii="Arial" w:hAnsi="Arial" w:cs="Arial"/>
        </w:rPr>
        <w:t>separate PM metrics are applied together</w:t>
      </w:r>
      <w:r w:rsidR="00EF33A4" w:rsidRPr="006F1D04">
        <w:rPr>
          <w:rFonts w:ascii="Arial" w:hAnsi="Arial" w:cs="Arial"/>
        </w:rPr>
        <w:t xml:space="preserve"> </w:t>
      </w:r>
      <w:r w:rsidRPr="006F1D04">
        <w:rPr>
          <w:rFonts w:ascii="Arial" w:hAnsi="Arial" w:cs="Arial"/>
        </w:rPr>
        <w:t>–</w:t>
      </w:r>
      <w:r w:rsidR="00EF33A4" w:rsidRPr="006F1D04">
        <w:rPr>
          <w:rFonts w:ascii="Arial" w:hAnsi="Arial" w:cs="Arial"/>
        </w:rPr>
        <w:t xml:space="preserve"> </w:t>
      </w:r>
      <w:r w:rsidR="00EB199A" w:rsidRPr="006F1D04">
        <w:rPr>
          <w:rFonts w:ascii="Arial" w:hAnsi="Arial" w:cs="Arial"/>
        </w:rPr>
        <w:t>such as an annual mean for PM</w:t>
      </w:r>
      <w:r w:rsidR="00EB199A" w:rsidRPr="006F1D04">
        <w:rPr>
          <w:rFonts w:ascii="Arial" w:hAnsi="Arial" w:cs="Arial"/>
          <w:vertAlign w:val="subscript"/>
        </w:rPr>
        <w:t>10</w:t>
      </w:r>
      <w:r w:rsidR="00EB199A" w:rsidRPr="006F1D04">
        <w:rPr>
          <w:rFonts w:ascii="Arial" w:hAnsi="Arial" w:cs="Arial"/>
        </w:rPr>
        <w:t xml:space="preserve"> and an annual mean for PM</w:t>
      </w:r>
      <w:r w:rsidR="00EB199A" w:rsidRPr="006F1D04">
        <w:rPr>
          <w:rFonts w:ascii="Arial" w:hAnsi="Arial" w:cs="Arial"/>
          <w:vertAlign w:val="subscript"/>
        </w:rPr>
        <w:t>2.5</w:t>
      </w:r>
      <w:r w:rsidR="00EB199A" w:rsidRPr="006F1D04">
        <w:rPr>
          <w:rFonts w:ascii="Arial" w:hAnsi="Arial" w:cs="Arial"/>
        </w:rPr>
        <w:t>, or an annual mean for PM</w:t>
      </w:r>
      <w:r w:rsidR="00EB199A" w:rsidRPr="006F1D04">
        <w:rPr>
          <w:rFonts w:ascii="Arial" w:hAnsi="Arial" w:cs="Arial"/>
          <w:vertAlign w:val="subscript"/>
        </w:rPr>
        <w:t>10</w:t>
      </w:r>
      <w:r w:rsidR="00EB199A" w:rsidRPr="006F1D04">
        <w:rPr>
          <w:rFonts w:ascii="Arial" w:hAnsi="Arial" w:cs="Arial"/>
        </w:rPr>
        <w:t xml:space="preserve"> and a 24-hour mean for PM</w:t>
      </w:r>
      <w:r w:rsidR="00EB199A" w:rsidRPr="006F1D04">
        <w:rPr>
          <w:rFonts w:ascii="Arial" w:hAnsi="Arial" w:cs="Arial"/>
          <w:vertAlign w:val="subscript"/>
        </w:rPr>
        <w:t>10</w:t>
      </w:r>
      <w:r w:rsidR="00EF33A4" w:rsidRPr="006F1D04">
        <w:rPr>
          <w:rFonts w:ascii="Arial" w:hAnsi="Arial" w:cs="Arial"/>
        </w:rPr>
        <w:t xml:space="preserve"> </w:t>
      </w:r>
      <w:r w:rsidRPr="006F1D04">
        <w:rPr>
          <w:rFonts w:ascii="Arial" w:hAnsi="Arial" w:cs="Arial"/>
        </w:rPr>
        <w:t>–</w:t>
      </w:r>
      <w:r w:rsidR="00EF33A4" w:rsidRPr="006F1D04">
        <w:rPr>
          <w:rFonts w:ascii="Arial" w:hAnsi="Arial" w:cs="Arial"/>
        </w:rPr>
        <w:t xml:space="preserve"> </w:t>
      </w:r>
      <w:r w:rsidR="007E7F62" w:rsidRPr="006F1D04">
        <w:rPr>
          <w:rFonts w:ascii="Arial" w:hAnsi="Arial" w:cs="Arial"/>
        </w:rPr>
        <w:t>there may be a tendency at a given site for on</w:t>
      </w:r>
      <w:r w:rsidR="00EF33A4" w:rsidRPr="006F1D04">
        <w:rPr>
          <w:rFonts w:ascii="Arial" w:hAnsi="Arial" w:cs="Arial"/>
        </w:rPr>
        <w:t>e standard to be exceeded more frequently than</w:t>
      </w:r>
      <w:r w:rsidR="002155A1" w:rsidRPr="006F1D04">
        <w:rPr>
          <w:rFonts w:ascii="Arial" w:hAnsi="Arial" w:cs="Arial"/>
        </w:rPr>
        <w:t xml:space="preserve"> </w:t>
      </w:r>
      <w:r w:rsidR="009F60CF" w:rsidRPr="006F1D04">
        <w:rPr>
          <w:rFonts w:ascii="Arial" w:hAnsi="Arial" w:cs="Arial"/>
        </w:rPr>
        <w:t>the other, perhaps</w:t>
      </w:r>
      <w:r w:rsidR="007E7F62" w:rsidRPr="006F1D04">
        <w:rPr>
          <w:rFonts w:ascii="Arial" w:hAnsi="Arial" w:cs="Arial"/>
        </w:rPr>
        <w:t xml:space="preserve"> </w:t>
      </w:r>
      <w:r w:rsidR="00EF33A4" w:rsidRPr="006F1D04">
        <w:rPr>
          <w:rFonts w:ascii="Arial" w:hAnsi="Arial" w:cs="Arial"/>
        </w:rPr>
        <w:t xml:space="preserve">even making </w:t>
      </w:r>
      <w:r w:rsidR="007E7F62" w:rsidRPr="006F1D04">
        <w:rPr>
          <w:rFonts w:ascii="Arial" w:hAnsi="Arial" w:cs="Arial"/>
        </w:rPr>
        <w:t>one</w:t>
      </w:r>
      <w:r w:rsidR="00EF33A4" w:rsidRPr="006F1D04">
        <w:rPr>
          <w:rFonts w:ascii="Arial" w:hAnsi="Arial" w:cs="Arial"/>
        </w:rPr>
        <w:t xml:space="preserve"> of the standards</w:t>
      </w:r>
      <w:r w:rsidR="007E7F62" w:rsidRPr="006F1D04">
        <w:rPr>
          <w:rFonts w:ascii="Arial" w:hAnsi="Arial" w:cs="Arial"/>
        </w:rPr>
        <w:t xml:space="preserve"> redundant. </w:t>
      </w:r>
      <w:r w:rsidR="006238D7" w:rsidRPr="006F1D04">
        <w:rPr>
          <w:rFonts w:ascii="Arial" w:hAnsi="Arial" w:cs="Arial"/>
        </w:rPr>
        <w:t>The form of the 24-hour standards should result in an appropriate balance between the annual mean and 24-hour standards</w:t>
      </w:r>
      <w:r w:rsidRPr="006F1D04">
        <w:rPr>
          <w:rFonts w:ascii="Arial" w:hAnsi="Arial" w:cs="Arial"/>
        </w:rPr>
        <w:t>, and</w:t>
      </w:r>
      <w:r w:rsidR="006238D7" w:rsidRPr="006F1D04">
        <w:rPr>
          <w:rFonts w:ascii="Arial" w:hAnsi="Arial" w:cs="Arial"/>
        </w:rPr>
        <w:t xml:space="preserve"> </w:t>
      </w:r>
      <w:r w:rsidRPr="006F1D04">
        <w:rPr>
          <w:rFonts w:ascii="Arial" w:hAnsi="Arial" w:cs="Arial"/>
        </w:rPr>
        <w:t>f</w:t>
      </w:r>
      <w:r w:rsidR="006238D7" w:rsidRPr="006F1D04">
        <w:rPr>
          <w:rFonts w:ascii="Arial" w:hAnsi="Arial" w:cs="Arial"/>
        </w:rPr>
        <w:t>rom a health and economic perspective</w:t>
      </w:r>
      <w:proofErr w:type="gramStart"/>
      <w:r w:rsidRPr="006F1D04">
        <w:rPr>
          <w:rFonts w:ascii="Arial" w:hAnsi="Arial" w:cs="Arial"/>
        </w:rPr>
        <w:t>,</w:t>
      </w:r>
      <w:r w:rsidR="006238D7" w:rsidRPr="006F1D04">
        <w:rPr>
          <w:rFonts w:ascii="Arial" w:hAnsi="Arial" w:cs="Arial"/>
        </w:rPr>
        <w:t xml:space="preserve">  it</w:t>
      </w:r>
      <w:proofErr w:type="gramEnd"/>
      <w:r w:rsidR="006238D7" w:rsidRPr="006F1D04">
        <w:rPr>
          <w:rFonts w:ascii="Arial" w:hAnsi="Arial" w:cs="Arial"/>
        </w:rPr>
        <w:t xml:space="preserve"> is advisable to place more emphasis on the annual mean standard than on the 24-hour standard. </w:t>
      </w:r>
      <w:r w:rsidRPr="006F1D04">
        <w:rPr>
          <w:rFonts w:ascii="Arial" w:hAnsi="Arial" w:cs="Arial"/>
        </w:rPr>
        <w:t>While this issue does not present a problem if</w:t>
      </w:r>
      <w:r w:rsidR="006238D7" w:rsidRPr="006F1D04">
        <w:rPr>
          <w:rFonts w:ascii="Arial" w:hAnsi="Arial" w:cs="Arial"/>
        </w:rPr>
        <w:t xml:space="preserve"> separate annual and 24-hour standards are in place, if the numerical value and form of the 24-hour standard are defined so that it is exceeded more frequently than the annual mean standard, this could lead to the perception that the 24-hour standard is the more important</w:t>
      </w:r>
      <w:r w:rsidR="006523DC" w:rsidRPr="006F1D04">
        <w:rPr>
          <w:rFonts w:ascii="Arial" w:hAnsi="Arial" w:cs="Arial"/>
        </w:rPr>
        <w:t xml:space="preserve"> one</w:t>
      </w:r>
      <w:r w:rsidR="006238D7" w:rsidRPr="006F1D04">
        <w:rPr>
          <w:rFonts w:ascii="Arial" w:hAnsi="Arial" w:cs="Arial"/>
        </w:rPr>
        <w:t>, with the potential for disproportionate action on short-term concentrations.</w:t>
      </w:r>
    </w:p>
    <w:p w:rsidR="00784C6B" w:rsidRPr="006F1D04" w:rsidRDefault="007E7F62" w:rsidP="00CE3683">
      <w:pPr>
        <w:spacing w:after="180"/>
        <w:rPr>
          <w:rFonts w:ascii="Arial" w:hAnsi="Arial" w:cs="Arial"/>
        </w:rPr>
      </w:pPr>
      <w:r w:rsidRPr="006F1D04">
        <w:rPr>
          <w:rFonts w:ascii="Arial" w:hAnsi="Arial" w:cs="Arial"/>
        </w:rPr>
        <w:t>The possibil</w:t>
      </w:r>
      <w:r w:rsidR="006238D7" w:rsidRPr="006F1D04">
        <w:rPr>
          <w:rFonts w:ascii="Arial" w:hAnsi="Arial" w:cs="Arial"/>
        </w:rPr>
        <w:t>ity of such imbalances</w:t>
      </w:r>
      <w:r w:rsidR="0029278F" w:rsidRPr="006F1D04">
        <w:rPr>
          <w:rFonts w:ascii="Arial" w:hAnsi="Arial" w:cs="Arial"/>
        </w:rPr>
        <w:t xml:space="preserve"> occurring with the o</w:t>
      </w:r>
      <w:r w:rsidRPr="006F1D04">
        <w:rPr>
          <w:rFonts w:ascii="Arial" w:hAnsi="Arial" w:cs="Arial"/>
        </w:rPr>
        <w:t>ptions for PM</w:t>
      </w:r>
      <w:r w:rsidRPr="006F1D04">
        <w:rPr>
          <w:rFonts w:ascii="Arial" w:hAnsi="Arial" w:cs="Arial"/>
          <w:vertAlign w:val="subscript"/>
        </w:rPr>
        <w:t>10</w:t>
      </w:r>
      <w:r w:rsidRPr="006F1D04">
        <w:rPr>
          <w:rFonts w:ascii="Arial" w:hAnsi="Arial" w:cs="Arial"/>
        </w:rPr>
        <w:t xml:space="preserve"> and PM</w:t>
      </w:r>
      <w:r w:rsidRPr="006F1D04">
        <w:rPr>
          <w:rFonts w:ascii="Arial" w:hAnsi="Arial" w:cs="Arial"/>
          <w:vertAlign w:val="subscript"/>
        </w:rPr>
        <w:t>2.5</w:t>
      </w:r>
      <w:r w:rsidRPr="006F1D04">
        <w:rPr>
          <w:rFonts w:ascii="Arial" w:hAnsi="Arial" w:cs="Arial"/>
        </w:rPr>
        <w:t xml:space="preserve"> was investigated based on the data from sites across</w:t>
      </w:r>
      <w:r w:rsidR="00332CC1" w:rsidRPr="006F1D04">
        <w:rPr>
          <w:rFonts w:ascii="Arial" w:hAnsi="Arial" w:cs="Arial"/>
        </w:rPr>
        <w:t xml:space="preserve"> Australia at which both PM</w:t>
      </w:r>
      <w:r w:rsidR="00332CC1" w:rsidRPr="006F1D04">
        <w:rPr>
          <w:rFonts w:ascii="Arial" w:hAnsi="Arial" w:cs="Arial"/>
          <w:vertAlign w:val="subscript"/>
        </w:rPr>
        <w:t>10</w:t>
      </w:r>
      <w:r w:rsidR="00332CC1" w:rsidRPr="006F1D04">
        <w:rPr>
          <w:rFonts w:ascii="Arial" w:hAnsi="Arial" w:cs="Arial"/>
        </w:rPr>
        <w:t xml:space="preserve"> and PM</w:t>
      </w:r>
      <w:r w:rsidR="00332CC1" w:rsidRPr="006F1D04">
        <w:rPr>
          <w:rFonts w:ascii="Arial" w:hAnsi="Arial" w:cs="Arial"/>
          <w:vertAlign w:val="subscript"/>
        </w:rPr>
        <w:t>2.5</w:t>
      </w:r>
      <w:r w:rsidR="006238D7" w:rsidRPr="006F1D04">
        <w:rPr>
          <w:rFonts w:ascii="Arial" w:hAnsi="Arial" w:cs="Arial"/>
        </w:rPr>
        <w:t xml:space="preserve"> were measured. </w:t>
      </w:r>
      <w:r w:rsidR="00784C6B" w:rsidRPr="006F1D04">
        <w:rPr>
          <w:rFonts w:ascii="Arial" w:hAnsi="Arial" w:cs="Arial"/>
        </w:rPr>
        <w:t>The earlier analysis indicated that annual mean PM</w:t>
      </w:r>
      <w:r w:rsidR="00784C6B" w:rsidRPr="006F1D04">
        <w:rPr>
          <w:rFonts w:ascii="Arial" w:hAnsi="Arial" w:cs="Arial"/>
          <w:vertAlign w:val="subscript"/>
        </w:rPr>
        <w:t>10</w:t>
      </w:r>
      <w:r w:rsidR="00784C6B" w:rsidRPr="006F1D04">
        <w:rPr>
          <w:rFonts w:ascii="Arial" w:hAnsi="Arial" w:cs="Arial"/>
        </w:rPr>
        <w:t xml:space="preserve"> and PM</w:t>
      </w:r>
      <w:r w:rsidR="00784C6B" w:rsidRPr="006F1D04">
        <w:rPr>
          <w:rFonts w:ascii="Arial" w:hAnsi="Arial" w:cs="Arial"/>
          <w:vertAlign w:val="subscript"/>
        </w:rPr>
        <w:t>2.5</w:t>
      </w:r>
      <w:r w:rsidR="00784C6B" w:rsidRPr="006F1D04">
        <w:rPr>
          <w:rFonts w:ascii="Arial" w:hAnsi="Arial" w:cs="Arial"/>
        </w:rPr>
        <w:t xml:space="preserve"> standards of 20 </w:t>
      </w:r>
      <w:proofErr w:type="spellStart"/>
      <w:r w:rsidR="00784C6B" w:rsidRPr="006F1D04">
        <w:rPr>
          <w:rFonts w:ascii="Arial" w:hAnsi="Arial" w:cs="Arial"/>
        </w:rPr>
        <w:t>μg</w:t>
      </w:r>
      <w:proofErr w:type="spellEnd"/>
      <w:r w:rsidR="00784C6B" w:rsidRPr="006F1D04">
        <w:rPr>
          <w:rFonts w:ascii="Arial" w:hAnsi="Arial" w:cs="Arial"/>
        </w:rPr>
        <w:t>/m</w:t>
      </w:r>
      <w:r w:rsidR="00784C6B" w:rsidRPr="006F1D04">
        <w:rPr>
          <w:rFonts w:ascii="Arial" w:hAnsi="Arial" w:cs="Arial"/>
          <w:vertAlign w:val="superscript"/>
        </w:rPr>
        <w:t>3</w:t>
      </w:r>
      <w:r w:rsidR="00784C6B" w:rsidRPr="006F1D04">
        <w:rPr>
          <w:rFonts w:ascii="Arial" w:hAnsi="Arial" w:cs="Arial"/>
        </w:rPr>
        <w:t xml:space="preserve"> and 8 </w:t>
      </w:r>
      <w:proofErr w:type="spellStart"/>
      <w:r w:rsidR="00784C6B" w:rsidRPr="006F1D04">
        <w:rPr>
          <w:rFonts w:ascii="Arial" w:hAnsi="Arial" w:cs="Arial"/>
        </w:rPr>
        <w:t>μg</w:t>
      </w:r>
      <w:proofErr w:type="spellEnd"/>
      <w:r w:rsidR="00784C6B" w:rsidRPr="006F1D04">
        <w:rPr>
          <w:rFonts w:ascii="Arial" w:hAnsi="Arial" w:cs="Arial"/>
        </w:rPr>
        <w:t>/m</w:t>
      </w:r>
      <w:r w:rsidR="00784C6B" w:rsidRPr="006F1D04">
        <w:rPr>
          <w:rFonts w:ascii="Arial" w:hAnsi="Arial" w:cs="Arial"/>
          <w:vertAlign w:val="superscript"/>
        </w:rPr>
        <w:t>3</w:t>
      </w:r>
      <w:r w:rsidR="00137F39" w:rsidRPr="006F1D04">
        <w:rPr>
          <w:rFonts w:ascii="Arial" w:hAnsi="Arial" w:cs="Arial"/>
        </w:rPr>
        <w:t xml:space="preserve"> respectively</w:t>
      </w:r>
      <w:r w:rsidR="00784C6B" w:rsidRPr="006F1D04">
        <w:rPr>
          <w:rFonts w:ascii="Arial" w:hAnsi="Arial" w:cs="Arial"/>
        </w:rPr>
        <w:t>, and 24-hour mean PM</w:t>
      </w:r>
      <w:r w:rsidR="00784C6B" w:rsidRPr="006F1D04">
        <w:rPr>
          <w:rFonts w:ascii="Arial" w:hAnsi="Arial" w:cs="Arial"/>
          <w:vertAlign w:val="subscript"/>
        </w:rPr>
        <w:t>10</w:t>
      </w:r>
      <w:r w:rsidR="00784C6B" w:rsidRPr="006F1D04">
        <w:rPr>
          <w:rFonts w:ascii="Arial" w:hAnsi="Arial" w:cs="Arial"/>
        </w:rPr>
        <w:t xml:space="preserve"> and PM</w:t>
      </w:r>
      <w:r w:rsidR="00784C6B" w:rsidRPr="006F1D04">
        <w:rPr>
          <w:rFonts w:ascii="Arial" w:hAnsi="Arial" w:cs="Arial"/>
          <w:vertAlign w:val="subscript"/>
        </w:rPr>
        <w:t>2.5</w:t>
      </w:r>
      <w:r w:rsidR="00784C6B" w:rsidRPr="006F1D04">
        <w:rPr>
          <w:rFonts w:ascii="Arial" w:hAnsi="Arial" w:cs="Arial"/>
        </w:rPr>
        <w:t xml:space="preserve"> standards of 40 </w:t>
      </w:r>
      <w:proofErr w:type="spellStart"/>
      <w:r w:rsidR="00784C6B" w:rsidRPr="006F1D04">
        <w:rPr>
          <w:rFonts w:ascii="Arial" w:hAnsi="Arial" w:cs="Arial"/>
        </w:rPr>
        <w:t>μg</w:t>
      </w:r>
      <w:proofErr w:type="spellEnd"/>
      <w:r w:rsidR="00784C6B" w:rsidRPr="006F1D04">
        <w:rPr>
          <w:rFonts w:ascii="Arial" w:hAnsi="Arial" w:cs="Arial"/>
        </w:rPr>
        <w:t>/m</w:t>
      </w:r>
      <w:r w:rsidR="00784C6B" w:rsidRPr="006F1D04">
        <w:rPr>
          <w:rFonts w:ascii="Arial" w:hAnsi="Arial" w:cs="Arial"/>
          <w:vertAlign w:val="superscript"/>
        </w:rPr>
        <w:t>3</w:t>
      </w:r>
      <w:r w:rsidR="00784C6B" w:rsidRPr="006F1D04">
        <w:rPr>
          <w:rFonts w:ascii="Arial" w:hAnsi="Arial" w:cs="Arial"/>
        </w:rPr>
        <w:t xml:space="preserve"> and 25 </w:t>
      </w:r>
      <w:proofErr w:type="spellStart"/>
      <w:r w:rsidR="00784C6B" w:rsidRPr="006F1D04">
        <w:rPr>
          <w:rFonts w:ascii="Arial" w:hAnsi="Arial" w:cs="Arial"/>
        </w:rPr>
        <w:t>μg</w:t>
      </w:r>
      <w:proofErr w:type="spellEnd"/>
      <w:r w:rsidR="00784C6B" w:rsidRPr="006F1D04">
        <w:rPr>
          <w:rFonts w:ascii="Arial" w:hAnsi="Arial" w:cs="Arial"/>
        </w:rPr>
        <w:t>/m</w:t>
      </w:r>
      <w:r w:rsidR="00784C6B" w:rsidRPr="006F1D04">
        <w:rPr>
          <w:rFonts w:ascii="Arial" w:hAnsi="Arial" w:cs="Arial"/>
          <w:vertAlign w:val="superscript"/>
        </w:rPr>
        <w:t>3</w:t>
      </w:r>
      <w:r w:rsidR="00137F39" w:rsidRPr="006F1D04">
        <w:rPr>
          <w:rFonts w:ascii="Arial" w:hAnsi="Arial" w:cs="Arial"/>
        </w:rPr>
        <w:t xml:space="preserve"> respectively</w:t>
      </w:r>
      <w:r w:rsidR="00784C6B" w:rsidRPr="006F1D04">
        <w:rPr>
          <w:rFonts w:ascii="Arial" w:hAnsi="Arial" w:cs="Arial"/>
        </w:rPr>
        <w:t>, would cur</w:t>
      </w:r>
      <w:r w:rsidR="0029278F" w:rsidRPr="006F1D04">
        <w:rPr>
          <w:rFonts w:ascii="Arial" w:hAnsi="Arial" w:cs="Arial"/>
        </w:rPr>
        <w:t>rently be the most appropriate sub-o</w:t>
      </w:r>
      <w:r w:rsidR="00784C6B" w:rsidRPr="006F1D04">
        <w:rPr>
          <w:rFonts w:ascii="Arial" w:hAnsi="Arial" w:cs="Arial"/>
        </w:rPr>
        <w:t>ptions for Australia. These values</w:t>
      </w:r>
      <w:r w:rsidR="00B3354B" w:rsidRPr="006F1D04">
        <w:rPr>
          <w:rFonts w:ascii="Arial" w:hAnsi="Arial" w:cs="Arial"/>
        </w:rPr>
        <w:t xml:space="preserve"> have been considered</w:t>
      </w:r>
      <w:r w:rsidR="006238D7" w:rsidRPr="006F1D04">
        <w:rPr>
          <w:rFonts w:ascii="Arial" w:hAnsi="Arial" w:cs="Arial"/>
        </w:rPr>
        <w:t xml:space="preserve"> </w:t>
      </w:r>
      <w:r w:rsidR="00784C6B" w:rsidRPr="006F1D04">
        <w:rPr>
          <w:rFonts w:ascii="Arial" w:hAnsi="Arial" w:cs="Arial"/>
        </w:rPr>
        <w:t xml:space="preserve">below. It has also been assumed that the allowed exceedances </w:t>
      </w:r>
      <w:r w:rsidR="00EF33A4" w:rsidRPr="006F1D04">
        <w:rPr>
          <w:rFonts w:ascii="Arial" w:hAnsi="Arial" w:cs="Arial"/>
        </w:rPr>
        <w:t>(</w:t>
      </w:r>
      <w:r w:rsidR="00137F39" w:rsidRPr="006F1D04">
        <w:rPr>
          <w:rFonts w:ascii="Arial" w:hAnsi="Arial" w:cs="Arial"/>
        </w:rPr>
        <w:t>five</w:t>
      </w:r>
      <w:r w:rsidR="00EF33A4" w:rsidRPr="006F1D04">
        <w:rPr>
          <w:rFonts w:ascii="Arial" w:hAnsi="Arial" w:cs="Arial"/>
        </w:rPr>
        <w:t xml:space="preserve"> days) </w:t>
      </w:r>
      <w:r w:rsidR="00784C6B" w:rsidRPr="006F1D04">
        <w:rPr>
          <w:rFonts w:ascii="Arial" w:hAnsi="Arial" w:cs="Arial"/>
        </w:rPr>
        <w:t xml:space="preserve">of the 24-hour </w:t>
      </w:r>
      <w:r w:rsidR="00EF33A4" w:rsidRPr="006F1D04">
        <w:rPr>
          <w:rFonts w:ascii="Arial" w:hAnsi="Arial" w:cs="Arial"/>
        </w:rPr>
        <w:t>PM</w:t>
      </w:r>
      <w:r w:rsidR="00EF33A4" w:rsidRPr="006F1D04">
        <w:rPr>
          <w:rFonts w:ascii="Arial" w:hAnsi="Arial" w:cs="Arial"/>
          <w:vertAlign w:val="subscript"/>
        </w:rPr>
        <w:t>10</w:t>
      </w:r>
      <w:r w:rsidR="00EF33A4" w:rsidRPr="006F1D04">
        <w:rPr>
          <w:rFonts w:ascii="Arial" w:hAnsi="Arial" w:cs="Arial"/>
        </w:rPr>
        <w:t xml:space="preserve"> standard</w:t>
      </w:r>
      <w:r w:rsidR="00784C6B" w:rsidRPr="006F1D04">
        <w:rPr>
          <w:rFonts w:ascii="Arial" w:hAnsi="Arial" w:cs="Arial"/>
        </w:rPr>
        <w:t xml:space="preserve"> wou</w:t>
      </w:r>
      <w:r w:rsidR="00EF33A4" w:rsidRPr="006F1D04">
        <w:rPr>
          <w:rFonts w:ascii="Arial" w:hAnsi="Arial" w:cs="Arial"/>
        </w:rPr>
        <w:t>ld remain unchanged</w:t>
      </w:r>
      <w:r w:rsidR="00784C6B" w:rsidRPr="006F1D04">
        <w:rPr>
          <w:rFonts w:ascii="Arial" w:hAnsi="Arial" w:cs="Arial"/>
        </w:rPr>
        <w:t xml:space="preserve">, and </w:t>
      </w:r>
      <w:r w:rsidR="00EF33A4" w:rsidRPr="006F1D04">
        <w:rPr>
          <w:rFonts w:ascii="Arial" w:hAnsi="Arial" w:cs="Arial"/>
        </w:rPr>
        <w:t xml:space="preserve">(to enable </w:t>
      </w:r>
      <w:r w:rsidR="00B3354B" w:rsidRPr="006F1D04">
        <w:rPr>
          <w:rFonts w:ascii="Arial" w:hAnsi="Arial" w:cs="Arial"/>
        </w:rPr>
        <w:t xml:space="preserve">an analysis) that there would </w:t>
      </w:r>
      <w:r w:rsidR="00137F39" w:rsidRPr="006F1D04">
        <w:rPr>
          <w:rFonts w:ascii="Arial" w:hAnsi="Arial" w:cs="Arial"/>
        </w:rPr>
        <w:t xml:space="preserve">be </w:t>
      </w:r>
      <w:r w:rsidR="00B3354B" w:rsidRPr="006F1D04">
        <w:rPr>
          <w:rFonts w:ascii="Arial" w:hAnsi="Arial" w:cs="Arial"/>
        </w:rPr>
        <w:t>either</w:t>
      </w:r>
      <w:r w:rsidR="00EF33A4" w:rsidRPr="006F1D04">
        <w:rPr>
          <w:rFonts w:ascii="Arial" w:hAnsi="Arial" w:cs="Arial"/>
        </w:rPr>
        <w:t xml:space="preserve"> </w:t>
      </w:r>
      <w:r w:rsidR="00784C6B" w:rsidRPr="006F1D04">
        <w:rPr>
          <w:rFonts w:ascii="Arial" w:hAnsi="Arial" w:cs="Arial"/>
        </w:rPr>
        <w:t xml:space="preserve">zero </w:t>
      </w:r>
      <w:r w:rsidR="00EF33A4" w:rsidRPr="006F1D04">
        <w:rPr>
          <w:rFonts w:ascii="Arial" w:hAnsi="Arial" w:cs="Arial"/>
        </w:rPr>
        <w:t xml:space="preserve">allowed exceedances </w:t>
      </w:r>
      <w:r w:rsidR="00784C6B" w:rsidRPr="006F1D04">
        <w:rPr>
          <w:rFonts w:ascii="Arial" w:hAnsi="Arial" w:cs="Arial"/>
        </w:rPr>
        <w:t>per year for PM</w:t>
      </w:r>
      <w:r w:rsidR="00784C6B" w:rsidRPr="006F1D04">
        <w:rPr>
          <w:rFonts w:ascii="Arial" w:hAnsi="Arial" w:cs="Arial"/>
          <w:vertAlign w:val="subscript"/>
        </w:rPr>
        <w:t>2.5</w:t>
      </w:r>
      <w:r w:rsidR="00B3354B" w:rsidRPr="006F1D04">
        <w:rPr>
          <w:rFonts w:ascii="Arial" w:hAnsi="Arial" w:cs="Arial"/>
        </w:rPr>
        <w:t>, or five allowed exceedances.</w:t>
      </w:r>
      <w:r w:rsidR="00097BCF" w:rsidRPr="006F1D04">
        <w:rPr>
          <w:rFonts w:ascii="Arial" w:hAnsi="Arial" w:cs="Arial"/>
        </w:rPr>
        <w:t xml:space="preserve"> The implications of these analyses in terms of the options to be taken forward for further consideration are discussed in </w:t>
      </w:r>
      <w:r w:rsidR="00097BCF" w:rsidRPr="006F1D04">
        <w:rPr>
          <w:rFonts w:ascii="Arial" w:hAnsi="Arial" w:cs="Arial"/>
          <w:b/>
        </w:rPr>
        <w:t>Chapter 9</w:t>
      </w:r>
      <w:r w:rsidR="00097BCF" w:rsidRPr="006F1D04">
        <w:rPr>
          <w:rFonts w:ascii="Arial" w:hAnsi="Arial" w:cs="Arial"/>
        </w:rPr>
        <w:t>.</w:t>
      </w:r>
    </w:p>
    <w:p w:rsidR="00CE3683" w:rsidRPr="006F1D04" w:rsidRDefault="00CE3683" w:rsidP="00CE3683">
      <w:pPr>
        <w:pStyle w:val="BulletArrows"/>
        <w:spacing w:after="300"/>
        <w:rPr>
          <w:rFonts w:ascii="Arial" w:hAnsi="Arial"/>
        </w:rPr>
      </w:pPr>
      <w:r w:rsidRPr="006F1D04">
        <w:rPr>
          <w:rFonts w:ascii="Arial" w:hAnsi="Arial"/>
        </w:rPr>
        <w:t>Whilst this analysis indicates which forms of the standards would likely be achievable, it provides no information on the division between those exceedances resulting from human activity and those resulting from natural events. Whilst the jurisdictions already provide basic information on the reasons for exceedances, the formal inclusion of a natural/exceptional events rule in the air quality standards would require the development of a consistent and more advanced approach. A trial could be conducted to test such an approach.</w:t>
      </w:r>
    </w:p>
    <w:p w:rsidR="00EB199A" w:rsidRPr="006F1D04" w:rsidRDefault="00EB199A" w:rsidP="00340514">
      <w:pPr>
        <w:pStyle w:val="Heading4"/>
        <w:spacing w:after="180"/>
        <w:rPr>
          <w:rFonts w:ascii="Arial" w:hAnsi="Arial" w:cs="Arial"/>
        </w:rPr>
      </w:pPr>
      <w:r w:rsidRPr="006F1D04">
        <w:rPr>
          <w:rFonts w:ascii="Arial" w:hAnsi="Arial" w:cs="Arial"/>
        </w:rPr>
        <w:t>Annual mean PM</w:t>
      </w:r>
      <w:r w:rsidR="00A23DA8" w:rsidRPr="006F1D04">
        <w:rPr>
          <w:rFonts w:ascii="Arial" w:hAnsi="Arial" w:cs="Arial"/>
          <w:vertAlign w:val="subscript"/>
        </w:rPr>
        <w:t>2.5</w:t>
      </w:r>
      <w:r w:rsidRPr="006F1D04">
        <w:rPr>
          <w:rFonts w:ascii="Arial" w:hAnsi="Arial" w:cs="Arial"/>
        </w:rPr>
        <w:t xml:space="preserve"> v</w:t>
      </w:r>
      <w:r w:rsidR="003F577F" w:rsidRPr="006F1D04">
        <w:rPr>
          <w:rFonts w:ascii="Arial" w:hAnsi="Arial" w:cs="Arial"/>
        </w:rPr>
        <w:t>ersu</w:t>
      </w:r>
      <w:r w:rsidRPr="006F1D04">
        <w:rPr>
          <w:rFonts w:ascii="Arial" w:hAnsi="Arial" w:cs="Arial"/>
        </w:rPr>
        <w:t>s annual mean PM</w:t>
      </w:r>
      <w:r w:rsidR="00A23DA8" w:rsidRPr="006F1D04">
        <w:rPr>
          <w:rFonts w:ascii="Arial" w:hAnsi="Arial" w:cs="Arial"/>
          <w:vertAlign w:val="subscript"/>
        </w:rPr>
        <w:t>10</w:t>
      </w:r>
    </w:p>
    <w:p w:rsidR="009434B5" w:rsidRPr="006F1D04" w:rsidRDefault="00BF6019" w:rsidP="00C04F7C">
      <w:pPr>
        <w:spacing w:after="360"/>
        <w:rPr>
          <w:rFonts w:ascii="Arial" w:hAnsi="Arial" w:cs="Arial"/>
        </w:rPr>
      </w:pPr>
      <w:fldSimple w:instr=" REF _Ref367445641 \h  \* MERGEFORMAT ">
        <w:r w:rsidR="0085182E" w:rsidRPr="0085182E">
          <w:rPr>
            <w:rFonts w:ascii="Arial" w:hAnsi="Arial" w:cs="Arial"/>
            <w:b/>
          </w:rPr>
          <w:t>Figure 8.7</w:t>
        </w:r>
      </w:fldSimple>
      <w:r w:rsidR="007E7F62" w:rsidRPr="006F1D04">
        <w:rPr>
          <w:rFonts w:ascii="Arial" w:hAnsi="Arial" w:cs="Arial"/>
        </w:rPr>
        <w:t xml:space="preserve"> shows the annual mean concentrations of PM</w:t>
      </w:r>
      <w:r w:rsidR="007E7F62" w:rsidRPr="006F1D04">
        <w:rPr>
          <w:rFonts w:ascii="Arial" w:hAnsi="Arial" w:cs="Arial"/>
          <w:vertAlign w:val="subscript"/>
        </w:rPr>
        <w:t>10</w:t>
      </w:r>
      <w:r w:rsidR="007E7F62" w:rsidRPr="006F1D04">
        <w:rPr>
          <w:rFonts w:ascii="Arial" w:hAnsi="Arial" w:cs="Arial"/>
        </w:rPr>
        <w:t xml:space="preserve"> and PM</w:t>
      </w:r>
      <w:r w:rsidR="007E7F62" w:rsidRPr="006F1D04">
        <w:rPr>
          <w:rFonts w:ascii="Arial" w:hAnsi="Arial" w:cs="Arial"/>
          <w:vertAlign w:val="subscript"/>
        </w:rPr>
        <w:t>2.5</w:t>
      </w:r>
      <w:r w:rsidR="00097BCF" w:rsidRPr="006F1D04">
        <w:rPr>
          <w:rFonts w:ascii="Arial" w:hAnsi="Arial" w:cs="Arial"/>
        </w:rPr>
        <w:t xml:space="preserve"> </w:t>
      </w:r>
      <w:r w:rsidR="007E7F62" w:rsidRPr="006F1D04">
        <w:rPr>
          <w:rFonts w:ascii="Arial" w:hAnsi="Arial" w:cs="Arial"/>
        </w:rPr>
        <w:t>during the period 2003</w:t>
      </w:r>
      <w:r w:rsidR="00137F39" w:rsidRPr="006F1D04">
        <w:rPr>
          <w:rFonts w:ascii="Arial" w:hAnsi="Arial" w:cs="Arial"/>
        </w:rPr>
        <w:t>–</w:t>
      </w:r>
      <w:r w:rsidR="007E7F62" w:rsidRPr="006F1D04">
        <w:rPr>
          <w:rFonts w:ascii="Arial" w:hAnsi="Arial" w:cs="Arial"/>
        </w:rPr>
        <w:t>2012. The nature of the data means that different conclusions would be drawn for the different jurisdictions</w:t>
      </w:r>
      <w:r w:rsidR="005523DC" w:rsidRPr="006F1D04">
        <w:rPr>
          <w:rFonts w:ascii="Arial" w:hAnsi="Arial" w:cs="Arial"/>
        </w:rPr>
        <w:t>, but here the intention is to provide an analysis at the national level. A</w:t>
      </w:r>
      <w:r w:rsidR="009434B5" w:rsidRPr="006F1D04">
        <w:rPr>
          <w:rFonts w:ascii="Arial" w:hAnsi="Arial" w:cs="Arial"/>
        </w:rPr>
        <w:t xml:space="preserve"> linear regression function fitted to </w:t>
      </w:r>
      <w:r w:rsidR="009F60CF" w:rsidRPr="006F1D04">
        <w:rPr>
          <w:rFonts w:ascii="Arial" w:hAnsi="Arial" w:cs="Arial"/>
        </w:rPr>
        <w:t xml:space="preserve">all </w:t>
      </w:r>
      <w:r w:rsidR="009434B5" w:rsidRPr="006F1D04">
        <w:rPr>
          <w:rFonts w:ascii="Arial" w:hAnsi="Arial" w:cs="Arial"/>
        </w:rPr>
        <w:t>the data and forced through the origin has a grad</w:t>
      </w:r>
      <w:r w:rsidR="00784C6B" w:rsidRPr="006F1D04">
        <w:rPr>
          <w:rFonts w:ascii="Arial" w:hAnsi="Arial" w:cs="Arial"/>
        </w:rPr>
        <w:t>ient (</w:t>
      </w:r>
      <w:r w:rsidR="009434B5" w:rsidRPr="006F1D04">
        <w:rPr>
          <w:rFonts w:ascii="Arial" w:hAnsi="Arial" w:cs="Arial"/>
        </w:rPr>
        <w:t>PM</w:t>
      </w:r>
      <w:r w:rsidR="00784C6B" w:rsidRPr="006F1D04">
        <w:rPr>
          <w:rFonts w:ascii="Arial" w:hAnsi="Arial" w:cs="Arial"/>
          <w:vertAlign w:val="subscript"/>
        </w:rPr>
        <w:t>2.5</w:t>
      </w:r>
      <w:r w:rsidR="009434B5" w:rsidRPr="006F1D04">
        <w:rPr>
          <w:rFonts w:ascii="Arial" w:hAnsi="Arial" w:cs="Arial"/>
        </w:rPr>
        <w:t>:PM</w:t>
      </w:r>
      <w:r w:rsidR="00784C6B" w:rsidRPr="006F1D04">
        <w:rPr>
          <w:rFonts w:ascii="Arial" w:hAnsi="Arial" w:cs="Arial"/>
          <w:vertAlign w:val="subscript"/>
        </w:rPr>
        <w:t>10</w:t>
      </w:r>
      <w:r w:rsidR="009434B5" w:rsidRPr="006F1D04">
        <w:rPr>
          <w:rFonts w:ascii="Arial" w:hAnsi="Arial" w:cs="Arial"/>
        </w:rPr>
        <w:t xml:space="preserve"> ratio</w:t>
      </w:r>
      <w:r w:rsidR="00784C6B" w:rsidRPr="006F1D04">
        <w:rPr>
          <w:rFonts w:ascii="Arial" w:hAnsi="Arial" w:cs="Arial"/>
        </w:rPr>
        <w:t xml:space="preserve">) of </w:t>
      </w:r>
      <w:r w:rsidR="009434B5" w:rsidRPr="006F1D04">
        <w:rPr>
          <w:rFonts w:ascii="Arial" w:hAnsi="Arial" w:cs="Arial"/>
        </w:rPr>
        <w:t>0.3</w:t>
      </w:r>
      <w:r w:rsidR="00E424A7" w:rsidRPr="006F1D04">
        <w:rPr>
          <w:rFonts w:ascii="Arial" w:hAnsi="Arial" w:cs="Arial"/>
        </w:rPr>
        <w:t>7</w:t>
      </w:r>
      <w:r w:rsidR="009434B5" w:rsidRPr="006F1D04">
        <w:rPr>
          <w:rFonts w:ascii="Arial" w:hAnsi="Arial" w:cs="Arial"/>
        </w:rPr>
        <w:t xml:space="preserve">. </w:t>
      </w:r>
      <w:r w:rsidR="00784C6B" w:rsidRPr="006F1D04">
        <w:rPr>
          <w:rFonts w:ascii="Arial" w:hAnsi="Arial" w:cs="Arial"/>
        </w:rPr>
        <w:t>Based on the regression</w:t>
      </w:r>
      <w:r w:rsidR="009434B5" w:rsidRPr="006F1D04">
        <w:rPr>
          <w:rFonts w:ascii="Arial" w:hAnsi="Arial" w:cs="Arial"/>
        </w:rPr>
        <w:t>, a PM</w:t>
      </w:r>
      <w:r w:rsidR="00784C6B" w:rsidRPr="006F1D04">
        <w:rPr>
          <w:rFonts w:ascii="Arial" w:hAnsi="Arial" w:cs="Arial"/>
          <w:vertAlign w:val="subscript"/>
        </w:rPr>
        <w:t>10</w:t>
      </w:r>
      <w:r w:rsidR="00BC4BA8" w:rsidRPr="006F1D04">
        <w:rPr>
          <w:rFonts w:ascii="Arial" w:hAnsi="Arial" w:cs="Arial"/>
        </w:rPr>
        <w:t xml:space="preserve"> concentration</w:t>
      </w:r>
      <w:r w:rsidR="00784C6B" w:rsidRPr="006F1D04">
        <w:rPr>
          <w:rFonts w:ascii="Arial" w:hAnsi="Arial" w:cs="Arial"/>
        </w:rPr>
        <w:t xml:space="preserve"> of 20</w:t>
      </w:r>
      <w:r w:rsidR="00BC4BA8" w:rsidRPr="006F1D04">
        <w:rPr>
          <w:rFonts w:ascii="Arial" w:hAnsi="Arial" w:cs="Arial"/>
        </w:rPr>
        <w:t> </w:t>
      </w:r>
      <w:proofErr w:type="spellStart"/>
      <w:r w:rsidR="009434B5" w:rsidRPr="006F1D04">
        <w:rPr>
          <w:rFonts w:ascii="Arial" w:hAnsi="Arial" w:cs="Arial"/>
        </w:rPr>
        <w:t>μg</w:t>
      </w:r>
      <w:proofErr w:type="spellEnd"/>
      <w:r w:rsidR="009434B5" w:rsidRPr="006F1D04">
        <w:rPr>
          <w:rFonts w:ascii="Arial" w:hAnsi="Arial" w:cs="Arial"/>
        </w:rPr>
        <w:t>/m</w:t>
      </w:r>
      <w:r w:rsidR="009434B5" w:rsidRPr="006F1D04">
        <w:rPr>
          <w:rFonts w:ascii="Arial" w:hAnsi="Arial" w:cs="Arial"/>
          <w:vertAlign w:val="superscript"/>
        </w:rPr>
        <w:t>3</w:t>
      </w:r>
      <w:r w:rsidR="009434B5" w:rsidRPr="006F1D04">
        <w:rPr>
          <w:rFonts w:ascii="Arial" w:hAnsi="Arial" w:cs="Arial"/>
        </w:rPr>
        <w:t xml:space="preserve"> equates</w:t>
      </w:r>
      <w:r w:rsidR="00BC4BA8" w:rsidRPr="006F1D04">
        <w:rPr>
          <w:rFonts w:ascii="Arial" w:hAnsi="Arial" w:cs="Arial"/>
        </w:rPr>
        <w:t>, on average,</w:t>
      </w:r>
      <w:r w:rsidR="009434B5" w:rsidRPr="006F1D04">
        <w:rPr>
          <w:rFonts w:ascii="Arial" w:hAnsi="Arial" w:cs="Arial"/>
        </w:rPr>
        <w:t xml:space="preserve"> to a PM</w:t>
      </w:r>
      <w:r w:rsidR="00784C6B" w:rsidRPr="006F1D04">
        <w:rPr>
          <w:rFonts w:ascii="Arial" w:hAnsi="Arial" w:cs="Arial"/>
          <w:vertAlign w:val="subscript"/>
        </w:rPr>
        <w:t>2.5</w:t>
      </w:r>
      <w:r w:rsidR="00BC4BA8" w:rsidRPr="006F1D04">
        <w:rPr>
          <w:rFonts w:ascii="Arial" w:hAnsi="Arial" w:cs="Arial"/>
        </w:rPr>
        <w:t xml:space="preserve"> concentration</w:t>
      </w:r>
      <w:r w:rsidR="00E424A7" w:rsidRPr="006F1D04">
        <w:rPr>
          <w:rFonts w:ascii="Arial" w:hAnsi="Arial" w:cs="Arial"/>
        </w:rPr>
        <w:t xml:space="preserve"> of around 7.4</w:t>
      </w:r>
      <w:r w:rsidR="009434B5" w:rsidRPr="006F1D04">
        <w:rPr>
          <w:rFonts w:ascii="Arial" w:hAnsi="Arial" w:cs="Arial"/>
        </w:rPr>
        <w:t xml:space="preserve"> </w:t>
      </w:r>
      <w:proofErr w:type="spellStart"/>
      <w:r w:rsidR="009434B5" w:rsidRPr="006F1D04">
        <w:rPr>
          <w:rFonts w:ascii="Arial" w:hAnsi="Arial" w:cs="Arial"/>
        </w:rPr>
        <w:t>μg</w:t>
      </w:r>
      <w:proofErr w:type="spellEnd"/>
      <w:r w:rsidR="009434B5" w:rsidRPr="006F1D04">
        <w:rPr>
          <w:rFonts w:ascii="Arial" w:hAnsi="Arial" w:cs="Arial"/>
        </w:rPr>
        <w:t>/m</w:t>
      </w:r>
      <w:r w:rsidR="009434B5" w:rsidRPr="006F1D04">
        <w:rPr>
          <w:rFonts w:ascii="Arial" w:hAnsi="Arial" w:cs="Arial"/>
          <w:vertAlign w:val="superscript"/>
        </w:rPr>
        <w:t>3</w:t>
      </w:r>
      <w:r w:rsidR="009434B5" w:rsidRPr="006F1D04">
        <w:rPr>
          <w:rFonts w:ascii="Arial" w:hAnsi="Arial" w:cs="Arial"/>
        </w:rPr>
        <w:t xml:space="preserve">. This suggests that there </w:t>
      </w:r>
      <w:r w:rsidR="00B14EB1" w:rsidRPr="006F1D04">
        <w:rPr>
          <w:rFonts w:ascii="Arial" w:hAnsi="Arial" w:cs="Arial"/>
        </w:rPr>
        <w:t>sh</w:t>
      </w:r>
      <w:r w:rsidR="00A23DA8" w:rsidRPr="006F1D04">
        <w:rPr>
          <w:rFonts w:ascii="Arial" w:hAnsi="Arial" w:cs="Arial"/>
        </w:rPr>
        <w:t>ould be</w:t>
      </w:r>
      <w:r w:rsidR="00624176" w:rsidRPr="006F1D04">
        <w:rPr>
          <w:rFonts w:ascii="Arial" w:hAnsi="Arial" w:cs="Arial"/>
        </w:rPr>
        <w:t xml:space="preserve"> a slight tendency for the PM</w:t>
      </w:r>
      <w:r w:rsidR="00624176" w:rsidRPr="006F1D04">
        <w:rPr>
          <w:rFonts w:ascii="Arial" w:hAnsi="Arial" w:cs="Arial"/>
          <w:vertAlign w:val="subscript"/>
        </w:rPr>
        <w:t>10</w:t>
      </w:r>
      <w:r w:rsidR="00624176" w:rsidRPr="006F1D04">
        <w:rPr>
          <w:rFonts w:ascii="Arial" w:hAnsi="Arial" w:cs="Arial"/>
        </w:rPr>
        <w:t xml:space="preserve"> standard to be exceede</w:t>
      </w:r>
      <w:r w:rsidR="00583B8B" w:rsidRPr="006F1D04">
        <w:rPr>
          <w:rFonts w:ascii="Arial" w:hAnsi="Arial" w:cs="Arial"/>
        </w:rPr>
        <w:t>d more frequently</w:t>
      </w:r>
      <w:r w:rsidR="005523DC" w:rsidRPr="006F1D04">
        <w:rPr>
          <w:rFonts w:ascii="Arial" w:hAnsi="Arial" w:cs="Arial"/>
        </w:rPr>
        <w:t xml:space="preserve"> than the PM</w:t>
      </w:r>
      <w:r w:rsidR="005523DC" w:rsidRPr="006F1D04">
        <w:rPr>
          <w:rFonts w:ascii="Arial" w:hAnsi="Arial" w:cs="Arial"/>
          <w:vertAlign w:val="subscript"/>
        </w:rPr>
        <w:t>2.5</w:t>
      </w:r>
      <w:r w:rsidR="005523DC" w:rsidRPr="006F1D04">
        <w:rPr>
          <w:rFonts w:ascii="Arial" w:hAnsi="Arial" w:cs="Arial"/>
        </w:rPr>
        <w:t xml:space="preserve"> standard</w:t>
      </w:r>
      <w:r w:rsidR="00624176" w:rsidRPr="006F1D04">
        <w:rPr>
          <w:rFonts w:ascii="Arial" w:hAnsi="Arial" w:cs="Arial"/>
        </w:rPr>
        <w:t>, but given the errors involved there is likely to be</w:t>
      </w:r>
      <w:r w:rsidR="00A23DA8" w:rsidRPr="006F1D04">
        <w:rPr>
          <w:rFonts w:ascii="Arial" w:hAnsi="Arial" w:cs="Arial"/>
        </w:rPr>
        <w:t xml:space="preserve"> little</w:t>
      </w:r>
      <w:r w:rsidR="009434B5" w:rsidRPr="006F1D04">
        <w:rPr>
          <w:rFonts w:ascii="Arial" w:hAnsi="Arial" w:cs="Arial"/>
        </w:rPr>
        <w:t xml:space="preserve"> systematic bias towards one standard or the other</w:t>
      </w:r>
      <w:r w:rsidR="00624176" w:rsidRPr="006F1D04">
        <w:rPr>
          <w:rFonts w:ascii="Arial" w:hAnsi="Arial" w:cs="Arial"/>
        </w:rPr>
        <w:t xml:space="preserve"> in practice</w:t>
      </w:r>
      <w:r w:rsidR="009434B5" w:rsidRPr="006F1D04">
        <w:rPr>
          <w:rFonts w:ascii="Arial" w:hAnsi="Arial" w:cs="Arial"/>
        </w:rPr>
        <w:t xml:space="preserve"> (in o</w:t>
      </w:r>
      <w:r w:rsidR="005523DC" w:rsidRPr="006F1D04">
        <w:rPr>
          <w:rFonts w:ascii="Arial" w:hAnsi="Arial" w:cs="Arial"/>
        </w:rPr>
        <w:t xml:space="preserve">ther words, the probability of exceedance </w:t>
      </w:r>
      <w:r w:rsidR="009434B5" w:rsidRPr="006F1D04">
        <w:rPr>
          <w:rFonts w:ascii="Arial" w:hAnsi="Arial" w:cs="Arial"/>
        </w:rPr>
        <w:t>is approximately the same for both PM</w:t>
      </w:r>
      <w:r w:rsidR="009434B5" w:rsidRPr="006F1D04">
        <w:rPr>
          <w:rFonts w:ascii="Arial" w:hAnsi="Arial" w:cs="Arial"/>
          <w:vertAlign w:val="subscript"/>
        </w:rPr>
        <w:t>10</w:t>
      </w:r>
      <w:r w:rsidR="009434B5" w:rsidRPr="006F1D04">
        <w:rPr>
          <w:rFonts w:ascii="Arial" w:hAnsi="Arial" w:cs="Arial"/>
        </w:rPr>
        <w:t xml:space="preserve"> and PM</w:t>
      </w:r>
      <w:r w:rsidR="009434B5" w:rsidRPr="006F1D04">
        <w:rPr>
          <w:rFonts w:ascii="Arial" w:hAnsi="Arial" w:cs="Arial"/>
          <w:vertAlign w:val="subscript"/>
        </w:rPr>
        <w:t>2.5</w:t>
      </w:r>
      <w:r w:rsidR="00624176" w:rsidRPr="006F1D04">
        <w:rPr>
          <w:rFonts w:ascii="Arial" w:hAnsi="Arial" w:cs="Arial"/>
        </w:rPr>
        <w:t>).</w:t>
      </w:r>
    </w:p>
    <w:p w:rsidR="00713F9F" w:rsidRPr="006F1D04" w:rsidRDefault="006D7F17" w:rsidP="00713F9F">
      <w:pPr>
        <w:spacing w:after="0" w:line="240" w:lineRule="auto"/>
        <w:jc w:val="center"/>
        <w:rPr>
          <w:rFonts w:ascii="Arial" w:hAnsi="Arial" w:cs="Arial"/>
          <w:color w:val="FF0000"/>
          <w:lang w:eastAsia="en-US"/>
        </w:rPr>
      </w:pPr>
      <w:r w:rsidRPr="006F1D04">
        <w:rPr>
          <w:rFonts w:ascii="Arial" w:hAnsi="Arial" w:cs="Arial"/>
          <w:noProof/>
        </w:rPr>
        <w:lastRenderedPageBreak/>
        <w:drawing>
          <wp:inline distT="0" distB="0" distL="0" distR="0">
            <wp:extent cx="3633470" cy="2472690"/>
            <wp:effectExtent l="19050" t="19050" r="24130" b="2286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17" t="5040" r="5983" b="2815"/>
                    <a:stretch>
                      <a:fillRect/>
                    </a:stretch>
                  </pic:blipFill>
                  <pic:spPr bwMode="auto">
                    <a:xfrm>
                      <a:off x="0" y="0"/>
                      <a:ext cx="3633470" cy="2472690"/>
                    </a:xfrm>
                    <a:prstGeom prst="rect">
                      <a:avLst/>
                    </a:prstGeom>
                    <a:noFill/>
                    <a:ln w="9525" cmpd="sng">
                      <a:solidFill>
                        <a:srgbClr val="0070C0"/>
                      </a:solidFill>
                      <a:miter lim="800000"/>
                      <a:headEnd/>
                      <a:tailEnd/>
                    </a:ln>
                    <a:effectLst/>
                  </pic:spPr>
                </pic:pic>
              </a:graphicData>
            </a:graphic>
          </wp:inline>
        </w:drawing>
      </w:r>
    </w:p>
    <w:p w:rsidR="00713F9F" w:rsidRPr="006F1D04" w:rsidRDefault="00713F9F" w:rsidP="00713F9F">
      <w:pPr>
        <w:pStyle w:val="Caption"/>
        <w:rPr>
          <w:rFonts w:ascii="Arial" w:hAnsi="Arial" w:cs="Arial"/>
          <w:color w:val="FF0000"/>
          <w:lang w:eastAsia="en-US"/>
        </w:rPr>
      </w:pPr>
      <w:bookmarkStart w:id="164" w:name="_Ref367445641"/>
      <w:r w:rsidRPr="006F1D04">
        <w:rPr>
          <w:rFonts w:ascii="Arial" w:hAnsi="Arial" w:cs="Arial"/>
        </w:rPr>
        <w:t xml:space="preserve">Figure </w:t>
      </w:r>
      <w:r w:rsidR="00BF6019" w:rsidRPr="006F1D04">
        <w:rPr>
          <w:rFonts w:ascii="Arial" w:hAnsi="Arial" w:cs="Arial"/>
        </w:rPr>
        <w:fldChar w:fldCharType="begin"/>
      </w:r>
      <w:r w:rsidRPr="006F1D04">
        <w:rPr>
          <w:rFonts w:ascii="Arial" w:hAnsi="Arial" w:cs="Arial"/>
        </w:rPr>
        <w:instrText xml:space="preserve"> STYLEREF 1 \s </w:instrText>
      </w:r>
      <w:r w:rsidR="00BF6019" w:rsidRPr="006F1D04">
        <w:rPr>
          <w:rFonts w:ascii="Arial" w:hAnsi="Arial" w:cs="Arial"/>
        </w:rPr>
        <w:fldChar w:fldCharType="separate"/>
      </w:r>
      <w:r w:rsidR="0085182E">
        <w:rPr>
          <w:rFonts w:ascii="Arial" w:hAnsi="Arial" w:cs="Arial"/>
          <w:noProof/>
        </w:rPr>
        <w:t>8</w:t>
      </w:r>
      <w:r w:rsidR="00BF6019" w:rsidRPr="006F1D04">
        <w:rPr>
          <w:rFonts w:ascii="Arial" w:hAnsi="Arial" w:cs="Arial"/>
        </w:rPr>
        <w:fldChar w:fldCharType="end"/>
      </w:r>
      <w:r w:rsidRPr="006F1D04">
        <w:rPr>
          <w:rFonts w:ascii="Arial" w:hAnsi="Arial" w:cs="Arial"/>
        </w:rPr>
        <w:t>.</w:t>
      </w:r>
      <w:r w:rsidR="00BF6019" w:rsidRPr="006F1D04">
        <w:rPr>
          <w:rFonts w:ascii="Arial" w:hAnsi="Arial" w:cs="Arial"/>
        </w:rPr>
        <w:fldChar w:fldCharType="begin"/>
      </w:r>
      <w:r w:rsidRPr="006F1D04">
        <w:rPr>
          <w:rFonts w:ascii="Arial" w:hAnsi="Arial" w:cs="Arial"/>
        </w:rPr>
        <w:instrText xml:space="preserve"> SEQ Figure \* ARABIC \s 1 </w:instrText>
      </w:r>
      <w:r w:rsidR="00BF6019" w:rsidRPr="006F1D04">
        <w:rPr>
          <w:rFonts w:ascii="Arial" w:hAnsi="Arial" w:cs="Arial"/>
        </w:rPr>
        <w:fldChar w:fldCharType="separate"/>
      </w:r>
      <w:r w:rsidR="0085182E">
        <w:rPr>
          <w:rFonts w:ascii="Arial" w:hAnsi="Arial" w:cs="Arial"/>
          <w:noProof/>
        </w:rPr>
        <w:t>7</w:t>
      </w:r>
      <w:r w:rsidR="00BF6019" w:rsidRPr="006F1D04">
        <w:rPr>
          <w:rFonts w:ascii="Arial" w:hAnsi="Arial" w:cs="Arial"/>
        </w:rPr>
        <w:fldChar w:fldCharType="end"/>
      </w:r>
      <w:bookmarkEnd w:id="164"/>
      <w:r w:rsidRPr="006F1D04">
        <w:rPr>
          <w:rFonts w:ascii="Arial" w:hAnsi="Arial" w:cs="Arial"/>
        </w:rPr>
        <w:t>: Annual mean PM</w:t>
      </w:r>
      <w:r w:rsidRPr="006F1D04">
        <w:rPr>
          <w:rFonts w:ascii="Arial" w:hAnsi="Arial" w:cs="Arial"/>
          <w:vertAlign w:val="subscript"/>
        </w:rPr>
        <w:t>2.5</w:t>
      </w:r>
      <w:r w:rsidRPr="006F1D04">
        <w:rPr>
          <w:rFonts w:ascii="Arial" w:hAnsi="Arial" w:cs="Arial"/>
        </w:rPr>
        <w:t xml:space="preserve"> vs annual mean PM</w:t>
      </w:r>
      <w:r w:rsidRPr="006F1D04">
        <w:rPr>
          <w:rFonts w:ascii="Arial" w:hAnsi="Arial" w:cs="Arial"/>
          <w:vertAlign w:val="subscript"/>
        </w:rPr>
        <w:t>10</w:t>
      </w:r>
    </w:p>
    <w:p w:rsidR="00713F9F" w:rsidRPr="006F1D04" w:rsidRDefault="00713F9F" w:rsidP="00C04F7C">
      <w:pPr>
        <w:autoSpaceDE w:val="0"/>
        <w:autoSpaceDN w:val="0"/>
        <w:adjustRightInd w:val="0"/>
        <w:spacing w:after="0" w:line="240" w:lineRule="auto"/>
        <w:rPr>
          <w:rFonts w:ascii="Arial" w:hAnsi="Arial" w:cs="Arial"/>
          <w:color w:val="FF0000"/>
          <w:sz w:val="2"/>
          <w:szCs w:val="2"/>
          <w:lang w:eastAsia="en-US"/>
        </w:rPr>
      </w:pPr>
    </w:p>
    <w:p w:rsidR="00EB199A" w:rsidRPr="006F1D04" w:rsidRDefault="00A23DA8" w:rsidP="00CE3683">
      <w:pPr>
        <w:pStyle w:val="Heading4"/>
        <w:spacing w:after="180"/>
        <w:rPr>
          <w:rFonts w:ascii="Arial" w:hAnsi="Arial" w:cs="Arial"/>
        </w:rPr>
      </w:pPr>
      <w:r w:rsidRPr="006F1D04">
        <w:rPr>
          <w:rFonts w:ascii="Arial" w:hAnsi="Arial" w:cs="Arial"/>
        </w:rPr>
        <w:t>24-hour</w:t>
      </w:r>
      <w:r w:rsidR="00EB199A" w:rsidRPr="006F1D04">
        <w:rPr>
          <w:rFonts w:ascii="Arial" w:hAnsi="Arial" w:cs="Arial"/>
        </w:rPr>
        <w:t xml:space="preserve"> mean PM</w:t>
      </w:r>
      <w:r w:rsidR="00EB199A" w:rsidRPr="006F1D04">
        <w:rPr>
          <w:rFonts w:ascii="Arial" w:hAnsi="Arial" w:cs="Arial"/>
          <w:vertAlign w:val="subscript"/>
        </w:rPr>
        <w:t>10</w:t>
      </w:r>
      <w:r w:rsidR="00EB199A" w:rsidRPr="006F1D04">
        <w:rPr>
          <w:rFonts w:ascii="Arial" w:hAnsi="Arial" w:cs="Arial"/>
        </w:rPr>
        <w:t xml:space="preserve"> v</w:t>
      </w:r>
      <w:r w:rsidR="003F577F" w:rsidRPr="006F1D04">
        <w:rPr>
          <w:rFonts w:ascii="Arial" w:hAnsi="Arial" w:cs="Arial"/>
        </w:rPr>
        <w:t>ersu</w:t>
      </w:r>
      <w:r w:rsidR="00EB199A" w:rsidRPr="006F1D04">
        <w:rPr>
          <w:rFonts w:ascii="Arial" w:hAnsi="Arial" w:cs="Arial"/>
        </w:rPr>
        <w:t xml:space="preserve">s </w:t>
      </w:r>
      <w:r w:rsidRPr="006F1D04">
        <w:rPr>
          <w:rFonts w:ascii="Arial" w:hAnsi="Arial" w:cs="Arial"/>
        </w:rPr>
        <w:t>annual</w:t>
      </w:r>
      <w:r w:rsidR="00EB199A" w:rsidRPr="006F1D04">
        <w:rPr>
          <w:rFonts w:ascii="Arial" w:hAnsi="Arial" w:cs="Arial"/>
        </w:rPr>
        <w:t xml:space="preserve"> mean PM</w:t>
      </w:r>
      <w:r w:rsidR="00EB199A" w:rsidRPr="006F1D04">
        <w:rPr>
          <w:rFonts w:ascii="Arial" w:hAnsi="Arial" w:cs="Arial"/>
          <w:vertAlign w:val="subscript"/>
        </w:rPr>
        <w:t>10</w:t>
      </w:r>
    </w:p>
    <w:p w:rsidR="00C12476" w:rsidRPr="006F1D04" w:rsidRDefault="00BF6019" w:rsidP="00514048">
      <w:pPr>
        <w:spacing w:after="120"/>
        <w:rPr>
          <w:rFonts w:ascii="Arial" w:hAnsi="Arial" w:cs="Arial"/>
        </w:rPr>
      </w:pPr>
      <w:fldSimple w:instr=" REF _Ref367562480 \h  \* MERGEFORMAT ">
        <w:r w:rsidR="0085182E" w:rsidRPr="0085182E">
          <w:rPr>
            <w:rFonts w:ascii="Arial" w:hAnsi="Arial" w:cs="Arial"/>
            <w:b/>
          </w:rPr>
          <w:t>Figure 8.8</w:t>
        </w:r>
      </w:fldSimple>
      <w:r w:rsidR="00332CC1" w:rsidRPr="006F1D04">
        <w:rPr>
          <w:rFonts w:ascii="Arial" w:hAnsi="Arial" w:cs="Arial"/>
          <w:b/>
        </w:rPr>
        <w:t xml:space="preserve"> </w:t>
      </w:r>
      <w:r w:rsidR="00332CC1" w:rsidRPr="006F1D04">
        <w:rPr>
          <w:rFonts w:ascii="Arial" w:hAnsi="Arial" w:cs="Arial"/>
        </w:rPr>
        <w:t>shows the 98.6</w:t>
      </w:r>
      <w:r w:rsidR="00332CC1" w:rsidRPr="006F1D04">
        <w:rPr>
          <w:rFonts w:ascii="Arial" w:hAnsi="Arial" w:cs="Arial"/>
          <w:vertAlign w:val="superscript"/>
        </w:rPr>
        <w:t>th</w:t>
      </w:r>
      <w:r w:rsidR="00332CC1" w:rsidRPr="006F1D04">
        <w:rPr>
          <w:rFonts w:ascii="Arial" w:hAnsi="Arial" w:cs="Arial"/>
        </w:rPr>
        <w:t xml:space="preserve"> percentile 24-hour mean and annual mean PM</w:t>
      </w:r>
      <w:r w:rsidR="00332CC1" w:rsidRPr="006F1D04">
        <w:rPr>
          <w:rFonts w:ascii="Arial" w:hAnsi="Arial" w:cs="Arial"/>
          <w:vertAlign w:val="subscript"/>
        </w:rPr>
        <w:t>10</w:t>
      </w:r>
      <w:r w:rsidR="00332CC1" w:rsidRPr="006F1D04">
        <w:rPr>
          <w:rFonts w:ascii="Arial" w:hAnsi="Arial" w:cs="Arial"/>
        </w:rPr>
        <w:t xml:space="preserve"> concentrations.</w:t>
      </w:r>
      <w:r w:rsidR="00624176" w:rsidRPr="006F1D04">
        <w:rPr>
          <w:rFonts w:ascii="Arial" w:hAnsi="Arial" w:cs="Arial"/>
        </w:rPr>
        <w:t xml:space="preserve"> In this case a third</w:t>
      </w:r>
      <w:r w:rsidR="00332CC1" w:rsidRPr="006F1D04">
        <w:rPr>
          <w:rFonts w:ascii="Arial" w:hAnsi="Arial" w:cs="Arial"/>
        </w:rPr>
        <w:t>-order polynomial regression function fitted to the data and forced through the origin</w:t>
      </w:r>
      <w:r w:rsidR="00784C6B" w:rsidRPr="006F1D04">
        <w:rPr>
          <w:rFonts w:ascii="Arial" w:hAnsi="Arial" w:cs="Arial"/>
        </w:rPr>
        <w:t xml:space="preserve"> gi</w:t>
      </w:r>
      <w:r w:rsidR="00332CC1" w:rsidRPr="006F1D04">
        <w:rPr>
          <w:rFonts w:ascii="Arial" w:hAnsi="Arial" w:cs="Arial"/>
        </w:rPr>
        <w:t>ve</w:t>
      </w:r>
      <w:r w:rsidR="00784C6B" w:rsidRPr="006F1D04">
        <w:rPr>
          <w:rFonts w:ascii="Arial" w:hAnsi="Arial" w:cs="Arial"/>
        </w:rPr>
        <w:t>s</w:t>
      </w:r>
      <w:r w:rsidR="00332CC1" w:rsidRPr="006F1D04">
        <w:rPr>
          <w:rFonts w:ascii="Arial" w:hAnsi="Arial" w:cs="Arial"/>
        </w:rPr>
        <w:t xml:space="preserve"> a higher R</w:t>
      </w:r>
      <w:r w:rsidR="00332CC1" w:rsidRPr="006F1D04">
        <w:rPr>
          <w:rFonts w:ascii="Arial" w:hAnsi="Arial" w:cs="Arial"/>
          <w:vertAlign w:val="superscript"/>
        </w:rPr>
        <w:t>2</w:t>
      </w:r>
      <w:r w:rsidR="00332CC1" w:rsidRPr="006F1D04">
        <w:rPr>
          <w:rFonts w:ascii="Arial" w:hAnsi="Arial" w:cs="Arial"/>
        </w:rPr>
        <w:t xml:space="preserve"> value than a linear function. </w:t>
      </w:r>
      <w:r w:rsidR="00F848DB" w:rsidRPr="006F1D04">
        <w:rPr>
          <w:rFonts w:ascii="Arial" w:hAnsi="Arial" w:cs="Arial"/>
        </w:rPr>
        <w:t>A</w:t>
      </w:r>
      <w:r w:rsidR="00332CC1" w:rsidRPr="006F1D04">
        <w:rPr>
          <w:rFonts w:ascii="Arial" w:hAnsi="Arial" w:cs="Arial"/>
        </w:rPr>
        <w:t>n annual mean PM</w:t>
      </w:r>
      <w:r w:rsidR="00332CC1" w:rsidRPr="006F1D04">
        <w:rPr>
          <w:rFonts w:ascii="Arial" w:hAnsi="Arial" w:cs="Arial"/>
          <w:vertAlign w:val="subscript"/>
        </w:rPr>
        <w:t>10</w:t>
      </w:r>
      <w:r w:rsidR="00332CC1" w:rsidRPr="006F1D04">
        <w:rPr>
          <w:rFonts w:ascii="Arial" w:hAnsi="Arial" w:cs="Arial"/>
        </w:rPr>
        <w:t xml:space="preserve"> concentration of 20 </w:t>
      </w:r>
      <w:proofErr w:type="spellStart"/>
      <w:r w:rsidR="00332CC1" w:rsidRPr="006F1D04">
        <w:rPr>
          <w:rFonts w:ascii="Arial" w:hAnsi="Arial" w:cs="Arial"/>
        </w:rPr>
        <w:t>μg</w:t>
      </w:r>
      <w:proofErr w:type="spellEnd"/>
      <w:r w:rsidR="00332CC1" w:rsidRPr="006F1D04">
        <w:rPr>
          <w:rFonts w:ascii="Arial" w:hAnsi="Arial" w:cs="Arial"/>
        </w:rPr>
        <w:t>/m</w:t>
      </w:r>
      <w:r w:rsidR="00332CC1" w:rsidRPr="006F1D04">
        <w:rPr>
          <w:rFonts w:ascii="Arial" w:hAnsi="Arial" w:cs="Arial"/>
          <w:vertAlign w:val="superscript"/>
        </w:rPr>
        <w:t>3</w:t>
      </w:r>
      <w:r w:rsidR="00332CC1" w:rsidRPr="006F1D04">
        <w:rPr>
          <w:rFonts w:ascii="Arial" w:hAnsi="Arial" w:cs="Arial"/>
        </w:rPr>
        <w:t xml:space="preserve"> </w:t>
      </w:r>
      <w:r w:rsidR="00784C6B" w:rsidRPr="006F1D04">
        <w:rPr>
          <w:rFonts w:ascii="Arial" w:hAnsi="Arial" w:cs="Arial"/>
        </w:rPr>
        <w:t>equates</w:t>
      </w:r>
      <w:r w:rsidR="00332CC1" w:rsidRPr="006F1D04">
        <w:rPr>
          <w:rFonts w:ascii="Arial" w:hAnsi="Arial" w:cs="Arial"/>
        </w:rPr>
        <w:t xml:space="preserve"> to a 98.6</w:t>
      </w:r>
      <w:r w:rsidR="00332CC1" w:rsidRPr="006F1D04">
        <w:rPr>
          <w:rFonts w:ascii="Arial" w:hAnsi="Arial" w:cs="Arial"/>
          <w:vertAlign w:val="superscript"/>
        </w:rPr>
        <w:t>th</w:t>
      </w:r>
      <w:r w:rsidR="00332CC1" w:rsidRPr="006F1D04">
        <w:rPr>
          <w:rFonts w:ascii="Arial" w:hAnsi="Arial" w:cs="Arial"/>
        </w:rPr>
        <w:t xml:space="preserve"> percentile value of </w:t>
      </w:r>
      <w:r w:rsidR="00624176" w:rsidRPr="006F1D04">
        <w:rPr>
          <w:rFonts w:ascii="Arial" w:hAnsi="Arial" w:cs="Arial"/>
        </w:rPr>
        <w:t>51</w:t>
      </w:r>
      <w:r w:rsidR="00332CC1" w:rsidRPr="006F1D04">
        <w:rPr>
          <w:rFonts w:ascii="Arial" w:hAnsi="Arial" w:cs="Arial"/>
        </w:rPr>
        <w:t xml:space="preserve"> </w:t>
      </w:r>
      <w:proofErr w:type="spellStart"/>
      <w:r w:rsidR="00332CC1" w:rsidRPr="006F1D04">
        <w:rPr>
          <w:rFonts w:ascii="Arial" w:hAnsi="Arial" w:cs="Arial"/>
        </w:rPr>
        <w:t>μg</w:t>
      </w:r>
      <w:proofErr w:type="spellEnd"/>
      <w:r w:rsidR="00332CC1" w:rsidRPr="006F1D04">
        <w:rPr>
          <w:rFonts w:ascii="Arial" w:hAnsi="Arial" w:cs="Arial"/>
        </w:rPr>
        <w:t>/m</w:t>
      </w:r>
      <w:r w:rsidR="00332CC1" w:rsidRPr="006F1D04">
        <w:rPr>
          <w:rFonts w:ascii="Arial" w:hAnsi="Arial" w:cs="Arial"/>
          <w:vertAlign w:val="superscript"/>
        </w:rPr>
        <w:t>3</w:t>
      </w:r>
      <w:r w:rsidR="00332CC1" w:rsidRPr="006F1D04">
        <w:rPr>
          <w:rFonts w:ascii="Arial" w:hAnsi="Arial" w:cs="Arial"/>
        </w:rPr>
        <w:t>. This sugges</w:t>
      </w:r>
      <w:r w:rsidR="00A562DA" w:rsidRPr="006F1D04">
        <w:rPr>
          <w:rFonts w:ascii="Arial" w:hAnsi="Arial" w:cs="Arial"/>
        </w:rPr>
        <w:t xml:space="preserve">ts </w:t>
      </w:r>
      <w:r w:rsidR="00F848DB" w:rsidRPr="006F1D04">
        <w:rPr>
          <w:rFonts w:ascii="Arial" w:hAnsi="Arial" w:cs="Arial"/>
        </w:rPr>
        <w:t xml:space="preserve">that </w:t>
      </w:r>
      <w:r w:rsidR="00332CC1" w:rsidRPr="006F1D04">
        <w:rPr>
          <w:rFonts w:ascii="Arial" w:hAnsi="Arial" w:cs="Arial"/>
        </w:rPr>
        <w:t>a 24-hour mean</w:t>
      </w:r>
      <w:r w:rsidR="00784C6B" w:rsidRPr="006F1D04">
        <w:rPr>
          <w:rFonts w:ascii="Arial" w:hAnsi="Arial" w:cs="Arial"/>
        </w:rPr>
        <w:t xml:space="preserve"> of 4</w:t>
      </w:r>
      <w:r w:rsidR="00332CC1" w:rsidRPr="006F1D04">
        <w:rPr>
          <w:rFonts w:ascii="Arial" w:hAnsi="Arial" w:cs="Arial"/>
        </w:rPr>
        <w:t xml:space="preserve">0 </w:t>
      </w:r>
      <w:proofErr w:type="spellStart"/>
      <w:r w:rsidR="00332CC1" w:rsidRPr="006F1D04">
        <w:rPr>
          <w:rFonts w:ascii="Arial" w:hAnsi="Arial" w:cs="Arial"/>
        </w:rPr>
        <w:t>μg</w:t>
      </w:r>
      <w:proofErr w:type="spellEnd"/>
      <w:r w:rsidR="00332CC1" w:rsidRPr="006F1D04">
        <w:rPr>
          <w:rFonts w:ascii="Arial" w:hAnsi="Arial" w:cs="Arial"/>
        </w:rPr>
        <w:t>/m</w:t>
      </w:r>
      <w:r w:rsidR="00332CC1" w:rsidRPr="006F1D04">
        <w:rPr>
          <w:rFonts w:ascii="Arial" w:hAnsi="Arial" w:cs="Arial"/>
          <w:vertAlign w:val="superscript"/>
        </w:rPr>
        <w:t>3</w:t>
      </w:r>
      <w:r w:rsidR="00F848DB" w:rsidRPr="006F1D04">
        <w:rPr>
          <w:rFonts w:ascii="Arial" w:hAnsi="Arial" w:cs="Arial"/>
        </w:rPr>
        <w:t xml:space="preserve"> would</w:t>
      </w:r>
      <w:r w:rsidR="00332CC1" w:rsidRPr="006F1D04">
        <w:rPr>
          <w:rFonts w:ascii="Arial" w:hAnsi="Arial" w:cs="Arial"/>
        </w:rPr>
        <w:t xml:space="preserve"> be exceeded at the 98.6</w:t>
      </w:r>
      <w:r w:rsidR="00332CC1" w:rsidRPr="006F1D04">
        <w:rPr>
          <w:rFonts w:ascii="Arial" w:hAnsi="Arial" w:cs="Arial"/>
          <w:vertAlign w:val="superscript"/>
        </w:rPr>
        <w:t>th</w:t>
      </w:r>
      <w:r w:rsidR="00332CC1" w:rsidRPr="006F1D04">
        <w:rPr>
          <w:rFonts w:ascii="Arial" w:hAnsi="Arial" w:cs="Arial"/>
        </w:rPr>
        <w:t xml:space="preserve"> percentile level (i.e.</w:t>
      </w:r>
      <w:r w:rsidR="000C47E5" w:rsidRPr="006F1D04">
        <w:rPr>
          <w:rFonts w:ascii="Arial" w:hAnsi="Arial" w:cs="Arial"/>
        </w:rPr>
        <w:t xml:space="preserve"> with five</w:t>
      </w:r>
      <w:r w:rsidR="00C057F3" w:rsidRPr="006F1D04">
        <w:rPr>
          <w:rFonts w:ascii="Arial" w:hAnsi="Arial" w:cs="Arial"/>
        </w:rPr>
        <w:t xml:space="preserve"> allowed exceedances) more frequently than</w:t>
      </w:r>
      <w:r w:rsidR="00332CC1" w:rsidRPr="006F1D04">
        <w:rPr>
          <w:rFonts w:ascii="Arial" w:hAnsi="Arial" w:cs="Arial"/>
        </w:rPr>
        <w:t xml:space="preserve"> an annual mean of 20 </w:t>
      </w:r>
      <w:proofErr w:type="spellStart"/>
      <w:r w:rsidR="00332CC1" w:rsidRPr="006F1D04">
        <w:rPr>
          <w:rFonts w:ascii="Arial" w:hAnsi="Arial" w:cs="Arial"/>
        </w:rPr>
        <w:t>μg</w:t>
      </w:r>
      <w:proofErr w:type="spellEnd"/>
      <w:r w:rsidR="00332CC1" w:rsidRPr="006F1D04">
        <w:rPr>
          <w:rFonts w:ascii="Arial" w:hAnsi="Arial" w:cs="Arial"/>
        </w:rPr>
        <w:t>/m</w:t>
      </w:r>
      <w:r w:rsidR="00332CC1" w:rsidRPr="006F1D04">
        <w:rPr>
          <w:rFonts w:ascii="Arial" w:hAnsi="Arial" w:cs="Arial"/>
          <w:vertAlign w:val="superscript"/>
        </w:rPr>
        <w:t>3</w:t>
      </w:r>
      <w:r w:rsidR="00624176" w:rsidRPr="006F1D04">
        <w:rPr>
          <w:rFonts w:ascii="Arial" w:hAnsi="Arial" w:cs="Arial"/>
        </w:rPr>
        <w:t>.</w:t>
      </w:r>
      <w:r w:rsidR="00953AD6" w:rsidRPr="006F1D04">
        <w:rPr>
          <w:rFonts w:ascii="Arial" w:hAnsi="Arial" w:cs="Arial"/>
        </w:rPr>
        <w:t xml:space="preserve"> </w:t>
      </w:r>
      <w:r w:rsidR="000C47E5" w:rsidRPr="006F1D04">
        <w:rPr>
          <w:rFonts w:ascii="Arial" w:hAnsi="Arial" w:cs="Arial"/>
        </w:rPr>
        <w:t>The plots in</w:t>
      </w:r>
      <w:r w:rsidR="00953AD6" w:rsidRPr="006F1D04">
        <w:rPr>
          <w:rFonts w:ascii="Arial" w:hAnsi="Arial" w:cs="Arial"/>
        </w:rPr>
        <w:t xml:space="preserve"> </w:t>
      </w:r>
      <w:fldSimple w:instr=" REF _Ref367450177 \h  \* MERGEFORMAT ">
        <w:r w:rsidR="0085182E" w:rsidRPr="0085182E">
          <w:rPr>
            <w:rFonts w:ascii="Arial" w:hAnsi="Arial" w:cs="Arial"/>
            <w:b/>
          </w:rPr>
          <w:t>Figure 8.5</w:t>
        </w:r>
      </w:fldSimple>
      <w:r w:rsidR="000C47E5" w:rsidRPr="006F1D04">
        <w:rPr>
          <w:rFonts w:ascii="Arial" w:hAnsi="Arial" w:cs="Arial"/>
        </w:rPr>
        <w:t xml:space="preserve"> show that an annual mean </w:t>
      </w:r>
      <w:proofErr w:type="gramStart"/>
      <w:r w:rsidR="000C47E5" w:rsidRPr="006F1D04">
        <w:rPr>
          <w:rFonts w:ascii="Arial" w:hAnsi="Arial" w:cs="Arial"/>
        </w:rPr>
        <w:t>of 20</w:t>
      </w:r>
      <w:r w:rsidR="00C057F3" w:rsidRPr="006F1D04">
        <w:rPr>
          <w:rFonts w:ascii="Arial" w:hAnsi="Arial" w:cs="Arial"/>
        </w:rPr>
        <w:t> </w:t>
      </w:r>
      <w:proofErr w:type="spellStart"/>
      <w:r w:rsidR="000C47E5" w:rsidRPr="006F1D04">
        <w:rPr>
          <w:rFonts w:ascii="Arial" w:hAnsi="Arial" w:cs="Arial"/>
        </w:rPr>
        <w:t>μg</w:t>
      </w:r>
      <w:proofErr w:type="spellEnd"/>
      <w:r w:rsidR="000C47E5" w:rsidRPr="006F1D04">
        <w:rPr>
          <w:rFonts w:ascii="Arial" w:hAnsi="Arial" w:cs="Arial"/>
        </w:rPr>
        <w:t>/m</w:t>
      </w:r>
      <w:r w:rsidR="000C47E5" w:rsidRPr="006F1D04">
        <w:rPr>
          <w:rFonts w:ascii="Arial" w:hAnsi="Arial" w:cs="Arial"/>
          <w:vertAlign w:val="superscript"/>
        </w:rPr>
        <w:t>3</w:t>
      </w:r>
      <w:proofErr w:type="gramEnd"/>
      <w:r w:rsidR="00340514" w:rsidRPr="006F1D04">
        <w:rPr>
          <w:rFonts w:ascii="Arial" w:hAnsi="Arial" w:cs="Arial"/>
        </w:rPr>
        <w:t xml:space="preserve"> is approximately</w:t>
      </w:r>
      <w:r w:rsidR="000C47E5" w:rsidRPr="006F1D04">
        <w:rPr>
          <w:rFonts w:ascii="Arial" w:hAnsi="Arial" w:cs="Arial"/>
        </w:rPr>
        <w:t xml:space="preserve"> equivalent to a 24-</w:t>
      </w:r>
      <w:r w:rsidR="00E54142" w:rsidRPr="006F1D04">
        <w:rPr>
          <w:rFonts w:ascii="Arial" w:hAnsi="Arial" w:cs="Arial"/>
        </w:rPr>
        <w:t xml:space="preserve">hour </w:t>
      </w:r>
      <w:r w:rsidR="000C47E5" w:rsidRPr="006F1D04">
        <w:rPr>
          <w:rFonts w:ascii="Arial" w:hAnsi="Arial" w:cs="Arial"/>
        </w:rPr>
        <w:t xml:space="preserve">mean of 40 </w:t>
      </w:r>
      <w:proofErr w:type="spellStart"/>
      <w:r w:rsidR="000C47E5" w:rsidRPr="006F1D04">
        <w:rPr>
          <w:rFonts w:ascii="Arial" w:hAnsi="Arial" w:cs="Arial"/>
        </w:rPr>
        <w:t>μg</w:t>
      </w:r>
      <w:proofErr w:type="spellEnd"/>
      <w:r w:rsidR="000C47E5" w:rsidRPr="006F1D04">
        <w:rPr>
          <w:rFonts w:ascii="Arial" w:hAnsi="Arial" w:cs="Arial"/>
        </w:rPr>
        <w:t>/m</w:t>
      </w:r>
      <w:r w:rsidR="000C47E5" w:rsidRPr="006F1D04">
        <w:rPr>
          <w:rFonts w:ascii="Arial" w:hAnsi="Arial" w:cs="Arial"/>
          <w:vertAlign w:val="superscript"/>
        </w:rPr>
        <w:t>3</w:t>
      </w:r>
      <w:r w:rsidR="000C47E5" w:rsidRPr="006F1D04">
        <w:rPr>
          <w:rFonts w:ascii="Arial" w:hAnsi="Arial" w:cs="Arial"/>
        </w:rPr>
        <w:t xml:space="preserve"> </w:t>
      </w:r>
      <w:r w:rsidR="00C04F7C" w:rsidRPr="006F1D04">
        <w:rPr>
          <w:rFonts w:ascii="Arial" w:hAnsi="Arial" w:cs="Arial"/>
        </w:rPr>
        <w:t>at</w:t>
      </w:r>
      <w:r w:rsidR="000C47E5" w:rsidRPr="006F1D04">
        <w:rPr>
          <w:rFonts w:ascii="Arial" w:hAnsi="Arial" w:cs="Arial"/>
        </w:rPr>
        <w:t xml:space="preserve"> the 96</w:t>
      </w:r>
      <w:r w:rsidR="000C47E5" w:rsidRPr="006F1D04">
        <w:rPr>
          <w:rFonts w:ascii="Arial" w:hAnsi="Arial" w:cs="Arial"/>
          <w:vertAlign w:val="superscript"/>
        </w:rPr>
        <w:t>th</w:t>
      </w:r>
      <w:r w:rsidR="000C47E5" w:rsidRPr="006F1D04">
        <w:rPr>
          <w:rFonts w:ascii="Arial" w:hAnsi="Arial" w:cs="Arial"/>
        </w:rPr>
        <w:t xml:space="preserve"> percentile level (i.e. with around 15 allowed exceedances per year).</w:t>
      </w:r>
      <w:r w:rsidR="00514048" w:rsidRPr="006F1D04">
        <w:rPr>
          <w:rFonts w:ascii="Arial" w:hAnsi="Arial" w:cs="Arial"/>
        </w:rPr>
        <w:t xml:space="preserve"> In terms of the options being assessed, if a 24-hour mean standard of 40 </w:t>
      </w:r>
      <w:proofErr w:type="spellStart"/>
      <w:r w:rsidR="00514048" w:rsidRPr="006F1D04">
        <w:rPr>
          <w:rFonts w:ascii="Arial" w:hAnsi="Arial" w:cs="Arial"/>
        </w:rPr>
        <w:t>μg</w:t>
      </w:r>
      <w:proofErr w:type="spellEnd"/>
      <w:r w:rsidR="00514048" w:rsidRPr="006F1D04">
        <w:rPr>
          <w:rFonts w:ascii="Arial" w:hAnsi="Arial" w:cs="Arial"/>
        </w:rPr>
        <w:t>/m</w:t>
      </w:r>
      <w:r w:rsidR="00514048" w:rsidRPr="006F1D04">
        <w:rPr>
          <w:rFonts w:ascii="Arial" w:hAnsi="Arial" w:cs="Arial"/>
          <w:vertAlign w:val="superscript"/>
        </w:rPr>
        <w:t xml:space="preserve">3 </w:t>
      </w:r>
      <w:r w:rsidR="00514048" w:rsidRPr="006F1D04">
        <w:rPr>
          <w:rFonts w:ascii="Arial" w:hAnsi="Arial" w:cs="Arial"/>
        </w:rPr>
        <w:t>is used in conjunction with a 98</w:t>
      </w:r>
      <w:r w:rsidR="00514048" w:rsidRPr="006F1D04">
        <w:rPr>
          <w:rFonts w:ascii="Arial" w:hAnsi="Arial" w:cs="Arial"/>
          <w:vertAlign w:val="superscript"/>
        </w:rPr>
        <w:t>th</w:t>
      </w:r>
      <w:r w:rsidR="00514048" w:rsidRPr="006F1D04">
        <w:rPr>
          <w:rFonts w:ascii="Arial" w:hAnsi="Arial" w:cs="Arial"/>
        </w:rPr>
        <w:t xml:space="preserve"> percentile rule then the 24-hour standard would be exceeded more frequently than the annual mean standard, which could lead to a perception that the 24-hour standard is the more important one (</w:t>
      </w:r>
      <w:r w:rsidR="00137F39" w:rsidRPr="006F1D04">
        <w:rPr>
          <w:rFonts w:ascii="Arial" w:hAnsi="Arial" w:cs="Arial"/>
        </w:rPr>
        <w:t xml:space="preserve">while </w:t>
      </w:r>
      <w:r w:rsidR="00514048" w:rsidRPr="006F1D04">
        <w:rPr>
          <w:rFonts w:ascii="Arial" w:hAnsi="Arial" w:cs="Arial"/>
        </w:rPr>
        <w:t xml:space="preserve">the health and economic literature suggest otherwise). </w:t>
      </w:r>
    </w:p>
    <w:p w:rsidR="00514048" w:rsidRPr="006F1D04" w:rsidRDefault="00514048" w:rsidP="00C04F7C">
      <w:pPr>
        <w:spacing w:after="0"/>
        <w:rPr>
          <w:rFonts w:ascii="Arial" w:hAnsi="Arial" w:cs="Arial"/>
          <w:color w:val="FF0000"/>
        </w:rPr>
      </w:pPr>
    </w:p>
    <w:p w:rsidR="00A23DA8" w:rsidRPr="006F1D04" w:rsidRDefault="006D7F17" w:rsidP="00A23DA8">
      <w:pPr>
        <w:autoSpaceDE w:val="0"/>
        <w:autoSpaceDN w:val="0"/>
        <w:adjustRightInd w:val="0"/>
        <w:spacing w:after="0" w:line="240" w:lineRule="auto"/>
        <w:jc w:val="center"/>
        <w:rPr>
          <w:rFonts w:ascii="Arial" w:hAnsi="Arial" w:cs="Arial"/>
          <w:color w:val="FF0000"/>
          <w:sz w:val="21"/>
          <w:szCs w:val="21"/>
          <w:lang w:eastAsia="en-US"/>
        </w:rPr>
      </w:pPr>
      <w:r w:rsidRPr="006F1D04">
        <w:rPr>
          <w:rFonts w:ascii="Arial" w:hAnsi="Arial" w:cs="Arial"/>
          <w:noProof/>
        </w:rPr>
        <w:drawing>
          <wp:inline distT="0" distB="0" distL="0" distR="0">
            <wp:extent cx="3641725" cy="2504440"/>
            <wp:effectExtent l="19050" t="19050" r="15875" b="1016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89"/>
                    <a:stretch>
                      <a:fillRect/>
                    </a:stretch>
                  </pic:blipFill>
                  <pic:spPr bwMode="auto">
                    <a:xfrm>
                      <a:off x="0" y="0"/>
                      <a:ext cx="3641725" cy="2504440"/>
                    </a:xfrm>
                    <a:prstGeom prst="rect">
                      <a:avLst/>
                    </a:prstGeom>
                    <a:noFill/>
                    <a:ln w="6350" cmpd="sng">
                      <a:solidFill>
                        <a:srgbClr val="0070C0"/>
                      </a:solidFill>
                      <a:miter lim="800000"/>
                      <a:headEnd/>
                      <a:tailEnd/>
                    </a:ln>
                    <a:effectLst/>
                  </pic:spPr>
                </pic:pic>
              </a:graphicData>
            </a:graphic>
          </wp:inline>
        </w:drawing>
      </w:r>
    </w:p>
    <w:p w:rsidR="00A23DA8" w:rsidRPr="006F1D04" w:rsidRDefault="00A23DA8" w:rsidP="00A23DA8">
      <w:pPr>
        <w:pStyle w:val="Caption"/>
        <w:rPr>
          <w:rFonts w:ascii="Arial" w:hAnsi="Arial" w:cs="Arial"/>
          <w:color w:val="FF0000"/>
          <w:lang w:eastAsia="en-US"/>
        </w:rPr>
      </w:pPr>
      <w:bookmarkStart w:id="165" w:name="_Ref367562480"/>
      <w:r w:rsidRPr="006F1D04">
        <w:rPr>
          <w:rFonts w:ascii="Arial" w:hAnsi="Arial" w:cs="Arial"/>
        </w:rPr>
        <w:t xml:space="preserve">Figure </w:t>
      </w:r>
      <w:r w:rsidR="00BF6019" w:rsidRPr="006F1D04">
        <w:rPr>
          <w:rFonts w:ascii="Arial" w:hAnsi="Arial" w:cs="Arial"/>
        </w:rPr>
        <w:fldChar w:fldCharType="begin"/>
      </w:r>
      <w:r w:rsidRPr="006F1D04">
        <w:rPr>
          <w:rFonts w:ascii="Arial" w:hAnsi="Arial" w:cs="Arial"/>
        </w:rPr>
        <w:instrText xml:space="preserve"> STYLEREF 1 \s </w:instrText>
      </w:r>
      <w:r w:rsidR="00BF6019" w:rsidRPr="006F1D04">
        <w:rPr>
          <w:rFonts w:ascii="Arial" w:hAnsi="Arial" w:cs="Arial"/>
        </w:rPr>
        <w:fldChar w:fldCharType="separate"/>
      </w:r>
      <w:r w:rsidR="0085182E">
        <w:rPr>
          <w:rFonts w:ascii="Arial" w:hAnsi="Arial" w:cs="Arial"/>
          <w:noProof/>
        </w:rPr>
        <w:t>8</w:t>
      </w:r>
      <w:r w:rsidR="00BF6019" w:rsidRPr="006F1D04">
        <w:rPr>
          <w:rFonts w:ascii="Arial" w:hAnsi="Arial" w:cs="Arial"/>
        </w:rPr>
        <w:fldChar w:fldCharType="end"/>
      </w:r>
      <w:r w:rsidRPr="006F1D04">
        <w:rPr>
          <w:rFonts w:ascii="Arial" w:hAnsi="Arial" w:cs="Arial"/>
        </w:rPr>
        <w:t>.</w:t>
      </w:r>
      <w:r w:rsidR="00BF6019" w:rsidRPr="006F1D04">
        <w:rPr>
          <w:rFonts w:ascii="Arial" w:hAnsi="Arial" w:cs="Arial"/>
        </w:rPr>
        <w:fldChar w:fldCharType="begin"/>
      </w:r>
      <w:r w:rsidRPr="006F1D04">
        <w:rPr>
          <w:rFonts w:ascii="Arial" w:hAnsi="Arial" w:cs="Arial"/>
        </w:rPr>
        <w:instrText xml:space="preserve"> SEQ Figure \* ARABIC \s 1 </w:instrText>
      </w:r>
      <w:r w:rsidR="00BF6019" w:rsidRPr="006F1D04">
        <w:rPr>
          <w:rFonts w:ascii="Arial" w:hAnsi="Arial" w:cs="Arial"/>
        </w:rPr>
        <w:fldChar w:fldCharType="separate"/>
      </w:r>
      <w:r w:rsidR="0085182E">
        <w:rPr>
          <w:rFonts w:ascii="Arial" w:hAnsi="Arial" w:cs="Arial"/>
          <w:noProof/>
        </w:rPr>
        <w:t>8</w:t>
      </w:r>
      <w:r w:rsidR="00BF6019" w:rsidRPr="006F1D04">
        <w:rPr>
          <w:rFonts w:ascii="Arial" w:hAnsi="Arial" w:cs="Arial"/>
        </w:rPr>
        <w:fldChar w:fldCharType="end"/>
      </w:r>
      <w:bookmarkEnd w:id="165"/>
      <w:r w:rsidR="00332CC1" w:rsidRPr="006F1D04">
        <w:rPr>
          <w:rFonts w:ascii="Arial" w:hAnsi="Arial" w:cs="Arial"/>
        </w:rPr>
        <w:t xml:space="preserve">: </w:t>
      </w:r>
      <w:r w:rsidR="00784C6B" w:rsidRPr="006F1D04">
        <w:rPr>
          <w:rFonts w:ascii="Arial" w:hAnsi="Arial" w:cs="Arial"/>
        </w:rPr>
        <w:t>98.6</w:t>
      </w:r>
      <w:r w:rsidR="00784C6B" w:rsidRPr="006F1D04">
        <w:rPr>
          <w:rFonts w:ascii="Arial" w:hAnsi="Arial" w:cs="Arial"/>
          <w:vertAlign w:val="superscript"/>
        </w:rPr>
        <w:t>th</w:t>
      </w:r>
      <w:r w:rsidR="00784C6B" w:rsidRPr="006F1D04">
        <w:rPr>
          <w:rFonts w:ascii="Arial" w:hAnsi="Arial" w:cs="Arial"/>
        </w:rPr>
        <w:t xml:space="preserve"> percentile </w:t>
      </w:r>
      <w:r w:rsidR="00332CC1" w:rsidRPr="006F1D04">
        <w:rPr>
          <w:rFonts w:ascii="Arial" w:hAnsi="Arial" w:cs="Arial"/>
        </w:rPr>
        <w:t>24-h</w:t>
      </w:r>
      <w:r w:rsidRPr="006F1D04">
        <w:rPr>
          <w:rFonts w:ascii="Arial" w:hAnsi="Arial" w:cs="Arial"/>
        </w:rPr>
        <w:t xml:space="preserve"> mean PM</w:t>
      </w:r>
      <w:r w:rsidR="00332CC1" w:rsidRPr="006F1D04">
        <w:rPr>
          <w:rFonts w:ascii="Arial" w:hAnsi="Arial" w:cs="Arial"/>
          <w:vertAlign w:val="subscript"/>
        </w:rPr>
        <w:t>10</w:t>
      </w:r>
      <w:r w:rsidRPr="006F1D04">
        <w:rPr>
          <w:rFonts w:ascii="Arial" w:hAnsi="Arial" w:cs="Arial"/>
        </w:rPr>
        <w:t xml:space="preserve"> vs annual mean PM</w:t>
      </w:r>
      <w:r w:rsidRPr="006F1D04">
        <w:rPr>
          <w:rFonts w:ascii="Arial" w:hAnsi="Arial" w:cs="Arial"/>
          <w:vertAlign w:val="subscript"/>
        </w:rPr>
        <w:t>10</w:t>
      </w:r>
    </w:p>
    <w:p w:rsidR="00A23DA8" w:rsidRPr="006F1D04" w:rsidRDefault="00A23DA8" w:rsidP="00713F9F">
      <w:pPr>
        <w:autoSpaceDE w:val="0"/>
        <w:autoSpaceDN w:val="0"/>
        <w:adjustRightInd w:val="0"/>
        <w:spacing w:after="0" w:line="240" w:lineRule="auto"/>
        <w:rPr>
          <w:rFonts w:ascii="Arial" w:hAnsi="Arial" w:cs="Arial"/>
          <w:color w:val="FF0000"/>
          <w:sz w:val="6"/>
          <w:szCs w:val="6"/>
          <w:lang w:eastAsia="en-US"/>
        </w:rPr>
      </w:pPr>
    </w:p>
    <w:p w:rsidR="00EB199A" w:rsidRPr="006F1D04" w:rsidRDefault="00332CC1" w:rsidP="00CE3683">
      <w:pPr>
        <w:pStyle w:val="Heading4"/>
        <w:spacing w:after="180"/>
        <w:rPr>
          <w:rFonts w:ascii="Arial" w:hAnsi="Arial" w:cs="Arial"/>
        </w:rPr>
      </w:pPr>
      <w:r w:rsidRPr="006F1D04">
        <w:rPr>
          <w:rFonts w:ascii="Arial" w:hAnsi="Arial" w:cs="Arial"/>
        </w:rPr>
        <w:t xml:space="preserve">24-hour mean </w:t>
      </w:r>
      <w:r w:rsidR="00EB199A" w:rsidRPr="006F1D04">
        <w:rPr>
          <w:rFonts w:ascii="Arial" w:hAnsi="Arial" w:cs="Arial"/>
        </w:rPr>
        <w:t>PM</w:t>
      </w:r>
      <w:r w:rsidR="00EB199A" w:rsidRPr="006F1D04">
        <w:rPr>
          <w:rFonts w:ascii="Arial" w:hAnsi="Arial" w:cs="Arial"/>
          <w:vertAlign w:val="subscript"/>
        </w:rPr>
        <w:t>2.5</w:t>
      </w:r>
      <w:r w:rsidR="00EB199A" w:rsidRPr="006F1D04">
        <w:rPr>
          <w:rFonts w:ascii="Arial" w:hAnsi="Arial" w:cs="Arial"/>
        </w:rPr>
        <w:t xml:space="preserve"> v</w:t>
      </w:r>
      <w:r w:rsidR="003F577F" w:rsidRPr="006F1D04">
        <w:rPr>
          <w:rFonts w:ascii="Arial" w:hAnsi="Arial" w:cs="Arial"/>
        </w:rPr>
        <w:t>ersu</w:t>
      </w:r>
      <w:r w:rsidR="00EB199A" w:rsidRPr="006F1D04">
        <w:rPr>
          <w:rFonts w:ascii="Arial" w:hAnsi="Arial" w:cs="Arial"/>
        </w:rPr>
        <w:t>s</w:t>
      </w:r>
      <w:r w:rsidRPr="006F1D04">
        <w:rPr>
          <w:rFonts w:ascii="Arial" w:hAnsi="Arial" w:cs="Arial"/>
        </w:rPr>
        <w:t xml:space="preserve"> annual</w:t>
      </w:r>
      <w:r w:rsidR="00EB199A" w:rsidRPr="006F1D04">
        <w:rPr>
          <w:rFonts w:ascii="Arial" w:hAnsi="Arial" w:cs="Arial"/>
        </w:rPr>
        <w:t xml:space="preserve"> mean PM</w:t>
      </w:r>
      <w:r w:rsidR="00EB199A" w:rsidRPr="006F1D04">
        <w:rPr>
          <w:rFonts w:ascii="Arial" w:hAnsi="Arial" w:cs="Arial"/>
          <w:vertAlign w:val="subscript"/>
        </w:rPr>
        <w:t>2.5</w:t>
      </w:r>
    </w:p>
    <w:p w:rsidR="00B3354B" w:rsidRPr="006F1D04" w:rsidRDefault="00BF6019" w:rsidP="00CE3683">
      <w:pPr>
        <w:spacing w:after="180"/>
        <w:rPr>
          <w:rFonts w:ascii="Arial" w:hAnsi="Arial" w:cs="Arial"/>
        </w:rPr>
      </w:pPr>
      <w:fldSimple w:instr=" REF _Ref367563806 \h  \* MERGEFORMAT ">
        <w:r w:rsidR="0085182E" w:rsidRPr="0085182E">
          <w:rPr>
            <w:rFonts w:ascii="Arial" w:hAnsi="Arial" w:cs="Arial"/>
            <w:b/>
          </w:rPr>
          <w:t>Figure 8.9</w:t>
        </w:r>
      </w:fldSimple>
      <w:r w:rsidR="00784C6B" w:rsidRPr="006F1D04">
        <w:rPr>
          <w:rFonts w:ascii="Arial" w:hAnsi="Arial" w:cs="Arial"/>
          <w:b/>
        </w:rPr>
        <w:t xml:space="preserve"> </w:t>
      </w:r>
      <w:r w:rsidR="00332CC1" w:rsidRPr="006F1D04">
        <w:rPr>
          <w:rFonts w:ascii="Arial" w:hAnsi="Arial" w:cs="Arial"/>
        </w:rPr>
        <w:t>shows the maximum 24-hour mean and annual mean PM</w:t>
      </w:r>
      <w:r w:rsidR="00332CC1" w:rsidRPr="006F1D04">
        <w:rPr>
          <w:rFonts w:ascii="Arial" w:hAnsi="Arial" w:cs="Arial"/>
          <w:vertAlign w:val="subscript"/>
        </w:rPr>
        <w:t>2.5</w:t>
      </w:r>
      <w:r w:rsidR="00332CC1" w:rsidRPr="006F1D04">
        <w:rPr>
          <w:rFonts w:ascii="Arial" w:hAnsi="Arial" w:cs="Arial"/>
        </w:rPr>
        <w:t xml:space="preserve"> concentrations. </w:t>
      </w:r>
      <w:r w:rsidR="00457856" w:rsidRPr="006F1D04">
        <w:rPr>
          <w:rFonts w:ascii="Arial" w:hAnsi="Arial" w:cs="Arial"/>
        </w:rPr>
        <w:t>Because the relationship between the two metrics is not very stable it is difficu</w:t>
      </w:r>
      <w:r w:rsidR="00340514" w:rsidRPr="006F1D04">
        <w:rPr>
          <w:rFonts w:ascii="Arial" w:hAnsi="Arial" w:cs="Arial"/>
        </w:rPr>
        <w:t>lt to draw firm conclusions. F</w:t>
      </w:r>
      <w:r w:rsidR="006C0292" w:rsidRPr="006F1D04">
        <w:rPr>
          <w:rFonts w:ascii="Arial" w:hAnsi="Arial" w:cs="Arial"/>
        </w:rPr>
        <w:t xml:space="preserve">or an annual mean concentration of 8 </w:t>
      </w:r>
      <w:proofErr w:type="spellStart"/>
      <w:r w:rsidR="006C0292" w:rsidRPr="006F1D04">
        <w:rPr>
          <w:rFonts w:ascii="Arial" w:hAnsi="Arial" w:cs="Arial"/>
        </w:rPr>
        <w:t>μg</w:t>
      </w:r>
      <w:proofErr w:type="spellEnd"/>
      <w:r w:rsidR="006C0292" w:rsidRPr="006F1D04">
        <w:rPr>
          <w:rFonts w:ascii="Arial" w:hAnsi="Arial" w:cs="Arial"/>
        </w:rPr>
        <w:t>/m</w:t>
      </w:r>
      <w:r w:rsidR="006C0292" w:rsidRPr="006F1D04">
        <w:rPr>
          <w:rFonts w:ascii="Arial" w:hAnsi="Arial" w:cs="Arial"/>
          <w:vertAlign w:val="superscript"/>
        </w:rPr>
        <w:t>3</w:t>
      </w:r>
      <w:r w:rsidR="006C0292" w:rsidRPr="006F1D04">
        <w:rPr>
          <w:rFonts w:ascii="Arial" w:hAnsi="Arial" w:cs="Arial"/>
        </w:rPr>
        <w:t xml:space="preserve"> the maximum 24-hour concentration would frequently be greater than 25 </w:t>
      </w:r>
      <w:proofErr w:type="spellStart"/>
      <w:r w:rsidR="006C0292" w:rsidRPr="006F1D04">
        <w:rPr>
          <w:rFonts w:ascii="Arial" w:hAnsi="Arial" w:cs="Arial"/>
        </w:rPr>
        <w:t>μg</w:t>
      </w:r>
      <w:proofErr w:type="spellEnd"/>
      <w:r w:rsidR="006C0292" w:rsidRPr="006F1D04">
        <w:rPr>
          <w:rFonts w:ascii="Arial" w:hAnsi="Arial" w:cs="Arial"/>
        </w:rPr>
        <w:t>/m</w:t>
      </w:r>
      <w:r w:rsidR="00514048" w:rsidRPr="006F1D04">
        <w:rPr>
          <w:rFonts w:ascii="Arial" w:hAnsi="Arial" w:cs="Arial"/>
          <w:vertAlign w:val="superscript"/>
        </w:rPr>
        <w:t>3</w:t>
      </w:r>
      <w:r w:rsidR="00E54142" w:rsidRPr="006F1D04">
        <w:rPr>
          <w:rFonts w:ascii="Arial" w:hAnsi="Arial" w:cs="Arial"/>
        </w:rPr>
        <w:t>. It can also be seen from</w:t>
      </w:r>
      <w:r w:rsidR="006C0292" w:rsidRPr="006F1D04">
        <w:rPr>
          <w:rFonts w:ascii="Arial" w:hAnsi="Arial" w:cs="Arial"/>
        </w:rPr>
        <w:t xml:space="preserve"> the Figure that a 24-hour value of 25 </w:t>
      </w:r>
      <w:proofErr w:type="spellStart"/>
      <w:r w:rsidR="006C0292" w:rsidRPr="006F1D04">
        <w:rPr>
          <w:rFonts w:ascii="Arial" w:hAnsi="Arial" w:cs="Arial"/>
        </w:rPr>
        <w:t>μg</w:t>
      </w:r>
      <w:proofErr w:type="spellEnd"/>
      <w:r w:rsidR="006C0292" w:rsidRPr="006F1D04">
        <w:rPr>
          <w:rFonts w:ascii="Arial" w:hAnsi="Arial" w:cs="Arial"/>
        </w:rPr>
        <w:t>/m</w:t>
      </w:r>
      <w:r w:rsidR="006C0292" w:rsidRPr="006F1D04">
        <w:rPr>
          <w:rFonts w:ascii="Arial" w:hAnsi="Arial" w:cs="Arial"/>
          <w:vertAlign w:val="superscript"/>
        </w:rPr>
        <w:t xml:space="preserve">3 </w:t>
      </w:r>
      <w:r w:rsidR="006C0292" w:rsidRPr="006F1D04">
        <w:rPr>
          <w:rFonts w:ascii="Arial" w:hAnsi="Arial" w:cs="Arial"/>
        </w:rPr>
        <w:t>can be exceeded for annual mean PM</w:t>
      </w:r>
      <w:r w:rsidR="006C0292" w:rsidRPr="006F1D04">
        <w:rPr>
          <w:rFonts w:ascii="Arial" w:hAnsi="Arial" w:cs="Arial"/>
          <w:vertAlign w:val="subscript"/>
        </w:rPr>
        <w:t>2.5</w:t>
      </w:r>
      <w:r w:rsidR="006C0292" w:rsidRPr="006F1D04">
        <w:rPr>
          <w:rFonts w:ascii="Arial" w:hAnsi="Arial" w:cs="Arial"/>
        </w:rPr>
        <w:t xml:space="preserve"> </w:t>
      </w:r>
      <w:r w:rsidR="006C0292" w:rsidRPr="006F1D04">
        <w:rPr>
          <w:rFonts w:ascii="Arial" w:hAnsi="Arial" w:cs="Arial"/>
        </w:rPr>
        <w:lastRenderedPageBreak/>
        <w:t xml:space="preserve">concentrations far lower than 8 </w:t>
      </w:r>
      <w:proofErr w:type="spellStart"/>
      <w:r w:rsidR="006C0292" w:rsidRPr="006F1D04">
        <w:rPr>
          <w:rFonts w:ascii="Arial" w:hAnsi="Arial" w:cs="Arial"/>
        </w:rPr>
        <w:t>μg</w:t>
      </w:r>
      <w:proofErr w:type="spellEnd"/>
      <w:r w:rsidR="006C0292" w:rsidRPr="006F1D04">
        <w:rPr>
          <w:rFonts w:ascii="Arial" w:hAnsi="Arial" w:cs="Arial"/>
        </w:rPr>
        <w:t>/m</w:t>
      </w:r>
      <w:r w:rsidR="006C0292" w:rsidRPr="006F1D04">
        <w:rPr>
          <w:rFonts w:ascii="Arial" w:hAnsi="Arial" w:cs="Arial"/>
          <w:vertAlign w:val="superscript"/>
        </w:rPr>
        <w:t>3</w:t>
      </w:r>
      <w:r w:rsidR="006C0292" w:rsidRPr="006F1D04">
        <w:rPr>
          <w:rFonts w:ascii="Arial" w:hAnsi="Arial" w:cs="Arial"/>
        </w:rPr>
        <w:t>.</w:t>
      </w:r>
      <w:r w:rsidR="00C04F7C" w:rsidRPr="006F1D04">
        <w:rPr>
          <w:rFonts w:ascii="Arial" w:hAnsi="Arial" w:cs="Arial"/>
        </w:rPr>
        <w:t xml:space="preserve"> </w:t>
      </w:r>
      <w:r w:rsidR="00B3354B" w:rsidRPr="006F1D04">
        <w:rPr>
          <w:rFonts w:ascii="Arial" w:hAnsi="Arial" w:cs="Arial"/>
        </w:rPr>
        <w:t xml:space="preserve">Again, this could lead to the perception of the 24-hour standard being the more important one. </w:t>
      </w:r>
    </w:p>
    <w:p w:rsidR="00B3354B" w:rsidRPr="006F1D04" w:rsidRDefault="00B3354B" w:rsidP="00801BF2">
      <w:pPr>
        <w:spacing w:after="360"/>
        <w:rPr>
          <w:rFonts w:ascii="Arial" w:hAnsi="Arial" w:cs="Arial"/>
        </w:rPr>
      </w:pPr>
      <w:r w:rsidRPr="006F1D04">
        <w:rPr>
          <w:rFonts w:ascii="Arial" w:hAnsi="Arial" w:cs="Arial"/>
        </w:rPr>
        <w:t xml:space="preserve">It can be seen from </w:t>
      </w:r>
      <w:fldSimple w:instr=" REF _Ref372610230 \h  \* MERGEFORMAT ">
        <w:r w:rsidR="0085182E" w:rsidRPr="0085182E">
          <w:rPr>
            <w:rFonts w:ascii="Arial" w:hAnsi="Arial" w:cs="Arial"/>
            <w:b/>
          </w:rPr>
          <w:t>Figure 8.10</w:t>
        </w:r>
      </w:fldSimple>
      <w:r w:rsidRPr="006F1D04">
        <w:rPr>
          <w:rFonts w:ascii="Arial" w:hAnsi="Arial" w:cs="Arial"/>
        </w:rPr>
        <w:t xml:space="preserve">, which </w:t>
      </w:r>
      <w:r w:rsidR="00207638" w:rsidRPr="006F1D04">
        <w:rPr>
          <w:rFonts w:ascii="Arial" w:hAnsi="Arial" w:cs="Arial"/>
        </w:rPr>
        <w:t>show</w:t>
      </w:r>
      <w:r w:rsidRPr="006F1D04">
        <w:rPr>
          <w:rFonts w:ascii="Arial" w:hAnsi="Arial" w:cs="Arial"/>
        </w:rPr>
        <w:t>s the 98.6</w:t>
      </w:r>
      <w:r w:rsidRPr="006F1D04">
        <w:rPr>
          <w:rFonts w:ascii="Arial" w:hAnsi="Arial" w:cs="Arial"/>
          <w:vertAlign w:val="superscript"/>
        </w:rPr>
        <w:t>th</w:t>
      </w:r>
      <w:r w:rsidRPr="006F1D04">
        <w:rPr>
          <w:rFonts w:ascii="Arial" w:hAnsi="Arial" w:cs="Arial"/>
        </w:rPr>
        <w:t xml:space="preserve"> percentile PM</w:t>
      </w:r>
      <w:r w:rsidRPr="006F1D04">
        <w:rPr>
          <w:rFonts w:ascii="Arial" w:hAnsi="Arial" w:cs="Arial"/>
          <w:vertAlign w:val="subscript"/>
        </w:rPr>
        <w:t>2.5</w:t>
      </w:r>
      <w:r w:rsidRPr="006F1D04">
        <w:rPr>
          <w:rFonts w:ascii="Arial" w:hAnsi="Arial" w:cs="Arial"/>
        </w:rPr>
        <w:t xml:space="preserve"> concentration, rather than the maximum,</w:t>
      </w:r>
      <w:r w:rsidR="00207638" w:rsidRPr="006F1D04">
        <w:rPr>
          <w:rFonts w:ascii="Arial" w:hAnsi="Arial" w:cs="Arial"/>
        </w:rPr>
        <w:t xml:space="preserve"> that </w:t>
      </w:r>
      <w:r w:rsidRPr="006F1D04">
        <w:rPr>
          <w:rFonts w:ascii="Arial" w:hAnsi="Arial" w:cs="Arial"/>
        </w:rPr>
        <w:t xml:space="preserve">if five exceedances are allowed per year then </w:t>
      </w:r>
      <w:r w:rsidR="00207638" w:rsidRPr="006F1D04">
        <w:rPr>
          <w:rFonts w:ascii="Arial" w:hAnsi="Arial" w:cs="Arial"/>
        </w:rPr>
        <w:t xml:space="preserve">an annual mean </w:t>
      </w:r>
      <w:proofErr w:type="gramStart"/>
      <w:r w:rsidR="00207638" w:rsidRPr="006F1D04">
        <w:rPr>
          <w:rFonts w:ascii="Arial" w:hAnsi="Arial" w:cs="Arial"/>
        </w:rPr>
        <w:t xml:space="preserve">of </w:t>
      </w:r>
      <w:r w:rsidR="00C04F7C" w:rsidRPr="006F1D04">
        <w:rPr>
          <w:rFonts w:ascii="Arial" w:hAnsi="Arial" w:cs="Arial"/>
        </w:rPr>
        <w:t>8</w:t>
      </w:r>
      <w:r w:rsidR="00207638" w:rsidRPr="006F1D04">
        <w:rPr>
          <w:rFonts w:ascii="Arial" w:hAnsi="Arial" w:cs="Arial"/>
        </w:rPr>
        <w:t xml:space="preserve"> </w:t>
      </w:r>
      <w:proofErr w:type="spellStart"/>
      <w:r w:rsidR="00207638" w:rsidRPr="006F1D04">
        <w:rPr>
          <w:rFonts w:ascii="Arial" w:hAnsi="Arial" w:cs="Arial"/>
        </w:rPr>
        <w:t>μg</w:t>
      </w:r>
      <w:proofErr w:type="spellEnd"/>
      <w:r w:rsidR="00207638" w:rsidRPr="006F1D04">
        <w:rPr>
          <w:rFonts w:ascii="Arial" w:hAnsi="Arial" w:cs="Arial"/>
        </w:rPr>
        <w:t>/m</w:t>
      </w:r>
      <w:r w:rsidR="00207638" w:rsidRPr="006F1D04">
        <w:rPr>
          <w:rFonts w:ascii="Arial" w:hAnsi="Arial" w:cs="Arial"/>
          <w:vertAlign w:val="superscript"/>
        </w:rPr>
        <w:t>3</w:t>
      </w:r>
      <w:proofErr w:type="gramEnd"/>
      <w:r w:rsidRPr="006F1D04">
        <w:rPr>
          <w:rFonts w:ascii="Arial" w:hAnsi="Arial" w:cs="Arial"/>
        </w:rPr>
        <w:t xml:space="preserve"> would be</w:t>
      </w:r>
      <w:r w:rsidR="00207638" w:rsidRPr="006F1D04">
        <w:rPr>
          <w:rFonts w:ascii="Arial" w:hAnsi="Arial" w:cs="Arial"/>
        </w:rPr>
        <w:t xml:space="preserve"> equivalent to a 24-</w:t>
      </w:r>
      <w:r w:rsidR="00E54142" w:rsidRPr="006F1D04">
        <w:rPr>
          <w:rFonts w:ascii="Arial" w:hAnsi="Arial" w:cs="Arial"/>
        </w:rPr>
        <w:t xml:space="preserve">hour </w:t>
      </w:r>
      <w:r w:rsidR="00207638" w:rsidRPr="006F1D04">
        <w:rPr>
          <w:rFonts w:ascii="Arial" w:hAnsi="Arial" w:cs="Arial"/>
        </w:rPr>
        <w:t xml:space="preserve">mean of </w:t>
      </w:r>
      <w:r w:rsidRPr="006F1D04">
        <w:rPr>
          <w:rFonts w:ascii="Arial" w:hAnsi="Arial" w:cs="Arial"/>
        </w:rPr>
        <w:t>around 24.5</w:t>
      </w:r>
      <w:r w:rsidR="00207638" w:rsidRPr="006F1D04">
        <w:rPr>
          <w:rFonts w:ascii="Arial" w:hAnsi="Arial" w:cs="Arial"/>
        </w:rPr>
        <w:t xml:space="preserve"> </w:t>
      </w:r>
      <w:proofErr w:type="spellStart"/>
      <w:r w:rsidR="00207638" w:rsidRPr="006F1D04">
        <w:rPr>
          <w:rFonts w:ascii="Arial" w:hAnsi="Arial" w:cs="Arial"/>
        </w:rPr>
        <w:t>μg</w:t>
      </w:r>
      <w:proofErr w:type="spellEnd"/>
      <w:r w:rsidR="00207638" w:rsidRPr="006F1D04">
        <w:rPr>
          <w:rFonts w:ascii="Arial" w:hAnsi="Arial" w:cs="Arial"/>
        </w:rPr>
        <w:t>/m</w:t>
      </w:r>
      <w:r w:rsidRPr="006F1D04">
        <w:rPr>
          <w:rFonts w:ascii="Arial" w:hAnsi="Arial" w:cs="Arial"/>
          <w:vertAlign w:val="superscript"/>
        </w:rPr>
        <w:t>3</w:t>
      </w:r>
      <w:r w:rsidR="00207638" w:rsidRPr="006F1D04">
        <w:rPr>
          <w:rFonts w:ascii="Arial" w:hAnsi="Arial" w:cs="Arial"/>
        </w:rPr>
        <w:t>.</w:t>
      </w:r>
      <w:r w:rsidR="00801BF2" w:rsidRPr="006F1D04">
        <w:rPr>
          <w:rFonts w:ascii="Arial" w:hAnsi="Arial" w:cs="Arial"/>
        </w:rPr>
        <w:t xml:space="preserve"> </w:t>
      </w:r>
      <w:r w:rsidRPr="006F1D04">
        <w:rPr>
          <w:rFonts w:ascii="Arial" w:hAnsi="Arial" w:cs="Arial"/>
        </w:rPr>
        <w:t>In other words, with five allowed exceedances of the 24-hour PM</w:t>
      </w:r>
      <w:r w:rsidRPr="006F1D04">
        <w:rPr>
          <w:rFonts w:ascii="Arial" w:hAnsi="Arial" w:cs="Arial"/>
          <w:vertAlign w:val="subscript"/>
        </w:rPr>
        <w:t>2.5</w:t>
      </w:r>
      <w:r w:rsidRPr="006F1D04">
        <w:rPr>
          <w:rFonts w:ascii="Arial" w:hAnsi="Arial" w:cs="Arial"/>
        </w:rPr>
        <w:t xml:space="preserve"> standard per year, there would be a broad equivalence between an annual mean standard of 8 </w:t>
      </w:r>
      <w:proofErr w:type="spellStart"/>
      <w:r w:rsidRPr="006F1D04">
        <w:rPr>
          <w:rFonts w:ascii="Arial" w:hAnsi="Arial" w:cs="Arial"/>
        </w:rPr>
        <w:t>μg</w:t>
      </w:r>
      <w:proofErr w:type="spellEnd"/>
      <w:r w:rsidRPr="006F1D04">
        <w:rPr>
          <w:rFonts w:ascii="Arial" w:hAnsi="Arial" w:cs="Arial"/>
        </w:rPr>
        <w:t>/m</w:t>
      </w:r>
      <w:r w:rsidRPr="006F1D04">
        <w:rPr>
          <w:rFonts w:ascii="Arial" w:hAnsi="Arial" w:cs="Arial"/>
          <w:vertAlign w:val="superscript"/>
        </w:rPr>
        <w:t>3</w:t>
      </w:r>
      <w:r w:rsidRPr="006F1D04">
        <w:rPr>
          <w:rFonts w:ascii="Arial" w:hAnsi="Arial" w:cs="Arial"/>
        </w:rPr>
        <w:t xml:space="preserve"> and a 24-hour standard of 25 </w:t>
      </w:r>
      <w:proofErr w:type="spellStart"/>
      <w:r w:rsidRPr="006F1D04">
        <w:rPr>
          <w:rFonts w:ascii="Arial" w:hAnsi="Arial" w:cs="Arial"/>
        </w:rPr>
        <w:t>μg</w:t>
      </w:r>
      <w:proofErr w:type="spellEnd"/>
      <w:r w:rsidRPr="006F1D04">
        <w:rPr>
          <w:rFonts w:ascii="Arial" w:hAnsi="Arial" w:cs="Arial"/>
        </w:rPr>
        <w:t>/m</w:t>
      </w:r>
      <w:r w:rsidRPr="006F1D04">
        <w:rPr>
          <w:rFonts w:ascii="Arial" w:hAnsi="Arial" w:cs="Arial"/>
          <w:vertAlign w:val="superscript"/>
        </w:rPr>
        <w:t>3</w:t>
      </w:r>
      <w:r w:rsidRPr="006F1D04">
        <w:rPr>
          <w:rFonts w:ascii="Arial" w:hAnsi="Arial" w:cs="Arial"/>
        </w:rPr>
        <w:t>.</w:t>
      </w:r>
    </w:p>
    <w:p w:rsidR="00332CC1" w:rsidRPr="006F1D04" w:rsidRDefault="006D7F17" w:rsidP="00332CC1">
      <w:pPr>
        <w:autoSpaceDE w:val="0"/>
        <w:autoSpaceDN w:val="0"/>
        <w:adjustRightInd w:val="0"/>
        <w:spacing w:after="0" w:line="240" w:lineRule="auto"/>
        <w:jc w:val="center"/>
        <w:rPr>
          <w:rFonts w:ascii="Arial" w:hAnsi="Arial" w:cs="Arial"/>
          <w:color w:val="FF0000"/>
          <w:sz w:val="21"/>
          <w:szCs w:val="21"/>
          <w:lang w:eastAsia="en-US"/>
        </w:rPr>
      </w:pPr>
      <w:r w:rsidRPr="006F1D04">
        <w:rPr>
          <w:rFonts w:ascii="Arial" w:hAnsi="Arial" w:cs="Arial"/>
          <w:noProof/>
        </w:rPr>
        <w:drawing>
          <wp:inline distT="0" distB="0" distL="0" distR="0">
            <wp:extent cx="3633470" cy="2496820"/>
            <wp:effectExtent l="19050" t="19050" r="24130" b="1778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49" t="4965" r="6538" b="3366"/>
                    <a:stretch>
                      <a:fillRect/>
                    </a:stretch>
                  </pic:blipFill>
                  <pic:spPr bwMode="auto">
                    <a:xfrm>
                      <a:off x="0" y="0"/>
                      <a:ext cx="3633470" cy="2496820"/>
                    </a:xfrm>
                    <a:prstGeom prst="rect">
                      <a:avLst/>
                    </a:prstGeom>
                    <a:noFill/>
                    <a:ln w="9525" cmpd="sng">
                      <a:solidFill>
                        <a:srgbClr val="0070C0"/>
                      </a:solidFill>
                      <a:miter lim="800000"/>
                      <a:headEnd/>
                      <a:tailEnd/>
                    </a:ln>
                    <a:effectLst/>
                  </pic:spPr>
                </pic:pic>
              </a:graphicData>
            </a:graphic>
          </wp:inline>
        </w:drawing>
      </w:r>
    </w:p>
    <w:p w:rsidR="00332CC1" w:rsidRPr="006F1D04" w:rsidRDefault="00332CC1" w:rsidP="00332CC1">
      <w:pPr>
        <w:pStyle w:val="Caption"/>
        <w:rPr>
          <w:rFonts w:ascii="Arial" w:hAnsi="Arial" w:cs="Arial"/>
          <w:color w:val="FF0000"/>
          <w:lang w:eastAsia="en-US"/>
        </w:rPr>
      </w:pPr>
      <w:bookmarkStart w:id="166" w:name="_Ref367563806"/>
      <w:r w:rsidRPr="006F1D04">
        <w:rPr>
          <w:rFonts w:ascii="Arial" w:hAnsi="Arial" w:cs="Arial"/>
        </w:rPr>
        <w:t xml:space="preserve">Figure </w:t>
      </w:r>
      <w:r w:rsidR="00BF6019" w:rsidRPr="006F1D04">
        <w:rPr>
          <w:rFonts w:ascii="Arial" w:hAnsi="Arial" w:cs="Arial"/>
        </w:rPr>
        <w:fldChar w:fldCharType="begin"/>
      </w:r>
      <w:r w:rsidRPr="006F1D04">
        <w:rPr>
          <w:rFonts w:ascii="Arial" w:hAnsi="Arial" w:cs="Arial"/>
        </w:rPr>
        <w:instrText xml:space="preserve"> STYLEREF 1 \s </w:instrText>
      </w:r>
      <w:r w:rsidR="00BF6019" w:rsidRPr="006F1D04">
        <w:rPr>
          <w:rFonts w:ascii="Arial" w:hAnsi="Arial" w:cs="Arial"/>
        </w:rPr>
        <w:fldChar w:fldCharType="separate"/>
      </w:r>
      <w:r w:rsidR="0085182E">
        <w:rPr>
          <w:rFonts w:ascii="Arial" w:hAnsi="Arial" w:cs="Arial"/>
          <w:noProof/>
        </w:rPr>
        <w:t>8</w:t>
      </w:r>
      <w:r w:rsidR="00BF6019" w:rsidRPr="006F1D04">
        <w:rPr>
          <w:rFonts w:ascii="Arial" w:hAnsi="Arial" w:cs="Arial"/>
        </w:rPr>
        <w:fldChar w:fldCharType="end"/>
      </w:r>
      <w:r w:rsidRPr="006F1D04">
        <w:rPr>
          <w:rFonts w:ascii="Arial" w:hAnsi="Arial" w:cs="Arial"/>
        </w:rPr>
        <w:t>.</w:t>
      </w:r>
      <w:r w:rsidR="00BF6019" w:rsidRPr="006F1D04">
        <w:rPr>
          <w:rFonts w:ascii="Arial" w:hAnsi="Arial" w:cs="Arial"/>
        </w:rPr>
        <w:fldChar w:fldCharType="begin"/>
      </w:r>
      <w:r w:rsidRPr="006F1D04">
        <w:rPr>
          <w:rFonts w:ascii="Arial" w:hAnsi="Arial" w:cs="Arial"/>
        </w:rPr>
        <w:instrText xml:space="preserve"> SEQ Figure \* ARABIC \s 1 </w:instrText>
      </w:r>
      <w:r w:rsidR="00BF6019" w:rsidRPr="006F1D04">
        <w:rPr>
          <w:rFonts w:ascii="Arial" w:hAnsi="Arial" w:cs="Arial"/>
        </w:rPr>
        <w:fldChar w:fldCharType="separate"/>
      </w:r>
      <w:r w:rsidR="0085182E">
        <w:rPr>
          <w:rFonts w:ascii="Arial" w:hAnsi="Arial" w:cs="Arial"/>
          <w:noProof/>
        </w:rPr>
        <w:t>9</w:t>
      </w:r>
      <w:r w:rsidR="00BF6019" w:rsidRPr="006F1D04">
        <w:rPr>
          <w:rFonts w:ascii="Arial" w:hAnsi="Arial" w:cs="Arial"/>
        </w:rPr>
        <w:fldChar w:fldCharType="end"/>
      </w:r>
      <w:bookmarkEnd w:id="166"/>
      <w:r w:rsidRPr="006F1D04">
        <w:rPr>
          <w:rFonts w:ascii="Arial" w:hAnsi="Arial" w:cs="Arial"/>
        </w:rPr>
        <w:t xml:space="preserve">: </w:t>
      </w:r>
      <w:r w:rsidR="00784C6B" w:rsidRPr="006F1D04">
        <w:rPr>
          <w:rFonts w:ascii="Arial" w:hAnsi="Arial" w:cs="Arial"/>
        </w:rPr>
        <w:t xml:space="preserve">Maximum </w:t>
      </w:r>
      <w:r w:rsidRPr="006F1D04">
        <w:rPr>
          <w:rFonts w:ascii="Arial" w:hAnsi="Arial" w:cs="Arial"/>
        </w:rPr>
        <w:t>24-h mean PM</w:t>
      </w:r>
      <w:r w:rsidR="00784C6B" w:rsidRPr="006F1D04">
        <w:rPr>
          <w:rFonts w:ascii="Arial" w:hAnsi="Arial" w:cs="Arial"/>
          <w:vertAlign w:val="subscript"/>
        </w:rPr>
        <w:t>2.5</w:t>
      </w:r>
      <w:r w:rsidRPr="006F1D04">
        <w:rPr>
          <w:rFonts w:ascii="Arial" w:hAnsi="Arial" w:cs="Arial"/>
        </w:rPr>
        <w:t xml:space="preserve"> vs annual mean PM</w:t>
      </w:r>
      <w:r w:rsidR="00784C6B" w:rsidRPr="006F1D04">
        <w:rPr>
          <w:rFonts w:ascii="Arial" w:hAnsi="Arial" w:cs="Arial"/>
          <w:vertAlign w:val="subscript"/>
        </w:rPr>
        <w:t>2.5</w:t>
      </w:r>
    </w:p>
    <w:p w:rsidR="00CF10B4" w:rsidRPr="006F1D04" w:rsidRDefault="00CF10B4" w:rsidP="00713F9F">
      <w:pPr>
        <w:autoSpaceDE w:val="0"/>
        <w:autoSpaceDN w:val="0"/>
        <w:adjustRightInd w:val="0"/>
        <w:spacing w:after="0" w:line="240" w:lineRule="auto"/>
        <w:rPr>
          <w:rFonts w:ascii="Arial" w:hAnsi="Arial" w:cs="Arial"/>
          <w:color w:val="FF0000"/>
          <w:sz w:val="24"/>
          <w:szCs w:val="24"/>
          <w:lang w:eastAsia="en-US"/>
        </w:rPr>
      </w:pPr>
    </w:p>
    <w:p w:rsidR="00CF10B4" w:rsidRPr="006F1D04" w:rsidRDefault="006D7F17" w:rsidP="00CF10B4">
      <w:pPr>
        <w:autoSpaceDE w:val="0"/>
        <w:autoSpaceDN w:val="0"/>
        <w:adjustRightInd w:val="0"/>
        <w:spacing w:after="0" w:line="240" w:lineRule="auto"/>
        <w:jc w:val="center"/>
        <w:rPr>
          <w:rFonts w:ascii="Arial" w:hAnsi="Arial" w:cs="Arial"/>
          <w:color w:val="FF0000"/>
          <w:sz w:val="21"/>
          <w:szCs w:val="21"/>
          <w:lang w:eastAsia="en-US"/>
        </w:rPr>
      </w:pPr>
      <w:r w:rsidRPr="006F1D04">
        <w:rPr>
          <w:rFonts w:ascii="Arial" w:hAnsi="Arial" w:cs="Arial"/>
          <w:noProof/>
        </w:rPr>
        <w:drawing>
          <wp:inline distT="0" distB="0" distL="0" distR="0">
            <wp:extent cx="3641725" cy="2512695"/>
            <wp:effectExtent l="19050" t="19050" r="15875" b="20955"/>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1725" cy="2512695"/>
                    </a:xfrm>
                    <a:prstGeom prst="rect">
                      <a:avLst/>
                    </a:prstGeom>
                    <a:noFill/>
                    <a:ln w="6350" cmpd="sng">
                      <a:solidFill>
                        <a:srgbClr val="0070C0"/>
                      </a:solidFill>
                      <a:miter lim="800000"/>
                      <a:headEnd/>
                      <a:tailEnd/>
                    </a:ln>
                    <a:effectLst/>
                  </pic:spPr>
                </pic:pic>
              </a:graphicData>
            </a:graphic>
          </wp:inline>
        </w:drawing>
      </w:r>
    </w:p>
    <w:p w:rsidR="00CF10B4" w:rsidRPr="006F1D04" w:rsidRDefault="00CF10B4" w:rsidP="00CF10B4">
      <w:pPr>
        <w:pStyle w:val="Caption"/>
        <w:rPr>
          <w:rFonts w:ascii="Arial" w:hAnsi="Arial" w:cs="Arial"/>
          <w:color w:val="FF0000"/>
          <w:lang w:eastAsia="en-US"/>
        </w:rPr>
      </w:pPr>
      <w:bookmarkStart w:id="167" w:name="_Ref372610230"/>
      <w:r w:rsidRPr="006F1D04">
        <w:rPr>
          <w:rFonts w:ascii="Arial" w:hAnsi="Arial" w:cs="Arial"/>
        </w:rPr>
        <w:t xml:space="preserve">Figure </w:t>
      </w:r>
      <w:r w:rsidR="00BF6019" w:rsidRPr="006F1D04">
        <w:rPr>
          <w:rFonts w:ascii="Arial" w:hAnsi="Arial" w:cs="Arial"/>
        </w:rPr>
        <w:fldChar w:fldCharType="begin"/>
      </w:r>
      <w:r w:rsidRPr="006F1D04">
        <w:rPr>
          <w:rFonts w:ascii="Arial" w:hAnsi="Arial" w:cs="Arial"/>
        </w:rPr>
        <w:instrText xml:space="preserve"> STYLEREF 1 \s </w:instrText>
      </w:r>
      <w:r w:rsidR="00BF6019" w:rsidRPr="006F1D04">
        <w:rPr>
          <w:rFonts w:ascii="Arial" w:hAnsi="Arial" w:cs="Arial"/>
        </w:rPr>
        <w:fldChar w:fldCharType="separate"/>
      </w:r>
      <w:r w:rsidR="0085182E">
        <w:rPr>
          <w:rFonts w:ascii="Arial" w:hAnsi="Arial" w:cs="Arial"/>
          <w:noProof/>
        </w:rPr>
        <w:t>8</w:t>
      </w:r>
      <w:r w:rsidR="00BF6019" w:rsidRPr="006F1D04">
        <w:rPr>
          <w:rFonts w:ascii="Arial" w:hAnsi="Arial" w:cs="Arial"/>
        </w:rPr>
        <w:fldChar w:fldCharType="end"/>
      </w:r>
      <w:r w:rsidRPr="006F1D04">
        <w:rPr>
          <w:rFonts w:ascii="Arial" w:hAnsi="Arial" w:cs="Arial"/>
        </w:rPr>
        <w:t>.</w:t>
      </w:r>
      <w:r w:rsidR="00BF6019" w:rsidRPr="006F1D04">
        <w:rPr>
          <w:rFonts w:ascii="Arial" w:hAnsi="Arial" w:cs="Arial"/>
        </w:rPr>
        <w:fldChar w:fldCharType="begin"/>
      </w:r>
      <w:r w:rsidRPr="006F1D04">
        <w:rPr>
          <w:rFonts w:ascii="Arial" w:hAnsi="Arial" w:cs="Arial"/>
        </w:rPr>
        <w:instrText xml:space="preserve"> SEQ Figure \* ARABIC \s 1 </w:instrText>
      </w:r>
      <w:r w:rsidR="00BF6019" w:rsidRPr="006F1D04">
        <w:rPr>
          <w:rFonts w:ascii="Arial" w:hAnsi="Arial" w:cs="Arial"/>
        </w:rPr>
        <w:fldChar w:fldCharType="separate"/>
      </w:r>
      <w:r w:rsidR="0085182E">
        <w:rPr>
          <w:rFonts w:ascii="Arial" w:hAnsi="Arial" w:cs="Arial"/>
          <w:noProof/>
        </w:rPr>
        <w:t>10</w:t>
      </w:r>
      <w:r w:rsidR="00BF6019" w:rsidRPr="006F1D04">
        <w:rPr>
          <w:rFonts w:ascii="Arial" w:hAnsi="Arial" w:cs="Arial"/>
        </w:rPr>
        <w:fldChar w:fldCharType="end"/>
      </w:r>
      <w:bookmarkEnd w:id="167"/>
      <w:r w:rsidRPr="006F1D04">
        <w:rPr>
          <w:rFonts w:ascii="Arial" w:hAnsi="Arial" w:cs="Arial"/>
        </w:rPr>
        <w:t>: 98.6</w:t>
      </w:r>
      <w:r w:rsidRPr="006F1D04">
        <w:rPr>
          <w:rFonts w:ascii="Arial" w:hAnsi="Arial" w:cs="Arial"/>
          <w:vertAlign w:val="superscript"/>
        </w:rPr>
        <w:t>th</w:t>
      </w:r>
      <w:r w:rsidRPr="006F1D04">
        <w:rPr>
          <w:rFonts w:ascii="Arial" w:hAnsi="Arial" w:cs="Arial"/>
        </w:rPr>
        <w:t xml:space="preserve"> percentile 24-h mean PM</w:t>
      </w:r>
      <w:r w:rsidRPr="006F1D04">
        <w:rPr>
          <w:rFonts w:ascii="Arial" w:hAnsi="Arial" w:cs="Arial"/>
          <w:vertAlign w:val="subscript"/>
        </w:rPr>
        <w:t>2.5</w:t>
      </w:r>
      <w:r w:rsidRPr="006F1D04">
        <w:rPr>
          <w:rFonts w:ascii="Arial" w:hAnsi="Arial" w:cs="Arial"/>
        </w:rPr>
        <w:t xml:space="preserve"> vs annual mean PM</w:t>
      </w:r>
      <w:r w:rsidRPr="006F1D04">
        <w:rPr>
          <w:rFonts w:ascii="Arial" w:hAnsi="Arial" w:cs="Arial"/>
          <w:vertAlign w:val="subscript"/>
        </w:rPr>
        <w:t>2.5</w:t>
      </w:r>
    </w:p>
    <w:p w:rsidR="00713F9F" w:rsidRPr="006F1D04" w:rsidRDefault="00331FCA" w:rsidP="00CE3683">
      <w:pPr>
        <w:pStyle w:val="Heading2"/>
        <w:spacing w:before="300"/>
        <w:rPr>
          <w:rFonts w:ascii="Arial" w:hAnsi="Arial"/>
        </w:rPr>
      </w:pPr>
      <w:bookmarkStart w:id="168" w:name="_Ref369069349"/>
      <w:r w:rsidRPr="006F1D04">
        <w:rPr>
          <w:rFonts w:ascii="Arial" w:hAnsi="Arial"/>
        </w:rPr>
        <w:br w:type="page"/>
      </w:r>
      <w:bookmarkStart w:id="169" w:name="_Toc394011145"/>
      <w:r w:rsidR="00713F9F" w:rsidRPr="006F1D04">
        <w:rPr>
          <w:rFonts w:ascii="Arial" w:hAnsi="Arial"/>
        </w:rPr>
        <w:lastRenderedPageBreak/>
        <w:t>HRA project</w:t>
      </w:r>
      <w:bookmarkEnd w:id="168"/>
      <w:bookmarkEnd w:id="169"/>
    </w:p>
    <w:p w:rsidR="00713F9F" w:rsidRPr="006F1D04" w:rsidRDefault="00713F9F" w:rsidP="00A66E7B">
      <w:pPr>
        <w:pStyle w:val="Heading3"/>
        <w:spacing w:after="200"/>
        <w:rPr>
          <w:rFonts w:ascii="Arial" w:hAnsi="Arial"/>
        </w:rPr>
      </w:pPr>
      <w:bookmarkStart w:id="170" w:name="_Toc394011146"/>
      <w:r w:rsidRPr="006F1D04">
        <w:rPr>
          <w:rFonts w:ascii="Arial" w:hAnsi="Arial"/>
        </w:rPr>
        <w:t>Approach</w:t>
      </w:r>
      <w:bookmarkEnd w:id="170"/>
    </w:p>
    <w:p w:rsidR="008070C3" w:rsidRPr="006F1D04" w:rsidRDefault="0064254D" w:rsidP="001C34C3">
      <w:pPr>
        <w:rPr>
          <w:rFonts w:ascii="Arial" w:hAnsi="Arial" w:cs="Arial"/>
        </w:rPr>
      </w:pPr>
      <w:r w:rsidRPr="006F1D04">
        <w:rPr>
          <w:rFonts w:ascii="Arial" w:hAnsi="Arial" w:cs="Arial"/>
        </w:rPr>
        <w:t xml:space="preserve">The HRA </w:t>
      </w:r>
      <w:r w:rsidR="006F2547" w:rsidRPr="006F1D04">
        <w:rPr>
          <w:rFonts w:ascii="Arial" w:hAnsi="Arial" w:cs="Arial"/>
        </w:rPr>
        <w:t xml:space="preserve">project estimated the </w:t>
      </w:r>
      <w:r w:rsidRPr="006F1D04">
        <w:rPr>
          <w:rFonts w:ascii="Arial" w:hAnsi="Arial" w:cs="Arial"/>
        </w:rPr>
        <w:t>burden</w:t>
      </w:r>
      <w:r w:rsidR="006F2547" w:rsidRPr="006F1D04">
        <w:rPr>
          <w:rFonts w:ascii="Arial" w:hAnsi="Arial" w:cs="Arial"/>
        </w:rPr>
        <w:t xml:space="preserve"> of </w:t>
      </w:r>
      <w:r w:rsidR="008224B6" w:rsidRPr="006F1D04">
        <w:rPr>
          <w:rFonts w:ascii="Arial" w:hAnsi="Arial" w:cs="Arial"/>
        </w:rPr>
        <w:t xml:space="preserve">exposure to air pollution </w:t>
      </w:r>
      <w:r w:rsidRPr="006F1D04">
        <w:rPr>
          <w:rFonts w:ascii="Arial" w:hAnsi="Arial" w:cs="Arial"/>
        </w:rPr>
        <w:t>(including PM</w:t>
      </w:r>
      <w:r w:rsidRPr="006F1D04">
        <w:rPr>
          <w:rFonts w:ascii="Arial" w:hAnsi="Arial" w:cs="Arial"/>
          <w:vertAlign w:val="subscript"/>
        </w:rPr>
        <w:t>10</w:t>
      </w:r>
      <w:r w:rsidRPr="006F1D04">
        <w:rPr>
          <w:rFonts w:ascii="Arial" w:hAnsi="Arial" w:cs="Arial"/>
        </w:rPr>
        <w:t xml:space="preserve"> and PM</w:t>
      </w:r>
      <w:r w:rsidRPr="006F1D04">
        <w:rPr>
          <w:rFonts w:ascii="Arial" w:hAnsi="Arial" w:cs="Arial"/>
          <w:vertAlign w:val="subscript"/>
        </w:rPr>
        <w:t>2.5</w:t>
      </w:r>
      <w:r w:rsidRPr="006F1D04">
        <w:rPr>
          <w:rFonts w:ascii="Arial" w:hAnsi="Arial" w:cs="Arial"/>
        </w:rPr>
        <w:t xml:space="preserve">) </w:t>
      </w:r>
      <w:r w:rsidR="008224B6" w:rsidRPr="006F1D04">
        <w:rPr>
          <w:rFonts w:ascii="Arial" w:hAnsi="Arial" w:cs="Arial"/>
        </w:rPr>
        <w:t xml:space="preserve">on health in Australia, expressed as the annual percentage and number of </w:t>
      </w:r>
      <w:r w:rsidRPr="006F1D04">
        <w:rPr>
          <w:rFonts w:ascii="Arial" w:hAnsi="Arial" w:cs="Arial"/>
        </w:rPr>
        <w:t>‘</w:t>
      </w:r>
      <w:r w:rsidR="008224B6" w:rsidRPr="006F1D04">
        <w:rPr>
          <w:rFonts w:ascii="Arial" w:hAnsi="Arial" w:cs="Arial"/>
        </w:rPr>
        <w:t>attributable</w:t>
      </w:r>
      <w:r w:rsidRPr="006F1D04">
        <w:rPr>
          <w:rFonts w:ascii="Arial" w:hAnsi="Arial" w:cs="Arial"/>
        </w:rPr>
        <w:t>’</w:t>
      </w:r>
      <w:r w:rsidR="008224B6" w:rsidRPr="006F1D04">
        <w:rPr>
          <w:rFonts w:ascii="Arial" w:hAnsi="Arial" w:cs="Arial"/>
        </w:rPr>
        <w:t xml:space="preserve"> (or additional) deaths and hospitalisations</w:t>
      </w:r>
      <w:r w:rsidR="006F2547" w:rsidRPr="006F1D04">
        <w:rPr>
          <w:rFonts w:ascii="Arial" w:hAnsi="Arial" w:cs="Arial"/>
        </w:rPr>
        <w:t xml:space="preserve"> </w:t>
      </w:r>
      <w:r w:rsidR="00F767DE" w:rsidRPr="006F1D04">
        <w:rPr>
          <w:rFonts w:ascii="Arial" w:hAnsi="Arial" w:cs="Arial"/>
          <w:b/>
        </w:rPr>
        <w:t>(</w:t>
      </w:r>
      <w:proofErr w:type="spellStart"/>
      <w:r w:rsidR="00F767DE" w:rsidRPr="006F1D04">
        <w:rPr>
          <w:rFonts w:ascii="Arial" w:hAnsi="Arial" w:cs="Arial"/>
          <w:b/>
        </w:rPr>
        <w:t>Frangos</w:t>
      </w:r>
      <w:proofErr w:type="spellEnd"/>
      <w:r w:rsidR="00F767DE" w:rsidRPr="006F1D04">
        <w:rPr>
          <w:rFonts w:ascii="Arial" w:hAnsi="Arial" w:cs="Arial"/>
          <w:b/>
        </w:rPr>
        <w:t xml:space="preserve"> </w:t>
      </w:r>
      <w:r w:rsidR="000A0C84" w:rsidRPr="006F1D04">
        <w:rPr>
          <w:rFonts w:ascii="Arial" w:hAnsi="Arial" w:cs="Arial"/>
          <w:b/>
        </w:rPr>
        <w:t xml:space="preserve">&amp; </w:t>
      </w:r>
      <w:proofErr w:type="spellStart"/>
      <w:r w:rsidR="00F767DE" w:rsidRPr="006F1D04">
        <w:rPr>
          <w:rFonts w:ascii="Arial" w:hAnsi="Arial" w:cs="Arial"/>
          <w:b/>
        </w:rPr>
        <w:t>DiMarco</w:t>
      </w:r>
      <w:proofErr w:type="spellEnd"/>
      <w:r w:rsidR="00F767DE" w:rsidRPr="006F1D04">
        <w:rPr>
          <w:rFonts w:ascii="Arial" w:hAnsi="Arial" w:cs="Arial"/>
          <w:b/>
        </w:rPr>
        <w:t xml:space="preserve"> 2013</w:t>
      </w:r>
      <w:r w:rsidR="006F2547" w:rsidRPr="006F1D04">
        <w:rPr>
          <w:rFonts w:ascii="Arial" w:hAnsi="Arial" w:cs="Arial"/>
          <w:b/>
        </w:rPr>
        <w:t>)</w:t>
      </w:r>
      <w:r w:rsidR="008224B6" w:rsidRPr="006F1D04">
        <w:rPr>
          <w:rFonts w:ascii="Arial" w:hAnsi="Arial" w:cs="Arial"/>
        </w:rPr>
        <w:t>. The</w:t>
      </w:r>
      <w:r w:rsidR="001C34C3" w:rsidRPr="006F1D04">
        <w:rPr>
          <w:rFonts w:ascii="Arial" w:hAnsi="Arial" w:cs="Arial"/>
        </w:rPr>
        <w:t xml:space="preserve"> HRA also addressed the impact</w:t>
      </w:r>
      <w:r w:rsidR="008224B6" w:rsidRPr="006F1D04">
        <w:rPr>
          <w:rFonts w:ascii="Arial" w:hAnsi="Arial" w:cs="Arial"/>
        </w:rPr>
        <w:t xml:space="preserve"> on </w:t>
      </w:r>
      <w:proofErr w:type="gramStart"/>
      <w:r w:rsidR="008224B6" w:rsidRPr="006F1D04">
        <w:rPr>
          <w:rFonts w:ascii="Arial" w:hAnsi="Arial" w:cs="Arial"/>
        </w:rPr>
        <w:t>attributable</w:t>
      </w:r>
      <w:proofErr w:type="gramEnd"/>
      <w:r w:rsidR="008224B6" w:rsidRPr="006F1D04">
        <w:rPr>
          <w:rFonts w:ascii="Arial" w:hAnsi="Arial" w:cs="Arial"/>
        </w:rPr>
        <w:t xml:space="preserve"> mortality and hospitalisation of </w:t>
      </w:r>
      <w:r w:rsidR="0029278F" w:rsidRPr="006F1D04">
        <w:rPr>
          <w:rFonts w:ascii="Arial" w:hAnsi="Arial" w:cs="Arial"/>
        </w:rPr>
        <w:t>each sub-o</w:t>
      </w:r>
      <w:r w:rsidR="008224B6" w:rsidRPr="006F1D04">
        <w:rPr>
          <w:rFonts w:ascii="Arial" w:hAnsi="Arial" w:cs="Arial"/>
        </w:rPr>
        <w:t>ption</w:t>
      </w:r>
      <w:r w:rsidR="006F2547" w:rsidRPr="006F1D04">
        <w:rPr>
          <w:rFonts w:ascii="Arial" w:hAnsi="Arial" w:cs="Arial"/>
        </w:rPr>
        <w:t xml:space="preserve"> in </w:t>
      </w:r>
      <w:fldSimple w:instr=" REF _Ref367190981 \h  \* MERGEFORMAT ">
        <w:r w:rsidR="0085182E" w:rsidRPr="0085182E">
          <w:rPr>
            <w:rFonts w:ascii="Arial" w:hAnsi="Arial" w:cs="Arial"/>
            <w:b/>
          </w:rPr>
          <w:t>Table 7.1</w:t>
        </w:r>
      </w:fldSimple>
      <w:r w:rsidR="00097BCF" w:rsidRPr="006F1D04">
        <w:rPr>
          <w:rFonts w:ascii="Arial" w:hAnsi="Arial" w:cs="Arial"/>
        </w:rPr>
        <w:t xml:space="preserve">. A </w:t>
      </w:r>
      <w:r w:rsidR="00515E2D" w:rsidRPr="006F1D04">
        <w:rPr>
          <w:rFonts w:ascii="Arial" w:hAnsi="Arial" w:cs="Arial"/>
        </w:rPr>
        <w:t>synopsis</w:t>
      </w:r>
      <w:r w:rsidR="008224B6" w:rsidRPr="006F1D04">
        <w:rPr>
          <w:rFonts w:ascii="Arial" w:hAnsi="Arial" w:cs="Arial"/>
        </w:rPr>
        <w:t xml:space="preserve"> of the HRA work was provided </w:t>
      </w:r>
      <w:r w:rsidR="00515E2D" w:rsidRPr="006F1D04">
        <w:rPr>
          <w:rFonts w:ascii="Arial" w:hAnsi="Arial" w:cs="Arial"/>
        </w:rPr>
        <w:t>in the Summary for Policy Makers</w:t>
      </w:r>
      <w:r w:rsidR="00224A08" w:rsidRPr="006F1D04">
        <w:rPr>
          <w:rFonts w:ascii="Arial" w:hAnsi="Arial" w:cs="Arial"/>
        </w:rPr>
        <w:t xml:space="preserve"> </w:t>
      </w:r>
      <w:r w:rsidR="008224B6" w:rsidRPr="006F1D04">
        <w:rPr>
          <w:rFonts w:ascii="Arial" w:hAnsi="Arial" w:cs="Arial"/>
        </w:rPr>
        <w:t xml:space="preserve">by </w:t>
      </w:r>
      <w:r w:rsidR="008224B6" w:rsidRPr="006F1D04">
        <w:rPr>
          <w:rFonts w:ascii="Arial" w:hAnsi="Arial" w:cs="Arial"/>
          <w:b/>
        </w:rPr>
        <w:t xml:space="preserve">Morgan </w:t>
      </w:r>
      <w:r w:rsidR="009334F4" w:rsidRPr="006F1D04">
        <w:rPr>
          <w:rFonts w:ascii="Arial" w:hAnsi="Arial" w:cs="Arial"/>
          <w:b/>
        </w:rPr>
        <w:t>et al.</w:t>
      </w:r>
      <w:r w:rsidR="008224B6" w:rsidRPr="006F1D04">
        <w:rPr>
          <w:rFonts w:ascii="Arial" w:hAnsi="Arial" w:cs="Arial"/>
          <w:b/>
        </w:rPr>
        <w:t xml:space="preserve"> (2013)</w:t>
      </w:r>
      <w:r w:rsidRPr="006F1D04">
        <w:rPr>
          <w:rFonts w:ascii="Arial" w:hAnsi="Arial" w:cs="Arial"/>
        </w:rPr>
        <w:t>, and t</w:t>
      </w:r>
      <w:r w:rsidR="008224B6" w:rsidRPr="006F1D04">
        <w:rPr>
          <w:rFonts w:ascii="Arial" w:hAnsi="Arial" w:cs="Arial"/>
        </w:rPr>
        <w:t>he descripti</w:t>
      </w:r>
      <w:r w:rsidRPr="006F1D04">
        <w:rPr>
          <w:rFonts w:ascii="Arial" w:hAnsi="Arial" w:cs="Arial"/>
        </w:rPr>
        <w:t>on presented here dr</w:t>
      </w:r>
      <w:r w:rsidR="00CB6A70" w:rsidRPr="006F1D04">
        <w:rPr>
          <w:rFonts w:ascii="Arial" w:hAnsi="Arial" w:cs="Arial"/>
        </w:rPr>
        <w:t xml:space="preserve">aws </w:t>
      </w:r>
      <w:r w:rsidR="006F2547" w:rsidRPr="006F1D04">
        <w:rPr>
          <w:rFonts w:ascii="Arial" w:hAnsi="Arial" w:cs="Arial"/>
        </w:rPr>
        <w:t xml:space="preserve">mainly from </w:t>
      </w:r>
      <w:r w:rsidRPr="006F1D04">
        <w:rPr>
          <w:rFonts w:ascii="Arial" w:hAnsi="Arial" w:cs="Arial"/>
        </w:rPr>
        <w:t>that summary</w:t>
      </w:r>
      <w:r w:rsidR="008070C3" w:rsidRPr="006F1D04">
        <w:rPr>
          <w:rFonts w:ascii="Arial" w:hAnsi="Arial" w:cs="Arial"/>
        </w:rPr>
        <w:t>. Further details c</w:t>
      </w:r>
      <w:r w:rsidR="00515E2D" w:rsidRPr="006F1D04">
        <w:rPr>
          <w:rFonts w:ascii="Arial" w:hAnsi="Arial" w:cs="Arial"/>
        </w:rPr>
        <w:t>an be obtained from the Summary</w:t>
      </w:r>
      <w:r w:rsidR="004312E0" w:rsidRPr="006F1D04">
        <w:rPr>
          <w:rFonts w:ascii="Arial" w:hAnsi="Arial" w:cs="Arial"/>
        </w:rPr>
        <w:t xml:space="preserve"> for Policy Makers</w:t>
      </w:r>
      <w:r w:rsidR="008070C3" w:rsidRPr="006F1D04">
        <w:rPr>
          <w:rFonts w:ascii="Arial" w:hAnsi="Arial" w:cs="Arial"/>
        </w:rPr>
        <w:t>.</w:t>
      </w:r>
    </w:p>
    <w:p w:rsidR="00752569" w:rsidRPr="006F1D04" w:rsidRDefault="00752569" w:rsidP="00331FCA">
      <w:pPr>
        <w:spacing w:after="180"/>
        <w:rPr>
          <w:rFonts w:ascii="Arial" w:hAnsi="Arial" w:cs="Arial"/>
        </w:rPr>
      </w:pPr>
      <w:r w:rsidRPr="006F1D04">
        <w:rPr>
          <w:rFonts w:ascii="Arial" w:hAnsi="Arial" w:cs="Arial"/>
        </w:rPr>
        <w:t xml:space="preserve">The HRA project addressed the </w:t>
      </w:r>
      <w:r w:rsidR="00E37449" w:rsidRPr="006F1D04">
        <w:rPr>
          <w:rFonts w:ascii="Arial" w:hAnsi="Arial" w:cs="Arial"/>
        </w:rPr>
        <w:t xml:space="preserve">exposure to PM during the </w:t>
      </w:r>
      <w:r w:rsidRPr="006F1D04">
        <w:rPr>
          <w:rFonts w:ascii="Arial" w:hAnsi="Arial" w:cs="Arial"/>
        </w:rPr>
        <w:t>period 2006</w:t>
      </w:r>
      <w:r w:rsidR="000A0C84" w:rsidRPr="006F1D04">
        <w:rPr>
          <w:rFonts w:ascii="Arial" w:hAnsi="Arial" w:cs="Arial"/>
        </w:rPr>
        <w:t>–</w:t>
      </w:r>
      <w:r w:rsidRPr="006F1D04">
        <w:rPr>
          <w:rFonts w:ascii="Arial" w:hAnsi="Arial" w:cs="Arial"/>
        </w:rPr>
        <w:t xml:space="preserve">2010 and the effects of the air quality standard options in relation to this current exposure. The key elements of the HRA were the following: </w:t>
      </w:r>
    </w:p>
    <w:p w:rsidR="00713F9F" w:rsidRPr="006F1D04" w:rsidRDefault="00DD7753" w:rsidP="00331FCA">
      <w:pPr>
        <w:pStyle w:val="BulletArrows"/>
        <w:spacing w:after="180"/>
        <w:rPr>
          <w:rFonts w:ascii="Arial" w:hAnsi="Arial"/>
          <w:color w:val="auto"/>
        </w:rPr>
      </w:pPr>
      <w:r w:rsidRPr="006F1D04">
        <w:rPr>
          <w:rFonts w:ascii="Arial" w:hAnsi="Arial"/>
          <w:b/>
        </w:rPr>
        <w:t>H</w:t>
      </w:r>
      <w:r w:rsidR="00713F9F" w:rsidRPr="006F1D04">
        <w:rPr>
          <w:rFonts w:ascii="Arial" w:hAnsi="Arial"/>
          <w:b/>
        </w:rPr>
        <w:t>azard assessment</w:t>
      </w:r>
      <w:r w:rsidR="00713F9F" w:rsidRPr="006F1D04">
        <w:rPr>
          <w:rFonts w:ascii="Arial" w:hAnsi="Arial"/>
        </w:rPr>
        <w:t xml:space="preserve"> which involved a review of the literature on the health effects of air pollution. One of the main pieces of epidemiological information is the change in the health outcome (</w:t>
      </w:r>
      <w:r w:rsidR="009334F4" w:rsidRPr="006F1D04">
        <w:rPr>
          <w:rFonts w:ascii="Arial" w:hAnsi="Arial"/>
        </w:rPr>
        <w:t>e.g.</w:t>
      </w:r>
      <w:r w:rsidR="00713F9F" w:rsidRPr="006F1D04">
        <w:rPr>
          <w:rFonts w:ascii="Arial" w:hAnsi="Arial"/>
        </w:rPr>
        <w:t xml:space="preserve"> mortality or hospitalisation) relating to a change in air pollution exposure, known as a concentration</w:t>
      </w:r>
      <w:r w:rsidR="000A0C84" w:rsidRPr="006F1D04">
        <w:rPr>
          <w:rFonts w:ascii="Arial" w:hAnsi="Arial"/>
        </w:rPr>
        <w:t xml:space="preserve"> </w:t>
      </w:r>
      <w:r w:rsidR="00713F9F" w:rsidRPr="006F1D04">
        <w:rPr>
          <w:rFonts w:ascii="Arial" w:hAnsi="Arial"/>
        </w:rPr>
        <w:t>response function (CRF). An expert review of epidemiology studies identified the CRFs for mortality and hospitalisation to be applied in the</w:t>
      </w:r>
      <w:r w:rsidR="00713F9F" w:rsidRPr="006F1D04">
        <w:rPr>
          <w:rFonts w:ascii="Arial" w:hAnsi="Arial"/>
          <w:color w:val="auto"/>
        </w:rPr>
        <w:t xml:space="preserve"> HRA </w:t>
      </w:r>
      <w:r w:rsidR="00713F9F" w:rsidRPr="006F1D04">
        <w:rPr>
          <w:rFonts w:ascii="Arial" w:hAnsi="Arial"/>
          <w:b/>
          <w:color w:val="auto"/>
        </w:rPr>
        <w:t>(</w:t>
      </w:r>
      <w:proofErr w:type="spellStart"/>
      <w:r w:rsidR="00713F9F" w:rsidRPr="006F1D04">
        <w:rPr>
          <w:rFonts w:ascii="Arial" w:hAnsi="Arial"/>
          <w:b/>
          <w:color w:val="auto"/>
        </w:rPr>
        <w:t>Jalaludin</w:t>
      </w:r>
      <w:proofErr w:type="spellEnd"/>
      <w:r w:rsidR="00713F9F" w:rsidRPr="006F1D04">
        <w:rPr>
          <w:rFonts w:ascii="Arial" w:hAnsi="Arial"/>
          <w:b/>
          <w:color w:val="auto"/>
        </w:rPr>
        <w:t xml:space="preserve"> </w:t>
      </w:r>
      <w:r w:rsidR="000A0C84" w:rsidRPr="006F1D04">
        <w:rPr>
          <w:rFonts w:ascii="Arial" w:hAnsi="Arial"/>
          <w:b/>
          <w:color w:val="auto"/>
        </w:rPr>
        <w:t xml:space="preserve">&amp; </w:t>
      </w:r>
      <w:proofErr w:type="spellStart"/>
      <w:r w:rsidR="00713F9F" w:rsidRPr="006F1D04">
        <w:rPr>
          <w:rFonts w:ascii="Arial" w:hAnsi="Arial"/>
          <w:b/>
          <w:color w:val="auto"/>
        </w:rPr>
        <w:t>Cowie</w:t>
      </w:r>
      <w:proofErr w:type="spellEnd"/>
      <w:r w:rsidR="00713F9F" w:rsidRPr="006F1D04">
        <w:rPr>
          <w:rFonts w:ascii="Arial" w:hAnsi="Arial"/>
          <w:b/>
          <w:color w:val="auto"/>
        </w:rPr>
        <w:t xml:space="preserve"> 2012)</w:t>
      </w:r>
      <w:r w:rsidR="00713F9F" w:rsidRPr="006F1D04">
        <w:rPr>
          <w:rFonts w:ascii="Arial" w:hAnsi="Arial"/>
          <w:color w:val="auto"/>
        </w:rPr>
        <w:t>.</w:t>
      </w:r>
      <w:r w:rsidR="004B4989" w:rsidRPr="006F1D04">
        <w:rPr>
          <w:rFonts w:ascii="Arial" w:hAnsi="Arial"/>
          <w:color w:val="auto"/>
        </w:rPr>
        <w:t xml:space="preserve"> </w:t>
      </w:r>
    </w:p>
    <w:p w:rsidR="00E92B3C" w:rsidRPr="006F1D04" w:rsidRDefault="00DD7753" w:rsidP="00331FCA">
      <w:pPr>
        <w:pStyle w:val="BulletArrows"/>
        <w:spacing w:after="180"/>
        <w:rPr>
          <w:rFonts w:ascii="Arial" w:hAnsi="Arial"/>
        </w:rPr>
      </w:pPr>
      <w:r w:rsidRPr="006F1D04">
        <w:rPr>
          <w:rFonts w:ascii="Arial" w:hAnsi="Arial"/>
          <w:b/>
        </w:rPr>
        <w:t>E</w:t>
      </w:r>
      <w:r w:rsidR="00E92B3C" w:rsidRPr="006F1D04">
        <w:rPr>
          <w:rFonts w:ascii="Arial" w:hAnsi="Arial"/>
          <w:b/>
        </w:rPr>
        <w:t>xposure assessment</w:t>
      </w:r>
      <w:r w:rsidR="00E92B3C" w:rsidRPr="006F1D04">
        <w:rPr>
          <w:rFonts w:ascii="Arial" w:hAnsi="Arial"/>
        </w:rPr>
        <w:t xml:space="preserve">. All estimates of attributable mortality and hospitalisation due to baseline (actual current) exposures and exposures for each </w:t>
      </w:r>
      <w:r w:rsidR="00810588" w:rsidRPr="006F1D04">
        <w:rPr>
          <w:rFonts w:ascii="Arial" w:hAnsi="Arial"/>
        </w:rPr>
        <w:t xml:space="preserve">air quality standard </w:t>
      </w:r>
      <w:r w:rsidR="00E92B3C" w:rsidRPr="006F1D04">
        <w:rPr>
          <w:rFonts w:ascii="Arial" w:hAnsi="Arial"/>
        </w:rPr>
        <w:t xml:space="preserve">sub-option were calculated for PM concentrations above national background levels (7.5 </w:t>
      </w:r>
      <w:proofErr w:type="spellStart"/>
      <w:r w:rsidR="00E92B3C" w:rsidRPr="006F1D04">
        <w:rPr>
          <w:rFonts w:ascii="Arial" w:hAnsi="Arial"/>
        </w:rPr>
        <w:t>μg</w:t>
      </w:r>
      <w:proofErr w:type="spellEnd"/>
      <w:r w:rsidR="00E92B3C" w:rsidRPr="006F1D04">
        <w:rPr>
          <w:rFonts w:ascii="Arial" w:hAnsi="Arial"/>
        </w:rPr>
        <w:t>/m</w:t>
      </w:r>
      <w:r w:rsidR="00E92B3C" w:rsidRPr="006F1D04">
        <w:rPr>
          <w:rFonts w:ascii="Arial" w:hAnsi="Arial"/>
          <w:vertAlign w:val="superscript"/>
        </w:rPr>
        <w:t>3</w:t>
      </w:r>
      <w:r w:rsidR="00E92B3C" w:rsidRPr="006F1D04">
        <w:rPr>
          <w:rFonts w:ascii="Arial" w:hAnsi="Arial"/>
        </w:rPr>
        <w:t xml:space="preserve"> and 2.7 </w:t>
      </w:r>
      <w:proofErr w:type="spellStart"/>
      <w:r w:rsidR="00E92B3C" w:rsidRPr="006F1D04">
        <w:rPr>
          <w:rFonts w:ascii="Arial" w:hAnsi="Arial"/>
        </w:rPr>
        <w:t>μg</w:t>
      </w:r>
      <w:proofErr w:type="spellEnd"/>
      <w:r w:rsidR="00E92B3C" w:rsidRPr="006F1D04">
        <w:rPr>
          <w:rFonts w:ascii="Arial" w:hAnsi="Arial"/>
        </w:rPr>
        <w:t>/m</w:t>
      </w:r>
      <w:r w:rsidR="00E92B3C" w:rsidRPr="006F1D04">
        <w:rPr>
          <w:rFonts w:ascii="Arial" w:hAnsi="Arial"/>
          <w:vertAlign w:val="superscript"/>
        </w:rPr>
        <w:t>3</w:t>
      </w:r>
      <w:r w:rsidR="00E92B3C" w:rsidRPr="006F1D04">
        <w:rPr>
          <w:rFonts w:ascii="Arial" w:hAnsi="Arial"/>
        </w:rPr>
        <w:t xml:space="preserve"> for PM</w:t>
      </w:r>
      <w:r w:rsidR="00E92B3C" w:rsidRPr="006F1D04">
        <w:rPr>
          <w:rFonts w:ascii="Arial" w:hAnsi="Arial"/>
          <w:vertAlign w:val="subscript"/>
        </w:rPr>
        <w:t>10</w:t>
      </w:r>
      <w:r w:rsidR="00E92B3C" w:rsidRPr="006F1D04">
        <w:rPr>
          <w:rFonts w:ascii="Arial" w:hAnsi="Arial"/>
        </w:rPr>
        <w:t xml:space="preserve"> and PM</w:t>
      </w:r>
      <w:r w:rsidR="00E92B3C" w:rsidRPr="006F1D04">
        <w:rPr>
          <w:rFonts w:ascii="Arial" w:hAnsi="Arial"/>
          <w:vertAlign w:val="subscript"/>
        </w:rPr>
        <w:t>2.5</w:t>
      </w:r>
      <w:r w:rsidR="00E92B3C" w:rsidRPr="006F1D04">
        <w:rPr>
          <w:rFonts w:ascii="Arial" w:hAnsi="Arial"/>
        </w:rPr>
        <w:t xml:space="preserve"> respectively)</w:t>
      </w:r>
      <w:r w:rsidR="00E92B3C" w:rsidRPr="006F1D04">
        <w:rPr>
          <w:rStyle w:val="FootnoteReference"/>
          <w:rFonts w:ascii="Arial" w:hAnsi="Arial"/>
        </w:rPr>
        <w:footnoteReference w:id="29"/>
      </w:r>
      <w:r w:rsidR="00E92B3C" w:rsidRPr="006F1D04">
        <w:rPr>
          <w:rFonts w:ascii="Arial" w:hAnsi="Arial"/>
        </w:rPr>
        <w:t>. The HRA estimated exposure in 32 Australian cities, including the major metropolitan areas.</w:t>
      </w:r>
      <w:r w:rsidR="00E92B3C" w:rsidRPr="006F1D04">
        <w:rPr>
          <w:rFonts w:ascii="Arial" w:hAnsi="Arial"/>
          <w:bCs w:val="0"/>
          <w:color w:val="auto"/>
          <w:kern w:val="0"/>
          <w:szCs w:val="18"/>
          <w:lang w:eastAsia="en-AU"/>
        </w:rPr>
        <w:t xml:space="preserve"> </w:t>
      </w:r>
      <w:r w:rsidR="00E92B3C" w:rsidRPr="006F1D04">
        <w:rPr>
          <w:rFonts w:ascii="Arial" w:hAnsi="Arial"/>
        </w:rPr>
        <w:t>In cities where there was more than one ambient air pollution monitoring site, exposure was estimated by averaging pollutant concentrations across all air pollution monitoring sites</w:t>
      </w:r>
      <w:r w:rsidR="00E92B3C" w:rsidRPr="006F1D04">
        <w:rPr>
          <w:rFonts w:ascii="Arial" w:hAnsi="Arial"/>
          <w:bCs w:val="0"/>
          <w:color w:val="auto"/>
          <w:kern w:val="0"/>
          <w:szCs w:val="18"/>
          <w:lang w:eastAsia="en-AU"/>
        </w:rPr>
        <w:t xml:space="preserve"> </w:t>
      </w:r>
      <w:r w:rsidR="00E92B3C" w:rsidRPr="006F1D04">
        <w:rPr>
          <w:rFonts w:ascii="Arial" w:hAnsi="Arial"/>
        </w:rPr>
        <w:t>for each year in the relevant time period (2006</w:t>
      </w:r>
      <w:r w:rsidR="000A0C84" w:rsidRPr="006F1D04">
        <w:rPr>
          <w:rFonts w:ascii="Arial" w:hAnsi="Arial"/>
        </w:rPr>
        <w:t>–</w:t>
      </w:r>
      <w:r w:rsidR="00E92B3C" w:rsidRPr="006F1D04">
        <w:rPr>
          <w:rFonts w:ascii="Arial" w:hAnsi="Arial"/>
        </w:rPr>
        <w:t xml:space="preserve">2010). </w:t>
      </w:r>
      <w:r w:rsidR="00810588" w:rsidRPr="006F1D04">
        <w:rPr>
          <w:rFonts w:ascii="Arial" w:hAnsi="Arial"/>
        </w:rPr>
        <w:t>It should be noted that the results of the HRA do not actually reflect the real-world impacts of setting standards. Rather, they reflect the impact of different exposure scenarios in which the ambient concentrations are set at the values of the options for the standards. However, the HRA assessment does provide a useful indication of what might happen in the future should projected increases in emissions lead to an increase in the PM</w:t>
      </w:r>
      <w:r w:rsidR="00810588" w:rsidRPr="006F1D04">
        <w:rPr>
          <w:rFonts w:ascii="Arial" w:hAnsi="Arial"/>
          <w:vertAlign w:val="subscript"/>
        </w:rPr>
        <w:t>2.5</w:t>
      </w:r>
      <w:r w:rsidR="00810588" w:rsidRPr="006F1D04">
        <w:rPr>
          <w:rFonts w:ascii="Arial" w:hAnsi="Arial"/>
        </w:rPr>
        <w:t xml:space="preserve"> concentration.</w:t>
      </w:r>
    </w:p>
    <w:p w:rsidR="00E92B3C" w:rsidRPr="006F1D04" w:rsidRDefault="00DD7753" w:rsidP="0064254D">
      <w:pPr>
        <w:pStyle w:val="BulletArrows"/>
        <w:spacing w:after="240"/>
        <w:rPr>
          <w:rFonts w:ascii="Arial" w:hAnsi="Arial"/>
        </w:rPr>
      </w:pPr>
      <w:r w:rsidRPr="006F1D04">
        <w:rPr>
          <w:rFonts w:ascii="Arial" w:hAnsi="Arial"/>
          <w:b/>
        </w:rPr>
        <w:t>R</w:t>
      </w:r>
      <w:r w:rsidR="00E92B3C" w:rsidRPr="006F1D04">
        <w:rPr>
          <w:rFonts w:ascii="Arial" w:hAnsi="Arial"/>
          <w:b/>
        </w:rPr>
        <w:t>isk characterisation</w:t>
      </w:r>
      <w:r w:rsidR="00E92B3C" w:rsidRPr="006F1D04">
        <w:rPr>
          <w:rFonts w:ascii="Arial" w:hAnsi="Arial"/>
        </w:rPr>
        <w:t xml:space="preserve">. Population data, mortality data and hospitalisation data for the 32 cities were used to estimate city-specific deaths and hospitalisations attributable to the exposures for the baseline and the sub-options. The current burden of deaths and hospitalisations attributable to baseline (actual current) exposure compared </w:t>
      </w:r>
      <w:r w:rsidR="0055019E" w:rsidRPr="006F1D04">
        <w:rPr>
          <w:rFonts w:ascii="Arial" w:hAnsi="Arial"/>
        </w:rPr>
        <w:t>with</w:t>
      </w:r>
      <w:r w:rsidR="00E92B3C" w:rsidRPr="006F1D04">
        <w:rPr>
          <w:rFonts w:ascii="Arial" w:hAnsi="Arial"/>
        </w:rPr>
        <w:t xml:space="preserve"> the national background levels was estimated. The potential health impacts of different exposure scenarios compared </w:t>
      </w:r>
      <w:r w:rsidR="0055019E" w:rsidRPr="006F1D04">
        <w:rPr>
          <w:rFonts w:ascii="Arial" w:hAnsi="Arial"/>
        </w:rPr>
        <w:t>with</w:t>
      </w:r>
      <w:r w:rsidR="00E92B3C" w:rsidRPr="006F1D04">
        <w:rPr>
          <w:rFonts w:ascii="Arial" w:hAnsi="Arial"/>
        </w:rPr>
        <w:t xml:space="preserve"> baseline exposure were also assessed.</w:t>
      </w:r>
    </w:p>
    <w:p w:rsidR="00713F9F" w:rsidRPr="006F1D04" w:rsidRDefault="001B0B14" w:rsidP="00331FCA">
      <w:pPr>
        <w:pStyle w:val="BulletArrows"/>
        <w:spacing w:after="140"/>
        <w:rPr>
          <w:rFonts w:ascii="Arial" w:hAnsi="Arial"/>
        </w:rPr>
      </w:pPr>
      <w:r w:rsidRPr="006F1D04">
        <w:rPr>
          <w:rFonts w:ascii="Arial" w:hAnsi="Arial"/>
        </w:rPr>
        <w:t>A</w:t>
      </w:r>
      <w:r w:rsidR="00713F9F" w:rsidRPr="006F1D04">
        <w:rPr>
          <w:rFonts w:ascii="Arial" w:hAnsi="Arial"/>
        </w:rPr>
        <w:t>ttributable mortality and hospitalisation estimates were summarised for the following non-overlapping</w:t>
      </w:r>
      <w:r w:rsidRPr="006F1D04">
        <w:rPr>
          <w:rStyle w:val="FootnoteReference"/>
          <w:rFonts w:ascii="Arial" w:hAnsi="Arial"/>
        </w:rPr>
        <w:footnoteReference w:id="30"/>
      </w:r>
      <w:r w:rsidR="00713F9F" w:rsidRPr="006F1D04">
        <w:rPr>
          <w:rFonts w:ascii="Arial" w:hAnsi="Arial"/>
        </w:rPr>
        <w:t xml:space="preserve"> health outcomes:</w:t>
      </w:r>
    </w:p>
    <w:p w:rsidR="00713F9F" w:rsidRPr="006F1D04" w:rsidRDefault="000A0C84" w:rsidP="00003665">
      <w:pPr>
        <w:pStyle w:val="BulletArrows"/>
        <w:numPr>
          <w:ilvl w:val="0"/>
          <w:numId w:val="121"/>
        </w:numPr>
        <w:spacing w:after="140"/>
        <w:rPr>
          <w:rFonts w:ascii="Arial" w:hAnsi="Arial"/>
        </w:rPr>
      </w:pPr>
      <w:r w:rsidRPr="006F1D04">
        <w:rPr>
          <w:rFonts w:ascii="Arial" w:hAnsi="Arial"/>
        </w:rPr>
        <w:t>l</w:t>
      </w:r>
      <w:r w:rsidR="00713F9F" w:rsidRPr="006F1D04">
        <w:rPr>
          <w:rFonts w:ascii="Arial" w:hAnsi="Arial"/>
        </w:rPr>
        <w:t>ong-term PM</w:t>
      </w:r>
      <w:r w:rsidR="00713F9F" w:rsidRPr="006F1D04">
        <w:rPr>
          <w:rFonts w:ascii="Arial" w:hAnsi="Arial"/>
          <w:vertAlign w:val="subscript"/>
        </w:rPr>
        <w:t xml:space="preserve">2.5 </w:t>
      </w:r>
      <w:r w:rsidR="00713F9F" w:rsidRPr="006F1D04">
        <w:rPr>
          <w:rFonts w:ascii="Arial" w:hAnsi="Arial"/>
        </w:rPr>
        <w:t>exposure and all-cause m</w:t>
      </w:r>
      <w:r w:rsidR="00A527AF" w:rsidRPr="006F1D04">
        <w:rPr>
          <w:rFonts w:ascii="Arial" w:hAnsi="Arial"/>
        </w:rPr>
        <w:t>ortality in those aged 30 and above</w:t>
      </w:r>
    </w:p>
    <w:p w:rsidR="00EA54E2" w:rsidRPr="006F1D04" w:rsidRDefault="000A0C84" w:rsidP="00003665">
      <w:pPr>
        <w:pStyle w:val="BulletArrows"/>
        <w:numPr>
          <w:ilvl w:val="0"/>
          <w:numId w:val="121"/>
        </w:numPr>
        <w:spacing w:after="140"/>
        <w:rPr>
          <w:rFonts w:ascii="Arial" w:hAnsi="Arial"/>
        </w:rPr>
      </w:pPr>
      <w:r w:rsidRPr="006F1D04">
        <w:rPr>
          <w:rFonts w:ascii="Arial" w:hAnsi="Arial"/>
        </w:rPr>
        <w:t>s</w:t>
      </w:r>
      <w:r w:rsidR="00EA54E2" w:rsidRPr="006F1D04">
        <w:rPr>
          <w:rFonts w:ascii="Arial" w:hAnsi="Arial"/>
        </w:rPr>
        <w:t>hort-term PM</w:t>
      </w:r>
      <w:r w:rsidR="00EA54E2" w:rsidRPr="006F1D04">
        <w:rPr>
          <w:rFonts w:ascii="Arial" w:hAnsi="Arial"/>
          <w:vertAlign w:val="subscript"/>
        </w:rPr>
        <w:t xml:space="preserve">2.5 </w:t>
      </w:r>
      <w:r w:rsidR="00EA54E2" w:rsidRPr="006F1D04">
        <w:rPr>
          <w:rFonts w:ascii="Arial" w:hAnsi="Arial"/>
        </w:rPr>
        <w:t xml:space="preserve">exposure and hospital emergency department attendance </w:t>
      </w:r>
      <w:r w:rsidR="00A527AF" w:rsidRPr="006F1D04">
        <w:rPr>
          <w:rFonts w:ascii="Arial" w:hAnsi="Arial"/>
        </w:rPr>
        <w:t xml:space="preserve">for asthma </w:t>
      </w:r>
      <w:r w:rsidR="00EA54E2" w:rsidRPr="006F1D04">
        <w:rPr>
          <w:rFonts w:ascii="Arial" w:hAnsi="Arial"/>
        </w:rPr>
        <w:t xml:space="preserve">in those aged </w:t>
      </w:r>
      <w:r w:rsidR="00A527AF" w:rsidRPr="006F1D04">
        <w:rPr>
          <w:rFonts w:ascii="Arial" w:hAnsi="Arial"/>
        </w:rPr>
        <w:t>between one and 14</w:t>
      </w:r>
    </w:p>
    <w:p w:rsidR="00713F9F" w:rsidRPr="006F1D04" w:rsidRDefault="000A0C84" w:rsidP="00003665">
      <w:pPr>
        <w:pStyle w:val="BulletArrows"/>
        <w:numPr>
          <w:ilvl w:val="0"/>
          <w:numId w:val="121"/>
        </w:numPr>
        <w:spacing w:after="140"/>
        <w:rPr>
          <w:rFonts w:ascii="Arial" w:hAnsi="Arial"/>
        </w:rPr>
      </w:pPr>
      <w:r w:rsidRPr="006F1D04">
        <w:rPr>
          <w:rFonts w:ascii="Arial" w:hAnsi="Arial"/>
        </w:rPr>
        <w:t>s</w:t>
      </w:r>
      <w:r w:rsidR="00713F9F" w:rsidRPr="006F1D04">
        <w:rPr>
          <w:rFonts w:ascii="Arial" w:hAnsi="Arial"/>
        </w:rPr>
        <w:t>hort-term PM</w:t>
      </w:r>
      <w:r w:rsidR="00713F9F" w:rsidRPr="006F1D04">
        <w:rPr>
          <w:rFonts w:ascii="Arial" w:hAnsi="Arial"/>
          <w:vertAlign w:val="subscript"/>
        </w:rPr>
        <w:t xml:space="preserve">2.5 </w:t>
      </w:r>
      <w:r w:rsidR="00713F9F" w:rsidRPr="006F1D04">
        <w:rPr>
          <w:rFonts w:ascii="Arial" w:hAnsi="Arial"/>
        </w:rPr>
        <w:t>exposure and all cardiovascular hospital ad</w:t>
      </w:r>
      <w:r w:rsidR="00A527AF" w:rsidRPr="006F1D04">
        <w:rPr>
          <w:rFonts w:ascii="Arial" w:hAnsi="Arial"/>
        </w:rPr>
        <w:t>missions in those aged 65 and above</w:t>
      </w:r>
    </w:p>
    <w:p w:rsidR="00EA54E2" w:rsidRPr="006F1D04" w:rsidRDefault="000A0C84" w:rsidP="00003665">
      <w:pPr>
        <w:pStyle w:val="BulletArrows"/>
        <w:numPr>
          <w:ilvl w:val="0"/>
          <w:numId w:val="121"/>
        </w:numPr>
        <w:spacing w:after="140"/>
        <w:rPr>
          <w:rFonts w:ascii="Arial" w:hAnsi="Arial"/>
        </w:rPr>
      </w:pPr>
      <w:r w:rsidRPr="006F1D04">
        <w:rPr>
          <w:rFonts w:ascii="Arial" w:hAnsi="Arial"/>
        </w:rPr>
        <w:t>s</w:t>
      </w:r>
      <w:r w:rsidR="00EA54E2" w:rsidRPr="006F1D04">
        <w:rPr>
          <w:rFonts w:ascii="Arial" w:hAnsi="Arial"/>
        </w:rPr>
        <w:t>hort-term PM</w:t>
      </w:r>
      <w:r w:rsidR="00EA54E2" w:rsidRPr="006F1D04">
        <w:rPr>
          <w:rFonts w:ascii="Arial" w:hAnsi="Arial"/>
          <w:vertAlign w:val="subscript"/>
        </w:rPr>
        <w:t>10</w:t>
      </w:r>
      <w:r w:rsidR="00EA54E2" w:rsidRPr="006F1D04">
        <w:rPr>
          <w:rFonts w:ascii="Arial" w:hAnsi="Arial"/>
        </w:rPr>
        <w:t xml:space="preserve"> exposure and all respiratory hospital adm</w:t>
      </w:r>
      <w:r w:rsidR="00A527AF" w:rsidRPr="006F1D04">
        <w:rPr>
          <w:rFonts w:ascii="Arial" w:hAnsi="Arial"/>
        </w:rPr>
        <w:t>issions</w:t>
      </w:r>
      <w:r w:rsidR="00A527AF" w:rsidRPr="006F1D04">
        <w:rPr>
          <w:rStyle w:val="FootnoteReference"/>
          <w:rFonts w:ascii="Arial" w:hAnsi="Arial"/>
        </w:rPr>
        <w:footnoteReference w:id="31"/>
      </w:r>
      <w:r w:rsidR="00A527AF" w:rsidRPr="006F1D04">
        <w:rPr>
          <w:rFonts w:ascii="Arial" w:hAnsi="Arial"/>
        </w:rPr>
        <w:t xml:space="preserve"> in those aged up to 14</w:t>
      </w:r>
    </w:p>
    <w:p w:rsidR="00713F9F" w:rsidRPr="006F1D04" w:rsidRDefault="000A0C84" w:rsidP="00003665">
      <w:pPr>
        <w:pStyle w:val="BulletArrows"/>
        <w:numPr>
          <w:ilvl w:val="0"/>
          <w:numId w:val="121"/>
        </w:numPr>
        <w:spacing w:after="240"/>
        <w:rPr>
          <w:rFonts w:ascii="Arial" w:hAnsi="Arial"/>
        </w:rPr>
      </w:pPr>
      <w:proofErr w:type="gramStart"/>
      <w:r w:rsidRPr="006F1D04">
        <w:rPr>
          <w:rFonts w:ascii="Arial" w:hAnsi="Arial"/>
        </w:rPr>
        <w:t>s</w:t>
      </w:r>
      <w:r w:rsidR="00713F9F" w:rsidRPr="006F1D04">
        <w:rPr>
          <w:rFonts w:ascii="Arial" w:hAnsi="Arial"/>
        </w:rPr>
        <w:t>hort-term</w:t>
      </w:r>
      <w:proofErr w:type="gramEnd"/>
      <w:r w:rsidR="00713F9F" w:rsidRPr="006F1D04">
        <w:rPr>
          <w:rFonts w:ascii="Arial" w:hAnsi="Arial"/>
        </w:rPr>
        <w:t xml:space="preserve"> PM</w:t>
      </w:r>
      <w:r w:rsidR="00713F9F" w:rsidRPr="006F1D04">
        <w:rPr>
          <w:rFonts w:ascii="Arial" w:hAnsi="Arial"/>
          <w:vertAlign w:val="subscript"/>
        </w:rPr>
        <w:t>10</w:t>
      </w:r>
      <w:r w:rsidR="00713F9F" w:rsidRPr="006F1D04">
        <w:rPr>
          <w:rFonts w:ascii="Arial" w:hAnsi="Arial"/>
        </w:rPr>
        <w:t xml:space="preserve"> </w:t>
      </w:r>
      <w:r w:rsidR="00CB0AAF" w:rsidRPr="006F1D04">
        <w:rPr>
          <w:rFonts w:ascii="Arial" w:hAnsi="Arial"/>
        </w:rPr>
        <w:t>exposure and pneumonia and short-term</w:t>
      </w:r>
      <w:r w:rsidR="00713F9F" w:rsidRPr="006F1D04">
        <w:rPr>
          <w:rFonts w:ascii="Arial" w:hAnsi="Arial"/>
        </w:rPr>
        <w:t xml:space="preserve"> bronchitis hospital ad</w:t>
      </w:r>
      <w:r w:rsidR="00A527AF" w:rsidRPr="006F1D04">
        <w:rPr>
          <w:rFonts w:ascii="Arial" w:hAnsi="Arial"/>
        </w:rPr>
        <w:t>missions in those aged 65 and above</w:t>
      </w:r>
      <w:r w:rsidR="00C97E0D" w:rsidRPr="006F1D04">
        <w:rPr>
          <w:rFonts w:ascii="Arial" w:hAnsi="Arial"/>
        </w:rPr>
        <w:t>.</w:t>
      </w:r>
    </w:p>
    <w:p w:rsidR="00713F9F" w:rsidRPr="006F1D04" w:rsidRDefault="00BD58DB" w:rsidP="00713F9F">
      <w:pPr>
        <w:rPr>
          <w:rFonts w:ascii="Arial" w:hAnsi="Arial" w:cs="Arial"/>
          <w:color w:val="FF0000"/>
        </w:rPr>
      </w:pPr>
      <w:r w:rsidRPr="006F1D04">
        <w:rPr>
          <w:rFonts w:ascii="Arial" w:hAnsi="Arial" w:cs="Arial"/>
        </w:rPr>
        <w:lastRenderedPageBreak/>
        <w:t>Reducing</w:t>
      </w:r>
      <w:r w:rsidR="003F4221" w:rsidRPr="006F1D04">
        <w:rPr>
          <w:rFonts w:ascii="Arial" w:hAnsi="Arial" w:cs="Arial"/>
        </w:rPr>
        <w:t xml:space="preserve"> air pollution levels affects</w:t>
      </w:r>
      <w:r w:rsidRPr="006F1D04">
        <w:rPr>
          <w:rFonts w:ascii="Arial" w:hAnsi="Arial" w:cs="Arial"/>
        </w:rPr>
        <w:t xml:space="preserve"> future patterns of survival and death in the population by decreasing the mortality risk. This will initially lead to fewer deaths and a sustained increase in life expectancy. However, because everyone eventually dies, the total number of deaths in a given population cannot be changed by reducing levels of air pollution. Instead, a reduction in air pollution levels postpones deaths, so that on average people live longer. As a result, the mortality benefit of a sustained air pollution reduction can be assessed as both an immediate benefit in terms of fewer deaths in the first year (and in the early subsequent years) after the change in air pollution levels, and also a longer-term benefit of greater survival time (life years lived) and increased life expectancy across the population as a whole. Consequently, some HRAs estimate the long-term mortality benefits of pollution reduction in terms of life expectancy or in terms of gains in population survival time (‘life-years’), rather than</w:t>
      </w:r>
      <w:r w:rsidR="003F4221" w:rsidRPr="006F1D04">
        <w:rPr>
          <w:rFonts w:ascii="Arial" w:hAnsi="Arial" w:cs="Arial"/>
        </w:rPr>
        <w:t xml:space="preserve"> solely</w:t>
      </w:r>
      <w:r w:rsidRPr="006F1D04">
        <w:rPr>
          <w:rFonts w:ascii="Arial" w:hAnsi="Arial" w:cs="Arial"/>
        </w:rPr>
        <w:t xml:space="preserve"> in terms of the number of deaths.</w:t>
      </w:r>
      <w:r w:rsidRPr="006F1D04">
        <w:rPr>
          <w:rFonts w:ascii="Arial" w:hAnsi="Arial" w:cs="Arial"/>
          <w:color w:val="FF0000"/>
        </w:rPr>
        <w:t xml:space="preserve"> </w:t>
      </w:r>
      <w:r w:rsidR="00EA54E2" w:rsidRPr="006F1D04">
        <w:rPr>
          <w:rFonts w:ascii="Arial" w:hAnsi="Arial" w:cs="Arial"/>
        </w:rPr>
        <w:t>An</w:t>
      </w:r>
      <w:r w:rsidR="002C03E8" w:rsidRPr="006F1D04">
        <w:rPr>
          <w:rFonts w:ascii="Arial" w:hAnsi="Arial" w:cs="Arial"/>
        </w:rPr>
        <w:t xml:space="preserve"> additional </w:t>
      </w:r>
      <w:r w:rsidR="00964D73" w:rsidRPr="006F1D04">
        <w:rPr>
          <w:rFonts w:ascii="Arial" w:hAnsi="Arial" w:cs="Arial"/>
        </w:rPr>
        <w:t xml:space="preserve">analysis </w:t>
      </w:r>
      <w:r w:rsidR="00EA54E2" w:rsidRPr="006F1D04">
        <w:rPr>
          <w:rFonts w:ascii="Arial" w:hAnsi="Arial" w:cs="Arial"/>
        </w:rPr>
        <w:t xml:space="preserve">was conducted </w:t>
      </w:r>
      <w:r w:rsidR="005053F1" w:rsidRPr="006F1D04">
        <w:rPr>
          <w:rFonts w:ascii="Arial" w:hAnsi="Arial" w:cs="Arial"/>
        </w:rPr>
        <w:t xml:space="preserve">in the Summary for Policy Makers </w:t>
      </w:r>
      <w:r w:rsidR="00964D73" w:rsidRPr="006F1D04">
        <w:rPr>
          <w:rFonts w:ascii="Arial" w:hAnsi="Arial" w:cs="Arial"/>
        </w:rPr>
        <w:t>to estimate the baseline</w:t>
      </w:r>
      <w:r w:rsidR="002C03E8" w:rsidRPr="006F1D04">
        <w:rPr>
          <w:rFonts w:ascii="Arial" w:hAnsi="Arial" w:cs="Arial"/>
        </w:rPr>
        <w:t xml:space="preserve"> number of</w:t>
      </w:r>
      <w:r w:rsidR="003F4221" w:rsidRPr="006F1D04">
        <w:rPr>
          <w:rFonts w:ascii="Arial" w:hAnsi="Arial" w:cs="Arial"/>
        </w:rPr>
        <w:t xml:space="preserve"> years of life lost due to long-</w:t>
      </w:r>
      <w:r w:rsidR="002C03E8" w:rsidRPr="006F1D04">
        <w:rPr>
          <w:rFonts w:ascii="Arial" w:hAnsi="Arial" w:cs="Arial"/>
        </w:rPr>
        <w:t>term</w:t>
      </w:r>
      <w:r w:rsidR="003F4221" w:rsidRPr="006F1D04">
        <w:rPr>
          <w:rFonts w:ascii="Arial" w:hAnsi="Arial" w:cs="Arial"/>
        </w:rPr>
        <w:t xml:space="preserve"> exposure to</w:t>
      </w:r>
      <w:r w:rsidR="002C03E8" w:rsidRPr="006F1D04">
        <w:rPr>
          <w:rFonts w:ascii="Arial" w:hAnsi="Arial" w:cs="Arial"/>
        </w:rPr>
        <w:t xml:space="preserve"> PM</w:t>
      </w:r>
      <w:r w:rsidR="002C03E8" w:rsidRPr="006F1D04">
        <w:rPr>
          <w:rFonts w:ascii="Arial" w:hAnsi="Arial" w:cs="Arial"/>
          <w:vertAlign w:val="subscript"/>
        </w:rPr>
        <w:t>2.5</w:t>
      </w:r>
      <w:r w:rsidR="0064254D" w:rsidRPr="006F1D04">
        <w:rPr>
          <w:rFonts w:ascii="Arial" w:hAnsi="Arial" w:cs="Arial"/>
        </w:rPr>
        <w:t xml:space="preserve"> in Sydney </w:t>
      </w:r>
      <w:r w:rsidR="001014A1" w:rsidRPr="006F1D04">
        <w:rPr>
          <w:rFonts w:ascii="Arial" w:hAnsi="Arial" w:cs="Arial"/>
          <w:b/>
        </w:rPr>
        <w:t xml:space="preserve">(Morgan </w:t>
      </w:r>
      <w:r w:rsidR="009334F4" w:rsidRPr="006F1D04">
        <w:rPr>
          <w:rFonts w:ascii="Arial" w:hAnsi="Arial" w:cs="Arial"/>
          <w:b/>
        </w:rPr>
        <w:t>et al</w:t>
      </w:r>
      <w:r w:rsidR="001014A1" w:rsidRPr="006F1D04">
        <w:rPr>
          <w:rFonts w:ascii="Arial" w:hAnsi="Arial" w:cs="Arial"/>
          <w:b/>
        </w:rPr>
        <w:t>. 2013)</w:t>
      </w:r>
      <w:r w:rsidR="002C03E8" w:rsidRPr="006F1D04">
        <w:rPr>
          <w:rFonts w:ascii="Arial" w:hAnsi="Arial" w:cs="Arial"/>
        </w:rPr>
        <w:t>.</w:t>
      </w:r>
      <w:r w:rsidR="00713F9F" w:rsidRPr="006F1D04">
        <w:rPr>
          <w:rFonts w:ascii="Arial" w:hAnsi="Arial" w:cs="Arial"/>
        </w:rPr>
        <w:t xml:space="preserve"> </w:t>
      </w:r>
    </w:p>
    <w:p w:rsidR="00713F9F" w:rsidRPr="006F1D04" w:rsidRDefault="00713F9F" w:rsidP="00CB6A70">
      <w:pPr>
        <w:pStyle w:val="Heading3"/>
        <w:rPr>
          <w:rFonts w:ascii="Arial" w:hAnsi="Arial"/>
        </w:rPr>
      </w:pPr>
      <w:bookmarkStart w:id="171" w:name="_Toc394011147"/>
      <w:r w:rsidRPr="006F1D04">
        <w:rPr>
          <w:rFonts w:ascii="Arial" w:hAnsi="Arial"/>
        </w:rPr>
        <w:t>Results</w:t>
      </w:r>
      <w:bookmarkEnd w:id="171"/>
    </w:p>
    <w:p w:rsidR="003F666D" w:rsidRPr="006F1D04" w:rsidRDefault="00A53396" w:rsidP="00331FCA">
      <w:pPr>
        <w:spacing w:after="200"/>
        <w:rPr>
          <w:rFonts w:ascii="Arial" w:hAnsi="Arial" w:cs="Arial"/>
        </w:rPr>
      </w:pPr>
      <w:r w:rsidRPr="006F1D04">
        <w:rPr>
          <w:rFonts w:ascii="Arial" w:hAnsi="Arial" w:cs="Arial"/>
        </w:rPr>
        <w:t xml:space="preserve">The results </w:t>
      </w:r>
      <w:r w:rsidR="003F4221" w:rsidRPr="006F1D04">
        <w:rPr>
          <w:rFonts w:ascii="Arial" w:hAnsi="Arial" w:cs="Arial"/>
        </w:rPr>
        <w:t xml:space="preserve">for the baseline case (relative to the background concentrations) </w:t>
      </w:r>
      <w:r w:rsidRPr="006F1D04">
        <w:rPr>
          <w:rFonts w:ascii="Arial" w:hAnsi="Arial" w:cs="Arial"/>
        </w:rPr>
        <w:t xml:space="preserve">are shown in </w:t>
      </w:r>
      <w:fldSimple w:instr=" REF _Ref367359269 \h  \* MERGEFORMAT ">
        <w:r w:rsidR="0085182E" w:rsidRPr="0085182E">
          <w:rPr>
            <w:rFonts w:ascii="Arial" w:hAnsi="Arial" w:cs="Arial"/>
            <w:b/>
          </w:rPr>
          <w:t>Table 8.2</w:t>
        </w:r>
      </w:fldSimple>
      <w:r w:rsidR="003F666D" w:rsidRPr="006F1D04">
        <w:rPr>
          <w:rFonts w:ascii="Arial" w:hAnsi="Arial" w:cs="Arial"/>
        </w:rPr>
        <w:t xml:space="preserve">, and the effects of each sub-option in turn are presented in </w:t>
      </w:r>
      <w:fldSimple w:instr=" REF _Ref367454165 \h  \* MERGEFORMAT ">
        <w:r w:rsidR="0085182E" w:rsidRPr="0085182E">
          <w:rPr>
            <w:rFonts w:ascii="Arial" w:hAnsi="Arial" w:cs="Arial"/>
            <w:b/>
          </w:rPr>
          <w:t>Table 8.3</w:t>
        </w:r>
      </w:fldSimple>
      <w:r w:rsidR="003F666D" w:rsidRPr="006F1D04">
        <w:rPr>
          <w:rFonts w:ascii="Arial" w:hAnsi="Arial" w:cs="Arial"/>
        </w:rPr>
        <w:t xml:space="preserve"> to </w:t>
      </w:r>
      <w:fldSimple w:instr=" REF _Ref367454167 \h  \* MERGEFORMAT ">
        <w:r w:rsidR="0085182E" w:rsidRPr="0085182E">
          <w:rPr>
            <w:rFonts w:ascii="Arial" w:hAnsi="Arial" w:cs="Arial"/>
            <w:b/>
          </w:rPr>
          <w:t>Table 8.5</w:t>
        </w:r>
      </w:fldSimple>
      <w:r w:rsidR="003F666D" w:rsidRPr="006F1D04">
        <w:rPr>
          <w:rFonts w:ascii="Arial" w:hAnsi="Arial" w:cs="Arial"/>
        </w:rPr>
        <w:t xml:space="preserve">. </w:t>
      </w:r>
      <w:r w:rsidR="0064254D" w:rsidRPr="006F1D04">
        <w:rPr>
          <w:rFonts w:ascii="Arial" w:hAnsi="Arial" w:cs="Arial"/>
          <w:b/>
        </w:rPr>
        <w:t xml:space="preserve">Morgan </w:t>
      </w:r>
      <w:r w:rsidR="009334F4" w:rsidRPr="006F1D04">
        <w:rPr>
          <w:rFonts w:ascii="Arial" w:hAnsi="Arial" w:cs="Arial"/>
          <w:b/>
        </w:rPr>
        <w:t>et al.</w:t>
      </w:r>
      <w:r w:rsidR="0064254D" w:rsidRPr="006F1D04">
        <w:rPr>
          <w:rFonts w:ascii="Arial" w:hAnsi="Arial" w:cs="Arial"/>
          <w:b/>
        </w:rPr>
        <w:t xml:space="preserve"> (2013)</w:t>
      </w:r>
      <w:r w:rsidR="0064254D" w:rsidRPr="006F1D04">
        <w:rPr>
          <w:rFonts w:ascii="Arial" w:hAnsi="Arial" w:cs="Arial"/>
        </w:rPr>
        <w:t xml:space="preserve"> reported separate results for four </w:t>
      </w:r>
      <w:r w:rsidR="008441E4" w:rsidRPr="006F1D04">
        <w:rPr>
          <w:rFonts w:ascii="Arial" w:hAnsi="Arial" w:cs="Arial"/>
        </w:rPr>
        <w:t xml:space="preserve">major </w:t>
      </w:r>
      <w:r w:rsidR="0064254D" w:rsidRPr="006F1D04">
        <w:rPr>
          <w:rFonts w:ascii="Arial" w:hAnsi="Arial" w:cs="Arial"/>
        </w:rPr>
        <w:t xml:space="preserve">cities (Sydney, Melbourne, Brisbane and Perth) and for Sydney separately. </w:t>
      </w:r>
    </w:p>
    <w:p w:rsidR="00583B8B" w:rsidRPr="006F1D04" w:rsidRDefault="00051582" w:rsidP="00331FCA">
      <w:pPr>
        <w:spacing w:after="200"/>
        <w:rPr>
          <w:rFonts w:ascii="Arial" w:hAnsi="Arial" w:cs="Arial"/>
        </w:rPr>
      </w:pPr>
      <w:r w:rsidRPr="006F1D04">
        <w:rPr>
          <w:rFonts w:ascii="Arial" w:hAnsi="Arial" w:cs="Arial"/>
        </w:rPr>
        <w:t>D</w:t>
      </w:r>
      <w:r w:rsidR="00583B8B" w:rsidRPr="006F1D04">
        <w:rPr>
          <w:rFonts w:ascii="Arial" w:hAnsi="Arial" w:cs="Arial"/>
        </w:rPr>
        <w:t>ecreasing short-term exposure to PM</w:t>
      </w:r>
      <w:r w:rsidR="00583B8B" w:rsidRPr="006F1D04">
        <w:rPr>
          <w:rFonts w:ascii="Arial" w:hAnsi="Arial" w:cs="Arial"/>
          <w:vertAlign w:val="subscript"/>
        </w:rPr>
        <w:t>10</w:t>
      </w:r>
      <w:r w:rsidR="00583B8B" w:rsidRPr="006F1D04">
        <w:rPr>
          <w:rFonts w:ascii="Arial" w:hAnsi="Arial" w:cs="Arial"/>
        </w:rPr>
        <w:t xml:space="preserve"> would reduce attributable hospital admissions for childhood respiratory disease and pneumonia/bronchitis in people aged 65 and above. For the sub-options D50PM</w:t>
      </w:r>
      <w:r w:rsidR="00583B8B" w:rsidRPr="006F1D04">
        <w:rPr>
          <w:rFonts w:ascii="Arial" w:hAnsi="Arial" w:cs="Arial"/>
          <w:vertAlign w:val="subscript"/>
        </w:rPr>
        <w:t>10</w:t>
      </w:r>
      <w:r w:rsidR="00583B8B" w:rsidRPr="006F1D04">
        <w:rPr>
          <w:rFonts w:ascii="Arial" w:hAnsi="Arial" w:cs="Arial"/>
        </w:rPr>
        <w:t>, D40PM</w:t>
      </w:r>
      <w:r w:rsidR="00583B8B" w:rsidRPr="006F1D04">
        <w:rPr>
          <w:rFonts w:ascii="Arial" w:hAnsi="Arial" w:cs="Arial"/>
          <w:vertAlign w:val="subscript"/>
        </w:rPr>
        <w:t>10</w:t>
      </w:r>
      <w:r w:rsidR="00583B8B" w:rsidRPr="006F1D04">
        <w:rPr>
          <w:rFonts w:ascii="Arial" w:hAnsi="Arial" w:cs="Arial"/>
        </w:rPr>
        <w:t xml:space="preserve"> and D30PM</w:t>
      </w:r>
      <w:r w:rsidR="00583B8B" w:rsidRPr="006F1D04">
        <w:rPr>
          <w:rFonts w:ascii="Arial" w:hAnsi="Arial" w:cs="Arial"/>
          <w:vertAlign w:val="subscript"/>
        </w:rPr>
        <w:t>10</w:t>
      </w:r>
      <w:r w:rsidR="00583B8B" w:rsidRPr="006F1D04">
        <w:rPr>
          <w:rFonts w:ascii="Arial" w:hAnsi="Arial" w:cs="Arial"/>
        </w:rPr>
        <w:t xml:space="preserve"> these health outcomes would be reduced by around 30%, 50% and 65% respectively over the four cities of Sydney, Melbourne, Brisbane and Perth </w:t>
      </w:r>
      <w:r w:rsidR="00DE15F0" w:rsidRPr="006F1D04">
        <w:rPr>
          <w:rFonts w:ascii="Arial" w:hAnsi="Arial" w:cs="Arial"/>
          <w:b/>
        </w:rPr>
        <w:t>(</w:t>
      </w:r>
      <w:r w:rsidR="00583B8B" w:rsidRPr="006F1D04">
        <w:rPr>
          <w:rFonts w:ascii="Arial" w:hAnsi="Arial" w:cs="Arial"/>
          <w:b/>
        </w:rPr>
        <w:t xml:space="preserve">Morgan </w:t>
      </w:r>
      <w:r w:rsidR="009334F4" w:rsidRPr="006F1D04">
        <w:rPr>
          <w:rFonts w:ascii="Arial" w:hAnsi="Arial" w:cs="Arial"/>
          <w:b/>
        </w:rPr>
        <w:t>et al.</w:t>
      </w:r>
      <w:r w:rsidR="00583B8B" w:rsidRPr="006F1D04">
        <w:rPr>
          <w:rFonts w:ascii="Arial" w:hAnsi="Arial" w:cs="Arial"/>
          <w:b/>
        </w:rPr>
        <w:t xml:space="preserve"> 2013)</w:t>
      </w:r>
      <w:r w:rsidR="00583B8B" w:rsidRPr="006F1D04">
        <w:rPr>
          <w:rFonts w:ascii="Arial" w:hAnsi="Arial" w:cs="Arial"/>
        </w:rPr>
        <w:t xml:space="preserve">. </w:t>
      </w:r>
    </w:p>
    <w:p w:rsidR="00CC3FAD" w:rsidRPr="006F1D04" w:rsidRDefault="00EA54E2" w:rsidP="00331FCA">
      <w:pPr>
        <w:spacing w:after="200"/>
        <w:rPr>
          <w:rFonts w:ascii="Arial" w:hAnsi="Arial" w:cs="Arial"/>
        </w:rPr>
      </w:pPr>
      <w:r w:rsidRPr="006F1D04">
        <w:rPr>
          <w:rFonts w:ascii="Arial" w:hAnsi="Arial" w:cs="Arial"/>
          <w:b/>
        </w:rPr>
        <w:t xml:space="preserve">Morgan </w:t>
      </w:r>
      <w:r w:rsidR="009334F4" w:rsidRPr="006F1D04">
        <w:rPr>
          <w:rFonts w:ascii="Arial" w:hAnsi="Arial" w:cs="Arial"/>
          <w:b/>
        </w:rPr>
        <w:t>et al.</w:t>
      </w:r>
      <w:r w:rsidRPr="006F1D04">
        <w:rPr>
          <w:rFonts w:ascii="Arial" w:hAnsi="Arial" w:cs="Arial"/>
          <w:b/>
        </w:rPr>
        <w:t xml:space="preserve"> (2013) </w:t>
      </w:r>
      <w:r w:rsidRPr="006F1D04">
        <w:rPr>
          <w:rFonts w:ascii="Arial" w:hAnsi="Arial" w:cs="Arial"/>
        </w:rPr>
        <w:t>commented that for long-term exposure to PM</w:t>
      </w:r>
      <w:r w:rsidRPr="006F1D04">
        <w:rPr>
          <w:rFonts w:ascii="Arial" w:hAnsi="Arial" w:cs="Arial"/>
          <w:vertAlign w:val="subscript"/>
        </w:rPr>
        <w:t>2.5</w:t>
      </w:r>
      <w:r w:rsidRPr="006F1D04">
        <w:rPr>
          <w:rFonts w:ascii="Arial" w:hAnsi="Arial" w:cs="Arial"/>
        </w:rPr>
        <w:t xml:space="preserve"> the HRA results are generally consistent with previous Australian and United States estimates. Baseline annual average PM</w:t>
      </w:r>
      <w:r w:rsidRPr="006F1D04">
        <w:rPr>
          <w:rFonts w:ascii="Arial" w:hAnsi="Arial" w:cs="Arial"/>
          <w:vertAlign w:val="subscript"/>
        </w:rPr>
        <w:t>2.5</w:t>
      </w:r>
      <w:r w:rsidRPr="006F1D04">
        <w:rPr>
          <w:rFonts w:ascii="Arial" w:hAnsi="Arial" w:cs="Arial"/>
        </w:rPr>
        <w:t xml:space="preserve"> exposure in the four cities ranged from 5.1 </w:t>
      </w:r>
      <w:proofErr w:type="spellStart"/>
      <w:r w:rsidRPr="006F1D04">
        <w:rPr>
          <w:rFonts w:ascii="Arial" w:hAnsi="Arial" w:cs="Arial"/>
        </w:rPr>
        <w:t>μg</w:t>
      </w:r>
      <w:proofErr w:type="spellEnd"/>
      <w:r w:rsidRPr="006F1D04">
        <w:rPr>
          <w:rFonts w:ascii="Arial" w:hAnsi="Arial" w:cs="Arial"/>
        </w:rPr>
        <w:t>/m</w:t>
      </w:r>
      <w:r w:rsidRPr="006F1D04">
        <w:rPr>
          <w:rFonts w:ascii="Arial" w:hAnsi="Arial" w:cs="Arial"/>
          <w:vertAlign w:val="superscript"/>
        </w:rPr>
        <w:t>3</w:t>
      </w:r>
      <w:r w:rsidRPr="006F1D04">
        <w:rPr>
          <w:rFonts w:ascii="Arial" w:hAnsi="Arial" w:cs="Arial"/>
        </w:rPr>
        <w:t xml:space="preserve"> to 7.8 </w:t>
      </w:r>
      <w:proofErr w:type="spellStart"/>
      <w:r w:rsidRPr="006F1D04">
        <w:rPr>
          <w:rFonts w:ascii="Arial" w:hAnsi="Arial" w:cs="Arial"/>
        </w:rPr>
        <w:t>μg</w:t>
      </w:r>
      <w:proofErr w:type="spellEnd"/>
      <w:r w:rsidRPr="006F1D04">
        <w:rPr>
          <w:rFonts w:ascii="Arial" w:hAnsi="Arial" w:cs="Arial"/>
        </w:rPr>
        <w:t>/m</w:t>
      </w:r>
      <w:r w:rsidRPr="006F1D04">
        <w:rPr>
          <w:rFonts w:ascii="Arial" w:hAnsi="Arial" w:cs="Arial"/>
          <w:vertAlign w:val="superscript"/>
        </w:rPr>
        <w:t>3</w:t>
      </w:r>
      <w:r w:rsidRPr="006F1D04">
        <w:rPr>
          <w:rFonts w:ascii="Arial" w:hAnsi="Arial" w:cs="Arial"/>
        </w:rPr>
        <w:t>. In the four major cities annual mortality attributable to baseline long-term PM</w:t>
      </w:r>
      <w:r w:rsidRPr="006F1D04">
        <w:rPr>
          <w:rFonts w:ascii="Arial" w:hAnsi="Arial" w:cs="Arial"/>
          <w:vertAlign w:val="subscript"/>
        </w:rPr>
        <w:t>2.5</w:t>
      </w:r>
      <w:r w:rsidRPr="006F1D04">
        <w:rPr>
          <w:rFonts w:ascii="Arial" w:hAnsi="Arial" w:cs="Arial"/>
        </w:rPr>
        <w:t xml:space="preserve"> exposures above background is estimated to be equivalent to </w:t>
      </w:r>
      <w:r w:rsidR="00A75665" w:rsidRPr="006F1D04">
        <w:rPr>
          <w:rFonts w:ascii="Arial" w:hAnsi="Arial" w:cs="Arial"/>
        </w:rPr>
        <w:t xml:space="preserve">approximately </w:t>
      </w:r>
      <w:r w:rsidRPr="006F1D04">
        <w:rPr>
          <w:rFonts w:ascii="Arial" w:hAnsi="Arial" w:cs="Arial"/>
        </w:rPr>
        <w:t>15</w:t>
      </w:r>
      <w:r w:rsidR="00A75665" w:rsidRPr="006F1D04">
        <w:rPr>
          <w:rFonts w:ascii="Arial" w:hAnsi="Arial" w:cs="Arial"/>
        </w:rPr>
        <w:t>90</w:t>
      </w:r>
      <w:r w:rsidRPr="006F1D04">
        <w:rPr>
          <w:rFonts w:ascii="Arial" w:hAnsi="Arial" w:cs="Arial"/>
        </w:rPr>
        <w:t xml:space="preserve"> deaths (2.2%). The results were similar whether or not extreme d</w:t>
      </w:r>
      <w:r w:rsidR="00997153" w:rsidRPr="006F1D04">
        <w:rPr>
          <w:rFonts w:ascii="Arial" w:hAnsi="Arial" w:cs="Arial"/>
        </w:rPr>
        <w:t>ays were included in the analysi</w:t>
      </w:r>
      <w:r w:rsidRPr="006F1D04">
        <w:rPr>
          <w:rFonts w:ascii="Arial" w:hAnsi="Arial" w:cs="Arial"/>
        </w:rPr>
        <w:t>s. Only the sub-option</w:t>
      </w:r>
      <w:r w:rsidR="000457D9" w:rsidRPr="006F1D04">
        <w:rPr>
          <w:rFonts w:ascii="Arial" w:hAnsi="Arial" w:cs="Arial"/>
        </w:rPr>
        <w:t xml:space="preserve"> </w:t>
      </w:r>
      <w:r w:rsidRPr="006F1D04">
        <w:rPr>
          <w:rFonts w:ascii="Arial" w:hAnsi="Arial" w:cs="Arial"/>
        </w:rPr>
        <w:t>A06PM</w:t>
      </w:r>
      <w:r w:rsidRPr="006F1D04">
        <w:rPr>
          <w:rFonts w:ascii="Arial" w:hAnsi="Arial" w:cs="Arial"/>
          <w:vertAlign w:val="subscript"/>
        </w:rPr>
        <w:t>2.5</w:t>
      </w:r>
      <w:r w:rsidRPr="006F1D04">
        <w:rPr>
          <w:rFonts w:ascii="Arial" w:hAnsi="Arial" w:cs="Arial"/>
        </w:rPr>
        <w:t xml:space="preserve"> would be associated with reductions in long-term mortality relating to PM</w:t>
      </w:r>
      <w:r w:rsidRPr="006F1D04">
        <w:rPr>
          <w:rFonts w:ascii="Arial" w:hAnsi="Arial" w:cs="Arial"/>
          <w:vertAlign w:val="subscript"/>
        </w:rPr>
        <w:t>2.5</w:t>
      </w:r>
      <w:r w:rsidRPr="006F1D04">
        <w:rPr>
          <w:rFonts w:ascii="Arial" w:hAnsi="Arial" w:cs="Arial"/>
        </w:rPr>
        <w:t xml:space="preserve"> compared with baseline exposures (equivalent to a reducti</w:t>
      </w:r>
      <w:r w:rsidR="000D0BB5" w:rsidRPr="006F1D04">
        <w:rPr>
          <w:rFonts w:ascii="Arial" w:hAnsi="Arial" w:cs="Arial"/>
        </w:rPr>
        <w:t xml:space="preserve">on of </w:t>
      </w:r>
      <w:r w:rsidR="00A75665" w:rsidRPr="006F1D04">
        <w:rPr>
          <w:rFonts w:ascii="Arial" w:hAnsi="Arial" w:cs="Arial"/>
        </w:rPr>
        <w:t xml:space="preserve">approximately </w:t>
      </w:r>
      <w:r w:rsidR="000D0BB5" w:rsidRPr="006F1D04">
        <w:rPr>
          <w:rFonts w:ascii="Arial" w:hAnsi="Arial" w:cs="Arial"/>
        </w:rPr>
        <w:t>53</w:t>
      </w:r>
      <w:r w:rsidR="00A75665" w:rsidRPr="006F1D04">
        <w:rPr>
          <w:rFonts w:ascii="Arial" w:hAnsi="Arial" w:cs="Arial"/>
        </w:rPr>
        <w:t>0</w:t>
      </w:r>
      <w:r w:rsidR="000D0BB5" w:rsidRPr="006F1D04">
        <w:rPr>
          <w:rFonts w:ascii="Arial" w:hAnsi="Arial" w:cs="Arial"/>
        </w:rPr>
        <w:t xml:space="preserve"> deaths</w:t>
      </w:r>
      <w:r w:rsidRPr="006F1D04">
        <w:rPr>
          <w:rFonts w:ascii="Arial" w:hAnsi="Arial" w:cs="Arial"/>
        </w:rPr>
        <w:t xml:space="preserve">). </w:t>
      </w:r>
    </w:p>
    <w:p w:rsidR="00810588" w:rsidRPr="006F1D04" w:rsidRDefault="003F4221" w:rsidP="00331FCA">
      <w:pPr>
        <w:spacing w:after="200"/>
        <w:rPr>
          <w:rFonts w:ascii="Arial" w:hAnsi="Arial" w:cs="Arial"/>
        </w:rPr>
      </w:pPr>
      <w:r w:rsidRPr="006F1D04">
        <w:rPr>
          <w:rFonts w:ascii="Arial" w:hAnsi="Arial" w:cs="Arial"/>
        </w:rPr>
        <w:t xml:space="preserve">Decreasing </w:t>
      </w:r>
      <w:r w:rsidR="00BD58DB" w:rsidRPr="006F1D04">
        <w:rPr>
          <w:rFonts w:ascii="Arial" w:hAnsi="Arial" w:cs="Arial"/>
        </w:rPr>
        <w:t xml:space="preserve">short-term </w:t>
      </w:r>
      <w:r w:rsidR="00B83102" w:rsidRPr="006F1D04">
        <w:rPr>
          <w:rFonts w:ascii="Arial" w:hAnsi="Arial" w:cs="Arial"/>
        </w:rPr>
        <w:t>expo</w:t>
      </w:r>
      <w:r w:rsidR="00BD58DB" w:rsidRPr="006F1D04">
        <w:rPr>
          <w:rFonts w:ascii="Arial" w:hAnsi="Arial" w:cs="Arial"/>
        </w:rPr>
        <w:t>sure to PM</w:t>
      </w:r>
      <w:r w:rsidR="00BD58DB" w:rsidRPr="006F1D04">
        <w:rPr>
          <w:rFonts w:ascii="Arial" w:hAnsi="Arial" w:cs="Arial"/>
          <w:vertAlign w:val="subscript"/>
        </w:rPr>
        <w:t>2.5</w:t>
      </w:r>
      <w:r w:rsidR="00BD58DB" w:rsidRPr="006F1D04">
        <w:rPr>
          <w:rFonts w:ascii="Arial" w:hAnsi="Arial" w:cs="Arial"/>
        </w:rPr>
        <w:t xml:space="preserve"> </w:t>
      </w:r>
      <w:r w:rsidR="00DE15F0" w:rsidRPr="006F1D04">
        <w:rPr>
          <w:rFonts w:ascii="Arial" w:hAnsi="Arial" w:cs="Arial"/>
        </w:rPr>
        <w:t>–</w:t>
      </w:r>
      <w:r w:rsidR="00BD58DB" w:rsidRPr="006F1D04">
        <w:rPr>
          <w:rFonts w:ascii="Arial" w:hAnsi="Arial" w:cs="Arial"/>
        </w:rPr>
        <w:t xml:space="preserve"> as per</w:t>
      </w:r>
      <w:r w:rsidR="00B83102" w:rsidRPr="006F1D04">
        <w:rPr>
          <w:rFonts w:ascii="Arial" w:hAnsi="Arial" w:cs="Arial"/>
        </w:rPr>
        <w:t xml:space="preserve"> </w:t>
      </w:r>
      <w:r w:rsidR="0029278F" w:rsidRPr="006F1D04">
        <w:rPr>
          <w:rFonts w:ascii="Arial" w:hAnsi="Arial" w:cs="Arial"/>
        </w:rPr>
        <w:t>the sub-o</w:t>
      </w:r>
      <w:r w:rsidR="00BD58DB" w:rsidRPr="006F1D04">
        <w:rPr>
          <w:rFonts w:ascii="Arial" w:hAnsi="Arial" w:cs="Arial"/>
        </w:rPr>
        <w:t>ptions D25PM</w:t>
      </w:r>
      <w:r w:rsidR="00BD58DB" w:rsidRPr="006F1D04">
        <w:rPr>
          <w:rFonts w:ascii="Arial" w:hAnsi="Arial" w:cs="Arial"/>
          <w:vertAlign w:val="subscript"/>
        </w:rPr>
        <w:t>2.5</w:t>
      </w:r>
      <w:r w:rsidR="00BD58DB" w:rsidRPr="006F1D04">
        <w:rPr>
          <w:rFonts w:ascii="Arial" w:hAnsi="Arial" w:cs="Arial"/>
        </w:rPr>
        <w:t>, D20PM</w:t>
      </w:r>
      <w:r w:rsidR="00BD58DB" w:rsidRPr="006F1D04">
        <w:rPr>
          <w:rFonts w:ascii="Arial" w:hAnsi="Arial" w:cs="Arial"/>
          <w:vertAlign w:val="subscript"/>
        </w:rPr>
        <w:t>2.5</w:t>
      </w:r>
      <w:r w:rsidR="00BD58DB" w:rsidRPr="006F1D04">
        <w:rPr>
          <w:rFonts w:ascii="Arial" w:hAnsi="Arial" w:cs="Arial"/>
        </w:rPr>
        <w:t xml:space="preserve"> and D15PM</w:t>
      </w:r>
      <w:r w:rsidR="00BD58DB" w:rsidRPr="006F1D04">
        <w:rPr>
          <w:rFonts w:ascii="Arial" w:hAnsi="Arial" w:cs="Arial"/>
          <w:vertAlign w:val="subscript"/>
        </w:rPr>
        <w:t>2.5</w:t>
      </w:r>
      <w:r w:rsidR="00BD58DB" w:rsidRPr="006F1D04">
        <w:rPr>
          <w:rFonts w:ascii="Arial" w:hAnsi="Arial" w:cs="Arial"/>
        </w:rPr>
        <w:t xml:space="preserve"> </w:t>
      </w:r>
      <w:r w:rsidR="00DE15F0" w:rsidRPr="006F1D04">
        <w:rPr>
          <w:rFonts w:ascii="Arial" w:hAnsi="Arial" w:cs="Arial"/>
        </w:rPr>
        <w:t>–</w:t>
      </w:r>
      <w:r w:rsidR="00BD58DB" w:rsidRPr="006F1D04">
        <w:rPr>
          <w:rFonts w:ascii="Arial" w:hAnsi="Arial" w:cs="Arial"/>
        </w:rPr>
        <w:t xml:space="preserve"> </w:t>
      </w:r>
      <w:r w:rsidR="00B83102" w:rsidRPr="006F1D04">
        <w:rPr>
          <w:rFonts w:ascii="Arial" w:hAnsi="Arial" w:cs="Arial"/>
        </w:rPr>
        <w:t>would reduce attributable cardiovascular hospital admissions and attributable childhood asthma hospital emergency department attendance by around 30%, 45% and 60% resp</w:t>
      </w:r>
      <w:r w:rsidR="00BD58DB" w:rsidRPr="006F1D04">
        <w:rPr>
          <w:rFonts w:ascii="Arial" w:hAnsi="Arial" w:cs="Arial"/>
        </w:rPr>
        <w:t xml:space="preserve">ectively over the four cities. </w:t>
      </w:r>
      <w:r w:rsidR="00B83102" w:rsidRPr="006F1D04">
        <w:rPr>
          <w:rFonts w:ascii="Arial" w:hAnsi="Arial" w:cs="Arial"/>
        </w:rPr>
        <w:t>Because hospital emergency department treatment only forms a small proportion of childhood asthma treatment in the population, it is likely that the actual improvement in asthma incidence would be greater than that represented sole</w:t>
      </w:r>
      <w:r w:rsidR="00997153" w:rsidRPr="006F1D04">
        <w:rPr>
          <w:rFonts w:ascii="Arial" w:hAnsi="Arial" w:cs="Arial"/>
        </w:rPr>
        <w:t xml:space="preserve">ly by </w:t>
      </w:r>
      <w:r w:rsidR="00B83102" w:rsidRPr="006F1D04">
        <w:rPr>
          <w:rFonts w:ascii="Arial" w:hAnsi="Arial" w:cs="Arial"/>
        </w:rPr>
        <w:t xml:space="preserve">hospital </w:t>
      </w:r>
      <w:r w:rsidR="00BD58DB" w:rsidRPr="006F1D04">
        <w:rPr>
          <w:rFonts w:ascii="Arial" w:hAnsi="Arial" w:cs="Arial"/>
        </w:rPr>
        <w:t>attendance</w:t>
      </w:r>
      <w:r w:rsidR="00BD58DB" w:rsidRPr="006F1D04">
        <w:rPr>
          <w:rFonts w:ascii="Arial" w:hAnsi="Arial" w:cs="Arial"/>
          <w:b/>
        </w:rPr>
        <w:t xml:space="preserve"> (Morgan </w:t>
      </w:r>
      <w:r w:rsidR="009334F4" w:rsidRPr="006F1D04">
        <w:rPr>
          <w:rFonts w:ascii="Arial" w:hAnsi="Arial" w:cs="Arial"/>
          <w:b/>
        </w:rPr>
        <w:t>et al</w:t>
      </w:r>
      <w:r w:rsidR="00BD58DB" w:rsidRPr="006F1D04">
        <w:rPr>
          <w:rFonts w:ascii="Arial" w:hAnsi="Arial" w:cs="Arial"/>
          <w:b/>
        </w:rPr>
        <w:t>. 2013)</w:t>
      </w:r>
      <w:r w:rsidR="00BD58DB" w:rsidRPr="006F1D04">
        <w:rPr>
          <w:rFonts w:ascii="Arial" w:hAnsi="Arial" w:cs="Arial"/>
        </w:rPr>
        <w:t>.</w:t>
      </w:r>
    </w:p>
    <w:p w:rsidR="00A53396" w:rsidRPr="006F1D04" w:rsidRDefault="00810588" w:rsidP="00CC3FAD">
      <w:pPr>
        <w:spacing w:after="0"/>
        <w:rPr>
          <w:rFonts w:ascii="Arial" w:hAnsi="Arial" w:cs="Arial"/>
        </w:rPr>
      </w:pPr>
      <w:r w:rsidRPr="006F1D04">
        <w:rPr>
          <w:rFonts w:ascii="Arial" w:hAnsi="Arial" w:cs="Arial"/>
          <w:b/>
        </w:rPr>
        <w:t>USEPA (2011)</w:t>
      </w:r>
      <w:r w:rsidRPr="006F1D04">
        <w:rPr>
          <w:rFonts w:ascii="Arial" w:hAnsi="Arial" w:cs="Arial"/>
        </w:rPr>
        <w:t xml:space="preserve"> states that there is no evidence suggesting that the risks associated with long-term exposure to PM</w:t>
      </w:r>
      <w:r w:rsidRPr="006F1D04">
        <w:rPr>
          <w:rFonts w:ascii="Arial" w:hAnsi="Arial" w:cs="Arial"/>
          <w:vertAlign w:val="subscript"/>
        </w:rPr>
        <w:t>2.5</w:t>
      </w:r>
      <w:r w:rsidRPr="006F1D04">
        <w:rPr>
          <w:rFonts w:ascii="Arial" w:hAnsi="Arial" w:cs="Arial"/>
        </w:rPr>
        <w:t xml:space="preserve"> are likely to be disproportionately driven by peak 24-hour concentrations. Therefore, control strategies that focus primarily on reducing extreme days are less likely to achieve reductions in PM</w:t>
      </w:r>
      <w:r w:rsidRPr="006F1D04">
        <w:rPr>
          <w:rFonts w:ascii="Arial" w:hAnsi="Arial" w:cs="Arial"/>
          <w:vertAlign w:val="subscript"/>
        </w:rPr>
        <w:t>2.5</w:t>
      </w:r>
      <w:r w:rsidRPr="006F1D04">
        <w:rPr>
          <w:rFonts w:ascii="Arial" w:hAnsi="Arial" w:cs="Arial"/>
        </w:rPr>
        <w:t xml:space="preserve"> exposures that most contribute to health effects compared with an approach that focuses on reducing the middle range of the PM</w:t>
      </w:r>
      <w:r w:rsidRPr="006F1D04">
        <w:rPr>
          <w:rFonts w:ascii="Arial" w:hAnsi="Arial" w:cs="Arial"/>
          <w:vertAlign w:val="subscript"/>
        </w:rPr>
        <w:t>2.5</w:t>
      </w:r>
      <w:r w:rsidRPr="006F1D04">
        <w:rPr>
          <w:rFonts w:ascii="Arial" w:hAnsi="Arial" w:cs="Arial"/>
        </w:rPr>
        <w:t xml:space="preserve"> exposure distribution.</w:t>
      </w:r>
      <w:r w:rsidR="00BD58DB" w:rsidRPr="006F1D04">
        <w:rPr>
          <w:rFonts w:ascii="Arial" w:hAnsi="Arial" w:cs="Arial"/>
        </w:rPr>
        <w:t xml:space="preserve"> </w:t>
      </w:r>
    </w:p>
    <w:p w:rsidR="00A53396" w:rsidRPr="006F1D04" w:rsidRDefault="00A53396">
      <w:pPr>
        <w:spacing w:after="200" w:line="240" w:lineRule="auto"/>
        <w:rPr>
          <w:rFonts w:ascii="Arial" w:hAnsi="Arial" w:cs="Arial"/>
        </w:rPr>
        <w:sectPr w:rsidR="00A53396" w:rsidRPr="006F1D04" w:rsidSect="006A5626">
          <w:headerReference w:type="even" r:id="rId94"/>
          <w:headerReference w:type="default" r:id="rId95"/>
          <w:footerReference w:type="even" r:id="rId96"/>
          <w:footerReference w:type="default" r:id="rId97"/>
          <w:headerReference w:type="first" r:id="rId98"/>
          <w:pgSz w:w="11906" w:h="16838" w:code="9"/>
          <w:pgMar w:top="1440" w:right="1440" w:bottom="1276" w:left="1440" w:header="284" w:footer="378" w:gutter="0"/>
          <w:cols w:space="255"/>
          <w:docGrid w:linePitch="360"/>
        </w:sectPr>
      </w:pPr>
    </w:p>
    <w:p w:rsidR="00572F4C" w:rsidRPr="006F1D04" w:rsidRDefault="00572F4C" w:rsidP="00572F4C">
      <w:pPr>
        <w:pStyle w:val="CaptionPB"/>
        <w:rPr>
          <w:rFonts w:ascii="Arial" w:hAnsi="Arial" w:cs="Arial"/>
        </w:rPr>
      </w:pPr>
      <w:bookmarkStart w:id="172" w:name="_Ref367359269"/>
      <w:r w:rsidRPr="006F1D04">
        <w:rPr>
          <w:rFonts w:ascii="Arial" w:hAnsi="Arial" w:cs="Arial"/>
        </w:rPr>
        <w:lastRenderedPageBreak/>
        <w:t xml:space="preserve">Table </w:t>
      </w:r>
      <w:r w:rsidR="00BF6019" w:rsidRPr="006F1D04">
        <w:rPr>
          <w:rFonts w:ascii="Arial" w:hAnsi="Arial" w:cs="Arial"/>
        </w:rPr>
        <w:fldChar w:fldCharType="begin"/>
      </w:r>
      <w:r w:rsidRPr="006F1D04">
        <w:rPr>
          <w:rFonts w:ascii="Arial" w:hAnsi="Arial" w:cs="Arial"/>
        </w:rPr>
        <w:instrText xml:space="preserve"> STYLEREF 1 \s </w:instrText>
      </w:r>
      <w:r w:rsidR="00BF6019" w:rsidRPr="006F1D04">
        <w:rPr>
          <w:rFonts w:ascii="Arial" w:hAnsi="Arial" w:cs="Arial"/>
        </w:rPr>
        <w:fldChar w:fldCharType="separate"/>
      </w:r>
      <w:r w:rsidR="0085182E">
        <w:rPr>
          <w:rFonts w:ascii="Arial" w:hAnsi="Arial" w:cs="Arial"/>
          <w:noProof/>
        </w:rPr>
        <w:t>8</w:t>
      </w:r>
      <w:r w:rsidR="00BF6019" w:rsidRPr="006F1D04">
        <w:rPr>
          <w:rFonts w:ascii="Arial" w:hAnsi="Arial" w:cs="Arial"/>
        </w:rPr>
        <w:fldChar w:fldCharType="end"/>
      </w:r>
      <w:r w:rsidRPr="006F1D04">
        <w:rPr>
          <w:rFonts w:ascii="Arial" w:hAnsi="Arial" w:cs="Arial"/>
        </w:rPr>
        <w:t>.</w:t>
      </w:r>
      <w:r w:rsidR="00BF6019" w:rsidRPr="006F1D04">
        <w:rPr>
          <w:rFonts w:ascii="Arial" w:hAnsi="Arial" w:cs="Arial"/>
        </w:rPr>
        <w:fldChar w:fldCharType="begin"/>
      </w:r>
      <w:r w:rsidRPr="006F1D04">
        <w:rPr>
          <w:rFonts w:ascii="Arial" w:hAnsi="Arial" w:cs="Arial"/>
        </w:rPr>
        <w:instrText xml:space="preserve"> SEQ Table \* ARABIC \s 1 </w:instrText>
      </w:r>
      <w:r w:rsidR="00BF6019" w:rsidRPr="006F1D04">
        <w:rPr>
          <w:rFonts w:ascii="Arial" w:hAnsi="Arial" w:cs="Arial"/>
        </w:rPr>
        <w:fldChar w:fldCharType="separate"/>
      </w:r>
      <w:r w:rsidR="0085182E">
        <w:rPr>
          <w:rFonts w:ascii="Arial" w:hAnsi="Arial" w:cs="Arial"/>
          <w:noProof/>
        </w:rPr>
        <w:t>2</w:t>
      </w:r>
      <w:r w:rsidR="00BF6019" w:rsidRPr="006F1D04">
        <w:rPr>
          <w:rFonts w:ascii="Arial" w:hAnsi="Arial" w:cs="Arial"/>
        </w:rPr>
        <w:fldChar w:fldCharType="end"/>
      </w:r>
      <w:bookmarkEnd w:id="172"/>
      <w:r w:rsidRPr="006F1D04">
        <w:rPr>
          <w:rFonts w:ascii="Arial" w:hAnsi="Arial" w:cs="Arial"/>
        </w:rPr>
        <w:t xml:space="preserve">: </w:t>
      </w:r>
      <w:r w:rsidR="00931FAA" w:rsidRPr="006F1D04">
        <w:rPr>
          <w:rFonts w:ascii="Arial" w:hAnsi="Arial" w:cs="Arial"/>
        </w:rPr>
        <w:t>Th</w:t>
      </w:r>
      <w:r w:rsidR="00131CB5" w:rsidRPr="006F1D04">
        <w:rPr>
          <w:rFonts w:ascii="Arial" w:hAnsi="Arial" w:cs="Arial"/>
        </w:rPr>
        <w:t>e current burden of disease for</w:t>
      </w:r>
      <w:r w:rsidR="00931FAA" w:rsidRPr="006F1D04">
        <w:rPr>
          <w:rFonts w:ascii="Arial" w:hAnsi="Arial" w:cs="Arial"/>
        </w:rPr>
        <w:t xml:space="preserve"> </w:t>
      </w:r>
      <w:r w:rsidR="00C97E0D" w:rsidRPr="006F1D04">
        <w:rPr>
          <w:rFonts w:ascii="Arial" w:hAnsi="Arial" w:cs="Arial"/>
        </w:rPr>
        <w:t xml:space="preserve">baseline </w:t>
      </w:r>
      <w:r w:rsidRPr="006F1D04">
        <w:rPr>
          <w:rFonts w:ascii="Arial" w:hAnsi="Arial" w:cs="Arial"/>
        </w:rPr>
        <w:t>exposure levels (S</w:t>
      </w:r>
      <w:r w:rsidRPr="006F1D04">
        <w:rPr>
          <w:rFonts w:ascii="Arial" w:hAnsi="Arial" w:cs="Arial"/>
          <w:color w:val="0070C0"/>
        </w:rPr>
        <w:t xml:space="preserve">ource: </w:t>
      </w:r>
      <w:r w:rsidR="00A53396" w:rsidRPr="006F1D04">
        <w:rPr>
          <w:rFonts w:ascii="Arial" w:hAnsi="Arial" w:cs="Arial"/>
          <w:color w:val="0070C0"/>
        </w:rPr>
        <w:t xml:space="preserve">Morgan </w:t>
      </w:r>
      <w:r w:rsidR="009334F4" w:rsidRPr="006F1D04">
        <w:rPr>
          <w:rFonts w:ascii="Arial" w:hAnsi="Arial" w:cs="Arial"/>
          <w:color w:val="0070C0"/>
        </w:rPr>
        <w:t>et al.</w:t>
      </w:r>
      <w:r w:rsidR="00A53396" w:rsidRPr="006F1D04">
        <w:rPr>
          <w:rFonts w:ascii="Arial" w:hAnsi="Arial" w:cs="Arial"/>
          <w:color w:val="0070C0"/>
        </w:rPr>
        <w:t xml:space="preserve"> 2013</w:t>
      </w:r>
      <w:r w:rsidR="005425C9" w:rsidRPr="006F1D04">
        <w:rPr>
          <w:rFonts w:ascii="Arial" w:hAnsi="Arial" w:cs="Arial"/>
          <w:color w:val="0070C0"/>
        </w:rPr>
        <w:t>)</w:t>
      </w:r>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28" w:type="dxa"/>
          <w:right w:w="28" w:type="dxa"/>
        </w:tblCellMar>
        <w:tblLook w:val="04A0"/>
      </w:tblPr>
      <w:tblGrid>
        <w:gridCol w:w="642"/>
        <w:gridCol w:w="856"/>
        <w:gridCol w:w="1038"/>
        <w:gridCol w:w="1077"/>
        <w:gridCol w:w="1286"/>
        <w:gridCol w:w="1276"/>
        <w:gridCol w:w="1559"/>
        <w:gridCol w:w="1276"/>
        <w:gridCol w:w="1559"/>
        <w:gridCol w:w="2054"/>
      </w:tblGrid>
      <w:tr w:rsidR="00AD2F75" w:rsidRPr="006F1D04" w:rsidTr="006F2547">
        <w:trPr>
          <w:trHeight w:val="208"/>
          <w:jc w:val="center"/>
        </w:trPr>
        <w:tc>
          <w:tcPr>
            <w:tcW w:w="642" w:type="dxa"/>
            <w:vMerge w:val="restart"/>
            <w:shd w:val="clear" w:color="auto" w:fill="0070C0"/>
            <w:vAlign w:val="center"/>
          </w:tcPr>
          <w:p w:rsidR="00282F32" w:rsidRPr="006F1D04" w:rsidRDefault="00282F32" w:rsidP="0082018B">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PM metric</w:t>
            </w:r>
          </w:p>
        </w:tc>
        <w:tc>
          <w:tcPr>
            <w:tcW w:w="856" w:type="dxa"/>
            <w:vMerge w:val="restart"/>
            <w:shd w:val="clear" w:color="auto" w:fill="0070C0"/>
            <w:vAlign w:val="center"/>
          </w:tcPr>
          <w:p w:rsidR="00282F32" w:rsidRPr="006F1D04" w:rsidRDefault="00282F32" w:rsidP="0082018B">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Exposure</w:t>
            </w:r>
            <w:r w:rsidR="00A53396" w:rsidRPr="006F1D04">
              <w:rPr>
                <w:rFonts w:ascii="Arial" w:hAnsi="Arial" w:cs="Arial"/>
                <w:b/>
                <w:color w:val="FFFFFF"/>
                <w:sz w:val="14"/>
                <w:szCs w:val="14"/>
                <w:vertAlign w:val="superscript"/>
              </w:rPr>
              <w:t>(a)</w:t>
            </w:r>
          </w:p>
        </w:tc>
        <w:tc>
          <w:tcPr>
            <w:tcW w:w="1038" w:type="dxa"/>
            <w:vMerge w:val="restart"/>
            <w:shd w:val="clear" w:color="auto" w:fill="0070C0"/>
            <w:vAlign w:val="center"/>
          </w:tcPr>
          <w:p w:rsidR="00282F32" w:rsidRPr="006F1D04" w:rsidRDefault="00282F32" w:rsidP="0082018B">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Age group (outcome)</w:t>
            </w:r>
          </w:p>
        </w:tc>
        <w:tc>
          <w:tcPr>
            <w:tcW w:w="1077" w:type="dxa"/>
            <w:vMerge w:val="restart"/>
            <w:shd w:val="clear" w:color="auto" w:fill="0070C0"/>
            <w:vAlign w:val="center"/>
          </w:tcPr>
          <w:p w:rsidR="00282F32" w:rsidRPr="006F1D04" w:rsidRDefault="00282F32" w:rsidP="0082018B">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Geographical coverage</w:t>
            </w:r>
          </w:p>
        </w:tc>
        <w:tc>
          <w:tcPr>
            <w:tcW w:w="1286" w:type="dxa"/>
            <w:vMerge w:val="restart"/>
            <w:shd w:val="clear" w:color="auto" w:fill="0070C0"/>
            <w:vAlign w:val="center"/>
          </w:tcPr>
          <w:p w:rsidR="00282F32" w:rsidRPr="006F1D04" w:rsidRDefault="00282F32" w:rsidP="0082018B">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Attributable mortality (deaths per year)</w:t>
            </w:r>
          </w:p>
        </w:tc>
        <w:tc>
          <w:tcPr>
            <w:tcW w:w="1276" w:type="dxa"/>
            <w:vMerge w:val="restart"/>
            <w:shd w:val="clear" w:color="auto" w:fill="0070C0"/>
            <w:vAlign w:val="center"/>
          </w:tcPr>
          <w:p w:rsidR="00282F32" w:rsidRPr="006F1D04" w:rsidRDefault="00282F32" w:rsidP="0082018B">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Years of life lost</w:t>
            </w:r>
            <w:r w:rsidR="003F666D" w:rsidRPr="006F1D04">
              <w:rPr>
                <w:rFonts w:ascii="Arial" w:hAnsi="Arial" w:cs="Arial"/>
                <w:b/>
                <w:color w:val="FFFFFF"/>
                <w:sz w:val="14"/>
                <w:szCs w:val="14"/>
              </w:rPr>
              <w:t xml:space="preserve"> (2008 only)</w:t>
            </w:r>
          </w:p>
        </w:tc>
        <w:tc>
          <w:tcPr>
            <w:tcW w:w="1559" w:type="dxa"/>
            <w:vMerge w:val="restart"/>
            <w:shd w:val="clear" w:color="auto" w:fill="0070C0"/>
            <w:vAlign w:val="center"/>
          </w:tcPr>
          <w:p w:rsidR="00282F32" w:rsidRPr="006F1D04" w:rsidRDefault="00282F32" w:rsidP="0082018B">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Reduction in life expectancy at birth</w:t>
            </w:r>
          </w:p>
        </w:tc>
        <w:tc>
          <w:tcPr>
            <w:tcW w:w="2835" w:type="dxa"/>
            <w:gridSpan w:val="2"/>
            <w:shd w:val="clear" w:color="auto" w:fill="0070C0"/>
            <w:vAlign w:val="center"/>
          </w:tcPr>
          <w:p w:rsidR="00282F32" w:rsidRPr="006F1D04" w:rsidRDefault="00282F32" w:rsidP="0082018B">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Attributable hospital admissions</w:t>
            </w:r>
          </w:p>
        </w:tc>
        <w:tc>
          <w:tcPr>
            <w:tcW w:w="2054" w:type="dxa"/>
            <w:vMerge w:val="restart"/>
            <w:shd w:val="clear" w:color="auto" w:fill="0070C0"/>
            <w:vAlign w:val="center"/>
          </w:tcPr>
          <w:p w:rsidR="00282F32" w:rsidRPr="006F1D04" w:rsidRDefault="00282F32" w:rsidP="0082018B">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Attributable hospital emergency department attendance (cases per year)</w:t>
            </w:r>
          </w:p>
        </w:tc>
      </w:tr>
      <w:tr w:rsidR="00AD2F75" w:rsidRPr="006F1D04" w:rsidTr="006F2547">
        <w:trPr>
          <w:trHeight w:val="707"/>
          <w:jc w:val="center"/>
        </w:trPr>
        <w:tc>
          <w:tcPr>
            <w:tcW w:w="642" w:type="dxa"/>
            <w:vMerge/>
            <w:shd w:val="clear" w:color="auto" w:fill="0070C0"/>
            <w:vAlign w:val="center"/>
          </w:tcPr>
          <w:p w:rsidR="00282F32" w:rsidRPr="006F1D04" w:rsidRDefault="00282F32" w:rsidP="0082018B">
            <w:pPr>
              <w:spacing w:after="0" w:line="240" w:lineRule="auto"/>
              <w:jc w:val="center"/>
              <w:rPr>
                <w:rFonts w:ascii="Arial" w:hAnsi="Arial" w:cs="Arial"/>
                <w:b/>
                <w:color w:val="FFFFFF"/>
                <w:sz w:val="14"/>
                <w:szCs w:val="14"/>
              </w:rPr>
            </w:pPr>
          </w:p>
        </w:tc>
        <w:tc>
          <w:tcPr>
            <w:tcW w:w="856" w:type="dxa"/>
            <w:vMerge/>
            <w:shd w:val="clear" w:color="auto" w:fill="0070C0"/>
            <w:vAlign w:val="center"/>
          </w:tcPr>
          <w:p w:rsidR="00282F32" w:rsidRPr="006F1D04" w:rsidRDefault="00282F32" w:rsidP="0082018B">
            <w:pPr>
              <w:spacing w:after="0" w:line="240" w:lineRule="auto"/>
              <w:jc w:val="center"/>
              <w:rPr>
                <w:rFonts w:ascii="Arial" w:hAnsi="Arial" w:cs="Arial"/>
                <w:b/>
                <w:color w:val="FFFFFF"/>
                <w:sz w:val="14"/>
                <w:szCs w:val="14"/>
              </w:rPr>
            </w:pPr>
          </w:p>
        </w:tc>
        <w:tc>
          <w:tcPr>
            <w:tcW w:w="1038" w:type="dxa"/>
            <w:vMerge/>
            <w:shd w:val="clear" w:color="auto" w:fill="0070C0"/>
            <w:vAlign w:val="center"/>
          </w:tcPr>
          <w:p w:rsidR="00282F32" w:rsidRPr="006F1D04" w:rsidRDefault="00282F32" w:rsidP="0082018B">
            <w:pPr>
              <w:spacing w:after="0" w:line="240" w:lineRule="auto"/>
              <w:jc w:val="center"/>
              <w:rPr>
                <w:rFonts w:ascii="Arial" w:hAnsi="Arial" w:cs="Arial"/>
                <w:b/>
                <w:color w:val="FFFFFF"/>
                <w:sz w:val="14"/>
                <w:szCs w:val="14"/>
              </w:rPr>
            </w:pPr>
          </w:p>
        </w:tc>
        <w:tc>
          <w:tcPr>
            <w:tcW w:w="1077" w:type="dxa"/>
            <w:vMerge/>
            <w:shd w:val="clear" w:color="auto" w:fill="0070C0"/>
            <w:vAlign w:val="center"/>
          </w:tcPr>
          <w:p w:rsidR="00282F32" w:rsidRPr="006F1D04" w:rsidRDefault="00282F32" w:rsidP="0082018B">
            <w:pPr>
              <w:spacing w:after="0" w:line="240" w:lineRule="auto"/>
              <w:jc w:val="center"/>
              <w:rPr>
                <w:rFonts w:ascii="Arial" w:hAnsi="Arial" w:cs="Arial"/>
                <w:b/>
                <w:color w:val="FFFFFF"/>
                <w:sz w:val="14"/>
                <w:szCs w:val="14"/>
              </w:rPr>
            </w:pPr>
          </w:p>
        </w:tc>
        <w:tc>
          <w:tcPr>
            <w:tcW w:w="1286" w:type="dxa"/>
            <w:vMerge/>
            <w:shd w:val="clear" w:color="auto" w:fill="0070C0"/>
            <w:vAlign w:val="center"/>
          </w:tcPr>
          <w:p w:rsidR="00282F32" w:rsidRPr="006F1D04" w:rsidRDefault="00282F32" w:rsidP="0082018B">
            <w:pPr>
              <w:spacing w:after="0" w:line="240" w:lineRule="auto"/>
              <w:jc w:val="center"/>
              <w:rPr>
                <w:rFonts w:ascii="Arial" w:hAnsi="Arial" w:cs="Arial"/>
                <w:b/>
                <w:color w:val="FFFFFF"/>
                <w:sz w:val="14"/>
                <w:szCs w:val="14"/>
              </w:rPr>
            </w:pPr>
          </w:p>
        </w:tc>
        <w:tc>
          <w:tcPr>
            <w:tcW w:w="1276" w:type="dxa"/>
            <w:vMerge/>
            <w:shd w:val="clear" w:color="auto" w:fill="0070C0"/>
            <w:vAlign w:val="center"/>
          </w:tcPr>
          <w:p w:rsidR="00282F32" w:rsidRPr="006F1D04" w:rsidRDefault="00282F32" w:rsidP="0082018B">
            <w:pPr>
              <w:spacing w:after="0" w:line="240" w:lineRule="auto"/>
              <w:jc w:val="center"/>
              <w:rPr>
                <w:rFonts w:ascii="Arial" w:hAnsi="Arial" w:cs="Arial"/>
                <w:b/>
                <w:color w:val="FFFFFF"/>
                <w:sz w:val="14"/>
                <w:szCs w:val="14"/>
              </w:rPr>
            </w:pPr>
          </w:p>
        </w:tc>
        <w:tc>
          <w:tcPr>
            <w:tcW w:w="1559" w:type="dxa"/>
            <w:vMerge/>
            <w:shd w:val="clear" w:color="auto" w:fill="0070C0"/>
            <w:vAlign w:val="center"/>
          </w:tcPr>
          <w:p w:rsidR="00282F32" w:rsidRPr="006F1D04" w:rsidRDefault="00282F32" w:rsidP="0082018B">
            <w:pPr>
              <w:spacing w:after="0" w:line="240" w:lineRule="auto"/>
              <w:jc w:val="center"/>
              <w:rPr>
                <w:rFonts w:ascii="Arial" w:hAnsi="Arial" w:cs="Arial"/>
                <w:b/>
                <w:color w:val="FFFFFF"/>
                <w:sz w:val="14"/>
                <w:szCs w:val="14"/>
              </w:rPr>
            </w:pPr>
          </w:p>
        </w:tc>
        <w:tc>
          <w:tcPr>
            <w:tcW w:w="1276" w:type="dxa"/>
            <w:shd w:val="clear" w:color="auto" w:fill="0070C0"/>
            <w:vAlign w:val="center"/>
          </w:tcPr>
          <w:p w:rsidR="00282F32" w:rsidRPr="006F1D04" w:rsidRDefault="00282F32" w:rsidP="0082018B">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Cardiovascular (cases per year)</w:t>
            </w:r>
          </w:p>
        </w:tc>
        <w:tc>
          <w:tcPr>
            <w:tcW w:w="1559" w:type="dxa"/>
            <w:shd w:val="clear" w:color="auto" w:fill="0070C0"/>
            <w:vAlign w:val="center"/>
          </w:tcPr>
          <w:p w:rsidR="00282F32" w:rsidRPr="006F1D04" w:rsidRDefault="00282F32" w:rsidP="0082018B">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Respiratory</w:t>
            </w:r>
          </w:p>
          <w:p w:rsidR="00282F32" w:rsidRPr="006F1D04" w:rsidRDefault="00282F32" w:rsidP="0082018B">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(cases per year)</w:t>
            </w:r>
          </w:p>
        </w:tc>
        <w:tc>
          <w:tcPr>
            <w:tcW w:w="2054" w:type="dxa"/>
            <w:vMerge/>
            <w:shd w:val="clear" w:color="auto" w:fill="0070C0"/>
            <w:vAlign w:val="center"/>
          </w:tcPr>
          <w:p w:rsidR="00282F32" w:rsidRPr="006F1D04" w:rsidRDefault="00282F32" w:rsidP="0082018B">
            <w:pPr>
              <w:spacing w:after="0" w:line="240" w:lineRule="auto"/>
              <w:jc w:val="center"/>
              <w:rPr>
                <w:rFonts w:ascii="Arial" w:hAnsi="Arial" w:cs="Arial"/>
                <w:b/>
                <w:color w:val="FFFFFF"/>
                <w:sz w:val="14"/>
                <w:szCs w:val="14"/>
              </w:rPr>
            </w:pPr>
          </w:p>
        </w:tc>
      </w:tr>
      <w:tr w:rsidR="00AD2F75" w:rsidRPr="006F1D04" w:rsidTr="006F2547">
        <w:trPr>
          <w:trHeight w:hRule="exact" w:val="567"/>
          <w:jc w:val="center"/>
        </w:trPr>
        <w:tc>
          <w:tcPr>
            <w:tcW w:w="642" w:type="dxa"/>
            <w:vMerge w:val="restart"/>
            <w:shd w:val="clear" w:color="auto" w:fill="auto"/>
            <w:vAlign w:val="center"/>
          </w:tcPr>
          <w:p w:rsidR="00A53396" w:rsidRPr="006F1D04" w:rsidRDefault="00A53396" w:rsidP="0082018B">
            <w:pPr>
              <w:spacing w:after="0" w:line="240" w:lineRule="auto"/>
              <w:jc w:val="center"/>
              <w:rPr>
                <w:rFonts w:ascii="Arial" w:hAnsi="Arial" w:cs="Arial"/>
                <w:sz w:val="14"/>
                <w:szCs w:val="14"/>
              </w:rPr>
            </w:pPr>
            <w:r w:rsidRPr="006F1D04">
              <w:rPr>
                <w:rFonts w:ascii="Arial" w:hAnsi="Arial" w:cs="Arial"/>
                <w:sz w:val="14"/>
                <w:szCs w:val="14"/>
              </w:rPr>
              <w:t>PM</w:t>
            </w:r>
            <w:r w:rsidRPr="006F1D04">
              <w:rPr>
                <w:rFonts w:ascii="Arial" w:hAnsi="Arial" w:cs="Arial"/>
                <w:sz w:val="14"/>
                <w:szCs w:val="14"/>
                <w:vertAlign w:val="subscript"/>
              </w:rPr>
              <w:t>10</w:t>
            </w:r>
          </w:p>
        </w:tc>
        <w:tc>
          <w:tcPr>
            <w:tcW w:w="856" w:type="dxa"/>
            <w:vMerge w:val="restart"/>
            <w:shd w:val="clear" w:color="auto" w:fill="auto"/>
            <w:vAlign w:val="center"/>
          </w:tcPr>
          <w:p w:rsidR="00A53396" w:rsidRPr="006F1D04" w:rsidRDefault="00A53396" w:rsidP="0082018B">
            <w:pPr>
              <w:spacing w:after="0" w:line="240" w:lineRule="auto"/>
              <w:jc w:val="center"/>
              <w:rPr>
                <w:rFonts w:ascii="Arial" w:hAnsi="Arial" w:cs="Arial"/>
                <w:sz w:val="14"/>
                <w:szCs w:val="14"/>
              </w:rPr>
            </w:pPr>
            <w:r w:rsidRPr="006F1D04">
              <w:rPr>
                <w:rFonts w:ascii="Arial" w:hAnsi="Arial" w:cs="Arial"/>
                <w:sz w:val="14"/>
                <w:szCs w:val="14"/>
              </w:rPr>
              <w:t>Short-term</w:t>
            </w:r>
          </w:p>
        </w:tc>
        <w:tc>
          <w:tcPr>
            <w:tcW w:w="1038" w:type="dxa"/>
            <w:tcBorders>
              <w:bottom w:val="dotted" w:sz="4" w:space="0" w:color="0070C0"/>
            </w:tcBorders>
            <w:shd w:val="clear" w:color="auto" w:fill="auto"/>
            <w:vAlign w:val="center"/>
          </w:tcPr>
          <w:p w:rsidR="00A53396" w:rsidRPr="006F1D04" w:rsidRDefault="00A53396" w:rsidP="0082018B">
            <w:pPr>
              <w:spacing w:after="0" w:line="240" w:lineRule="auto"/>
              <w:jc w:val="center"/>
              <w:rPr>
                <w:rFonts w:ascii="Arial" w:hAnsi="Arial" w:cs="Arial"/>
                <w:sz w:val="14"/>
                <w:szCs w:val="14"/>
              </w:rPr>
            </w:pPr>
            <w:r w:rsidRPr="006F1D04">
              <w:rPr>
                <w:rFonts w:ascii="Arial" w:hAnsi="Arial" w:cs="Arial"/>
                <w:sz w:val="14"/>
                <w:szCs w:val="14"/>
              </w:rPr>
              <w:t>0</w:t>
            </w:r>
            <w:r w:rsidR="00DE15F0" w:rsidRPr="006F1D04">
              <w:rPr>
                <w:rFonts w:ascii="Arial" w:hAnsi="Arial" w:cs="Arial"/>
                <w:sz w:val="14"/>
                <w:szCs w:val="14"/>
              </w:rPr>
              <w:t>–</w:t>
            </w:r>
            <w:r w:rsidRPr="006F1D04">
              <w:rPr>
                <w:rFonts w:ascii="Arial" w:hAnsi="Arial" w:cs="Arial"/>
                <w:sz w:val="14"/>
                <w:szCs w:val="14"/>
              </w:rPr>
              <w:t>14 years (respiratory)</w:t>
            </w:r>
          </w:p>
        </w:tc>
        <w:tc>
          <w:tcPr>
            <w:tcW w:w="1077" w:type="dxa"/>
            <w:tcBorders>
              <w:bottom w:val="dotted" w:sz="4" w:space="0" w:color="0070C0"/>
            </w:tcBorders>
            <w:shd w:val="clear" w:color="auto" w:fill="auto"/>
            <w:vAlign w:val="center"/>
          </w:tcPr>
          <w:p w:rsidR="00A53396" w:rsidRPr="006F1D04" w:rsidRDefault="00A53396" w:rsidP="0082018B">
            <w:pPr>
              <w:spacing w:after="0" w:line="240" w:lineRule="auto"/>
              <w:jc w:val="center"/>
              <w:rPr>
                <w:rFonts w:ascii="Arial" w:hAnsi="Arial" w:cs="Arial"/>
                <w:sz w:val="14"/>
                <w:szCs w:val="14"/>
              </w:rPr>
            </w:pPr>
            <w:r w:rsidRPr="006F1D04">
              <w:rPr>
                <w:rFonts w:ascii="Arial" w:hAnsi="Arial" w:cs="Arial"/>
                <w:sz w:val="14"/>
                <w:szCs w:val="14"/>
              </w:rPr>
              <w:t>Four cities</w:t>
            </w:r>
          </w:p>
        </w:tc>
        <w:tc>
          <w:tcPr>
            <w:tcW w:w="1286" w:type="dxa"/>
            <w:tcBorders>
              <w:bottom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c>
          <w:tcPr>
            <w:tcW w:w="1276" w:type="dxa"/>
            <w:tcBorders>
              <w:bottom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c>
          <w:tcPr>
            <w:tcW w:w="1559" w:type="dxa"/>
            <w:tcBorders>
              <w:bottom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c>
          <w:tcPr>
            <w:tcW w:w="1276" w:type="dxa"/>
            <w:tcBorders>
              <w:bottom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c>
          <w:tcPr>
            <w:tcW w:w="1559" w:type="dxa"/>
            <w:tcBorders>
              <w:bottom w:val="dotted" w:sz="4" w:space="0" w:color="0070C0"/>
            </w:tcBorders>
            <w:shd w:val="clear" w:color="auto" w:fill="auto"/>
            <w:vAlign w:val="center"/>
          </w:tcPr>
          <w:p w:rsidR="00A53396" w:rsidRPr="006F1D04" w:rsidRDefault="00A53396" w:rsidP="0082018B">
            <w:pPr>
              <w:spacing w:after="0" w:line="240" w:lineRule="auto"/>
              <w:jc w:val="center"/>
              <w:rPr>
                <w:rFonts w:ascii="Arial" w:hAnsi="Arial" w:cs="Arial"/>
                <w:sz w:val="14"/>
                <w:szCs w:val="14"/>
              </w:rPr>
            </w:pPr>
            <w:r w:rsidRPr="006F1D04">
              <w:rPr>
                <w:rFonts w:ascii="Arial" w:hAnsi="Arial" w:cs="Arial"/>
                <w:sz w:val="14"/>
                <w:szCs w:val="14"/>
              </w:rPr>
              <w:t>1,130, or 2.2% (95% CI: 0.2% to 4.3%)</w:t>
            </w:r>
          </w:p>
        </w:tc>
        <w:tc>
          <w:tcPr>
            <w:tcW w:w="2054" w:type="dxa"/>
            <w:tcBorders>
              <w:bottom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r>
      <w:tr w:rsidR="00AD2F75" w:rsidRPr="006F1D04" w:rsidTr="006E4DD0">
        <w:trPr>
          <w:trHeight w:hRule="exact" w:val="1141"/>
          <w:jc w:val="center"/>
        </w:trPr>
        <w:tc>
          <w:tcPr>
            <w:tcW w:w="642" w:type="dxa"/>
            <w:vMerge/>
            <w:shd w:val="clear" w:color="auto" w:fill="auto"/>
            <w:vAlign w:val="center"/>
          </w:tcPr>
          <w:p w:rsidR="00A53396" w:rsidRPr="006F1D04" w:rsidRDefault="00A53396" w:rsidP="0082018B">
            <w:pPr>
              <w:spacing w:after="0" w:line="240" w:lineRule="auto"/>
              <w:jc w:val="center"/>
              <w:rPr>
                <w:rFonts w:ascii="Arial" w:hAnsi="Arial" w:cs="Arial"/>
                <w:sz w:val="14"/>
                <w:szCs w:val="14"/>
              </w:rPr>
            </w:pPr>
          </w:p>
        </w:tc>
        <w:tc>
          <w:tcPr>
            <w:tcW w:w="856" w:type="dxa"/>
            <w:vMerge/>
            <w:shd w:val="clear" w:color="auto" w:fill="auto"/>
            <w:vAlign w:val="center"/>
          </w:tcPr>
          <w:p w:rsidR="00A53396" w:rsidRPr="006F1D04" w:rsidRDefault="00A53396" w:rsidP="0082018B">
            <w:pPr>
              <w:spacing w:after="0" w:line="240" w:lineRule="auto"/>
              <w:jc w:val="center"/>
              <w:rPr>
                <w:rFonts w:ascii="Arial" w:hAnsi="Arial" w:cs="Arial"/>
                <w:sz w:val="14"/>
                <w:szCs w:val="14"/>
              </w:rPr>
            </w:pPr>
          </w:p>
        </w:tc>
        <w:tc>
          <w:tcPr>
            <w:tcW w:w="1038" w:type="dxa"/>
            <w:tcBorders>
              <w:top w:val="dotted" w:sz="4" w:space="0" w:color="0070C0"/>
            </w:tcBorders>
            <w:shd w:val="clear" w:color="auto" w:fill="auto"/>
            <w:vAlign w:val="center"/>
          </w:tcPr>
          <w:p w:rsidR="00A53396" w:rsidRPr="006F1D04" w:rsidRDefault="00CB0AAF" w:rsidP="0082018B">
            <w:pPr>
              <w:spacing w:after="0" w:line="240" w:lineRule="auto"/>
              <w:jc w:val="center"/>
              <w:rPr>
                <w:rFonts w:ascii="Arial" w:hAnsi="Arial" w:cs="Arial"/>
                <w:sz w:val="14"/>
                <w:szCs w:val="14"/>
              </w:rPr>
            </w:pPr>
            <w:r w:rsidRPr="006F1D04">
              <w:rPr>
                <w:rFonts w:ascii="Arial" w:hAnsi="Arial" w:cs="Arial"/>
                <w:sz w:val="14"/>
                <w:szCs w:val="14"/>
              </w:rPr>
              <w:t>65+ years (pneumonia and short-term</w:t>
            </w:r>
            <w:r w:rsidR="00A53396" w:rsidRPr="006F1D04">
              <w:rPr>
                <w:rFonts w:ascii="Arial" w:hAnsi="Arial" w:cs="Arial"/>
                <w:sz w:val="14"/>
                <w:szCs w:val="14"/>
              </w:rPr>
              <w:t xml:space="preserve"> bronchitis)</w:t>
            </w:r>
          </w:p>
        </w:tc>
        <w:tc>
          <w:tcPr>
            <w:tcW w:w="1077" w:type="dxa"/>
            <w:tcBorders>
              <w:top w:val="dotted" w:sz="4" w:space="0" w:color="0070C0"/>
            </w:tcBorders>
            <w:shd w:val="clear" w:color="auto" w:fill="auto"/>
            <w:vAlign w:val="center"/>
          </w:tcPr>
          <w:p w:rsidR="00A53396" w:rsidRPr="006F1D04" w:rsidRDefault="00A53396" w:rsidP="0082018B">
            <w:pPr>
              <w:spacing w:after="0" w:line="240" w:lineRule="auto"/>
              <w:jc w:val="center"/>
              <w:rPr>
                <w:rFonts w:ascii="Arial" w:hAnsi="Arial" w:cs="Arial"/>
                <w:sz w:val="14"/>
                <w:szCs w:val="14"/>
              </w:rPr>
            </w:pPr>
            <w:r w:rsidRPr="006F1D04">
              <w:rPr>
                <w:rFonts w:ascii="Arial" w:hAnsi="Arial" w:cs="Arial"/>
                <w:sz w:val="14"/>
                <w:szCs w:val="14"/>
              </w:rPr>
              <w:t>Four cities</w:t>
            </w:r>
          </w:p>
        </w:tc>
        <w:tc>
          <w:tcPr>
            <w:tcW w:w="1286" w:type="dxa"/>
            <w:tcBorders>
              <w:top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c>
          <w:tcPr>
            <w:tcW w:w="1276" w:type="dxa"/>
            <w:tcBorders>
              <w:top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c>
          <w:tcPr>
            <w:tcW w:w="1559" w:type="dxa"/>
            <w:tcBorders>
              <w:top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c>
          <w:tcPr>
            <w:tcW w:w="1276" w:type="dxa"/>
            <w:tcBorders>
              <w:top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c>
          <w:tcPr>
            <w:tcW w:w="1559" w:type="dxa"/>
            <w:tcBorders>
              <w:top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530</w:t>
            </w:r>
            <w:r w:rsidR="00A53396" w:rsidRPr="006F1D04">
              <w:rPr>
                <w:rFonts w:ascii="Arial" w:hAnsi="Arial" w:cs="Arial"/>
                <w:sz w:val="14"/>
                <w:szCs w:val="14"/>
              </w:rPr>
              <w:t>, or 2.5% (95% CI: 0.3% to 5.0%)</w:t>
            </w:r>
          </w:p>
        </w:tc>
        <w:tc>
          <w:tcPr>
            <w:tcW w:w="2054" w:type="dxa"/>
            <w:tcBorders>
              <w:top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r>
      <w:tr w:rsidR="00AD2F75" w:rsidRPr="006F1D04" w:rsidTr="006E4DD0">
        <w:trPr>
          <w:trHeight w:hRule="exact" w:val="702"/>
          <w:jc w:val="center"/>
        </w:trPr>
        <w:tc>
          <w:tcPr>
            <w:tcW w:w="642" w:type="dxa"/>
            <w:vMerge w:val="restart"/>
            <w:shd w:val="clear" w:color="auto" w:fill="auto"/>
            <w:vAlign w:val="center"/>
          </w:tcPr>
          <w:p w:rsidR="00A53396" w:rsidRPr="006F1D04" w:rsidRDefault="00A53396" w:rsidP="0082018B">
            <w:pPr>
              <w:spacing w:after="0" w:line="240" w:lineRule="auto"/>
              <w:jc w:val="center"/>
              <w:rPr>
                <w:rFonts w:ascii="Arial" w:hAnsi="Arial" w:cs="Arial"/>
                <w:sz w:val="14"/>
                <w:szCs w:val="14"/>
              </w:rPr>
            </w:pPr>
            <w:r w:rsidRPr="006F1D04">
              <w:rPr>
                <w:rFonts w:ascii="Arial" w:hAnsi="Arial" w:cs="Arial"/>
                <w:sz w:val="14"/>
                <w:szCs w:val="14"/>
              </w:rPr>
              <w:t>PM</w:t>
            </w:r>
            <w:r w:rsidRPr="006F1D04">
              <w:rPr>
                <w:rFonts w:ascii="Arial" w:hAnsi="Arial" w:cs="Arial"/>
                <w:sz w:val="14"/>
                <w:szCs w:val="14"/>
                <w:vertAlign w:val="subscript"/>
              </w:rPr>
              <w:t>2.5</w:t>
            </w:r>
          </w:p>
        </w:tc>
        <w:tc>
          <w:tcPr>
            <w:tcW w:w="856" w:type="dxa"/>
            <w:vMerge w:val="restart"/>
            <w:shd w:val="clear" w:color="auto" w:fill="auto"/>
            <w:vAlign w:val="center"/>
          </w:tcPr>
          <w:p w:rsidR="00A53396" w:rsidRPr="006F1D04" w:rsidRDefault="00A53396" w:rsidP="0082018B">
            <w:pPr>
              <w:spacing w:after="0" w:line="240" w:lineRule="auto"/>
              <w:jc w:val="center"/>
              <w:rPr>
                <w:rFonts w:ascii="Arial" w:hAnsi="Arial" w:cs="Arial"/>
                <w:sz w:val="14"/>
                <w:szCs w:val="14"/>
              </w:rPr>
            </w:pPr>
            <w:r w:rsidRPr="006F1D04">
              <w:rPr>
                <w:rFonts w:ascii="Arial" w:hAnsi="Arial" w:cs="Arial"/>
                <w:sz w:val="14"/>
                <w:szCs w:val="14"/>
              </w:rPr>
              <w:t>Long-term</w:t>
            </w:r>
          </w:p>
        </w:tc>
        <w:tc>
          <w:tcPr>
            <w:tcW w:w="1038" w:type="dxa"/>
            <w:vMerge w:val="restart"/>
            <w:shd w:val="clear" w:color="auto" w:fill="auto"/>
            <w:vAlign w:val="center"/>
          </w:tcPr>
          <w:p w:rsidR="00A53396" w:rsidRPr="006F1D04" w:rsidRDefault="00A53396" w:rsidP="0082018B">
            <w:pPr>
              <w:spacing w:after="0" w:line="240" w:lineRule="auto"/>
              <w:jc w:val="center"/>
              <w:rPr>
                <w:rFonts w:ascii="Arial" w:hAnsi="Arial" w:cs="Arial"/>
                <w:sz w:val="14"/>
                <w:szCs w:val="14"/>
              </w:rPr>
            </w:pPr>
            <w:r w:rsidRPr="006F1D04">
              <w:rPr>
                <w:rFonts w:ascii="Arial" w:hAnsi="Arial" w:cs="Arial"/>
                <w:sz w:val="14"/>
                <w:szCs w:val="14"/>
              </w:rPr>
              <w:t>All</w:t>
            </w:r>
          </w:p>
        </w:tc>
        <w:tc>
          <w:tcPr>
            <w:tcW w:w="1077" w:type="dxa"/>
            <w:tcBorders>
              <w:bottom w:val="dotted" w:sz="4" w:space="0" w:color="0070C0"/>
            </w:tcBorders>
            <w:shd w:val="clear" w:color="auto" w:fill="auto"/>
            <w:vAlign w:val="center"/>
          </w:tcPr>
          <w:p w:rsidR="00A53396" w:rsidRPr="006F1D04" w:rsidRDefault="00A53396" w:rsidP="0082018B">
            <w:pPr>
              <w:spacing w:after="0" w:line="240" w:lineRule="auto"/>
              <w:jc w:val="center"/>
              <w:rPr>
                <w:rFonts w:ascii="Arial" w:hAnsi="Arial" w:cs="Arial"/>
                <w:sz w:val="14"/>
                <w:szCs w:val="14"/>
              </w:rPr>
            </w:pPr>
            <w:r w:rsidRPr="006F1D04">
              <w:rPr>
                <w:rFonts w:ascii="Arial" w:hAnsi="Arial" w:cs="Arial"/>
                <w:sz w:val="14"/>
                <w:szCs w:val="14"/>
              </w:rPr>
              <w:t>Four cities</w:t>
            </w:r>
          </w:p>
        </w:tc>
        <w:tc>
          <w:tcPr>
            <w:tcW w:w="1286" w:type="dxa"/>
            <w:tcBorders>
              <w:bottom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1,590</w:t>
            </w:r>
            <w:r w:rsidR="00A53396" w:rsidRPr="006F1D04">
              <w:rPr>
                <w:rFonts w:ascii="Arial" w:hAnsi="Arial" w:cs="Arial"/>
                <w:sz w:val="14"/>
                <w:szCs w:val="14"/>
              </w:rPr>
              <w:t>, or 2.2% (95% CI: 1.4% to 3.0%)</w:t>
            </w:r>
          </w:p>
        </w:tc>
        <w:tc>
          <w:tcPr>
            <w:tcW w:w="1276" w:type="dxa"/>
            <w:tcBorders>
              <w:bottom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c>
          <w:tcPr>
            <w:tcW w:w="1559" w:type="dxa"/>
            <w:tcBorders>
              <w:bottom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c>
          <w:tcPr>
            <w:tcW w:w="1276" w:type="dxa"/>
            <w:tcBorders>
              <w:bottom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c>
          <w:tcPr>
            <w:tcW w:w="1559" w:type="dxa"/>
            <w:tcBorders>
              <w:bottom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c>
          <w:tcPr>
            <w:tcW w:w="2054" w:type="dxa"/>
            <w:tcBorders>
              <w:bottom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r>
      <w:tr w:rsidR="00AD2F75" w:rsidRPr="006F1D04" w:rsidTr="006E4DD0">
        <w:trPr>
          <w:trHeight w:hRule="exact" w:val="712"/>
          <w:jc w:val="center"/>
        </w:trPr>
        <w:tc>
          <w:tcPr>
            <w:tcW w:w="642" w:type="dxa"/>
            <w:vMerge/>
            <w:shd w:val="clear" w:color="auto" w:fill="auto"/>
            <w:vAlign w:val="center"/>
          </w:tcPr>
          <w:p w:rsidR="00A53396" w:rsidRPr="006F1D04" w:rsidRDefault="00A53396" w:rsidP="0082018B">
            <w:pPr>
              <w:spacing w:after="0" w:line="240" w:lineRule="auto"/>
              <w:jc w:val="center"/>
              <w:rPr>
                <w:rFonts w:ascii="Arial" w:hAnsi="Arial" w:cs="Arial"/>
                <w:sz w:val="14"/>
                <w:szCs w:val="14"/>
              </w:rPr>
            </w:pPr>
          </w:p>
        </w:tc>
        <w:tc>
          <w:tcPr>
            <w:tcW w:w="856" w:type="dxa"/>
            <w:vMerge/>
            <w:shd w:val="clear" w:color="auto" w:fill="auto"/>
            <w:vAlign w:val="center"/>
          </w:tcPr>
          <w:p w:rsidR="00A53396" w:rsidRPr="006F1D04" w:rsidRDefault="00A53396" w:rsidP="0082018B">
            <w:pPr>
              <w:spacing w:after="0" w:line="240" w:lineRule="auto"/>
              <w:jc w:val="center"/>
              <w:rPr>
                <w:rFonts w:ascii="Arial" w:hAnsi="Arial" w:cs="Arial"/>
                <w:sz w:val="14"/>
                <w:szCs w:val="14"/>
              </w:rPr>
            </w:pPr>
          </w:p>
        </w:tc>
        <w:tc>
          <w:tcPr>
            <w:tcW w:w="1038" w:type="dxa"/>
            <w:vMerge/>
            <w:shd w:val="clear" w:color="auto" w:fill="auto"/>
            <w:vAlign w:val="center"/>
          </w:tcPr>
          <w:p w:rsidR="00A53396" w:rsidRPr="006F1D04" w:rsidRDefault="00A53396" w:rsidP="0082018B">
            <w:pPr>
              <w:spacing w:after="0" w:line="240" w:lineRule="auto"/>
              <w:jc w:val="center"/>
              <w:rPr>
                <w:rFonts w:ascii="Arial" w:hAnsi="Arial" w:cs="Arial"/>
                <w:sz w:val="14"/>
                <w:szCs w:val="14"/>
              </w:rPr>
            </w:pPr>
          </w:p>
        </w:tc>
        <w:tc>
          <w:tcPr>
            <w:tcW w:w="1077" w:type="dxa"/>
            <w:tcBorders>
              <w:top w:val="dotted" w:sz="4" w:space="0" w:color="0070C0"/>
              <w:bottom w:val="dotted" w:sz="4" w:space="0" w:color="0070C0"/>
            </w:tcBorders>
            <w:shd w:val="clear" w:color="auto" w:fill="auto"/>
            <w:vAlign w:val="center"/>
          </w:tcPr>
          <w:p w:rsidR="00A53396" w:rsidRPr="006F1D04" w:rsidRDefault="00A53396" w:rsidP="0082018B">
            <w:pPr>
              <w:spacing w:after="0" w:line="240" w:lineRule="auto"/>
              <w:jc w:val="center"/>
              <w:rPr>
                <w:rFonts w:ascii="Arial" w:hAnsi="Arial" w:cs="Arial"/>
                <w:sz w:val="14"/>
                <w:szCs w:val="14"/>
              </w:rPr>
            </w:pPr>
            <w:r w:rsidRPr="006F1D04">
              <w:rPr>
                <w:rFonts w:ascii="Arial" w:hAnsi="Arial" w:cs="Arial"/>
                <w:sz w:val="14"/>
                <w:szCs w:val="14"/>
              </w:rPr>
              <w:t>Sydney</w:t>
            </w:r>
          </w:p>
        </w:tc>
        <w:tc>
          <w:tcPr>
            <w:tcW w:w="1286" w:type="dxa"/>
            <w:tcBorders>
              <w:top w:val="dotted" w:sz="4" w:space="0" w:color="0070C0"/>
              <w:bottom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520</w:t>
            </w:r>
            <w:r w:rsidR="003F666D" w:rsidRPr="006F1D04">
              <w:rPr>
                <w:rFonts w:ascii="Arial" w:hAnsi="Arial" w:cs="Arial"/>
                <w:sz w:val="14"/>
                <w:szCs w:val="14"/>
              </w:rPr>
              <w:t>, or 2.0% (95% CI: 1.2% to 2.7%)</w:t>
            </w:r>
            <w:r w:rsidR="003F666D" w:rsidRPr="006F1D04">
              <w:rPr>
                <w:rFonts w:ascii="Arial" w:hAnsi="Arial" w:cs="Arial"/>
                <w:sz w:val="14"/>
                <w:szCs w:val="14"/>
                <w:vertAlign w:val="superscript"/>
              </w:rPr>
              <w:t>(b)</w:t>
            </w:r>
          </w:p>
        </w:tc>
        <w:tc>
          <w:tcPr>
            <w:tcW w:w="1276" w:type="dxa"/>
            <w:tcBorders>
              <w:top w:val="dotted" w:sz="4" w:space="0" w:color="0070C0"/>
              <w:bottom w:val="dotted" w:sz="4" w:space="0" w:color="0070C0"/>
            </w:tcBorders>
            <w:shd w:val="clear" w:color="auto" w:fill="auto"/>
            <w:vAlign w:val="center"/>
          </w:tcPr>
          <w:p w:rsidR="00A53396" w:rsidRPr="006F1D04" w:rsidRDefault="003F666D" w:rsidP="0082018B">
            <w:pPr>
              <w:spacing w:after="0" w:line="240" w:lineRule="auto"/>
              <w:jc w:val="center"/>
              <w:rPr>
                <w:rFonts w:ascii="Arial" w:hAnsi="Arial" w:cs="Arial"/>
                <w:sz w:val="14"/>
                <w:szCs w:val="14"/>
              </w:rPr>
            </w:pPr>
            <w:r w:rsidRPr="006F1D04">
              <w:rPr>
                <w:rFonts w:ascii="Arial" w:hAnsi="Arial" w:cs="Arial"/>
                <w:sz w:val="14"/>
                <w:szCs w:val="14"/>
              </w:rPr>
              <w:t>6,300</w:t>
            </w:r>
          </w:p>
        </w:tc>
        <w:tc>
          <w:tcPr>
            <w:tcW w:w="1559" w:type="dxa"/>
            <w:tcBorders>
              <w:top w:val="dotted" w:sz="4" w:space="0" w:color="0070C0"/>
              <w:bottom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c>
          <w:tcPr>
            <w:tcW w:w="1276" w:type="dxa"/>
            <w:tcBorders>
              <w:top w:val="dotted" w:sz="4" w:space="0" w:color="0070C0"/>
              <w:bottom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c>
          <w:tcPr>
            <w:tcW w:w="1559" w:type="dxa"/>
            <w:tcBorders>
              <w:top w:val="dotted" w:sz="4" w:space="0" w:color="0070C0"/>
              <w:bottom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c>
          <w:tcPr>
            <w:tcW w:w="2054" w:type="dxa"/>
            <w:tcBorders>
              <w:top w:val="dotted" w:sz="4" w:space="0" w:color="0070C0"/>
              <w:bottom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r>
      <w:tr w:rsidR="00AD2F75" w:rsidRPr="006F1D04" w:rsidTr="006E4DD0">
        <w:trPr>
          <w:trHeight w:hRule="exact" w:val="708"/>
          <w:jc w:val="center"/>
        </w:trPr>
        <w:tc>
          <w:tcPr>
            <w:tcW w:w="642" w:type="dxa"/>
            <w:vMerge/>
            <w:shd w:val="clear" w:color="auto" w:fill="auto"/>
            <w:vAlign w:val="center"/>
          </w:tcPr>
          <w:p w:rsidR="00A53396" w:rsidRPr="006F1D04" w:rsidRDefault="00A53396" w:rsidP="0082018B">
            <w:pPr>
              <w:spacing w:after="0" w:line="240" w:lineRule="auto"/>
              <w:jc w:val="center"/>
              <w:rPr>
                <w:rFonts w:ascii="Arial" w:hAnsi="Arial" w:cs="Arial"/>
                <w:sz w:val="14"/>
                <w:szCs w:val="14"/>
              </w:rPr>
            </w:pPr>
          </w:p>
        </w:tc>
        <w:tc>
          <w:tcPr>
            <w:tcW w:w="856" w:type="dxa"/>
            <w:vMerge/>
            <w:shd w:val="clear" w:color="auto" w:fill="auto"/>
            <w:vAlign w:val="center"/>
          </w:tcPr>
          <w:p w:rsidR="00A53396" w:rsidRPr="006F1D04" w:rsidRDefault="00A53396" w:rsidP="0082018B">
            <w:pPr>
              <w:spacing w:after="0" w:line="240" w:lineRule="auto"/>
              <w:jc w:val="center"/>
              <w:rPr>
                <w:rFonts w:ascii="Arial" w:hAnsi="Arial" w:cs="Arial"/>
                <w:sz w:val="14"/>
                <w:szCs w:val="14"/>
              </w:rPr>
            </w:pPr>
          </w:p>
        </w:tc>
        <w:tc>
          <w:tcPr>
            <w:tcW w:w="1038" w:type="dxa"/>
            <w:vMerge/>
            <w:shd w:val="clear" w:color="auto" w:fill="auto"/>
            <w:vAlign w:val="center"/>
          </w:tcPr>
          <w:p w:rsidR="00A53396" w:rsidRPr="006F1D04" w:rsidRDefault="00A53396" w:rsidP="0082018B">
            <w:pPr>
              <w:spacing w:after="0" w:line="240" w:lineRule="auto"/>
              <w:jc w:val="center"/>
              <w:rPr>
                <w:rFonts w:ascii="Arial" w:hAnsi="Arial" w:cs="Arial"/>
                <w:sz w:val="14"/>
                <w:szCs w:val="14"/>
              </w:rPr>
            </w:pPr>
          </w:p>
        </w:tc>
        <w:tc>
          <w:tcPr>
            <w:tcW w:w="1077" w:type="dxa"/>
            <w:tcBorders>
              <w:top w:val="dotted" w:sz="4" w:space="0" w:color="0070C0"/>
            </w:tcBorders>
            <w:shd w:val="clear" w:color="auto" w:fill="auto"/>
            <w:vAlign w:val="center"/>
          </w:tcPr>
          <w:p w:rsidR="00A53396" w:rsidRPr="006F1D04" w:rsidRDefault="00A53396" w:rsidP="0082018B">
            <w:pPr>
              <w:spacing w:after="0" w:line="240" w:lineRule="auto"/>
              <w:jc w:val="center"/>
              <w:rPr>
                <w:rFonts w:ascii="Arial" w:hAnsi="Arial" w:cs="Arial"/>
                <w:sz w:val="14"/>
                <w:szCs w:val="14"/>
              </w:rPr>
            </w:pPr>
            <w:r w:rsidRPr="006F1D04">
              <w:rPr>
                <w:rFonts w:ascii="Arial" w:hAnsi="Arial" w:cs="Arial"/>
                <w:sz w:val="14"/>
                <w:szCs w:val="14"/>
              </w:rPr>
              <w:t>Sydney</w:t>
            </w:r>
          </w:p>
        </w:tc>
        <w:tc>
          <w:tcPr>
            <w:tcW w:w="1286" w:type="dxa"/>
            <w:tcBorders>
              <w:top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c>
          <w:tcPr>
            <w:tcW w:w="1276" w:type="dxa"/>
            <w:tcBorders>
              <w:top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c>
          <w:tcPr>
            <w:tcW w:w="1559" w:type="dxa"/>
            <w:tcBorders>
              <w:top w:val="dotted" w:sz="4" w:space="0" w:color="0070C0"/>
            </w:tcBorders>
            <w:shd w:val="clear" w:color="auto" w:fill="auto"/>
            <w:vAlign w:val="center"/>
          </w:tcPr>
          <w:p w:rsidR="00A53396" w:rsidRPr="006F1D04" w:rsidRDefault="00A53396" w:rsidP="0082018B">
            <w:pPr>
              <w:spacing w:after="0" w:line="240" w:lineRule="auto"/>
              <w:jc w:val="center"/>
              <w:rPr>
                <w:rFonts w:ascii="Arial" w:hAnsi="Arial" w:cs="Arial"/>
                <w:sz w:val="14"/>
                <w:szCs w:val="14"/>
              </w:rPr>
            </w:pPr>
            <w:r w:rsidRPr="006F1D04">
              <w:rPr>
                <w:rFonts w:ascii="Arial" w:hAnsi="Arial" w:cs="Arial"/>
                <w:sz w:val="14"/>
                <w:szCs w:val="14"/>
              </w:rPr>
              <w:t>72 days for males and 65 days for females</w:t>
            </w:r>
          </w:p>
        </w:tc>
        <w:tc>
          <w:tcPr>
            <w:tcW w:w="1276" w:type="dxa"/>
            <w:tcBorders>
              <w:top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c>
          <w:tcPr>
            <w:tcW w:w="1559" w:type="dxa"/>
            <w:tcBorders>
              <w:top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c>
          <w:tcPr>
            <w:tcW w:w="2054" w:type="dxa"/>
            <w:tcBorders>
              <w:top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r>
      <w:tr w:rsidR="00AD2F75" w:rsidRPr="006F1D04" w:rsidTr="006F2547">
        <w:trPr>
          <w:trHeight w:hRule="exact" w:val="567"/>
          <w:jc w:val="center"/>
        </w:trPr>
        <w:tc>
          <w:tcPr>
            <w:tcW w:w="642" w:type="dxa"/>
            <w:vMerge/>
            <w:shd w:val="clear" w:color="auto" w:fill="auto"/>
          </w:tcPr>
          <w:p w:rsidR="00A53396" w:rsidRPr="006F1D04" w:rsidRDefault="00A53396" w:rsidP="0082018B">
            <w:pPr>
              <w:spacing w:after="0" w:line="240" w:lineRule="auto"/>
              <w:jc w:val="center"/>
              <w:rPr>
                <w:rFonts w:ascii="Arial" w:hAnsi="Arial" w:cs="Arial"/>
                <w:sz w:val="14"/>
                <w:szCs w:val="14"/>
              </w:rPr>
            </w:pPr>
          </w:p>
        </w:tc>
        <w:tc>
          <w:tcPr>
            <w:tcW w:w="856" w:type="dxa"/>
            <w:vMerge w:val="restart"/>
            <w:shd w:val="clear" w:color="auto" w:fill="auto"/>
            <w:vAlign w:val="center"/>
          </w:tcPr>
          <w:p w:rsidR="00A53396" w:rsidRPr="006F1D04" w:rsidRDefault="00A53396" w:rsidP="0082018B">
            <w:pPr>
              <w:spacing w:after="0" w:line="240" w:lineRule="auto"/>
              <w:jc w:val="center"/>
              <w:rPr>
                <w:rFonts w:ascii="Arial" w:hAnsi="Arial" w:cs="Arial"/>
                <w:sz w:val="14"/>
                <w:szCs w:val="14"/>
              </w:rPr>
            </w:pPr>
            <w:r w:rsidRPr="006F1D04">
              <w:rPr>
                <w:rFonts w:ascii="Arial" w:hAnsi="Arial" w:cs="Arial"/>
                <w:sz w:val="14"/>
                <w:szCs w:val="14"/>
              </w:rPr>
              <w:t>Short-term</w:t>
            </w:r>
          </w:p>
        </w:tc>
        <w:tc>
          <w:tcPr>
            <w:tcW w:w="1038" w:type="dxa"/>
            <w:tcBorders>
              <w:bottom w:val="dotted" w:sz="4" w:space="0" w:color="0070C0"/>
            </w:tcBorders>
            <w:shd w:val="clear" w:color="auto" w:fill="auto"/>
            <w:vAlign w:val="center"/>
          </w:tcPr>
          <w:p w:rsidR="00A53396" w:rsidRPr="006F1D04" w:rsidRDefault="00A53396" w:rsidP="0082018B">
            <w:pPr>
              <w:spacing w:after="0" w:line="240" w:lineRule="auto"/>
              <w:jc w:val="center"/>
              <w:rPr>
                <w:rFonts w:ascii="Arial" w:hAnsi="Arial" w:cs="Arial"/>
                <w:sz w:val="14"/>
                <w:szCs w:val="14"/>
              </w:rPr>
            </w:pPr>
            <w:r w:rsidRPr="006F1D04">
              <w:rPr>
                <w:rFonts w:ascii="Arial" w:hAnsi="Arial" w:cs="Arial"/>
                <w:sz w:val="14"/>
                <w:szCs w:val="14"/>
              </w:rPr>
              <w:t>0</w:t>
            </w:r>
            <w:r w:rsidR="00DE15F0" w:rsidRPr="006F1D04">
              <w:rPr>
                <w:rFonts w:ascii="Arial" w:hAnsi="Arial" w:cs="Arial"/>
                <w:sz w:val="14"/>
                <w:szCs w:val="14"/>
              </w:rPr>
              <w:t>–</w:t>
            </w:r>
            <w:r w:rsidRPr="006F1D04">
              <w:rPr>
                <w:rFonts w:ascii="Arial" w:hAnsi="Arial" w:cs="Arial"/>
                <w:sz w:val="14"/>
                <w:szCs w:val="14"/>
              </w:rPr>
              <w:t>14 years (asthma)</w:t>
            </w:r>
          </w:p>
        </w:tc>
        <w:tc>
          <w:tcPr>
            <w:tcW w:w="1077" w:type="dxa"/>
            <w:tcBorders>
              <w:bottom w:val="dotted" w:sz="4" w:space="0" w:color="0070C0"/>
            </w:tcBorders>
            <w:shd w:val="clear" w:color="auto" w:fill="auto"/>
            <w:vAlign w:val="center"/>
          </w:tcPr>
          <w:p w:rsidR="00A53396" w:rsidRPr="006F1D04" w:rsidRDefault="00A53396" w:rsidP="0082018B">
            <w:pPr>
              <w:spacing w:after="0" w:line="240" w:lineRule="auto"/>
              <w:jc w:val="center"/>
              <w:rPr>
                <w:rFonts w:ascii="Arial" w:hAnsi="Arial" w:cs="Arial"/>
                <w:sz w:val="14"/>
                <w:szCs w:val="14"/>
              </w:rPr>
            </w:pPr>
            <w:r w:rsidRPr="006F1D04">
              <w:rPr>
                <w:rFonts w:ascii="Arial" w:hAnsi="Arial" w:cs="Arial"/>
                <w:sz w:val="14"/>
                <w:szCs w:val="14"/>
              </w:rPr>
              <w:t>Four cities</w:t>
            </w:r>
          </w:p>
        </w:tc>
        <w:tc>
          <w:tcPr>
            <w:tcW w:w="1286" w:type="dxa"/>
            <w:tcBorders>
              <w:bottom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c>
          <w:tcPr>
            <w:tcW w:w="1276" w:type="dxa"/>
            <w:tcBorders>
              <w:bottom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c>
          <w:tcPr>
            <w:tcW w:w="1559" w:type="dxa"/>
            <w:tcBorders>
              <w:bottom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c>
          <w:tcPr>
            <w:tcW w:w="1276" w:type="dxa"/>
            <w:tcBorders>
              <w:bottom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c>
          <w:tcPr>
            <w:tcW w:w="1559" w:type="dxa"/>
            <w:tcBorders>
              <w:bottom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c>
          <w:tcPr>
            <w:tcW w:w="2054" w:type="dxa"/>
            <w:tcBorders>
              <w:bottom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120</w:t>
            </w:r>
            <w:r w:rsidR="00A53396" w:rsidRPr="006F1D04">
              <w:rPr>
                <w:rFonts w:ascii="Arial" w:hAnsi="Arial" w:cs="Arial"/>
                <w:sz w:val="14"/>
                <w:szCs w:val="14"/>
              </w:rPr>
              <w:t>, or 0.6% (95% CI: 0.4% to 0.8%)</w:t>
            </w:r>
            <w:r w:rsidR="00931FAA" w:rsidRPr="006F1D04">
              <w:rPr>
                <w:rFonts w:ascii="Arial" w:hAnsi="Arial" w:cs="Arial"/>
                <w:sz w:val="14"/>
                <w:szCs w:val="14"/>
                <w:vertAlign w:val="superscript"/>
              </w:rPr>
              <w:t>(c)</w:t>
            </w:r>
          </w:p>
        </w:tc>
      </w:tr>
      <w:tr w:rsidR="00AD2F75" w:rsidRPr="006F1D04" w:rsidTr="006F2547">
        <w:trPr>
          <w:trHeight w:hRule="exact" w:val="718"/>
          <w:jc w:val="center"/>
        </w:trPr>
        <w:tc>
          <w:tcPr>
            <w:tcW w:w="642" w:type="dxa"/>
            <w:vMerge/>
            <w:shd w:val="clear" w:color="auto" w:fill="auto"/>
            <w:vAlign w:val="center"/>
          </w:tcPr>
          <w:p w:rsidR="00A53396" w:rsidRPr="006F1D04" w:rsidRDefault="00A53396" w:rsidP="0082018B">
            <w:pPr>
              <w:spacing w:after="0" w:line="240" w:lineRule="auto"/>
              <w:jc w:val="center"/>
              <w:rPr>
                <w:rFonts w:ascii="Arial" w:hAnsi="Arial" w:cs="Arial"/>
                <w:sz w:val="14"/>
                <w:szCs w:val="14"/>
              </w:rPr>
            </w:pPr>
          </w:p>
        </w:tc>
        <w:tc>
          <w:tcPr>
            <w:tcW w:w="856" w:type="dxa"/>
            <w:vMerge/>
            <w:shd w:val="clear" w:color="auto" w:fill="auto"/>
            <w:vAlign w:val="center"/>
          </w:tcPr>
          <w:p w:rsidR="00A53396" w:rsidRPr="006F1D04" w:rsidRDefault="00A53396" w:rsidP="0082018B">
            <w:pPr>
              <w:spacing w:after="0" w:line="240" w:lineRule="auto"/>
              <w:jc w:val="center"/>
              <w:rPr>
                <w:rFonts w:ascii="Arial" w:hAnsi="Arial" w:cs="Arial"/>
                <w:sz w:val="14"/>
                <w:szCs w:val="14"/>
              </w:rPr>
            </w:pPr>
          </w:p>
        </w:tc>
        <w:tc>
          <w:tcPr>
            <w:tcW w:w="1038" w:type="dxa"/>
            <w:tcBorders>
              <w:top w:val="dotted" w:sz="4" w:space="0" w:color="0070C0"/>
            </w:tcBorders>
            <w:shd w:val="clear" w:color="auto" w:fill="auto"/>
            <w:vAlign w:val="center"/>
          </w:tcPr>
          <w:p w:rsidR="00A53396" w:rsidRPr="006F1D04" w:rsidRDefault="00A53396" w:rsidP="0082018B">
            <w:pPr>
              <w:spacing w:after="0" w:line="240" w:lineRule="auto"/>
              <w:jc w:val="center"/>
              <w:rPr>
                <w:rFonts w:ascii="Arial" w:hAnsi="Arial" w:cs="Arial"/>
                <w:sz w:val="14"/>
                <w:szCs w:val="14"/>
              </w:rPr>
            </w:pPr>
            <w:r w:rsidRPr="006F1D04">
              <w:rPr>
                <w:rFonts w:ascii="Arial" w:hAnsi="Arial" w:cs="Arial"/>
                <w:sz w:val="14"/>
                <w:szCs w:val="14"/>
              </w:rPr>
              <w:t>All</w:t>
            </w:r>
          </w:p>
        </w:tc>
        <w:tc>
          <w:tcPr>
            <w:tcW w:w="1077" w:type="dxa"/>
            <w:tcBorders>
              <w:top w:val="dotted" w:sz="4" w:space="0" w:color="0070C0"/>
            </w:tcBorders>
            <w:shd w:val="clear" w:color="auto" w:fill="auto"/>
            <w:vAlign w:val="center"/>
          </w:tcPr>
          <w:p w:rsidR="00A53396" w:rsidRPr="006F1D04" w:rsidRDefault="00A53396" w:rsidP="0082018B">
            <w:pPr>
              <w:spacing w:after="0" w:line="240" w:lineRule="auto"/>
              <w:jc w:val="center"/>
              <w:rPr>
                <w:rFonts w:ascii="Arial" w:hAnsi="Arial" w:cs="Arial"/>
                <w:sz w:val="14"/>
                <w:szCs w:val="14"/>
              </w:rPr>
            </w:pPr>
            <w:r w:rsidRPr="006F1D04">
              <w:rPr>
                <w:rFonts w:ascii="Arial" w:hAnsi="Arial" w:cs="Arial"/>
                <w:sz w:val="14"/>
                <w:szCs w:val="14"/>
              </w:rPr>
              <w:t>Four cities</w:t>
            </w:r>
          </w:p>
        </w:tc>
        <w:tc>
          <w:tcPr>
            <w:tcW w:w="1286" w:type="dxa"/>
            <w:tcBorders>
              <w:top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c>
          <w:tcPr>
            <w:tcW w:w="1276" w:type="dxa"/>
            <w:tcBorders>
              <w:top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c>
          <w:tcPr>
            <w:tcW w:w="1559" w:type="dxa"/>
            <w:tcBorders>
              <w:top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c>
          <w:tcPr>
            <w:tcW w:w="1276" w:type="dxa"/>
            <w:tcBorders>
              <w:top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2,070</w:t>
            </w:r>
            <w:r w:rsidR="00A53396" w:rsidRPr="006F1D04">
              <w:rPr>
                <w:rFonts w:ascii="Arial" w:hAnsi="Arial" w:cs="Arial"/>
                <w:sz w:val="14"/>
                <w:szCs w:val="14"/>
              </w:rPr>
              <w:t>, or 1.4% (95% CI: 0.6% to 2.1%)</w:t>
            </w:r>
          </w:p>
        </w:tc>
        <w:tc>
          <w:tcPr>
            <w:tcW w:w="1559" w:type="dxa"/>
            <w:tcBorders>
              <w:top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c>
          <w:tcPr>
            <w:tcW w:w="2054" w:type="dxa"/>
            <w:tcBorders>
              <w:top w:val="dotted" w:sz="4" w:space="0" w:color="0070C0"/>
            </w:tcBorders>
            <w:shd w:val="clear" w:color="auto" w:fill="auto"/>
            <w:vAlign w:val="center"/>
          </w:tcPr>
          <w:p w:rsidR="00A53396" w:rsidRPr="006F1D04" w:rsidRDefault="00DE15F0" w:rsidP="0082018B">
            <w:pPr>
              <w:spacing w:after="0" w:line="240" w:lineRule="auto"/>
              <w:jc w:val="center"/>
              <w:rPr>
                <w:rFonts w:ascii="Arial" w:hAnsi="Arial" w:cs="Arial"/>
                <w:sz w:val="14"/>
                <w:szCs w:val="14"/>
              </w:rPr>
            </w:pPr>
            <w:r w:rsidRPr="006F1D04">
              <w:rPr>
                <w:rFonts w:ascii="Arial" w:hAnsi="Arial" w:cs="Arial"/>
                <w:sz w:val="14"/>
                <w:szCs w:val="14"/>
              </w:rPr>
              <w:t>–</w:t>
            </w:r>
          </w:p>
        </w:tc>
      </w:tr>
    </w:tbl>
    <w:p w:rsidR="00A53396" w:rsidRPr="006F1D04" w:rsidRDefault="00A53396" w:rsidP="003F666D">
      <w:pPr>
        <w:pStyle w:val="ListParagraph"/>
        <w:numPr>
          <w:ilvl w:val="0"/>
          <w:numId w:val="17"/>
        </w:numPr>
        <w:spacing w:before="120" w:after="0" w:line="240" w:lineRule="auto"/>
        <w:ind w:left="1135" w:right="1514" w:hanging="284"/>
        <w:contextualSpacing w:val="0"/>
        <w:rPr>
          <w:rFonts w:ascii="Arial" w:hAnsi="Arial" w:cs="Arial"/>
          <w:sz w:val="14"/>
          <w:szCs w:val="14"/>
        </w:rPr>
      </w:pPr>
      <w:r w:rsidRPr="006F1D04">
        <w:rPr>
          <w:rFonts w:ascii="Arial" w:hAnsi="Arial" w:cs="Arial"/>
          <w:sz w:val="14"/>
          <w:szCs w:val="14"/>
        </w:rPr>
        <w:t>Attribut</w:t>
      </w:r>
      <w:r w:rsidR="00964D73" w:rsidRPr="006F1D04">
        <w:rPr>
          <w:rFonts w:ascii="Arial" w:hAnsi="Arial" w:cs="Arial"/>
          <w:sz w:val="14"/>
          <w:szCs w:val="14"/>
        </w:rPr>
        <w:t>able cases estimated for baseline</w:t>
      </w:r>
      <w:r w:rsidRPr="006F1D04">
        <w:rPr>
          <w:rFonts w:ascii="Arial" w:hAnsi="Arial" w:cs="Arial"/>
          <w:sz w:val="14"/>
          <w:szCs w:val="14"/>
        </w:rPr>
        <w:t xml:space="preserve"> exposures above a background (or baseline) exposure for PM</w:t>
      </w:r>
      <w:r w:rsidRPr="006F1D04">
        <w:rPr>
          <w:rFonts w:ascii="Arial" w:hAnsi="Arial" w:cs="Arial"/>
          <w:sz w:val="14"/>
          <w:szCs w:val="14"/>
          <w:vertAlign w:val="subscript"/>
        </w:rPr>
        <w:t>10</w:t>
      </w:r>
      <w:r w:rsidRPr="006F1D04">
        <w:rPr>
          <w:rFonts w:ascii="Arial" w:hAnsi="Arial" w:cs="Arial"/>
          <w:sz w:val="14"/>
          <w:szCs w:val="14"/>
        </w:rPr>
        <w:t xml:space="preserve"> and PM</w:t>
      </w:r>
      <w:r w:rsidRPr="006F1D04">
        <w:rPr>
          <w:rFonts w:ascii="Arial" w:hAnsi="Arial" w:cs="Arial"/>
          <w:sz w:val="14"/>
          <w:szCs w:val="14"/>
          <w:vertAlign w:val="subscript"/>
        </w:rPr>
        <w:t>2.5</w:t>
      </w:r>
      <w:r w:rsidR="00131CB5" w:rsidRPr="006F1D04">
        <w:rPr>
          <w:rFonts w:ascii="Arial" w:hAnsi="Arial" w:cs="Arial"/>
          <w:sz w:val="14"/>
          <w:szCs w:val="14"/>
        </w:rPr>
        <w:t xml:space="preserve"> of </w:t>
      </w:r>
      <w:r w:rsidRPr="006F1D04">
        <w:rPr>
          <w:rFonts w:ascii="Arial" w:hAnsi="Arial" w:cs="Arial"/>
          <w:sz w:val="14"/>
          <w:szCs w:val="14"/>
        </w:rPr>
        <w:t xml:space="preserve">7.5 </w:t>
      </w:r>
      <w:proofErr w:type="spellStart"/>
      <w:r w:rsidRPr="006F1D04">
        <w:rPr>
          <w:rFonts w:ascii="Arial" w:hAnsi="Arial" w:cs="Arial"/>
          <w:sz w:val="14"/>
          <w:szCs w:val="14"/>
        </w:rPr>
        <w:t>μg</w:t>
      </w:r>
      <w:proofErr w:type="spellEnd"/>
      <w:r w:rsidRPr="006F1D04">
        <w:rPr>
          <w:rFonts w:ascii="Arial" w:hAnsi="Arial" w:cs="Arial"/>
          <w:sz w:val="14"/>
          <w:szCs w:val="14"/>
        </w:rPr>
        <w:t>/m</w:t>
      </w:r>
      <w:r w:rsidRPr="006F1D04">
        <w:rPr>
          <w:rFonts w:ascii="Arial" w:hAnsi="Arial" w:cs="Arial"/>
          <w:sz w:val="14"/>
          <w:szCs w:val="14"/>
          <w:vertAlign w:val="superscript"/>
        </w:rPr>
        <w:t>3</w:t>
      </w:r>
      <w:r w:rsidRPr="006F1D04">
        <w:rPr>
          <w:rFonts w:ascii="Arial" w:hAnsi="Arial" w:cs="Arial"/>
          <w:sz w:val="14"/>
          <w:szCs w:val="14"/>
        </w:rPr>
        <w:t xml:space="preserve"> and 2.7 </w:t>
      </w:r>
      <w:proofErr w:type="spellStart"/>
      <w:r w:rsidRPr="006F1D04">
        <w:rPr>
          <w:rFonts w:ascii="Arial" w:hAnsi="Arial" w:cs="Arial"/>
          <w:sz w:val="14"/>
          <w:szCs w:val="14"/>
        </w:rPr>
        <w:t>μg</w:t>
      </w:r>
      <w:proofErr w:type="spellEnd"/>
      <w:r w:rsidRPr="006F1D04">
        <w:rPr>
          <w:rFonts w:ascii="Arial" w:hAnsi="Arial" w:cs="Arial"/>
          <w:sz w:val="14"/>
          <w:szCs w:val="14"/>
        </w:rPr>
        <w:t>/m</w:t>
      </w:r>
      <w:r w:rsidRPr="006F1D04">
        <w:rPr>
          <w:rFonts w:ascii="Arial" w:hAnsi="Arial" w:cs="Arial"/>
          <w:sz w:val="14"/>
          <w:szCs w:val="14"/>
          <w:vertAlign w:val="superscript"/>
        </w:rPr>
        <w:t>3</w:t>
      </w:r>
      <w:r w:rsidRPr="006F1D04">
        <w:rPr>
          <w:rFonts w:ascii="Arial" w:hAnsi="Arial" w:cs="Arial"/>
          <w:sz w:val="14"/>
          <w:szCs w:val="14"/>
        </w:rPr>
        <w:t xml:space="preserve"> respectively.</w:t>
      </w:r>
    </w:p>
    <w:p w:rsidR="00BA3E94" w:rsidRPr="006F1D04" w:rsidRDefault="003F666D" w:rsidP="003F666D">
      <w:pPr>
        <w:pStyle w:val="ListParagraph"/>
        <w:numPr>
          <w:ilvl w:val="0"/>
          <w:numId w:val="17"/>
        </w:numPr>
        <w:spacing w:before="60" w:after="0" w:line="240" w:lineRule="auto"/>
        <w:ind w:left="1135" w:right="1514" w:hanging="284"/>
        <w:contextualSpacing w:val="0"/>
        <w:rPr>
          <w:rFonts w:ascii="Arial" w:hAnsi="Arial" w:cs="Arial"/>
          <w:sz w:val="14"/>
          <w:szCs w:val="14"/>
        </w:rPr>
      </w:pPr>
      <w:r w:rsidRPr="006F1D04">
        <w:rPr>
          <w:rFonts w:ascii="Arial" w:hAnsi="Arial" w:cs="Arial"/>
          <w:sz w:val="14"/>
          <w:szCs w:val="14"/>
        </w:rPr>
        <w:t xml:space="preserve">Based on an additional analysis conducted by NSW Health </w:t>
      </w:r>
      <w:r w:rsidR="00964D73" w:rsidRPr="006F1D04">
        <w:rPr>
          <w:rFonts w:ascii="Arial" w:hAnsi="Arial" w:cs="Arial"/>
          <w:sz w:val="14"/>
          <w:szCs w:val="14"/>
        </w:rPr>
        <w:t>to estimate the baseline</w:t>
      </w:r>
      <w:r w:rsidRPr="006F1D04">
        <w:rPr>
          <w:rFonts w:ascii="Arial" w:hAnsi="Arial" w:cs="Arial"/>
          <w:sz w:val="14"/>
          <w:szCs w:val="14"/>
        </w:rPr>
        <w:t xml:space="preserve"> number of years of life lost due to long-term exposure to PM</w:t>
      </w:r>
      <w:r w:rsidRPr="006F1D04">
        <w:rPr>
          <w:rFonts w:ascii="Arial" w:hAnsi="Arial" w:cs="Arial"/>
          <w:sz w:val="14"/>
          <w:szCs w:val="14"/>
          <w:vertAlign w:val="subscript"/>
        </w:rPr>
        <w:t>2.5</w:t>
      </w:r>
      <w:r w:rsidRPr="006F1D04">
        <w:rPr>
          <w:rFonts w:ascii="Arial" w:hAnsi="Arial" w:cs="Arial"/>
          <w:sz w:val="14"/>
          <w:szCs w:val="14"/>
        </w:rPr>
        <w:t xml:space="preserve"> in Sydney. The total number of years of life that would be saved over the next 100 years by reducing long-term PM</w:t>
      </w:r>
      <w:r w:rsidRPr="006F1D04">
        <w:rPr>
          <w:rFonts w:ascii="Arial" w:hAnsi="Arial" w:cs="Arial"/>
          <w:sz w:val="14"/>
          <w:szCs w:val="14"/>
          <w:vertAlign w:val="subscript"/>
        </w:rPr>
        <w:t>2.5</w:t>
      </w:r>
      <w:r w:rsidR="006E4DD0" w:rsidRPr="006F1D04">
        <w:rPr>
          <w:rFonts w:ascii="Arial" w:hAnsi="Arial" w:cs="Arial"/>
          <w:sz w:val="14"/>
          <w:szCs w:val="14"/>
        </w:rPr>
        <w:t xml:space="preserve"> exposure to background wa</w:t>
      </w:r>
      <w:r w:rsidRPr="006F1D04">
        <w:rPr>
          <w:rFonts w:ascii="Arial" w:hAnsi="Arial" w:cs="Arial"/>
          <w:sz w:val="14"/>
          <w:szCs w:val="14"/>
        </w:rPr>
        <w:t>s estimated to be 916,000 life years.</w:t>
      </w:r>
    </w:p>
    <w:p w:rsidR="00EE28A4" w:rsidRPr="006F1D04" w:rsidRDefault="00EE28A4" w:rsidP="003F666D">
      <w:pPr>
        <w:pStyle w:val="ListParagraph"/>
        <w:numPr>
          <w:ilvl w:val="0"/>
          <w:numId w:val="17"/>
        </w:numPr>
        <w:spacing w:before="60" w:after="0" w:line="240" w:lineRule="auto"/>
        <w:ind w:left="1135" w:right="1514" w:hanging="284"/>
        <w:contextualSpacing w:val="0"/>
        <w:rPr>
          <w:rFonts w:ascii="Arial" w:hAnsi="Arial" w:cs="Arial"/>
          <w:sz w:val="14"/>
          <w:szCs w:val="14"/>
        </w:rPr>
      </w:pPr>
      <w:r w:rsidRPr="006F1D04">
        <w:rPr>
          <w:rFonts w:ascii="Arial" w:hAnsi="Arial" w:cs="Arial"/>
          <w:sz w:val="14"/>
          <w:szCs w:val="14"/>
        </w:rPr>
        <w:t>There may be some overlap between asthma emergency department visits among 0</w:t>
      </w:r>
      <w:r w:rsidR="00DE15F0" w:rsidRPr="006F1D04">
        <w:rPr>
          <w:rFonts w:ascii="Arial" w:hAnsi="Arial" w:cs="Arial"/>
          <w:sz w:val="14"/>
          <w:szCs w:val="14"/>
        </w:rPr>
        <w:t>–</w:t>
      </w:r>
      <w:r w:rsidRPr="006F1D04">
        <w:rPr>
          <w:rFonts w:ascii="Arial" w:hAnsi="Arial" w:cs="Arial"/>
          <w:sz w:val="14"/>
          <w:szCs w:val="14"/>
        </w:rPr>
        <w:t>14 year olds associated with PM</w:t>
      </w:r>
      <w:r w:rsidRPr="006F1D04">
        <w:rPr>
          <w:rFonts w:ascii="Arial" w:hAnsi="Arial" w:cs="Arial"/>
          <w:sz w:val="14"/>
          <w:szCs w:val="14"/>
          <w:vertAlign w:val="subscript"/>
        </w:rPr>
        <w:t>2.5</w:t>
      </w:r>
      <w:r w:rsidRPr="006F1D04">
        <w:rPr>
          <w:rFonts w:ascii="Arial" w:hAnsi="Arial" w:cs="Arial"/>
          <w:sz w:val="14"/>
          <w:szCs w:val="14"/>
        </w:rPr>
        <w:t xml:space="preserve"> exposure and respiratory hospital admissions among 0</w:t>
      </w:r>
      <w:r w:rsidR="00DE15F0" w:rsidRPr="006F1D04">
        <w:rPr>
          <w:rFonts w:ascii="Arial" w:hAnsi="Arial" w:cs="Arial"/>
          <w:sz w:val="14"/>
          <w:szCs w:val="14"/>
        </w:rPr>
        <w:t>–</w:t>
      </w:r>
      <w:r w:rsidRPr="006F1D04">
        <w:rPr>
          <w:rFonts w:ascii="Arial" w:hAnsi="Arial" w:cs="Arial"/>
          <w:sz w:val="14"/>
          <w:szCs w:val="14"/>
        </w:rPr>
        <w:t>14 year</w:t>
      </w:r>
      <w:r w:rsidR="00DE15F0" w:rsidRPr="006F1D04">
        <w:rPr>
          <w:rFonts w:ascii="Arial" w:hAnsi="Arial" w:cs="Arial"/>
          <w:sz w:val="14"/>
          <w:szCs w:val="14"/>
        </w:rPr>
        <w:t xml:space="preserve"> olds</w:t>
      </w:r>
      <w:r w:rsidRPr="006F1D04">
        <w:rPr>
          <w:rFonts w:ascii="Arial" w:hAnsi="Arial" w:cs="Arial"/>
          <w:sz w:val="14"/>
          <w:szCs w:val="14"/>
        </w:rPr>
        <w:t xml:space="preserve"> associated with PM</w:t>
      </w:r>
      <w:r w:rsidRPr="006F1D04">
        <w:rPr>
          <w:rFonts w:ascii="Arial" w:hAnsi="Arial" w:cs="Arial"/>
          <w:sz w:val="14"/>
          <w:szCs w:val="14"/>
          <w:vertAlign w:val="subscript"/>
        </w:rPr>
        <w:t>10</w:t>
      </w:r>
      <w:r w:rsidRPr="006F1D04">
        <w:rPr>
          <w:rFonts w:ascii="Arial" w:hAnsi="Arial" w:cs="Arial"/>
          <w:sz w:val="14"/>
          <w:szCs w:val="14"/>
        </w:rPr>
        <w:t xml:space="preserve"> exposure.</w:t>
      </w:r>
    </w:p>
    <w:p w:rsidR="00BA3E94" w:rsidRPr="006F1D04" w:rsidRDefault="00BA3E94" w:rsidP="00786FF0">
      <w:pPr>
        <w:rPr>
          <w:rFonts w:ascii="Arial" w:hAnsi="Arial" w:cs="Arial"/>
        </w:rPr>
      </w:pPr>
    </w:p>
    <w:p w:rsidR="00562DF2" w:rsidRPr="006F1D04" w:rsidRDefault="00562DF2" w:rsidP="00786FF0">
      <w:pPr>
        <w:rPr>
          <w:rFonts w:ascii="Arial" w:hAnsi="Arial" w:cs="Arial"/>
        </w:rPr>
      </w:pPr>
    </w:p>
    <w:p w:rsidR="005425C9" w:rsidRPr="006F1D04" w:rsidRDefault="005425C9" w:rsidP="00786FF0">
      <w:pPr>
        <w:rPr>
          <w:rFonts w:ascii="Arial" w:hAnsi="Arial" w:cs="Arial"/>
        </w:rPr>
        <w:sectPr w:rsidR="005425C9" w:rsidRPr="006F1D04" w:rsidSect="006A5626">
          <w:headerReference w:type="even" r:id="rId99"/>
          <w:headerReference w:type="default" r:id="rId100"/>
          <w:footerReference w:type="even" r:id="rId101"/>
          <w:footerReference w:type="default" r:id="rId102"/>
          <w:headerReference w:type="first" r:id="rId103"/>
          <w:pgSz w:w="16838" w:h="11906" w:orient="landscape" w:code="9"/>
          <w:pgMar w:top="1440" w:right="1440" w:bottom="1440" w:left="1440" w:header="284" w:footer="410" w:gutter="0"/>
          <w:cols w:space="255"/>
          <w:docGrid w:linePitch="360"/>
        </w:sectPr>
      </w:pPr>
    </w:p>
    <w:p w:rsidR="002C03E8" w:rsidRPr="006F1D04" w:rsidRDefault="002C03E8" w:rsidP="00B96AAC">
      <w:pPr>
        <w:pStyle w:val="CaptionPB"/>
        <w:spacing w:before="0" w:after="80"/>
        <w:rPr>
          <w:rFonts w:ascii="Arial" w:hAnsi="Arial" w:cs="Arial"/>
        </w:rPr>
      </w:pPr>
      <w:bookmarkStart w:id="173" w:name="_Ref367454165"/>
      <w:r w:rsidRPr="006F1D04">
        <w:rPr>
          <w:rFonts w:ascii="Arial" w:hAnsi="Arial" w:cs="Arial"/>
        </w:rPr>
        <w:lastRenderedPageBreak/>
        <w:t xml:space="preserve">Table </w:t>
      </w:r>
      <w:r w:rsidR="00BF6019" w:rsidRPr="006F1D04">
        <w:rPr>
          <w:rFonts w:ascii="Arial" w:hAnsi="Arial" w:cs="Arial"/>
        </w:rPr>
        <w:fldChar w:fldCharType="begin"/>
      </w:r>
      <w:r w:rsidRPr="006F1D04">
        <w:rPr>
          <w:rFonts w:ascii="Arial" w:hAnsi="Arial" w:cs="Arial"/>
        </w:rPr>
        <w:instrText xml:space="preserve"> STYLEREF 1 \s </w:instrText>
      </w:r>
      <w:r w:rsidR="00BF6019" w:rsidRPr="006F1D04">
        <w:rPr>
          <w:rFonts w:ascii="Arial" w:hAnsi="Arial" w:cs="Arial"/>
        </w:rPr>
        <w:fldChar w:fldCharType="separate"/>
      </w:r>
      <w:r w:rsidR="0085182E">
        <w:rPr>
          <w:rFonts w:ascii="Arial" w:hAnsi="Arial" w:cs="Arial"/>
          <w:noProof/>
        </w:rPr>
        <w:t>8</w:t>
      </w:r>
      <w:r w:rsidR="00BF6019" w:rsidRPr="006F1D04">
        <w:rPr>
          <w:rFonts w:ascii="Arial" w:hAnsi="Arial" w:cs="Arial"/>
        </w:rPr>
        <w:fldChar w:fldCharType="end"/>
      </w:r>
      <w:r w:rsidRPr="006F1D04">
        <w:rPr>
          <w:rFonts w:ascii="Arial" w:hAnsi="Arial" w:cs="Arial"/>
        </w:rPr>
        <w:t>.</w:t>
      </w:r>
      <w:r w:rsidR="00BF6019" w:rsidRPr="006F1D04">
        <w:rPr>
          <w:rFonts w:ascii="Arial" w:hAnsi="Arial" w:cs="Arial"/>
        </w:rPr>
        <w:fldChar w:fldCharType="begin"/>
      </w:r>
      <w:r w:rsidRPr="006F1D04">
        <w:rPr>
          <w:rFonts w:ascii="Arial" w:hAnsi="Arial" w:cs="Arial"/>
        </w:rPr>
        <w:instrText xml:space="preserve"> SEQ Table \* ARABIC \s 1 </w:instrText>
      </w:r>
      <w:r w:rsidR="00BF6019" w:rsidRPr="006F1D04">
        <w:rPr>
          <w:rFonts w:ascii="Arial" w:hAnsi="Arial" w:cs="Arial"/>
        </w:rPr>
        <w:fldChar w:fldCharType="separate"/>
      </w:r>
      <w:r w:rsidR="0085182E">
        <w:rPr>
          <w:rFonts w:ascii="Arial" w:hAnsi="Arial" w:cs="Arial"/>
          <w:noProof/>
        </w:rPr>
        <w:t>3</w:t>
      </w:r>
      <w:r w:rsidR="00BF6019" w:rsidRPr="006F1D04">
        <w:rPr>
          <w:rFonts w:ascii="Arial" w:hAnsi="Arial" w:cs="Arial"/>
        </w:rPr>
        <w:fldChar w:fldCharType="end"/>
      </w:r>
      <w:bookmarkEnd w:id="173"/>
      <w:r w:rsidRPr="006F1D04">
        <w:rPr>
          <w:rFonts w:ascii="Arial" w:hAnsi="Arial" w:cs="Arial"/>
        </w:rPr>
        <w:t>: Changes in health outcomes for 24-hour PM</w:t>
      </w:r>
      <w:r w:rsidRPr="006F1D04">
        <w:rPr>
          <w:rFonts w:ascii="Arial" w:hAnsi="Arial" w:cs="Arial"/>
          <w:vertAlign w:val="subscript"/>
        </w:rPr>
        <w:t>10</w:t>
      </w:r>
      <w:r w:rsidR="0029278F" w:rsidRPr="006F1D04">
        <w:rPr>
          <w:rFonts w:ascii="Arial" w:hAnsi="Arial" w:cs="Arial"/>
        </w:rPr>
        <w:t xml:space="preserve"> sub-o</w:t>
      </w:r>
      <w:r w:rsidRPr="006F1D04">
        <w:rPr>
          <w:rFonts w:ascii="Arial" w:hAnsi="Arial" w:cs="Arial"/>
        </w:rPr>
        <w:t>ptions (S</w:t>
      </w:r>
      <w:r w:rsidRPr="006F1D04">
        <w:rPr>
          <w:rFonts w:ascii="Arial" w:hAnsi="Arial" w:cs="Arial"/>
          <w:color w:val="0070C0"/>
        </w:rPr>
        <w:t xml:space="preserve">ource: Morgan </w:t>
      </w:r>
      <w:r w:rsidR="009334F4" w:rsidRPr="006F1D04">
        <w:rPr>
          <w:rFonts w:ascii="Arial" w:hAnsi="Arial" w:cs="Arial"/>
          <w:color w:val="0070C0"/>
        </w:rPr>
        <w:t>et al.</w:t>
      </w:r>
      <w:r w:rsidRPr="006F1D04">
        <w:rPr>
          <w:rFonts w:ascii="Arial" w:hAnsi="Arial" w:cs="Arial"/>
          <w:color w:val="0070C0"/>
        </w:rPr>
        <w:t xml:space="preserve"> 2013)</w:t>
      </w:r>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28" w:type="dxa"/>
          <w:right w:w="28" w:type="dxa"/>
        </w:tblCellMar>
        <w:tblLook w:val="04A0"/>
      </w:tblPr>
      <w:tblGrid>
        <w:gridCol w:w="848"/>
        <w:gridCol w:w="1420"/>
        <w:gridCol w:w="2327"/>
        <w:gridCol w:w="1077"/>
        <w:gridCol w:w="2214"/>
      </w:tblGrid>
      <w:tr w:rsidR="002C03E8" w:rsidRPr="006F1D04" w:rsidTr="00CC3FAD">
        <w:trPr>
          <w:trHeight w:val="634"/>
          <w:jc w:val="center"/>
        </w:trPr>
        <w:tc>
          <w:tcPr>
            <w:tcW w:w="848" w:type="dxa"/>
            <w:shd w:val="clear" w:color="auto" w:fill="0070C0"/>
            <w:vAlign w:val="center"/>
          </w:tcPr>
          <w:p w:rsidR="002C03E8" w:rsidRPr="006F1D04" w:rsidRDefault="0029278F" w:rsidP="002C03E8">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Sub-o</w:t>
            </w:r>
            <w:r w:rsidR="002C03E8" w:rsidRPr="006F1D04">
              <w:rPr>
                <w:rFonts w:ascii="Arial" w:hAnsi="Arial" w:cs="Arial"/>
                <w:b/>
                <w:color w:val="FFFFFF"/>
                <w:sz w:val="15"/>
                <w:szCs w:val="15"/>
              </w:rPr>
              <w:t>ption</w:t>
            </w:r>
          </w:p>
        </w:tc>
        <w:tc>
          <w:tcPr>
            <w:tcW w:w="1420" w:type="dxa"/>
            <w:shd w:val="clear" w:color="auto" w:fill="0070C0"/>
            <w:vAlign w:val="center"/>
          </w:tcPr>
          <w:p w:rsidR="002C03E8" w:rsidRPr="006F1D04" w:rsidRDefault="002C03E8" w:rsidP="002C03E8">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Change in exposu</w:t>
            </w:r>
            <w:r w:rsidR="00C97E0D" w:rsidRPr="006F1D04">
              <w:rPr>
                <w:rFonts w:ascii="Arial" w:hAnsi="Arial" w:cs="Arial"/>
                <w:b/>
                <w:color w:val="FFFFFF"/>
                <w:sz w:val="15"/>
                <w:szCs w:val="15"/>
              </w:rPr>
              <w:t>re relative to baseline</w:t>
            </w:r>
          </w:p>
        </w:tc>
        <w:tc>
          <w:tcPr>
            <w:tcW w:w="2327" w:type="dxa"/>
            <w:shd w:val="clear" w:color="auto" w:fill="0070C0"/>
            <w:vAlign w:val="center"/>
          </w:tcPr>
          <w:p w:rsidR="002C03E8" w:rsidRPr="006F1D04" w:rsidRDefault="002C03E8" w:rsidP="002C03E8">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Age group (outcome)</w:t>
            </w:r>
          </w:p>
        </w:tc>
        <w:tc>
          <w:tcPr>
            <w:tcW w:w="1077" w:type="dxa"/>
            <w:shd w:val="clear" w:color="auto" w:fill="0070C0"/>
            <w:vAlign w:val="center"/>
          </w:tcPr>
          <w:p w:rsidR="002C03E8" w:rsidRPr="006F1D04" w:rsidRDefault="002C03E8" w:rsidP="002C03E8">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Geographical coverage</w:t>
            </w:r>
          </w:p>
        </w:tc>
        <w:tc>
          <w:tcPr>
            <w:tcW w:w="2214" w:type="dxa"/>
            <w:shd w:val="clear" w:color="auto" w:fill="0070C0"/>
            <w:vAlign w:val="center"/>
          </w:tcPr>
          <w:p w:rsidR="002C03E8" w:rsidRPr="006F1D04" w:rsidRDefault="002C03E8" w:rsidP="002C03E8">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Change in attributable hospital admissions – respiratory (cases per year)</w:t>
            </w:r>
          </w:p>
        </w:tc>
      </w:tr>
      <w:tr w:rsidR="002C03E8" w:rsidRPr="006F1D04" w:rsidTr="00006018">
        <w:trPr>
          <w:trHeight w:hRule="exact" w:val="336"/>
          <w:jc w:val="center"/>
        </w:trPr>
        <w:tc>
          <w:tcPr>
            <w:tcW w:w="848" w:type="dxa"/>
            <w:vMerge w:val="restart"/>
            <w:vAlign w:val="center"/>
          </w:tcPr>
          <w:p w:rsidR="002C03E8" w:rsidRPr="006F1D04" w:rsidRDefault="002C03E8" w:rsidP="00CC3FAD">
            <w:pPr>
              <w:spacing w:after="0" w:line="240" w:lineRule="auto"/>
              <w:jc w:val="center"/>
              <w:rPr>
                <w:rFonts w:ascii="Arial" w:hAnsi="Arial" w:cs="Arial"/>
                <w:sz w:val="15"/>
                <w:szCs w:val="15"/>
              </w:rPr>
            </w:pPr>
            <w:r w:rsidRPr="006F1D04">
              <w:rPr>
                <w:rFonts w:ascii="Arial" w:hAnsi="Arial" w:cs="Arial"/>
                <w:sz w:val="15"/>
                <w:szCs w:val="15"/>
              </w:rPr>
              <w:t>D50PM</w:t>
            </w:r>
            <w:r w:rsidRPr="006F1D04">
              <w:rPr>
                <w:rFonts w:ascii="Arial" w:hAnsi="Arial" w:cs="Arial"/>
                <w:sz w:val="15"/>
                <w:szCs w:val="15"/>
                <w:vertAlign w:val="subscript"/>
              </w:rPr>
              <w:t>10</w:t>
            </w:r>
          </w:p>
        </w:tc>
        <w:tc>
          <w:tcPr>
            <w:tcW w:w="1420" w:type="dxa"/>
            <w:vMerge w:val="restart"/>
            <w:vAlign w:val="center"/>
          </w:tcPr>
          <w:p w:rsidR="002C03E8" w:rsidRPr="006F1D04" w:rsidRDefault="002C03E8" w:rsidP="00CC3FAD">
            <w:pPr>
              <w:spacing w:after="0" w:line="240" w:lineRule="auto"/>
              <w:jc w:val="center"/>
              <w:rPr>
                <w:rFonts w:ascii="Arial" w:hAnsi="Arial" w:cs="Arial"/>
                <w:sz w:val="15"/>
                <w:szCs w:val="15"/>
              </w:rPr>
            </w:pPr>
            <w:r w:rsidRPr="006F1D04">
              <w:rPr>
                <w:rFonts w:ascii="Arial" w:hAnsi="Arial" w:cs="Arial"/>
                <w:sz w:val="15"/>
                <w:szCs w:val="15"/>
              </w:rPr>
              <w:t>Reduction</w:t>
            </w:r>
          </w:p>
        </w:tc>
        <w:tc>
          <w:tcPr>
            <w:tcW w:w="2327" w:type="dxa"/>
            <w:tcBorders>
              <w:bottom w:val="dotted" w:sz="4" w:space="0" w:color="0070C0"/>
            </w:tcBorders>
            <w:shd w:val="clear" w:color="auto" w:fill="auto"/>
            <w:vAlign w:val="center"/>
          </w:tcPr>
          <w:p w:rsidR="002C03E8" w:rsidRPr="006F1D04" w:rsidRDefault="002C03E8" w:rsidP="00CC3FAD">
            <w:pPr>
              <w:spacing w:after="0" w:line="240" w:lineRule="auto"/>
              <w:jc w:val="center"/>
              <w:rPr>
                <w:rFonts w:ascii="Arial" w:hAnsi="Arial" w:cs="Arial"/>
                <w:sz w:val="15"/>
                <w:szCs w:val="15"/>
              </w:rPr>
            </w:pPr>
            <w:r w:rsidRPr="006F1D04">
              <w:rPr>
                <w:rFonts w:ascii="Arial" w:hAnsi="Arial" w:cs="Arial"/>
                <w:sz w:val="15"/>
                <w:szCs w:val="15"/>
              </w:rPr>
              <w:t>0</w:t>
            </w:r>
            <w:r w:rsidR="00DE15F0" w:rsidRPr="006F1D04">
              <w:rPr>
                <w:rFonts w:ascii="Arial" w:hAnsi="Arial" w:cs="Arial"/>
                <w:sz w:val="15"/>
                <w:szCs w:val="15"/>
              </w:rPr>
              <w:t>–</w:t>
            </w:r>
            <w:r w:rsidRPr="006F1D04">
              <w:rPr>
                <w:rFonts w:ascii="Arial" w:hAnsi="Arial" w:cs="Arial"/>
                <w:sz w:val="15"/>
                <w:szCs w:val="15"/>
              </w:rPr>
              <w:t>14 years (respiratory)</w:t>
            </w:r>
          </w:p>
        </w:tc>
        <w:tc>
          <w:tcPr>
            <w:tcW w:w="1077" w:type="dxa"/>
            <w:tcBorders>
              <w:bottom w:val="dotted" w:sz="4" w:space="0" w:color="0070C0"/>
            </w:tcBorders>
            <w:shd w:val="clear" w:color="auto" w:fill="auto"/>
            <w:vAlign w:val="center"/>
          </w:tcPr>
          <w:p w:rsidR="002C03E8" w:rsidRPr="006F1D04" w:rsidRDefault="002C03E8" w:rsidP="00CC3FAD">
            <w:pPr>
              <w:spacing w:after="0" w:line="240" w:lineRule="auto"/>
              <w:jc w:val="center"/>
              <w:rPr>
                <w:rFonts w:ascii="Arial" w:hAnsi="Arial" w:cs="Arial"/>
                <w:sz w:val="15"/>
                <w:szCs w:val="15"/>
              </w:rPr>
            </w:pPr>
            <w:r w:rsidRPr="006F1D04">
              <w:rPr>
                <w:rFonts w:ascii="Arial" w:hAnsi="Arial" w:cs="Arial"/>
                <w:sz w:val="15"/>
                <w:szCs w:val="15"/>
              </w:rPr>
              <w:t>Four cities</w:t>
            </w:r>
          </w:p>
        </w:tc>
        <w:tc>
          <w:tcPr>
            <w:tcW w:w="2214" w:type="dxa"/>
            <w:tcBorders>
              <w:bottom w:val="dotted" w:sz="4" w:space="0" w:color="0070C0"/>
            </w:tcBorders>
            <w:shd w:val="clear" w:color="auto" w:fill="auto"/>
            <w:vAlign w:val="center"/>
          </w:tcPr>
          <w:p w:rsidR="002C03E8" w:rsidRPr="006F1D04" w:rsidRDefault="00DE15F0" w:rsidP="00CC3FAD">
            <w:pPr>
              <w:spacing w:after="0" w:line="240" w:lineRule="auto"/>
              <w:jc w:val="center"/>
              <w:rPr>
                <w:rFonts w:ascii="Arial" w:hAnsi="Arial" w:cs="Arial"/>
                <w:sz w:val="15"/>
                <w:szCs w:val="15"/>
              </w:rPr>
            </w:pPr>
            <w:r w:rsidRPr="006F1D04">
              <w:rPr>
                <w:rFonts w:ascii="Arial" w:hAnsi="Arial" w:cs="Arial"/>
                <w:sz w:val="15"/>
                <w:szCs w:val="15"/>
              </w:rPr>
              <w:t>–</w:t>
            </w:r>
            <w:r w:rsidR="002C03E8" w:rsidRPr="006F1D04">
              <w:rPr>
                <w:rFonts w:ascii="Arial" w:hAnsi="Arial" w:cs="Arial"/>
                <w:sz w:val="15"/>
                <w:szCs w:val="15"/>
              </w:rPr>
              <w:t>33% (</w:t>
            </w:r>
            <w:r w:rsidRPr="006F1D04">
              <w:rPr>
                <w:rFonts w:ascii="Arial" w:hAnsi="Arial" w:cs="Arial"/>
                <w:sz w:val="15"/>
                <w:szCs w:val="15"/>
              </w:rPr>
              <w:t>–</w:t>
            </w:r>
            <w:r w:rsidR="006F6E76" w:rsidRPr="006F1D04">
              <w:rPr>
                <w:rFonts w:ascii="Arial" w:hAnsi="Arial" w:cs="Arial"/>
                <w:sz w:val="15"/>
                <w:szCs w:val="15"/>
              </w:rPr>
              <w:t xml:space="preserve">370 </w:t>
            </w:r>
            <w:r w:rsidR="002C03E8" w:rsidRPr="006F1D04">
              <w:rPr>
                <w:rFonts w:ascii="Arial" w:hAnsi="Arial" w:cs="Arial"/>
                <w:sz w:val="15"/>
                <w:szCs w:val="15"/>
              </w:rPr>
              <w:t>admissions)</w:t>
            </w:r>
          </w:p>
        </w:tc>
      </w:tr>
      <w:tr w:rsidR="002C03E8" w:rsidRPr="006F1D04" w:rsidTr="00006018">
        <w:trPr>
          <w:trHeight w:hRule="exact" w:val="510"/>
          <w:jc w:val="center"/>
        </w:trPr>
        <w:tc>
          <w:tcPr>
            <w:tcW w:w="848" w:type="dxa"/>
            <w:vMerge/>
            <w:vAlign w:val="center"/>
          </w:tcPr>
          <w:p w:rsidR="002C03E8" w:rsidRPr="006F1D04" w:rsidRDefault="002C03E8" w:rsidP="00CC3FAD">
            <w:pPr>
              <w:spacing w:after="0" w:line="240" w:lineRule="auto"/>
              <w:jc w:val="center"/>
              <w:rPr>
                <w:rFonts w:ascii="Arial" w:hAnsi="Arial" w:cs="Arial"/>
                <w:sz w:val="15"/>
                <w:szCs w:val="15"/>
              </w:rPr>
            </w:pPr>
          </w:p>
        </w:tc>
        <w:tc>
          <w:tcPr>
            <w:tcW w:w="1420" w:type="dxa"/>
            <w:vMerge/>
            <w:vAlign w:val="center"/>
          </w:tcPr>
          <w:p w:rsidR="002C03E8" w:rsidRPr="006F1D04" w:rsidRDefault="002C03E8" w:rsidP="00CC3FAD">
            <w:pPr>
              <w:spacing w:after="0" w:line="240" w:lineRule="auto"/>
              <w:jc w:val="center"/>
              <w:rPr>
                <w:rFonts w:ascii="Arial" w:hAnsi="Arial" w:cs="Arial"/>
                <w:sz w:val="15"/>
                <w:szCs w:val="15"/>
              </w:rPr>
            </w:pPr>
          </w:p>
        </w:tc>
        <w:tc>
          <w:tcPr>
            <w:tcW w:w="2327" w:type="dxa"/>
            <w:tcBorders>
              <w:top w:val="dotted" w:sz="4" w:space="0" w:color="0070C0"/>
            </w:tcBorders>
            <w:shd w:val="clear" w:color="auto" w:fill="auto"/>
            <w:vAlign w:val="center"/>
          </w:tcPr>
          <w:p w:rsidR="002C03E8" w:rsidRPr="006F1D04" w:rsidRDefault="002C03E8" w:rsidP="00CC3FAD">
            <w:pPr>
              <w:spacing w:after="0" w:line="240" w:lineRule="auto"/>
              <w:jc w:val="center"/>
              <w:rPr>
                <w:rFonts w:ascii="Arial" w:hAnsi="Arial" w:cs="Arial"/>
                <w:sz w:val="15"/>
                <w:szCs w:val="15"/>
              </w:rPr>
            </w:pPr>
            <w:r w:rsidRPr="006F1D04">
              <w:rPr>
                <w:rFonts w:ascii="Arial" w:hAnsi="Arial" w:cs="Arial"/>
                <w:sz w:val="15"/>
                <w:szCs w:val="15"/>
              </w:rPr>
              <w:t xml:space="preserve">65+ years (pneumonia and </w:t>
            </w:r>
            <w:r w:rsidR="00CB0AAF" w:rsidRPr="006F1D04">
              <w:rPr>
                <w:rFonts w:ascii="Arial" w:hAnsi="Arial" w:cs="Arial"/>
                <w:sz w:val="15"/>
                <w:szCs w:val="15"/>
              </w:rPr>
              <w:t>short-term</w:t>
            </w:r>
            <w:r w:rsidRPr="006F1D04">
              <w:rPr>
                <w:rFonts w:ascii="Arial" w:hAnsi="Arial" w:cs="Arial"/>
                <w:sz w:val="15"/>
                <w:szCs w:val="15"/>
              </w:rPr>
              <w:t xml:space="preserve"> bronchitis)</w:t>
            </w:r>
          </w:p>
        </w:tc>
        <w:tc>
          <w:tcPr>
            <w:tcW w:w="1077" w:type="dxa"/>
            <w:tcBorders>
              <w:top w:val="dotted" w:sz="4" w:space="0" w:color="0070C0"/>
            </w:tcBorders>
            <w:shd w:val="clear" w:color="auto" w:fill="auto"/>
            <w:vAlign w:val="center"/>
          </w:tcPr>
          <w:p w:rsidR="002C03E8" w:rsidRPr="006F1D04" w:rsidRDefault="002C03E8" w:rsidP="00CC3FAD">
            <w:pPr>
              <w:spacing w:after="0" w:line="240" w:lineRule="auto"/>
              <w:jc w:val="center"/>
              <w:rPr>
                <w:rFonts w:ascii="Arial" w:hAnsi="Arial" w:cs="Arial"/>
                <w:sz w:val="15"/>
                <w:szCs w:val="15"/>
              </w:rPr>
            </w:pPr>
            <w:r w:rsidRPr="006F1D04">
              <w:rPr>
                <w:rFonts w:ascii="Arial" w:hAnsi="Arial" w:cs="Arial"/>
                <w:sz w:val="15"/>
                <w:szCs w:val="15"/>
              </w:rPr>
              <w:t>Four cities</w:t>
            </w:r>
          </w:p>
        </w:tc>
        <w:tc>
          <w:tcPr>
            <w:tcW w:w="2214" w:type="dxa"/>
            <w:tcBorders>
              <w:top w:val="dotted" w:sz="4" w:space="0" w:color="0070C0"/>
            </w:tcBorders>
            <w:shd w:val="clear" w:color="auto" w:fill="auto"/>
            <w:vAlign w:val="center"/>
          </w:tcPr>
          <w:p w:rsidR="002C03E8" w:rsidRPr="006F1D04" w:rsidRDefault="00DE15F0" w:rsidP="00CC3FAD">
            <w:pPr>
              <w:spacing w:after="0" w:line="240" w:lineRule="auto"/>
              <w:jc w:val="center"/>
              <w:rPr>
                <w:rFonts w:ascii="Arial" w:hAnsi="Arial" w:cs="Arial"/>
                <w:sz w:val="15"/>
                <w:szCs w:val="15"/>
              </w:rPr>
            </w:pPr>
            <w:r w:rsidRPr="006F1D04">
              <w:rPr>
                <w:rFonts w:ascii="Arial" w:hAnsi="Arial" w:cs="Arial"/>
                <w:sz w:val="15"/>
                <w:szCs w:val="15"/>
              </w:rPr>
              <w:t>–</w:t>
            </w:r>
            <w:r w:rsidR="002C03E8" w:rsidRPr="006F1D04">
              <w:rPr>
                <w:rFonts w:ascii="Arial" w:hAnsi="Arial" w:cs="Arial"/>
                <w:sz w:val="15"/>
                <w:szCs w:val="15"/>
              </w:rPr>
              <w:t>33% (</w:t>
            </w:r>
            <w:r w:rsidRPr="006F1D04">
              <w:rPr>
                <w:rFonts w:ascii="Arial" w:hAnsi="Arial" w:cs="Arial"/>
                <w:sz w:val="15"/>
                <w:szCs w:val="15"/>
              </w:rPr>
              <w:t>–</w:t>
            </w:r>
            <w:r w:rsidR="006F6E76" w:rsidRPr="006F1D04">
              <w:rPr>
                <w:rFonts w:ascii="Arial" w:hAnsi="Arial" w:cs="Arial"/>
                <w:sz w:val="15"/>
                <w:szCs w:val="15"/>
              </w:rPr>
              <w:t xml:space="preserve">180 </w:t>
            </w:r>
            <w:r w:rsidR="002C03E8" w:rsidRPr="006F1D04">
              <w:rPr>
                <w:rFonts w:ascii="Arial" w:hAnsi="Arial" w:cs="Arial"/>
                <w:sz w:val="15"/>
                <w:szCs w:val="15"/>
              </w:rPr>
              <w:t>admissions).</w:t>
            </w:r>
          </w:p>
        </w:tc>
      </w:tr>
      <w:tr w:rsidR="002C03E8" w:rsidRPr="006F1D04" w:rsidTr="00006018">
        <w:trPr>
          <w:trHeight w:hRule="exact" w:val="362"/>
          <w:jc w:val="center"/>
        </w:trPr>
        <w:tc>
          <w:tcPr>
            <w:tcW w:w="848" w:type="dxa"/>
            <w:vMerge w:val="restart"/>
            <w:vAlign w:val="center"/>
          </w:tcPr>
          <w:p w:rsidR="002C03E8" w:rsidRPr="006F1D04" w:rsidRDefault="002C03E8" w:rsidP="00CC3FAD">
            <w:pPr>
              <w:spacing w:after="0" w:line="240" w:lineRule="auto"/>
              <w:jc w:val="center"/>
              <w:rPr>
                <w:rFonts w:ascii="Arial" w:hAnsi="Arial" w:cs="Arial"/>
                <w:sz w:val="15"/>
                <w:szCs w:val="15"/>
              </w:rPr>
            </w:pPr>
            <w:r w:rsidRPr="006F1D04">
              <w:rPr>
                <w:rFonts w:ascii="Arial" w:hAnsi="Arial" w:cs="Arial"/>
                <w:sz w:val="15"/>
                <w:szCs w:val="15"/>
              </w:rPr>
              <w:t>D40PM</w:t>
            </w:r>
            <w:r w:rsidRPr="006F1D04">
              <w:rPr>
                <w:rFonts w:ascii="Arial" w:hAnsi="Arial" w:cs="Arial"/>
                <w:sz w:val="15"/>
                <w:szCs w:val="15"/>
                <w:vertAlign w:val="subscript"/>
              </w:rPr>
              <w:t>10</w:t>
            </w:r>
          </w:p>
        </w:tc>
        <w:tc>
          <w:tcPr>
            <w:tcW w:w="1420" w:type="dxa"/>
            <w:vMerge w:val="restart"/>
            <w:vAlign w:val="center"/>
          </w:tcPr>
          <w:p w:rsidR="002C03E8" w:rsidRPr="006F1D04" w:rsidRDefault="002C03E8" w:rsidP="00CC3FAD">
            <w:pPr>
              <w:spacing w:after="0" w:line="240" w:lineRule="auto"/>
              <w:jc w:val="center"/>
              <w:rPr>
                <w:rFonts w:ascii="Arial" w:hAnsi="Arial" w:cs="Arial"/>
                <w:sz w:val="15"/>
                <w:szCs w:val="15"/>
              </w:rPr>
            </w:pPr>
            <w:r w:rsidRPr="006F1D04">
              <w:rPr>
                <w:rFonts w:ascii="Arial" w:hAnsi="Arial" w:cs="Arial"/>
                <w:sz w:val="15"/>
                <w:szCs w:val="15"/>
              </w:rPr>
              <w:t>Reduct</w:t>
            </w:r>
            <w:r w:rsidR="0078171C" w:rsidRPr="006F1D04">
              <w:rPr>
                <w:rFonts w:ascii="Arial" w:hAnsi="Arial" w:cs="Arial"/>
                <w:sz w:val="15"/>
                <w:szCs w:val="15"/>
              </w:rPr>
              <w:t>ion</w:t>
            </w:r>
          </w:p>
        </w:tc>
        <w:tc>
          <w:tcPr>
            <w:tcW w:w="2327" w:type="dxa"/>
            <w:tcBorders>
              <w:bottom w:val="dotted" w:sz="4" w:space="0" w:color="0070C0"/>
            </w:tcBorders>
            <w:shd w:val="clear" w:color="auto" w:fill="auto"/>
            <w:vAlign w:val="center"/>
          </w:tcPr>
          <w:p w:rsidR="002C03E8" w:rsidRPr="006F1D04" w:rsidRDefault="002C03E8" w:rsidP="00CC3FAD">
            <w:pPr>
              <w:spacing w:after="0" w:line="240" w:lineRule="auto"/>
              <w:jc w:val="center"/>
              <w:rPr>
                <w:rFonts w:ascii="Arial" w:hAnsi="Arial" w:cs="Arial"/>
                <w:sz w:val="15"/>
                <w:szCs w:val="15"/>
              </w:rPr>
            </w:pPr>
            <w:r w:rsidRPr="006F1D04">
              <w:rPr>
                <w:rFonts w:ascii="Arial" w:hAnsi="Arial" w:cs="Arial"/>
                <w:sz w:val="15"/>
                <w:szCs w:val="15"/>
              </w:rPr>
              <w:t>0</w:t>
            </w:r>
            <w:r w:rsidR="00DE15F0" w:rsidRPr="006F1D04">
              <w:rPr>
                <w:rFonts w:ascii="Arial" w:hAnsi="Arial" w:cs="Arial"/>
                <w:sz w:val="15"/>
                <w:szCs w:val="15"/>
              </w:rPr>
              <w:t>–</w:t>
            </w:r>
            <w:r w:rsidRPr="006F1D04">
              <w:rPr>
                <w:rFonts w:ascii="Arial" w:hAnsi="Arial" w:cs="Arial"/>
                <w:sz w:val="15"/>
                <w:szCs w:val="15"/>
              </w:rPr>
              <w:t>14 years (respiratory)</w:t>
            </w:r>
          </w:p>
        </w:tc>
        <w:tc>
          <w:tcPr>
            <w:tcW w:w="1077" w:type="dxa"/>
            <w:tcBorders>
              <w:bottom w:val="dotted" w:sz="4" w:space="0" w:color="0070C0"/>
            </w:tcBorders>
            <w:shd w:val="clear" w:color="auto" w:fill="auto"/>
            <w:vAlign w:val="center"/>
          </w:tcPr>
          <w:p w:rsidR="002C03E8" w:rsidRPr="006F1D04" w:rsidRDefault="002C03E8" w:rsidP="00CC3FAD">
            <w:pPr>
              <w:spacing w:after="0" w:line="240" w:lineRule="auto"/>
              <w:jc w:val="center"/>
              <w:rPr>
                <w:rFonts w:ascii="Arial" w:hAnsi="Arial" w:cs="Arial"/>
                <w:sz w:val="15"/>
                <w:szCs w:val="15"/>
              </w:rPr>
            </w:pPr>
            <w:r w:rsidRPr="006F1D04">
              <w:rPr>
                <w:rFonts w:ascii="Arial" w:hAnsi="Arial" w:cs="Arial"/>
                <w:sz w:val="15"/>
                <w:szCs w:val="15"/>
              </w:rPr>
              <w:t>Four cities</w:t>
            </w:r>
          </w:p>
        </w:tc>
        <w:tc>
          <w:tcPr>
            <w:tcW w:w="2214" w:type="dxa"/>
            <w:tcBorders>
              <w:bottom w:val="dotted" w:sz="4" w:space="0" w:color="0070C0"/>
            </w:tcBorders>
            <w:shd w:val="clear" w:color="auto" w:fill="auto"/>
            <w:vAlign w:val="center"/>
          </w:tcPr>
          <w:p w:rsidR="002C03E8" w:rsidRPr="006F1D04" w:rsidRDefault="00DE15F0" w:rsidP="00CC3FAD">
            <w:pPr>
              <w:spacing w:after="0" w:line="240" w:lineRule="auto"/>
              <w:jc w:val="center"/>
              <w:rPr>
                <w:rFonts w:ascii="Arial" w:hAnsi="Arial" w:cs="Arial"/>
                <w:sz w:val="15"/>
                <w:szCs w:val="15"/>
              </w:rPr>
            </w:pPr>
            <w:r w:rsidRPr="006F1D04">
              <w:rPr>
                <w:rFonts w:ascii="Arial" w:hAnsi="Arial" w:cs="Arial"/>
                <w:sz w:val="15"/>
                <w:szCs w:val="15"/>
              </w:rPr>
              <w:t>–</w:t>
            </w:r>
            <w:r w:rsidR="002C03E8" w:rsidRPr="006F1D04">
              <w:rPr>
                <w:rFonts w:ascii="Arial" w:hAnsi="Arial" w:cs="Arial"/>
                <w:sz w:val="15"/>
                <w:szCs w:val="15"/>
              </w:rPr>
              <w:t>49% (</w:t>
            </w:r>
            <w:r w:rsidRPr="006F1D04">
              <w:rPr>
                <w:rFonts w:ascii="Arial" w:hAnsi="Arial" w:cs="Arial"/>
                <w:sz w:val="15"/>
                <w:szCs w:val="15"/>
              </w:rPr>
              <w:t>–</w:t>
            </w:r>
            <w:r w:rsidR="006F6E76" w:rsidRPr="006F1D04">
              <w:rPr>
                <w:rFonts w:ascii="Arial" w:hAnsi="Arial" w:cs="Arial"/>
                <w:sz w:val="15"/>
                <w:szCs w:val="15"/>
              </w:rPr>
              <w:t xml:space="preserve">560 </w:t>
            </w:r>
            <w:r w:rsidR="002C03E8" w:rsidRPr="006F1D04">
              <w:rPr>
                <w:rFonts w:ascii="Arial" w:hAnsi="Arial" w:cs="Arial"/>
                <w:sz w:val="15"/>
                <w:szCs w:val="15"/>
              </w:rPr>
              <w:t>admissions)</w:t>
            </w:r>
          </w:p>
        </w:tc>
      </w:tr>
      <w:tr w:rsidR="002C03E8" w:rsidRPr="006F1D04" w:rsidTr="00006018">
        <w:trPr>
          <w:trHeight w:hRule="exact" w:val="510"/>
          <w:jc w:val="center"/>
        </w:trPr>
        <w:tc>
          <w:tcPr>
            <w:tcW w:w="848" w:type="dxa"/>
            <w:vMerge/>
            <w:vAlign w:val="center"/>
          </w:tcPr>
          <w:p w:rsidR="002C03E8" w:rsidRPr="006F1D04" w:rsidRDefault="002C03E8" w:rsidP="00CC3FAD">
            <w:pPr>
              <w:spacing w:after="0" w:line="240" w:lineRule="auto"/>
              <w:jc w:val="center"/>
              <w:rPr>
                <w:rFonts w:ascii="Arial" w:hAnsi="Arial" w:cs="Arial"/>
                <w:sz w:val="15"/>
                <w:szCs w:val="15"/>
              </w:rPr>
            </w:pPr>
          </w:p>
        </w:tc>
        <w:tc>
          <w:tcPr>
            <w:tcW w:w="1420" w:type="dxa"/>
            <w:vMerge/>
            <w:vAlign w:val="center"/>
          </w:tcPr>
          <w:p w:rsidR="002C03E8" w:rsidRPr="006F1D04" w:rsidRDefault="002C03E8" w:rsidP="00CC3FAD">
            <w:pPr>
              <w:spacing w:after="0" w:line="240" w:lineRule="auto"/>
              <w:jc w:val="center"/>
              <w:rPr>
                <w:rFonts w:ascii="Arial" w:hAnsi="Arial" w:cs="Arial"/>
                <w:sz w:val="15"/>
                <w:szCs w:val="15"/>
              </w:rPr>
            </w:pPr>
          </w:p>
        </w:tc>
        <w:tc>
          <w:tcPr>
            <w:tcW w:w="2327" w:type="dxa"/>
            <w:tcBorders>
              <w:top w:val="dotted" w:sz="4" w:space="0" w:color="0070C0"/>
            </w:tcBorders>
            <w:shd w:val="clear" w:color="auto" w:fill="auto"/>
            <w:vAlign w:val="center"/>
          </w:tcPr>
          <w:p w:rsidR="002C03E8" w:rsidRPr="006F1D04" w:rsidRDefault="002C03E8" w:rsidP="00CC3FAD">
            <w:pPr>
              <w:spacing w:after="0" w:line="240" w:lineRule="auto"/>
              <w:jc w:val="center"/>
              <w:rPr>
                <w:rFonts w:ascii="Arial" w:hAnsi="Arial" w:cs="Arial"/>
                <w:sz w:val="15"/>
                <w:szCs w:val="15"/>
              </w:rPr>
            </w:pPr>
            <w:r w:rsidRPr="006F1D04">
              <w:rPr>
                <w:rFonts w:ascii="Arial" w:hAnsi="Arial" w:cs="Arial"/>
                <w:sz w:val="15"/>
                <w:szCs w:val="15"/>
              </w:rPr>
              <w:t xml:space="preserve">65+ years (pneumonia and </w:t>
            </w:r>
            <w:r w:rsidR="00CB0AAF" w:rsidRPr="006F1D04">
              <w:rPr>
                <w:rFonts w:ascii="Arial" w:hAnsi="Arial" w:cs="Arial"/>
                <w:sz w:val="15"/>
                <w:szCs w:val="15"/>
              </w:rPr>
              <w:t>short-term</w:t>
            </w:r>
            <w:r w:rsidRPr="006F1D04">
              <w:rPr>
                <w:rFonts w:ascii="Arial" w:hAnsi="Arial" w:cs="Arial"/>
                <w:sz w:val="15"/>
                <w:szCs w:val="15"/>
              </w:rPr>
              <w:t xml:space="preserve"> bronchitis)</w:t>
            </w:r>
          </w:p>
        </w:tc>
        <w:tc>
          <w:tcPr>
            <w:tcW w:w="1077" w:type="dxa"/>
            <w:tcBorders>
              <w:top w:val="dotted" w:sz="4" w:space="0" w:color="0070C0"/>
            </w:tcBorders>
            <w:shd w:val="clear" w:color="auto" w:fill="auto"/>
            <w:vAlign w:val="center"/>
          </w:tcPr>
          <w:p w:rsidR="002C03E8" w:rsidRPr="006F1D04" w:rsidRDefault="002C03E8" w:rsidP="00CC3FAD">
            <w:pPr>
              <w:spacing w:after="0" w:line="240" w:lineRule="auto"/>
              <w:jc w:val="center"/>
              <w:rPr>
                <w:rFonts w:ascii="Arial" w:hAnsi="Arial" w:cs="Arial"/>
                <w:sz w:val="15"/>
                <w:szCs w:val="15"/>
              </w:rPr>
            </w:pPr>
            <w:r w:rsidRPr="006F1D04">
              <w:rPr>
                <w:rFonts w:ascii="Arial" w:hAnsi="Arial" w:cs="Arial"/>
                <w:sz w:val="15"/>
                <w:szCs w:val="15"/>
              </w:rPr>
              <w:t>Four cities</w:t>
            </w:r>
          </w:p>
        </w:tc>
        <w:tc>
          <w:tcPr>
            <w:tcW w:w="2214" w:type="dxa"/>
            <w:tcBorders>
              <w:top w:val="dotted" w:sz="4" w:space="0" w:color="0070C0"/>
            </w:tcBorders>
            <w:shd w:val="clear" w:color="auto" w:fill="auto"/>
            <w:vAlign w:val="center"/>
          </w:tcPr>
          <w:p w:rsidR="002C03E8" w:rsidRPr="006F1D04" w:rsidRDefault="00DE15F0" w:rsidP="00CC3FAD">
            <w:pPr>
              <w:spacing w:after="0" w:line="240" w:lineRule="auto"/>
              <w:jc w:val="center"/>
              <w:rPr>
                <w:rFonts w:ascii="Arial" w:hAnsi="Arial" w:cs="Arial"/>
                <w:sz w:val="15"/>
                <w:szCs w:val="15"/>
              </w:rPr>
            </w:pPr>
            <w:r w:rsidRPr="006F1D04">
              <w:rPr>
                <w:rFonts w:ascii="Arial" w:hAnsi="Arial" w:cs="Arial"/>
                <w:sz w:val="15"/>
                <w:szCs w:val="15"/>
              </w:rPr>
              <w:t>–</w:t>
            </w:r>
            <w:r w:rsidR="002C03E8" w:rsidRPr="006F1D04">
              <w:rPr>
                <w:rFonts w:ascii="Arial" w:hAnsi="Arial" w:cs="Arial"/>
                <w:sz w:val="15"/>
                <w:szCs w:val="15"/>
              </w:rPr>
              <w:t>48% (</w:t>
            </w:r>
            <w:r w:rsidRPr="006F1D04">
              <w:rPr>
                <w:rFonts w:ascii="Arial" w:hAnsi="Arial" w:cs="Arial"/>
                <w:sz w:val="15"/>
                <w:szCs w:val="15"/>
              </w:rPr>
              <w:t>–</w:t>
            </w:r>
            <w:r w:rsidR="006F6E76" w:rsidRPr="006F1D04">
              <w:rPr>
                <w:rFonts w:ascii="Arial" w:hAnsi="Arial" w:cs="Arial"/>
                <w:sz w:val="15"/>
                <w:szCs w:val="15"/>
              </w:rPr>
              <w:t xml:space="preserve">260 </w:t>
            </w:r>
            <w:r w:rsidR="002C03E8" w:rsidRPr="006F1D04">
              <w:rPr>
                <w:rFonts w:ascii="Arial" w:hAnsi="Arial" w:cs="Arial"/>
                <w:sz w:val="15"/>
                <w:szCs w:val="15"/>
              </w:rPr>
              <w:t>admissions)</w:t>
            </w:r>
          </w:p>
        </w:tc>
      </w:tr>
      <w:tr w:rsidR="002C03E8" w:rsidRPr="006F1D04" w:rsidTr="00006018">
        <w:trPr>
          <w:trHeight w:hRule="exact" w:val="403"/>
          <w:jc w:val="center"/>
        </w:trPr>
        <w:tc>
          <w:tcPr>
            <w:tcW w:w="848" w:type="dxa"/>
            <w:vMerge w:val="restart"/>
            <w:vAlign w:val="center"/>
          </w:tcPr>
          <w:p w:rsidR="002C03E8" w:rsidRPr="006F1D04" w:rsidRDefault="002C03E8" w:rsidP="00CC3FAD">
            <w:pPr>
              <w:spacing w:after="0" w:line="240" w:lineRule="auto"/>
              <w:jc w:val="center"/>
              <w:rPr>
                <w:rFonts w:ascii="Arial" w:hAnsi="Arial" w:cs="Arial"/>
                <w:sz w:val="15"/>
                <w:szCs w:val="15"/>
              </w:rPr>
            </w:pPr>
            <w:r w:rsidRPr="006F1D04">
              <w:rPr>
                <w:rFonts w:ascii="Arial" w:hAnsi="Arial" w:cs="Arial"/>
                <w:sz w:val="15"/>
                <w:szCs w:val="15"/>
              </w:rPr>
              <w:t>D30PM</w:t>
            </w:r>
            <w:r w:rsidRPr="006F1D04">
              <w:rPr>
                <w:rFonts w:ascii="Arial" w:hAnsi="Arial" w:cs="Arial"/>
                <w:sz w:val="15"/>
                <w:szCs w:val="15"/>
                <w:vertAlign w:val="subscript"/>
              </w:rPr>
              <w:t>10</w:t>
            </w:r>
          </w:p>
        </w:tc>
        <w:tc>
          <w:tcPr>
            <w:tcW w:w="1420" w:type="dxa"/>
            <w:vMerge w:val="restart"/>
            <w:vAlign w:val="center"/>
          </w:tcPr>
          <w:p w:rsidR="002C03E8" w:rsidRPr="006F1D04" w:rsidRDefault="002C03E8" w:rsidP="00CC3FAD">
            <w:pPr>
              <w:spacing w:after="0" w:line="240" w:lineRule="auto"/>
              <w:jc w:val="center"/>
              <w:rPr>
                <w:rFonts w:ascii="Arial" w:hAnsi="Arial" w:cs="Arial"/>
                <w:sz w:val="15"/>
                <w:szCs w:val="15"/>
              </w:rPr>
            </w:pPr>
            <w:r w:rsidRPr="006F1D04">
              <w:rPr>
                <w:rFonts w:ascii="Arial" w:hAnsi="Arial" w:cs="Arial"/>
                <w:sz w:val="15"/>
                <w:szCs w:val="15"/>
              </w:rPr>
              <w:t>R</w:t>
            </w:r>
            <w:r w:rsidR="0078171C" w:rsidRPr="006F1D04">
              <w:rPr>
                <w:rFonts w:ascii="Arial" w:hAnsi="Arial" w:cs="Arial"/>
                <w:sz w:val="15"/>
                <w:szCs w:val="15"/>
              </w:rPr>
              <w:t>eduction</w:t>
            </w:r>
          </w:p>
        </w:tc>
        <w:tc>
          <w:tcPr>
            <w:tcW w:w="2327" w:type="dxa"/>
            <w:tcBorders>
              <w:bottom w:val="dotted" w:sz="4" w:space="0" w:color="0070C0"/>
            </w:tcBorders>
            <w:shd w:val="clear" w:color="auto" w:fill="auto"/>
            <w:vAlign w:val="center"/>
          </w:tcPr>
          <w:p w:rsidR="002C03E8" w:rsidRPr="006F1D04" w:rsidRDefault="002C03E8" w:rsidP="00CC3FAD">
            <w:pPr>
              <w:spacing w:after="0" w:line="240" w:lineRule="auto"/>
              <w:jc w:val="center"/>
              <w:rPr>
                <w:rFonts w:ascii="Arial" w:hAnsi="Arial" w:cs="Arial"/>
                <w:sz w:val="15"/>
                <w:szCs w:val="15"/>
              </w:rPr>
            </w:pPr>
            <w:r w:rsidRPr="006F1D04">
              <w:rPr>
                <w:rFonts w:ascii="Arial" w:hAnsi="Arial" w:cs="Arial"/>
                <w:sz w:val="15"/>
                <w:szCs w:val="15"/>
              </w:rPr>
              <w:t>0</w:t>
            </w:r>
            <w:r w:rsidR="00DE15F0" w:rsidRPr="006F1D04">
              <w:rPr>
                <w:rFonts w:ascii="Arial" w:hAnsi="Arial" w:cs="Arial"/>
                <w:sz w:val="15"/>
                <w:szCs w:val="15"/>
              </w:rPr>
              <w:t>–</w:t>
            </w:r>
            <w:r w:rsidRPr="006F1D04">
              <w:rPr>
                <w:rFonts w:ascii="Arial" w:hAnsi="Arial" w:cs="Arial"/>
                <w:sz w:val="15"/>
                <w:szCs w:val="15"/>
              </w:rPr>
              <w:t>14 years (respiratory)</w:t>
            </w:r>
          </w:p>
        </w:tc>
        <w:tc>
          <w:tcPr>
            <w:tcW w:w="1077" w:type="dxa"/>
            <w:tcBorders>
              <w:bottom w:val="dotted" w:sz="4" w:space="0" w:color="0070C0"/>
            </w:tcBorders>
            <w:shd w:val="clear" w:color="auto" w:fill="auto"/>
            <w:vAlign w:val="center"/>
          </w:tcPr>
          <w:p w:rsidR="002C03E8" w:rsidRPr="006F1D04" w:rsidRDefault="002C03E8" w:rsidP="00CC3FAD">
            <w:pPr>
              <w:spacing w:after="0" w:line="240" w:lineRule="auto"/>
              <w:jc w:val="center"/>
              <w:rPr>
                <w:rFonts w:ascii="Arial" w:hAnsi="Arial" w:cs="Arial"/>
                <w:sz w:val="15"/>
                <w:szCs w:val="15"/>
              </w:rPr>
            </w:pPr>
            <w:r w:rsidRPr="006F1D04">
              <w:rPr>
                <w:rFonts w:ascii="Arial" w:hAnsi="Arial" w:cs="Arial"/>
                <w:sz w:val="15"/>
                <w:szCs w:val="15"/>
              </w:rPr>
              <w:t>Four cities</w:t>
            </w:r>
          </w:p>
        </w:tc>
        <w:tc>
          <w:tcPr>
            <w:tcW w:w="2214" w:type="dxa"/>
            <w:tcBorders>
              <w:bottom w:val="dotted" w:sz="4" w:space="0" w:color="0070C0"/>
            </w:tcBorders>
            <w:shd w:val="clear" w:color="auto" w:fill="auto"/>
            <w:vAlign w:val="center"/>
          </w:tcPr>
          <w:p w:rsidR="002C03E8" w:rsidRPr="006F1D04" w:rsidRDefault="00DE15F0" w:rsidP="00CC3FAD">
            <w:pPr>
              <w:spacing w:after="0" w:line="240" w:lineRule="auto"/>
              <w:jc w:val="center"/>
              <w:rPr>
                <w:rFonts w:ascii="Arial" w:hAnsi="Arial" w:cs="Arial"/>
                <w:sz w:val="15"/>
                <w:szCs w:val="15"/>
              </w:rPr>
            </w:pPr>
            <w:r w:rsidRPr="006F1D04">
              <w:rPr>
                <w:rFonts w:ascii="Arial" w:hAnsi="Arial" w:cs="Arial"/>
                <w:sz w:val="15"/>
                <w:szCs w:val="15"/>
              </w:rPr>
              <w:t>–</w:t>
            </w:r>
            <w:r w:rsidR="002C03E8" w:rsidRPr="006F1D04">
              <w:rPr>
                <w:rFonts w:ascii="Arial" w:hAnsi="Arial" w:cs="Arial"/>
                <w:sz w:val="15"/>
                <w:szCs w:val="15"/>
              </w:rPr>
              <w:t>65% (</w:t>
            </w:r>
            <w:r w:rsidRPr="006F1D04">
              <w:rPr>
                <w:rFonts w:ascii="Arial" w:hAnsi="Arial" w:cs="Arial"/>
                <w:sz w:val="15"/>
                <w:szCs w:val="15"/>
              </w:rPr>
              <w:t>–</w:t>
            </w:r>
            <w:r w:rsidR="006F6E76" w:rsidRPr="006F1D04">
              <w:rPr>
                <w:rFonts w:ascii="Arial" w:hAnsi="Arial" w:cs="Arial"/>
                <w:sz w:val="15"/>
                <w:szCs w:val="15"/>
              </w:rPr>
              <w:t xml:space="preserve">730 </w:t>
            </w:r>
            <w:r w:rsidR="002C03E8" w:rsidRPr="006F1D04">
              <w:rPr>
                <w:rFonts w:ascii="Arial" w:hAnsi="Arial" w:cs="Arial"/>
                <w:sz w:val="15"/>
                <w:szCs w:val="15"/>
              </w:rPr>
              <w:t>admissions</w:t>
            </w:r>
          </w:p>
        </w:tc>
      </w:tr>
      <w:tr w:rsidR="002C03E8" w:rsidRPr="006F1D04" w:rsidTr="00006018">
        <w:trPr>
          <w:trHeight w:hRule="exact" w:val="510"/>
          <w:jc w:val="center"/>
        </w:trPr>
        <w:tc>
          <w:tcPr>
            <w:tcW w:w="848" w:type="dxa"/>
            <w:vMerge/>
            <w:vAlign w:val="center"/>
          </w:tcPr>
          <w:p w:rsidR="002C03E8" w:rsidRPr="006F1D04" w:rsidRDefault="002C03E8" w:rsidP="00CC3FAD">
            <w:pPr>
              <w:spacing w:after="0" w:line="240" w:lineRule="auto"/>
              <w:jc w:val="center"/>
              <w:rPr>
                <w:rFonts w:ascii="Arial" w:hAnsi="Arial" w:cs="Arial"/>
                <w:sz w:val="15"/>
                <w:szCs w:val="15"/>
              </w:rPr>
            </w:pPr>
          </w:p>
        </w:tc>
        <w:tc>
          <w:tcPr>
            <w:tcW w:w="1420" w:type="dxa"/>
            <w:vMerge/>
            <w:vAlign w:val="center"/>
          </w:tcPr>
          <w:p w:rsidR="002C03E8" w:rsidRPr="006F1D04" w:rsidRDefault="002C03E8" w:rsidP="00CC3FAD">
            <w:pPr>
              <w:spacing w:after="0" w:line="240" w:lineRule="auto"/>
              <w:jc w:val="center"/>
              <w:rPr>
                <w:rFonts w:ascii="Arial" w:hAnsi="Arial" w:cs="Arial"/>
                <w:sz w:val="15"/>
                <w:szCs w:val="15"/>
              </w:rPr>
            </w:pPr>
          </w:p>
        </w:tc>
        <w:tc>
          <w:tcPr>
            <w:tcW w:w="2327" w:type="dxa"/>
            <w:tcBorders>
              <w:top w:val="dotted" w:sz="4" w:space="0" w:color="0070C0"/>
            </w:tcBorders>
            <w:shd w:val="clear" w:color="auto" w:fill="auto"/>
            <w:vAlign w:val="center"/>
          </w:tcPr>
          <w:p w:rsidR="002C03E8" w:rsidRPr="006F1D04" w:rsidRDefault="002C03E8" w:rsidP="00CC3FAD">
            <w:pPr>
              <w:spacing w:after="0" w:line="240" w:lineRule="auto"/>
              <w:jc w:val="center"/>
              <w:rPr>
                <w:rFonts w:ascii="Arial" w:hAnsi="Arial" w:cs="Arial"/>
                <w:sz w:val="15"/>
                <w:szCs w:val="15"/>
              </w:rPr>
            </w:pPr>
            <w:r w:rsidRPr="006F1D04">
              <w:rPr>
                <w:rFonts w:ascii="Arial" w:hAnsi="Arial" w:cs="Arial"/>
                <w:sz w:val="15"/>
                <w:szCs w:val="15"/>
              </w:rPr>
              <w:t xml:space="preserve">65+ years (pneumonia and </w:t>
            </w:r>
            <w:r w:rsidR="00CB0AAF" w:rsidRPr="006F1D04">
              <w:rPr>
                <w:rFonts w:ascii="Arial" w:hAnsi="Arial" w:cs="Arial"/>
                <w:sz w:val="15"/>
                <w:szCs w:val="15"/>
              </w:rPr>
              <w:t>short-term</w:t>
            </w:r>
            <w:r w:rsidRPr="006F1D04">
              <w:rPr>
                <w:rFonts w:ascii="Arial" w:hAnsi="Arial" w:cs="Arial"/>
                <w:sz w:val="15"/>
                <w:szCs w:val="15"/>
              </w:rPr>
              <w:t xml:space="preserve"> bronchitis)</w:t>
            </w:r>
          </w:p>
        </w:tc>
        <w:tc>
          <w:tcPr>
            <w:tcW w:w="1077" w:type="dxa"/>
            <w:tcBorders>
              <w:top w:val="dotted" w:sz="4" w:space="0" w:color="0070C0"/>
            </w:tcBorders>
            <w:shd w:val="clear" w:color="auto" w:fill="auto"/>
            <w:vAlign w:val="center"/>
          </w:tcPr>
          <w:p w:rsidR="002C03E8" w:rsidRPr="006F1D04" w:rsidRDefault="002C03E8" w:rsidP="00CC3FAD">
            <w:pPr>
              <w:spacing w:after="0" w:line="240" w:lineRule="auto"/>
              <w:jc w:val="center"/>
              <w:rPr>
                <w:rFonts w:ascii="Arial" w:hAnsi="Arial" w:cs="Arial"/>
                <w:sz w:val="15"/>
                <w:szCs w:val="15"/>
              </w:rPr>
            </w:pPr>
            <w:r w:rsidRPr="006F1D04">
              <w:rPr>
                <w:rFonts w:ascii="Arial" w:hAnsi="Arial" w:cs="Arial"/>
                <w:sz w:val="15"/>
                <w:szCs w:val="15"/>
              </w:rPr>
              <w:t>Four cities</w:t>
            </w:r>
          </w:p>
        </w:tc>
        <w:tc>
          <w:tcPr>
            <w:tcW w:w="2214" w:type="dxa"/>
            <w:tcBorders>
              <w:top w:val="dotted" w:sz="4" w:space="0" w:color="0070C0"/>
            </w:tcBorders>
            <w:shd w:val="clear" w:color="auto" w:fill="auto"/>
            <w:vAlign w:val="center"/>
          </w:tcPr>
          <w:p w:rsidR="002C03E8" w:rsidRPr="006F1D04" w:rsidRDefault="00DE15F0" w:rsidP="00CC3FAD">
            <w:pPr>
              <w:spacing w:after="0" w:line="240" w:lineRule="auto"/>
              <w:jc w:val="center"/>
              <w:rPr>
                <w:rFonts w:ascii="Arial" w:hAnsi="Arial" w:cs="Arial"/>
                <w:sz w:val="15"/>
                <w:szCs w:val="15"/>
              </w:rPr>
            </w:pPr>
            <w:r w:rsidRPr="006F1D04">
              <w:rPr>
                <w:rFonts w:ascii="Arial" w:hAnsi="Arial" w:cs="Arial"/>
                <w:sz w:val="15"/>
                <w:szCs w:val="15"/>
              </w:rPr>
              <w:t>–</w:t>
            </w:r>
            <w:r w:rsidR="002C03E8" w:rsidRPr="006F1D04">
              <w:rPr>
                <w:rFonts w:ascii="Arial" w:hAnsi="Arial" w:cs="Arial"/>
                <w:sz w:val="15"/>
                <w:szCs w:val="15"/>
              </w:rPr>
              <w:t>65% (</w:t>
            </w:r>
            <w:r w:rsidRPr="006F1D04">
              <w:rPr>
                <w:rFonts w:ascii="Arial" w:hAnsi="Arial" w:cs="Arial"/>
                <w:sz w:val="15"/>
                <w:szCs w:val="15"/>
              </w:rPr>
              <w:t>–</w:t>
            </w:r>
            <w:r w:rsidR="006F6E76" w:rsidRPr="006F1D04">
              <w:rPr>
                <w:rFonts w:ascii="Arial" w:hAnsi="Arial" w:cs="Arial"/>
                <w:sz w:val="15"/>
                <w:szCs w:val="15"/>
              </w:rPr>
              <w:t xml:space="preserve">340 </w:t>
            </w:r>
            <w:r w:rsidR="002C03E8" w:rsidRPr="006F1D04">
              <w:rPr>
                <w:rFonts w:ascii="Arial" w:hAnsi="Arial" w:cs="Arial"/>
                <w:sz w:val="15"/>
                <w:szCs w:val="15"/>
              </w:rPr>
              <w:t>admissions)</w:t>
            </w:r>
          </w:p>
        </w:tc>
      </w:tr>
    </w:tbl>
    <w:p w:rsidR="002C03E8" w:rsidRPr="006F1D04" w:rsidRDefault="002C03E8" w:rsidP="002C03E8">
      <w:pPr>
        <w:rPr>
          <w:rFonts w:ascii="Arial" w:hAnsi="Arial" w:cs="Arial"/>
          <w:sz w:val="12"/>
          <w:szCs w:val="12"/>
        </w:rPr>
      </w:pPr>
    </w:p>
    <w:p w:rsidR="002C03E8" w:rsidRPr="006F1D04" w:rsidRDefault="002C03E8" w:rsidP="00B96AAC">
      <w:pPr>
        <w:pStyle w:val="CaptionPB"/>
        <w:spacing w:before="0" w:after="80"/>
        <w:rPr>
          <w:rFonts w:ascii="Arial" w:hAnsi="Arial" w:cs="Arial"/>
        </w:rPr>
      </w:pPr>
      <w:bookmarkStart w:id="174" w:name="_Ref369531506"/>
      <w:r w:rsidRPr="006F1D04">
        <w:rPr>
          <w:rFonts w:ascii="Arial" w:hAnsi="Arial" w:cs="Arial"/>
        </w:rPr>
        <w:t xml:space="preserve">Table </w:t>
      </w:r>
      <w:r w:rsidR="00BF6019" w:rsidRPr="006F1D04">
        <w:rPr>
          <w:rFonts w:ascii="Arial" w:hAnsi="Arial" w:cs="Arial"/>
        </w:rPr>
        <w:fldChar w:fldCharType="begin"/>
      </w:r>
      <w:r w:rsidRPr="006F1D04">
        <w:rPr>
          <w:rFonts w:ascii="Arial" w:hAnsi="Arial" w:cs="Arial"/>
        </w:rPr>
        <w:instrText xml:space="preserve"> STYLEREF 1 \s </w:instrText>
      </w:r>
      <w:r w:rsidR="00BF6019" w:rsidRPr="006F1D04">
        <w:rPr>
          <w:rFonts w:ascii="Arial" w:hAnsi="Arial" w:cs="Arial"/>
        </w:rPr>
        <w:fldChar w:fldCharType="separate"/>
      </w:r>
      <w:r w:rsidR="0085182E">
        <w:rPr>
          <w:rFonts w:ascii="Arial" w:hAnsi="Arial" w:cs="Arial"/>
          <w:noProof/>
        </w:rPr>
        <w:t>8</w:t>
      </w:r>
      <w:r w:rsidR="00BF6019" w:rsidRPr="006F1D04">
        <w:rPr>
          <w:rFonts w:ascii="Arial" w:hAnsi="Arial" w:cs="Arial"/>
        </w:rPr>
        <w:fldChar w:fldCharType="end"/>
      </w:r>
      <w:r w:rsidRPr="006F1D04">
        <w:rPr>
          <w:rFonts w:ascii="Arial" w:hAnsi="Arial" w:cs="Arial"/>
        </w:rPr>
        <w:t>.</w:t>
      </w:r>
      <w:r w:rsidR="00BF6019" w:rsidRPr="006F1D04">
        <w:rPr>
          <w:rFonts w:ascii="Arial" w:hAnsi="Arial" w:cs="Arial"/>
        </w:rPr>
        <w:fldChar w:fldCharType="begin"/>
      </w:r>
      <w:r w:rsidRPr="006F1D04">
        <w:rPr>
          <w:rFonts w:ascii="Arial" w:hAnsi="Arial" w:cs="Arial"/>
        </w:rPr>
        <w:instrText xml:space="preserve"> SEQ Table \* ARABIC \s 1 </w:instrText>
      </w:r>
      <w:r w:rsidR="00BF6019" w:rsidRPr="006F1D04">
        <w:rPr>
          <w:rFonts w:ascii="Arial" w:hAnsi="Arial" w:cs="Arial"/>
        </w:rPr>
        <w:fldChar w:fldCharType="separate"/>
      </w:r>
      <w:r w:rsidR="0085182E">
        <w:rPr>
          <w:rFonts w:ascii="Arial" w:hAnsi="Arial" w:cs="Arial"/>
          <w:noProof/>
        </w:rPr>
        <w:t>4</w:t>
      </w:r>
      <w:r w:rsidR="00BF6019" w:rsidRPr="006F1D04">
        <w:rPr>
          <w:rFonts w:ascii="Arial" w:hAnsi="Arial" w:cs="Arial"/>
        </w:rPr>
        <w:fldChar w:fldCharType="end"/>
      </w:r>
      <w:bookmarkEnd w:id="174"/>
      <w:r w:rsidRPr="006F1D04">
        <w:rPr>
          <w:rFonts w:ascii="Arial" w:hAnsi="Arial" w:cs="Arial"/>
        </w:rPr>
        <w:t xml:space="preserve">: </w:t>
      </w:r>
      <w:r w:rsidR="0012536C" w:rsidRPr="006F1D04">
        <w:rPr>
          <w:rFonts w:ascii="Arial" w:hAnsi="Arial" w:cs="Arial"/>
        </w:rPr>
        <w:t>Changes in h</w:t>
      </w:r>
      <w:r w:rsidRPr="006F1D04">
        <w:rPr>
          <w:rFonts w:ascii="Arial" w:hAnsi="Arial" w:cs="Arial"/>
        </w:rPr>
        <w:t>eal</w:t>
      </w:r>
      <w:r w:rsidR="0012536C" w:rsidRPr="006F1D04">
        <w:rPr>
          <w:rFonts w:ascii="Arial" w:hAnsi="Arial" w:cs="Arial"/>
        </w:rPr>
        <w:t>th outcomes for annual mean PM</w:t>
      </w:r>
      <w:r w:rsidR="0012536C" w:rsidRPr="006F1D04">
        <w:rPr>
          <w:rFonts w:ascii="Arial" w:hAnsi="Arial" w:cs="Arial"/>
          <w:vertAlign w:val="subscript"/>
        </w:rPr>
        <w:t>2.5</w:t>
      </w:r>
      <w:r w:rsidR="0029278F" w:rsidRPr="006F1D04">
        <w:rPr>
          <w:rFonts w:ascii="Arial" w:hAnsi="Arial" w:cs="Arial"/>
        </w:rPr>
        <w:t xml:space="preserve"> sub-o</w:t>
      </w:r>
      <w:r w:rsidR="0012536C" w:rsidRPr="006F1D04">
        <w:rPr>
          <w:rFonts w:ascii="Arial" w:hAnsi="Arial" w:cs="Arial"/>
        </w:rPr>
        <w:t xml:space="preserve">ptions </w:t>
      </w:r>
      <w:r w:rsidRPr="006F1D04">
        <w:rPr>
          <w:rFonts w:ascii="Arial" w:hAnsi="Arial" w:cs="Arial"/>
        </w:rPr>
        <w:t>(Sourc</w:t>
      </w:r>
      <w:r w:rsidRPr="006F1D04">
        <w:rPr>
          <w:rFonts w:ascii="Arial" w:hAnsi="Arial" w:cs="Arial"/>
          <w:color w:val="0070C0"/>
        </w:rPr>
        <w:t xml:space="preserve">e: Morgan </w:t>
      </w:r>
      <w:r w:rsidR="009334F4" w:rsidRPr="006F1D04">
        <w:rPr>
          <w:rFonts w:ascii="Arial" w:hAnsi="Arial" w:cs="Arial"/>
          <w:color w:val="0070C0"/>
        </w:rPr>
        <w:t>et al.</w:t>
      </w:r>
      <w:r w:rsidRPr="006F1D04">
        <w:rPr>
          <w:rFonts w:ascii="Arial" w:hAnsi="Arial" w:cs="Arial"/>
          <w:color w:val="0070C0"/>
        </w:rPr>
        <w:t xml:space="preserve"> 2013)</w:t>
      </w:r>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28" w:type="dxa"/>
          <w:right w:w="28" w:type="dxa"/>
        </w:tblCellMar>
        <w:tblLook w:val="04A0"/>
      </w:tblPr>
      <w:tblGrid>
        <w:gridCol w:w="770"/>
        <w:gridCol w:w="1559"/>
        <w:gridCol w:w="992"/>
        <w:gridCol w:w="1276"/>
        <w:gridCol w:w="1417"/>
        <w:gridCol w:w="947"/>
        <w:gridCol w:w="2094"/>
      </w:tblGrid>
      <w:tr w:rsidR="0078171C" w:rsidRPr="006F1D04" w:rsidTr="00B96AAC">
        <w:trPr>
          <w:trHeight w:val="614"/>
          <w:jc w:val="center"/>
        </w:trPr>
        <w:tc>
          <w:tcPr>
            <w:tcW w:w="770" w:type="dxa"/>
            <w:shd w:val="clear" w:color="auto" w:fill="0070C0"/>
            <w:vAlign w:val="center"/>
          </w:tcPr>
          <w:p w:rsidR="0078171C" w:rsidRPr="006F1D04" w:rsidRDefault="0029278F" w:rsidP="0078171C">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Sub-o</w:t>
            </w:r>
            <w:r w:rsidR="0078171C" w:rsidRPr="006F1D04">
              <w:rPr>
                <w:rFonts w:ascii="Arial" w:hAnsi="Arial" w:cs="Arial"/>
                <w:b/>
                <w:color w:val="FFFFFF"/>
                <w:sz w:val="15"/>
                <w:szCs w:val="15"/>
              </w:rPr>
              <w:t>ption</w:t>
            </w:r>
          </w:p>
        </w:tc>
        <w:tc>
          <w:tcPr>
            <w:tcW w:w="1559" w:type="dxa"/>
            <w:shd w:val="clear" w:color="auto" w:fill="0070C0"/>
            <w:vAlign w:val="center"/>
          </w:tcPr>
          <w:p w:rsidR="0078171C" w:rsidRPr="006F1D04" w:rsidRDefault="0078171C" w:rsidP="0078171C">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Change in exposu</w:t>
            </w:r>
            <w:r w:rsidR="00C97E0D" w:rsidRPr="006F1D04">
              <w:rPr>
                <w:rFonts w:ascii="Arial" w:hAnsi="Arial" w:cs="Arial"/>
                <w:b/>
                <w:color w:val="FFFFFF"/>
                <w:sz w:val="15"/>
                <w:szCs w:val="15"/>
              </w:rPr>
              <w:t>re relative to baseline</w:t>
            </w:r>
          </w:p>
        </w:tc>
        <w:tc>
          <w:tcPr>
            <w:tcW w:w="992" w:type="dxa"/>
            <w:shd w:val="clear" w:color="auto" w:fill="0070C0"/>
            <w:vAlign w:val="center"/>
          </w:tcPr>
          <w:p w:rsidR="0078171C" w:rsidRPr="006F1D04" w:rsidRDefault="0078171C" w:rsidP="0078171C">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Age group (outcome)</w:t>
            </w:r>
          </w:p>
        </w:tc>
        <w:tc>
          <w:tcPr>
            <w:tcW w:w="1276" w:type="dxa"/>
            <w:shd w:val="clear" w:color="auto" w:fill="0070C0"/>
            <w:vAlign w:val="center"/>
          </w:tcPr>
          <w:p w:rsidR="0078171C" w:rsidRPr="006F1D04" w:rsidRDefault="0078171C" w:rsidP="0078171C">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Geographical coverage</w:t>
            </w:r>
          </w:p>
        </w:tc>
        <w:tc>
          <w:tcPr>
            <w:tcW w:w="1417" w:type="dxa"/>
            <w:shd w:val="clear" w:color="auto" w:fill="0070C0"/>
            <w:vAlign w:val="center"/>
          </w:tcPr>
          <w:p w:rsidR="0078171C" w:rsidRPr="006F1D04" w:rsidRDefault="0078171C" w:rsidP="0078171C">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Attributable mortality (deaths per year)</w:t>
            </w:r>
          </w:p>
        </w:tc>
        <w:tc>
          <w:tcPr>
            <w:tcW w:w="947" w:type="dxa"/>
            <w:shd w:val="clear" w:color="auto" w:fill="0070C0"/>
            <w:vAlign w:val="center"/>
          </w:tcPr>
          <w:p w:rsidR="0078171C" w:rsidRPr="006F1D04" w:rsidRDefault="0078171C" w:rsidP="0078171C">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Years of life lost</w:t>
            </w:r>
            <w:r w:rsidR="00C97E0D" w:rsidRPr="006F1D04">
              <w:rPr>
                <w:rFonts w:ascii="Arial" w:hAnsi="Arial" w:cs="Arial"/>
                <w:b/>
                <w:color w:val="FFFFFF"/>
                <w:sz w:val="15"/>
                <w:szCs w:val="15"/>
              </w:rPr>
              <w:t xml:space="preserve"> over 100 years</w:t>
            </w:r>
          </w:p>
        </w:tc>
        <w:tc>
          <w:tcPr>
            <w:tcW w:w="2094" w:type="dxa"/>
            <w:shd w:val="clear" w:color="auto" w:fill="0070C0"/>
            <w:vAlign w:val="center"/>
          </w:tcPr>
          <w:p w:rsidR="0078171C" w:rsidRPr="006F1D04" w:rsidRDefault="00C848CA" w:rsidP="0078171C">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Change</w:t>
            </w:r>
            <w:r w:rsidR="0078171C" w:rsidRPr="006F1D04">
              <w:rPr>
                <w:rFonts w:ascii="Arial" w:hAnsi="Arial" w:cs="Arial"/>
                <w:b/>
                <w:color w:val="FFFFFF"/>
                <w:sz w:val="15"/>
                <w:szCs w:val="15"/>
              </w:rPr>
              <w:t xml:space="preserve"> in life expectancy at birth</w:t>
            </w:r>
          </w:p>
        </w:tc>
      </w:tr>
      <w:tr w:rsidR="0078171C" w:rsidRPr="006F1D04" w:rsidTr="00F40168">
        <w:trPr>
          <w:trHeight w:hRule="exact" w:val="397"/>
          <w:jc w:val="center"/>
        </w:trPr>
        <w:tc>
          <w:tcPr>
            <w:tcW w:w="770" w:type="dxa"/>
            <w:vMerge w:val="restart"/>
            <w:vAlign w:val="center"/>
          </w:tcPr>
          <w:p w:rsidR="0078171C" w:rsidRPr="006F1D04" w:rsidRDefault="0078171C" w:rsidP="0078171C">
            <w:pPr>
              <w:spacing w:after="0" w:line="240" w:lineRule="auto"/>
              <w:jc w:val="center"/>
              <w:rPr>
                <w:rFonts w:ascii="Arial" w:hAnsi="Arial" w:cs="Arial"/>
                <w:sz w:val="15"/>
                <w:szCs w:val="15"/>
              </w:rPr>
            </w:pPr>
            <w:r w:rsidRPr="006F1D04">
              <w:rPr>
                <w:rFonts w:ascii="Arial" w:hAnsi="Arial" w:cs="Arial"/>
                <w:sz w:val="15"/>
                <w:szCs w:val="15"/>
              </w:rPr>
              <w:t>A10PM</w:t>
            </w:r>
            <w:r w:rsidRPr="006F1D04">
              <w:rPr>
                <w:rFonts w:ascii="Arial" w:hAnsi="Arial" w:cs="Arial"/>
                <w:sz w:val="15"/>
                <w:szCs w:val="15"/>
                <w:vertAlign w:val="subscript"/>
              </w:rPr>
              <w:t>2.5</w:t>
            </w:r>
          </w:p>
        </w:tc>
        <w:tc>
          <w:tcPr>
            <w:tcW w:w="1559" w:type="dxa"/>
            <w:vMerge w:val="restart"/>
            <w:vAlign w:val="center"/>
          </w:tcPr>
          <w:p w:rsidR="0078171C" w:rsidRPr="006F1D04" w:rsidRDefault="00CA0771" w:rsidP="0078171C">
            <w:pPr>
              <w:spacing w:after="0" w:line="240" w:lineRule="auto"/>
              <w:jc w:val="center"/>
              <w:rPr>
                <w:rFonts w:ascii="Arial" w:hAnsi="Arial" w:cs="Arial"/>
                <w:sz w:val="15"/>
                <w:szCs w:val="15"/>
              </w:rPr>
            </w:pPr>
            <w:r w:rsidRPr="006F1D04">
              <w:rPr>
                <w:rFonts w:ascii="Arial" w:hAnsi="Arial" w:cs="Arial"/>
                <w:sz w:val="15"/>
                <w:szCs w:val="15"/>
              </w:rPr>
              <w:t>Increase of 2.2 </w:t>
            </w:r>
            <w:r w:rsidR="0078171C" w:rsidRPr="006F1D04">
              <w:rPr>
                <w:rFonts w:ascii="Arial" w:hAnsi="Arial" w:cs="Arial"/>
                <w:sz w:val="15"/>
                <w:szCs w:val="15"/>
              </w:rPr>
              <w:t>µg/m</w:t>
            </w:r>
            <w:r w:rsidR="0078171C" w:rsidRPr="006F1D04">
              <w:rPr>
                <w:rFonts w:ascii="Arial" w:hAnsi="Arial" w:cs="Arial"/>
                <w:sz w:val="15"/>
                <w:szCs w:val="15"/>
                <w:vertAlign w:val="superscript"/>
              </w:rPr>
              <w:t>3</w:t>
            </w:r>
            <w:r w:rsidR="0078171C" w:rsidRPr="006F1D04">
              <w:rPr>
                <w:rFonts w:ascii="Arial" w:hAnsi="Arial" w:cs="Arial"/>
                <w:sz w:val="15"/>
                <w:szCs w:val="15"/>
              </w:rPr>
              <w:t xml:space="preserve"> in four cities</w:t>
            </w:r>
          </w:p>
        </w:tc>
        <w:tc>
          <w:tcPr>
            <w:tcW w:w="992" w:type="dxa"/>
            <w:vMerge w:val="restart"/>
            <w:shd w:val="clear" w:color="auto" w:fill="auto"/>
            <w:vAlign w:val="center"/>
          </w:tcPr>
          <w:p w:rsidR="0078171C" w:rsidRPr="006F1D04" w:rsidRDefault="0078171C" w:rsidP="0078171C">
            <w:pPr>
              <w:spacing w:after="0" w:line="240" w:lineRule="auto"/>
              <w:jc w:val="center"/>
              <w:rPr>
                <w:rFonts w:ascii="Arial" w:hAnsi="Arial" w:cs="Arial"/>
                <w:sz w:val="15"/>
                <w:szCs w:val="15"/>
              </w:rPr>
            </w:pPr>
            <w:r w:rsidRPr="006F1D04">
              <w:rPr>
                <w:rFonts w:ascii="Arial" w:hAnsi="Arial" w:cs="Arial"/>
                <w:sz w:val="15"/>
                <w:szCs w:val="15"/>
              </w:rPr>
              <w:t>All</w:t>
            </w:r>
          </w:p>
        </w:tc>
        <w:tc>
          <w:tcPr>
            <w:tcW w:w="1276" w:type="dxa"/>
            <w:tcBorders>
              <w:bottom w:val="dotted" w:sz="4" w:space="0" w:color="0070C0"/>
            </w:tcBorders>
            <w:shd w:val="clear" w:color="auto" w:fill="auto"/>
            <w:vAlign w:val="center"/>
          </w:tcPr>
          <w:p w:rsidR="0078171C" w:rsidRPr="006F1D04" w:rsidRDefault="0078171C" w:rsidP="0078171C">
            <w:pPr>
              <w:spacing w:after="0" w:line="240" w:lineRule="auto"/>
              <w:jc w:val="center"/>
              <w:rPr>
                <w:rFonts w:ascii="Arial" w:hAnsi="Arial" w:cs="Arial"/>
                <w:sz w:val="15"/>
                <w:szCs w:val="15"/>
              </w:rPr>
            </w:pPr>
            <w:r w:rsidRPr="006F1D04">
              <w:rPr>
                <w:rFonts w:ascii="Arial" w:hAnsi="Arial" w:cs="Arial"/>
                <w:sz w:val="15"/>
                <w:szCs w:val="15"/>
              </w:rPr>
              <w:t>Four cities</w:t>
            </w:r>
          </w:p>
        </w:tc>
        <w:tc>
          <w:tcPr>
            <w:tcW w:w="1417" w:type="dxa"/>
            <w:tcBorders>
              <w:bottom w:val="dotted" w:sz="4" w:space="0" w:color="0070C0"/>
            </w:tcBorders>
            <w:shd w:val="clear" w:color="auto" w:fill="auto"/>
            <w:vAlign w:val="center"/>
          </w:tcPr>
          <w:p w:rsidR="0078171C" w:rsidRPr="006F1D04" w:rsidRDefault="0078171C" w:rsidP="0078171C">
            <w:pPr>
              <w:spacing w:after="0" w:line="240" w:lineRule="auto"/>
              <w:jc w:val="center"/>
              <w:rPr>
                <w:rFonts w:ascii="Arial" w:hAnsi="Arial" w:cs="Arial"/>
                <w:sz w:val="15"/>
                <w:szCs w:val="15"/>
              </w:rPr>
            </w:pPr>
            <w:r w:rsidRPr="006F1D04">
              <w:rPr>
                <w:rFonts w:ascii="Arial" w:hAnsi="Arial" w:cs="Arial"/>
                <w:sz w:val="15"/>
                <w:szCs w:val="15"/>
              </w:rPr>
              <w:t>+48% (+760 deaths)</w:t>
            </w:r>
          </w:p>
        </w:tc>
        <w:tc>
          <w:tcPr>
            <w:tcW w:w="947" w:type="dxa"/>
            <w:tcBorders>
              <w:bottom w:val="dotted" w:sz="4" w:space="0" w:color="0070C0"/>
            </w:tcBorders>
            <w:shd w:val="clear" w:color="auto" w:fill="auto"/>
            <w:vAlign w:val="center"/>
          </w:tcPr>
          <w:p w:rsidR="0078171C" w:rsidRPr="006F1D04" w:rsidRDefault="006F6E76" w:rsidP="0078171C">
            <w:pPr>
              <w:spacing w:after="0" w:line="240" w:lineRule="auto"/>
              <w:jc w:val="center"/>
              <w:rPr>
                <w:rFonts w:ascii="Arial" w:hAnsi="Arial" w:cs="Arial"/>
                <w:sz w:val="15"/>
                <w:szCs w:val="15"/>
              </w:rPr>
            </w:pPr>
            <w:r w:rsidRPr="006F1D04">
              <w:rPr>
                <w:rFonts w:ascii="Arial" w:hAnsi="Arial" w:cs="Arial"/>
                <w:sz w:val="15"/>
                <w:szCs w:val="15"/>
              </w:rPr>
              <w:t>–</w:t>
            </w:r>
          </w:p>
        </w:tc>
        <w:tc>
          <w:tcPr>
            <w:tcW w:w="2094" w:type="dxa"/>
            <w:tcBorders>
              <w:bottom w:val="dotted" w:sz="4" w:space="0" w:color="0070C0"/>
            </w:tcBorders>
            <w:shd w:val="clear" w:color="auto" w:fill="auto"/>
            <w:vAlign w:val="center"/>
          </w:tcPr>
          <w:p w:rsidR="0078171C" w:rsidRPr="006F1D04" w:rsidRDefault="006F6E76" w:rsidP="0078171C">
            <w:pPr>
              <w:spacing w:after="0" w:line="240" w:lineRule="auto"/>
              <w:jc w:val="center"/>
              <w:rPr>
                <w:rFonts w:ascii="Arial" w:hAnsi="Arial" w:cs="Arial"/>
                <w:sz w:val="15"/>
                <w:szCs w:val="15"/>
              </w:rPr>
            </w:pPr>
            <w:r w:rsidRPr="006F1D04">
              <w:rPr>
                <w:rFonts w:ascii="Arial" w:hAnsi="Arial" w:cs="Arial"/>
                <w:sz w:val="15"/>
                <w:szCs w:val="15"/>
              </w:rPr>
              <w:t>–</w:t>
            </w:r>
          </w:p>
        </w:tc>
      </w:tr>
      <w:tr w:rsidR="0078171C" w:rsidRPr="006F1D04" w:rsidTr="00B96AAC">
        <w:trPr>
          <w:trHeight w:hRule="exact" w:val="284"/>
          <w:jc w:val="center"/>
        </w:trPr>
        <w:tc>
          <w:tcPr>
            <w:tcW w:w="770" w:type="dxa"/>
            <w:vMerge/>
            <w:vAlign w:val="center"/>
          </w:tcPr>
          <w:p w:rsidR="0078171C" w:rsidRPr="006F1D04" w:rsidRDefault="0078171C" w:rsidP="0078171C">
            <w:pPr>
              <w:spacing w:after="0" w:line="240" w:lineRule="auto"/>
              <w:jc w:val="center"/>
              <w:rPr>
                <w:rFonts w:ascii="Arial" w:hAnsi="Arial" w:cs="Arial"/>
                <w:sz w:val="15"/>
                <w:szCs w:val="15"/>
              </w:rPr>
            </w:pPr>
          </w:p>
        </w:tc>
        <w:tc>
          <w:tcPr>
            <w:tcW w:w="1559" w:type="dxa"/>
            <w:vMerge/>
            <w:vAlign w:val="center"/>
          </w:tcPr>
          <w:p w:rsidR="0078171C" w:rsidRPr="006F1D04" w:rsidRDefault="0078171C" w:rsidP="0078171C">
            <w:pPr>
              <w:spacing w:after="0" w:line="240" w:lineRule="auto"/>
              <w:jc w:val="center"/>
              <w:rPr>
                <w:rFonts w:ascii="Arial" w:hAnsi="Arial" w:cs="Arial"/>
                <w:sz w:val="15"/>
                <w:szCs w:val="15"/>
              </w:rPr>
            </w:pPr>
          </w:p>
        </w:tc>
        <w:tc>
          <w:tcPr>
            <w:tcW w:w="992" w:type="dxa"/>
            <w:vMerge/>
            <w:shd w:val="clear" w:color="auto" w:fill="auto"/>
            <w:vAlign w:val="center"/>
          </w:tcPr>
          <w:p w:rsidR="0078171C" w:rsidRPr="006F1D04" w:rsidRDefault="0078171C" w:rsidP="0078171C">
            <w:pPr>
              <w:spacing w:after="0" w:line="240" w:lineRule="auto"/>
              <w:jc w:val="center"/>
              <w:rPr>
                <w:rFonts w:ascii="Arial" w:hAnsi="Arial" w:cs="Arial"/>
                <w:sz w:val="15"/>
                <w:szCs w:val="15"/>
              </w:rPr>
            </w:pPr>
          </w:p>
        </w:tc>
        <w:tc>
          <w:tcPr>
            <w:tcW w:w="1276" w:type="dxa"/>
            <w:tcBorders>
              <w:top w:val="dotted" w:sz="4" w:space="0" w:color="0070C0"/>
              <w:bottom w:val="dotted" w:sz="4" w:space="0" w:color="0070C0"/>
            </w:tcBorders>
            <w:shd w:val="clear" w:color="auto" w:fill="auto"/>
            <w:vAlign w:val="center"/>
          </w:tcPr>
          <w:p w:rsidR="0078171C" w:rsidRPr="006F1D04" w:rsidRDefault="0078171C" w:rsidP="0078171C">
            <w:pPr>
              <w:spacing w:after="0" w:line="240" w:lineRule="auto"/>
              <w:jc w:val="center"/>
              <w:rPr>
                <w:rFonts w:ascii="Arial" w:hAnsi="Arial" w:cs="Arial"/>
                <w:sz w:val="15"/>
                <w:szCs w:val="15"/>
              </w:rPr>
            </w:pPr>
            <w:r w:rsidRPr="006F1D04">
              <w:rPr>
                <w:rFonts w:ascii="Arial" w:hAnsi="Arial" w:cs="Arial"/>
                <w:sz w:val="15"/>
                <w:szCs w:val="15"/>
              </w:rPr>
              <w:t>Sydney</w:t>
            </w:r>
          </w:p>
        </w:tc>
        <w:tc>
          <w:tcPr>
            <w:tcW w:w="1417" w:type="dxa"/>
            <w:tcBorders>
              <w:top w:val="dotted" w:sz="4" w:space="0" w:color="0070C0"/>
              <w:bottom w:val="dotted" w:sz="4" w:space="0" w:color="0070C0"/>
            </w:tcBorders>
            <w:shd w:val="clear" w:color="auto" w:fill="auto"/>
            <w:vAlign w:val="center"/>
          </w:tcPr>
          <w:p w:rsidR="0078171C" w:rsidRPr="006F1D04" w:rsidRDefault="006F6E76" w:rsidP="0078171C">
            <w:pPr>
              <w:spacing w:after="0" w:line="240" w:lineRule="auto"/>
              <w:jc w:val="center"/>
              <w:rPr>
                <w:rFonts w:ascii="Arial" w:hAnsi="Arial" w:cs="Arial"/>
                <w:sz w:val="15"/>
                <w:szCs w:val="15"/>
              </w:rPr>
            </w:pPr>
            <w:r w:rsidRPr="006F1D04">
              <w:rPr>
                <w:rFonts w:ascii="Arial" w:hAnsi="Arial" w:cs="Arial"/>
                <w:sz w:val="15"/>
                <w:szCs w:val="15"/>
              </w:rPr>
              <w:t>–</w:t>
            </w:r>
          </w:p>
        </w:tc>
        <w:tc>
          <w:tcPr>
            <w:tcW w:w="947" w:type="dxa"/>
            <w:tcBorders>
              <w:top w:val="dotted" w:sz="4" w:space="0" w:color="0070C0"/>
              <w:bottom w:val="dotted" w:sz="4" w:space="0" w:color="0070C0"/>
            </w:tcBorders>
            <w:shd w:val="clear" w:color="auto" w:fill="auto"/>
            <w:vAlign w:val="center"/>
          </w:tcPr>
          <w:p w:rsidR="0078171C" w:rsidRPr="006F1D04" w:rsidRDefault="00C97E0D" w:rsidP="0078171C">
            <w:pPr>
              <w:spacing w:after="0" w:line="240" w:lineRule="auto"/>
              <w:jc w:val="center"/>
              <w:rPr>
                <w:rFonts w:ascii="Arial" w:hAnsi="Arial" w:cs="Arial"/>
                <w:sz w:val="15"/>
                <w:szCs w:val="15"/>
              </w:rPr>
            </w:pPr>
            <w:r w:rsidRPr="006F1D04">
              <w:rPr>
                <w:rFonts w:ascii="Arial" w:hAnsi="Arial" w:cs="Arial"/>
                <w:sz w:val="15"/>
                <w:szCs w:val="15"/>
              </w:rPr>
              <w:t>+560,000</w:t>
            </w:r>
          </w:p>
        </w:tc>
        <w:tc>
          <w:tcPr>
            <w:tcW w:w="2094" w:type="dxa"/>
            <w:tcBorders>
              <w:top w:val="dotted" w:sz="4" w:space="0" w:color="0070C0"/>
              <w:bottom w:val="dotted" w:sz="4" w:space="0" w:color="0070C0"/>
            </w:tcBorders>
            <w:shd w:val="clear" w:color="auto" w:fill="auto"/>
            <w:vAlign w:val="center"/>
          </w:tcPr>
          <w:p w:rsidR="0078171C" w:rsidRPr="006F1D04" w:rsidRDefault="006F6E76" w:rsidP="0078171C">
            <w:pPr>
              <w:spacing w:after="0" w:line="240" w:lineRule="auto"/>
              <w:jc w:val="center"/>
              <w:rPr>
                <w:rFonts w:ascii="Arial" w:hAnsi="Arial" w:cs="Arial"/>
                <w:sz w:val="15"/>
                <w:szCs w:val="15"/>
              </w:rPr>
            </w:pPr>
            <w:r w:rsidRPr="006F1D04">
              <w:rPr>
                <w:rFonts w:ascii="Arial" w:hAnsi="Arial" w:cs="Arial"/>
                <w:sz w:val="15"/>
                <w:szCs w:val="15"/>
              </w:rPr>
              <w:t>–</w:t>
            </w:r>
          </w:p>
        </w:tc>
      </w:tr>
      <w:tr w:rsidR="0078171C" w:rsidRPr="006F1D04" w:rsidTr="00C848CA">
        <w:trPr>
          <w:trHeight w:hRule="exact" w:val="566"/>
          <w:jc w:val="center"/>
        </w:trPr>
        <w:tc>
          <w:tcPr>
            <w:tcW w:w="770" w:type="dxa"/>
            <w:vMerge/>
            <w:vAlign w:val="center"/>
          </w:tcPr>
          <w:p w:rsidR="0078171C" w:rsidRPr="006F1D04" w:rsidRDefault="0078171C" w:rsidP="0078171C">
            <w:pPr>
              <w:spacing w:after="0" w:line="240" w:lineRule="auto"/>
              <w:jc w:val="center"/>
              <w:rPr>
                <w:rFonts w:ascii="Arial" w:hAnsi="Arial" w:cs="Arial"/>
                <w:sz w:val="15"/>
                <w:szCs w:val="15"/>
              </w:rPr>
            </w:pPr>
          </w:p>
        </w:tc>
        <w:tc>
          <w:tcPr>
            <w:tcW w:w="1559" w:type="dxa"/>
            <w:vMerge/>
            <w:vAlign w:val="center"/>
          </w:tcPr>
          <w:p w:rsidR="0078171C" w:rsidRPr="006F1D04" w:rsidRDefault="0078171C" w:rsidP="0078171C">
            <w:pPr>
              <w:spacing w:after="0" w:line="240" w:lineRule="auto"/>
              <w:jc w:val="center"/>
              <w:rPr>
                <w:rFonts w:ascii="Arial" w:hAnsi="Arial" w:cs="Arial"/>
                <w:sz w:val="15"/>
                <w:szCs w:val="15"/>
              </w:rPr>
            </w:pPr>
          </w:p>
        </w:tc>
        <w:tc>
          <w:tcPr>
            <w:tcW w:w="992" w:type="dxa"/>
            <w:vMerge/>
            <w:shd w:val="clear" w:color="auto" w:fill="auto"/>
            <w:vAlign w:val="center"/>
          </w:tcPr>
          <w:p w:rsidR="0078171C" w:rsidRPr="006F1D04" w:rsidRDefault="0078171C" w:rsidP="0078171C">
            <w:pPr>
              <w:spacing w:after="0" w:line="240" w:lineRule="auto"/>
              <w:jc w:val="center"/>
              <w:rPr>
                <w:rFonts w:ascii="Arial" w:hAnsi="Arial" w:cs="Arial"/>
                <w:sz w:val="15"/>
                <w:szCs w:val="15"/>
              </w:rPr>
            </w:pPr>
          </w:p>
        </w:tc>
        <w:tc>
          <w:tcPr>
            <w:tcW w:w="1276" w:type="dxa"/>
            <w:tcBorders>
              <w:top w:val="dotted" w:sz="4" w:space="0" w:color="0070C0"/>
            </w:tcBorders>
            <w:shd w:val="clear" w:color="auto" w:fill="auto"/>
            <w:vAlign w:val="center"/>
          </w:tcPr>
          <w:p w:rsidR="0078171C" w:rsidRPr="006F1D04" w:rsidRDefault="0078171C" w:rsidP="0078171C">
            <w:pPr>
              <w:spacing w:after="0" w:line="240" w:lineRule="auto"/>
              <w:jc w:val="center"/>
              <w:rPr>
                <w:rFonts w:ascii="Arial" w:hAnsi="Arial" w:cs="Arial"/>
                <w:sz w:val="15"/>
                <w:szCs w:val="15"/>
              </w:rPr>
            </w:pPr>
            <w:r w:rsidRPr="006F1D04">
              <w:rPr>
                <w:rFonts w:ascii="Arial" w:hAnsi="Arial" w:cs="Arial"/>
                <w:sz w:val="15"/>
                <w:szCs w:val="15"/>
              </w:rPr>
              <w:t>Sydney</w:t>
            </w:r>
          </w:p>
        </w:tc>
        <w:tc>
          <w:tcPr>
            <w:tcW w:w="1417" w:type="dxa"/>
            <w:tcBorders>
              <w:top w:val="dotted" w:sz="4" w:space="0" w:color="0070C0"/>
            </w:tcBorders>
            <w:shd w:val="clear" w:color="auto" w:fill="auto"/>
            <w:vAlign w:val="center"/>
          </w:tcPr>
          <w:p w:rsidR="0078171C" w:rsidRPr="006F1D04" w:rsidRDefault="006F6E76" w:rsidP="0078171C">
            <w:pPr>
              <w:spacing w:after="0" w:line="240" w:lineRule="auto"/>
              <w:jc w:val="center"/>
              <w:rPr>
                <w:rFonts w:ascii="Arial" w:hAnsi="Arial" w:cs="Arial"/>
                <w:sz w:val="15"/>
                <w:szCs w:val="15"/>
              </w:rPr>
            </w:pPr>
            <w:r w:rsidRPr="006F1D04">
              <w:rPr>
                <w:rFonts w:ascii="Arial" w:hAnsi="Arial" w:cs="Arial"/>
                <w:sz w:val="15"/>
                <w:szCs w:val="15"/>
              </w:rPr>
              <w:t>–</w:t>
            </w:r>
          </w:p>
        </w:tc>
        <w:tc>
          <w:tcPr>
            <w:tcW w:w="947" w:type="dxa"/>
            <w:tcBorders>
              <w:top w:val="dotted" w:sz="4" w:space="0" w:color="0070C0"/>
            </w:tcBorders>
            <w:shd w:val="clear" w:color="auto" w:fill="auto"/>
            <w:vAlign w:val="center"/>
          </w:tcPr>
          <w:p w:rsidR="0078171C" w:rsidRPr="006F1D04" w:rsidRDefault="006F6E76" w:rsidP="0078171C">
            <w:pPr>
              <w:spacing w:after="0" w:line="240" w:lineRule="auto"/>
              <w:jc w:val="center"/>
              <w:rPr>
                <w:rFonts w:ascii="Arial" w:hAnsi="Arial" w:cs="Arial"/>
                <w:sz w:val="15"/>
                <w:szCs w:val="15"/>
              </w:rPr>
            </w:pPr>
            <w:r w:rsidRPr="006F1D04">
              <w:rPr>
                <w:rFonts w:ascii="Arial" w:hAnsi="Arial" w:cs="Arial"/>
                <w:sz w:val="15"/>
                <w:szCs w:val="15"/>
              </w:rPr>
              <w:t>–</w:t>
            </w:r>
          </w:p>
        </w:tc>
        <w:tc>
          <w:tcPr>
            <w:tcW w:w="2094" w:type="dxa"/>
            <w:tcBorders>
              <w:top w:val="dotted" w:sz="4" w:space="0" w:color="0070C0"/>
            </w:tcBorders>
            <w:shd w:val="clear" w:color="auto" w:fill="auto"/>
            <w:vAlign w:val="center"/>
          </w:tcPr>
          <w:p w:rsidR="0078171C" w:rsidRPr="006F1D04" w:rsidRDefault="00C848CA" w:rsidP="008A5F7F">
            <w:pPr>
              <w:spacing w:after="0" w:line="240" w:lineRule="auto"/>
              <w:jc w:val="center"/>
              <w:rPr>
                <w:rFonts w:ascii="Arial" w:hAnsi="Arial" w:cs="Arial"/>
                <w:sz w:val="15"/>
                <w:szCs w:val="15"/>
              </w:rPr>
            </w:pPr>
            <w:r w:rsidRPr="006F1D04">
              <w:rPr>
                <w:rFonts w:ascii="Arial" w:hAnsi="Arial" w:cs="Arial"/>
                <w:sz w:val="15"/>
                <w:szCs w:val="15"/>
              </w:rPr>
              <w:t xml:space="preserve">Reduction of </w:t>
            </w:r>
            <w:r w:rsidR="0078171C" w:rsidRPr="006F1D04">
              <w:rPr>
                <w:rFonts w:ascii="Arial" w:hAnsi="Arial" w:cs="Arial"/>
                <w:sz w:val="15"/>
                <w:szCs w:val="15"/>
              </w:rPr>
              <w:t>43 days fo</w:t>
            </w:r>
            <w:r w:rsidR="008A5F7F" w:rsidRPr="006F1D04">
              <w:rPr>
                <w:rFonts w:ascii="Arial" w:hAnsi="Arial" w:cs="Arial"/>
                <w:sz w:val="15"/>
                <w:szCs w:val="15"/>
              </w:rPr>
              <w:t>r males and 39 days for females</w:t>
            </w:r>
          </w:p>
        </w:tc>
      </w:tr>
      <w:tr w:rsidR="0078171C" w:rsidRPr="006F1D04" w:rsidTr="00B96AAC">
        <w:trPr>
          <w:trHeight w:hRule="exact" w:val="284"/>
          <w:jc w:val="center"/>
        </w:trPr>
        <w:tc>
          <w:tcPr>
            <w:tcW w:w="770" w:type="dxa"/>
            <w:vMerge w:val="restart"/>
            <w:vAlign w:val="center"/>
          </w:tcPr>
          <w:p w:rsidR="0078171C" w:rsidRPr="006F1D04" w:rsidRDefault="0078171C" w:rsidP="0078171C">
            <w:pPr>
              <w:spacing w:after="0" w:line="240" w:lineRule="auto"/>
              <w:jc w:val="center"/>
              <w:rPr>
                <w:rFonts w:ascii="Arial" w:hAnsi="Arial" w:cs="Arial"/>
                <w:sz w:val="15"/>
                <w:szCs w:val="15"/>
              </w:rPr>
            </w:pPr>
            <w:r w:rsidRPr="006F1D04">
              <w:rPr>
                <w:rFonts w:ascii="Arial" w:hAnsi="Arial" w:cs="Arial"/>
                <w:sz w:val="15"/>
                <w:szCs w:val="15"/>
              </w:rPr>
              <w:t>A08PM</w:t>
            </w:r>
            <w:r w:rsidRPr="006F1D04">
              <w:rPr>
                <w:rFonts w:ascii="Arial" w:hAnsi="Arial" w:cs="Arial"/>
                <w:sz w:val="15"/>
                <w:szCs w:val="15"/>
                <w:vertAlign w:val="subscript"/>
              </w:rPr>
              <w:t>2.5</w:t>
            </w:r>
          </w:p>
        </w:tc>
        <w:tc>
          <w:tcPr>
            <w:tcW w:w="1559" w:type="dxa"/>
            <w:vMerge w:val="restart"/>
            <w:vAlign w:val="center"/>
          </w:tcPr>
          <w:p w:rsidR="0078171C" w:rsidRPr="006F1D04" w:rsidRDefault="00FA72E9" w:rsidP="00FA72E9">
            <w:pPr>
              <w:spacing w:after="0" w:line="240" w:lineRule="auto"/>
              <w:jc w:val="center"/>
              <w:rPr>
                <w:rFonts w:ascii="Arial" w:hAnsi="Arial" w:cs="Arial"/>
                <w:sz w:val="15"/>
                <w:szCs w:val="15"/>
              </w:rPr>
            </w:pPr>
            <w:r w:rsidRPr="006F1D04">
              <w:rPr>
                <w:rFonts w:ascii="Arial" w:hAnsi="Arial" w:cs="Arial"/>
                <w:sz w:val="15"/>
                <w:szCs w:val="15"/>
              </w:rPr>
              <w:t>Increase (0.6 µg/m</w:t>
            </w:r>
            <w:r w:rsidRPr="006F1D04">
              <w:rPr>
                <w:rFonts w:ascii="Arial" w:hAnsi="Arial" w:cs="Arial"/>
                <w:sz w:val="15"/>
                <w:szCs w:val="15"/>
                <w:vertAlign w:val="superscript"/>
              </w:rPr>
              <w:t>3</w:t>
            </w:r>
            <w:r w:rsidRPr="006F1D04">
              <w:rPr>
                <w:rFonts w:ascii="Arial" w:hAnsi="Arial" w:cs="Arial"/>
                <w:sz w:val="15"/>
                <w:szCs w:val="15"/>
              </w:rPr>
              <w:t xml:space="preserve">) in 3 cities </w:t>
            </w:r>
            <w:r w:rsidR="006F6E76" w:rsidRPr="006F1D04">
              <w:rPr>
                <w:rFonts w:ascii="Arial" w:hAnsi="Arial" w:cs="Arial"/>
                <w:sz w:val="15"/>
                <w:szCs w:val="15"/>
              </w:rPr>
              <w:br/>
            </w:r>
            <w:r w:rsidRPr="006F1D04">
              <w:rPr>
                <w:rFonts w:ascii="Arial" w:hAnsi="Arial" w:cs="Arial"/>
                <w:sz w:val="15"/>
                <w:szCs w:val="15"/>
              </w:rPr>
              <w:t>(small reduction in Perth)</w:t>
            </w:r>
          </w:p>
        </w:tc>
        <w:tc>
          <w:tcPr>
            <w:tcW w:w="992" w:type="dxa"/>
            <w:vMerge w:val="restart"/>
            <w:shd w:val="clear" w:color="auto" w:fill="auto"/>
            <w:vAlign w:val="center"/>
          </w:tcPr>
          <w:p w:rsidR="0078171C" w:rsidRPr="006F1D04" w:rsidRDefault="0078171C" w:rsidP="0078171C">
            <w:pPr>
              <w:spacing w:after="0" w:line="240" w:lineRule="auto"/>
              <w:jc w:val="center"/>
              <w:rPr>
                <w:rFonts w:ascii="Arial" w:hAnsi="Arial" w:cs="Arial"/>
                <w:sz w:val="15"/>
                <w:szCs w:val="15"/>
              </w:rPr>
            </w:pPr>
            <w:r w:rsidRPr="006F1D04">
              <w:rPr>
                <w:rFonts w:ascii="Arial" w:hAnsi="Arial" w:cs="Arial"/>
                <w:sz w:val="15"/>
                <w:szCs w:val="15"/>
              </w:rPr>
              <w:t>All</w:t>
            </w:r>
          </w:p>
        </w:tc>
        <w:tc>
          <w:tcPr>
            <w:tcW w:w="1276" w:type="dxa"/>
            <w:tcBorders>
              <w:bottom w:val="dotted" w:sz="4" w:space="0" w:color="0070C0"/>
            </w:tcBorders>
            <w:shd w:val="clear" w:color="auto" w:fill="auto"/>
            <w:vAlign w:val="center"/>
          </w:tcPr>
          <w:p w:rsidR="0078171C" w:rsidRPr="006F1D04" w:rsidRDefault="0078171C" w:rsidP="0078171C">
            <w:pPr>
              <w:spacing w:after="0" w:line="240" w:lineRule="auto"/>
              <w:jc w:val="center"/>
              <w:rPr>
                <w:rFonts w:ascii="Arial" w:hAnsi="Arial" w:cs="Arial"/>
                <w:sz w:val="15"/>
                <w:szCs w:val="15"/>
              </w:rPr>
            </w:pPr>
            <w:r w:rsidRPr="006F1D04">
              <w:rPr>
                <w:rFonts w:ascii="Arial" w:hAnsi="Arial" w:cs="Arial"/>
                <w:sz w:val="15"/>
                <w:szCs w:val="15"/>
              </w:rPr>
              <w:t>Four cities</w:t>
            </w:r>
          </w:p>
        </w:tc>
        <w:tc>
          <w:tcPr>
            <w:tcW w:w="1417" w:type="dxa"/>
            <w:tcBorders>
              <w:bottom w:val="dotted" w:sz="4" w:space="0" w:color="0070C0"/>
            </w:tcBorders>
            <w:shd w:val="clear" w:color="auto" w:fill="auto"/>
            <w:vAlign w:val="center"/>
          </w:tcPr>
          <w:p w:rsidR="0078171C" w:rsidRPr="006F1D04" w:rsidRDefault="00380FBB" w:rsidP="00380FBB">
            <w:pPr>
              <w:spacing w:after="0" w:line="240" w:lineRule="auto"/>
              <w:jc w:val="center"/>
              <w:rPr>
                <w:rFonts w:ascii="Arial" w:hAnsi="Arial" w:cs="Arial"/>
                <w:sz w:val="15"/>
                <w:szCs w:val="15"/>
              </w:rPr>
            </w:pPr>
            <w:r w:rsidRPr="006F1D04">
              <w:rPr>
                <w:rFonts w:ascii="Arial" w:hAnsi="Arial" w:cs="Arial"/>
                <w:sz w:val="15"/>
                <w:szCs w:val="15"/>
              </w:rPr>
              <w:t>+</w:t>
            </w:r>
            <w:r w:rsidR="0078171C" w:rsidRPr="006F1D04">
              <w:rPr>
                <w:rFonts w:ascii="Arial" w:hAnsi="Arial" w:cs="Arial"/>
                <w:sz w:val="15"/>
                <w:szCs w:val="15"/>
              </w:rPr>
              <w:t>7% (</w:t>
            </w:r>
            <w:r w:rsidRPr="006F1D04">
              <w:rPr>
                <w:rFonts w:ascii="Arial" w:hAnsi="Arial" w:cs="Arial"/>
                <w:sz w:val="15"/>
                <w:szCs w:val="15"/>
              </w:rPr>
              <w:t>+</w:t>
            </w:r>
            <w:r w:rsidR="0078171C" w:rsidRPr="006F1D04">
              <w:rPr>
                <w:rFonts w:ascii="Arial" w:hAnsi="Arial" w:cs="Arial"/>
                <w:sz w:val="15"/>
                <w:szCs w:val="15"/>
              </w:rPr>
              <w:t>110 deaths</w:t>
            </w:r>
            <w:r w:rsidRPr="006F1D04">
              <w:rPr>
                <w:rFonts w:ascii="Arial" w:hAnsi="Arial" w:cs="Arial"/>
                <w:sz w:val="15"/>
                <w:szCs w:val="15"/>
              </w:rPr>
              <w:t>)</w:t>
            </w:r>
          </w:p>
        </w:tc>
        <w:tc>
          <w:tcPr>
            <w:tcW w:w="947" w:type="dxa"/>
            <w:tcBorders>
              <w:bottom w:val="dotted" w:sz="4" w:space="0" w:color="0070C0"/>
            </w:tcBorders>
            <w:shd w:val="clear" w:color="auto" w:fill="auto"/>
            <w:vAlign w:val="center"/>
          </w:tcPr>
          <w:p w:rsidR="0078171C" w:rsidRPr="006F1D04" w:rsidRDefault="006F6E76" w:rsidP="0078171C">
            <w:pPr>
              <w:spacing w:after="0" w:line="240" w:lineRule="auto"/>
              <w:jc w:val="center"/>
              <w:rPr>
                <w:rFonts w:ascii="Arial" w:hAnsi="Arial" w:cs="Arial"/>
                <w:sz w:val="15"/>
                <w:szCs w:val="15"/>
              </w:rPr>
            </w:pPr>
            <w:r w:rsidRPr="006F1D04">
              <w:rPr>
                <w:rFonts w:ascii="Arial" w:hAnsi="Arial" w:cs="Arial"/>
                <w:sz w:val="15"/>
                <w:szCs w:val="15"/>
              </w:rPr>
              <w:t>–</w:t>
            </w:r>
          </w:p>
        </w:tc>
        <w:tc>
          <w:tcPr>
            <w:tcW w:w="2094" w:type="dxa"/>
            <w:tcBorders>
              <w:bottom w:val="dotted" w:sz="4" w:space="0" w:color="0070C0"/>
            </w:tcBorders>
            <w:shd w:val="clear" w:color="auto" w:fill="auto"/>
            <w:vAlign w:val="center"/>
          </w:tcPr>
          <w:p w:rsidR="0078171C" w:rsidRPr="006F1D04" w:rsidRDefault="006F6E76" w:rsidP="0078171C">
            <w:pPr>
              <w:spacing w:after="0" w:line="240" w:lineRule="auto"/>
              <w:jc w:val="center"/>
              <w:rPr>
                <w:rFonts w:ascii="Arial" w:hAnsi="Arial" w:cs="Arial"/>
                <w:sz w:val="15"/>
                <w:szCs w:val="15"/>
              </w:rPr>
            </w:pPr>
            <w:r w:rsidRPr="006F1D04">
              <w:rPr>
                <w:rFonts w:ascii="Arial" w:hAnsi="Arial" w:cs="Arial"/>
                <w:sz w:val="15"/>
                <w:szCs w:val="15"/>
              </w:rPr>
              <w:t>–</w:t>
            </w:r>
          </w:p>
        </w:tc>
      </w:tr>
      <w:tr w:rsidR="0078171C" w:rsidRPr="006F1D04" w:rsidTr="00B96AAC">
        <w:trPr>
          <w:trHeight w:hRule="exact" w:val="284"/>
          <w:jc w:val="center"/>
        </w:trPr>
        <w:tc>
          <w:tcPr>
            <w:tcW w:w="770" w:type="dxa"/>
            <w:vMerge/>
            <w:vAlign w:val="center"/>
          </w:tcPr>
          <w:p w:rsidR="0078171C" w:rsidRPr="006F1D04" w:rsidRDefault="0078171C" w:rsidP="0078171C">
            <w:pPr>
              <w:spacing w:after="0" w:line="240" w:lineRule="auto"/>
              <w:jc w:val="center"/>
              <w:rPr>
                <w:rFonts w:ascii="Arial" w:hAnsi="Arial" w:cs="Arial"/>
                <w:sz w:val="15"/>
                <w:szCs w:val="15"/>
              </w:rPr>
            </w:pPr>
          </w:p>
        </w:tc>
        <w:tc>
          <w:tcPr>
            <w:tcW w:w="1559" w:type="dxa"/>
            <w:vMerge/>
            <w:vAlign w:val="center"/>
          </w:tcPr>
          <w:p w:rsidR="0078171C" w:rsidRPr="006F1D04" w:rsidRDefault="0078171C" w:rsidP="0078171C">
            <w:pPr>
              <w:spacing w:after="0" w:line="240" w:lineRule="auto"/>
              <w:jc w:val="center"/>
              <w:rPr>
                <w:rFonts w:ascii="Arial" w:hAnsi="Arial" w:cs="Arial"/>
                <w:sz w:val="15"/>
                <w:szCs w:val="15"/>
              </w:rPr>
            </w:pPr>
          </w:p>
        </w:tc>
        <w:tc>
          <w:tcPr>
            <w:tcW w:w="992" w:type="dxa"/>
            <w:vMerge/>
            <w:shd w:val="clear" w:color="auto" w:fill="auto"/>
            <w:vAlign w:val="center"/>
          </w:tcPr>
          <w:p w:rsidR="0078171C" w:rsidRPr="006F1D04" w:rsidRDefault="0078171C" w:rsidP="0078171C">
            <w:pPr>
              <w:spacing w:after="0" w:line="240" w:lineRule="auto"/>
              <w:jc w:val="center"/>
              <w:rPr>
                <w:rFonts w:ascii="Arial" w:hAnsi="Arial" w:cs="Arial"/>
                <w:sz w:val="15"/>
                <w:szCs w:val="15"/>
              </w:rPr>
            </w:pPr>
          </w:p>
        </w:tc>
        <w:tc>
          <w:tcPr>
            <w:tcW w:w="1276" w:type="dxa"/>
            <w:tcBorders>
              <w:top w:val="dotted" w:sz="4" w:space="0" w:color="0070C0"/>
              <w:bottom w:val="dotted" w:sz="4" w:space="0" w:color="0070C0"/>
            </w:tcBorders>
            <w:shd w:val="clear" w:color="auto" w:fill="auto"/>
            <w:vAlign w:val="center"/>
          </w:tcPr>
          <w:p w:rsidR="0078171C" w:rsidRPr="006F1D04" w:rsidRDefault="0078171C" w:rsidP="0078171C">
            <w:pPr>
              <w:spacing w:after="0" w:line="240" w:lineRule="auto"/>
              <w:jc w:val="center"/>
              <w:rPr>
                <w:rFonts w:ascii="Arial" w:hAnsi="Arial" w:cs="Arial"/>
                <w:sz w:val="15"/>
                <w:szCs w:val="15"/>
              </w:rPr>
            </w:pPr>
            <w:r w:rsidRPr="006F1D04">
              <w:rPr>
                <w:rFonts w:ascii="Arial" w:hAnsi="Arial" w:cs="Arial"/>
                <w:sz w:val="15"/>
                <w:szCs w:val="15"/>
              </w:rPr>
              <w:t>Sydney</w:t>
            </w:r>
          </w:p>
        </w:tc>
        <w:tc>
          <w:tcPr>
            <w:tcW w:w="1417" w:type="dxa"/>
            <w:tcBorders>
              <w:top w:val="dotted" w:sz="4" w:space="0" w:color="0070C0"/>
              <w:bottom w:val="dotted" w:sz="4" w:space="0" w:color="0070C0"/>
            </w:tcBorders>
            <w:shd w:val="clear" w:color="auto" w:fill="auto"/>
            <w:vAlign w:val="center"/>
          </w:tcPr>
          <w:p w:rsidR="0078171C" w:rsidRPr="006F1D04" w:rsidRDefault="006F6E76" w:rsidP="0078171C">
            <w:pPr>
              <w:spacing w:after="0" w:line="240" w:lineRule="auto"/>
              <w:jc w:val="center"/>
              <w:rPr>
                <w:rFonts w:ascii="Arial" w:hAnsi="Arial" w:cs="Arial"/>
                <w:sz w:val="15"/>
                <w:szCs w:val="15"/>
              </w:rPr>
            </w:pPr>
            <w:r w:rsidRPr="006F1D04">
              <w:rPr>
                <w:rFonts w:ascii="Arial" w:hAnsi="Arial" w:cs="Arial"/>
                <w:sz w:val="15"/>
                <w:szCs w:val="15"/>
              </w:rPr>
              <w:t>–</w:t>
            </w:r>
          </w:p>
        </w:tc>
        <w:tc>
          <w:tcPr>
            <w:tcW w:w="947" w:type="dxa"/>
            <w:tcBorders>
              <w:top w:val="dotted" w:sz="4" w:space="0" w:color="0070C0"/>
              <w:bottom w:val="dotted" w:sz="4" w:space="0" w:color="0070C0"/>
            </w:tcBorders>
            <w:shd w:val="clear" w:color="auto" w:fill="auto"/>
            <w:vAlign w:val="center"/>
          </w:tcPr>
          <w:p w:rsidR="0078171C" w:rsidRPr="006F1D04" w:rsidRDefault="00380FBB" w:rsidP="00C97E0D">
            <w:pPr>
              <w:spacing w:after="0" w:line="240" w:lineRule="auto"/>
              <w:jc w:val="center"/>
              <w:rPr>
                <w:rFonts w:ascii="Arial" w:hAnsi="Arial" w:cs="Arial"/>
                <w:sz w:val="15"/>
                <w:szCs w:val="15"/>
              </w:rPr>
            </w:pPr>
            <w:r w:rsidRPr="006F1D04">
              <w:rPr>
                <w:rFonts w:ascii="Arial" w:hAnsi="Arial" w:cs="Arial"/>
                <w:sz w:val="15"/>
                <w:szCs w:val="15"/>
              </w:rPr>
              <w:t>+</w:t>
            </w:r>
            <w:r w:rsidR="00C97E0D" w:rsidRPr="006F1D04">
              <w:rPr>
                <w:rFonts w:ascii="Arial" w:hAnsi="Arial" w:cs="Arial"/>
                <w:sz w:val="15"/>
                <w:szCs w:val="15"/>
              </w:rPr>
              <w:t>153,000</w:t>
            </w:r>
          </w:p>
        </w:tc>
        <w:tc>
          <w:tcPr>
            <w:tcW w:w="2094" w:type="dxa"/>
            <w:tcBorders>
              <w:top w:val="dotted" w:sz="4" w:space="0" w:color="0070C0"/>
              <w:bottom w:val="dotted" w:sz="4" w:space="0" w:color="0070C0"/>
            </w:tcBorders>
            <w:shd w:val="clear" w:color="auto" w:fill="auto"/>
            <w:vAlign w:val="center"/>
          </w:tcPr>
          <w:p w:rsidR="0078171C" w:rsidRPr="006F1D04" w:rsidRDefault="006F6E76" w:rsidP="0078171C">
            <w:pPr>
              <w:spacing w:after="0" w:line="240" w:lineRule="auto"/>
              <w:jc w:val="center"/>
              <w:rPr>
                <w:rFonts w:ascii="Arial" w:hAnsi="Arial" w:cs="Arial"/>
                <w:sz w:val="15"/>
                <w:szCs w:val="15"/>
              </w:rPr>
            </w:pPr>
            <w:r w:rsidRPr="006F1D04">
              <w:rPr>
                <w:rFonts w:ascii="Arial" w:hAnsi="Arial" w:cs="Arial"/>
                <w:sz w:val="15"/>
                <w:szCs w:val="15"/>
              </w:rPr>
              <w:t>–</w:t>
            </w:r>
          </w:p>
        </w:tc>
      </w:tr>
      <w:tr w:rsidR="0078171C" w:rsidRPr="006F1D04" w:rsidTr="00F40168">
        <w:trPr>
          <w:trHeight w:hRule="exact" w:val="567"/>
          <w:jc w:val="center"/>
        </w:trPr>
        <w:tc>
          <w:tcPr>
            <w:tcW w:w="770" w:type="dxa"/>
            <w:vMerge/>
            <w:vAlign w:val="center"/>
          </w:tcPr>
          <w:p w:rsidR="0078171C" w:rsidRPr="006F1D04" w:rsidRDefault="0078171C" w:rsidP="0078171C">
            <w:pPr>
              <w:spacing w:after="0" w:line="240" w:lineRule="auto"/>
              <w:jc w:val="center"/>
              <w:rPr>
                <w:rFonts w:ascii="Arial" w:hAnsi="Arial" w:cs="Arial"/>
                <w:sz w:val="15"/>
                <w:szCs w:val="15"/>
              </w:rPr>
            </w:pPr>
          </w:p>
        </w:tc>
        <w:tc>
          <w:tcPr>
            <w:tcW w:w="1559" w:type="dxa"/>
            <w:vMerge/>
            <w:vAlign w:val="center"/>
          </w:tcPr>
          <w:p w:rsidR="0078171C" w:rsidRPr="006F1D04" w:rsidRDefault="0078171C" w:rsidP="0078171C">
            <w:pPr>
              <w:spacing w:after="0" w:line="240" w:lineRule="auto"/>
              <w:jc w:val="center"/>
              <w:rPr>
                <w:rFonts w:ascii="Arial" w:hAnsi="Arial" w:cs="Arial"/>
                <w:sz w:val="15"/>
                <w:szCs w:val="15"/>
              </w:rPr>
            </w:pPr>
          </w:p>
        </w:tc>
        <w:tc>
          <w:tcPr>
            <w:tcW w:w="992" w:type="dxa"/>
            <w:vMerge/>
            <w:shd w:val="clear" w:color="auto" w:fill="auto"/>
            <w:vAlign w:val="center"/>
          </w:tcPr>
          <w:p w:rsidR="0078171C" w:rsidRPr="006F1D04" w:rsidRDefault="0078171C" w:rsidP="0078171C">
            <w:pPr>
              <w:spacing w:after="0" w:line="240" w:lineRule="auto"/>
              <w:jc w:val="center"/>
              <w:rPr>
                <w:rFonts w:ascii="Arial" w:hAnsi="Arial" w:cs="Arial"/>
                <w:sz w:val="15"/>
                <w:szCs w:val="15"/>
              </w:rPr>
            </w:pPr>
          </w:p>
        </w:tc>
        <w:tc>
          <w:tcPr>
            <w:tcW w:w="1276" w:type="dxa"/>
            <w:tcBorders>
              <w:top w:val="dotted" w:sz="4" w:space="0" w:color="0070C0"/>
            </w:tcBorders>
            <w:shd w:val="clear" w:color="auto" w:fill="auto"/>
            <w:vAlign w:val="center"/>
          </w:tcPr>
          <w:p w:rsidR="0078171C" w:rsidRPr="006F1D04" w:rsidRDefault="0078171C" w:rsidP="0078171C">
            <w:pPr>
              <w:spacing w:after="0" w:line="240" w:lineRule="auto"/>
              <w:jc w:val="center"/>
              <w:rPr>
                <w:rFonts w:ascii="Arial" w:hAnsi="Arial" w:cs="Arial"/>
                <w:sz w:val="15"/>
                <w:szCs w:val="15"/>
              </w:rPr>
            </w:pPr>
            <w:r w:rsidRPr="006F1D04">
              <w:rPr>
                <w:rFonts w:ascii="Arial" w:hAnsi="Arial" w:cs="Arial"/>
                <w:sz w:val="15"/>
                <w:szCs w:val="15"/>
              </w:rPr>
              <w:t>Sydney</w:t>
            </w:r>
          </w:p>
        </w:tc>
        <w:tc>
          <w:tcPr>
            <w:tcW w:w="1417" w:type="dxa"/>
            <w:tcBorders>
              <w:top w:val="dotted" w:sz="4" w:space="0" w:color="0070C0"/>
            </w:tcBorders>
            <w:shd w:val="clear" w:color="auto" w:fill="auto"/>
            <w:vAlign w:val="center"/>
          </w:tcPr>
          <w:p w:rsidR="0078171C" w:rsidRPr="006F1D04" w:rsidRDefault="006F6E76" w:rsidP="0078171C">
            <w:pPr>
              <w:spacing w:after="0" w:line="240" w:lineRule="auto"/>
              <w:jc w:val="center"/>
              <w:rPr>
                <w:rFonts w:ascii="Arial" w:hAnsi="Arial" w:cs="Arial"/>
                <w:sz w:val="15"/>
                <w:szCs w:val="15"/>
              </w:rPr>
            </w:pPr>
            <w:r w:rsidRPr="006F1D04">
              <w:rPr>
                <w:rFonts w:ascii="Arial" w:hAnsi="Arial" w:cs="Arial"/>
                <w:sz w:val="15"/>
                <w:szCs w:val="15"/>
              </w:rPr>
              <w:t>–</w:t>
            </w:r>
          </w:p>
        </w:tc>
        <w:tc>
          <w:tcPr>
            <w:tcW w:w="947" w:type="dxa"/>
            <w:tcBorders>
              <w:top w:val="dotted" w:sz="4" w:space="0" w:color="0070C0"/>
            </w:tcBorders>
            <w:shd w:val="clear" w:color="auto" w:fill="auto"/>
            <w:vAlign w:val="center"/>
          </w:tcPr>
          <w:p w:rsidR="0078171C" w:rsidRPr="006F1D04" w:rsidRDefault="006F6E76" w:rsidP="0078171C">
            <w:pPr>
              <w:spacing w:after="0" w:line="240" w:lineRule="auto"/>
              <w:jc w:val="center"/>
              <w:rPr>
                <w:rFonts w:ascii="Arial" w:hAnsi="Arial" w:cs="Arial"/>
                <w:sz w:val="15"/>
                <w:szCs w:val="15"/>
              </w:rPr>
            </w:pPr>
            <w:r w:rsidRPr="006F1D04">
              <w:rPr>
                <w:rFonts w:ascii="Arial" w:hAnsi="Arial" w:cs="Arial"/>
                <w:sz w:val="15"/>
                <w:szCs w:val="15"/>
              </w:rPr>
              <w:t>–</w:t>
            </w:r>
          </w:p>
        </w:tc>
        <w:tc>
          <w:tcPr>
            <w:tcW w:w="2094" w:type="dxa"/>
            <w:tcBorders>
              <w:top w:val="dotted" w:sz="4" w:space="0" w:color="0070C0"/>
            </w:tcBorders>
            <w:shd w:val="clear" w:color="auto" w:fill="auto"/>
            <w:vAlign w:val="center"/>
          </w:tcPr>
          <w:p w:rsidR="0078171C" w:rsidRPr="006F1D04" w:rsidRDefault="00C848CA" w:rsidP="00380FBB">
            <w:pPr>
              <w:spacing w:after="0" w:line="240" w:lineRule="auto"/>
              <w:jc w:val="center"/>
              <w:rPr>
                <w:rFonts w:ascii="Arial" w:hAnsi="Arial" w:cs="Arial"/>
                <w:sz w:val="15"/>
                <w:szCs w:val="15"/>
              </w:rPr>
            </w:pPr>
            <w:r w:rsidRPr="006F1D04">
              <w:rPr>
                <w:rFonts w:ascii="Arial" w:hAnsi="Arial" w:cs="Arial"/>
                <w:sz w:val="15"/>
                <w:szCs w:val="15"/>
              </w:rPr>
              <w:t xml:space="preserve">Reduction of </w:t>
            </w:r>
            <w:r w:rsidR="0078171C" w:rsidRPr="006F1D04">
              <w:rPr>
                <w:rFonts w:ascii="Arial" w:hAnsi="Arial" w:cs="Arial"/>
                <w:sz w:val="15"/>
                <w:szCs w:val="15"/>
              </w:rPr>
              <w:t>11 days fo</w:t>
            </w:r>
            <w:r w:rsidR="00380FBB" w:rsidRPr="006F1D04">
              <w:rPr>
                <w:rFonts w:ascii="Arial" w:hAnsi="Arial" w:cs="Arial"/>
                <w:sz w:val="15"/>
                <w:szCs w:val="15"/>
              </w:rPr>
              <w:t>r males and 11 days for females</w:t>
            </w:r>
          </w:p>
        </w:tc>
      </w:tr>
      <w:tr w:rsidR="0078171C" w:rsidRPr="006F1D04" w:rsidTr="00B96AAC">
        <w:trPr>
          <w:trHeight w:hRule="exact" w:val="284"/>
          <w:jc w:val="center"/>
        </w:trPr>
        <w:tc>
          <w:tcPr>
            <w:tcW w:w="770" w:type="dxa"/>
            <w:vMerge w:val="restart"/>
            <w:vAlign w:val="center"/>
          </w:tcPr>
          <w:p w:rsidR="0078171C" w:rsidRPr="006F1D04" w:rsidRDefault="0078171C" w:rsidP="0078171C">
            <w:pPr>
              <w:spacing w:after="0" w:line="240" w:lineRule="auto"/>
              <w:jc w:val="center"/>
              <w:rPr>
                <w:rFonts w:ascii="Arial" w:hAnsi="Arial" w:cs="Arial"/>
                <w:sz w:val="15"/>
                <w:szCs w:val="15"/>
              </w:rPr>
            </w:pPr>
            <w:r w:rsidRPr="006F1D04">
              <w:rPr>
                <w:rFonts w:ascii="Arial" w:hAnsi="Arial" w:cs="Arial"/>
                <w:sz w:val="15"/>
                <w:szCs w:val="15"/>
              </w:rPr>
              <w:t>A06PM</w:t>
            </w:r>
            <w:r w:rsidRPr="006F1D04">
              <w:rPr>
                <w:rFonts w:ascii="Arial" w:hAnsi="Arial" w:cs="Arial"/>
                <w:sz w:val="15"/>
                <w:szCs w:val="15"/>
                <w:vertAlign w:val="subscript"/>
              </w:rPr>
              <w:t>2.5</w:t>
            </w:r>
          </w:p>
        </w:tc>
        <w:tc>
          <w:tcPr>
            <w:tcW w:w="1559" w:type="dxa"/>
            <w:vMerge w:val="restart"/>
            <w:vAlign w:val="center"/>
          </w:tcPr>
          <w:p w:rsidR="0078171C" w:rsidRPr="006F1D04" w:rsidRDefault="00813595" w:rsidP="0078171C">
            <w:pPr>
              <w:spacing w:after="0" w:line="240" w:lineRule="auto"/>
              <w:jc w:val="center"/>
              <w:rPr>
                <w:rFonts w:ascii="Arial" w:hAnsi="Arial" w:cs="Arial"/>
                <w:sz w:val="15"/>
                <w:szCs w:val="15"/>
              </w:rPr>
            </w:pPr>
            <w:r w:rsidRPr="006F1D04">
              <w:rPr>
                <w:rFonts w:ascii="Arial" w:hAnsi="Arial" w:cs="Arial"/>
                <w:sz w:val="15"/>
                <w:szCs w:val="15"/>
              </w:rPr>
              <w:t>De</w:t>
            </w:r>
            <w:r w:rsidR="00CA0771" w:rsidRPr="006F1D04">
              <w:rPr>
                <w:rFonts w:ascii="Arial" w:hAnsi="Arial" w:cs="Arial"/>
                <w:sz w:val="15"/>
                <w:szCs w:val="15"/>
              </w:rPr>
              <w:t>crease (1.0 </w:t>
            </w:r>
            <w:r w:rsidR="0078171C" w:rsidRPr="006F1D04">
              <w:rPr>
                <w:rFonts w:ascii="Arial" w:hAnsi="Arial" w:cs="Arial"/>
                <w:sz w:val="15"/>
                <w:szCs w:val="15"/>
              </w:rPr>
              <w:t>µg/m</w:t>
            </w:r>
            <w:r w:rsidR="0078171C" w:rsidRPr="006F1D04">
              <w:rPr>
                <w:rFonts w:ascii="Arial" w:hAnsi="Arial" w:cs="Arial"/>
                <w:sz w:val="15"/>
                <w:szCs w:val="15"/>
                <w:vertAlign w:val="superscript"/>
              </w:rPr>
              <w:t>3</w:t>
            </w:r>
            <w:r w:rsidR="0078171C" w:rsidRPr="006F1D04">
              <w:rPr>
                <w:rFonts w:ascii="Arial" w:hAnsi="Arial" w:cs="Arial"/>
                <w:sz w:val="15"/>
                <w:szCs w:val="15"/>
              </w:rPr>
              <w:t>) in 3 cities (small reduction in Perth)</w:t>
            </w:r>
          </w:p>
        </w:tc>
        <w:tc>
          <w:tcPr>
            <w:tcW w:w="992" w:type="dxa"/>
            <w:vMerge w:val="restart"/>
            <w:shd w:val="clear" w:color="auto" w:fill="auto"/>
            <w:vAlign w:val="center"/>
          </w:tcPr>
          <w:p w:rsidR="0078171C" w:rsidRPr="006F1D04" w:rsidRDefault="0078171C" w:rsidP="0078171C">
            <w:pPr>
              <w:spacing w:after="0" w:line="240" w:lineRule="auto"/>
              <w:jc w:val="center"/>
              <w:rPr>
                <w:rFonts w:ascii="Arial" w:hAnsi="Arial" w:cs="Arial"/>
                <w:sz w:val="15"/>
                <w:szCs w:val="15"/>
              </w:rPr>
            </w:pPr>
            <w:r w:rsidRPr="006F1D04">
              <w:rPr>
                <w:rFonts w:ascii="Arial" w:hAnsi="Arial" w:cs="Arial"/>
                <w:sz w:val="15"/>
                <w:szCs w:val="15"/>
              </w:rPr>
              <w:t>All</w:t>
            </w:r>
          </w:p>
        </w:tc>
        <w:tc>
          <w:tcPr>
            <w:tcW w:w="1276" w:type="dxa"/>
            <w:tcBorders>
              <w:bottom w:val="dotted" w:sz="4" w:space="0" w:color="0070C0"/>
            </w:tcBorders>
            <w:shd w:val="clear" w:color="auto" w:fill="auto"/>
            <w:vAlign w:val="center"/>
          </w:tcPr>
          <w:p w:rsidR="0078171C" w:rsidRPr="006F1D04" w:rsidRDefault="0078171C" w:rsidP="0078171C">
            <w:pPr>
              <w:spacing w:after="0" w:line="240" w:lineRule="auto"/>
              <w:jc w:val="center"/>
              <w:rPr>
                <w:rFonts w:ascii="Arial" w:hAnsi="Arial" w:cs="Arial"/>
                <w:sz w:val="15"/>
                <w:szCs w:val="15"/>
              </w:rPr>
            </w:pPr>
            <w:r w:rsidRPr="006F1D04">
              <w:rPr>
                <w:rFonts w:ascii="Arial" w:hAnsi="Arial" w:cs="Arial"/>
                <w:sz w:val="15"/>
                <w:szCs w:val="15"/>
              </w:rPr>
              <w:t>Four cities</w:t>
            </w:r>
          </w:p>
        </w:tc>
        <w:tc>
          <w:tcPr>
            <w:tcW w:w="1417" w:type="dxa"/>
            <w:tcBorders>
              <w:bottom w:val="dotted" w:sz="4" w:space="0" w:color="0070C0"/>
            </w:tcBorders>
            <w:shd w:val="clear" w:color="auto" w:fill="auto"/>
            <w:vAlign w:val="center"/>
          </w:tcPr>
          <w:p w:rsidR="0078171C" w:rsidRPr="006F1D04" w:rsidRDefault="006F6E76" w:rsidP="001A3B17">
            <w:pPr>
              <w:spacing w:after="0" w:line="240" w:lineRule="auto"/>
              <w:jc w:val="center"/>
              <w:rPr>
                <w:rFonts w:ascii="Arial" w:hAnsi="Arial" w:cs="Arial"/>
                <w:sz w:val="15"/>
                <w:szCs w:val="15"/>
              </w:rPr>
            </w:pPr>
            <w:r w:rsidRPr="006F1D04">
              <w:rPr>
                <w:rFonts w:ascii="Arial" w:hAnsi="Arial" w:cs="Arial"/>
                <w:sz w:val="15"/>
                <w:szCs w:val="15"/>
              </w:rPr>
              <w:t>–</w:t>
            </w:r>
            <w:r w:rsidR="0078171C" w:rsidRPr="006F1D04">
              <w:rPr>
                <w:rFonts w:ascii="Arial" w:hAnsi="Arial" w:cs="Arial"/>
                <w:sz w:val="15"/>
                <w:szCs w:val="15"/>
              </w:rPr>
              <w:t>34% (</w:t>
            </w:r>
            <w:r w:rsidRPr="006F1D04">
              <w:rPr>
                <w:rFonts w:ascii="Arial" w:hAnsi="Arial" w:cs="Arial"/>
                <w:sz w:val="15"/>
                <w:szCs w:val="15"/>
              </w:rPr>
              <w:t>–</w:t>
            </w:r>
            <w:r w:rsidR="006C2948" w:rsidRPr="006F1D04">
              <w:rPr>
                <w:rFonts w:ascii="Arial" w:hAnsi="Arial" w:cs="Arial"/>
                <w:sz w:val="15"/>
                <w:szCs w:val="15"/>
              </w:rPr>
              <w:t xml:space="preserve">530 </w:t>
            </w:r>
            <w:r w:rsidR="0078171C" w:rsidRPr="006F1D04">
              <w:rPr>
                <w:rFonts w:ascii="Arial" w:hAnsi="Arial" w:cs="Arial"/>
                <w:sz w:val="15"/>
                <w:szCs w:val="15"/>
              </w:rPr>
              <w:t xml:space="preserve">deaths) </w:t>
            </w:r>
          </w:p>
        </w:tc>
        <w:tc>
          <w:tcPr>
            <w:tcW w:w="947" w:type="dxa"/>
            <w:tcBorders>
              <w:bottom w:val="dotted" w:sz="4" w:space="0" w:color="0070C0"/>
            </w:tcBorders>
            <w:shd w:val="clear" w:color="auto" w:fill="auto"/>
            <w:vAlign w:val="center"/>
          </w:tcPr>
          <w:p w:rsidR="0078171C" w:rsidRPr="006F1D04" w:rsidRDefault="006F6E76" w:rsidP="0078171C">
            <w:pPr>
              <w:spacing w:after="0" w:line="240" w:lineRule="auto"/>
              <w:jc w:val="center"/>
              <w:rPr>
                <w:rFonts w:ascii="Arial" w:hAnsi="Arial" w:cs="Arial"/>
                <w:sz w:val="15"/>
                <w:szCs w:val="15"/>
              </w:rPr>
            </w:pPr>
            <w:r w:rsidRPr="006F1D04">
              <w:rPr>
                <w:rFonts w:ascii="Arial" w:hAnsi="Arial" w:cs="Arial"/>
                <w:sz w:val="15"/>
                <w:szCs w:val="15"/>
              </w:rPr>
              <w:t>–</w:t>
            </w:r>
          </w:p>
        </w:tc>
        <w:tc>
          <w:tcPr>
            <w:tcW w:w="2094" w:type="dxa"/>
            <w:tcBorders>
              <w:bottom w:val="dotted" w:sz="4" w:space="0" w:color="0070C0"/>
            </w:tcBorders>
            <w:shd w:val="clear" w:color="auto" w:fill="auto"/>
            <w:vAlign w:val="center"/>
          </w:tcPr>
          <w:p w:rsidR="0078171C" w:rsidRPr="006F1D04" w:rsidRDefault="006F6E76" w:rsidP="0078171C">
            <w:pPr>
              <w:spacing w:after="0" w:line="240" w:lineRule="auto"/>
              <w:jc w:val="center"/>
              <w:rPr>
                <w:rFonts w:ascii="Arial" w:hAnsi="Arial" w:cs="Arial"/>
                <w:sz w:val="15"/>
                <w:szCs w:val="15"/>
              </w:rPr>
            </w:pPr>
            <w:r w:rsidRPr="006F1D04">
              <w:rPr>
                <w:rFonts w:ascii="Arial" w:hAnsi="Arial" w:cs="Arial"/>
                <w:sz w:val="15"/>
                <w:szCs w:val="15"/>
              </w:rPr>
              <w:t>–</w:t>
            </w:r>
          </w:p>
        </w:tc>
      </w:tr>
      <w:tr w:rsidR="0078171C" w:rsidRPr="006F1D04" w:rsidTr="00B96AAC">
        <w:trPr>
          <w:trHeight w:hRule="exact" w:val="284"/>
          <w:jc w:val="center"/>
        </w:trPr>
        <w:tc>
          <w:tcPr>
            <w:tcW w:w="770" w:type="dxa"/>
            <w:vMerge/>
            <w:vAlign w:val="center"/>
          </w:tcPr>
          <w:p w:rsidR="0078171C" w:rsidRPr="006F1D04" w:rsidRDefault="0078171C" w:rsidP="0078171C">
            <w:pPr>
              <w:spacing w:after="0" w:line="240" w:lineRule="auto"/>
              <w:jc w:val="center"/>
              <w:rPr>
                <w:rFonts w:ascii="Arial" w:hAnsi="Arial" w:cs="Arial"/>
                <w:sz w:val="15"/>
                <w:szCs w:val="15"/>
              </w:rPr>
            </w:pPr>
          </w:p>
        </w:tc>
        <w:tc>
          <w:tcPr>
            <w:tcW w:w="1559" w:type="dxa"/>
            <w:vMerge/>
            <w:vAlign w:val="center"/>
          </w:tcPr>
          <w:p w:rsidR="0078171C" w:rsidRPr="006F1D04" w:rsidRDefault="0078171C" w:rsidP="0078171C">
            <w:pPr>
              <w:spacing w:after="0" w:line="240" w:lineRule="auto"/>
              <w:jc w:val="center"/>
              <w:rPr>
                <w:rFonts w:ascii="Arial" w:hAnsi="Arial" w:cs="Arial"/>
                <w:sz w:val="15"/>
                <w:szCs w:val="15"/>
              </w:rPr>
            </w:pPr>
          </w:p>
        </w:tc>
        <w:tc>
          <w:tcPr>
            <w:tcW w:w="992" w:type="dxa"/>
            <w:vMerge/>
            <w:shd w:val="clear" w:color="auto" w:fill="auto"/>
            <w:vAlign w:val="center"/>
          </w:tcPr>
          <w:p w:rsidR="0078171C" w:rsidRPr="006F1D04" w:rsidRDefault="0078171C" w:rsidP="0078171C">
            <w:pPr>
              <w:spacing w:after="0" w:line="240" w:lineRule="auto"/>
              <w:jc w:val="center"/>
              <w:rPr>
                <w:rFonts w:ascii="Arial" w:hAnsi="Arial" w:cs="Arial"/>
                <w:sz w:val="15"/>
                <w:szCs w:val="15"/>
              </w:rPr>
            </w:pPr>
          </w:p>
        </w:tc>
        <w:tc>
          <w:tcPr>
            <w:tcW w:w="1276" w:type="dxa"/>
            <w:tcBorders>
              <w:top w:val="dotted" w:sz="4" w:space="0" w:color="0070C0"/>
              <w:bottom w:val="dotted" w:sz="4" w:space="0" w:color="0070C0"/>
            </w:tcBorders>
            <w:shd w:val="clear" w:color="auto" w:fill="auto"/>
            <w:vAlign w:val="center"/>
          </w:tcPr>
          <w:p w:rsidR="0078171C" w:rsidRPr="006F1D04" w:rsidRDefault="0078171C" w:rsidP="0078171C">
            <w:pPr>
              <w:spacing w:after="0" w:line="240" w:lineRule="auto"/>
              <w:jc w:val="center"/>
              <w:rPr>
                <w:rFonts w:ascii="Arial" w:hAnsi="Arial" w:cs="Arial"/>
                <w:sz w:val="15"/>
                <w:szCs w:val="15"/>
              </w:rPr>
            </w:pPr>
            <w:r w:rsidRPr="006F1D04">
              <w:rPr>
                <w:rFonts w:ascii="Arial" w:hAnsi="Arial" w:cs="Arial"/>
                <w:sz w:val="15"/>
                <w:szCs w:val="15"/>
              </w:rPr>
              <w:t>Sydney</w:t>
            </w:r>
          </w:p>
        </w:tc>
        <w:tc>
          <w:tcPr>
            <w:tcW w:w="1417" w:type="dxa"/>
            <w:tcBorders>
              <w:top w:val="dotted" w:sz="4" w:space="0" w:color="0070C0"/>
              <w:bottom w:val="dotted" w:sz="4" w:space="0" w:color="0070C0"/>
            </w:tcBorders>
            <w:shd w:val="clear" w:color="auto" w:fill="auto"/>
            <w:vAlign w:val="center"/>
          </w:tcPr>
          <w:p w:rsidR="0078171C" w:rsidRPr="006F1D04" w:rsidRDefault="006F6E76" w:rsidP="0078171C">
            <w:pPr>
              <w:spacing w:after="0" w:line="240" w:lineRule="auto"/>
              <w:jc w:val="center"/>
              <w:rPr>
                <w:rFonts w:ascii="Arial" w:hAnsi="Arial" w:cs="Arial"/>
                <w:sz w:val="15"/>
                <w:szCs w:val="15"/>
              </w:rPr>
            </w:pPr>
            <w:r w:rsidRPr="006F1D04">
              <w:rPr>
                <w:rFonts w:ascii="Arial" w:hAnsi="Arial" w:cs="Arial"/>
                <w:sz w:val="15"/>
                <w:szCs w:val="15"/>
              </w:rPr>
              <w:t>–</w:t>
            </w:r>
          </w:p>
        </w:tc>
        <w:tc>
          <w:tcPr>
            <w:tcW w:w="947" w:type="dxa"/>
            <w:tcBorders>
              <w:top w:val="dotted" w:sz="4" w:space="0" w:color="0070C0"/>
              <w:bottom w:val="dotted" w:sz="4" w:space="0" w:color="0070C0"/>
            </w:tcBorders>
            <w:shd w:val="clear" w:color="auto" w:fill="auto"/>
            <w:vAlign w:val="center"/>
          </w:tcPr>
          <w:p w:rsidR="0078171C" w:rsidRPr="006F1D04" w:rsidRDefault="006F6E76" w:rsidP="00C97E0D">
            <w:pPr>
              <w:spacing w:after="0" w:line="240" w:lineRule="auto"/>
              <w:jc w:val="center"/>
              <w:rPr>
                <w:rFonts w:ascii="Arial" w:hAnsi="Arial" w:cs="Arial"/>
                <w:sz w:val="15"/>
                <w:szCs w:val="15"/>
              </w:rPr>
            </w:pPr>
            <w:r w:rsidRPr="006F1D04">
              <w:rPr>
                <w:rFonts w:ascii="Arial" w:hAnsi="Arial" w:cs="Arial"/>
                <w:sz w:val="15"/>
                <w:szCs w:val="15"/>
              </w:rPr>
              <w:t>–</w:t>
            </w:r>
            <w:r w:rsidR="001A3B17" w:rsidRPr="006F1D04">
              <w:rPr>
                <w:rFonts w:ascii="Arial" w:hAnsi="Arial" w:cs="Arial"/>
                <w:sz w:val="15"/>
                <w:szCs w:val="15"/>
              </w:rPr>
              <w:t>255,000</w:t>
            </w:r>
          </w:p>
        </w:tc>
        <w:tc>
          <w:tcPr>
            <w:tcW w:w="2094" w:type="dxa"/>
            <w:tcBorders>
              <w:top w:val="dotted" w:sz="4" w:space="0" w:color="0070C0"/>
              <w:bottom w:val="dotted" w:sz="4" w:space="0" w:color="0070C0"/>
            </w:tcBorders>
            <w:shd w:val="clear" w:color="auto" w:fill="auto"/>
            <w:vAlign w:val="center"/>
          </w:tcPr>
          <w:p w:rsidR="0078171C" w:rsidRPr="006F1D04" w:rsidRDefault="006F6E76" w:rsidP="0078171C">
            <w:pPr>
              <w:spacing w:after="0" w:line="240" w:lineRule="auto"/>
              <w:jc w:val="center"/>
              <w:rPr>
                <w:rFonts w:ascii="Arial" w:hAnsi="Arial" w:cs="Arial"/>
                <w:sz w:val="15"/>
                <w:szCs w:val="15"/>
              </w:rPr>
            </w:pPr>
            <w:r w:rsidRPr="006F1D04">
              <w:rPr>
                <w:rFonts w:ascii="Arial" w:hAnsi="Arial" w:cs="Arial"/>
                <w:sz w:val="15"/>
                <w:szCs w:val="15"/>
              </w:rPr>
              <w:t>–</w:t>
            </w:r>
          </w:p>
        </w:tc>
      </w:tr>
      <w:tr w:rsidR="0078171C" w:rsidRPr="006F1D04" w:rsidTr="00F40168">
        <w:trPr>
          <w:trHeight w:hRule="exact" w:val="567"/>
          <w:jc w:val="center"/>
        </w:trPr>
        <w:tc>
          <w:tcPr>
            <w:tcW w:w="770" w:type="dxa"/>
            <w:vMerge/>
            <w:vAlign w:val="center"/>
          </w:tcPr>
          <w:p w:rsidR="0078171C" w:rsidRPr="006F1D04" w:rsidRDefault="0078171C" w:rsidP="0078171C">
            <w:pPr>
              <w:spacing w:after="0" w:line="240" w:lineRule="auto"/>
              <w:jc w:val="center"/>
              <w:rPr>
                <w:rFonts w:ascii="Arial" w:hAnsi="Arial" w:cs="Arial"/>
                <w:sz w:val="15"/>
                <w:szCs w:val="15"/>
              </w:rPr>
            </w:pPr>
          </w:p>
        </w:tc>
        <w:tc>
          <w:tcPr>
            <w:tcW w:w="1559" w:type="dxa"/>
            <w:vMerge/>
            <w:vAlign w:val="center"/>
          </w:tcPr>
          <w:p w:rsidR="0078171C" w:rsidRPr="006F1D04" w:rsidRDefault="0078171C" w:rsidP="0078171C">
            <w:pPr>
              <w:spacing w:after="0" w:line="240" w:lineRule="auto"/>
              <w:jc w:val="center"/>
              <w:rPr>
                <w:rFonts w:ascii="Arial" w:hAnsi="Arial" w:cs="Arial"/>
                <w:sz w:val="15"/>
                <w:szCs w:val="15"/>
              </w:rPr>
            </w:pPr>
          </w:p>
        </w:tc>
        <w:tc>
          <w:tcPr>
            <w:tcW w:w="992" w:type="dxa"/>
            <w:vMerge/>
            <w:shd w:val="clear" w:color="auto" w:fill="auto"/>
            <w:vAlign w:val="center"/>
          </w:tcPr>
          <w:p w:rsidR="0078171C" w:rsidRPr="006F1D04" w:rsidRDefault="0078171C" w:rsidP="0078171C">
            <w:pPr>
              <w:spacing w:after="0" w:line="240" w:lineRule="auto"/>
              <w:jc w:val="center"/>
              <w:rPr>
                <w:rFonts w:ascii="Arial" w:hAnsi="Arial" w:cs="Arial"/>
                <w:sz w:val="15"/>
                <w:szCs w:val="15"/>
              </w:rPr>
            </w:pPr>
          </w:p>
        </w:tc>
        <w:tc>
          <w:tcPr>
            <w:tcW w:w="1276" w:type="dxa"/>
            <w:tcBorders>
              <w:top w:val="dotted" w:sz="4" w:space="0" w:color="0070C0"/>
            </w:tcBorders>
            <w:shd w:val="clear" w:color="auto" w:fill="auto"/>
            <w:vAlign w:val="center"/>
          </w:tcPr>
          <w:p w:rsidR="0078171C" w:rsidRPr="006F1D04" w:rsidRDefault="0078171C" w:rsidP="0078171C">
            <w:pPr>
              <w:spacing w:after="0" w:line="240" w:lineRule="auto"/>
              <w:jc w:val="center"/>
              <w:rPr>
                <w:rFonts w:ascii="Arial" w:hAnsi="Arial" w:cs="Arial"/>
                <w:sz w:val="15"/>
                <w:szCs w:val="15"/>
              </w:rPr>
            </w:pPr>
            <w:r w:rsidRPr="006F1D04">
              <w:rPr>
                <w:rFonts w:ascii="Arial" w:hAnsi="Arial" w:cs="Arial"/>
                <w:sz w:val="15"/>
                <w:szCs w:val="15"/>
              </w:rPr>
              <w:t>Sydney</w:t>
            </w:r>
          </w:p>
        </w:tc>
        <w:tc>
          <w:tcPr>
            <w:tcW w:w="1417" w:type="dxa"/>
            <w:tcBorders>
              <w:top w:val="dotted" w:sz="4" w:space="0" w:color="0070C0"/>
            </w:tcBorders>
            <w:shd w:val="clear" w:color="auto" w:fill="auto"/>
            <w:vAlign w:val="center"/>
          </w:tcPr>
          <w:p w:rsidR="0078171C" w:rsidRPr="006F1D04" w:rsidRDefault="006F6E76" w:rsidP="0078171C">
            <w:pPr>
              <w:spacing w:after="0" w:line="240" w:lineRule="auto"/>
              <w:jc w:val="center"/>
              <w:rPr>
                <w:rFonts w:ascii="Arial" w:hAnsi="Arial" w:cs="Arial"/>
                <w:sz w:val="15"/>
                <w:szCs w:val="15"/>
              </w:rPr>
            </w:pPr>
            <w:r w:rsidRPr="006F1D04">
              <w:rPr>
                <w:rFonts w:ascii="Arial" w:hAnsi="Arial" w:cs="Arial"/>
                <w:sz w:val="15"/>
                <w:szCs w:val="15"/>
              </w:rPr>
              <w:t>–</w:t>
            </w:r>
          </w:p>
        </w:tc>
        <w:tc>
          <w:tcPr>
            <w:tcW w:w="947" w:type="dxa"/>
            <w:tcBorders>
              <w:top w:val="dotted" w:sz="4" w:space="0" w:color="0070C0"/>
            </w:tcBorders>
            <w:shd w:val="clear" w:color="auto" w:fill="auto"/>
            <w:vAlign w:val="center"/>
          </w:tcPr>
          <w:p w:rsidR="0078171C" w:rsidRPr="006F1D04" w:rsidRDefault="006F6E76" w:rsidP="0078171C">
            <w:pPr>
              <w:spacing w:after="0" w:line="240" w:lineRule="auto"/>
              <w:jc w:val="center"/>
              <w:rPr>
                <w:rFonts w:ascii="Arial" w:hAnsi="Arial" w:cs="Arial"/>
                <w:sz w:val="15"/>
                <w:szCs w:val="15"/>
              </w:rPr>
            </w:pPr>
            <w:r w:rsidRPr="006F1D04">
              <w:rPr>
                <w:rFonts w:ascii="Arial" w:hAnsi="Arial" w:cs="Arial"/>
                <w:sz w:val="15"/>
                <w:szCs w:val="15"/>
              </w:rPr>
              <w:t>–</w:t>
            </w:r>
          </w:p>
        </w:tc>
        <w:tc>
          <w:tcPr>
            <w:tcW w:w="2094" w:type="dxa"/>
            <w:tcBorders>
              <w:top w:val="dotted" w:sz="4" w:space="0" w:color="0070C0"/>
            </w:tcBorders>
            <w:shd w:val="clear" w:color="auto" w:fill="auto"/>
            <w:vAlign w:val="center"/>
          </w:tcPr>
          <w:p w:rsidR="0078171C" w:rsidRPr="006F1D04" w:rsidRDefault="00813595" w:rsidP="00813595">
            <w:pPr>
              <w:spacing w:after="0" w:line="240" w:lineRule="auto"/>
              <w:jc w:val="center"/>
              <w:rPr>
                <w:rFonts w:ascii="Arial" w:hAnsi="Arial" w:cs="Arial"/>
                <w:sz w:val="15"/>
                <w:szCs w:val="15"/>
              </w:rPr>
            </w:pPr>
            <w:r w:rsidRPr="006F1D04">
              <w:rPr>
                <w:rFonts w:ascii="Arial" w:hAnsi="Arial" w:cs="Arial"/>
                <w:sz w:val="15"/>
                <w:szCs w:val="15"/>
              </w:rPr>
              <w:t>I</w:t>
            </w:r>
            <w:r w:rsidR="0078171C" w:rsidRPr="006F1D04">
              <w:rPr>
                <w:rFonts w:ascii="Arial" w:hAnsi="Arial" w:cs="Arial"/>
                <w:sz w:val="15"/>
                <w:szCs w:val="15"/>
              </w:rPr>
              <w:t>ncrease</w:t>
            </w:r>
            <w:r w:rsidR="00C848CA" w:rsidRPr="006F1D04">
              <w:rPr>
                <w:rFonts w:ascii="Arial" w:hAnsi="Arial" w:cs="Arial"/>
                <w:sz w:val="15"/>
                <w:szCs w:val="15"/>
              </w:rPr>
              <w:t xml:space="preserve"> </w:t>
            </w:r>
            <w:r w:rsidR="0078171C" w:rsidRPr="006F1D04">
              <w:rPr>
                <w:rFonts w:ascii="Arial" w:hAnsi="Arial" w:cs="Arial"/>
                <w:sz w:val="15"/>
                <w:szCs w:val="15"/>
              </w:rPr>
              <w:t>of 20 days for males and 18 days for fema</w:t>
            </w:r>
            <w:r w:rsidRPr="006F1D04">
              <w:rPr>
                <w:rFonts w:ascii="Arial" w:hAnsi="Arial" w:cs="Arial"/>
                <w:sz w:val="15"/>
                <w:szCs w:val="15"/>
              </w:rPr>
              <w:t>les</w:t>
            </w:r>
          </w:p>
        </w:tc>
      </w:tr>
    </w:tbl>
    <w:p w:rsidR="002C03E8" w:rsidRPr="006F1D04" w:rsidRDefault="002C03E8" w:rsidP="002C03E8">
      <w:pPr>
        <w:rPr>
          <w:rFonts w:ascii="Arial" w:hAnsi="Arial" w:cs="Arial"/>
          <w:sz w:val="12"/>
          <w:szCs w:val="12"/>
        </w:rPr>
      </w:pPr>
    </w:p>
    <w:p w:rsidR="002C03E8" w:rsidRPr="006F1D04" w:rsidRDefault="002C03E8" w:rsidP="00B96AAC">
      <w:pPr>
        <w:pStyle w:val="CaptionPB"/>
        <w:spacing w:before="0" w:after="80"/>
        <w:rPr>
          <w:rFonts w:ascii="Arial" w:hAnsi="Arial" w:cs="Arial"/>
        </w:rPr>
      </w:pPr>
      <w:bookmarkStart w:id="175" w:name="_Ref367454167"/>
      <w:r w:rsidRPr="006F1D04">
        <w:rPr>
          <w:rFonts w:ascii="Arial" w:hAnsi="Arial" w:cs="Arial"/>
        </w:rPr>
        <w:t xml:space="preserve">Table </w:t>
      </w:r>
      <w:r w:rsidR="00BF6019" w:rsidRPr="006F1D04">
        <w:rPr>
          <w:rFonts w:ascii="Arial" w:hAnsi="Arial" w:cs="Arial"/>
        </w:rPr>
        <w:fldChar w:fldCharType="begin"/>
      </w:r>
      <w:r w:rsidRPr="006F1D04">
        <w:rPr>
          <w:rFonts w:ascii="Arial" w:hAnsi="Arial" w:cs="Arial"/>
        </w:rPr>
        <w:instrText xml:space="preserve"> STYLEREF 1 \s </w:instrText>
      </w:r>
      <w:r w:rsidR="00BF6019" w:rsidRPr="006F1D04">
        <w:rPr>
          <w:rFonts w:ascii="Arial" w:hAnsi="Arial" w:cs="Arial"/>
        </w:rPr>
        <w:fldChar w:fldCharType="separate"/>
      </w:r>
      <w:r w:rsidR="0085182E">
        <w:rPr>
          <w:rFonts w:ascii="Arial" w:hAnsi="Arial" w:cs="Arial"/>
          <w:noProof/>
        </w:rPr>
        <w:t>8</w:t>
      </w:r>
      <w:r w:rsidR="00BF6019" w:rsidRPr="006F1D04">
        <w:rPr>
          <w:rFonts w:ascii="Arial" w:hAnsi="Arial" w:cs="Arial"/>
        </w:rPr>
        <w:fldChar w:fldCharType="end"/>
      </w:r>
      <w:r w:rsidRPr="006F1D04">
        <w:rPr>
          <w:rFonts w:ascii="Arial" w:hAnsi="Arial" w:cs="Arial"/>
        </w:rPr>
        <w:t>.</w:t>
      </w:r>
      <w:r w:rsidR="00BF6019" w:rsidRPr="006F1D04">
        <w:rPr>
          <w:rFonts w:ascii="Arial" w:hAnsi="Arial" w:cs="Arial"/>
        </w:rPr>
        <w:fldChar w:fldCharType="begin"/>
      </w:r>
      <w:r w:rsidRPr="006F1D04">
        <w:rPr>
          <w:rFonts w:ascii="Arial" w:hAnsi="Arial" w:cs="Arial"/>
        </w:rPr>
        <w:instrText xml:space="preserve"> SEQ Table \* ARABIC \s 1 </w:instrText>
      </w:r>
      <w:r w:rsidR="00BF6019" w:rsidRPr="006F1D04">
        <w:rPr>
          <w:rFonts w:ascii="Arial" w:hAnsi="Arial" w:cs="Arial"/>
        </w:rPr>
        <w:fldChar w:fldCharType="separate"/>
      </w:r>
      <w:r w:rsidR="0085182E">
        <w:rPr>
          <w:rFonts w:ascii="Arial" w:hAnsi="Arial" w:cs="Arial"/>
          <w:noProof/>
        </w:rPr>
        <w:t>5</w:t>
      </w:r>
      <w:r w:rsidR="00BF6019" w:rsidRPr="006F1D04">
        <w:rPr>
          <w:rFonts w:ascii="Arial" w:hAnsi="Arial" w:cs="Arial"/>
        </w:rPr>
        <w:fldChar w:fldCharType="end"/>
      </w:r>
      <w:bookmarkEnd w:id="175"/>
      <w:r w:rsidRPr="006F1D04">
        <w:rPr>
          <w:rFonts w:ascii="Arial" w:hAnsi="Arial" w:cs="Arial"/>
        </w:rPr>
        <w:t xml:space="preserve">: </w:t>
      </w:r>
      <w:r w:rsidR="00950F3D" w:rsidRPr="006F1D04">
        <w:rPr>
          <w:rFonts w:ascii="Arial" w:hAnsi="Arial" w:cs="Arial"/>
        </w:rPr>
        <w:t>Changes in h</w:t>
      </w:r>
      <w:r w:rsidRPr="006F1D04">
        <w:rPr>
          <w:rFonts w:ascii="Arial" w:hAnsi="Arial" w:cs="Arial"/>
        </w:rPr>
        <w:t>ealth outcomes</w:t>
      </w:r>
      <w:r w:rsidR="00950F3D" w:rsidRPr="006F1D04">
        <w:rPr>
          <w:rFonts w:ascii="Arial" w:hAnsi="Arial" w:cs="Arial"/>
        </w:rPr>
        <w:t xml:space="preserve"> for 24-hour PM</w:t>
      </w:r>
      <w:r w:rsidR="00950F3D" w:rsidRPr="006F1D04">
        <w:rPr>
          <w:rFonts w:ascii="Arial" w:hAnsi="Arial" w:cs="Arial"/>
          <w:vertAlign w:val="subscript"/>
        </w:rPr>
        <w:t>2.5</w:t>
      </w:r>
      <w:r w:rsidR="00132D10" w:rsidRPr="006F1D04">
        <w:rPr>
          <w:rFonts w:ascii="Arial" w:hAnsi="Arial" w:cs="Arial"/>
        </w:rPr>
        <w:t xml:space="preserve"> sub-o</w:t>
      </w:r>
      <w:r w:rsidR="00950F3D" w:rsidRPr="006F1D04">
        <w:rPr>
          <w:rFonts w:ascii="Arial" w:hAnsi="Arial" w:cs="Arial"/>
        </w:rPr>
        <w:t>ptions</w:t>
      </w:r>
      <w:r w:rsidRPr="006F1D04">
        <w:rPr>
          <w:rFonts w:ascii="Arial" w:hAnsi="Arial" w:cs="Arial"/>
        </w:rPr>
        <w:t xml:space="preserve"> (Source</w:t>
      </w:r>
      <w:r w:rsidRPr="006F1D04">
        <w:rPr>
          <w:rFonts w:ascii="Arial" w:hAnsi="Arial" w:cs="Arial"/>
          <w:color w:val="0070C0"/>
        </w:rPr>
        <w:t xml:space="preserve">: Morgan </w:t>
      </w:r>
      <w:r w:rsidR="009334F4" w:rsidRPr="006F1D04">
        <w:rPr>
          <w:rFonts w:ascii="Arial" w:hAnsi="Arial" w:cs="Arial"/>
          <w:color w:val="0070C0"/>
        </w:rPr>
        <w:t>et al.</w:t>
      </w:r>
      <w:r w:rsidRPr="006F1D04">
        <w:rPr>
          <w:rFonts w:ascii="Arial" w:hAnsi="Arial" w:cs="Arial"/>
          <w:color w:val="0070C0"/>
        </w:rPr>
        <w:t xml:space="preserve"> 2013)</w:t>
      </w:r>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28" w:type="dxa"/>
          <w:right w:w="28" w:type="dxa"/>
        </w:tblCellMar>
        <w:tblLook w:val="04A0"/>
      </w:tblPr>
      <w:tblGrid>
        <w:gridCol w:w="741"/>
        <w:gridCol w:w="1560"/>
        <w:gridCol w:w="1204"/>
        <w:gridCol w:w="1160"/>
        <w:gridCol w:w="2100"/>
        <w:gridCol w:w="2268"/>
      </w:tblGrid>
      <w:tr w:rsidR="00950F3D" w:rsidRPr="006F1D04" w:rsidTr="00C97E0D">
        <w:trPr>
          <w:trHeight w:val="208"/>
          <w:jc w:val="center"/>
        </w:trPr>
        <w:tc>
          <w:tcPr>
            <w:tcW w:w="741" w:type="dxa"/>
            <w:vMerge w:val="restart"/>
            <w:tcBorders>
              <w:top w:val="single" w:sz="4" w:space="0" w:color="0070C0"/>
              <w:left w:val="single" w:sz="4" w:space="0" w:color="0070C0"/>
              <w:bottom w:val="single" w:sz="4" w:space="0" w:color="0070C0"/>
              <w:right w:val="single" w:sz="4" w:space="0" w:color="0070C0"/>
            </w:tcBorders>
            <w:shd w:val="clear" w:color="auto" w:fill="0070C0"/>
            <w:vAlign w:val="center"/>
          </w:tcPr>
          <w:p w:rsidR="00950F3D" w:rsidRPr="006F1D04" w:rsidRDefault="00132D10" w:rsidP="00950F3D">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Sub-o</w:t>
            </w:r>
            <w:r w:rsidR="00950F3D" w:rsidRPr="006F1D04">
              <w:rPr>
                <w:rFonts w:ascii="Arial" w:hAnsi="Arial" w:cs="Arial"/>
                <w:b/>
                <w:color w:val="FFFFFF"/>
                <w:sz w:val="15"/>
                <w:szCs w:val="15"/>
              </w:rPr>
              <w:t>ption</w:t>
            </w:r>
          </w:p>
        </w:tc>
        <w:tc>
          <w:tcPr>
            <w:tcW w:w="1560" w:type="dxa"/>
            <w:vMerge w:val="restart"/>
            <w:tcBorders>
              <w:top w:val="single" w:sz="4" w:space="0" w:color="0070C0"/>
              <w:left w:val="single" w:sz="4" w:space="0" w:color="0070C0"/>
              <w:bottom w:val="single" w:sz="4" w:space="0" w:color="0070C0"/>
              <w:right w:val="single" w:sz="4" w:space="0" w:color="0070C0"/>
            </w:tcBorders>
            <w:shd w:val="clear" w:color="auto" w:fill="0070C0"/>
            <w:vAlign w:val="center"/>
          </w:tcPr>
          <w:p w:rsidR="00950F3D" w:rsidRPr="006F1D04" w:rsidRDefault="00950F3D" w:rsidP="00950F3D">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Change in exposu</w:t>
            </w:r>
            <w:r w:rsidR="00C97E0D" w:rsidRPr="006F1D04">
              <w:rPr>
                <w:rFonts w:ascii="Arial" w:hAnsi="Arial" w:cs="Arial"/>
                <w:b/>
                <w:color w:val="FFFFFF"/>
                <w:sz w:val="15"/>
                <w:szCs w:val="15"/>
              </w:rPr>
              <w:t>re relative to baseline</w:t>
            </w:r>
          </w:p>
        </w:tc>
        <w:tc>
          <w:tcPr>
            <w:tcW w:w="1204" w:type="dxa"/>
            <w:vMerge w:val="restart"/>
            <w:tcBorders>
              <w:top w:val="single" w:sz="4" w:space="0" w:color="0070C0"/>
              <w:left w:val="single" w:sz="4" w:space="0" w:color="0070C0"/>
              <w:bottom w:val="single" w:sz="4" w:space="0" w:color="0070C0"/>
              <w:right w:val="single" w:sz="4" w:space="0" w:color="0070C0"/>
            </w:tcBorders>
            <w:shd w:val="clear" w:color="auto" w:fill="0070C0"/>
            <w:vAlign w:val="center"/>
          </w:tcPr>
          <w:p w:rsidR="00950F3D" w:rsidRPr="006F1D04" w:rsidRDefault="00950F3D" w:rsidP="00950F3D">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Age group (outcome)</w:t>
            </w:r>
          </w:p>
        </w:tc>
        <w:tc>
          <w:tcPr>
            <w:tcW w:w="1160" w:type="dxa"/>
            <w:vMerge w:val="restart"/>
            <w:tcBorders>
              <w:top w:val="single" w:sz="4" w:space="0" w:color="0070C0"/>
              <w:left w:val="single" w:sz="4" w:space="0" w:color="0070C0"/>
              <w:bottom w:val="single" w:sz="4" w:space="0" w:color="0070C0"/>
              <w:right w:val="single" w:sz="4" w:space="0" w:color="0070C0"/>
            </w:tcBorders>
            <w:shd w:val="clear" w:color="auto" w:fill="0070C0"/>
            <w:vAlign w:val="center"/>
          </w:tcPr>
          <w:p w:rsidR="00950F3D" w:rsidRPr="006F1D04" w:rsidRDefault="00950F3D" w:rsidP="00950F3D">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Geographical coverage</w:t>
            </w:r>
          </w:p>
        </w:tc>
        <w:tc>
          <w:tcPr>
            <w:tcW w:w="2100" w:type="dxa"/>
            <w:vMerge w:val="restart"/>
            <w:tcBorders>
              <w:top w:val="single" w:sz="4" w:space="0" w:color="0070C0"/>
              <w:left w:val="single" w:sz="4" w:space="0" w:color="0070C0"/>
              <w:bottom w:val="single" w:sz="4" w:space="0" w:color="0070C0"/>
              <w:right w:val="single" w:sz="4" w:space="0" w:color="0070C0"/>
            </w:tcBorders>
            <w:shd w:val="clear" w:color="auto" w:fill="0070C0"/>
            <w:vAlign w:val="center"/>
          </w:tcPr>
          <w:p w:rsidR="00950F3D" w:rsidRPr="006F1D04" w:rsidRDefault="00950F3D" w:rsidP="00950F3D">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 xml:space="preserve">Attributable hospital admissions </w:t>
            </w:r>
            <w:r w:rsidR="006C2948" w:rsidRPr="006F1D04">
              <w:rPr>
                <w:rFonts w:ascii="Arial" w:hAnsi="Arial" w:cs="Arial"/>
                <w:b/>
                <w:color w:val="FFFFFF"/>
                <w:sz w:val="15"/>
                <w:szCs w:val="15"/>
              </w:rPr>
              <w:t>–c</w:t>
            </w:r>
            <w:r w:rsidRPr="006F1D04">
              <w:rPr>
                <w:rFonts w:ascii="Arial" w:hAnsi="Arial" w:cs="Arial"/>
                <w:b/>
                <w:color w:val="FFFFFF"/>
                <w:sz w:val="15"/>
                <w:szCs w:val="15"/>
              </w:rPr>
              <w:t>ardiovascular (cases per year)</w:t>
            </w:r>
          </w:p>
        </w:tc>
        <w:tc>
          <w:tcPr>
            <w:tcW w:w="2268" w:type="dxa"/>
            <w:vMerge w:val="restart"/>
            <w:tcBorders>
              <w:top w:val="single" w:sz="4" w:space="0" w:color="0070C0"/>
              <w:left w:val="single" w:sz="4" w:space="0" w:color="0070C0"/>
              <w:bottom w:val="single" w:sz="4" w:space="0" w:color="0070C0"/>
              <w:right w:val="single" w:sz="4" w:space="0" w:color="0070C0"/>
            </w:tcBorders>
            <w:shd w:val="clear" w:color="auto" w:fill="0070C0"/>
            <w:vAlign w:val="center"/>
          </w:tcPr>
          <w:p w:rsidR="00950F3D" w:rsidRPr="006F1D04" w:rsidRDefault="00950F3D" w:rsidP="00950F3D">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Attributable hospital emergency department attendance (cases per year)</w:t>
            </w:r>
          </w:p>
        </w:tc>
      </w:tr>
      <w:tr w:rsidR="006F1C4E" w:rsidRPr="006F1D04" w:rsidTr="00C97E0D">
        <w:trPr>
          <w:trHeight w:val="535"/>
          <w:jc w:val="center"/>
        </w:trPr>
        <w:tc>
          <w:tcPr>
            <w:tcW w:w="741" w:type="dxa"/>
            <w:vMerge/>
            <w:tcBorders>
              <w:top w:val="single" w:sz="4" w:space="0" w:color="0070C0"/>
              <w:left w:val="single" w:sz="4" w:space="0" w:color="0070C0"/>
              <w:bottom w:val="single" w:sz="4" w:space="0" w:color="0070C0"/>
              <w:right w:val="single" w:sz="4" w:space="0" w:color="0070C0"/>
            </w:tcBorders>
            <w:shd w:val="clear" w:color="auto" w:fill="0070C0"/>
          </w:tcPr>
          <w:p w:rsidR="00950F3D" w:rsidRPr="006F1D04" w:rsidRDefault="00950F3D" w:rsidP="00067FD6">
            <w:pPr>
              <w:spacing w:after="0" w:line="240" w:lineRule="auto"/>
              <w:jc w:val="center"/>
              <w:rPr>
                <w:rFonts w:ascii="Arial" w:hAnsi="Arial" w:cs="Arial"/>
                <w:b/>
                <w:color w:val="FFFFFF"/>
                <w:sz w:val="15"/>
                <w:szCs w:val="15"/>
              </w:rPr>
            </w:pPr>
          </w:p>
        </w:tc>
        <w:tc>
          <w:tcPr>
            <w:tcW w:w="1560" w:type="dxa"/>
            <w:vMerge/>
            <w:tcBorders>
              <w:top w:val="single" w:sz="4" w:space="0" w:color="0070C0"/>
              <w:left w:val="single" w:sz="4" w:space="0" w:color="0070C0"/>
              <w:bottom w:val="single" w:sz="4" w:space="0" w:color="0070C0"/>
              <w:right w:val="single" w:sz="4" w:space="0" w:color="0070C0"/>
            </w:tcBorders>
            <w:shd w:val="clear" w:color="auto" w:fill="0070C0"/>
          </w:tcPr>
          <w:p w:rsidR="00950F3D" w:rsidRPr="006F1D04" w:rsidRDefault="00950F3D" w:rsidP="00067FD6">
            <w:pPr>
              <w:spacing w:after="0" w:line="240" w:lineRule="auto"/>
              <w:jc w:val="center"/>
              <w:rPr>
                <w:rFonts w:ascii="Arial" w:hAnsi="Arial" w:cs="Arial"/>
                <w:b/>
                <w:color w:val="FFFFFF"/>
                <w:sz w:val="15"/>
                <w:szCs w:val="15"/>
              </w:rPr>
            </w:pPr>
          </w:p>
        </w:tc>
        <w:tc>
          <w:tcPr>
            <w:tcW w:w="1204" w:type="dxa"/>
            <w:vMerge/>
            <w:tcBorders>
              <w:top w:val="single" w:sz="4" w:space="0" w:color="0070C0"/>
              <w:left w:val="single" w:sz="4" w:space="0" w:color="0070C0"/>
              <w:bottom w:val="single" w:sz="4" w:space="0" w:color="0070C0"/>
              <w:right w:val="single" w:sz="4" w:space="0" w:color="0070C0"/>
            </w:tcBorders>
            <w:shd w:val="clear" w:color="auto" w:fill="0070C0"/>
            <w:vAlign w:val="center"/>
          </w:tcPr>
          <w:p w:rsidR="00950F3D" w:rsidRPr="006F1D04" w:rsidRDefault="00950F3D" w:rsidP="00067FD6">
            <w:pPr>
              <w:spacing w:after="0" w:line="240" w:lineRule="auto"/>
              <w:jc w:val="center"/>
              <w:rPr>
                <w:rFonts w:ascii="Arial" w:hAnsi="Arial" w:cs="Arial"/>
                <w:b/>
                <w:color w:val="FFFFFF"/>
                <w:sz w:val="15"/>
                <w:szCs w:val="15"/>
              </w:rPr>
            </w:pPr>
          </w:p>
        </w:tc>
        <w:tc>
          <w:tcPr>
            <w:tcW w:w="1160" w:type="dxa"/>
            <w:vMerge/>
            <w:tcBorders>
              <w:top w:val="single" w:sz="4" w:space="0" w:color="0070C0"/>
              <w:left w:val="single" w:sz="4" w:space="0" w:color="0070C0"/>
              <w:bottom w:val="single" w:sz="4" w:space="0" w:color="0070C0"/>
              <w:right w:val="single" w:sz="4" w:space="0" w:color="0070C0"/>
            </w:tcBorders>
            <w:shd w:val="clear" w:color="auto" w:fill="0070C0"/>
            <w:vAlign w:val="center"/>
          </w:tcPr>
          <w:p w:rsidR="00950F3D" w:rsidRPr="006F1D04" w:rsidRDefault="00950F3D" w:rsidP="00067FD6">
            <w:pPr>
              <w:spacing w:after="0" w:line="240" w:lineRule="auto"/>
              <w:jc w:val="center"/>
              <w:rPr>
                <w:rFonts w:ascii="Arial" w:hAnsi="Arial" w:cs="Arial"/>
                <w:b/>
                <w:color w:val="FFFFFF"/>
                <w:sz w:val="15"/>
                <w:szCs w:val="15"/>
              </w:rPr>
            </w:pPr>
          </w:p>
        </w:tc>
        <w:tc>
          <w:tcPr>
            <w:tcW w:w="2100" w:type="dxa"/>
            <w:vMerge/>
            <w:tcBorders>
              <w:top w:val="single" w:sz="4" w:space="0" w:color="0070C0"/>
              <w:left w:val="single" w:sz="4" w:space="0" w:color="0070C0"/>
              <w:bottom w:val="single" w:sz="4" w:space="0" w:color="0070C0"/>
              <w:right w:val="single" w:sz="4" w:space="0" w:color="0070C0"/>
            </w:tcBorders>
            <w:shd w:val="clear" w:color="auto" w:fill="0070C0"/>
            <w:vAlign w:val="center"/>
          </w:tcPr>
          <w:p w:rsidR="00950F3D" w:rsidRPr="006F1D04" w:rsidRDefault="00950F3D" w:rsidP="00067FD6">
            <w:pPr>
              <w:spacing w:after="0" w:line="240" w:lineRule="auto"/>
              <w:jc w:val="center"/>
              <w:rPr>
                <w:rFonts w:ascii="Arial" w:hAnsi="Arial" w:cs="Arial"/>
                <w:b/>
                <w:color w:val="FFFFFF"/>
                <w:sz w:val="15"/>
                <w:szCs w:val="15"/>
              </w:rPr>
            </w:pPr>
          </w:p>
        </w:tc>
        <w:tc>
          <w:tcPr>
            <w:tcW w:w="2268" w:type="dxa"/>
            <w:vMerge/>
            <w:tcBorders>
              <w:top w:val="single" w:sz="4" w:space="0" w:color="0070C0"/>
              <w:left w:val="single" w:sz="4" w:space="0" w:color="0070C0"/>
              <w:bottom w:val="single" w:sz="4" w:space="0" w:color="0070C0"/>
              <w:right w:val="single" w:sz="4" w:space="0" w:color="0070C0"/>
            </w:tcBorders>
            <w:shd w:val="clear" w:color="auto" w:fill="0070C0"/>
            <w:vAlign w:val="center"/>
          </w:tcPr>
          <w:p w:rsidR="00950F3D" w:rsidRPr="006F1D04" w:rsidRDefault="00950F3D" w:rsidP="00067FD6">
            <w:pPr>
              <w:spacing w:after="0" w:line="240" w:lineRule="auto"/>
              <w:jc w:val="center"/>
              <w:rPr>
                <w:rFonts w:ascii="Arial" w:hAnsi="Arial" w:cs="Arial"/>
                <w:b/>
                <w:color w:val="FFFFFF"/>
                <w:sz w:val="15"/>
                <w:szCs w:val="15"/>
              </w:rPr>
            </w:pPr>
          </w:p>
        </w:tc>
      </w:tr>
      <w:tr w:rsidR="00085CAA" w:rsidRPr="006F1D04" w:rsidTr="00C97E0D">
        <w:trPr>
          <w:trHeight w:hRule="exact" w:val="454"/>
          <w:jc w:val="center"/>
        </w:trPr>
        <w:tc>
          <w:tcPr>
            <w:tcW w:w="741" w:type="dxa"/>
            <w:vMerge w:val="restart"/>
            <w:tcBorders>
              <w:top w:val="single" w:sz="4" w:space="0" w:color="0070C0"/>
            </w:tcBorders>
            <w:vAlign w:val="center"/>
          </w:tcPr>
          <w:p w:rsidR="00085CAA" w:rsidRPr="006F1D04" w:rsidRDefault="00085CAA" w:rsidP="00085CAA">
            <w:pPr>
              <w:spacing w:after="0" w:line="240" w:lineRule="auto"/>
              <w:jc w:val="center"/>
              <w:rPr>
                <w:rFonts w:ascii="Arial" w:hAnsi="Arial" w:cs="Arial"/>
                <w:sz w:val="15"/>
                <w:szCs w:val="15"/>
              </w:rPr>
            </w:pPr>
            <w:r w:rsidRPr="006F1D04">
              <w:rPr>
                <w:rFonts w:ascii="Arial" w:hAnsi="Arial" w:cs="Arial"/>
                <w:sz w:val="15"/>
                <w:szCs w:val="15"/>
              </w:rPr>
              <w:t>D25PM</w:t>
            </w:r>
            <w:r w:rsidRPr="006F1D04">
              <w:rPr>
                <w:rFonts w:ascii="Arial" w:hAnsi="Arial" w:cs="Arial"/>
                <w:sz w:val="15"/>
                <w:szCs w:val="15"/>
                <w:vertAlign w:val="subscript"/>
              </w:rPr>
              <w:t>2.5</w:t>
            </w:r>
          </w:p>
        </w:tc>
        <w:tc>
          <w:tcPr>
            <w:tcW w:w="1560" w:type="dxa"/>
            <w:vMerge w:val="restart"/>
            <w:tcBorders>
              <w:top w:val="single" w:sz="4" w:space="0" w:color="0070C0"/>
            </w:tcBorders>
            <w:vAlign w:val="center"/>
          </w:tcPr>
          <w:p w:rsidR="00085CAA" w:rsidRPr="006F1D04" w:rsidRDefault="00085CAA" w:rsidP="00085CAA">
            <w:pPr>
              <w:spacing w:after="0" w:line="240" w:lineRule="auto"/>
              <w:jc w:val="center"/>
              <w:rPr>
                <w:rFonts w:ascii="Arial" w:hAnsi="Arial" w:cs="Arial"/>
                <w:sz w:val="15"/>
                <w:szCs w:val="15"/>
              </w:rPr>
            </w:pPr>
            <w:r w:rsidRPr="006F1D04">
              <w:rPr>
                <w:rFonts w:ascii="Arial" w:hAnsi="Arial" w:cs="Arial"/>
                <w:sz w:val="15"/>
                <w:szCs w:val="15"/>
              </w:rPr>
              <w:t>Reduction</w:t>
            </w:r>
          </w:p>
        </w:tc>
        <w:tc>
          <w:tcPr>
            <w:tcW w:w="1204" w:type="dxa"/>
            <w:tcBorders>
              <w:top w:val="single" w:sz="4" w:space="0" w:color="0070C0"/>
              <w:bottom w:val="dotted" w:sz="4" w:space="0" w:color="0070C0"/>
            </w:tcBorders>
            <w:shd w:val="clear" w:color="auto" w:fill="auto"/>
            <w:vAlign w:val="center"/>
          </w:tcPr>
          <w:p w:rsidR="00085CAA" w:rsidRPr="006F1D04" w:rsidRDefault="00085CAA" w:rsidP="00085CAA">
            <w:pPr>
              <w:spacing w:after="0" w:line="240" w:lineRule="auto"/>
              <w:jc w:val="center"/>
              <w:rPr>
                <w:rFonts w:ascii="Arial" w:hAnsi="Arial" w:cs="Arial"/>
                <w:sz w:val="15"/>
                <w:szCs w:val="15"/>
              </w:rPr>
            </w:pPr>
            <w:r w:rsidRPr="006F1D04">
              <w:rPr>
                <w:rFonts w:ascii="Arial" w:hAnsi="Arial" w:cs="Arial"/>
                <w:sz w:val="15"/>
                <w:szCs w:val="15"/>
              </w:rPr>
              <w:t>0</w:t>
            </w:r>
            <w:r w:rsidR="006F6E76" w:rsidRPr="006F1D04">
              <w:rPr>
                <w:rFonts w:ascii="Arial" w:hAnsi="Arial" w:cs="Arial"/>
                <w:sz w:val="15"/>
                <w:szCs w:val="15"/>
              </w:rPr>
              <w:t>–</w:t>
            </w:r>
            <w:r w:rsidRPr="006F1D04">
              <w:rPr>
                <w:rFonts w:ascii="Arial" w:hAnsi="Arial" w:cs="Arial"/>
                <w:sz w:val="15"/>
                <w:szCs w:val="15"/>
              </w:rPr>
              <w:t>14 years (asthma)</w:t>
            </w:r>
          </w:p>
        </w:tc>
        <w:tc>
          <w:tcPr>
            <w:tcW w:w="1160" w:type="dxa"/>
            <w:tcBorders>
              <w:top w:val="single" w:sz="4" w:space="0" w:color="0070C0"/>
              <w:bottom w:val="dotted" w:sz="4" w:space="0" w:color="0070C0"/>
            </w:tcBorders>
            <w:shd w:val="clear" w:color="auto" w:fill="auto"/>
            <w:vAlign w:val="center"/>
          </w:tcPr>
          <w:p w:rsidR="00085CAA" w:rsidRPr="006F1D04" w:rsidRDefault="00085CAA" w:rsidP="00085CAA">
            <w:pPr>
              <w:spacing w:after="0" w:line="240" w:lineRule="auto"/>
              <w:jc w:val="center"/>
              <w:rPr>
                <w:rFonts w:ascii="Arial" w:hAnsi="Arial" w:cs="Arial"/>
                <w:sz w:val="15"/>
                <w:szCs w:val="15"/>
              </w:rPr>
            </w:pPr>
            <w:r w:rsidRPr="006F1D04">
              <w:rPr>
                <w:rFonts w:ascii="Arial" w:hAnsi="Arial" w:cs="Arial"/>
                <w:sz w:val="15"/>
                <w:szCs w:val="15"/>
              </w:rPr>
              <w:t>Four cities</w:t>
            </w:r>
          </w:p>
        </w:tc>
        <w:tc>
          <w:tcPr>
            <w:tcW w:w="2100" w:type="dxa"/>
            <w:tcBorders>
              <w:top w:val="single" w:sz="4" w:space="0" w:color="0070C0"/>
              <w:bottom w:val="dotted" w:sz="4" w:space="0" w:color="0070C0"/>
            </w:tcBorders>
            <w:shd w:val="clear" w:color="auto" w:fill="auto"/>
            <w:vAlign w:val="center"/>
          </w:tcPr>
          <w:p w:rsidR="00085CAA" w:rsidRPr="006F1D04" w:rsidRDefault="006F6E76" w:rsidP="00085CAA">
            <w:pPr>
              <w:spacing w:after="0" w:line="240" w:lineRule="auto"/>
              <w:jc w:val="center"/>
              <w:rPr>
                <w:rFonts w:ascii="Arial" w:hAnsi="Arial" w:cs="Arial"/>
                <w:sz w:val="15"/>
                <w:szCs w:val="15"/>
              </w:rPr>
            </w:pPr>
            <w:r w:rsidRPr="006F1D04">
              <w:rPr>
                <w:rFonts w:ascii="Arial" w:hAnsi="Arial" w:cs="Arial"/>
                <w:sz w:val="15"/>
                <w:szCs w:val="15"/>
              </w:rPr>
              <w:t>–</w:t>
            </w:r>
          </w:p>
        </w:tc>
        <w:tc>
          <w:tcPr>
            <w:tcW w:w="2268" w:type="dxa"/>
            <w:tcBorders>
              <w:top w:val="single" w:sz="4" w:space="0" w:color="0070C0"/>
              <w:bottom w:val="dotted" w:sz="4" w:space="0" w:color="0070C0"/>
            </w:tcBorders>
            <w:shd w:val="clear" w:color="auto" w:fill="auto"/>
            <w:vAlign w:val="center"/>
          </w:tcPr>
          <w:p w:rsidR="00085CAA" w:rsidRPr="006F1D04" w:rsidRDefault="006F6E76" w:rsidP="006F1C4E">
            <w:pPr>
              <w:spacing w:after="0" w:line="240" w:lineRule="auto"/>
              <w:jc w:val="center"/>
              <w:rPr>
                <w:rFonts w:ascii="Arial" w:hAnsi="Arial" w:cs="Arial"/>
                <w:sz w:val="15"/>
                <w:szCs w:val="15"/>
              </w:rPr>
            </w:pPr>
            <w:r w:rsidRPr="006F1D04">
              <w:rPr>
                <w:rFonts w:ascii="Arial" w:hAnsi="Arial" w:cs="Arial"/>
                <w:sz w:val="15"/>
                <w:szCs w:val="15"/>
              </w:rPr>
              <w:t>–</w:t>
            </w:r>
            <w:r w:rsidR="00085CAA" w:rsidRPr="006F1D04">
              <w:rPr>
                <w:rFonts w:ascii="Arial" w:hAnsi="Arial" w:cs="Arial"/>
                <w:sz w:val="15"/>
                <w:szCs w:val="15"/>
              </w:rPr>
              <w:t>27% (</w:t>
            </w:r>
            <w:r w:rsidRPr="006F1D04">
              <w:rPr>
                <w:rFonts w:ascii="Arial" w:hAnsi="Arial" w:cs="Arial"/>
                <w:sz w:val="15"/>
                <w:szCs w:val="15"/>
              </w:rPr>
              <w:t>–</w:t>
            </w:r>
            <w:r w:rsidR="006C2948" w:rsidRPr="006F1D04">
              <w:rPr>
                <w:rFonts w:ascii="Arial" w:hAnsi="Arial" w:cs="Arial"/>
                <w:sz w:val="15"/>
                <w:szCs w:val="15"/>
              </w:rPr>
              <w:t xml:space="preserve">30 </w:t>
            </w:r>
            <w:r w:rsidR="006F1C4E" w:rsidRPr="006F1D04">
              <w:rPr>
                <w:rFonts w:ascii="Arial" w:hAnsi="Arial" w:cs="Arial"/>
                <w:sz w:val="15"/>
                <w:szCs w:val="15"/>
              </w:rPr>
              <w:t>cases)</w:t>
            </w:r>
          </w:p>
        </w:tc>
      </w:tr>
      <w:tr w:rsidR="00085CAA" w:rsidRPr="006F1D04" w:rsidTr="00C97E0D">
        <w:trPr>
          <w:trHeight w:hRule="exact" w:val="284"/>
          <w:jc w:val="center"/>
        </w:trPr>
        <w:tc>
          <w:tcPr>
            <w:tcW w:w="741" w:type="dxa"/>
            <w:vMerge/>
            <w:vAlign w:val="center"/>
          </w:tcPr>
          <w:p w:rsidR="00085CAA" w:rsidRPr="006F1D04" w:rsidRDefault="00085CAA" w:rsidP="00085CAA">
            <w:pPr>
              <w:spacing w:after="0" w:line="240" w:lineRule="auto"/>
              <w:jc w:val="center"/>
              <w:rPr>
                <w:rFonts w:ascii="Arial" w:hAnsi="Arial" w:cs="Arial"/>
                <w:sz w:val="15"/>
                <w:szCs w:val="15"/>
              </w:rPr>
            </w:pPr>
          </w:p>
        </w:tc>
        <w:tc>
          <w:tcPr>
            <w:tcW w:w="1560" w:type="dxa"/>
            <w:vMerge/>
            <w:vAlign w:val="center"/>
          </w:tcPr>
          <w:p w:rsidR="00085CAA" w:rsidRPr="006F1D04" w:rsidRDefault="00085CAA" w:rsidP="00085CAA">
            <w:pPr>
              <w:spacing w:after="0" w:line="240" w:lineRule="auto"/>
              <w:jc w:val="center"/>
              <w:rPr>
                <w:rFonts w:ascii="Arial" w:hAnsi="Arial" w:cs="Arial"/>
                <w:sz w:val="15"/>
                <w:szCs w:val="15"/>
              </w:rPr>
            </w:pPr>
          </w:p>
        </w:tc>
        <w:tc>
          <w:tcPr>
            <w:tcW w:w="1204" w:type="dxa"/>
            <w:tcBorders>
              <w:top w:val="dotted" w:sz="4" w:space="0" w:color="0070C0"/>
            </w:tcBorders>
            <w:shd w:val="clear" w:color="auto" w:fill="auto"/>
            <w:vAlign w:val="center"/>
          </w:tcPr>
          <w:p w:rsidR="00085CAA" w:rsidRPr="006F1D04" w:rsidRDefault="00085CAA" w:rsidP="00085CAA">
            <w:pPr>
              <w:spacing w:after="0" w:line="240" w:lineRule="auto"/>
              <w:jc w:val="center"/>
              <w:rPr>
                <w:rFonts w:ascii="Arial" w:hAnsi="Arial" w:cs="Arial"/>
                <w:sz w:val="15"/>
                <w:szCs w:val="15"/>
              </w:rPr>
            </w:pPr>
            <w:r w:rsidRPr="006F1D04">
              <w:rPr>
                <w:rFonts w:ascii="Arial" w:hAnsi="Arial" w:cs="Arial"/>
                <w:sz w:val="15"/>
                <w:szCs w:val="15"/>
              </w:rPr>
              <w:t>All</w:t>
            </w:r>
          </w:p>
        </w:tc>
        <w:tc>
          <w:tcPr>
            <w:tcW w:w="1160" w:type="dxa"/>
            <w:tcBorders>
              <w:top w:val="dotted" w:sz="4" w:space="0" w:color="0070C0"/>
            </w:tcBorders>
            <w:shd w:val="clear" w:color="auto" w:fill="auto"/>
            <w:vAlign w:val="center"/>
          </w:tcPr>
          <w:p w:rsidR="00085CAA" w:rsidRPr="006F1D04" w:rsidRDefault="00085CAA" w:rsidP="00085CAA">
            <w:pPr>
              <w:spacing w:after="0" w:line="240" w:lineRule="auto"/>
              <w:jc w:val="center"/>
              <w:rPr>
                <w:rFonts w:ascii="Arial" w:hAnsi="Arial" w:cs="Arial"/>
                <w:sz w:val="15"/>
                <w:szCs w:val="15"/>
              </w:rPr>
            </w:pPr>
            <w:r w:rsidRPr="006F1D04">
              <w:rPr>
                <w:rFonts w:ascii="Arial" w:hAnsi="Arial" w:cs="Arial"/>
                <w:sz w:val="15"/>
                <w:szCs w:val="15"/>
              </w:rPr>
              <w:t>Four cities</w:t>
            </w:r>
          </w:p>
        </w:tc>
        <w:tc>
          <w:tcPr>
            <w:tcW w:w="2100" w:type="dxa"/>
            <w:tcBorders>
              <w:top w:val="dotted" w:sz="4" w:space="0" w:color="0070C0"/>
            </w:tcBorders>
            <w:shd w:val="clear" w:color="auto" w:fill="auto"/>
            <w:vAlign w:val="center"/>
          </w:tcPr>
          <w:p w:rsidR="00085CAA" w:rsidRPr="006F1D04" w:rsidRDefault="006F6E76" w:rsidP="00085CAA">
            <w:pPr>
              <w:spacing w:after="0" w:line="240" w:lineRule="auto"/>
              <w:jc w:val="center"/>
              <w:rPr>
                <w:rFonts w:ascii="Arial" w:hAnsi="Arial" w:cs="Arial"/>
                <w:sz w:val="15"/>
                <w:szCs w:val="15"/>
              </w:rPr>
            </w:pPr>
            <w:r w:rsidRPr="006F1D04">
              <w:rPr>
                <w:rFonts w:ascii="Arial" w:hAnsi="Arial" w:cs="Arial"/>
                <w:sz w:val="15"/>
                <w:szCs w:val="15"/>
              </w:rPr>
              <w:t>–</w:t>
            </w:r>
            <w:r w:rsidR="00085CAA" w:rsidRPr="006F1D04">
              <w:rPr>
                <w:rFonts w:ascii="Arial" w:hAnsi="Arial" w:cs="Arial"/>
                <w:sz w:val="15"/>
                <w:szCs w:val="15"/>
              </w:rPr>
              <w:t>23% (</w:t>
            </w:r>
            <w:r w:rsidRPr="006F1D04">
              <w:rPr>
                <w:rFonts w:ascii="Arial" w:hAnsi="Arial" w:cs="Arial"/>
                <w:sz w:val="15"/>
                <w:szCs w:val="15"/>
              </w:rPr>
              <w:t>–</w:t>
            </w:r>
            <w:r w:rsidR="006C2948" w:rsidRPr="006F1D04">
              <w:rPr>
                <w:rFonts w:ascii="Arial" w:hAnsi="Arial" w:cs="Arial"/>
                <w:sz w:val="15"/>
                <w:szCs w:val="15"/>
              </w:rPr>
              <w:t xml:space="preserve">480 </w:t>
            </w:r>
            <w:r w:rsidR="00085CAA" w:rsidRPr="006F1D04">
              <w:rPr>
                <w:rFonts w:ascii="Arial" w:hAnsi="Arial" w:cs="Arial"/>
                <w:sz w:val="15"/>
                <w:szCs w:val="15"/>
              </w:rPr>
              <w:t>admissions)</w:t>
            </w:r>
          </w:p>
        </w:tc>
        <w:tc>
          <w:tcPr>
            <w:tcW w:w="2268" w:type="dxa"/>
            <w:tcBorders>
              <w:top w:val="dotted" w:sz="4" w:space="0" w:color="0070C0"/>
            </w:tcBorders>
            <w:shd w:val="clear" w:color="auto" w:fill="auto"/>
            <w:vAlign w:val="center"/>
          </w:tcPr>
          <w:p w:rsidR="00085CAA" w:rsidRPr="006F1D04" w:rsidRDefault="006F6E76" w:rsidP="00085CAA">
            <w:pPr>
              <w:spacing w:after="0" w:line="240" w:lineRule="auto"/>
              <w:jc w:val="center"/>
              <w:rPr>
                <w:rFonts w:ascii="Arial" w:hAnsi="Arial" w:cs="Arial"/>
                <w:sz w:val="15"/>
                <w:szCs w:val="15"/>
              </w:rPr>
            </w:pPr>
            <w:r w:rsidRPr="006F1D04">
              <w:rPr>
                <w:rFonts w:ascii="Arial" w:hAnsi="Arial" w:cs="Arial"/>
                <w:sz w:val="15"/>
                <w:szCs w:val="15"/>
              </w:rPr>
              <w:t>–</w:t>
            </w:r>
          </w:p>
        </w:tc>
      </w:tr>
      <w:tr w:rsidR="00085CAA" w:rsidRPr="006F1D04" w:rsidTr="00C97E0D">
        <w:trPr>
          <w:trHeight w:hRule="exact" w:val="454"/>
          <w:jc w:val="center"/>
        </w:trPr>
        <w:tc>
          <w:tcPr>
            <w:tcW w:w="741" w:type="dxa"/>
            <w:vMerge w:val="restart"/>
            <w:vAlign w:val="center"/>
          </w:tcPr>
          <w:p w:rsidR="00085CAA" w:rsidRPr="006F1D04" w:rsidRDefault="00085CAA" w:rsidP="00085CAA">
            <w:pPr>
              <w:spacing w:after="0" w:line="240" w:lineRule="auto"/>
              <w:jc w:val="center"/>
              <w:rPr>
                <w:rFonts w:ascii="Arial" w:hAnsi="Arial" w:cs="Arial"/>
                <w:sz w:val="15"/>
                <w:szCs w:val="15"/>
              </w:rPr>
            </w:pPr>
            <w:r w:rsidRPr="006F1D04">
              <w:rPr>
                <w:rFonts w:ascii="Arial" w:hAnsi="Arial" w:cs="Arial"/>
                <w:sz w:val="15"/>
                <w:szCs w:val="15"/>
              </w:rPr>
              <w:t>D20PM</w:t>
            </w:r>
            <w:r w:rsidRPr="006F1D04">
              <w:rPr>
                <w:rFonts w:ascii="Arial" w:hAnsi="Arial" w:cs="Arial"/>
                <w:sz w:val="15"/>
                <w:szCs w:val="15"/>
                <w:vertAlign w:val="subscript"/>
              </w:rPr>
              <w:t>2.5</w:t>
            </w:r>
          </w:p>
        </w:tc>
        <w:tc>
          <w:tcPr>
            <w:tcW w:w="1560" w:type="dxa"/>
            <w:vMerge w:val="restart"/>
            <w:vAlign w:val="center"/>
          </w:tcPr>
          <w:p w:rsidR="00085CAA" w:rsidRPr="006F1D04" w:rsidRDefault="00085CAA" w:rsidP="00085CAA">
            <w:pPr>
              <w:spacing w:after="0" w:line="240" w:lineRule="auto"/>
              <w:jc w:val="center"/>
              <w:rPr>
                <w:rFonts w:ascii="Arial" w:hAnsi="Arial" w:cs="Arial"/>
                <w:sz w:val="15"/>
                <w:szCs w:val="15"/>
              </w:rPr>
            </w:pPr>
            <w:r w:rsidRPr="006F1D04">
              <w:rPr>
                <w:rFonts w:ascii="Arial" w:hAnsi="Arial" w:cs="Arial"/>
                <w:sz w:val="15"/>
                <w:szCs w:val="15"/>
              </w:rPr>
              <w:t>Reduction</w:t>
            </w:r>
          </w:p>
        </w:tc>
        <w:tc>
          <w:tcPr>
            <w:tcW w:w="1204" w:type="dxa"/>
            <w:tcBorders>
              <w:bottom w:val="dotted" w:sz="4" w:space="0" w:color="0070C0"/>
            </w:tcBorders>
            <w:shd w:val="clear" w:color="auto" w:fill="auto"/>
            <w:vAlign w:val="center"/>
          </w:tcPr>
          <w:p w:rsidR="00085CAA" w:rsidRPr="006F1D04" w:rsidRDefault="00085CAA" w:rsidP="00085CAA">
            <w:pPr>
              <w:spacing w:after="0" w:line="240" w:lineRule="auto"/>
              <w:jc w:val="center"/>
              <w:rPr>
                <w:rFonts w:ascii="Arial" w:hAnsi="Arial" w:cs="Arial"/>
                <w:sz w:val="15"/>
                <w:szCs w:val="15"/>
              </w:rPr>
            </w:pPr>
            <w:r w:rsidRPr="006F1D04">
              <w:rPr>
                <w:rFonts w:ascii="Arial" w:hAnsi="Arial" w:cs="Arial"/>
                <w:sz w:val="15"/>
                <w:szCs w:val="15"/>
              </w:rPr>
              <w:t>0</w:t>
            </w:r>
            <w:r w:rsidR="006F6E76" w:rsidRPr="006F1D04">
              <w:rPr>
                <w:rFonts w:ascii="Arial" w:hAnsi="Arial" w:cs="Arial"/>
                <w:sz w:val="15"/>
                <w:szCs w:val="15"/>
              </w:rPr>
              <w:t>–</w:t>
            </w:r>
            <w:r w:rsidRPr="006F1D04">
              <w:rPr>
                <w:rFonts w:ascii="Arial" w:hAnsi="Arial" w:cs="Arial"/>
                <w:sz w:val="15"/>
                <w:szCs w:val="15"/>
              </w:rPr>
              <w:t>14 years (asthma)</w:t>
            </w:r>
          </w:p>
        </w:tc>
        <w:tc>
          <w:tcPr>
            <w:tcW w:w="1160" w:type="dxa"/>
            <w:tcBorders>
              <w:bottom w:val="dotted" w:sz="4" w:space="0" w:color="0070C0"/>
            </w:tcBorders>
            <w:shd w:val="clear" w:color="auto" w:fill="auto"/>
            <w:vAlign w:val="center"/>
          </w:tcPr>
          <w:p w:rsidR="00085CAA" w:rsidRPr="006F1D04" w:rsidRDefault="00085CAA" w:rsidP="00085CAA">
            <w:pPr>
              <w:spacing w:after="0" w:line="240" w:lineRule="auto"/>
              <w:jc w:val="center"/>
              <w:rPr>
                <w:rFonts w:ascii="Arial" w:hAnsi="Arial" w:cs="Arial"/>
                <w:sz w:val="15"/>
                <w:szCs w:val="15"/>
              </w:rPr>
            </w:pPr>
            <w:r w:rsidRPr="006F1D04">
              <w:rPr>
                <w:rFonts w:ascii="Arial" w:hAnsi="Arial" w:cs="Arial"/>
                <w:sz w:val="15"/>
                <w:szCs w:val="15"/>
              </w:rPr>
              <w:t>Four cities</w:t>
            </w:r>
          </w:p>
        </w:tc>
        <w:tc>
          <w:tcPr>
            <w:tcW w:w="2100" w:type="dxa"/>
            <w:tcBorders>
              <w:bottom w:val="dotted" w:sz="4" w:space="0" w:color="0070C0"/>
            </w:tcBorders>
            <w:shd w:val="clear" w:color="auto" w:fill="auto"/>
            <w:vAlign w:val="center"/>
          </w:tcPr>
          <w:p w:rsidR="00085CAA" w:rsidRPr="006F1D04" w:rsidRDefault="006F6E76" w:rsidP="00085CAA">
            <w:pPr>
              <w:spacing w:after="0" w:line="240" w:lineRule="auto"/>
              <w:jc w:val="center"/>
              <w:rPr>
                <w:rFonts w:ascii="Arial" w:hAnsi="Arial" w:cs="Arial"/>
                <w:sz w:val="15"/>
                <w:szCs w:val="15"/>
              </w:rPr>
            </w:pPr>
            <w:r w:rsidRPr="006F1D04">
              <w:rPr>
                <w:rFonts w:ascii="Arial" w:hAnsi="Arial" w:cs="Arial"/>
                <w:sz w:val="15"/>
                <w:szCs w:val="15"/>
              </w:rPr>
              <w:t>–</w:t>
            </w:r>
          </w:p>
        </w:tc>
        <w:tc>
          <w:tcPr>
            <w:tcW w:w="2268" w:type="dxa"/>
            <w:tcBorders>
              <w:bottom w:val="dotted" w:sz="4" w:space="0" w:color="0070C0"/>
            </w:tcBorders>
            <w:shd w:val="clear" w:color="auto" w:fill="auto"/>
            <w:vAlign w:val="center"/>
          </w:tcPr>
          <w:p w:rsidR="00085CAA" w:rsidRPr="006F1D04" w:rsidRDefault="006F6E76" w:rsidP="006F1C4E">
            <w:pPr>
              <w:spacing w:after="0" w:line="240" w:lineRule="auto"/>
              <w:jc w:val="center"/>
              <w:rPr>
                <w:rFonts w:ascii="Arial" w:hAnsi="Arial" w:cs="Arial"/>
                <w:sz w:val="15"/>
                <w:szCs w:val="15"/>
              </w:rPr>
            </w:pPr>
            <w:r w:rsidRPr="006F1D04">
              <w:rPr>
                <w:rFonts w:ascii="Arial" w:hAnsi="Arial" w:cs="Arial"/>
                <w:sz w:val="15"/>
                <w:szCs w:val="15"/>
              </w:rPr>
              <w:t>–</w:t>
            </w:r>
            <w:r w:rsidR="00085CAA" w:rsidRPr="006F1D04">
              <w:rPr>
                <w:rFonts w:ascii="Arial" w:hAnsi="Arial" w:cs="Arial"/>
                <w:sz w:val="15"/>
                <w:szCs w:val="15"/>
              </w:rPr>
              <w:t>43% (</w:t>
            </w:r>
            <w:r w:rsidRPr="006F1D04">
              <w:rPr>
                <w:rFonts w:ascii="Arial" w:hAnsi="Arial" w:cs="Arial"/>
                <w:sz w:val="15"/>
                <w:szCs w:val="15"/>
              </w:rPr>
              <w:t>–</w:t>
            </w:r>
            <w:r w:rsidR="006C2948" w:rsidRPr="006F1D04">
              <w:rPr>
                <w:rFonts w:ascii="Arial" w:hAnsi="Arial" w:cs="Arial"/>
                <w:sz w:val="15"/>
                <w:szCs w:val="15"/>
              </w:rPr>
              <w:t xml:space="preserve">50 </w:t>
            </w:r>
            <w:r w:rsidR="006F1C4E" w:rsidRPr="006F1D04">
              <w:rPr>
                <w:rFonts w:ascii="Arial" w:hAnsi="Arial" w:cs="Arial"/>
                <w:sz w:val="15"/>
                <w:szCs w:val="15"/>
              </w:rPr>
              <w:t>cases)</w:t>
            </w:r>
          </w:p>
        </w:tc>
      </w:tr>
      <w:tr w:rsidR="00085CAA" w:rsidRPr="006F1D04" w:rsidTr="00C97E0D">
        <w:trPr>
          <w:trHeight w:hRule="exact" w:val="284"/>
          <w:jc w:val="center"/>
        </w:trPr>
        <w:tc>
          <w:tcPr>
            <w:tcW w:w="741" w:type="dxa"/>
            <w:vMerge/>
            <w:vAlign w:val="center"/>
          </w:tcPr>
          <w:p w:rsidR="00085CAA" w:rsidRPr="006F1D04" w:rsidRDefault="00085CAA" w:rsidP="00085CAA">
            <w:pPr>
              <w:spacing w:after="0" w:line="240" w:lineRule="auto"/>
              <w:jc w:val="center"/>
              <w:rPr>
                <w:rFonts w:ascii="Arial" w:hAnsi="Arial" w:cs="Arial"/>
                <w:sz w:val="15"/>
                <w:szCs w:val="15"/>
              </w:rPr>
            </w:pPr>
          </w:p>
        </w:tc>
        <w:tc>
          <w:tcPr>
            <w:tcW w:w="1560" w:type="dxa"/>
            <w:vMerge/>
            <w:vAlign w:val="center"/>
          </w:tcPr>
          <w:p w:rsidR="00085CAA" w:rsidRPr="006F1D04" w:rsidRDefault="00085CAA" w:rsidP="00085CAA">
            <w:pPr>
              <w:spacing w:after="0" w:line="240" w:lineRule="auto"/>
              <w:jc w:val="center"/>
              <w:rPr>
                <w:rFonts w:ascii="Arial" w:hAnsi="Arial" w:cs="Arial"/>
                <w:sz w:val="15"/>
                <w:szCs w:val="15"/>
              </w:rPr>
            </w:pPr>
          </w:p>
        </w:tc>
        <w:tc>
          <w:tcPr>
            <w:tcW w:w="1204" w:type="dxa"/>
            <w:tcBorders>
              <w:top w:val="dotted" w:sz="4" w:space="0" w:color="0070C0"/>
            </w:tcBorders>
            <w:shd w:val="clear" w:color="auto" w:fill="auto"/>
            <w:vAlign w:val="center"/>
          </w:tcPr>
          <w:p w:rsidR="00085CAA" w:rsidRPr="006F1D04" w:rsidRDefault="00085CAA" w:rsidP="00085CAA">
            <w:pPr>
              <w:spacing w:after="0" w:line="240" w:lineRule="auto"/>
              <w:jc w:val="center"/>
              <w:rPr>
                <w:rFonts w:ascii="Arial" w:hAnsi="Arial" w:cs="Arial"/>
                <w:sz w:val="15"/>
                <w:szCs w:val="15"/>
              </w:rPr>
            </w:pPr>
            <w:r w:rsidRPr="006F1D04">
              <w:rPr>
                <w:rFonts w:ascii="Arial" w:hAnsi="Arial" w:cs="Arial"/>
                <w:sz w:val="15"/>
                <w:szCs w:val="15"/>
              </w:rPr>
              <w:t>All</w:t>
            </w:r>
          </w:p>
        </w:tc>
        <w:tc>
          <w:tcPr>
            <w:tcW w:w="1160" w:type="dxa"/>
            <w:tcBorders>
              <w:top w:val="dotted" w:sz="4" w:space="0" w:color="0070C0"/>
            </w:tcBorders>
            <w:shd w:val="clear" w:color="auto" w:fill="auto"/>
            <w:vAlign w:val="center"/>
          </w:tcPr>
          <w:p w:rsidR="00085CAA" w:rsidRPr="006F1D04" w:rsidRDefault="00085CAA" w:rsidP="00085CAA">
            <w:pPr>
              <w:spacing w:after="0" w:line="240" w:lineRule="auto"/>
              <w:jc w:val="center"/>
              <w:rPr>
                <w:rFonts w:ascii="Arial" w:hAnsi="Arial" w:cs="Arial"/>
                <w:sz w:val="15"/>
                <w:szCs w:val="15"/>
              </w:rPr>
            </w:pPr>
            <w:r w:rsidRPr="006F1D04">
              <w:rPr>
                <w:rFonts w:ascii="Arial" w:hAnsi="Arial" w:cs="Arial"/>
                <w:sz w:val="15"/>
                <w:szCs w:val="15"/>
              </w:rPr>
              <w:t>Four cities</w:t>
            </w:r>
          </w:p>
        </w:tc>
        <w:tc>
          <w:tcPr>
            <w:tcW w:w="2100" w:type="dxa"/>
            <w:tcBorders>
              <w:top w:val="dotted" w:sz="4" w:space="0" w:color="0070C0"/>
            </w:tcBorders>
            <w:shd w:val="clear" w:color="auto" w:fill="auto"/>
            <w:vAlign w:val="center"/>
          </w:tcPr>
          <w:p w:rsidR="00085CAA" w:rsidRPr="006F1D04" w:rsidRDefault="006F6E76" w:rsidP="00085CAA">
            <w:pPr>
              <w:spacing w:after="0" w:line="240" w:lineRule="auto"/>
              <w:jc w:val="center"/>
              <w:rPr>
                <w:rFonts w:ascii="Arial" w:hAnsi="Arial" w:cs="Arial"/>
                <w:sz w:val="15"/>
                <w:szCs w:val="15"/>
              </w:rPr>
            </w:pPr>
            <w:r w:rsidRPr="006F1D04">
              <w:rPr>
                <w:rFonts w:ascii="Arial" w:hAnsi="Arial" w:cs="Arial"/>
                <w:sz w:val="15"/>
                <w:szCs w:val="15"/>
              </w:rPr>
              <w:t>–</w:t>
            </w:r>
            <w:r w:rsidR="00085CAA" w:rsidRPr="006F1D04">
              <w:rPr>
                <w:rFonts w:ascii="Arial" w:hAnsi="Arial" w:cs="Arial"/>
                <w:sz w:val="15"/>
                <w:szCs w:val="15"/>
              </w:rPr>
              <w:t>40% (</w:t>
            </w:r>
            <w:r w:rsidRPr="006F1D04">
              <w:rPr>
                <w:rFonts w:ascii="Arial" w:hAnsi="Arial" w:cs="Arial"/>
                <w:sz w:val="15"/>
                <w:szCs w:val="15"/>
              </w:rPr>
              <w:t>–</w:t>
            </w:r>
            <w:r w:rsidR="006C2948" w:rsidRPr="006F1D04">
              <w:rPr>
                <w:rFonts w:ascii="Arial" w:hAnsi="Arial" w:cs="Arial"/>
                <w:sz w:val="15"/>
                <w:szCs w:val="15"/>
              </w:rPr>
              <w:t xml:space="preserve">840 </w:t>
            </w:r>
            <w:r w:rsidR="00085CAA" w:rsidRPr="006F1D04">
              <w:rPr>
                <w:rFonts w:ascii="Arial" w:hAnsi="Arial" w:cs="Arial"/>
                <w:sz w:val="15"/>
                <w:szCs w:val="15"/>
              </w:rPr>
              <w:t>admissions)</w:t>
            </w:r>
          </w:p>
        </w:tc>
        <w:tc>
          <w:tcPr>
            <w:tcW w:w="2268" w:type="dxa"/>
            <w:tcBorders>
              <w:top w:val="dotted" w:sz="4" w:space="0" w:color="0070C0"/>
            </w:tcBorders>
            <w:shd w:val="clear" w:color="auto" w:fill="auto"/>
            <w:vAlign w:val="center"/>
          </w:tcPr>
          <w:p w:rsidR="00085CAA" w:rsidRPr="006F1D04" w:rsidRDefault="006F6E76" w:rsidP="00085CAA">
            <w:pPr>
              <w:spacing w:after="0" w:line="240" w:lineRule="auto"/>
              <w:jc w:val="center"/>
              <w:rPr>
                <w:rFonts w:ascii="Arial" w:hAnsi="Arial" w:cs="Arial"/>
                <w:sz w:val="15"/>
                <w:szCs w:val="15"/>
              </w:rPr>
            </w:pPr>
            <w:r w:rsidRPr="006F1D04">
              <w:rPr>
                <w:rFonts w:ascii="Arial" w:hAnsi="Arial" w:cs="Arial"/>
                <w:sz w:val="15"/>
                <w:szCs w:val="15"/>
              </w:rPr>
              <w:t>–</w:t>
            </w:r>
          </w:p>
        </w:tc>
      </w:tr>
      <w:tr w:rsidR="00085CAA" w:rsidRPr="006F1D04" w:rsidTr="00C97E0D">
        <w:trPr>
          <w:trHeight w:hRule="exact" w:val="454"/>
          <w:jc w:val="center"/>
        </w:trPr>
        <w:tc>
          <w:tcPr>
            <w:tcW w:w="741" w:type="dxa"/>
            <w:vMerge w:val="restart"/>
            <w:vAlign w:val="center"/>
          </w:tcPr>
          <w:p w:rsidR="00085CAA" w:rsidRPr="006F1D04" w:rsidRDefault="00085CAA" w:rsidP="00085CAA">
            <w:pPr>
              <w:spacing w:after="0" w:line="240" w:lineRule="auto"/>
              <w:jc w:val="center"/>
              <w:rPr>
                <w:rFonts w:ascii="Arial" w:hAnsi="Arial" w:cs="Arial"/>
                <w:sz w:val="15"/>
                <w:szCs w:val="15"/>
              </w:rPr>
            </w:pPr>
            <w:r w:rsidRPr="006F1D04">
              <w:rPr>
                <w:rFonts w:ascii="Arial" w:hAnsi="Arial" w:cs="Arial"/>
                <w:sz w:val="15"/>
                <w:szCs w:val="15"/>
              </w:rPr>
              <w:t>D15PM</w:t>
            </w:r>
            <w:r w:rsidRPr="006F1D04">
              <w:rPr>
                <w:rFonts w:ascii="Arial" w:hAnsi="Arial" w:cs="Arial"/>
                <w:sz w:val="15"/>
                <w:szCs w:val="15"/>
                <w:vertAlign w:val="subscript"/>
              </w:rPr>
              <w:t>2.5</w:t>
            </w:r>
          </w:p>
        </w:tc>
        <w:tc>
          <w:tcPr>
            <w:tcW w:w="1560" w:type="dxa"/>
            <w:vMerge w:val="restart"/>
            <w:vAlign w:val="center"/>
          </w:tcPr>
          <w:p w:rsidR="00085CAA" w:rsidRPr="006F1D04" w:rsidRDefault="00085CAA" w:rsidP="00085CAA">
            <w:pPr>
              <w:spacing w:after="0" w:line="240" w:lineRule="auto"/>
              <w:jc w:val="center"/>
              <w:rPr>
                <w:rFonts w:ascii="Arial" w:hAnsi="Arial" w:cs="Arial"/>
                <w:sz w:val="15"/>
                <w:szCs w:val="15"/>
              </w:rPr>
            </w:pPr>
            <w:r w:rsidRPr="006F1D04">
              <w:rPr>
                <w:rFonts w:ascii="Arial" w:hAnsi="Arial" w:cs="Arial"/>
                <w:sz w:val="15"/>
                <w:szCs w:val="15"/>
              </w:rPr>
              <w:t>Reduction</w:t>
            </w:r>
          </w:p>
        </w:tc>
        <w:tc>
          <w:tcPr>
            <w:tcW w:w="1204" w:type="dxa"/>
            <w:tcBorders>
              <w:bottom w:val="dotted" w:sz="4" w:space="0" w:color="0070C0"/>
            </w:tcBorders>
            <w:shd w:val="clear" w:color="auto" w:fill="auto"/>
            <w:vAlign w:val="center"/>
          </w:tcPr>
          <w:p w:rsidR="00085CAA" w:rsidRPr="006F1D04" w:rsidRDefault="00085CAA" w:rsidP="00085CAA">
            <w:pPr>
              <w:spacing w:after="0" w:line="240" w:lineRule="auto"/>
              <w:jc w:val="center"/>
              <w:rPr>
                <w:rFonts w:ascii="Arial" w:hAnsi="Arial" w:cs="Arial"/>
                <w:sz w:val="15"/>
                <w:szCs w:val="15"/>
              </w:rPr>
            </w:pPr>
            <w:r w:rsidRPr="006F1D04">
              <w:rPr>
                <w:rFonts w:ascii="Arial" w:hAnsi="Arial" w:cs="Arial"/>
                <w:sz w:val="15"/>
                <w:szCs w:val="15"/>
              </w:rPr>
              <w:t>0</w:t>
            </w:r>
            <w:r w:rsidR="006F6E76" w:rsidRPr="006F1D04">
              <w:rPr>
                <w:rFonts w:ascii="Arial" w:hAnsi="Arial" w:cs="Arial"/>
                <w:sz w:val="15"/>
                <w:szCs w:val="15"/>
              </w:rPr>
              <w:t>–</w:t>
            </w:r>
            <w:r w:rsidRPr="006F1D04">
              <w:rPr>
                <w:rFonts w:ascii="Arial" w:hAnsi="Arial" w:cs="Arial"/>
                <w:sz w:val="15"/>
                <w:szCs w:val="15"/>
              </w:rPr>
              <w:t>14 years (asthma)</w:t>
            </w:r>
          </w:p>
        </w:tc>
        <w:tc>
          <w:tcPr>
            <w:tcW w:w="1160" w:type="dxa"/>
            <w:tcBorders>
              <w:bottom w:val="dotted" w:sz="4" w:space="0" w:color="0070C0"/>
            </w:tcBorders>
            <w:shd w:val="clear" w:color="auto" w:fill="auto"/>
            <w:vAlign w:val="center"/>
          </w:tcPr>
          <w:p w:rsidR="00085CAA" w:rsidRPr="006F1D04" w:rsidRDefault="00085CAA" w:rsidP="00085CAA">
            <w:pPr>
              <w:spacing w:after="0" w:line="240" w:lineRule="auto"/>
              <w:jc w:val="center"/>
              <w:rPr>
                <w:rFonts w:ascii="Arial" w:hAnsi="Arial" w:cs="Arial"/>
                <w:sz w:val="15"/>
                <w:szCs w:val="15"/>
              </w:rPr>
            </w:pPr>
            <w:r w:rsidRPr="006F1D04">
              <w:rPr>
                <w:rFonts w:ascii="Arial" w:hAnsi="Arial" w:cs="Arial"/>
                <w:sz w:val="15"/>
                <w:szCs w:val="15"/>
              </w:rPr>
              <w:t>Four cities</w:t>
            </w:r>
          </w:p>
        </w:tc>
        <w:tc>
          <w:tcPr>
            <w:tcW w:w="2100" w:type="dxa"/>
            <w:tcBorders>
              <w:bottom w:val="dotted" w:sz="4" w:space="0" w:color="0070C0"/>
            </w:tcBorders>
            <w:shd w:val="clear" w:color="auto" w:fill="auto"/>
            <w:vAlign w:val="center"/>
          </w:tcPr>
          <w:p w:rsidR="00085CAA" w:rsidRPr="006F1D04" w:rsidRDefault="006F6E76" w:rsidP="00085CAA">
            <w:pPr>
              <w:spacing w:after="0" w:line="240" w:lineRule="auto"/>
              <w:jc w:val="center"/>
              <w:rPr>
                <w:rFonts w:ascii="Arial" w:hAnsi="Arial" w:cs="Arial"/>
                <w:sz w:val="15"/>
                <w:szCs w:val="15"/>
              </w:rPr>
            </w:pPr>
            <w:r w:rsidRPr="006F1D04">
              <w:rPr>
                <w:rFonts w:ascii="Arial" w:hAnsi="Arial" w:cs="Arial"/>
                <w:sz w:val="15"/>
                <w:szCs w:val="15"/>
              </w:rPr>
              <w:t>–</w:t>
            </w:r>
          </w:p>
        </w:tc>
        <w:tc>
          <w:tcPr>
            <w:tcW w:w="2268" w:type="dxa"/>
            <w:tcBorders>
              <w:bottom w:val="dotted" w:sz="4" w:space="0" w:color="0070C0"/>
            </w:tcBorders>
            <w:shd w:val="clear" w:color="auto" w:fill="auto"/>
            <w:vAlign w:val="center"/>
          </w:tcPr>
          <w:p w:rsidR="00085CAA" w:rsidRPr="006F1D04" w:rsidRDefault="006F6E76" w:rsidP="006F1C4E">
            <w:pPr>
              <w:spacing w:after="0" w:line="240" w:lineRule="auto"/>
              <w:jc w:val="center"/>
              <w:rPr>
                <w:rFonts w:ascii="Arial" w:hAnsi="Arial" w:cs="Arial"/>
                <w:sz w:val="15"/>
                <w:szCs w:val="15"/>
              </w:rPr>
            </w:pPr>
            <w:r w:rsidRPr="006F1D04">
              <w:rPr>
                <w:rFonts w:ascii="Arial" w:hAnsi="Arial" w:cs="Arial"/>
                <w:sz w:val="15"/>
                <w:szCs w:val="15"/>
              </w:rPr>
              <w:t>–</w:t>
            </w:r>
            <w:r w:rsidR="00085CAA" w:rsidRPr="006F1D04">
              <w:rPr>
                <w:rFonts w:ascii="Arial" w:hAnsi="Arial" w:cs="Arial"/>
                <w:sz w:val="15"/>
                <w:szCs w:val="15"/>
              </w:rPr>
              <w:t>59% (</w:t>
            </w:r>
            <w:r w:rsidRPr="006F1D04">
              <w:rPr>
                <w:rFonts w:ascii="Arial" w:hAnsi="Arial" w:cs="Arial"/>
                <w:sz w:val="15"/>
                <w:szCs w:val="15"/>
              </w:rPr>
              <w:t>–</w:t>
            </w:r>
            <w:r w:rsidR="006C2948" w:rsidRPr="006F1D04">
              <w:rPr>
                <w:rFonts w:ascii="Arial" w:hAnsi="Arial" w:cs="Arial"/>
                <w:sz w:val="15"/>
                <w:szCs w:val="15"/>
              </w:rPr>
              <w:t>70 cases</w:t>
            </w:r>
            <w:r w:rsidR="006F1C4E" w:rsidRPr="006F1D04">
              <w:rPr>
                <w:rFonts w:ascii="Arial" w:hAnsi="Arial" w:cs="Arial"/>
                <w:sz w:val="15"/>
                <w:szCs w:val="15"/>
              </w:rPr>
              <w:t>)</w:t>
            </w:r>
          </w:p>
        </w:tc>
      </w:tr>
      <w:tr w:rsidR="00085CAA" w:rsidRPr="006F1D04" w:rsidTr="00C97E0D">
        <w:trPr>
          <w:trHeight w:hRule="exact" w:val="284"/>
          <w:jc w:val="center"/>
        </w:trPr>
        <w:tc>
          <w:tcPr>
            <w:tcW w:w="741" w:type="dxa"/>
            <w:vMerge/>
            <w:vAlign w:val="center"/>
          </w:tcPr>
          <w:p w:rsidR="00085CAA" w:rsidRPr="006F1D04" w:rsidRDefault="00085CAA" w:rsidP="00085CAA">
            <w:pPr>
              <w:spacing w:after="0" w:line="240" w:lineRule="auto"/>
              <w:jc w:val="center"/>
              <w:rPr>
                <w:rFonts w:ascii="Arial" w:hAnsi="Arial" w:cs="Arial"/>
                <w:sz w:val="15"/>
                <w:szCs w:val="15"/>
              </w:rPr>
            </w:pPr>
          </w:p>
        </w:tc>
        <w:tc>
          <w:tcPr>
            <w:tcW w:w="1560" w:type="dxa"/>
            <w:vMerge/>
            <w:vAlign w:val="center"/>
          </w:tcPr>
          <w:p w:rsidR="00085CAA" w:rsidRPr="006F1D04" w:rsidRDefault="00085CAA" w:rsidP="00085CAA">
            <w:pPr>
              <w:spacing w:after="0" w:line="240" w:lineRule="auto"/>
              <w:jc w:val="center"/>
              <w:rPr>
                <w:rFonts w:ascii="Arial" w:hAnsi="Arial" w:cs="Arial"/>
                <w:sz w:val="15"/>
                <w:szCs w:val="15"/>
              </w:rPr>
            </w:pPr>
          </w:p>
        </w:tc>
        <w:tc>
          <w:tcPr>
            <w:tcW w:w="1204" w:type="dxa"/>
            <w:tcBorders>
              <w:top w:val="dotted" w:sz="4" w:space="0" w:color="0070C0"/>
            </w:tcBorders>
            <w:shd w:val="clear" w:color="auto" w:fill="auto"/>
            <w:vAlign w:val="center"/>
          </w:tcPr>
          <w:p w:rsidR="00085CAA" w:rsidRPr="006F1D04" w:rsidRDefault="00085CAA" w:rsidP="00085CAA">
            <w:pPr>
              <w:spacing w:after="0" w:line="240" w:lineRule="auto"/>
              <w:jc w:val="center"/>
              <w:rPr>
                <w:rFonts w:ascii="Arial" w:hAnsi="Arial" w:cs="Arial"/>
                <w:sz w:val="15"/>
                <w:szCs w:val="15"/>
              </w:rPr>
            </w:pPr>
            <w:r w:rsidRPr="006F1D04">
              <w:rPr>
                <w:rFonts w:ascii="Arial" w:hAnsi="Arial" w:cs="Arial"/>
                <w:sz w:val="15"/>
                <w:szCs w:val="15"/>
              </w:rPr>
              <w:t>All</w:t>
            </w:r>
          </w:p>
        </w:tc>
        <w:tc>
          <w:tcPr>
            <w:tcW w:w="1160" w:type="dxa"/>
            <w:tcBorders>
              <w:top w:val="dotted" w:sz="4" w:space="0" w:color="0070C0"/>
            </w:tcBorders>
            <w:shd w:val="clear" w:color="auto" w:fill="auto"/>
            <w:vAlign w:val="center"/>
          </w:tcPr>
          <w:p w:rsidR="00085CAA" w:rsidRPr="006F1D04" w:rsidRDefault="00085CAA" w:rsidP="00085CAA">
            <w:pPr>
              <w:spacing w:after="0" w:line="240" w:lineRule="auto"/>
              <w:jc w:val="center"/>
              <w:rPr>
                <w:rFonts w:ascii="Arial" w:hAnsi="Arial" w:cs="Arial"/>
                <w:sz w:val="15"/>
                <w:szCs w:val="15"/>
              </w:rPr>
            </w:pPr>
            <w:r w:rsidRPr="006F1D04">
              <w:rPr>
                <w:rFonts w:ascii="Arial" w:hAnsi="Arial" w:cs="Arial"/>
                <w:sz w:val="15"/>
                <w:szCs w:val="15"/>
              </w:rPr>
              <w:t>Four cities</w:t>
            </w:r>
          </w:p>
        </w:tc>
        <w:tc>
          <w:tcPr>
            <w:tcW w:w="2100" w:type="dxa"/>
            <w:tcBorders>
              <w:top w:val="dotted" w:sz="4" w:space="0" w:color="0070C0"/>
            </w:tcBorders>
            <w:shd w:val="clear" w:color="auto" w:fill="auto"/>
            <w:vAlign w:val="center"/>
          </w:tcPr>
          <w:p w:rsidR="00085CAA" w:rsidRPr="006F1D04" w:rsidRDefault="006F6E76" w:rsidP="00085CAA">
            <w:pPr>
              <w:spacing w:after="0" w:line="240" w:lineRule="auto"/>
              <w:jc w:val="center"/>
              <w:rPr>
                <w:rFonts w:ascii="Arial" w:hAnsi="Arial" w:cs="Arial"/>
                <w:sz w:val="15"/>
                <w:szCs w:val="15"/>
              </w:rPr>
            </w:pPr>
            <w:r w:rsidRPr="006F1D04">
              <w:rPr>
                <w:rFonts w:ascii="Arial" w:hAnsi="Arial" w:cs="Arial"/>
                <w:sz w:val="15"/>
                <w:szCs w:val="15"/>
              </w:rPr>
              <w:t>–</w:t>
            </w:r>
            <w:r w:rsidR="00085CAA" w:rsidRPr="006F1D04">
              <w:rPr>
                <w:rFonts w:ascii="Arial" w:hAnsi="Arial" w:cs="Arial"/>
                <w:sz w:val="15"/>
                <w:szCs w:val="15"/>
              </w:rPr>
              <w:t>58% (</w:t>
            </w:r>
            <w:r w:rsidRPr="006F1D04">
              <w:rPr>
                <w:rFonts w:ascii="Arial" w:hAnsi="Arial" w:cs="Arial"/>
                <w:sz w:val="15"/>
                <w:szCs w:val="15"/>
              </w:rPr>
              <w:t>–</w:t>
            </w:r>
            <w:r w:rsidR="006C2948" w:rsidRPr="006F1D04">
              <w:rPr>
                <w:rFonts w:ascii="Arial" w:hAnsi="Arial" w:cs="Arial"/>
                <w:sz w:val="15"/>
                <w:szCs w:val="15"/>
              </w:rPr>
              <w:t>1,190</w:t>
            </w:r>
            <w:r w:rsidR="00085CAA" w:rsidRPr="006F1D04">
              <w:rPr>
                <w:rFonts w:ascii="Arial" w:hAnsi="Arial" w:cs="Arial"/>
                <w:sz w:val="15"/>
                <w:szCs w:val="15"/>
              </w:rPr>
              <w:t xml:space="preserve"> admissions)</w:t>
            </w:r>
          </w:p>
        </w:tc>
        <w:tc>
          <w:tcPr>
            <w:tcW w:w="2268" w:type="dxa"/>
            <w:tcBorders>
              <w:top w:val="dotted" w:sz="4" w:space="0" w:color="0070C0"/>
            </w:tcBorders>
            <w:shd w:val="clear" w:color="auto" w:fill="auto"/>
            <w:vAlign w:val="center"/>
          </w:tcPr>
          <w:p w:rsidR="00085CAA" w:rsidRPr="006F1D04" w:rsidRDefault="006F6E76" w:rsidP="00085CAA">
            <w:pPr>
              <w:spacing w:after="0" w:line="240" w:lineRule="auto"/>
              <w:jc w:val="center"/>
              <w:rPr>
                <w:rFonts w:ascii="Arial" w:hAnsi="Arial" w:cs="Arial"/>
                <w:sz w:val="15"/>
                <w:szCs w:val="15"/>
              </w:rPr>
            </w:pPr>
            <w:r w:rsidRPr="006F1D04">
              <w:rPr>
                <w:rFonts w:ascii="Arial" w:hAnsi="Arial" w:cs="Arial"/>
                <w:sz w:val="15"/>
                <w:szCs w:val="15"/>
              </w:rPr>
              <w:t>–</w:t>
            </w:r>
          </w:p>
        </w:tc>
      </w:tr>
    </w:tbl>
    <w:p w:rsidR="002C03E8" w:rsidRPr="006F1D04" w:rsidRDefault="002C03E8" w:rsidP="00F40168">
      <w:pPr>
        <w:rPr>
          <w:rFonts w:ascii="Arial" w:hAnsi="Arial" w:cs="Arial"/>
        </w:rPr>
      </w:pPr>
    </w:p>
    <w:p w:rsidR="00713F9F" w:rsidRPr="006F1D04" w:rsidRDefault="00847485" w:rsidP="00713F9F">
      <w:pPr>
        <w:pStyle w:val="Heading2"/>
        <w:rPr>
          <w:rFonts w:ascii="Arial" w:hAnsi="Arial"/>
        </w:rPr>
      </w:pPr>
      <w:bookmarkStart w:id="176" w:name="_Ref369069354"/>
      <w:r w:rsidRPr="006F1D04">
        <w:rPr>
          <w:rFonts w:ascii="Arial" w:hAnsi="Arial"/>
        </w:rPr>
        <w:br w:type="page"/>
      </w:r>
      <w:bookmarkStart w:id="177" w:name="_Toc394011148"/>
      <w:r w:rsidR="00713F9F" w:rsidRPr="006F1D04">
        <w:rPr>
          <w:rFonts w:ascii="Arial" w:hAnsi="Arial"/>
        </w:rPr>
        <w:lastRenderedPageBreak/>
        <w:t xml:space="preserve">Economic </w:t>
      </w:r>
      <w:r w:rsidR="006C2948" w:rsidRPr="006F1D04">
        <w:rPr>
          <w:rFonts w:ascii="Arial" w:hAnsi="Arial"/>
        </w:rPr>
        <w:t>A</w:t>
      </w:r>
      <w:r w:rsidR="00713F9F" w:rsidRPr="006F1D04">
        <w:rPr>
          <w:rFonts w:ascii="Arial" w:hAnsi="Arial"/>
        </w:rPr>
        <w:t>nalysis</w:t>
      </w:r>
      <w:bookmarkEnd w:id="176"/>
      <w:bookmarkEnd w:id="177"/>
    </w:p>
    <w:p w:rsidR="00713F9F" w:rsidRPr="006F1D04" w:rsidRDefault="00713F9F" w:rsidP="00B922D4">
      <w:pPr>
        <w:pStyle w:val="Heading3"/>
        <w:spacing w:after="180"/>
        <w:rPr>
          <w:rFonts w:ascii="Arial" w:hAnsi="Arial"/>
        </w:rPr>
      </w:pPr>
      <w:bookmarkStart w:id="178" w:name="_Toc394011149"/>
      <w:r w:rsidRPr="006F1D04">
        <w:rPr>
          <w:rFonts w:ascii="Arial" w:hAnsi="Arial"/>
        </w:rPr>
        <w:t>Approach</w:t>
      </w:r>
      <w:bookmarkEnd w:id="178"/>
    </w:p>
    <w:p w:rsidR="00713F9F" w:rsidRPr="006F1D04" w:rsidRDefault="00713F9F" w:rsidP="00007E9E">
      <w:pPr>
        <w:pStyle w:val="BulletArrows"/>
        <w:spacing w:after="180"/>
        <w:rPr>
          <w:rFonts w:ascii="Arial" w:hAnsi="Arial"/>
        </w:rPr>
      </w:pPr>
      <w:r w:rsidRPr="006F1D04">
        <w:rPr>
          <w:rFonts w:ascii="Arial" w:hAnsi="Arial"/>
        </w:rPr>
        <w:t>The Economic Analysis project addresse</w:t>
      </w:r>
      <w:r w:rsidR="00007E9E" w:rsidRPr="006F1D04">
        <w:rPr>
          <w:rFonts w:ascii="Arial" w:hAnsi="Arial"/>
        </w:rPr>
        <w:t>d the period 2011</w:t>
      </w:r>
      <w:r w:rsidR="006F6E76" w:rsidRPr="006F1D04">
        <w:rPr>
          <w:rFonts w:ascii="Arial" w:hAnsi="Arial"/>
        </w:rPr>
        <w:t>–</w:t>
      </w:r>
      <w:r w:rsidR="00007E9E" w:rsidRPr="006F1D04">
        <w:rPr>
          <w:rFonts w:ascii="Arial" w:hAnsi="Arial"/>
        </w:rPr>
        <w:t xml:space="preserve">2036, and </w:t>
      </w:r>
      <w:r w:rsidRPr="006F1D04">
        <w:rPr>
          <w:rFonts w:ascii="Arial" w:hAnsi="Arial"/>
        </w:rPr>
        <w:t>therefore characterised potential future exposure</w:t>
      </w:r>
      <w:r w:rsidR="00C1042C" w:rsidRPr="006F1D04">
        <w:rPr>
          <w:rFonts w:ascii="Arial" w:hAnsi="Arial"/>
        </w:rPr>
        <w:t xml:space="preserve"> </w:t>
      </w:r>
      <w:r w:rsidR="00C1042C" w:rsidRPr="006F1D04">
        <w:rPr>
          <w:rFonts w:ascii="Arial" w:hAnsi="Arial"/>
          <w:b/>
        </w:rPr>
        <w:t xml:space="preserve">(Boulter </w:t>
      </w:r>
      <w:r w:rsidR="006C2948" w:rsidRPr="006F1D04">
        <w:rPr>
          <w:rFonts w:ascii="Arial" w:hAnsi="Arial"/>
          <w:b/>
        </w:rPr>
        <w:t xml:space="preserve">&amp; </w:t>
      </w:r>
      <w:r w:rsidR="00C1042C" w:rsidRPr="006F1D04">
        <w:rPr>
          <w:rFonts w:ascii="Arial" w:hAnsi="Arial"/>
          <w:b/>
        </w:rPr>
        <w:t>Kulkarni 2013)</w:t>
      </w:r>
      <w:r w:rsidRPr="006F1D04">
        <w:rPr>
          <w:rFonts w:ascii="Arial" w:hAnsi="Arial"/>
        </w:rPr>
        <w:t xml:space="preserve">. The project examined the costs and benefits of introducing a package of </w:t>
      </w:r>
      <w:r w:rsidR="00C57FBE" w:rsidRPr="006F1D04">
        <w:rPr>
          <w:rFonts w:ascii="Arial" w:hAnsi="Arial"/>
        </w:rPr>
        <w:t xml:space="preserve">potentially feasible national </w:t>
      </w:r>
      <w:r w:rsidRPr="006F1D04">
        <w:rPr>
          <w:rFonts w:ascii="Arial" w:hAnsi="Arial"/>
        </w:rPr>
        <w:t>abatement mea</w:t>
      </w:r>
      <w:r w:rsidR="000B2C90" w:rsidRPr="006F1D04">
        <w:rPr>
          <w:rFonts w:ascii="Arial" w:hAnsi="Arial"/>
        </w:rPr>
        <w:t xml:space="preserve">sures </w:t>
      </w:r>
      <w:r w:rsidR="00C57FBE" w:rsidRPr="006F1D04">
        <w:rPr>
          <w:rFonts w:ascii="Arial" w:hAnsi="Arial"/>
        </w:rPr>
        <w:t xml:space="preserve">(see </w:t>
      </w:r>
      <w:r w:rsidR="00C57FBE" w:rsidRPr="006F1D04">
        <w:rPr>
          <w:rFonts w:ascii="Arial" w:hAnsi="Arial"/>
          <w:b/>
        </w:rPr>
        <w:t xml:space="preserve">Section </w:t>
      </w:r>
      <w:fldSimple w:instr=" REF _Ref367632997 \n \h  \* MERGEFORMAT ">
        <w:r w:rsidR="0085182E">
          <w:rPr>
            <w:rFonts w:ascii="Arial" w:hAnsi="Arial"/>
            <w:b/>
          </w:rPr>
          <w:t>4.1.5</w:t>
        </w:r>
      </w:fldSimple>
      <w:r w:rsidR="00C57FBE" w:rsidRPr="006F1D04">
        <w:rPr>
          <w:rFonts w:ascii="Arial" w:hAnsi="Arial"/>
        </w:rPr>
        <w:t xml:space="preserve">) </w:t>
      </w:r>
      <w:r w:rsidR="000B2C90" w:rsidRPr="006F1D04">
        <w:rPr>
          <w:rFonts w:ascii="Arial" w:hAnsi="Arial"/>
        </w:rPr>
        <w:t xml:space="preserve">over a 25-year period </w:t>
      </w:r>
      <w:r w:rsidRPr="006F1D04">
        <w:rPr>
          <w:rFonts w:ascii="Arial" w:hAnsi="Arial"/>
        </w:rPr>
        <w:t>relative to a BAU scenario. T</w:t>
      </w:r>
      <w:r w:rsidR="00132D10" w:rsidRPr="006F1D04">
        <w:rPr>
          <w:rFonts w:ascii="Arial" w:hAnsi="Arial"/>
        </w:rPr>
        <w:t>he actual air quality standard sub-o</w:t>
      </w:r>
      <w:r w:rsidRPr="006F1D04">
        <w:rPr>
          <w:rFonts w:ascii="Arial" w:hAnsi="Arial"/>
        </w:rPr>
        <w:t xml:space="preserve">ptions </w:t>
      </w:r>
      <w:r w:rsidR="000B2C90" w:rsidRPr="006F1D04">
        <w:rPr>
          <w:rFonts w:ascii="Arial" w:hAnsi="Arial"/>
        </w:rPr>
        <w:t xml:space="preserve">in </w:t>
      </w:r>
      <w:fldSimple w:instr=" REF _Ref367190981 \h  \* MERGEFORMAT ">
        <w:r w:rsidR="0085182E" w:rsidRPr="0085182E">
          <w:rPr>
            <w:rFonts w:ascii="Arial" w:hAnsi="Arial"/>
            <w:b/>
          </w:rPr>
          <w:t>Table 7.1</w:t>
        </w:r>
      </w:fldSimple>
      <w:r w:rsidR="000B2C90" w:rsidRPr="006F1D04">
        <w:rPr>
          <w:rFonts w:ascii="Arial" w:hAnsi="Arial"/>
        </w:rPr>
        <w:t xml:space="preserve"> </w:t>
      </w:r>
      <w:r w:rsidRPr="006F1D04">
        <w:rPr>
          <w:rFonts w:ascii="Arial" w:hAnsi="Arial"/>
        </w:rPr>
        <w:t xml:space="preserve">were incidental to this process in the sense that there was no </w:t>
      </w:r>
      <w:r w:rsidR="00526DBF" w:rsidRPr="006F1D04">
        <w:rPr>
          <w:rFonts w:ascii="Arial" w:hAnsi="Arial"/>
        </w:rPr>
        <w:t>‘forced agreement’</w:t>
      </w:r>
      <w:r w:rsidRPr="006F1D04">
        <w:rPr>
          <w:rFonts w:ascii="Arial" w:hAnsi="Arial"/>
        </w:rPr>
        <w:t xml:space="preserve"> as in the HRA project. Rather, the project assessed the likely achievability of the </w:t>
      </w:r>
      <w:r w:rsidR="00132D10" w:rsidRPr="006F1D04">
        <w:rPr>
          <w:rFonts w:ascii="Arial" w:hAnsi="Arial"/>
        </w:rPr>
        <w:t>sub-o</w:t>
      </w:r>
      <w:r w:rsidRPr="006F1D04">
        <w:rPr>
          <w:rFonts w:ascii="Arial" w:hAnsi="Arial"/>
        </w:rPr>
        <w:t>ptions by 2036</w:t>
      </w:r>
      <w:r w:rsidR="000B2C90" w:rsidRPr="006F1D04">
        <w:rPr>
          <w:rFonts w:ascii="Arial" w:hAnsi="Arial"/>
        </w:rPr>
        <w:t xml:space="preserve"> given the trends in emissions and </w:t>
      </w:r>
      <w:r w:rsidR="00C57FBE" w:rsidRPr="006F1D04">
        <w:rPr>
          <w:rFonts w:ascii="Arial" w:hAnsi="Arial"/>
        </w:rPr>
        <w:t xml:space="preserve">the implementation of the </w:t>
      </w:r>
      <w:r w:rsidR="000B2C90" w:rsidRPr="006F1D04">
        <w:rPr>
          <w:rFonts w:ascii="Arial" w:hAnsi="Arial"/>
        </w:rPr>
        <w:t>abatement measures</w:t>
      </w:r>
      <w:r w:rsidRPr="006F1D04">
        <w:rPr>
          <w:rFonts w:ascii="Arial" w:hAnsi="Arial"/>
        </w:rPr>
        <w:t>.</w:t>
      </w:r>
      <w:r w:rsidR="000B2C90" w:rsidRPr="006F1D04">
        <w:rPr>
          <w:rFonts w:ascii="Arial" w:hAnsi="Arial"/>
        </w:rPr>
        <w:t xml:space="preserve"> The exposure-reduction target </w:t>
      </w:r>
      <w:r w:rsidR="00526DBF" w:rsidRPr="006F1D04">
        <w:rPr>
          <w:rFonts w:ascii="Arial" w:hAnsi="Arial"/>
        </w:rPr>
        <w:t xml:space="preserve">(option ER2) </w:t>
      </w:r>
      <w:r w:rsidR="000B2C90" w:rsidRPr="006F1D04">
        <w:rPr>
          <w:rFonts w:ascii="Arial" w:hAnsi="Arial"/>
        </w:rPr>
        <w:t>was assessed in a similar way.</w:t>
      </w:r>
      <w:r w:rsidR="004B4989" w:rsidRPr="006F1D04">
        <w:rPr>
          <w:rFonts w:ascii="Arial" w:hAnsi="Arial"/>
        </w:rPr>
        <w:t xml:space="preserve"> </w:t>
      </w:r>
    </w:p>
    <w:p w:rsidR="00713F9F" w:rsidRPr="006F1D04" w:rsidRDefault="000B2C90" w:rsidP="00713F9F">
      <w:pPr>
        <w:spacing w:after="180"/>
        <w:rPr>
          <w:rFonts w:ascii="Arial" w:hAnsi="Arial" w:cs="Arial"/>
        </w:rPr>
      </w:pPr>
      <w:r w:rsidRPr="006F1D04">
        <w:rPr>
          <w:rFonts w:ascii="Arial" w:hAnsi="Arial" w:cs="Arial"/>
        </w:rPr>
        <w:t xml:space="preserve">The </w:t>
      </w:r>
      <w:r w:rsidR="00713F9F" w:rsidRPr="006F1D04">
        <w:rPr>
          <w:rFonts w:ascii="Arial" w:hAnsi="Arial" w:cs="Arial"/>
        </w:rPr>
        <w:t>project estimated future population-weighted PM concentrat</w:t>
      </w:r>
      <w:r w:rsidR="00C57FBE" w:rsidRPr="006F1D04">
        <w:rPr>
          <w:rFonts w:ascii="Arial" w:hAnsi="Arial" w:cs="Arial"/>
        </w:rPr>
        <w:t xml:space="preserve">ions, both without the package of </w:t>
      </w:r>
      <w:r w:rsidR="00713F9F" w:rsidRPr="006F1D04">
        <w:rPr>
          <w:rFonts w:ascii="Arial" w:hAnsi="Arial" w:cs="Arial"/>
        </w:rPr>
        <w:t xml:space="preserve">abatement measures </w:t>
      </w:r>
      <w:r w:rsidR="00C57FBE" w:rsidRPr="006F1D04">
        <w:rPr>
          <w:rFonts w:ascii="Arial" w:hAnsi="Arial" w:cs="Arial"/>
        </w:rPr>
        <w:t xml:space="preserve">in place </w:t>
      </w:r>
      <w:r w:rsidR="00713F9F" w:rsidRPr="006F1D04">
        <w:rPr>
          <w:rFonts w:ascii="Arial" w:hAnsi="Arial" w:cs="Arial"/>
        </w:rPr>
        <w:t>(the B</w:t>
      </w:r>
      <w:r w:rsidRPr="006F1D04">
        <w:rPr>
          <w:rFonts w:ascii="Arial" w:hAnsi="Arial" w:cs="Arial"/>
        </w:rPr>
        <w:t>AU case</w:t>
      </w:r>
      <w:r w:rsidR="00713F9F" w:rsidRPr="006F1D04">
        <w:rPr>
          <w:rFonts w:ascii="Arial" w:hAnsi="Arial" w:cs="Arial"/>
        </w:rPr>
        <w:t xml:space="preserve">) and </w:t>
      </w:r>
      <w:r w:rsidR="00C57FBE" w:rsidRPr="006F1D04">
        <w:rPr>
          <w:rFonts w:ascii="Arial" w:hAnsi="Arial" w:cs="Arial"/>
        </w:rPr>
        <w:t>with the package in place.</w:t>
      </w:r>
      <w:r w:rsidR="00D176C1" w:rsidRPr="006F1D04">
        <w:rPr>
          <w:rFonts w:ascii="Arial" w:hAnsi="Arial" w:cs="Arial"/>
        </w:rPr>
        <w:t xml:space="preserve"> </w:t>
      </w:r>
      <w:r w:rsidR="00713F9F" w:rsidRPr="006F1D04">
        <w:rPr>
          <w:rFonts w:ascii="Arial" w:hAnsi="Arial" w:cs="Arial"/>
        </w:rPr>
        <w:t xml:space="preserve">For each abatement measure the </w:t>
      </w:r>
      <w:r w:rsidR="00E4066D" w:rsidRPr="006F1D04">
        <w:rPr>
          <w:rFonts w:ascii="Arial" w:hAnsi="Arial" w:cs="Arial"/>
        </w:rPr>
        <w:t xml:space="preserve">monetised values of the </w:t>
      </w:r>
      <w:r w:rsidR="00713F9F" w:rsidRPr="006F1D04">
        <w:rPr>
          <w:rFonts w:ascii="Arial" w:hAnsi="Arial" w:cs="Arial"/>
        </w:rPr>
        <w:t>following cost and benefit items were estimated:</w:t>
      </w:r>
    </w:p>
    <w:p w:rsidR="00713F9F" w:rsidRPr="006F1D04" w:rsidRDefault="00713F9F" w:rsidP="00B922D4">
      <w:pPr>
        <w:pStyle w:val="BulletArrows"/>
        <w:numPr>
          <w:ilvl w:val="0"/>
          <w:numId w:val="1"/>
        </w:numPr>
        <w:spacing w:after="60" w:line="288" w:lineRule="auto"/>
        <w:ind w:left="567" w:hanging="283"/>
        <w:jc w:val="both"/>
        <w:rPr>
          <w:rFonts w:ascii="Arial" w:hAnsi="Arial"/>
        </w:rPr>
      </w:pPr>
      <w:r w:rsidRPr="006F1D04">
        <w:rPr>
          <w:rFonts w:ascii="Arial" w:hAnsi="Arial"/>
        </w:rPr>
        <w:t>Costs</w:t>
      </w:r>
    </w:p>
    <w:p w:rsidR="00713F9F" w:rsidRPr="006F1D04" w:rsidRDefault="006C2948" w:rsidP="00003665">
      <w:pPr>
        <w:pStyle w:val="BulletArrows"/>
        <w:numPr>
          <w:ilvl w:val="0"/>
          <w:numId w:val="123"/>
        </w:numPr>
        <w:spacing w:after="60" w:line="288" w:lineRule="auto"/>
        <w:jc w:val="both"/>
        <w:rPr>
          <w:rFonts w:ascii="Arial" w:hAnsi="Arial"/>
        </w:rPr>
      </w:pPr>
      <w:r w:rsidRPr="006F1D04">
        <w:rPr>
          <w:rFonts w:ascii="Arial" w:hAnsi="Arial"/>
        </w:rPr>
        <w:t>c</w:t>
      </w:r>
      <w:r w:rsidR="00713F9F" w:rsidRPr="006F1D04">
        <w:rPr>
          <w:rFonts w:ascii="Arial" w:hAnsi="Arial"/>
        </w:rPr>
        <w:t>osts incurred by government in implementing and administering the measure</w:t>
      </w:r>
    </w:p>
    <w:p w:rsidR="00713F9F" w:rsidRPr="006F1D04" w:rsidRDefault="006C2948" w:rsidP="00003665">
      <w:pPr>
        <w:pStyle w:val="BulletArrows"/>
        <w:numPr>
          <w:ilvl w:val="0"/>
          <w:numId w:val="123"/>
        </w:numPr>
        <w:spacing w:after="160" w:line="288" w:lineRule="auto"/>
        <w:jc w:val="both"/>
        <w:rPr>
          <w:rFonts w:ascii="Arial" w:hAnsi="Arial"/>
        </w:rPr>
      </w:pPr>
      <w:r w:rsidRPr="006F1D04">
        <w:rPr>
          <w:rFonts w:ascii="Arial" w:hAnsi="Arial"/>
        </w:rPr>
        <w:t>c</w:t>
      </w:r>
      <w:r w:rsidR="00713F9F" w:rsidRPr="006F1D04">
        <w:rPr>
          <w:rFonts w:ascii="Arial" w:hAnsi="Arial"/>
        </w:rPr>
        <w:t>apital investment or ongoing expenditure incurred by industry</w:t>
      </w:r>
    </w:p>
    <w:p w:rsidR="00713F9F" w:rsidRPr="006F1D04" w:rsidRDefault="00713F9F" w:rsidP="00B922D4">
      <w:pPr>
        <w:pStyle w:val="BulletArrows"/>
        <w:numPr>
          <w:ilvl w:val="0"/>
          <w:numId w:val="1"/>
        </w:numPr>
        <w:spacing w:after="60" w:line="288" w:lineRule="auto"/>
        <w:ind w:left="567" w:hanging="283"/>
        <w:jc w:val="both"/>
        <w:rPr>
          <w:rFonts w:ascii="Arial" w:hAnsi="Arial"/>
        </w:rPr>
      </w:pPr>
      <w:r w:rsidRPr="006F1D04">
        <w:rPr>
          <w:rFonts w:ascii="Arial" w:hAnsi="Arial"/>
        </w:rPr>
        <w:t>Benefits</w:t>
      </w:r>
    </w:p>
    <w:p w:rsidR="00713F9F" w:rsidRPr="006F1D04" w:rsidRDefault="006C2948" w:rsidP="00003665">
      <w:pPr>
        <w:pStyle w:val="BulletArrows"/>
        <w:numPr>
          <w:ilvl w:val="0"/>
          <w:numId w:val="125"/>
        </w:numPr>
        <w:spacing w:after="60" w:line="288" w:lineRule="auto"/>
        <w:jc w:val="both"/>
        <w:rPr>
          <w:rFonts w:ascii="Arial" w:hAnsi="Arial"/>
        </w:rPr>
      </w:pPr>
      <w:r w:rsidRPr="006F1D04">
        <w:rPr>
          <w:rFonts w:ascii="Arial" w:hAnsi="Arial"/>
        </w:rPr>
        <w:t>s</w:t>
      </w:r>
      <w:r w:rsidR="00713F9F" w:rsidRPr="006F1D04">
        <w:rPr>
          <w:rFonts w:ascii="Arial" w:hAnsi="Arial"/>
        </w:rPr>
        <w:t>avings in fuel consumption associated with the implementation of the measure</w:t>
      </w:r>
    </w:p>
    <w:p w:rsidR="00713F9F" w:rsidRPr="006F1D04" w:rsidRDefault="006C2948" w:rsidP="00003665">
      <w:pPr>
        <w:pStyle w:val="BulletArrows"/>
        <w:numPr>
          <w:ilvl w:val="0"/>
          <w:numId w:val="125"/>
        </w:numPr>
        <w:spacing w:after="60" w:line="288" w:lineRule="auto"/>
        <w:jc w:val="both"/>
        <w:rPr>
          <w:rFonts w:ascii="Arial" w:hAnsi="Arial"/>
        </w:rPr>
      </w:pPr>
      <w:r w:rsidRPr="006F1D04">
        <w:rPr>
          <w:rFonts w:ascii="Arial" w:hAnsi="Arial"/>
        </w:rPr>
        <w:t>r</w:t>
      </w:r>
      <w:r w:rsidR="00713F9F" w:rsidRPr="006F1D04">
        <w:rPr>
          <w:rFonts w:ascii="Arial" w:hAnsi="Arial"/>
        </w:rPr>
        <w:t>eductions in PM associated with the implementation of the measure</w:t>
      </w:r>
    </w:p>
    <w:p w:rsidR="00713F9F" w:rsidRPr="006F1D04" w:rsidRDefault="006C2948" w:rsidP="00003665">
      <w:pPr>
        <w:pStyle w:val="BulletArrows"/>
        <w:numPr>
          <w:ilvl w:val="0"/>
          <w:numId w:val="125"/>
        </w:numPr>
        <w:spacing w:after="200" w:line="288" w:lineRule="auto"/>
        <w:jc w:val="both"/>
        <w:rPr>
          <w:rFonts w:ascii="Arial" w:hAnsi="Arial"/>
        </w:rPr>
      </w:pPr>
      <w:proofErr w:type="gramStart"/>
      <w:r w:rsidRPr="006F1D04">
        <w:rPr>
          <w:rFonts w:ascii="Arial" w:hAnsi="Arial"/>
        </w:rPr>
        <w:t>r</w:t>
      </w:r>
      <w:r w:rsidR="00713F9F" w:rsidRPr="006F1D04">
        <w:rPr>
          <w:rFonts w:ascii="Arial" w:hAnsi="Arial"/>
        </w:rPr>
        <w:t>eductions</w:t>
      </w:r>
      <w:proofErr w:type="gramEnd"/>
      <w:r w:rsidR="00713F9F" w:rsidRPr="006F1D04">
        <w:rPr>
          <w:rFonts w:ascii="Arial" w:hAnsi="Arial"/>
        </w:rPr>
        <w:t xml:space="preserve"> in NO</w:t>
      </w:r>
      <w:r w:rsidR="00713F9F" w:rsidRPr="006F1D04">
        <w:rPr>
          <w:rFonts w:ascii="Arial" w:hAnsi="Arial"/>
          <w:vertAlign w:val="subscript"/>
        </w:rPr>
        <w:t>x</w:t>
      </w:r>
      <w:r w:rsidR="00713F9F" w:rsidRPr="006F1D04">
        <w:rPr>
          <w:rFonts w:ascii="Arial" w:hAnsi="Arial"/>
        </w:rPr>
        <w:t xml:space="preserve"> associated with the implementation of the measure.</w:t>
      </w:r>
    </w:p>
    <w:p w:rsidR="00713F9F" w:rsidRPr="006F1D04" w:rsidRDefault="00C1042C" w:rsidP="00B922D4">
      <w:pPr>
        <w:spacing w:after="160"/>
        <w:rPr>
          <w:rFonts w:ascii="Arial" w:hAnsi="Arial" w:cs="Arial"/>
        </w:rPr>
      </w:pPr>
      <w:r w:rsidRPr="006F1D04">
        <w:rPr>
          <w:rFonts w:ascii="Arial" w:hAnsi="Arial" w:cs="Arial"/>
        </w:rPr>
        <w:t>The</w:t>
      </w:r>
      <w:r w:rsidR="00713F9F" w:rsidRPr="006F1D04">
        <w:rPr>
          <w:rFonts w:ascii="Arial" w:hAnsi="Arial" w:cs="Arial"/>
        </w:rPr>
        <w:t xml:space="preserve"> analysis provided the monetary costs and benefits per year by measure. These were then aggregated across all years by calculating a ‘present value’</w:t>
      </w:r>
      <w:r w:rsidR="006C2948" w:rsidRPr="006F1D04">
        <w:rPr>
          <w:rFonts w:ascii="Arial" w:hAnsi="Arial" w:cs="Arial"/>
        </w:rPr>
        <w:t xml:space="preserve"> (PV)</w:t>
      </w:r>
      <w:r w:rsidR="00713F9F" w:rsidRPr="006F1D04">
        <w:rPr>
          <w:rStyle w:val="FootnoteReference"/>
          <w:rFonts w:ascii="Arial" w:hAnsi="Arial" w:cs="Arial"/>
        </w:rPr>
        <w:footnoteReference w:id="32"/>
      </w:r>
      <w:r w:rsidR="00713F9F" w:rsidRPr="006F1D04">
        <w:rPr>
          <w:rFonts w:ascii="Arial" w:hAnsi="Arial" w:cs="Arial"/>
        </w:rPr>
        <w:t>. From these PVs, two metrics were calculated for each measure:</w:t>
      </w:r>
    </w:p>
    <w:p w:rsidR="00713F9F" w:rsidRPr="006F1D04" w:rsidRDefault="006C2948" w:rsidP="00713F9F">
      <w:pPr>
        <w:pStyle w:val="BulletArrows"/>
        <w:numPr>
          <w:ilvl w:val="0"/>
          <w:numId w:val="1"/>
        </w:numPr>
        <w:spacing w:line="288" w:lineRule="auto"/>
        <w:ind w:left="567" w:hanging="283"/>
        <w:rPr>
          <w:rFonts w:ascii="Arial" w:hAnsi="Arial"/>
        </w:rPr>
      </w:pPr>
      <w:proofErr w:type="spellStart"/>
      <w:r w:rsidRPr="006F1D04">
        <w:rPr>
          <w:rFonts w:ascii="Arial" w:hAnsi="Arial"/>
        </w:rPr>
        <w:t>B</w:t>
      </w:r>
      <w:r w:rsidR="00713F9F" w:rsidRPr="006F1D04">
        <w:rPr>
          <w:rFonts w:ascii="Arial" w:hAnsi="Arial"/>
        </w:rPr>
        <w:t>enefit</w:t>
      </w:r>
      <w:proofErr w:type="gramStart"/>
      <w:r w:rsidR="00713F9F" w:rsidRPr="006F1D04">
        <w:rPr>
          <w:rFonts w:ascii="Arial" w:hAnsi="Arial"/>
        </w:rPr>
        <w:t>:cost</w:t>
      </w:r>
      <w:proofErr w:type="spellEnd"/>
      <w:proofErr w:type="gramEnd"/>
      <w:r w:rsidR="00713F9F" w:rsidRPr="006F1D04">
        <w:rPr>
          <w:rFonts w:ascii="Arial" w:hAnsi="Arial"/>
        </w:rPr>
        <w:t xml:space="preserve"> ratio (BCR): This is the economic value of benefits expected from implementation of a policy divided by the economic costs of implementation. A measure with a relatively high BCR delivers greater dollar benefits per dollar of costs, and can therefore be considered to be superior to a measure with a lower BCR (all else being equal). </w:t>
      </w:r>
    </w:p>
    <w:p w:rsidR="00713F9F" w:rsidRPr="006F1D04" w:rsidRDefault="006C2948" w:rsidP="00B922D4">
      <w:pPr>
        <w:pStyle w:val="BulletArrows"/>
        <w:numPr>
          <w:ilvl w:val="0"/>
          <w:numId w:val="1"/>
        </w:numPr>
        <w:spacing w:after="180" w:line="288" w:lineRule="auto"/>
        <w:ind w:left="568" w:hanging="284"/>
        <w:rPr>
          <w:rFonts w:ascii="Arial" w:hAnsi="Arial"/>
          <w:color w:val="auto"/>
        </w:rPr>
      </w:pPr>
      <w:r w:rsidRPr="006F1D04">
        <w:rPr>
          <w:rFonts w:ascii="Arial" w:hAnsi="Arial"/>
        </w:rPr>
        <w:t>N</w:t>
      </w:r>
      <w:r w:rsidR="00713F9F" w:rsidRPr="006F1D04">
        <w:rPr>
          <w:rFonts w:ascii="Arial" w:hAnsi="Arial"/>
        </w:rPr>
        <w:t xml:space="preserve">et present value (NPV): This is the </w:t>
      </w:r>
      <w:r w:rsidR="004312E0" w:rsidRPr="006F1D04">
        <w:rPr>
          <w:rFonts w:ascii="Arial" w:hAnsi="Arial"/>
        </w:rPr>
        <w:t xml:space="preserve">expected </w:t>
      </w:r>
      <w:r w:rsidR="00713F9F" w:rsidRPr="006F1D04">
        <w:rPr>
          <w:rFonts w:ascii="Arial" w:hAnsi="Arial"/>
        </w:rPr>
        <w:t>economic cost of implement</w:t>
      </w:r>
      <w:r w:rsidR="004312E0" w:rsidRPr="006F1D04">
        <w:rPr>
          <w:rFonts w:ascii="Arial" w:hAnsi="Arial"/>
        </w:rPr>
        <w:t>ing</w:t>
      </w:r>
      <w:r w:rsidR="00713F9F" w:rsidRPr="006F1D04">
        <w:rPr>
          <w:rFonts w:ascii="Arial" w:hAnsi="Arial"/>
        </w:rPr>
        <w:t xml:space="preserve"> a policy</w:t>
      </w:r>
      <w:r w:rsidRPr="006F1D04">
        <w:rPr>
          <w:rFonts w:ascii="Arial" w:hAnsi="Arial"/>
        </w:rPr>
        <w:t>,</w:t>
      </w:r>
      <w:r w:rsidR="00713F9F" w:rsidRPr="006F1D04">
        <w:rPr>
          <w:rFonts w:ascii="Arial" w:hAnsi="Arial"/>
        </w:rPr>
        <w:t xml:space="preserve"> subtracted from the economic </w:t>
      </w:r>
      <w:r w:rsidR="00713F9F" w:rsidRPr="006F1D04">
        <w:rPr>
          <w:rFonts w:ascii="Arial" w:hAnsi="Arial"/>
          <w:color w:val="auto"/>
        </w:rPr>
        <w:t>benefit. This metric also provides information of the scale of costs and benefits.</w:t>
      </w:r>
    </w:p>
    <w:p w:rsidR="00713F9F" w:rsidRPr="006F1D04" w:rsidRDefault="00713F9F" w:rsidP="00DE4099">
      <w:pPr>
        <w:spacing w:after="180"/>
        <w:rPr>
          <w:rFonts w:ascii="Arial" w:hAnsi="Arial" w:cs="Arial"/>
          <w:lang/>
        </w:rPr>
      </w:pPr>
      <w:r w:rsidRPr="006F1D04">
        <w:rPr>
          <w:rFonts w:ascii="Arial" w:hAnsi="Arial" w:cs="Arial"/>
          <w:lang/>
        </w:rPr>
        <w:t>The costs and benefits of individual measures were additive (i.e. the c</w:t>
      </w:r>
      <w:r w:rsidR="00C57FBE" w:rsidRPr="006F1D04">
        <w:rPr>
          <w:rFonts w:ascii="Arial" w:hAnsi="Arial" w:cs="Arial"/>
          <w:lang/>
        </w:rPr>
        <w:t>osts and benefits of the package of measures</w:t>
      </w:r>
      <w:r w:rsidRPr="006F1D04">
        <w:rPr>
          <w:rFonts w:ascii="Arial" w:hAnsi="Arial" w:cs="Arial"/>
          <w:lang/>
        </w:rPr>
        <w:t xml:space="preserve"> were equal to the sums of the costs and benefits of the individual measures). This is because the relationship between emission reduction and health costs (all else being equal) is linear. </w:t>
      </w:r>
      <w:r w:rsidRPr="006F1D04">
        <w:rPr>
          <w:rFonts w:ascii="Arial" w:hAnsi="Arial" w:cs="Arial"/>
        </w:rPr>
        <w:t>Therefore, the cos</w:t>
      </w:r>
      <w:r w:rsidR="00C57FBE" w:rsidRPr="006F1D04">
        <w:rPr>
          <w:rFonts w:ascii="Arial" w:hAnsi="Arial" w:cs="Arial"/>
        </w:rPr>
        <w:t>ts or benefits of the package of measures</w:t>
      </w:r>
      <w:r w:rsidRPr="006F1D04">
        <w:rPr>
          <w:rFonts w:ascii="Arial" w:hAnsi="Arial" w:cs="Arial"/>
        </w:rPr>
        <w:t xml:space="preserve"> were derived by summating the effects of the individual measures.</w:t>
      </w:r>
    </w:p>
    <w:p w:rsidR="00713F9F" w:rsidRPr="006F1D04" w:rsidRDefault="00713F9F" w:rsidP="00DE4099">
      <w:pPr>
        <w:pStyle w:val="BulletArrows"/>
        <w:spacing w:after="180"/>
        <w:rPr>
          <w:rFonts w:ascii="Arial" w:hAnsi="Arial"/>
        </w:rPr>
      </w:pPr>
      <w:r w:rsidRPr="006F1D04">
        <w:rPr>
          <w:rFonts w:ascii="Arial" w:hAnsi="Arial"/>
        </w:rPr>
        <w:t xml:space="preserve">There was no feedback aspect to </w:t>
      </w:r>
      <w:r w:rsidR="00C57FBE" w:rsidRPr="006F1D04">
        <w:rPr>
          <w:rFonts w:ascii="Arial" w:hAnsi="Arial"/>
        </w:rPr>
        <w:t>the analysis; for the package</w:t>
      </w:r>
      <w:r w:rsidRPr="006F1D04">
        <w:rPr>
          <w:rFonts w:ascii="Arial" w:hAnsi="Arial"/>
        </w:rPr>
        <w:t xml:space="preserve"> of abatement measures investigated there was either compliance with an air quality standard or there was not. Where a portfolio did not result in compliance with a hypothetical air quality standard an ‘emissions gap’ was calculated. This additional reduction was placed into context by quantifying it as a percentage of the ‘residual’ emissions (i.e. the t</w:t>
      </w:r>
      <w:r w:rsidR="006579CC" w:rsidRPr="006F1D04">
        <w:rPr>
          <w:rFonts w:ascii="Arial" w:hAnsi="Arial"/>
        </w:rPr>
        <w:t xml:space="preserve">otal emissions in the </w:t>
      </w:r>
      <w:r w:rsidRPr="006F1D04">
        <w:rPr>
          <w:rFonts w:ascii="Arial" w:hAnsi="Arial"/>
        </w:rPr>
        <w:t>area</w:t>
      </w:r>
      <w:r w:rsidR="006579CC" w:rsidRPr="006F1D04">
        <w:rPr>
          <w:rFonts w:ascii="Arial" w:hAnsi="Arial"/>
        </w:rPr>
        <w:t xml:space="preserve"> of each jurisdiction covered by the emissions inventory</w:t>
      </w:r>
      <w:r w:rsidR="00B13CFD" w:rsidRPr="006F1D04">
        <w:rPr>
          <w:rFonts w:ascii="Arial" w:hAnsi="Arial"/>
        </w:rPr>
        <w:t>,</w:t>
      </w:r>
      <w:r w:rsidRPr="006F1D04">
        <w:rPr>
          <w:rFonts w:ascii="Arial" w:hAnsi="Arial"/>
        </w:rPr>
        <w:t xml:space="preserve"> m</w:t>
      </w:r>
      <w:r w:rsidR="00C57FBE" w:rsidRPr="006F1D04">
        <w:rPr>
          <w:rFonts w:ascii="Arial" w:hAnsi="Arial"/>
        </w:rPr>
        <w:t>inus the amount removed by the package of abatement measures</w:t>
      </w:r>
      <w:r w:rsidRPr="006F1D04">
        <w:rPr>
          <w:rFonts w:ascii="Arial" w:hAnsi="Arial"/>
        </w:rPr>
        <w:t>). For the exposure-</w:t>
      </w:r>
      <w:r w:rsidR="006579CC" w:rsidRPr="006F1D04">
        <w:rPr>
          <w:rFonts w:ascii="Arial" w:hAnsi="Arial"/>
        </w:rPr>
        <w:t xml:space="preserve">reduction target </w:t>
      </w:r>
      <w:r w:rsidRPr="006F1D04">
        <w:rPr>
          <w:rFonts w:ascii="Arial" w:hAnsi="Arial"/>
        </w:rPr>
        <w:t>a similar approach</w:t>
      </w:r>
      <w:r w:rsidR="006579CC" w:rsidRPr="006F1D04">
        <w:rPr>
          <w:rFonts w:ascii="Arial" w:hAnsi="Arial"/>
        </w:rPr>
        <w:t xml:space="preserve"> was used</w:t>
      </w:r>
      <w:r w:rsidRPr="006F1D04">
        <w:rPr>
          <w:rFonts w:ascii="Arial" w:hAnsi="Arial"/>
        </w:rPr>
        <w:t>, except that the ‘gaps’ related to the additional reductions required by 2025 to achieve a 10% reduction in the population-weighted PM</w:t>
      </w:r>
      <w:r w:rsidRPr="006F1D04">
        <w:rPr>
          <w:rFonts w:ascii="Arial" w:hAnsi="Arial"/>
          <w:vertAlign w:val="subscript"/>
        </w:rPr>
        <w:t>2.5</w:t>
      </w:r>
      <w:r w:rsidRPr="006F1D04">
        <w:rPr>
          <w:rFonts w:ascii="Arial" w:hAnsi="Arial"/>
        </w:rPr>
        <w:t xml:space="preserve"> concent</w:t>
      </w:r>
      <w:r w:rsidR="006579CC" w:rsidRPr="006F1D04">
        <w:rPr>
          <w:rFonts w:ascii="Arial" w:hAnsi="Arial"/>
        </w:rPr>
        <w:t>ration. T</w:t>
      </w:r>
      <w:r w:rsidRPr="006F1D04">
        <w:rPr>
          <w:rFonts w:ascii="Arial" w:hAnsi="Arial"/>
        </w:rPr>
        <w:t xml:space="preserve">he costs and benefits of implementing further abatement </w:t>
      </w:r>
      <w:r w:rsidR="00DE4099" w:rsidRPr="006F1D04">
        <w:rPr>
          <w:rFonts w:ascii="Arial" w:hAnsi="Arial"/>
        </w:rPr>
        <w:t xml:space="preserve">measures to bridge the </w:t>
      </w:r>
      <w:r w:rsidRPr="006F1D04">
        <w:rPr>
          <w:rFonts w:ascii="Arial" w:hAnsi="Arial"/>
        </w:rPr>
        <w:t>gaps</w:t>
      </w:r>
      <w:r w:rsidR="006579CC" w:rsidRPr="006F1D04">
        <w:rPr>
          <w:rFonts w:ascii="Arial" w:hAnsi="Arial"/>
        </w:rPr>
        <w:t xml:space="preserve"> were then calculated</w:t>
      </w:r>
      <w:r w:rsidR="001014A1" w:rsidRPr="006F1D04">
        <w:rPr>
          <w:rFonts w:ascii="Arial" w:hAnsi="Arial"/>
        </w:rPr>
        <w:t>.</w:t>
      </w:r>
    </w:p>
    <w:p w:rsidR="00C57FBE" w:rsidRPr="006F1D04" w:rsidRDefault="00C1042C" w:rsidP="00DE4099">
      <w:pPr>
        <w:pStyle w:val="BulletArrows"/>
        <w:spacing w:after="180"/>
        <w:rPr>
          <w:rFonts w:ascii="Arial" w:hAnsi="Arial"/>
        </w:rPr>
      </w:pPr>
      <w:r w:rsidRPr="006F1D04">
        <w:rPr>
          <w:rFonts w:ascii="Arial" w:hAnsi="Arial"/>
        </w:rPr>
        <w:t>N</w:t>
      </w:r>
      <w:r w:rsidR="00C57FBE" w:rsidRPr="006F1D04">
        <w:rPr>
          <w:rFonts w:ascii="Arial" w:hAnsi="Arial"/>
        </w:rPr>
        <w:t xml:space="preserve">ot all possible national and state-based abatement measures were considered in the Economic Analysis. The potential benefits would be greater if all possible abatement measures could be assessed. In other words, the benefits identified in the </w:t>
      </w:r>
      <w:r w:rsidR="00136447" w:rsidRPr="006F1D04">
        <w:rPr>
          <w:rFonts w:ascii="Arial" w:hAnsi="Arial"/>
        </w:rPr>
        <w:t>E</w:t>
      </w:r>
      <w:r w:rsidR="00C57FBE" w:rsidRPr="006F1D04">
        <w:rPr>
          <w:rFonts w:ascii="Arial" w:hAnsi="Arial"/>
        </w:rPr>
        <w:t xml:space="preserve">conomic </w:t>
      </w:r>
      <w:r w:rsidR="00136447" w:rsidRPr="006F1D04">
        <w:rPr>
          <w:rFonts w:ascii="Arial" w:hAnsi="Arial"/>
        </w:rPr>
        <w:t>A</w:t>
      </w:r>
      <w:r w:rsidR="00C57FBE" w:rsidRPr="006F1D04">
        <w:rPr>
          <w:rFonts w:ascii="Arial" w:hAnsi="Arial"/>
        </w:rPr>
        <w:t>nalysis are likely to be representative but are probably conservative.</w:t>
      </w:r>
    </w:p>
    <w:p w:rsidR="001014A1" w:rsidRPr="006F1D04" w:rsidRDefault="00713F9F" w:rsidP="00DE4099">
      <w:pPr>
        <w:spacing w:after="180"/>
        <w:rPr>
          <w:rFonts w:ascii="Arial" w:hAnsi="Arial" w:cs="Arial"/>
        </w:rPr>
      </w:pPr>
      <w:r w:rsidRPr="006F1D04">
        <w:rPr>
          <w:rFonts w:ascii="Arial" w:hAnsi="Arial" w:cs="Arial"/>
        </w:rPr>
        <w:lastRenderedPageBreak/>
        <w:t>Health benefits were estimated using the unit damage costs ($ per tonne at 2011 prices) for primary PM</w:t>
      </w:r>
      <w:r w:rsidRPr="006F1D04">
        <w:rPr>
          <w:rFonts w:ascii="Arial" w:hAnsi="Arial" w:cs="Arial"/>
          <w:vertAlign w:val="subscript"/>
        </w:rPr>
        <w:t>2.5</w:t>
      </w:r>
      <w:r w:rsidRPr="006F1D04">
        <w:rPr>
          <w:rFonts w:ascii="Arial" w:hAnsi="Arial" w:cs="Arial"/>
        </w:rPr>
        <w:t xml:space="preserve"> developed for Australia by </w:t>
      </w:r>
      <w:r w:rsidRPr="006F1D04">
        <w:rPr>
          <w:rFonts w:ascii="Arial" w:hAnsi="Arial" w:cs="Arial"/>
          <w:b/>
        </w:rPr>
        <w:t xml:space="preserve">Aust </w:t>
      </w:r>
      <w:r w:rsidR="009334F4" w:rsidRPr="006F1D04">
        <w:rPr>
          <w:rFonts w:ascii="Arial" w:hAnsi="Arial" w:cs="Arial"/>
          <w:b/>
        </w:rPr>
        <w:t>et al.</w:t>
      </w:r>
      <w:r w:rsidRPr="006F1D04">
        <w:rPr>
          <w:rFonts w:ascii="Arial" w:hAnsi="Arial" w:cs="Arial"/>
          <w:b/>
        </w:rPr>
        <w:t xml:space="preserve"> (2013)</w:t>
      </w:r>
      <w:r w:rsidRPr="006F1D04">
        <w:rPr>
          <w:rFonts w:ascii="Arial" w:hAnsi="Arial" w:cs="Arial"/>
        </w:rPr>
        <w:t>. The unit damage costs are proportional to population density and relate to specific geographical areas of Australia based on the ABS Significant Urban Area structure for urban centres with more than 10,000 people. However, the introduction of abatement can lead to co-benefits associated with reduced emissions of other pollutants (notably NO</w:t>
      </w:r>
      <w:r w:rsidRPr="006F1D04">
        <w:rPr>
          <w:rFonts w:ascii="Arial" w:hAnsi="Arial" w:cs="Arial"/>
          <w:vertAlign w:val="subscript"/>
        </w:rPr>
        <w:t>X</w:t>
      </w:r>
      <w:r w:rsidR="00C1042C" w:rsidRPr="006F1D04">
        <w:rPr>
          <w:rFonts w:ascii="Arial" w:hAnsi="Arial" w:cs="Arial"/>
        </w:rPr>
        <w:t>). A</w:t>
      </w:r>
      <w:r w:rsidRPr="006F1D04">
        <w:rPr>
          <w:rFonts w:ascii="Arial" w:hAnsi="Arial" w:cs="Arial"/>
        </w:rPr>
        <w:t xml:space="preserve"> damage cost approach </w:t>
      </w:r>
      <w:r w:rsidR="00C1042C" w:rsidRPr="006F1D04">
        <w:rPr>
          <w:rFonts w:ascii="Arial" w:hAnsi="Arial" w:cs="Arial"/>
        </w:rPr>
        <w:t xml:space="preserve">was also used </w:t>
      </w:r>
      <w:r w:rsidRPr="006F1D04">
        <w:rPr>
          <w:rFonts w:ascii="Arial" w:hAnsi="Arial" w:cs="Arial"/>
        </w:rPr>
        <w:t xml:space="preserve">to value these co-benefits. </w:t>
      </w:r>
      <w:r w:rsidR="00C1042C" w:rsidRPr="006F1D04">
        <w:rPr>
          <w:rFonts w:ascii="Arial" w:hAnsi="Arial" w:cs="Arial"/>
        </w:rPr>
        <w:t>The benefits we</w:t>
      </w:r>
      <w:r w:rsidRPr="006F1D04">
        <w:rPr>
          <w:rFonts w:ascii="Arial" w:hAnsi="Arial" w:cs="Arial"/>
        </w:rPr>
        <w:t xml:space="preserve">re a function of the magnitude of the emission reductions and their spatial distribution (with emission reductions in more </w:t>
      </w:r>
      <w:r w:rsidR="00C1042C" w:rsidRPr="006F1D04">
        <w:rPr>
          <w:rFonts w:ascii="Arial" w:hAnsi="Arial" w:cs="Arial"/>
        </w:rPr>
        <w:t>populated</w:t>
      </w:r>
      <w:r w:rsidR="00B95026" w:rsidRPr="006F1D04">
        <w:rPr>
          <w:rFonts w:ascii="Arial" w:hAnsi="Arial" w:cs="Arial"/>
        </w:rPr>
        <w:t xml:space="preserve"> areas carrying more</w:t>
      </w:r>
      <w:r w:rsidRPr="006F1D04">
        <w:rPr>
          <w:rFonts w:ascii="Arial" w:hAnsi="Arial" w:cs="Arial"/>
        </w:rPr>
        <w:t xml:space="preserve"> benefit).</w:t>
      </w:r>
      <w:r w:rsidR="00B95026" w:rsidRPr="006F1D04">
        <w:rPr>
          <w:rFonts w:ascii="Arial" w:hAnsi="Arial" w:cs="Arial"/>
        </w:rPr>
        <w:t xml:space="preserve"> This approach to calculating</w:t>
      </w:r>
      <w:r w:rsidR="00C1042C" w:rsidRPr="006F1D04">
        <w:rPr>
          <w:rFonts w:ascii="Arial" w:hAnsi="Arial" w:cs="Arial"/>
        </w:rPr>
        <w:t xml:space="preserve"> health benefits, which accounted</w:t>
      </w:r>
      <w:r w:rsidR="00B95026" w:rsidRPr="006F1D04">
        <w:rPr>
          <w:rFonts w:ascii="Arial" w:hAnsi="Arial" w:cs="Arial"/>
        </w:rPr>
        <w:t xml:space="preserve"> </w:t>
      </w:r>
      <w:r w:rsidR="00C1042C" w:rsidRPr="006F1D04">
        <w:rPr>
          <w:rFonts w:ascii="Arial" w:hAnsi="Arial" w:cs="Arial"/>
        </w:rPr>
        <w:t>for population density, improved</w:t>
      </w:r>
      <w:r w:rsidR="00B95026" w:rsidRPr="006F1D04">
        <w:rPr>
          <w:rFonts w:ascii="Arial" w:hAnsi="Arial" w:cs="Arial"/>
        </w:rPr>
        <w:t xml:space="preserve"> the pr</w:t>
      </w:r>
      <w:r w:rsidR="00961D14" w:rsidRPr="006F1D04">
        <w:rPr>
          <w:rFonts w:ascii="Arial" w:hAnsi="Arial" w:cs="Arial"/>
        </w:rPr>
        <w:t>ecision of estimates compared with</w:t>
      </w:r>
      <w:r w:rsidR="00B95026" w:rsidRPr="006F1D04">
        <w:rPr>
          <w:rFonts w:ascii="Arial" w:hAnsi="Arial" w:cs="Arial"/>
        </w:rPr>
        <w:t xml:space="preserve"> assuming an ‘average’ damage cost.</w:t>
      </w:r>
    </w:p>
    <w:p w:rsidR="00713F9F" w:rsidRPr="006F1D04" w:rsidRDefault="00C1042C" w:rsidP="00B922D4">
      <w:pPr>
        <w:rPr>
          <w:rFonts w:ascii="Arial" w:hAnsi="Arial" w:cs="Arial"/>
          <w:lang w:eastAsia="en-US"/>
        </w:rPr>
      </w:pPr>
      <w:r w:rsidRPr="006F1D04">
        <w:rPr>
          <w:rFonts w:ascii="Arial" w:hAnsi="Arial" w:cs="Arial"/>
          <w:lang w:eastAsia="en-US"/>
        </w:rPr>
        <w:t>In the Economic Analysis</w:t>
      </w:r>
      <w:r w:rsidR="001014A1" w:rsidRPr="006F1D04">
        <w:rPr>
          <w:rFonts w:ascii="Arial" w:hAnsi="Arial" w:cs="Arial"/>
          <w:lang w:eastAsia="en-US"/>
        </w:rPr>
        <w:t xml:space="preserve"> all costs and benefits were calculated as changes relative to a BAU scenario. Therefore, no costs and benefits for the BAU scenario itself were calculated.</w:t>
      </w:r>
    </w:p>
    <w:p w:rsidR="00713F9F" w:rsidRPr="006F1D04" w:rsidRDefault="00713F9F" w:rsidP="00713F9F">
      <w:pPr>
        <w:pStyle w:val="Heading3"/>
        <w:rPr>
          <w:rFonts w:ascii="Arial" w:hAnsi="Arial"/>
        </w:rPr>
      </w:pPr>
      <w:bookmarkStart w:id="179" w:name="_Toc394011150"/>
      <w:r w:rsidRPr="006F1D04">
        <w:rPr>
          <w:rFonts w:ascii="Arial" w:hAnsi="Arial"/>
        </w:rPr>
        <w:t>Results</w:t>
      </w:r>
      <w:bookmarkEnd w:id="179"/>
    </w:p>
    <w:p w:rsidR="00112CBB" w:rsidRPr="006F1D04" w:rsidRDefault="00112CBB" w:rsidP="00B922D4">
      <w:pPr>
        <w:pStyle w:val="Heading4"/>
        <w:spacing w:after="180"/>
        <w:rPr>
          <w:rFonts w:ascii="Arial" w:hAnsi="Arial" w:cs="Arial"/>
        </w:rPr>
      </w:pPr>
      <w:r w:rsidRPr="006F1D04">
        <w:rPr>
          <w:rFonts w:ascii="Arial" w:hAnsi="Arial" w:cs="Arial"/>
        </w:rPr>
        <w:t>Air quality standards</w:t>
      </w:r>
    </w:p>
    <w:p w:rsidR="00C57FBE" w:rsidRPr="006F1D04" w:rsidRDefault="006579CC" w:rsidP="00CE3683">
      <w:pPr>
        <w:rPr>
          <w:rFonts w:ascii="Arial" w:hAnsi="Arial" w:cs="Arial"/>
        </w:rPr>
      </w:pPr>
      <w:r w:rsidRPr="006F1D04">
        <w:rPr>
          <w:rFonts w:ascii="Arial" w:hAnsi="Arial" w:cs="Arial"/>
        </w:rPr>
        <w:t>U</w:t>
      </w:r>
      <w:r w:rsidR="00713F9F" w:rsidRPr="006F1D04">
        <w:rPr>
          <w:rFonts w:ascii="Arial" w:hAnsi="Arial" w:cs="Arial"/>
        </w:rPr>
        <w:t>nder the BAU scenario it was estimated that there would be overall increases in the population-weighted PM concentrations over the period 2011</w:t>
      </w:r>
      <w:r w:rsidR="00B13CFD" w:rsidRPr="006F1D04">
        <w:rPr>
          <w:rFonts w:ascii="Arial" w:hAnsi="Arial" w:cs="Arial"/>
        </w:rPr>
        <w:t>–</w:t>
      </w:r>
      <w:r w:rsidR="00713F9F" w:rsidRPr="006F1D04">
        <w:rPr>
          <w:rFonts w:ascii="Arial" w:hAnsi="Arial" w:cs="Arial"/>
        </w:rPr>
        <w:t>2036</w:t>
      </w:r>
      <w:r w:rsidR="00583B8B" w:rsidRPr="006F1D04">
        <w:rPr>
          <w:rFonts w:ascii="Arial" w:hAnsi="Arial" w:cs="Arial"/>
        </w:rPr>
        <w:t xml:space="preserve"> due to increases</w:t>
      </w:r>
      <w:r w:rsidR="00713F9F" w:rsidRPr="006F1D04">
        <w:rPr>
          <w:rFonts w:ascii="Arial" w:hAnsi="Arial" w:cs="Arial"/>
        </w:rPr>
        <w:t xml:space="preserve"> </w:t>
      </w:r>
      <w:r w:rsidR="00583B8B" w:rsidRPr="006F1D04">
        <w:rPr>
          <w:rFonts w:ascii="Arial" w:hAnsi="Arial" w:cs="Arial"/>
        </w:rPr>
        <w:t>in emissions</w:t>
      </w:r>
      <w:r w:rsidR="00713F9F" w:rsidRPr="006F1D04">
        <w:rPr>
          <w:rFonts w:ascii="Arial" w:hAnsi="Arial" w:cs="Arial"/>
        </w:rPr>
        <w:t xml:space="preserve">. </w:t>
      </w:r>
      <w:r w:rsidR="00051582" w:rsidRPr="006F1D04">
        <w:rPr>
          <w:rFonts w:ascii="Arial" w:hAnsi="Arial" w:cs="Arial"/>
        </w:rPr>
        <w:t>It was found</w:t>
      </w:r>
      <w:r w:rsidR="00C57FBE" w:rsidRPr="006F1D04">
        <w:rPr>
          <w:rFonts w:ascii="Arial" w:hAnsi="Arial" w:cs="Arial"/>
        </w:rPr>
        <w:t xml:space="preserve"> that the population-weighted annual mean PM</w:t>
      </w:r>
      <w:r w:rsidR="00C57FBE" w:rsidRPr="006F1D04">
        <w:rPr>
          <w:rFonts w:ascii="Arial" w:hAnsi="Arial" w:cs="Arial"/>
          <w:vertAlign w:val="subscript"/>
        </w:rPr>
        <w:t>10</w:t>
      </w:r>
      <w:r w:rsidR="00C57FBE" w:rsidRPr="006F1D04">
        <w:rPr>
          <w:rFonts w:ascii="Arial" w:hAnsi="Arial" w:cs="Arial"/>
        </w:rPr>
        <w:t xml:space="preserve"> concentration would increase by between 0.2 </w:t>
      </w:r>
      <w:proofErr w:type="spellStart"/>
      <w:r w:rsidR="00C57FBE" w:rsidRPr="006F1D04">
        <w:rPr>
          <w:rFonts w:ascii="Arial" w:hAnsi="Arial" w:cs="Arial"/>
        </w:rPr>
        <w:t>μg</w:t>
      </w:r>
      <w:proofErr w:type="spellEnd"/>
      <w:r w:rsidR="00C57FBE" w:rsidRPr="006F1D04">
        <w:rPr>
          <w:rFonts w:ascii="Arial" w:hAnsi="Arial" w:cs="Arial"/>
        </w:rPr>
        <w:t>/m</w:t>
      </w:r>
      <w:r w:rsidR="00C57FBE" w:rsidRPr="006F1D04">
        <w:rPr>
          <w:rFonts w:ascii="Arial" w:hAnsi="Arial" w:cs="Arial"/>
          <w:vertAlign w:val="superscript"/>
        </w:rPr>
        <w:t>3</w:t>
      </w:r>
      <w:r w:rsidR="00C57FBE" w:rsidRPr="006F1D04">
        <w:rPr>
          <w:rFonts w:ascii="Arial" w:hAnsi="Arial" w:cs="Arial"/>
        </w:rPr>
        <w:t xml:space="preserve"> and 2.4 </w:t>
      </w:r>
      <w:proofErr w:type="spellStart"/>
      <w:r w:rsidR="00C57FBE" w:rsidRPr="006F1D04">
        <w:rPr>
          <w:rFonts w:ascii="Arial" w:hAnsi="Arial" w:cs="Arial"/>
        </w:rPr>
        <w:t>μg</w:t>
      </w:r>
      <w:proofErr w:type="spellEnd"/>
      <w:r w:rsidR="00C57FBE" w:rsidRPr="006F1D04">
        <w:rPr>
          <w:rFonts w:ascii="Arial" w:hAnsi="Arial" w:cs="Arial"/>
        </w:rPr>
        <w:t>/m</w:t>
      </w:r>
      <w:r w:rsidR="00C57FBE" w:rsidRPr="006F1D04">
        <w:rPr>
          <w:rFonts w:ascii="Arial" w:hAnsi="Arial" w:cs="Arial"/>
          <w:vertAlign w:val="superscript"/>
        </w:rPr>
        <w:t>3</w:t>
      </w:r>
      <w:r w:rsidR="00C57FBE" w:rsidRPr="006F1D04">
        <w:rPr>
          <w:rFonts w:ascii="Arial" w:hAnsi="Arial" w:cs="Arial"/>
        </w:rPr>
        <w:t xml:space="preserve">, depending on the jurisdiction. </w:t>
      </w:r>
      <w:r w:rsidR="004312E0" w:rsidRPr="006F1D04">
        <w:rPr>
          <w:rFonts w:ascii="Arial" w:hAnsi="Arial" w:cs="Arial"/>
        </w:rPr>
        <w:t xml:space="preserve">The population-weighted annual mean </w:t>
      </w:r>
      <w:r w:rsidR="00C57FBE" w:rsidRPr="006F1D04">
        <w:rPr>
          <w:rFonts w:ascii="Arial" w:hAnsi="Arial" w:cs="Arial"/>
        </w:rPr>
        <w:t>PM</w:t>
      </w:r>
      <w:r w:rsidR="00C57FBE" w:rsidRPr="006F1D04">
        <w:rPr>
          <w:rFonts w:ascii="Arial" w:hAnsi="Arial" w:cs="Arial"/>
          <w:vertAlign w:val="subscript"/>
        </w:rPr>
        <w:t>2.5</w:t>
      </w:r>
      <w:r w:rsidR="00C57FBE" w:rsidRPr="006F1D04">
        <w:rPr>
          <w:rFonts w:ascii="Arial" w:hAnsi="Arial" w:cs="Arial"/>
        </w:rPr>
        <w:t xml:space="preserve"> would increase by up to 1.5 </w:t>
      </w:r>
      <w:proofErr w:type="spellStart"/>
      <w:r w:rsidR="00C57FBE" w:rsidRPr="006F1D04">
        <w:rPr>
          <w:rFonts w:ascii="Arial" w:hAnsi="Arial" w:cs="Arial"/>
        </w:rPr>
        <w:t>μg</w:t>
      </w:r>
      <w:proofErr w:type="spellEnd"/>
      <w:r w:rsidR="00C57FBE" w:rsidRPr="006F1D04">
        <w:rPr>
          <w:rFonts w:ascii="Arial" w:hAnsi="Arial" w:cs="Arial"/>
        </w:rPr>
        <w:t>/m</w:t>
      </w:r>
      <w:r w:rsidR="00C57FBE" w:rsidRPr="006F1D04">
        <w:rPr>
          <w:rFonts w:ascii="Arial" w:hAnsi="Arial" w:cs="Arial"/>
          <w:vertAlign w:val="superscript"/>
        </w:rPr>
        <w:t>3</w:t>
      </w:r>
      <w:r w:rsidR="00C57FBE" w:rsidRPr="006F1D04">
        <w:rPr>
          <w:rFonts w:ascii="Arial" w:hAnsi="Arial" w:cs="Arial"/>
        </w:rPr>
        <w:t>, depending on the jurisdiction; the exception was Victoria, where there would be a slight reduction in the PM</w:t>
      </w:r>
      <w:r w:rsidR="00C57FBE" w:rsidRPr="006F1D04">
        <w:rPr>
          <w:rFonts w:ascii="Arial" w:hAnsi="Arial" w:cs="Arial"/>
          <w:vertAlign w:val="subscript"/>
        </w:rPr>
        <w:t>2.5</w:t>
      </w:r>
      <w:r w:rsidR="00C57FBE" w:rsidRPr="006F1D04">
        <w:rPr>
          <w:rFonts w:ascii="Arial" w:hAnsi="Arial" w:cs="Arial"/>
        </w:rPr>
        <w:t xml:space="preserve"> concentration</w:t>
      </w:r>
      <w:r w:rsidR="00910908" w:rsidRPr="006F1D04">
        <w:rPr>
          <w:rStyle w:val="FootnoteReference"/>
          <w:rFonts w:ascii="Arial" w:hAnsi="Arial" w:cs="Arial"/>
        </w:rPr>
        <w:footnoteReference w:id="33"/>
      </w:r>
      <w:r w:rsidR="00C57FBE" w:rsidRPr="006F1D04">
        <w:rPr>
          <w:rFonts w:ascii="Arial" w:hAnsi="Arial" w:cs="Arial"/>
        </w:rPr>
        <w:t>.</w:t>
      </w:r>
    </w:p>
    <w:p w:rsidR="00421CDD" w:rsidRPr="006F1D04" w:rsidRDefault="00421CDD" w:rsidP="00CE3683">
      <w:pPr>
        <w:rPr>
          <w:rFonts w:ascii="Arial" w:hAnsi="Arial" w:cs="Arial"/>
        </w:rPr>
      </w:pPr>
      <w:r w:rsidRPr="006F1D04">
        <w:rPr>
          <w:rFonts w:ascii="Arial" w:hAnsi="Arial" w:cs="Arial"/>
        </w:rPr>
        <w:t xml:space="preserve">Future emission and concentration reductions were not estimated for the specific sub-options, but for the package of national abatement measures to reduce primary anthropogenic PM emissions. A national example of the concentration projections </w:t>
      </w:r>
      <w:r w:rsidR="00B13CFD" w:rsidRPr="006F1D04">
        <w:rPr>
          <w:rFonts w:ascii="Arial" w:hAnsi="Arial" w:cs="Arial"/>
        </w:rPr>
        <w:t>–</w:t>
      </w:r>
      <w:r w:rsidRPr="006F1D04">
        <w:rPr>
          <w:rFonts w:ascii="Arial" w:hAnsi="Arial" w:cs="Arial"/>
        </w:rPr>
        <w:t xml:space="preserve"> in this case for annual mean PM</w:t>
      </w:r>
      <w:r w:rsidRPr="006F1D04">
        <w:rPr>
          <w:rFonts w:ascii="Arial" w:hAnsi="Arial" w:cs="Arial"/>
          <w:vertAlign w:val="subscript"/>
        </w:rPr>
        <w:t>2.5</w:t>
      </w:r>
      <w:r w:rsidRPr="006F1D04">
        <w:rPr>
          <w:rFonts w:ascii="Arial" w:hAnsi="Arial" w:cs="Arial"/>
        </w:rPr>
        <w:t xml:space="preserve"> </w:t>
      </w:r>
      <w:r w:rsidR="00B13CFD" w:rsidRPr="006F1D04">
        <w:rPr>
          <w:rFonts w:ascii="Arial" w:hAnsi="Arial" w:cs="Arial"/>
        </w:rPr>
        <w:t>–</w:t>
      </w:r>
      <w:r w:rsidRPr="006F1D04">
        <w:rPr>
          <w:rFonts w:ascii="Arial" w:hAnsi="Arial" w:cs="Arial"/>
        </w:rPr>
        <w:t xml:space="preserve"> with and without the package of abatement measures is shown in</w:t>
      </w:r>
      <w:r w:rsidRPr="006F1D04">
        <w:rPr>
          <w:rFonts w:ascii="Arial" w:hAnsi="Arial" w:cs="Arial"/>
          <w:b/>
        </w:rPr>
        <w:t xml:space="preserve"> </w:t>
      </w:r>
      <w:fldSimple w:instr=" REF _Ref359241342 \h  \* MERGEFORMAT ">
        <w:r w:rsidR="0085182E" w:rsidRPr="0085182E">
          <w:rPr>
            <w:rFonts w:ascii="Arial" w:hAnsi="Arial" w:cs="Arial"/>
            <w:b/>
          </w:rPr>
          <w:t>Figure 8.11</w:t>
        </w:r>
      </w:fldSimple>
      <w:r w:rsidRPr="006F1D04">
        <w:rPr>
          <w:rFonts w:ascii="Arial" w:hAnsi="Arial" w:cs="Arial"/>
        </w:rPr>
        <w:t xml:space="preserve">. The values in the </w:t>
      </w:r>
      <w:r w:rsidR="00B13CFD" w:rsidRPr="006F1D04">
        <w:rPr>
          <w:rFonts w:ascii="Arial" w:hAnsi="Arial" w:cs="Arial"/>
        </w:rPr>
        <w:t>f</w:t>
      </w:r>
      <w:r w:rsidRPr="006F1D04">
        <w:rPr>
          <w:rFonts w:ascii="Arial" w:hAnsi="Arial" w:cs="Arial"/>
        </w:rPr>
        <w:t xml:space="preserve">igure are strongly influenced by the results for the most populous states </w:t>
      </w:r>
      <w:r w:rsidR="00B13CFD" w:rsidRPr="006F1D04">
        <w:rPr>
          <w:rFonts w:ascii="Arial" w:hAnsi="Arial" w:cs="Arial"/>
        </w:rPr>
        <w:t>–</w:t>
      </w:r>
      <w:r w:rsidRPr="006F1D04">
        <w:rPr>
          <w:rFonts w:ascii="Arial" w:hAnsi="Arial" w:cs="Arial"/>
        </w:rPr>
        <w:t xml:space="preserve"> NSW and Victoria.</w:t>
      </w:r>
    </w:p>
    <w:p w:rsidR="00386E49" w:rsidRPr="006F1D04" w:rsidRDefault="00386E49" w:rsidP="00386E49">
      <w:pPr>
        <w:rPr>
          <w:rFonts w:ascii="Arial" w:hAnsi="Arial" w:cs="Arial"/>
        </w:rPr>
      </w:pPr>
      <w:r w:rsidRPr="006F1D04">
        <w:rPr>
          <w:rFonts w:ascii="Arial" w:hAnsi="Arial" w:cs="Arial"/>
        </w:rPr>
        <w:t xml:space="preserve">The increases in concentration under the BAU scenario would be offset in some jurisdictions by the introduction of the national abatement measures to reduce primary anthropogenic PM emissions. The scale of the concentration reductions was modest, but the monetised health benefits in the </w:t>
      </w:r>
      <w:proofErr w:type="spellStart"/>
      <w:r w:rsidRPr="006F1D04">
        <w:rPr>
          <w:rFonts w:ascii="Arial" w:hAnsi="Arial" w:cs="Arial"/>
        </w:rPr>
        <w:t>airsheds</w:t>
      </w:r>
      <w:proofErr w:type="spellEnd"/>
      <w:r w:rsidRPr="006F1D04">
        <w:rPr>
          <w:rFonts w:ascii="Arial" w:hAnsi="Arial" w:cs="Arial"/>
        </w:rPr>
        <w:t xml:space="preserve"> considered in the analysis were substantial. The scale of concentration reductions was also limited by the contribution of natural and secondary particles to PM</w:t>
      </w:r>
      <w:r w:rsidRPr="006F1D04">
        <w:rPr>
          <w:rFonts w:ascii="Arial" w:hAnsi="Arial" w:cs="Arial"/>
          <w:vertAlign w:val="subscript"/>
        </w:rPr>
        <w:t>2.5</w:t>
      </w:r>
      <w:r w:rsidRPr="006F1D04">
        <w:rPr>
          <w:rFonts w:ascii="Arial" w:hAnsi="Arial" w:cs="Arial"/>
        </w:rPr>
        <w:t>. However, reductions in primary anthropogenic PM emissions are also likely to be associated with reductions in the emissions of secondary PM precursors, whereas in the Economic Analysis it was assumed (because of the absence of a suitable model) that the secondary PM contribution would be constant with time. This means that the benefits calculated in the Economic Analysis represent a conservative estimate.</w:t>
      </w:r>
    </w:p>
    <w:p w:rsidR="00C74851" w:rsidRPr="006F1D04" w:rsidRDefault="00386E49" w:rsidP="00C74851">
      <w:pPr>
        <w:spacing w:after="0"/>
        <w:rPr>
          <w:rFonts w:ascii="Arial" w:hAnsi="Arial" w:cs="Arial"/>
        </w:rPr>
      </w:pPr>
      <w:r w:rsidRPr="006F1D04">
        <w:rPr>
          <w:rFonts w:ascii="Arial" w:hAnsi="Arial" w:cs="Arial"/>
        </w:rPr>
        <w:t>By 2036 the health benefit of meeting each standard was estimated at around $20.7 billion to $21.7 billion, and the net benefit after the costs of abatement measures were included was around $6.4 billion to $7 billion). It should be noted that the health benefits for the individual standards are not additive.</w:t>
      </w:r>
      <w:r w:rsidR="00B13CFD" w:rsidRPr="006F1D04">
        <w:rPr>
          <w:rFonts w:ascii="Arial" w:hAnsi="Arial" w:cs="Arial"/>
        </w:rPr>
        <w:t xml:space="preserve"> </w:t>
      </w:r>
      <w:r w:rsidR="00D176C1" w:rsidRPr="006F1D04">
        <w:rPr>
          <w:rFonts w:ascii="Arial" w:hAnsi="Arial" w:cs="Arial"/>
        </w:rPr>
        <w:t xml:space="preserve">The overall results are summarised in </w:t>
      </w:r>
      <w:fldSimple w:instr=" REF _Ref368035901 \h  \* MERGEFORMAT ">
        <w:r w:rsidR="0085182E" w:rsidRPr="0085182E">
          <w:rPr>
            <w:rFonts w:ascii="Arial" w:hAnsi="Arial" w:cs="Arial"/>
            <w:b/>
          </w:rPr>
          <w:t>Table 8.6</w:t>
        </w:r>
      </w:fldSimple>
    </w:p>
    <w:p w:rsidR="00421CDD" w:rsidRPr="006F1D04" w:rsidRDefault="00421CDD" w:rsidP="00C74851">
      <w:pPr>
        <w:spacing w:after="0"/>
        <w:rPr>
          <w:rFonts w:ascii="Arial" w:hAnsi="Arial" w:cs="Arial"/>
        </w:rPr>
      </w:pPr>
    </w:p>
    <w:p w:rsidR="00D176C1" w:rsidRPr="006F1D04" w:rsidRDefault="00D176C1" w:rsidP="00D176C1">
      <w:pPr>
        <w:spacing w:after="0"/>
        <w:rPr>
          <w:rFonts w:ascii="Arial" w:hAnsi="Arial" w:cs="Arial"/>
          <w:sz w:val="4"/>
          <w:szCs w:val="4"/>
        </w:rPr>
      </w:pPr>
    </w:p>
    <w:p w:rsidR="00713F9F" w:rsidRPr="006F1D04" w:rsidRDefault="006D7F17" w:rsidP="00713F9F">
      <w:pPr>
        <w:spacing w:after="100"/>
        <w:jc w:val="center"/>
        <w:rPr>
          <w:rFonts w:ascii="Arial" w:hAnsi="Arial" w:cs="Arial"/>
        </w:rPr>
      </w:pPr>
      <w:r w:rsidRPr="006F1D04">
        <w:rPr>
          <w:rFonts w:ascii="Arial" w:hAnsi="Arial" w:cs="Arial"/>
          <w:noProof/>
        </w:rPr>
        <w:lastRenderedPageBreak/>
        <w:drawing>
          <wp:inline distT="0" distB="0" distL="0" distR="0">
            <wp:extent cx="4667250" cy="3108960"/>
            <wp:effectExtent l="19050" t="19050" r="19050" b="1524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78" t="2061" r="2348"/>
                    <a:stretch>
                      <a:fillRect/>
                    </a:stretch>
                  </pic:blipFill>
                  <pic:spPr bwMode="auto">
                    <a:xfrm>
                      <a:off x="0" y="0"/>
                      <a:ext cx="4667250" cy="3108960"/>
                    </a:xfrm>
                    <a:prstGeom prst="rect">
                      <a:avLst/>
                    </a:prstGeom>
                    <a:noFill/>
                    <a:ln w="9525" cmpd="sng">
                      <a:solidFill>
                        <a:srgbClr val="0070C0"/>
                      </a:solidFill>
                      <a:miter lim="800000"/>
                      <a:headEnd/>
                      <a:tailEnd/>
                    </a:ln>
                    <a:effectLst/>
                  </pic:spPr>
                </pic:pic>
              </a:graphicData>
            </a:graphic>
          </wp:inline>
        </w:drawing>
      </w:r>
    </w:p>
    <w:p w:rsidR="00713F9F" w:rsidRPr="006F1D04" w:rsidRDefault="00713F9F" w:rsidP="00D176C1">
      <w:pPr>
        <w:pStyle w:val="Caption"/>
        <w:spacing w:before="0" w:after="0"/>
        <w:ind w:left="1560" w:right="1513"/>
        <w:rPr>
          <w:rFonts w:ascii="Arial" w:hAnsi="Arial" w:cs="Arial"/>
        </w:rPr>
      </w:pPr>
      <w:bookmarkStart w:id="180" w:name="_Ref359241342"/>
      <w:bookmarkStart w:id="181" w:name="_Ref359241341"/>
      <w:r w:rsidRPr="006F1D04">
        <w:rPr>
          <w:rFonts w:ascii="Arial" w:hAnsi="Arial" w:cs="Arial"/>
        </w:rPr>
        <w:t xml:space="preserve">Figure </w:t>
      </w:r>
      <w:r w:rsidR="00BF6019" w:rsidRPr="006F1D04">
        <w:rPr>
          <w:rFonts w:ascii="Arial" w:hAnsi="Arial" w:cs="Arial"/>
        </w:rPr>
        <w:fldChar w:fldCharType="begin"/>
      </w:r>
      <w:r w:rsidRPr="006F1D04">
        <w:rPr>
          <w:rFonts w:ascii="Arial" w:hAnsi="Arial" w:cs="Arial"/>
        </w:rPr>
        <w:instrText xml:space="preserve"> STYLEREF 1 \s </w:instrText>
      </w:r>
      <w:r w:rsidR="00BF6019" w:rsidRPr="006F1D04">
        <w:rPr>
          <w:rFonts w:ascii="Arial" w:hAnsi="Arial" w:cs="Arial"/>
        </w:rPr>
        <w:fldChar w:fldCharType="separate"/>
      </w:r>
      <w:r w:rsidR="0085182E">
        <w:rPr>
          <w:rFonts w:ascii="Arial" w:hAnsi="Arial" w:cs="Arial"/>
          <w:noProof/>
        </w:rPr>
        <w:t>8</w:t>
      </w:r>
      <w:r w:rsidR="00BF6019" w:rsidRPr="006F1D04">
        <w:rPr>
          <w:rFonts w:ascii="Arial" w:hAnsi="Arial" w:cs="Arial"/>
        </w:rPr>
        <w:fldChar w:fldCharType="end"/>
      </w:r>
      <w:r w:rsidRPr="006F1D04">
        <w:rPr>
          <w:rFonts w:ascii="Arial" w:hAnsi="Arial" w:cs="Arial"/>
        </w:rPr>
        <w:t>.</w:t>
      </w:r>
      <w:r w:rsidR="00BF6019" w:rsidRPr="006F1D04">
        <w:rPr>
          <w:rFonts w:ascii="Arial" w:hAnsi="Arial" w:cs="Arial"/>
        </w:rPr>
        <w:fldChar w:fldCharType="begin"/>
      </w:r>
      <w:r w:rsidRPr="006F1D04">
        <w:rPr>
          <w:rFonts w:ascii="Arial" w:hAnsi="Arial" w:cs="Arial"/>
        </w:rPr>
        <w:instrText xml:space="preserve"> SEQ Figure \* ARABIC \s 1 </w:instrText>
      </w:r>
      <w:r w:rsidR="00BF6019" w:rsidRPr="006F1D04">
        <w:rPr>
          <w:rFonts w:ascii="Arial" w:hAnsi="Arial" w:cs="Arial"/>
        </w:rPr>
        <w:fldChar w:fldCharType="separate"/>
      </w:r>
      <w:r w:rsidR="0085182E">
        <w:rPr>
          <w:rFonts w:ascii="Arial" w:hAnsi="Arial" w:cs="Arial"/>
          <w:noProof/>
        </w:rPr>
        <w:t>11</w:t>
      </w:r>
      <w:r w:rsidR="00BF6019" w:rsidRPr="006F1D04">
        <w:rPr>
          <w:rFonts w:ascii="Arial" w:hAnsi="Arial" w:cs="Arial"/>
        </w:rPr>
        <w:fldChar w:fldCharType="end"/>
      </w:r>
      <w:bookmarkEnd w:id="180"/>
      <w:r w:rsidRPr="006F1D04">
        <w:rPr>
          <w:rFonts w:ascii="Arial" w:hAnsi="Arial" w:cs="Arial"/>
        </w:rPr>
        <w:t>: National population-weighted annual mean PM</w:t>
      </w:r>
      <w:r w:rsidRPr="006F1D04">
        <w:rPr>
          <w:rFonts w:ascii="Arial" w:hAnsi="Arial" w:cs="Arial"/>
          <w:vertAlign w:val="subscript"/>
        </w:rPr>
        <w:t>2.5</w:t>
      </w:r>
      <w:r w:rsidRPr="006F1D04">
        <w:rPr>
          <w:rFonts w:ascii="Arial" w:hAnsi="Arial" w:cs="Arial"/>
        </w:rPr>
        <w:t xml:space="preserve"> concentration for BAU scenario and all feasible measures</w:t>
      </w:r>
      <w:bookmarkEnd w:id="181"/>
    </w:p>
    <w:p w:rsidR="00713F9F" w:rsidRPr="006F1D04" w:rsidRDefault="00713F9F" w:rsidP="00713F9F">
      <w:pPr>
        <w:rPr>
          <w:rFonts w:ascii="Arial" w:hAnsi="Arial" w:cs="Arial"/>
        </w:rPr>
      </w:pPr>
    </w:p>
    <w:p w:rsidR="000247CE" w:rsidRPr="006F1D04" w:rsidRDefault="000247CE" w:rsidP="000247CE">
      <w:pPr>
        <w:pStyle w:val="Caption"/>
        <w:rPr>
          <w:rFonts w:ascii="Arial" w:hAnsi="Arial" w:cs="Arial"/>
        </w:rPr>
      </w:pPr>
      <w:bookmarkStart w:id="182" w:name="_Ref368035901"/>
      <w:r w:rsidRPr="006F1D04">
        <w:rPr>
          <w:rFonts w:ascii="Arial" w:hAnsi="Arial" w:cs="Arial"/>
        </w:rPr>
        <w:t xml:space="preserve">Table </w:t>
      </w:r>
      <w:r w:rsidR="00BF6019" w:rsidRPr="006F1D04">
        <w:rPr>
          <w:rFonts w:ascii="Arial" w:hAnsi="Arial" w:cs="Arial"/>
        </w:rPr>
        <w:fldChar w:fldCharType="begin"/>
      </w:r>
      <w:r w:rsidRPr="006F1D04">
        <w:rPr>
          <w:rFonts w:ascii="Arial" w:hAnsi="Arial" w:cs="Arial"/>
        </w:rPr>
        <w:instrText xml:space="preserve"> STYLEREF 1 \s </w:instrText>
      </w:r>
      <w:r w:rsidR="00BF6019" w:rsidRPr="006F1D04">
        <w:rPr>
          <w:rFonts w:ascii="Arial" w:hAnsi="Arial" w:cs="Arial"/>
        </w:rPr>
        <w:fldChar w:fldCharType="separate"/>
      </w:r>
      <w:r w:rsidR="0085182E">
        <w:rPr>
          <w:rFonts w:ascii="Arial" w:hAnsi="Arial" w:cs="Arial"/>
          <w:noProof/>
        </w:rPr>
        <w:t>8</w:t>
      </w:r>
      <w:r w:rsidR="00BF6019" w:rsidRPr="006F1D04">
        <w:rPr>
          <w:rFonts w:ascii="Arial" w:hAnsi="Arial" w:cs="Arial"/>
        </w:rPr>
        <w:fldChar w:fldCharType="end"/>
      </w:r>
      <w:r w:rsidRPr="006F1D04">
        <w:rPr>
          <w:rFonts w:ascii="Arial" w:hAnsi="Arial" w:cs="Arial"/>
        </w:rPr>
        <w:t>.</w:t>
      </w:r>
      <w:r w:rsidR="00BF6019" w:rsidRPr="006F1D04">
        <w:rPr>
          <w:rFonts w:ascii="Arial" w:hAnsi="Arial" w:cs="Arial"/>
        </w:rPr>
        <w:fldChar w:fldCharType="begin"/>
      </w:r>
      <w:r w:rsidRPr="006F1D04">
        <w:rPr>
          <w:rFonts w:ascii="Arial" w:hAnsi="Arial" w:cs="Arial"/>
        </w:rPr>
        <w:instrText xml:space="preserve"> SEQ Table \* ARABIC \s 1 </w:instrText>
      </w:r>
      <w:r w:rsidR="00BF6019" w:rsidRPr="006F1D04">
        <w:rPr>
          <w:rFonts w:ascii="Arial" w:hAnsi="Arial" w:cs="Arial"/>
        </w:rPr>
        <w:fldChar w:fldCharType="separate"/>
      </w:r>
      <w:r w:rsidR="0085182E">
        <w:rPr>
          <w:rFonts w:ascii="Arial" w:hAnsi="Arial" w:cs="Arial"/>
          <w:noProof/>
        </w:rPr>
        <w:t>6</w:t>
      </w:r>
      <w:r w:rsidR="00BF6019" w:rsidRPr="006F1D04">
        <w:rPr>
          <w:rFonts w:ascii="Arial" w:hAnsi="Arial" w:cs="Arial"/>
        </w:rPr>
        <w:fldChar w:fldCharType="end"/>
      </w:r>
      <w:bookmarkEnd w:id="182"/>
      <w:r w:rsidRPr="006F1D04">
        <w:rPr>
          <w:rFonts w:ascii="Arial" w:hAnsi="Arial" w:cs="Arial"/>
        </w:rPr>
        <w:t xml:space="preserve">: </w:t>
      </w:r>
      <w:r w:rsidR="00BC4BA8" w:rsidRPr="006F1D04">
        <w:rPr>
          <w:rFonts w:ascii="Arial" w:hAnsi="Arial" w:cs="Arial"/>
        </w:rPr>
        <w:t>Summary of r</w:t>
      </w:r>
      <w:r w:rsidR="001014A1" w:rsidRPr="006F1D04">
        <w:rPr>
          <w:rFonts w:ascii="Arial" w:hAnsi="Arial" w:cs="Arial"/>
        </w:rPr>
        <w:t xml:space="preserve">esults of </w:t>
      </w:r>
      <w:r w:rsidR="00B13CFD" w:rsidRPr="006F1D04">
        <w:rPr>
          <w:rFonts w:ascii="Arial" w:hAnsi="Arial" w:cs="Arial"/>
        </w:rPr>
        <w:t xml:space="preserve">the </w:t>
      </w:r>
      <w:r w:rsidR="001014A1" w:rsidRPr="006F1D04">
        <w:rPr>
          <w:rFonts w:ascii="Arial" w:hAnsi="Arial" w:cs="Arial"/>
        </w:rPr>
        <w:t>Economic Analysis</w:t>
      </w:r>
    </w:p>
    <w:tbl>
      <w:tblPr>
        <w:tblW w:w="0" w:type="auto"/>
        <w:jc w:val="center"/>
        <w:tblLook w:val="00A0"/>
      </w:tblPr>
      <w:tblGrid>
        <w:gridCol w:w="1067"/>
        <w:gridCol w:w="1087"/>
        <w:gridCol w:w="4157"/>
        <w:gridCol w:w="1729"/>
      </w:tblGrid>
      <w:tr w:rsidR="000247CE" w:rsidRPr="006F1D04" w:rsidTr="00DE4099">
        <w:trPr>
          <w:trHeight w:val="463"/>
          <w:jc w:val="center"/>
        </w:trPr>
        <w:tc>
          <w:tcPr>
            <w:tcW w:w="1067"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0247CE" w:rsidRPr="006F1D04" w:rsidRDefault="00132D10" w:rsidP="000247CE">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Option</w:t>
            </w:r>
          </w:p>
        </w:tc>
        <w:tc>
          <w:tcPr>
            <w:tcW w:w="1087"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0247CE" w:rsidRPr="006F1D04" w:rsidRDefault="000247CE" w:rsidP="000247CE">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Sub-option</w:t>
            </w:r>
          </w:p>
        </w:tc>
        <w:tc>
          <w:tcPr>
            <w:tcW w:w="4157"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0247CE" w:rsidRPr="006F1D04" w:rsidRDefault="000247CE" w:rsidP="000247CE">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Feasibility in 2036</w:t>
            </w:r>
          </w:p>
        </w:tc>
        <w:tc>
          <w:tcPr>
            <w:tcW w:w="1729"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0247CE" w:rsidRPr="006F1D04" w:rsidRDefault="000247CE" w:rsidP="000247CE">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 xml:space="preserve">Net benefit </w:t>
            </w:r>
            <w:r w:rsidR="00B13CFD" w:rsidRPr="006F1D04">
              <w:rPr>
                <w:rFonts w:ascii="Arial" w:hAnsi="Arial" w:cs="Arial"/>
                <w:b/>
                <w:color w:val="FFFFFF"/>
                <w:sz w:val="15"/>
                <w:szCs w:val="15"/>
              </w:rPr>
              <w:br/>
            </w:r>
            <w:r w:rsidRPr="006F1D04">
              <w:rPr>
                <w:rFonts w:ascii="Arial" w:hAnsi="Arial" w:cs="Arial"/>
                <w:b/>
                <w:color w:val="FFFFFF"/>
                <w:sz w:val="15"/>
                <w:szCs w:val="15"/>
              </w:rPr>
              <w:t>($ at 2011 prices)</w:t>
            </w:r>
            <w:r w:rsidR="00BC4BA8" w:rsidRPr="006F1D04">
              <w:rPr>
                <w:rFonts w:ascii="Arial" w:hAnsi="Arial" w:cs="Arial"/>
                <w:b/>
                <w:color w:val="FFFFFF"/>
                <w:sz w:val="15"/>
                <w:szCs w:val="15"/>
                <w:vertAlign w:val="superscript"/>
              </w:rPr>
              <w:t>(</w:t>
            </w:r>
            <w:proofErr w:type="spellStart"/>
            <w:r w:rsidR="00BC4BA8" w:rsidRPr="006F1D04">
              <w:rPr>
                <w:rFonts w:ascii="Arial" w:hAnsi="Arial" w:cs="Arial"/>
                <w:b/>
                <w:color w:val="FFFFFF"/>
                <w:sz w:val="15"/>
                <w:szCs w:val="15"/>
                <w:vertAlign w:val="superscript"/>
              </w:rPr>
              <w:t>a</w:t>
            </w:r>
            <w:r w:rsidR="009E3030" w:rsidRPr="006F1D04">
              <w:rPr>
                <w:rFonts w:ascii="Arial" w:hAnsi="Arial" w:cs="Arial"/>
                <w:b/>
                <w:color w:val="FFFFFF"/>
                <w:sz w:val="15"/>
                <w:szCs w:val="15"/>
                <w:vertAlign w:val="superscript"/>
              </w:rPr>
              <w:t>,b</w:t>
            </w:r>
            <w:proofErr w:type="spellEnd"/>
            <w:r w:rsidR="00BC4BA8" w:rsidRPr="006F1D04">
              <w:rPr>
                <w:rFonts w:ascii="Arial" w:hAnsi="Arial" w:cs="Arial"/>
                <w:b/>
                <w:color w:val="FFFFFF"/>
                <w:sz w:val="15"/>
                <w:szCs w:val="15"/>
                <w:vertAlign w:val="superscript"/>
              </w:rPr>
              <w:t>)</w:t>
            </w:r>
          </w:p>
        </w:tc>
      </w:tr>
      <w:tr w:rsidR="000247CE" w:rsidRPr="006F1D04" w:rsidTr="00DE4099">
        <w:trPr>
          <w:trHeight w:hRule="exact" w:val="340"/>
          <w:jc w:val="center"/>
        </w:trPr>
        <w:tc>
          <w:tcPr>
            <w:tcW w:w="1067" w:type="dxa"/>
            <w:vMerge w:val="restart"/>
            <w:tcBorders>
              <w:top w:val="single" w:sz="4" w:space="0" w:color="0070C0"/>
              <w:left w:val="single"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r w:rsidRPr="006F1D04">
              <w:rPr>
                <w:rFonts w:ascii="Arial" w:hAnsi="Arial" w:cs="Arial"/>
                <w:sz w:val="15"/>
                <w:szCs w:val="15"/>
              </w:rPr>
              <w:t>PM</w:t>
            </w:r>
            <w:r w:rsidRPr="006F1D04">
              <w:rPr>
                <w:rFonts w:ascii="Arial" w:hAnsi="Arial" w:cs="Arial"/>
                <w:sz w:val="15"/>
                <w:szCs w:val="15"/>
                <w:vertAlign w:val="subscript"/>
              </w:rPr>
              <w:t>10</w:t>
            </w:r>
          </w:p>
          <w:p w:rsidR="000247CE" w:rsidRPr="006F1D04" w:rsidRDefault="000247CE" w:rsidP="00067FD6">
            <w:pPr>
              <w:spacing w:after="0" w:line="240" w:lineRule="auto"/>
              <w:jc w:val="center"/>
              <w:rPr>
                <w:rFonts w:ascii="Arial" w:hAnsi="Arial" w:cs="Arial"/>
                <w:sz w:val="15"/>
                <w:szCs w:val="15"/>
              </w:rPr>
            </w:pPr>
            <w:r w:rsidRPr="006F1D04">
              <w:rPr>
                <w:rFonts w:ascii="Arial" w:hAnsi="Arial" w:cs="Arial"/>
                <w:sz w:val="15"/>
                <w:szCs w:val="15"/>
              </w:rPr>
              <w:t>annual mean</w:t>
            </w:r>
          </w:p>
        </w:tc>
        <w:tc>
          <w:tcPr>
            <w:tcW w:w="1087" w:type="dxa"/>
            <w:tcBorders>
              <w:top w:val="single" w:sz="4" w:space="0" w:color="0070C0"/>
              <w:left w:val="single" w:sz="4" w:space="0" w:color="0070C0"/>
              <w:bottom w:val="dotted"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r w:rsidRPr="006F1D04">
              <w:rPr>
                <w:rFonts w:ascii="Arial" w:hAnsi="Arial" w:cs="Arial"/>
                <w:sz w:val="15"/>
                <w:szCs w:val="15"/>
              </w:rPr>
              <w:t>A20PM</w:t>
            </w:r>
            <w:r w:rsidRPr="006F1D04">
              <w:rPr>
                <w:rFonts w:ascii="Arial" w:hAnsi="Arial" w:cs="Arial"/>
                <w:sz w:val="15"/>
                <w:szCs w:val="15"/>
                <w:vertAlign w:val="subscript"/>
              </w:rPr>
              <w:t>10</w:t>
            </w:r>
          </w:p>
        </w:tc>
        <w:tc>
          <w:tcPr>
            <w:tcW w:w="4157" w:type="dxa"/>
            <w:tcBorders>
              <w:top w:val="single" w:sz="4" w:space="0" w:color="0070C0"/>
              <w:left w:val="single" w:sz="4" w:space="0" w:color="0070C0"/>
              <w:bottom w:val="dotted" w:sz="4" w:space="0" w:color="0070C0"/>
              <w:right w:val="single" w:sz="4" w:space="0" w:color="0070C0"/>
            </w:tcBorders>
            <w:vAlign w:val="center"/>
          </w:tcPr>
          <w:p w:rsidR="000247CE" w:rsidRPr="006F1D04" w:rsidRDefault="000247CE" w:rsidP="000247CE">
            <w:pPr>
              <w:spacing w:after="0" w:line="240" w:lineRule="auto"/>
              <w:jc w:val="center"/>
              <w:rPr>
                <w:rFonts w:ascii="Arial" w:hAnsi="Arial" w:cs="Arial"/>
                <w:sz w:val="15"/>
                <w:szCs w:val="15"/>
              </w:rPr>
            </w:pPr>
            <w:r w:rsidRPr="006F1D04">
              <w:rPr>
                <w:rFonts w:ascii="Arial" w:hAnsi="Arial" w:cs="Arial"/>
                <w:sz w:val="15"/>
                <w:szCs w:val="15"/>
              </w:rPr>
              <w:t>Feasible</w:t>
            </w:r>
          </w:p>
        </w:tc>
        <w:tc>
          <w:tcPr>
            <w:tcW w:w="1729" w:type="dxa"/>
            <w:tcBorders>
              <w:top w:val="single" w:sz="4" w:space="0" w:color="0070C0"/>
              <w:left w:val="single" w:sz="4" w:space="0" w:color="0070C0"/>
              <w:bottom w:val="dotted" w:sz="4" w:space="0" w:color="0070C0"/>
              <w:right w:val="single" w:sz="4" w:space="0" w:color="0070C0"/>
            </w:tcBorders>
            <w:vAlign w:val="center"/>
          </w:tcPr>
          <w:p w:rsidR="000247CE" w:rsidRPr="006F1D04" w:rsidRDefault="000247CE" w:rsidP="000247CE">
            <w:pPr>
              <w:spacing w:after="0" w:line="240" w:lineRule="auto"/>
              <w:jc w:val="center"/>
              <w:rPr>
                <w:rFonts w:ascii="Arial" w:hAnsi="Arial" w:cs="Arial"/>
                <w:sz w:val="15"/>
                <w:szCs w:val="15"/>
              </w:rPr>
            </w:pPr>
            <w:r w:rsidRPr="006F1D04">
              <w:rPr>
                <w:rFonts w:ascii="Arial" w:hAnsi="Arial" w:cs="Arial"/>
                <w:sz w:val="15"/>
                <w:szCs w:val="15"/>
              </w:rPr>
              <w:t>$6.4 billion</w:t>
            </w:r>
          </w:p>
        </w:tc>
      </w:tr>
      <w:tr w:rsidR="000247CE" w:rsidRPr="006F1D04" w:rsidTr="00DE4099">
        <w:trPr>
          <w:trHeight w:hRule="exact" w:val="680"/>
          <w:jc w:val="center"/>
        </w:trPr>
        <w:tc>
          <w:tcPr>
            <w:tcW w:w="1067" w:type="dxa"/>
            <w:vMerge/>
            <w:tcBorders>
              <w:left w:val="single"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p>
        </w:tc>
        <w:tc>
          <w:tcPr>
            <w:tcW w:w="1087" w:type="dxa"/>
            <w:tcBorders>
              <w:top w:val="dotted" w:sz="4" w:space="0" w:color="0070C0"/>
              <w:left w:val="single" w:sz="4" w:space="0" w:color="0070C0"/>
              <w:bottom w:val="dotted"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r w:rsidRPr="006F1D04">
              <w:rPr>
                <w:rFonts w:ascii="Arial" w:hAnsi="Arial" w:cs="Arial"/>
                <w:sz w:val="15"/>
                <w:szCs w:val="15"/>
              </w:rPr>
              <w:t>A16PM</w:t>
            </w:r>
            <w:r w:rsidRPr="006F1D04">
              <w:rPr>
                <w:rFonts w:ascii="Arial" w:hAnsi="Arial" w:cs="Arial"/>
                <w:sz w:val="15"/>
                <w:szCs w:val="15"/>
                <w:vertAlign w:val="subscript"/>
              </w:rPr>
              <w:t>10</w:t>
            </w:r>
          </w:p>
        </w:tc>
        <w:tc>
          <w:tcPr>
            <w:tcW w:w="4157" w:type="dxa"/>
            <w:tcBorders>
              <w:top w:val="dotted" w:sz="4" w:space="0" w:color="0070C0"/>
              <w:left w:val="single" w:sz="4" w:space="0" w:color="0070C0"/>
              <w:bottom w:val="dotted" w:sz="4" w:space="0" w:color="0070C0"/>
              <w:right w:val="single" w:sz="4" w:space="0" w:color="0070C0"/>
            </w:tcBorders>
            <w:vAlign w:val="center"/>
          </w:tcPr>
          <w:p w:rsidR="000247CE" w:rsidRPr="006F1D04" w:rsidRDefault="000247CE" w:rsidP="000247CE">
            <w:pPr>
              <w:spacing w:after="0" w:line="240" w:lineRule="auto"/>
              <w:jc w:val="center"/>
              <w:rPr>
                <w:rFonts w:ascii="Arial" w:hAnsi="Arial" w:cs="Arial"/>
                <w:sz w:val="15"/>
                <w:szCs w:val="15"/>
              </w:rPr>
            </w:pPr>
            <w:r w:rsidRPr="006F1D04">
              <w:rPr>
                <w:rFonts w:ascii="Arial" w:hAnsi="Arial" w:cs="Arial"/>
                <w:sz w:val="15"/>
                <w:szCs w:val="15"/>
              </w:rPr>
              <w:t>Unlikely given the large reductions in emissions that would be required in several jurisdictions over and above those associated with national measures</w:t>
            </w:r>
          </w:p>
        </w:tc>
        <w:tc>
          <w:tcPr>
            <w:tcW w:w="1729" w:type="dxa"/>
            <w:tcBorders>
              <w:top w:val="dotted" w:sz="4" w:space="0" w:color="0070C0"/>
              <w:left w:val="single" w:sz="4" w:space="0" w:color="0070C0"/>
              <w:bottom w:val="dotted" w:sz="4" w:space="0" w:color="0070C0"/>
              <w:right w:val="single" w:sz="4" w:space="0" w:color="0070C0"/>
            </w:tcBorders>
            <w:vAlign w:val="center"/>
          </w:tcPr>
          <w:p w:rsidR="000247CE" w:rsidRPr="006F1D04" w:rsidRDefault="000247CE" w:rsidP="000247CE">
            <w:pPr>
              <w:spacing w:after="0" w:line="240" w:lineRule="auto"/>
              <w:jc w:val="center"/>
              <w:rPr>
                <w:rFonts w:ascii="Arial" w:hAnsi="Arial" w:cs="Arial"/>
                <w:sz w:val="15"/>
                <w:szCs w:val="15"/>
              </w:rPr>
            </w:pPr>
            <w:r w:rsidRPr="006F1D04">
              <w:rPr>
                <w:rFonts w:ascii="Arial" w:hAnsi="Arial" w:cs="Arial"/>
                <w:sz w:val="15"/>
                <w:szCs w:val="15"/>
              </w:rPr>
              <w:t>Not calculated</w:t>
            </w:r>
          </w:p>
        </w:tc>
      </w:tr>
      <w:tr w:rsidR="000247CE" w:rsidRPr="006F1D04" w:rsidTr="00DE4099">
        <w:trPr>
          <w:trHeight w:hRule="exact" w:val="680"/>
          <w:jc w:val="center"/>
        </w:trPr>
        <w:tc>
          <w:tcPr>
            <w:tcW w:w="1067" w:type="dxa"/>
            <w:vMerge/>
            <w:tcBorders>
              <w:left w:val="single" w:sz="4" w:space="0" w:color="0070C0"/>
              <w:bottom w:val="single"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p>
        </w:tc>
        <w:tc>
          <w:tcPr>
            <w:tcW w:w="1087" w:type="dxa"/>
            <w:tcBorders>
              <w:top w:val="dotted" w:sz="4" w:space="0" w:color="0070C0"/>
              <w:left w:val="single" w:sz="4" w:space="0" w:color="0070C0"/>
              <w:bottom w:val="single"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r w:rsidRPr="006F1D04">
              <w:rPr>
                <w:rFonts w:ascii="Arial" w:hAnsi="Arial" w:cs="Arial"/>
                <w:sz w:val="15"/>
                <w:szCs w:val="15"/>
              </w:rPr>
              <w:t>A12PM</w:t>
            </w:r>
            <w:r w:rsidRPr="006F1D04">
              <w:rPr>
                <w:rFonts w:ascii="Arial" w:hAnsi="Arial" w:cs="Arial"/>
                <w:sz w:val="15"/>
                <w:szCs w:val="15"/>
                <w:vertAlign w:val="subscript"/>
              </w:rPr>
              <w:t>10</w:t>
            </w:r>
          </w:p>
        </w:tc>
        <w:tc>
          <w:tcPr>
            <w:tcW w:w="4157" w:type="dxa"/>
            <w:tcBorders>
              <w:top w:val="dotted" w:sz="4" w:space="0" w:color="0070C0"/>
              <w:left w:val="single" w:sz="4" w:space="0" w:color="0070C0"/>
              <w:bottom w:val="single" w:sz="4" w:space="0" w:color="0070C0"/>
              <w:right w:val="single" w:sz="4" w:space="0" w:color="0070C0"/>
            </w:tcBorders>
            <w:vAlign w:val="center"/>
          </w:tcPr>
          <w:p w:rsidR="000247CE" w:rsidRPr="006F1D04" w:rsidRDefault="000247CE" w:rsidP="000247CE">
            <w:pPr>
              <w:spacing w:after="0" w:line="240" w:lineRule="auto"/>
              <w:jc w:val="center"/>
              <w:rPr>
                <w:rFonts w:ascii="Arial" w:hAnsi="Arial" w:cs="Arial"/>
                <w:sz w:val="15"/>
                <w:szCs w:val="15"/>
              </w:rPr>
            </w:pPr>
            <w:r w:rsidRPr="006F1D04">
              <w:rPr>
                <w:rFonts w:ascii="Arial" w:hAnsi="Arial" w:cs="Arial"/>
                <w:sz w:val="15"/>
                <w:szCs w:val="15"/>
              </w:rPr>
              <w:t>Unfeasible in most jurisdictions because standard is very close to or below regional background concentration</w:t>
            </w:r>
          </w:p>
        </w:tc>
        <w:tc>
          <w:tcPr>
            <w:tcW w:w="1729" w:type="dxa"/>
            <w:tcBorders>
              <w:top w:val="dotted" w:sz="4" w:space="0" w:color="0070C0"/>
              <w:left w:val="single" w:sz="4" w:space="0" w:color="0070C0"/>
              <w:bottom w:val="single" w:sz="4" w:space="0" w:color="0070C0"/>
              <w:right w:val="single" w:sz="4" w:space="0" w:color="0070C0"/>
            </w:tcBorders>
            <w:vAlign w:val="center"/>
          </w:tcPr>
          <w:p w:rsidR="000247CE" w:rsidRPr="006F1D04" w:rsidRDefault="000247CE" w:rsidP="000247CE">
            <w:pPr>
              <w:spacing w:after="0" w:line="240" w:lineRule="auto"/>
              <w:jc w:val="center"/>
              <w:rPr>
                <w:rFonts w:ascii="Arial" w:hAnsi="Arial" w:cs="Arial"/>
                <w:sz w:val="15"/>
                <w:szCs w:val="15"/>
              </w:rPr>
            </w:pPr>
            <w:r w:rsidRPr="006F1D04">
              <w:rPr>
                <w:rFonts w:ascii="Arial" w:hAnsi="Arial" w:cs="Arial"/>
                <w:sz w:val="15"/>
                <w:szCs w:val="15"/>
              </w:rPr>
              <w:t>Not calculated</w:t>
            </w:r>
          </w:p>
        </w:tc>
      </w:tr>
      <w:tr w:rsidR="000247CE" w:rsidRPr="006F1D04" w:rsidTr="00DE4099">
        <w:trPr>
          <w:trHeight w:hRule="exact" w:val="340"/>
          <w:jc w:val="center"/>
        </w:trPr>
        <w:tc>
          <w:tcPr>
            <w:tcW w:w="1067" w:type="dxa"/>
            <w:vMerge w:val="restart"/>
            <w:tcBorders>
              <w:top w:val="single" w:sz="4" w:space="0" w:color="0070C0"/>
              <w:left w:val="single"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r w:rsidRPr="006F1D04">
              <w:rPr>
                <w:rFonts w:ascii="Arial" w:hAnsi="Arial" w:cs="Arial"/>
                <w:sz w:val="15"/>
                <w:szCs w:val="15"/>
              </w:rPr>
              <w:t>PM</w:t>
            </w:r>
            <w:r w:rsidRPr="006F1D04">
              <w:rPr>
                <w:rFonts w:ascii="Arial" w:hAnsi="Arial" w:cs="Arial"/>
                <w:sz w:val="15"/>
                <w:szCs w:val="15"/>
                <w:vertAlign w:val="subscript"/>
              </w:rPr>
              <w:t>10</w:t>
            </w:r>
          </w:p>
          <w:p w:rsidR="000247CE" w:rsidRPr="006F1D04" w:rsidRDefault="000247CE" w:rsidP="00067FD6">
            <w:pPr>
              <w:spacing w:after="0" w:line="240" w:lineRule="auto"/>
              <w:jc w:val="center"/>
              <w:rPr>
                <w:rFonts w:ascii="Arial" w:hAnsi="Arial" w:cs="Arial"/>
                <w:sz w:val="15"/>
                <w:szCs w:val="15"/>
              </w:rPr>
            </w:pPr>
            <w:r w:rsidRPr="006F1D04">
              <w:rPr>
                <w:rFonts w:ascii="Arial" w:hAnsi="Arial" w:cs="Arial"/>
                <w:sz w:val="15"/>
                <w:szCs w:val="15"/>
              </w:rPr>
              <w:t>24-hour mean</w:t>
            </w:r>
          </w:p>
        </w:tc>
        <w:tc>
          <w:tcPr>
            <w:tcW w:w="1087" w:type="dxa"/>
            <w:tcBorders>
              <w:top w:val="single" w:sz="4" w:space="0" w:color="0070C0"/>
              <w:left w:val="single" w:sz="4" w:space="0" w:color="0070C0"/>
              <w:bottom w:val="dotted"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r w:rsidRPr="006F1D04">
              <w:rPr>
                <w:rFonts w:ascii="Arial" w:hAnsi="Arial" w:cs="Arial"/>
                <w:sz w:val="15"/>
                <w:szCs w:val="15"/>
              </w:rPr>
              <w:t>D50PM</w:t>
            </w:r>
            <w:r w:rsidRPr="006F1D04">
              <w:rPr>
                <w:rFonts w:ascii="Arial" w:hAnsi="Arial" w:cs="Arial"/>
                <w:sz w:val="15"/>
                <w:szCs w:val="15"/>
                <w:vertAlign w:val="subscript"/>
              </w:rPr>
              <w:t>10</w:t>
            </w:r>
          </w:p>
        </w:tc>
        <w:tc>
          <w:tcPr>
            <w:tcW w:w="4157" w:type="dxa"/>
            <w:tcBorders>
              <w:top w:val="single" w:sz="4" w:space="0" w:color="0070C0"/>
              <w:left w:val="single" w:sz="4" w:space="0" w:color="0070C0"/>
              <w:bottom w:val="dotted" w:sz="4" w:space="0" w:color="0070C0"/>
              <w:right w:val="single" w:sz="4" w:space="0" w:color="0070C0"/>
            </w:tcBorders>
            <w:vAlign w:val="center"/>
          </w:tcPr>
          <w:p w:rsidR="000247CE" w:rsidRPr="006F1D04" w:rsidRDefault="000247CE" w:rsidP="000247CE">
            <w:pPr>
              <w:spacing w:after="0" w:line="240" w:lineRule="auto"/>
              <w:jc w:val="center"/>
              <w:rPr>
                <w:rFonts w:ascii="Arial" w:hAnsi="Arial" w:cs="Arial"/>
                <w:b/>
                <w:sz w:val="15"/>
                <w:szCs w:val="15"/>
              </w:rPr>
            </w:pPr>
            <w:r w:rsidRPr="006F1D04">
              <w:rPr>
                <w:rFonts w:ascii="Arial" w:hAnsi="Arial" w:cs="Arial"/>
                <w:sz w:val="15"/>
                <w:szCs w:val="15"/>
              </w:rPr>
              <w:t>Already compliant</w:t>
            </w:r>
          </w:p>
        </w:tc>
        <w:tc>
          <w:tcPr>
            <w:tcW w:w="1729" w:type="dxa"/>
            <w:tcBorders>
              <w:top w:val="single" w:sz="4" w:space="0" w:color="0070C0"/>
              <w:left w:val="single" w:sz="4" w:space="0" w:color="0070C0"/>
              <w:bottom w:val="dotted" w:sz="4" w:space="0" w:color="0070C0"/>
              <w:right w:val="single" w:sz="4" w:space="0" w:color="0070C0"/>
            </w:tcBorders>
            <w:vAlign w:val="center"/>
          </w:tcPr>
          <w:p w:rsidR="000247CE" w:rsidRPr="006F1D04" w:rsidRDefault="000247CE" w:rsidP="000247CE">
            <w:pPr>
              <w:spacing w:after="0" w:line="240" w:lineRule="auto"/>
              <w:jc w:val="center"/>
              <w:rPr>
                <w:rFonts w:ascii="Arial" w:hAnsi="Arial" w:cs="Arial"/>
                <w:b/>
                <w:sz w:val="15"/>
                <w:szCs w:val="15"/>
              </w:rPr>
            </w:pPr>
            <w:r w:rsidRPr="006F1D04">
              <w:rPr>
                <w:rFonts w:ascii="Arial" w:hAnsi="Arial" w:cs="Arial"/>
                <w:sz w:val="15"/>
                <w:szCs w:val="15"/>
              </w:rPr>
              <w:t>Not calculated</w:t>
            </w:r>
          </w:p>
        </w:tc>
      </w:tr>
      <w:tr w:rsidR="000247CE" w:rsidRPr="006F1D04" w:rsidTr="00DE4099">
        <w:trPr>
          <w:trHeight w:hRule="exact" w:val="340"/>
          <w:jc w:val="center"/>
        </w:trPr>
        <w:tc>
          <w:tcPr>
            <w:tcW w:w="1067" w:type="dxa"/>
            <w:vMerge/>
            <w:tcBorders>
              <w:left w:val="single"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p>
        </w:tc>
        <w:tc>
          <w:tcPr>
            <w:tcW w:w="1087" w:type="dxa"/>
            <w:tcBorders>
              <w:top w:val="dotted" w:sz="4" w:space="0" w:color="0070C0"/>
              <w:left w:val="single" w:sz="4" w:space="0" w:color="0070C0"/>
              <w:bottom w:val="dotted"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r w:rsidRPr="006F1D04">
              <w:rPr>
                <w:rFonts w:ascii="Arial" w:hAnsi="Arial" w:cs="Arial"/>
                <w:sz w:val="15"/>
                <w:szCs w:val="15"/>
              </w:rPr>
              <w:t>D40PM</w:t>
            </w:r>
            <w:r w:rsidRPr="006F1D04">
              <w:rPr>
                <w:rFonts w:ascii="Arial" w:hAnsi="Arial" w:cs="Arial"/>
                <w:sz w:val="15"/>
                <w:szCs w:val="15"/>
                <w:vertAlign w:val="subscript"/>
              </w:rPr>
              <w:t>10</w:t>
            </w:r>
          </w:p>
        </w:tc>
        <w:tc>
          <w:tcPr>
            <w:tcW w:w="4157" w:type="dxa"/>
            <w:tcBorders>
              <w:top w:val="dotted" w:sz="4" w:space="0" w:color="0070C0"/>
              <w:left w:val="single" w:sz="4" w:space="0" w:color="0070C0"/>
              <w:bottom w:val="dotted" w:sz="4" w:space="0" w:color="0070C0"/>
              <w:right w:val="single" w:sz="4" w:space="0" w:color="0070C0"/>
            </w:tcBorders>
            <w:vAlign w:val="center"/>
          </w:tcPr>
          <w:p w:rsidR="000247CE" w:rsidRPr="006F1D04" w:rsidRDefault="000247CE" w:rsidP="000247CE">
            <w:pPr>
              <w:spacing w:after="0" w:line="240" w:lineRule="auto"/>
              <w:jc w:val="center"/>
              <w:rPr>
                <w:rFonts w:ascii="Arial" w:hAnsi="Arial" w:cs="Arial"/>
                <w:sz w:val="15"/>
                <w:szCs w:val="15"/>
              </w:rPr>
            </w:pPr>
            <w:r w:rsidRPr="006F1D04">
              <w:rPr>
                <w:rFonts w:ascii="Arial" w:hAnsi="Arial" w:cs="Arial"/>
                <w:sz w:val="15"/>
                <w:szCs w:val="15"/>
              </w:rPr>
              <w:t>Feasible</w:t>
            </w:r>
          </w:p>
        </w:tc>
        <w:tc>
          <w:tcPr>
            <w:tcW w:w="1729" w:type="dxa"/>
            <w:tcBorders>
              <w:top w:val="dotted" w:sz="4" w:space="0" w:color="0070C0"/>
              <w:left w:val="single" w:sz="4" w:space="0" w:color="0070C0"/>
              <w:bottom w:val="dotted" w:sz="4" w:space="0" w:color="0070C0"/>
              <w:right w:val="single" w:sz="4" w:space="0" w:color="0070C0"/>
            </w:tcBorders>
            <w:vAlign w:val="center"/>
          </w:tcPr>
          <w:p w:rsidR="000247CE" w:rsidRPr="006F1D04" w:rsidRDefault="000247CE" w:rsidP="000247CE">
            <w:pPr>
              <w:spacing w:after="0" w:line="240" w:lineRule="auto"/>
              <w:jc w:val="center"/>
              <w:rPr>
                <w:rFonts w:ascii="Arial" w:hAnsi="Arial" w:cs="Arial"/>
                <w:sz w:val="15"/>
                <w:szCs w:val="15"/>
              </w:rPr>
            </w:pPr>
            <w:r w:rsidRPr="006F1D04">
              <w:rPr>
                <w:rFonts w:ascii="Arial" w:hAnsi="Arial" w:cs="Arial"/>
                <w:sz w:val="15"/>
                <w:szCs w:val="15"/>
              </w:rPr>
              <w:t>$6.6 billion</w:t>
            </w:r>
          </w:p>
        </w:tc>
      </w:tr>
      <w:tr w:rsidR="000247CE" w:rsidRPr="006F1D04" w:rsidTr="00DE4099">
        <w:trPr>
          <w:trHeight w:hRule="exact" w:val="650"/>
          <w:jc w:val="center"/>
        </w:trPr>
        <w:tc>
          <w:tcPr>
            <w:tcW w:w="1067" w:type="dxa"/>
            <w:vMerge/>
            <w:tcBorders>
              <w:left w:val="single" w:sz="4" w:space="0" w:color="0070C0"/>
              <w:bottom w:val="single"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p>
        </w:tc>
        <w:tc>
          <w:tcPr>
            <w:tcW w:w="1087" w:type="dxa"/>
            <w:tcBorders>
              <w:top w:val="dotted" w:sz="4" w:space="0" w:color="0070C0"/>
              <w:left w:val="single" w:sz="4" w:space="0" w:color="0070C0"/>
              <w:bottom w:val="single"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r w:rsidRPr="006F1D04">
              <w:rPr>
                <w:rFonts w:ascii="Arial" w:hAnsi="Arial" w:cs="Arial"/>
                <w:sz w:val="15"/>
                <w:szCs w:val="15"/>
              </w:rPr>
              <w:t>D30PM</w:t>
            </w:r>
            <w:r w:rsidRPr="006F1D04">
              <w:rPr>
                <w:rFonts w:ascii="Arial" w:hAnsi="Arial" w:cs="Arial"/>
                <w:sz w:val="15"/>
                <w:szCs w:val="15"/>
                <w:vertAlign w:val="subscript"/>
              </w:rPr>
              <w:t>10</w:t>
            </w:r>
          </w:p>
        </w:tc>
        <w:tc>
          <w:tcPr>
            <w:tcW w:w="4157" w:type="dxa"/>
            <w:tcBorders>
              <w:top w:val="dotted" w:sz="4" w:space="0" w:color="0070C0"/>
              <w:left w:val="single" w:sz="4" w:space="0" w:color="0070C0"/>
              <w:bottom w:val="single"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r w:rsidRPr="006F1D04">
              <w:rPr>
                <w:rFonts w:ascii="Arial" w:hAnsi="Arial" w:cs="Arial"/>
                <w:sz w:val="15"/>
                <w:szCs w:val="15"/>
              </w:rPr>
              <w:t>Unfeasible in most jurisdictions because standard is very close to or below regional background concentration</w:t>
            </w:r>
          </w:p>
        </w:tc>
        <w:tc>
          <w:tcPr>
            <w:tcW w:w="1729" w:type="dxa"/>
            <w:tcBorders>
              <w:top w:val="dotted" w:sz="4" w:space="0" w:color="0070C0"/>
              <w:left w:val="single" w:sz="4" w:space="0" w:color="0070C0"/>
              <w:bottom w:val="single"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r w:rsidRPr="006F1D04">
              <w:rPr>
                <w:rFonts w:ascii="Arial" w:hAnsi="Arial" w:cs="Arial"/>
                <w:sz w:val="15"/>
                <w:szCs w:val="15"/>
              </w:rPr>
              <w:t>Not calculated</w:t>
            </w:r>
          </w:p>
        </w:tc>
      </w:tr>
      <w:tr w:rsidR="000247CE" w:rsidRPr="006F1D04" w:rsidTr="00DE4099">
        <w:trPr>
          <w:trHeight w:hRule="exact" w:val="340"/>
          <w:jc w:val="center"/>
        </w:trPr>
        <w:tc>
          <w:tcPr>
            <w:tcW w:w="1067" w:type="dxa"/>
            <w:vMerge w:val="restart"/>
            <w:tcBorders>
              <w:top w:val="single" w:sz="4" w:space="0" w:color="0070C0"/>
              <w:left w:val="single" w:sz="4" w:space="0" w:color="0070C0"/>
              <w:bottom w:val="single"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r w:rsidRPr="006F1D04">
              <w:rPr>
                <w:rFonts w:ascii="Arial" w:hAnsi="Arial" w:cs="Arial"/>
                <w:sz w:val="15"/>
                <w:szCs w:val="15"/>
              </w:rPr>
              <w:t>PM</w:t>
            </w:r>
            <w:r w:rsidRPr="006F1D04">
              <w:rPr>
                <w:rFonts w:ascii="Arial" w:hAnsi="Arial" w:cs="Arial"/>
                <w:sz w:val="15"/>
                <w:szCs w:val="15"/>
                <w:vertAlign w:val="subscript"/>
              </w:rPr>
              <w:t>2.5</w:t>
            </w:r>
          </w:p>
          <w:p w:rsidR="000247CE" w:rsidRPr="006F1D04" w:rsidRDefault="000247CE" w:rsidP="00067FD6">
            <w:pPr>
              <w:spacing w:after="0" w:line="240" w:lineRule="auto"/>
              <w:jc w:val="center"/>
              <w:rPr>
                <w:rFonts w:ascii="Arial" w:hAnsi="Arial" w:cs="Arial"/>
                <w:sz w:val="15"/>
                <w:szCs w:val="15"/>
              </w:rPr>
            </w:pPr>
            <w:r w:rsidRPr="006F1D04">
              <w:rPr>
                <w:rFonts w:ascii="Arial" w:hAnsi="Arial" w:cs="Arial"/>
                <w:sz w:val="15"/>
                <w:szCs w:val="15"/>
              </w:rPr>
              <w:t>annual mean</w:t>
            </w:r>
          </w:p>
        </w:tc>
        <w:tc>
          <w:tcPr>
            <w:tcW w:w="1087" w:type="dxa"/>
            <w:tcBorders>
              <w:top w:val="single" w:sz="4" w:space="0" w:color="0070C0"/>
              <w:left w:val="single" w:sz="4" w:space="0" w:color="0070C0"/>
              <w:bottom w:val="dotted"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r w:rsidRPr="006F1D04">
              <w:rPr>
                <w:rFonts w:ascii="Arial" w:hAnsi="Arial" w:cs="Arial"/>
                <w:sz w:val="15"/>
                <w:szCs w:val="15"/>
              </w:rPr>
              <w:t>A10PM</w:t>
            </w:r>
            <w:r w:rsidRPr="006F1D04">
              <w:rPr>
                <w:rFonts w:ascii="Arial" w:hAnsi="Arial" w:cs="Arial"/>
                <w:sz w:val="15"/>
                <w:szCs w:val="15"/>
                <w:vertAlign w:val="subscript"/>
              </w:rPr>
              <w:t>2.5</w:t>
            </w:r>
          </w:p>
        </w:tc>
        <w:tc>
          <w:tcPr>
            <w:tcW w:w="4157" w:type="dxa"/>
            <w:tcBorders>
              <w:top w:val="single" w:sz="4" w:space="0" w:color="0070C0"/>
              <w:left w:val="single" w:sz="4" w:space="0" w:color="0070C0"/>
              <w:bottom w:val="dotted"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b/>
                <w:sz w:val="15"/>
                <w:szCs w:val="15"/>
              </w:rPr>
            </w:pPr>
            <w:r w:rsidRPr="006F1D04">
              <w:rPr>
                <w:rFonts w:ascii="Arial" w:hAnsi="Arial" w:cs="Arial"/>
                <w:sz w:val="15"/>
                <w:szCs w:val="15"/>
              </w:rPr>
              <w:t>Already compliant</w:t>
            </w:r>
          </w:p>
        </w:tc>
        <w:tc>
          <w:tcPr>
            <w:tcW w:w="1729" w:type="dxa"/>
            <w:tcBorders>
              <w:top w:val="single" w:sz="4" w:space="0" w:color="0070C0"/>
              <w:left w:val="single" w:sz="4" w:space="0" w:color="0070C0"/>
              <w:bottom w:val="dotted"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b/>
                <w:sz w:val="15"/>
                <w:szCs w:val="15"/>
              </w:rPr>
            </w:pPr>
            <w:r w:rsidRPr="006F1D04">
              <w:rPr>
                <w:rFonts w:ascii="Arial" w:hAnsi="Arial" w:cs="Arial"/>
                <w:sz w:val="15"/>
                <w:szCs w:val="15"/>
              </w:rPr>
              <w:t>Not calculated</w:t>
            </w:r>
          </w:p>
        </w:tc>
      </w:tr>
      <w:tr w:rsidR="000247CE" w:rsidRPr="006F1D04" w:rsidTr="00DE4099">
        <w:trPr>
          <w:trHeight w:hRule="exact" w:val="340"/>
          <w:jc w:val="center"/>
        </w:trPr>
        <w:tc>
          <w:tcPr>
            <w:tcW w:w="1067" w:type="dxa"/>
            <w:vMerge/>
            <w:tcBorders>
              <w:top w:val="single" w:sz="4" w:space="0" w:color="0070C0"/>
              <w:left w:val="single" w:sz="4" w:space="0" w:color="0070C0"/>
              <w:bottom w:val="single"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p>
        </w:tc>
        <w:tc>
          <w:tcPr>
            <w:tcW w:w="1087" w:type="dxa"/>
            <w:tcBorders>
              <w:top w:val="dotted" w:sz="4" w:space="0" w:color="0070C0"/>
              <w:left w:val="single" w:sz="4" w:space="0" w:color="0070C0"/>
              <w:bottom w:val="dotted"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r w:rsidRPr="006F1D04">
              <w:rPr>
                <w:rFonts w:ascii="Arial" w:hAnsi="Arial" w:cs="Arial"/>
                <w:sz w:val="15"/>
                <w:szCs w:val="15"/>
              </w:rPr>
              <w:t>A08PM</w:t>
            </w:r>
            <w:r w:rsidRPr="006F1D04">
              <w:rPr>
                <w:rFonts w:ascii="Arial" w:hAnsi="Arial" w:cs="Arial"/>
                <w:sz w:val="15"/>
                <w:szCs w:val="15"/>
                <w:vertAlign w:val="subscript"/>
              </w:rPr>
              <w:t>2.5</w:t>
            </w:r>
          </w:p>
        </w:tc>
        <w:tc>
          <w:tcPr>
            <w:tcW w:w="4157" w:type="dxa"/>
            <w:tcBorders>
              <w:top w:val="dotted" w:sz="4" w:space="0" w:color="0070C0"/>
              <w:left w:val="single" w:sz="4" w:space="0" w:color="0070C0"/>
              <w:bottom w:val="dotted" w:sz="4" w:space="0" w:color="0070C0"/>
              <w:right w:val="single" w:sz="4" w:space="0" w:color="0070C0"/>
            </w:tcBorders>
            <w:vAlign w:val="center"/>
          </w:tcPr>
          <w:p w:rsidR="000247CE" w:rsidRPr="006F1D04" w:rsidRDefault="000247CE" w:rsidP="000247CE">
            <w:pPr>
              <w:spacing w:after="0" w:line="240" w:lineRule="auto"/>
              <w:jc w:val="center"/>
              <w:rPr>
                <w:rFonts w:ascii="Arial" w:hAnsi="Arial" w:cs="Arial"/>
                <w:b/>
                <w:sz w:val="15"/>
                <w:szCs w:val="15"/>
              </w:rPr>
            </w:pPr>
            <w:r w:rsidRPr="006F1D04">
              <w:rPr>
                <w:rFonts w:ascii="Arial" w:hAnsi="Arial" w:cs="Arial"/>
                <w:sz w:val="15"/>
                <w:szCs w:val="15"/>
              </w:rPr>
              <w:t>Feasible</w:t>
            </w:r>
          </w:p>
        </w:tc>
        <w:tc>
          <w:tcPr>
            <w:tcW w:w="1729" w:type="dxa"/>
            <w:tcBorders>
              <w:top w:val="dotted" w:sz="4" w:space="0" w:color="0070C0"/>
              <w:left w:val="single" w:sz="4" w:space="0" w:color="0070C0"/>
              <w:bottom w:val="dotted" w:sz="4" w:space="0" w:color="0070C0"/>
              <w:right w:val="single" w:sz="4" w:space="0" w:color="0070C0"/>
            </w:tcBorders>
            <w:vAlign w:val="center"/>
          </w:tcPr>
          <w:p w:rsidR="000247CE" w:rsidRPr="006F1D04" w:rsidRDefault="000247CE" w:rsidP="000247CE">
            <w:pPr>
              <w:spacing w:after="0" w:line="240" w:lineRule="auto"/>
              <w:jc w:val="center"/>
              <w:rPr>
                <w:rFonts w:ascii="Arial" w:hAnsi="Arial" w:cs="Arial"/>
                <w:b/>
                <w:sz w:val="15"/>
                <w:szCs w:val="15"/>
              </w:rPr>
            </w:pPr>
            <w:r w:rsidRPr="006F1D04">
              <w:rPr>
                <w:rFonts w:ascii="Arial" w:hAnsi="Arial" w:cs="Arial"/>
                <w:sz w:val="15"/>
                <w:szCs w:val="15"/>
              </w:rPr>
              <w:t>$6.5 billion</w:t>
            </w:r>
          </w:p>
        </w:tc>
      </w:tr>
      <w:tr w:rsidR="000247CE" w:rsidRPr="006F1D04" w:rsidTr="00DE4099">
        <w:trPr>
          <w:trHeight w:hRule="exact" w:val="690"/>
          <w:jc w:val="center"/>
        </w:trPr>
        <w:tc>
          <w:tcPr>
            <w:tcW w:w="1067" w:type="dxa"/>
            <w:vMerge/>
            <w:tcBorders>
              <w:top w:val="single" w:sz="4" w:space="0" w:color="0070C0"/>
              <w:left w:val="single" w:sz="4" w:space="0" w:color="0070C0"/>
              <w:bottom w:val="single"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p>
        </w:tc>
        <w:tc>
          <w:tcPr>
            <w:tcW w:w="1087" w:type="dxa"/>
            <w:tcBorders>
              <w:top w:val="dotted" w:sz="4" w:space="0" w:color="0070C0"/>
              <w:left w:val="single" w:sz="4" w:space="0" w:color="0070C0"/>
              <w:bottom w:val="single"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r w:rsidRPr="006F1D04">
              <w:rPr>
                <w:rFonts w:ascii="Arial" w:hAnsi="Arial" w:cs="Arial"/>
                <w:sz w:val="15"/>
                <w:szCs w:val="15"/>
              </w:rPr>
              <w:t>A06PM</w:t>
            </w:r>
            <w:r w:rsidRPr="006F1D04">
              <w:rPr>
                <w:rFonts w:ascii="Arial" w:hAnsi="Arial" w:cs="Arial"/>
                <w:sz w:val="15"/>
                <w:szCs w:val="15"/>
                <w:vertAlign w:val="subscript"/>
              </w:rPr>
              <w:t>2.5</w:t>
            </w:r>
          </w:p>
        </w:tc>
        <w:tc>
          <w:tcPr>
            <w:tcW w:w="4157" w:type="dxa"/>
            <w:tcBorders>
              <w:top w:val="dotted" w:sz="4" w:space="0" w:color="0070C0"/>
              <w:left w:val="single" w:sz="4" w:space="0" w:color="0070C0"/>
              <w:bottom w:val="single"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r w:rsidRPr="006F1D04">
              <w:rPr>
                <w:rFonts w:ascii="Arial" w:hAnsi="Arial" w:cs="Arial"/>
                <w:sz w:val="15"/>
                <w:szCs w:val="15"/>
              </w:rPr>
              <w:t>Unlikely given the large reductions in emissions that would be required in several jurisdictions over and above those associated with national measures</w:t>
            </w:r>
          </w:p>
        </w:tc>
        <w:tc>
          <w:tcPr>
            <w:tcW w:w="1729" w:type="dxa"/>
            <w:tcBorders>
              <w:top w:val="dotted" w:sz="4" w:space="0" w:color="0070C0"/>
              <w:left w:val="single" w:sz="4" w:space="0" w:color="0070C0"/>
              <w:bottom w:val="single"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r w:rsidRPr="006F1D04">
              <w:rPr>
                <w:rFonts w:ascii="Arial" w:hAnsi="Arial" w:cs="Arial"/>
                <w:sz w:val="15"/>
                <w:szCs w:val="15"/>
              </w:rPr>
              <w:t>Not calculated</w:t>
            </w:r>
          </w:p>
        </w:tc>
      </w:tr>
      <w:tr w:rsidR="000247CE" w:rsidRPr="006F1D04" w:rsidTr="00DE4099">
        <w:trPr>
          <w:trHeight w:hRule="exact" w:val="340"/>
          <w:jc w:val="center"/>
        </w:trPr>
        <w:tc>
          <w:tcPr>
            <w:tcW w:w="1067" w:type="dxa"/>
            <w:vMerge w:val="restart"/>
            <w:tcBorders>
              <w:top w:val="single" w:sz="4" w:space="0" w:color="0070C0"/>
              <w:left w:val="single" w:sz="4" w:space="0" w:color="0070C0"/>
              <w:bottom w:val="single"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r w:rsidRPr="006F1D04">
              <w:rPr>
                <w:rFonts w:ascii="Arial" w:hAnsi="Arial" w:cs="Arial"/>
                <w:sz w:val="15"/>
                <w:szCs w:val="15"/>
              </w:rPr>
              <w:t>PM</w:t>
            </w:r>
            <w:r w:rsidRPr="006F1D04">
              <w:rPr>
                <w:rFonts w:ascii="Arial" w:hAnsi="Arial" w:cs="Arial"/>
                <w:sz w:val="15"/>
                <w:szCs w:val="15"/>
                <w:vertAlign w:val="subscript"/>
              </w:rPr>
              <w:t>2.5</w:t>
            </w:r>
          </w:p>
          <w:p w:rsidR="000247CE" w:rsidRPr="006F1D04" w:rsidRDefault="000247CE" w:rsidP="00067FD6">
            <w:pPr>
              <w:spacing w:after="0" w:line="240" w:lineRule="auto"/>
              <w:jc w:val="center"/>
              <w:rPr>
                <w:rFonts w:ascii="Arial" w:hAnsi="Arial" w:cs="Arial"/>
                <w:sz w:val="15"/>
                <w:szCs w:val="15"/>
              </w:rPr>
            </w:pPr>
            <w:r w:rsidRPr="006F1D04">
              <w:rPr>
                <w:rFonts w:ascii="Arial" w:hAnsi="Arial" w:cs="Arial"/>
                <w:sz w:val="15"/>
                <w:szCs w:val="15"/>
              </w:rPr>
              <w:t>24-hour mean</w:t>
            </w:r>
          </w:p>
        </w:tc>
        <w:tc>
          <w:tcPr>
            <w:tcW w:w="1087" w:type="dxa"/>
            <w:tcBorders>
              <w:top w:val="single" w:sz="4" w:space="0" w:color="0070C0"/>
              <w:left w:val="single" w:sz="4" w:space="0" w:color="0070C0"/>
              <w:bottom w:val="dotted"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r w:rsidRPr="006F1D04">
              <w:rPr>
                <w:rFonts w:ascii="Arial" w:hAnsi="Arial" w:cs="Arial"/>
                <w:sz w:val="15"/>
                <w:szCs w:val="15"/>
              </w:rPr>
              <w:t>D25PM</w:t>
            </w:r>
            <w:r w:rsidRPr="006F1D04">
              <w:rPr>
                <w:rFonts w:ascii="Arial" w:hAnsi="Arial" w:cs="Arial"/>
                <w:sz w:val="15"/>
                <w:szCs w:val="15"/>
                <w:vertAlign w:val="subscript"/>
              </w:rPr>
              <w:t>2.5</w:t>
            </w:r>
          </w:p>
        </w:tc>
        <w:tc>
          <w:tcPr>
            <w:tcW w:w="4157" w:type="dxa"/>
            <w:tcBorders>
              <w:top w:val="single" w:sz="4" w:space="0" w:color="0070C0"/>
              <w:left w:val="single" w:sz="4" w:space="0" w:color="0070C0"/>
              <w:bottom w:val="dotted" w:sz="4" w:space="0" w:color="0070C0"/>
              <w:right w:val="single" w:sz="4" w:space="0" w:color="0070C0"/>
            </w:tcBorders>
            <w:vAlign w:val="center"/>
          </w:tcPr>
          <w:p w:rsidR="000247CE" w:rsidRPr="006F1D04" w:rsidRDefault="000247CE" w:rsidP="000247CE">
            <w:pPr>
              <w:spacing w:after="0" w:line="240" w:lineRule="auto"/>
              <w:jc w:val="center"/>
              <w:rPr>
                <w:rFonts w:ascii="Arial" w:hAnsi="Arial" w:cs="Arial"/>
                <w:b/>
                <w:sz w:val="15"/>
                <w:szCs w:val="15"/>
              </w:rPr>
            </w:pPr>
            <w:r w:rsidRPr="006F1D04">
              <w:rPr>
                <w:rFonts w:ascii="Arial" w:hAnsi="Arial" w:cs="Arial"/>
                <w:sz w:val="15"/>
                <w:szCs w:val="15"/>
              </w:rPr>
              <w:t>Feasible</w:t>
            </w:r>
          </w:p>
        </w:tc>
        <w:tc>
          <w:tcPr>
            <w:tcW w:w="1729" w:type="dxa"/>
            <w:tcBorders>
              <w:top w:val="single" w:sz="4" w:space="0" w:color="0070C0"/>
              <w:left w:val="single" w:sz="4" w:space="0" w:color="0070C0"/>
              <w:bottom w:val="dotted" w:sz="4" w:space="0" w:color="0070C0"/>
              <w:right w:val="single" w:sz="4" w:space="0" w:color="0070C0"/>
            </w:tcBorders>
            <w:vAlign w:val="center"/>
          </w:tcPr>
          <w:p w:rsidR="000247CE" w:rsidRPr="006F1D04" w:rsidRDefault="000247CE" w:rsidP="000247CE">
            <w:pPr>
              <w:spacing w:after="0" w:line="240" w:lineRule="auto"/>
              <w:jc w:val="center"/>
              <w:rPr>
                <w:rFonts w:ascii="Arial" w:hAnsi="Arial" w:cs="Arial"/>
                <w:b/>
                <w:sz w:val="15"/>
                <w:szCs w:val="15"/>
              </w:rPr>
            </w:pPr>
            <w:r w:rsidRPr="006F1D04">
              <w:rPr>
                <w:rFonts w:ascii="Arial" w:hAnsi="Arial" w:cs="Arial"/>
                <w:sz w:val="15"/>
                <w:szCs w:val="15"/>
              </w:rPr>
              <w:t>$6.9 billion</w:t>
            </w:r>
          </w:p>
        </w:tc>
      </w:tr>
      <w:tr w:rsidR="000247CE" w:rsidRPr="006F1D04" w:rsidTr="00DE4099">
        <w:trPr>
          <w:trHeight w:hRule="exact" w:val="648"/>
          <w:jc w:val="center"/>
        </w:trPr>
        <w:tc>
          <w:tcPr>
            <w:tcW w:w="1067" w:type="dxa"/>
            <w:vMerge/>
            <w:tcBorders>
              <w:top w:val="single" w:sz="4" w:space="0" w:color="0070C0"/>
              <w:left w:val="single" w:sz="4" w:space="0" w:color="0070C0"/>
              <w:bottom w:val="single"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p>
        </w:tc>
        <w:tc>
          <w:tcPr>
            <w:tcW w:w="1087" w:type="dxa"/>
            <w:tcBorders>
              <w:top w:val="dotted" w:sz="4" w:space="0" w:color="0070C0"/>
              <w:left w:val="single" w:sz="4" w:space="0" w:color="0070C0"/>
              <w:bottom w:val="dotted"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r w:rsidRPr="006F1D04">
              <w:rPr>
                <w:rFonts w:ascii="Arial" w:hAnsi="Arial" w:cs="Arial"/>
                <w:sz w:val="15"/>
                <w:szCs w:val="15"/>
              </w:rPr>
              <w:t>D20PM</w:t>
            </w:r>
            <w:r w:rsidRPr="006F1D04">
              <w:rPr>
                <w:rFonts w:ascii="Arial" w:hAnsi="Arial" w:cs="Arial"/>
                <w:sz w:val="15"/>
                <w:szCs w:val="15"/>
                <w:vertAlign w:val="subscript"/>
              </w:rPr>
              <w:t>2.5</w:t>
            </w:r>
          </w:p>
        </w:tc>
        <w:tc>
          <w:tcPr>
            <w:tcW w:w="4157" w:type="dxa"/>
            <w:tcBorders>
              <w:top w:val="dotted" w:sz="4" w:space="0" w:color="0070C0"/>
              <w:left w:val="single" w:sz="4" w:space="0" w:color="0070C0"/>
              <w:bottom w:val="dotted"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r w:rsidRPr="006F1D04">
              <w:rPr>
                <w:rFonts w:ascii="Arial" w:hAnsi="Arial" w:cs="Arial"/>
                <w:sz w:val="15"/>
                <w:szCs w:val="15"/>
              </w:rPr>
              <w:t>Unlikely given the large reductions in emissions that would be required in several jurisdictions over and above those associated with national measures</w:t>
            </w:r>
          </w:p>
        </w:tc>
        <w:tc>
          <w:tcPr>
            <w:tcW w:w="1729" w:type="dxa"/>
            <w:tcBorders>
              <w:top w:val="dotted" w:sz="4" w:space="0" w:color="0070C0"/>
              <w:left w:val="single" w:sz="4" w:space="0" w:color="0070C0"/>
              <w:bottom w:val="dotted"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r w:rsidRPr="006F1D04">
              <w:rPr>
                <w:rFonts w:ascii="Arial" w:hAnsi="Arial" w:cs="Arial"/>
                <w:sz w:val="15"/>
                <w:szCs w:val="15"/>
              </w:rPr>
              <w:t>Not calculated</w:t>
            </w:r>
          </w:p>
        </w:tc>
      </w:tr>
      <w:tr w:rsidR="000247CE" w:rsidRPr="006F1D04" w:rsidTr="00DE4099">
        <w:trPr>
          <w:trHeight w:hRule="exact" w:val="680"/>
          <w:jc w:val="center"/>
        </w:trPr>
        <w:tc>
          <w:tcPr>
            <w:tcW w:w="1067" w:type="dxa"/>
            <w:vMerge/>
            <w:tcBorders>
              <w:top w:val="single" w:sz="4" w:space="0" w:color="0070C0"/>
              <w:left w:val="single" w:sz="4" w:space="0" w:color="0070C0"/>
              <w:bottom w:val="single"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p>
        </w:tc>
        <w:tc>
          <w:tcPr>
            <w:tcW w:w="1087" w:type="dxa"/>
            <w:tcBorders>
              <w:top w:val="dotted" w:sz="4" w:space="0" w:color="0070C0"/>
              <w:left w:val="single" w:sz="4" w:space="0" w:color="0070C0"/>
              <w:bottom w:val="single"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r w:rsidRPr="006F1D04">
              <w:rPr>
                <w:rFonts w:ascii="Arial" w:hAnsi="Arial" w:cs="Arial"/>
                <w:sz w:val="15"/>
                <w:szCs w:val="15"/>
              </w:rPr>
              <w:t>D15PM</w:t>
            </w:r>
            <w:r w:rsidRPr="006F1D04">
              <w:rPr>
                <w:rFonts w:ascii="Arial" w:hAnsi="Arial" w:cs="Arial"/>
                <w:sz w:val="15"/>
                <w:szCs w:val="15"/>
                <w:vertAlign w:val="subscript"/>
              </w:rPr>
              <w:t>2.5</w:t>
            </w:r>
          </w:p>
        </w:tc>
        <w:tc>
          <w:tcPr>
            <w:tcW w:w="4157" w:type="dxa"/>
            <w:tcBorders>
              <w:top w:val="dotted" w:sz="4" w:space="0" w:color="0070C0"/>
              <w:left w:val="single" w:sz="4" w:space="0" w:color="0070C0"/>
              <w:bottom w:val="single"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r w:rsidRPr="006F1D04">
              <w:rPr>
                <w:rFonts w:ascii="Arial" w:hAnsi="Arial" w:cs="Arial"/>
                <w:sz w:val="15"/>
                <w:szCs w:val="15"/>
              </w:rPr>
              <w:t>Unfeasible in some jurisdictions because standard is very close to or below regional background concentration</w:t>
            </w:r>
          </w:p>
        </w:tc>
        <w:tc>
          <w:tcPr>
            <w:tcW w:w="1729" w:type="dxa"/>
            <w:tcBorders>
              <w:top w:val="dotted" w:sz="4" w:space="0" w:color="0070C0"/>
              <w:left w:val="single" w:sz="4" w:space="0" w:color="0070C0"/>
              <w:bottom w:val="single" w:sz="4" w:space="0" w:color="0070C0"/>
              <w:right w:val="single" w:sz="4" w:space="0" w:color="0070C0"/>
            </w:tcBorders>
            <w:vAlign w:val="center"/>
          </w:tcPr>
          <w:p w:rsidR="000247CE" w:rsidRPr="006F1D04" w:rsidRDefault="000247CE" w:rsidP="00067FD6">
            <w:pPr>
              <w:spacing w:after="0" w:line="240" w:lineRule="auto"/>
              <w:jc w:val="center"/>
              <w:rPr>
                <w:rFonts w:ascii="Arial" w:hAnsi="Arial" w:cs="Arial"/>
                <w:sz w:val="15"/>
                <w:szCs w:val="15"/>
              </w:rPr>
            </w:pPr>
            <w:r w:rsidRPr="006F1D04">
              <w:rPr>
                <w:rFonts w:ascii="Arial" w:hAnsi="Arial" w:cs="Arial"/>
                <w:sz w:val="15"/>
                <w:szCs w:val="15"/>
              </w:rPr>
              <w:t>Not calculated</w:t>
            </w:r>
          </w:p>
        </w:tc>
      </w:tr>
    </w:tbl>
    <w:p w:rsidR="000247CE" w:rsidRPr="006F1D04" w:rsidRDefault="00BC4BA8" w:rsidP="00E83EDD">
      <w:pPr>
        <w:pStyle w:val="BulletArrows"/>
        <w:numPr>
          <w:ilvl w:val="0"/>
          <w:numId w:val="20"/>
        </w:numPr>
        <w:spacing w:before="120" w:after="0" w:line="240" w:lineRule="auto"/>
        <w:ind w:left="851" w:right="522" w:hanging="284"/>
        <w:rPr>
          <w:rFonts w:ascii="Arial" w:hAnsi="Arial"/>
          <w:sz w:val="14"/>
          <w:szCs w:val="14"/>
        </w:rPr>
      </w:pPr>
      <w:r w:rsidRPr="006F1D04">
        <w:rPr>
          <w:rFonts w:ascii="Arial" w:hAnsi="Arial"/>
          <w:sz w:val="14"/>
          <w:szCs w:val="14"/>
        </w:rPr>
        <w:t>Calculated for the period 2011 to 2036.</w:t>
      </w:r>
      <w:r w:rsidR="00E4066D" w:rsidRPr="006F1D04">
        <w:rPr>
          <w:rFonts w:ascii="Arial" w:hAnsi="Arial"/>
          <w:sz w:val="14"/>
          <w:szCs w:val="14"/>
        </w:rPr>
        <w:t xml:space="preserve"> The costs and benefits of some abatement measures were estimated to 2055 to capture emission reductions beyond 2036 (</w:t>
      </w:r>
      <w:r w:rsidR="009334F4" w:rsidRPr="006F1D04">
        <w:rPr>
          <w:rFonts w:ascii="Arial" w:hAnsi="Arial"/>
          <w:sz w:val="14"/>
          <w:szCs w:val="14"/>
        </w:rPr>
        <w:t>e.g.</w:t>
      </w:r>
      <w:r w:rsidR="00E4066D" w:rsidRPr="006F1D04">
        <w:rPr>
          <w:rFonts w:ascii="Arial" w:hAnsi="Arial"/>
          <w:sz w:val="14"/>
          <w:szCs w:val="14"/>
        </w:rPr>
        <w:t xml:space="preserve"> for diesel engines with long working lifetimes).</w:t>
      </w:r>
    </w:p>
    <w:p w:rsidR="009E3030" w:rsidRPr="006F1D04" w:rsidRDefault="009E3030" w:rsidP="00E83EDD">
      <w:pPr>
        <w:pStyle w:val="BulletArrows"/>
        <w:numPr>
          <w:ilvl w:val="0"/>
          <w:numId w:val="20"/>
        </w:numPr>
        <w:spacing w:before="60" w:after="0" w:line="240" w:lineRule="auto"/>
        <w:ind w:left="851" w:right="522" w:hanging="284"/>
        <w:rPr>
          <w:rFonts w:ascii="Arial" w:hAnsi="Arial"/>
          <w:sz w:val="14"/>
          <w:szCs w:val="14"/>
        </w:rPr>
      </w:pPr>
      <w:r w:rsidRPr="006F1D04">
        <w:rPr>
          <w:rFonts w:ascii="Arial" w:hAnsi="Arial"/>
          <w:sz w:val="14"/>
          <w:szCs w:val="14"/>
        </w:rPr>
        <w:t>It should be noted that the health benefits for individual standards are not additive.</w:t>
      </w:r>
    </w:p>
    <w:p w:rsidR="0006490F" w:rsidRPr="006F1D04" w:rsidRDefault="00421CDD" w:rsidP="00B16050">
      <w:pPr>
        <w:pStyle w:val="Heading4"/>
        <w:spacing w:before="120"/>
        <w:rPr>
          <w:rFonts w:ascii="Arial" w:hAnsi="Arial" w:cs="Arial"/>
        </w:rPr>
      </w:pPr>
      <w:r w:rsidRPr="006F1D04">
        <w:rPr>
          <w:rFonts w:ascii="Arial" w:hAnsi="Arial" w:cs="Arial"/>
        </w:rPr>
        <w:br w:type="page"/>
      </w:r>
      <w:r w:rsidR="00E54142" w:rsidRPr="006F1D04">
        <w:rPr>
          <w:rFonts w:ascii="Arial" w:hAnsi="Arial" w:cs="Arial"/>
        </w:rPr>
        <w:lastRenderedPageBreak/>
        <w:t>Exposure</w:t>
      </w:r>
      <w:r w:rsidR="0006490F" w:rsidRPr="006F1D04">
        <w:rPr>
          <w:rFonts w:ascii="Arial" w:hAnsi="Arial" w:cs="Arial"/>
        </w:rPr>
        <w:t>-reduction framework</w:t>
      </w:r>
    </w:p>
    <w:p w:rsidR="00DE5DAB" w:rsidRPr="006F1D04" w:rsidRDefault="00DE5DAB" w:rsidP="00F40168">
      <w:pPr>
        <w:rPr>
          <w:rFonts w:ascii="Arial" w:hAnsi="Arial" w:cs="Arial"/>
        </w:rPr>
      </w:pPr>
      <w:r w:rsidRPr="006F1D04">
        <w:rPr>
          <w:rFonts w:ascii="Arial" w:hAnsi="Arial" w:cs="Arial"/>
        </w:rPr>
        <w:t>It is assumed that progress towards reducing exposure would be framed in terms of monitored PM</w:t>
      </w:r>
      <w:r w:rsidRPr="006F1D04">
        <w:rPr>
          <w:rFonts w:ascii="Arial" w:hAnsi="Arial" w:cs="Arial"/>
          <w:vertAlign w:val="subscript"/>
        </w:rPr>
        <w:t>2.5</w:t>
      </w:r>
      <w:r w:rsidRPr="006F1D04">
        <w:rPr>
          <w:rFonts w:ascii="Arial" w:hAnsi="Arial" w:cs="Arial"/>
        </w:rPr>
        <w:t xml:space="preserve"> concentrations, or an equivalent modelling approach. Two options have been considered for dealing with population exposure in major urban areas, one with a specific target (option ER1), and one without (option ER2).</w:t>
      </w:r>
    </w:p>
    <w:p w:rsidR="00ED7A41" w:rsidRPr="006F1D04" w:rsidRDefault="00BF6019" w:rsidP="005360B4">
      <w:pPr>
        <w:spacing w:after="360"/>
        <w:rPr>
          <w:rFonts w:ascii="Arial" w:hAnsi="Arial" w:cs="Arial"/>
        </w:rPr>
      </w:pPr>
      <w:fldSimple w:instr=" REF _Ref367451214 \h  \* MERGEFORMAT ">
        <w:r w:rsidR="0085182E" w:rsidRPr="0085182E">
          <w:rPr>
            <w:rFonts w:ascii="Arial" w:hAnsi="Arial" w:cs="Arial"/>
            <w:b/>
          </w:rPr>
          <w:t>Figure 8.12</w:t>
        </w:r>
      </w:fldSimple>
      <w:r w:rsidR="00ED7A41" w:rsidRPr="006F1D04">
        <w:rPr>
          <w:rFonts w:ascii="Arial" w:hAnsi="Arial" w:cs="Arial"/>
          <w:b/>
        </w:rPr>
        <w:t xml:space="preserve"> </w:t>
      </w:r>
      <w:r w:rsidR="00ED7A41" w:rsidRPr="006F1D04">
        <w:rPr>
          <w:rFonts w:ascii="Arial" w:hAnsi="Arial" w:cs="Arial"/>
        </w:rPr>
        <w:t>shows the change in exposure to PM</w:t>
      </w:r>
      <w:r w:rsidR="00ED7A41" w:rsidRPr="006F1D04">
        <w:rPr>
          <w:rFonts w:ascii="Arial" w:hAnsi="Arial" w:cs="Arial"/>
          <w:vertAlign w:val="subscript"/>
        </w:rPr>
        <w:t>2.5</w:t>
      </w:r>
      <w:r w:rsidR="00ED7A41" w:rsidRPr="006F1D04">
        <w:rPr>
          <w:rFonts w:ascii="Arial" w:hAnsi="Arial" w:cs="Arial"/>
        </w:rPr>
        <w:t xml:space="preserve"> (based on the population-weighted annual mean concentration) b</w:t>
      </w:r>
      <w:r w:rsidR="00DE5DAB" w:rsidRPr="006F1D04">
        <w:rPr>
          <w:rFonts w:ascii="Arial" w:hAnsi="Arial" w:cs="Arial"/>
        </w:rPr>
        <w:t>etween 2015 and 2030 with the package of abatement measures in place</w:t>
      </w:r>
      <w:r w:rsidR="00ED7A41" w:rsidRPr="006F1D04">
        <w:rPr>
          <w:rFonts w:ascii="Arial" w:hAnsi="Arial" w:cs="Arial"/>
        </w:rPr>
        <w:t xml:space="preserve">. The target of a 10% reduction by 2025 would </w:t>
      </w:r>
      <w:r w:rsidR="00D97521" w:rsidRPr="006F1D04">
        <w:rPr>
          <w:rFonts w:ascii="Arial" w:hAnsi="Arial" w:cs="Arial"/>
        </w:rPr>
        <w:t xml:space="preserve">only </w:t>
      </w:r>
      <w:r w:rsidR="00ED7A41" w:rsidRPr="006F1D04">
        <w:rPr>
          <w:rFonts w:ascii="Arial" w:hAnsi="Arial" w:cs="Arial"/>
        </w:rPr>
        <w:t xml:space="preserve">be achieved in the Northern Territory, largely as a consequence of abatement measures relating to </w:t>
      </w:r>
      <w:r w:rsidR="00D97521" w:rsidRPr="006F1D04">
        <w:rPr>
          <w:rFonts w:ascii="Arial" w:hAnsi="Arial" w:cs="Arial"/>
        </w:rPr>
        <w:t xml:space="preserve">shipping. </w:t>
      </w:r>
      <w:r w:rsidR="00E362A3" w:rsidRPr="006F1D04">
        <w:rPr>
          <w:rFonts w:ascii="Arial" w:hAnsi="Arial" w:cs="Arial"/>
        </w:rPr>
        <w:t>NSW</w:t>
      </w:r>
      <w:r w:rsidR="00B13CFD" w:rsidRPr="006F1D04">
        <w:rPr>
          <w:rFonts w:ascii="Arial" w:hAnsi="Arial" w:cs="Arial"/>
        </w:rPr>
        <w:t xml:space="preserve"> </w:t>
      </w:r>
      <w:r w:rsidR="0087080F" w:rsidRPr="006F1D04">
        <w:rPr>
          <w:rFonts w:ascii="Arial" w:hAnsi="Arial" w:cs="Arial"/>
        </w:rPr>
        <w:t>would be close to meeting the target</w:t>
      </w:r>
      <w:r w:rsidR="00ED7A41" w:rsidRPr="006F1D04">
        <w:rPr>
          <w:rFonts w:ascii="Arial" w:hAnsi="Arial" w:cs="Arial"/>
        </w:rPr>
        <w:t xml:space="preserve">. There would also be net reductions in exposure between 2015 and 2025 in </w:t>
      </w:r>
      <w:r w:rsidR="00B22562" w:rsidRPr="006F1D04">
        <w:rPr>
          <w:rFonts w:ascii="Arial" w:hAnsi="Arial" w:cs="Arial"/>
        </w:rPr>
        <w:t xml:space="preserve">the </w:t>
      </w:r>
      <w:r w:rsidR="00ED7A41" w:rsidRPr="006F1D04">
        <w:rPr>
          <w:rFonts w:ascii="Arial" w:hAnsi="Arial" w:cs="Arial"/>
        </w:rPr>
        <w:t xml:space="preserve">ACT, Victoria and South Australia, but net increases in Western Australia, Queensland and Tasmania. </w:t>
      </w:r>
    </w:p>
    <w:p w:rsidR="00ED7A41" w:rsidRPr="006F1D04" w:rsidRDefault="006D7F17" w:rsidP="00ED7A41">
      <w:pPr>
        <w:spacing w:after="120" w:line="240" w:lineRule="auto"/>
        <w:jc w:val="center"/>
        <w:rPr>
          <w:rFonts w:ascii="Arial" w:hAnsi="Arial" w:cs="Arial"/>
          <w:lang/>
        </w:rPr>
      </w:pPr>
      <w:r w:rsidRPr="006F1D04">
        <w:rPr>
          <w:rFonts w:ascii="Arial" w:hAnsi="Arial" w:cs="Arial"/>
          <w:noProof/>
        </w:rPr>
        <w:drawing>
          <wp:inline distT="0" distB="0" distL="0" distR="0">
            <wp:extent cx="3999230" cy="2632075"/>
            <wp:effectExtent l="19050" t="19050" r="20320" b="15875"/>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9230" cy="2632075"/>
                    </a:xfrm>
                    <a:prstGeom prst="rect">
                      <a:avLst/>
                    </a:prstGeom>
                    <a:noFill/>
                    <a:ln w="9525" cmpd="sng">
                      <a:solidFill>
                        <a:srgbClr val="0070C0"/>
                      </a:solidFill>
                      <a:miter lim="800000"/>
                      <a:headEnd/>
                      <a:tailEnd/>
                    </a:ln>
                    <a:effectLst/>
                  </pic:spPr>
                </pic:pic>
              </a:graphicData>
            </a:graphic>
          </wp:inline>
        </w:drawing>
      </w:r>
    </w:p>
    <w:p w:rsidR="00ED7A41" w:rsidRPr="006F1D04" w:rsidRDefault="00ED7A41" w:rsidP="00ED7A41">
      <w:pPr>
        <w:pStyle w:val="Caption"/>
        <w:tabs>
          <w:tab w:val="left" w:pos="7371"/>
        </w:tabs>
        <w:ind w:left="1560" w:right="1655"/>
        <w:rPr>
          <w:rFonts w:ascii="Arial" w:hAnsi="Arial" w:cs="Arial"/>
          <w:color w:val="FF0000"/>
        </w:rPr>
      </w:pPr>
      <w:bookmarkStart w:id="183" w:name="_Ref367451214"/>
      <w:r w:rsidRPr="006F1D04">
        <w:rPr>
          <w:rFonts w:ascii="Arial" w:hAnsi="Arial" w:cs="Arial"/>
        </w:rPr>
        <w:t xml:space="preserve">Figure </w:t>
      </w:r>
      <w:r w:rsidR="00BF6019" w:rsidRPr="006F1D04">
        <w:rPr>
          <w:rFonts w:ascii="Arial" w:hAnsi="Arial" w:cs="Arial"/>
        </w:rPr>
        <w:fldChar w:fldCharType="begin"/>
      </w:r>
      <w:r w:rsidRPr="006F1D04">
        <w:rPr>
          <w:rFonts w:ascii="Arial" w:hAnsi="Arial" w:cs="Arial"/>
        </w:rPr>
        <w:instrText xml:space="preserve"> STYLEREF 1 \s </w:instrText>
      </w:r>
      <w:r w:rsidR="00BF6019" w:rsidRPr="006F1D04">
        <w:rPr>
          <w:rFonts w:ascii="Arial" w:hAnsi="Arial" w:cs="Arial"/>
        </w:rPr>
        <w:fldChar w:fldCharType="separate"/>
      </w:r>
      <w:r w:rsidR="0085182E">
        <w:rPr>
          <w:rFonts w:ascii="Arial" w:hAnsi="Arial" w:cs="Arial"/>
          <w:noProof/>
        </w:rPr>
        <w:t>8</w:t>
      </w:r>
      <w:r w:rsidR="00BF6019" w:rsidRPr="006F1D04">
        <w:rPr>
          <w:rFonts w:ascii="Arial" w:hAnsi="Arial" w:cs="Arial"/>
        </w:rPr>
        <w:fldChar w:fldCharType="end"/>
      </w:r>
      <w:r w:rsidRPr="006F1D04">
        <w:rPr>
          <w:rFonts w:ascii="Arial" w:hAnsi="Arial" w:cs="Arial"/>
        </w:rPr>
        <w:t>.</w:t>
      </w:r>
      <w:r w:rsidR="00BF6019" w:rsidRPr="006F1D04">
        <w:rPr>
          <w:rFonts w:ascii="Arial" w:hAnsi="Arial" w:cs="Arial"/>
        </w:rPr>
        <w:fldChar w:fldCharType="begin"/>
      </w:r>
      <w:r w:rsidRPr="006F1D04">
        <w:rPr>
          <w:rFonts w:ascii="Arial" w:hAnsi="Arial" w:cs="Arial"/>
        </w:rPr>
        <w:instrText xml:space="preserve"> SEQ Figure \* ARABIC \s 1 </w:instrText>
      </w:r>
      <w:r w:rsidR="00BF6019" w:rsidRPr="006F1D04">
        <w:rPr>
          <w:rFonts w:ascii="Arial" w:hAnsi="Arial" w:cs="Arial"/>
        </w:rPr>
        <w:fldChar w:fldCharType="separate"/>
      </w:r>
      <w:r w:rsidR="0085182E">
        <w:rPr>
          <w:rFonts w:ascii="Arial" w:hAnsi="Arial" w:cs="Arial"/>
          <w:noProof/>
        </w:rPr>
        <w:t>12</w:t>
      </w:r>
      <w:r w:rsidR="00BF6019" w:rsidRPr="006F1D04">
        <w:rPr>
          <w:rFonts w:ascii="Arial" w:hAnsi="Arial" w:cs="Arial"/>
        </w:rPr>
        <w:fldChar w:fldCharType="end"/>
      </w:r>
      <w:bookmarkEnd w:id="183"/>
      <w:r w:rsidRPr="006F1D04">
        <w:rPr>
          <w:rFonts w:ascii="Arial" w:hAnsi="Arial" w:cs="Arial"/>
        </w:rPr>
        <w:t>: Reduction in population exposure to PM</w:t>
      </w:r>
      <w:r w:rsidRPr="006F1D04">
        <w:rPr>
          <w:rFonts w:ascii="Arial" w:hAnsi="Arial" w:cs="Arial"/>
          <w:vertAlign w:val="subscript"/>
        </w:rPr>
        <w:t>2.5</w:t>
      </w:r>
      <w:r w:rsidRPr="006F1D04">
        <w:rPr>
          <w:rFonts w:ascii="Arial" w:hAnsi="Arial" w:cs="Arial"/>
        </w:rPr>
        <w:t xml:space="preserve"> between 2015 and 2030 with all feasible abatement measures (target year 2025)</w:t>
      </w:r>
    </w:p>
    <w:p w:rsidR="00ED7A41" w:rsidRPr="006F1D04" w:rsidRDefault="00ED7A41" w:rsidP="00ED7A41">
      <w:pPr>
        <w:spacing w:after="120"/>
        <w:rPr>
          <w:rFonts w:ascii="Arial" w:hAnsi="Arial" w:cs="Arial"/>
        </w:rPr>
      </w:pPr>
    </w:p>
    <w:p w:rsidR="00DE5DAB" w:rsidRPr="006F1D04" w:rsidRDefault="00FA72E9" w:rsidP="00F40168">
      <w:pPr>
        <w:rPr>
          <w:rFonts w:ascii="Arial" w:hAnsi="Arial" w:cs="Arial"/>
        </w:rPr>
      </w:pPr>
      <w:r w:rsidRPr="006F1D04">
        <w:rPr>
          <w:rFonts w:ascii="Arial" w:hAnsi="Arial" w:cs="Arial"/>
        </w:rPr>
        <w:t>Meeting the target of a 10% reduction in the annual mean PM</w:t>
      </w:r>
      <w:r w:rsidRPr="006F1D04">
        <w:rPr>
          <w:rFonts w:ascii="Arial" w:hAnsi="Arial" w:cs="Arial"/>
          <w:vertAlign w:val="subscript"/>
        </w:rPr>
        <w:t>2.5</w:t>
      </w:r>
      <w:r w:rsidRPr="006F1D04">
        <w:rPr>
          <w:rFonts w:ascii="Arial" w:hAnsi="Arial" w:cs="Arial"/>
        </w:rPr>
        <w:t xml:space="preserve"> concentration</w:t>
      </w:r>
      <w:r w:rsidRPr="006F1D04">
        <w:rPr>
          <w:rFonts w:ascii="Arial" w:hAnsi="Arial" w:cs="Arial"/>
          <w:sz w:val="24"/>
          <w:szCs w:val="24"/>
        </w:rPr>
        <w:t xml:space="preserve"> </w:t>
      </w:r>
      <w:r w:rsidR="00ED7A41" w:rsidRPr="006F1D04">
        <w:rPr>
          <w:rFonts w:ascii="Arial" w:hAnsi="Arial" w:cs="Arial"/>
        </w:rPr>
        <w:t>between 2015 and 2025</w:t>
      </w:r>
      <w:r w:rsidR="00D97521" w:rsidRPr="006F1D04">
        <w:rPr>
          <w:rFonts w:ascii="Arial" w:hAnsi="Arial" w:cs="Arial"/>
        </w:rPr>
        <w:t xml:space="preserve"> would </w:t>
      </w:r>
      <w:r w:rsidR="00ED7A41" w:rsidRPr="006F1D04">
        <w:rPr>
          <w:rFonts w:ascii="Arial" w:hAnsi="Arial" w:cs="Arial"/>
        </w:rPr>
        <w:t xml:space="preserve">require </w:t>
      </w:r>
      <w:r w:rsidR="00BC4BA8" w:rsidRPr="006F1D04">
        <w:rPr>
          <w:rFonts w:ascii="Arial" w:hAnsi="Arial" w:cs="Arial"/>
        </w:rPr>
        <w:t xml:space="preserve">very significant additional abatement </w:t>
      </w:r>
      <w:r w:rsidR="00ED7A41" w:rsidRPr="006F1D04">
        <w:rPr>
          <w:rFonts w:ascii="Arial" w:hAnsi="Arial" w:cs="Arial"/>
        </w:rPr>
        <w:t>measures in most jurisdictions. It can t</w:t>
      </w:r>
      <w:r w:rsidR="00BC4BA8" w:rsidRPr="006F1D04">
        <w:rPr>
          <w:rFonts w:ascii="Arial" w:hAnsi="Arial" w:cs="Arial"/>
        </w:rPr>
        <w:t xml:space="preserve">herefore be concluded that the proposed </w:t>
      </w:r>
      <w:r w:rsidR="00ED7A41" w:rsidRPr="006F1D04">
        <w:rPr>
          <w:rFonts w:ascii="Arial" w:hAnsi="Arial" w:cs="Arial"/>
        </w:rPr>
        <w:t>e</w:t>
      </w:r>
      <w:r w:rsidR="00156603" w:rsidRPr="006F1D04">
        <w:rPr>
          <w:rFonts w:ascii="Arial" w:hAnsi="Arial" w:cs="Arial"/>
        </w:rPr>
        <w:t xml:space="preserve">xposure-reduction target is </w:t>
      </w:r>
      <w:r w:rsidR="00C74851" w:rsidRPr="006F1D04">
        <w:rPr>
          <w:rFonts w:ascii="Arial" w:hAnsi="Arial" w:cs="Arial"/>
        </w:rPr>
        <w:t xml:space="preserve">currently </w:t>
      </w:r>
      <w:r w:rsidR="00156603" w:rsidRPr="006F1D04">
        <w:rPr>
          <w:rFonts w:ascii="Arial" w:hAnsi="Arial" w:cs="Arial"/>
        </w:rPr>
        <w:t>un</w:t>
      </w:r>
      <w:r w:rsidR="00ED7A41" w:rsidRPr="006F1D04">
        <w:rPr>
          <w:rFonts w:ascii="Arial" w:hAnsi="Arial" w:cs="Arial"/>
        </w:rPr>
        <w:t>likely to be feasible</w:t>
      </w:r>
      <w:r w:rsidR="00156603" w:rsidRPr="006F1D04">
        <w:rPr>
          <w:rFonts w:ascii="Arial" w:hAnsi="Arial" w:cs="Arial"/>
        </w:rPr>
        <w:t xml:space="preserve"> in practice</w:t>
      </w:r>
      <w:r w:rsidR="00ED7A41" w:rsidRPr="006F1D04">
        <w:rPr>
          <w:rFonts w:ascii="Arial" w:hAnsi="Arial" w:cs="Arial"/>
        </w:rPr>
        <w:t>.</w:t>
      </w:r>
      <w:r w:rsidR="00321264" w:rsidRPr="006F1D04">
        <w:rPr>
          <w:rFonts w:ascii="Arial" w:hAnsi="Arial" w:cs="Arial"/>
        </w:rPr>
        <w:t xml:space="preserve"> </w:t>
      </w:r>
      <w:r w:rsidR="00DE5DAB" w:rsidRPr="006F1D04">
        <w:rPr>
          <w:rFonts w:ascii="Arial" w:hAnsi="Arial" w:cs="Arial"/>
        </w:rPr>
        <w:t xml:space="preserve">Nevertheless, it is important to emphasise the likely benefits of an exposure-reduction framework. As noted in </w:t>
      </w:r>
      <w:r w:rsidR="00DE5DAB" w:rsidRPr="006F1D04">
        <w:rPr>
          <w:rFonts w:ascii="Arial" w:hAnsi="Arial" w:cs="Arial"/>
          <w:b/>
        </w:rPr>
        <w:t>Chapter 3</w:t>
      </w:r>
      <w:r w:rsidR="00DE5DAB" w:rsidRPr="006F1D04">
        <w:rPr>
          <w:rFonts w:ascii="Arial" w:hAnsi="Arial" w:cs="Arial"/>
        </w:rPr>
        <w:t>, long-term exposure to the prevailing background PM</w:t>
      </w:r>
      <w:r w:rsidR="00DE5DAB" w:rsidRPr="006F1D04">
        <w:rPr>
          <w:rFonts w:ascii="Arial" w:hAnsi="Arial" w:cs="Arial"/>
          <w:vertAlign w:val="subscript"/>
        </w:rPr>
        <w:t>2.5</w:t>
      </w:r>
      <w:r w:rsidR="00DE5DAB" w:rsidRPr="006F1D04">
        <w:rPr>
          <w:rFonts w:ascii="Arial" w:hAnsi="Arial" w:cs="Arial"/>
        </w:rPr>
        <w:t xml:space="preserve"> concentration is the most important determinant of health outcomes. Even where a</w:t>
      </w:r>
      <w:r w:rsidR="00201D4B" w:rsidRPr="006F1D04">
        <w:rPr>
          <w:rFonts w:ascii="Arial" w:hAnsi="Arial" w:cs="Arial"/>
        </w:rPr>
        <w:t>n</w:t>
      </w:r>
      <w:r w:rsidR="00DE5DAB" w:rsidRPr="006F1D04">
        <w:rPr>
          <w:rFonts w:ascii="Arial" w:hAnsi="Arial" w:cs="Arial"/>
        </w:rPr>
        <w:t xml:space="preserve"> </w:t>
      </w:r>
      <w:r w:rsidR="00EF24F8" w:rsidRPr="006F1D04">
        <w:rPr>
          <w:rFonts w:ascii="Arial" w:hAnsi="Arial" w:cs="Arial"/>
        </w:rPr>
        <w:t>AAQ NEPM</w:t>
      </w:r>
      <w:r w:rsidR="00DE5DAB" w:rsidRPr="006F1D04">
        <w:rPr>
          <w:rFonts w:ascii="Arial" w:hAnsi="Arial" w:cs="Arial"/>
        </w:rPr>
        <w:t xml:space="preserve"> standard is not exceeded there is a health benefit associated with reducing concentrations, and an exposure-reduction framework provides an appropriate mechanism for this. Therefore the incorporation of option ER2 into the </w:t>
      </w:r>
      <w:r w:rsidR="00EF24F8" w:rsidRPr="006F1D04">
        <w:rPr>
          <w:rFonts w:ascii="Arial" w:hAnsi="Arial" w:cs="Arial"/>
        </w:rPr>
        <w:t>AAQ NEPM</w:t>
      </w:r>
      <w:r w:rsidR="00DE5DAB" w:rsidRPr="006F1D04">
        <w:rPr>
          <w:rFonts w:ascii="Arial" w:hAnsi="Arial" w:cs="Arial"/>
        </w:rPr>
        <w:t xml:space="preserve"> </w:t>
      </w:r>
      <w:r w:rsidR="004312E0" w:rsidRPr="006F1D04">
        <w:rPr>
          <w:rFonts w:ascii="Arial" w:hAnsi="Arial" w:cs="Arial"/>
        </w:rPr>
        <w:t>should</w:t>
      </w:r>
      <w:r w:rsidR="00DE5DAB" w:rsidRPr="006F1D04">
        <w:rPr>
          <w:rFonts w:ascii="Arial" w:hAnsi="Arial" w:cs="Arial"/>
        </w:rPr>
        <w:t xml:space="preserve"> be considered. This would involve the deve</w:t>
      </w:r>
      <w:r w:rsidR="005360B4" w:rsidRPr="006F1D04">
        <w:rPr>
          <w:rFonts w:ascii="Arial" w:hAnsi="Arial" w:cs="Arial"/>
        </w:rPr>
        <w:t>lopment of an exposure index</w:t>
      </w:r>
      <w:r w:rsidR="00DE5DAB" w:rsidRPr="006F1D04">
        <w:rPr>
          <w:rFonts w:ascii="Arial" w:hAnsi="Arial" w:cs="Arial"/>
        </w:rPr>
        <w:t xml:space="preserve"> for PM</w:t>
      </w:r>
      <w:r w:rsidR="00DE5DAB" w:rsidRPr="006F1D04">
        <w:rPr>
          <w:rFonts w:ascii="Arial" w:hAnsi="Arial" w:cs="Arial"/>
          <w:vertAlign w:val="subscript"/>
        </w:rPr>
        <w:t>2.5</w:t>
      </w:r>
      <w:r w:rsidR="00DE5DAB" w:rsidRPr="006F1D04">
        <w:rPr>
          <w:rFonts w:ascii="Arial" w:hAnsi="Arial" w:cs="Arial"/>
        </w:rPr>
        <w:t xml:space="preserve"> for assessing progress, but without a formal target. It would involve little </w:t>
      </w:r>
      <w:r w:rsidR="00051582" w:rsidRPr="006F1D04">
        <w:rPr>
          <w:rFonts w:ascii="Arial" w:hAnsi="Arial" w:cs="Arial"/>
        </w:rPr>
        <w:t>or</w:t>
      </w:r>
      <w:r w:rsidR="00B22562" w:rsidRPr="006F1D04">
        <w:rPr>
          <w:rFonts w:ascii="Arial" w:hAnsi="Arial" w:cs="Arial"/>
        </w:rPr>
        <w:t xml:space="preserve"> no </w:t>
      </w:r>
      <w:r w:rsidR="00DE5DAB" w:rsidRPr="006F1D04">
        <w:rPr>
          <w:rFonts w:ascii="Arial" w:hAnsi="Arial" w:cs="Arial"/>
        </w:rPr>
        <w:t>additi</w:t>
      </w:r>
      <w:r w:rsidR="001B7F64" w:rsidRPr="006F1D04">
        <w:rPr>
          <w:rFonts w:ascii="Arial" w:hAnsi="Arial" w:cs="Arial"/>
        </w:rPr>
        <w:t>onal cost to the jurisdictions</w:t>
      </w:r>
      <w:r w:rsidR="00051582" w:rsidRPr="006F1D04">
        <w:rPr>
          <w:rFonts w:ascii="Arial" w:hAnsi="Arial" w:cs="Arial"/>
        </w:rPr>
        <w:t xml:space="preserve"> unless additional monitoring is conducted.</w:t>
      </w:r>
    </w:p>
    <w:p w:rsidR="005841A9" w:rsidRPr="006F1D04" w:rsidRDefault="007A0424" w:rsidP="00DE5DAB">
      <w:pPr>
        <w:spacing w:after="300"/>
        <w:rPr>
          <w:rFonts w:ascii="Arial" w:hAnsi="Arial" w:cs="Arial"/>
        </w:rPr>
      </w:pPr>
      <w:r w:rsidRPr="006F1D04">
        <w:rPr>
          <w:rFonts w:ascii="Arial" w:hAnsi="Arial" w:cs="Arial"/>
        </w:rPr>
        <w:t>It is important to add</w:t>
      </w:r>
      <w:r w:rsidR="00204822" w:rsidRPr="006F1D04">
        <w:rPr>
          <w:rFonts w:ascii="Arial" w:hAnsi="Arial" w:cs="Arial"/>
        </w:rPr>
        <w:t xml:space="preserve"> that the real-world population exposure is the sum of all individual population exposures, taking into account the time individuals spend in different ‘micro-environments’</w:t>
      </w:r>
      <w:r w:rsidR="00204822" w:rsidRPr="006F1D04">
        <w:rPr>
          <w:rStyle w:val="FootnoteReference"/>
          <w:rFonts w:ascii="Arial" w:hAnsi="Arial" w:cs="Arial"/>
        </w:rPr>
        <w:footnoteReference w:id="34"/>
      </w:r>
      <w:r w:rsidR="00204822" w:rsidRPr="006F1D04">
        <w:rPr>
          <w:rFonts w:ascii="Arial" w:hAnsi="Arial" w:cs="Arial"/>
        </w:rPr>
        <w:t xml:space="preserve">. However, in most situations there are insufficient data to allow a bottom-up calculation of population exposure. In the EU exposure-reduction framework, and </w:t>
      </w:r>
      <w:r w:rsidRPr="006F1D04">
        <w:rPr>
          <w:rFonts w:ascii="Arial" w:hAnsi="Arial" w:cs="Arial"/>
        </w:rPr>
        <w:t>in</w:t>
      </w:r>
      <w:r w:rsidR="00204822" w:rsidRPr="006F1D04">
        <w:rPr>
          <w:rFonts w:ascii="Arial" w:hAnsi="Arial" w:cs="Arial"/>
        </w:rPr>
        <w:t xml:space="preserve"> the options described above, the monitoring data from urban background sites are used as a proxy for actual population exposure.</w:t>
      </w:r>
      <w:r w:rsidRPr="006F1D04">
        <w:rPr>
          <w:rFonts w:ascii="Arial" w:hAnsi="Arial" w:cs="Arial"/>
        </w:rPr>
        <w:t xml:space="preserve"> </w:t>
      </w:r>
      <w:r w:rsidR="005841A9" w:rsidRPr="006F1D04">
        <w:rPr>
          <w:rFonts w:ascii="Arial" w:hAnsi="Arial" w:cs="Arial"/>
        </w:rPr>
        <w:t xml:space="preserve">Variations of this approach, such as introducing population weightings for different monitoring sites, could be considered as potential refinements. </w:t>
      </w:r>
    </w:p>
    <w:p w:rsidR="00DA10B2" w:rsidRPr="006F1D04" w:rsidRDefault="00BC4BA8" w:rsidP="00BC4BA8">
      <w:pPr>
        <w:pStyle w:val="Heading4"/>
        <w:rPr>
          <w:rFonts w:ascii="Arial" w:hAnsi="Arial" w:cs="Arial"/>
        </w:rPr>
      </w:pPr>
      <w:r w:rsidRPr="006F1D04">
        <w:rPr>
          <w:rFonts w:ascii="Arial" w:hAnsi="Arial" w:cs="Arial"/>
        </w:rPr>
        <w:lastRenderedPageBreak/>
        <w:t>Sensitivity analysis</w:t>
      </w:r>
    </w:p>
    <w:p w:rsidR="00BC4BA8" w:rsidRPr="006F1D04" w:rsidRDefault="00BC4BA8" w:rsidP="00E21370">
      <w:pPr>
        <w:spacing w:after="160"/>
        <w:rPr>
          <w:rFonts w:ascii="Arial" w:hAnsi="Arial" w:cs="Arial"/>
          <w:lang/>
        </w:rPr>
      </w:pPr>
      <w:r w:rsidRPr="006F1D04">
        <w:rPr>
          <w:rFonts w:ascii="Arial" w:hAnsi="Arial" w:cs="Arial"/>
          <w:lang/>
        </w:rPr>
        <w:t>Five types of sensitivity analysis were performed in the Economic Analysis project to test how the results would vary based on alternative sets of assumptions. Specifically, the sensitivity of the results to the following was examined:</w:t>
      </w:r>
    </w:p>
    <w:p w:rsidR="00BC4BA8" w:rsidRPr="006F1D04" w:rsidRDefault="00B13CFD" w:rsidP="00E21370">
      <w:pPr>
        <w:numPr>
          <w:ilvl w:val="0"/>
          <w:numId w:val="1"/>
        </w:numPr>
        <w:spacing w:after="160"/>
        <w:ind w:left="568" w:hanging="284"/>
        <w:rPr>
          <w:rFonts w:ascii="Arial" w:hAnsi="Arial" w:cs="Arial"/>
          <w:bCs/>
          <w:kern w:val="32"/>
          <w:szCs w:val="32"/>
          <w:lang/>
        </w:rPr>
      </w:pPr>
      <w:r w:rsidRPr="006F1D04">
        <w:rPr>
          <w:rFonts w:ascii="Arial" w:hAnsi="Arial" w:cs="Arial"/>
          <w:bCs/>
          <w:kern w:val="32"/>
          <w:szCs w:val="32"/>
          <w:lang/>
        </w:rPr>
        <w:t>t</w:t>
      </w:r>
      <w:r w:rsidR="00BC4BA8" w:rsidRPr="006F1D04">
        <w:rPr>
          <w:rFonts w:ascii="Arial" w:hAnsi="Arial" w:cs="Arial"/>
          <w:bCs/>
          <w:kern w:val="32"/>
          <w:szCs w:val="32"/>
          <w:lang/>
        </w:rPr>
        <w:t>he cost and emission assumptions for the abatement measures</w:t>
      </w:r>
    </w:p>
    <w:p w:rsidR="00BC4BA8" w:rsidRPr="006F1D04" w:rsidRDefault="00B13CFD" w:rsidP="00E21370">
      <w:pPr>
        <w:numPr>
          <w:ilvl w:val="0"/>
          <w:numId w:val="1"/>
        </w:numPr>
        <w:spacing w:after="160"/>
        <w:ind w:left="568" w:hanging="284"/>
        <w:rPr>
          <w:rFonts w:ascii="Arial" w:hAnsi="Arial" w:cs="Arial"/>
          <w:bCs/>
          <w:color w:val="000000"/>
          <w:kern w:val="32"/>
          <w:szCs w:val="32"/>
          <w:lang/>
        </w:rPr>
      </w:pPr>
      <w:r w:rsidRPr="006F1D04">
        <w:rPr>
          <w:rFonts w:ascii="Arial" w:hAnsi="Arial" w:cs="Arial"/>
          <w:bCs/>
          <w:kern w:val="32"/>
          <w:szCs w:val="32"/>
          <w:lang/>
        </w:rPr>
        <w:t>t</w:t>
      </w:r>
      <w:r w:rsidR="00BC4BA8" w:rsidRPr="006F1D04">
        <w:rPr>
          <w:rFonts w:ascii="Arial" w:hAnsi="Arial" w:cs="Arial"/>
          <w:bCs/>
          <w:kern w:val="32"/>
          <w:szCs w:val="32"/>
          <w:lang/>
        </w:rPr>
        <w:t>he discount rate</w:t>
      </w:r>
      <w:r w:rsidR="00D162E6" w:rsidRPr="006F1D04">
        <w:rPr>
          <w:rStyle w:val="FootnoteReference"/>
          <w:rFonts w:ascii="Arial" w:hAnsi="Arial" w:cs="Arial"/>
          <w:bCs/>
          <w:kern w:val="32"/>
          <w:szCs w:val="32"/>
          <w:lang/>
        </w:rPr>
        <w:footnoteReference w:id="35"/>
      </w:r>
    </w:p>
    <w:p w:rsidR="00BC4BA8" w:rsidRPr="006F1D04" w:rsidRDefault="00B13CFD" w:rsidP="00E21370">
      <w:pPr>
        <w:numPr>
          <w:ilvl w:val="0"/>
          <w:numId w:val="1"/>
        </w:numPr>
        <w:spacing w:after="160"/>
        <w:ind w:left="568" w:hanging="284"/>
        <w:rPr>
          <w:rFonts w:ascii="Arial" w:hAnsi="Arial" w:cs="Arial"/>
          <w:bCs/>
          <w:color w:val="000000"/>
          <w:kern w:val="32"/>
          <w:szCs w:val="32"/>
          <w:lang/>
        </w:rPr>
      </w:pPr>
      <w:r w:rsidRPr="006F1D04">
        <w:rPr>
          <w:rFonts w:ascii="Arial" w:hAnsi="Arial" w:cs="Arial"/>
          <w:bCs/>
          <w:kern w:val="32"/>
          <w:szCs w:val="32"/>
          <w:lang/>
        </w:rPr>
        <w:t>t</w:t>
      </w:r>
      <w:r w:rsidR="00BC4BA8" w:rsidRPr="006F1D04">
        <w:rPr>
          <w:rFonts w:ascii="Arial" w:hAnsi="Arial" w:cs="Arial"/>
          <w:bCs/>
          <w:kern w:val="32"/>
          <w:szCs w:val="32"/>
          <w:lang/>
        </w:rPr>
        <w:t>he assumptions relating to growth in emissions under the BAU scenario (Western Australia was taken to be representative of a jurisdiction with higher growth)</w:t>
      </w:r>
    </w:p>
    <w:p w:rsidR="00BC4BA8" w:rsidRPr="006F1D04" w:rsidRDefault="00B13CFD" w:rsidP="00E21370">
      <w:pPr>
        <w:numPr>
          <w:ilvl w:val="0"/>
          <w:numId w:val="1"/>
        </w:numPr>
        <w:spacing w:after="160"/>
        <w:ind w:left="568" w:hanging="284"/>
        <w:rPr>
          <w:rFonts w:ascii="Arial" w:hAnsi="Arial" w:cs="Arial"/>
          <w:bCs/>
          <w:color w:val="000000"/>
          <w:kern w:val="32"/>
          <w:szCs w:val="32"/>
          <w:lang/>
        </w:rPr>
      </w:pPr>
      <w:r w:rsidRPr="006F1D04">
        <w:rPr>
          <w:rFonts w:ascii="Arial" w:hAnsi="Arial" w:cs="Arial"/>
          <w:bCs/>
          <w:kern w:val="32"/>
          <w:szCs w:val="32"/>
          <w:lang/>
        </w:rPr>
        <w:t>t</w:t>
      </w:r>
      <w:r w:rsidR="00BC4BA8" w:rsidRPr="006F1D04">
        <w:rPr>
          <w:rFonts w:ascii="Arial" w:hAnsi="Arial" w:cs="Arial"/>
          <w:bCs/>
          <w:kern w:val="32"/>
          <w:szCs w:val="32"/>
          <w:lang/>
        </w:rPr>
        <w:t>he assumption relating to the value of a life year</w:t>
      </w:r>
    </w:p>
    <w:p w:rsidR="00BC4BA8" w:rsidRPr="006F1D04" w:rsidRDefault="00B13CFD" w:rsidP="00E21370">
      <w:pPr>
        <w:numPr>
          <w:ilvl w:val="0"/>
          <w:numId w:val="1"/>
        </w:numPr>
        <w:ind w:left="568" w:hanging="284"/>
        <w:rPr>
          <w:rFonts w:ascii="Arial" w:hAnsi="Arial" w:cs="Arial"/>
          <w:bCs/>
          <w:color w:val="000000"/>
          <w:kern w:val="32"/>
          <w:szCs w:val="32"/>
          <w:lang/>
        </w:rPr>
      </w:pPr>
      <w:proofErr w:type="gramStart"/>
      <w:r w:rsidRPr="006F1D04">
        <w:rPr>
          <w:rFonts w:ascii="Arial" w:hAnsi="Arial" w:cs="Arial"/>
          <w:bCs/>
          <w:kern w:val="32"/>
          <w:szCs w:val="32"/>
          <w:lang/>
        </w:rPr>
        <w:t>t</w:t>
      </w:r>
      <w:r w:rsidR="00BC4BA8" w:rsidRPr="006F1D04">
        <w:rPr>
          <w:rFonts w:ascii="Arial" w:hAnsi="Arial" w:cs="Arial"/>
          <w:bCs/>
          <w:kern w:val="32"/>
          <w:szCs w:val="32"/>
          <w:lang/>
        </w:rPr>
        <w:t>he</w:t>
      </w:r>
      <w:proofErr w:type="gramEnd"/>
      <w:r w:rsidR="00BC4BA8" w:rsidRPr="006F1D04">
        <w:rPr>
          <w:rFonts w:ascii="Arial" w:hAnsi="Arial" w:cs="Arial"/>
          <w:bCs/>
          <w:kern w:val="32"/>
          <w:szCs w:val="32"/>
          <w:lang/>
        </w:rPr>
        <w:t xml:space="preserve"> method used to monetise the benefits of emission reductions.</w:t>
      </w:r>
    </w:p>
    <w:p w:rsidR="00BC4BA8" w:rsidRPr="006F1D04" w:rsidRDefault="00DE5DAB" w:rsidP="00F40168">
      <w:pPr>
        <w:spacing w:after="360"/>
        <w:rPr>
          <w:rFonts w:ascii="Arial" w:hAnsi="Arial" w:cs="Arial"/>
          <w:lang/>
        </w:rPr>
      </w:pPr>
      <w:r w:rsidRPr="006F1D04">
        <w:rPr>
          <w:rFonts w:ascii="Arial" w:hAnsi="Arial" w:cs="Arial"/>
          <w:lang/>
        </w:rPr>
        <w:t xml:space="preserve">The package </w:t>
      </w:r>
      <w:r w:rsidR="00BC4BA8" w:rsidRPr="006F1D04">
        <w:rPr>
          <w:rFonts w:ascii="Arial" w:hAnsi="Arial" w:cs="Arial"/>
          <w:lang/>
        </w:rPr>
        <w:t xml:space="preserve">of measures performed well in the sensitivity tests and carried the benefit of diversifying the risk of individual measures. The rationale for, and results of, the sensitivity analysis are presented in </w:t>
      </w:r>
      <w:r w:rsidR="00B13CFD" w:rsidRPr="006F1D04">
        <w:rPr>
          <w:rFonts w:ascii="Arial" w:hAnsi="Arial" w:cs="Arial"/>
          <w:lang/>
        </w:rPr>
        <w:t xml:space="preserve">the </w:t>
      </w:r>
      <w:r w:rsidR="00BC4BA8" w:rsidRPr="006F1D04">
        <w:rPr>
          <w:rFonts w:ascii="Arial" w:hAnsi="Arial" w:cs="Arial"/>
          <w:lang/>
        </w:rPr>
        <w:t xml:space="preserve">Economic Analysis report </w:t>
      </w:r>
      <w:r w:rsidR="00BC4BA8" w:rsidRPr="006F1D04">
        <w:rPr>
          <w:rFonts w:ascii="Arial" w:hAnsi="Arial" w:cs="Arial"/>
          <w:b/>
          <w:lang/>
        </w:rPr>
        <w:t xml:space="preserve">(Boulter </w:t>
      </w:r>
      <w:r w:rsidR="00B13CFD" w:rsidRPr="006F1D04">
        <w:rPr>
          <w:rFonts w:ascii="Arial" w:hAnsi="Arial" w:cs="Arial"/>
          <w:b/>
          <w:lang/>
        </w:rPr>
        <w:t xml:space="preserve">&amp; </w:t>
      </w:r>
      <w:r w:rsidR="00BC4BA8" w:rsidRPr="006F1D04">
        <w:rPr>
          <w:rFonts w:ascii="Arial" w:hAnsi="Arial" w:cs="Arial"/>
          <w:b/>
          <w:lang/>
        </w:rPr>
        <w:t>Kulkarni 2013)</w:t>
      </w:r>
      <w:r w:rsidR="00BC4BA8" w:rsidRPr="006F1D04">
        <w:rPr>
          <w:rFonts w:ascii="Arial" w:hAnsi="Arial" w:cs="Arial"/>
          <w:lang/>
        </w:rPr>
        <w:t xml:space="preserve">. </w:t>
      </w:r>
    </w:p>
    <w:p w:rsidR="0048798A" w:rsidRPr="006F1D04" w:rsidRDefault="0048798A" w:rsidP="008224B6">
      <w:pPr>
        <w:pStyle w:val="Heading2"/>
        <w:rPr>
          <w:rFonts w:ascii="Arial" w:hAnsi="Arial"/>
        </w:rPr>
      </w:pPr>
      <w:bookmarkStart w:id="184" w:name="_Toc394011151"/>
      <w:r w:rsidRPr="006F1D04">
        <w:rPr>
          <w:rFonts w:ascii="Arial" w:hAnsi="Arial"/>
        </w:rPr>
        <w:t>Summary</w:t>
      </w:r>
      <w:r w:rsidR="00156603" w:rsidRPr="006F1D04">
        <w:rPr>
          <w:rFonts w:ascii="Arial" w:hAnsi="Arial"/>
        </w:rPr>
        <w:t xml:space="preserve"> of </w:t>
      </w:r>
      <w:r w:rsidR="00D97521" w:rsidRPr="006F1D04">
        <w:rPr>
          <w:rFonts w:ascii="Arial" w:hAnsi="Arial"/>
        </w:rPr>
        <w:t xml:space="preserve">information for each </w:t>
      </w:r>
      <w:r w:rsidR="00132D10" w:rsidRPr="006F1D04">
        <w:rPr>
          <w:rFonts w:ascii="Arial" w:hAnsi="Arial"/>
        </w:rPr>
        <w:t>sub-o</w:t>
      </w:r>
      <w:r w:rsidR="00156603" w:rsidRPr="006F1D04">
        <w:rPr>
          <w:rFonts w:ascii="Arial" w:hAnsi="Arial"/>
        </w:rPr>
        <w:t>ption</w:t>
      </w:r>
      <w:bookmarkEnd w:id="184"/>
    </w:p>
    <w:p w:rsidR="00C82FCE" w:rsidRPr="006F1D04" w:rsidRDefault="00D97521" w:rsidP="00F40168">
      <w:pPr>
        <w:spacing w:after="200"/>
        <w:rPr>
          <w:rFonts w:ascii="Arial" w:hAnsi="Arial" w:cs="Arial"/>
        </w:rPr>
      </w:pPr>
      <w:r w:rsidRPr="006F1D04">
        <w:rPr>
          <w:rFonts w:ascii="Arial" w:hAnsi="Arial" w:cs="Arial"/>
        </w:rPr>
        <w:t>The inform</w:t>
      </w:r>
      <w:r w:rsidR="00132D10" w:rsidRPr="006F1D04">
        <w:rPr>
          <w:rFonts w:ascii="Arial" w:hAnsi="Arial" w:cs="Arial"/>
        </w:rPr>
        <w:t>ation obtained for each of the sub-o</w:t>
      </w:r>
      <w:r w:rsidRPr="006F1D04">
        <w:rPr>
          <w:rFonts w:ascii="Arial" w:hAnsi="Arial" w:cs="Arial"/>
        </w:rPr>
        <w:t>ptions for the numerical values of the PM</w:t>
      </w:r>
      <w:r w:rsidRPr="006F1D04">
        <w:rPr>
          <w:rFonts w:ascii="Arial" w:hAnsi="Arial" w:cs="Arial"/>
          <w:vertAlign w:val="subscript"/>
        </w:rPr>
        <w:t>10</w:t>
      </w:r>
      <w:r w:rsidRPr="006F1D04">
        <w:rPr>
          <w:rFonts w:ascii="Arial" w:hAnsi="Arial" w:cs="Arial"/>
        </w:rPr>
        <w:t xml:space="preserve"> and PM</w:t>
      </w:r>
      <w:r w:rsidRPr="006F1D04">
        <w:rPr>
          <w:rFonts w:ascii="Arial" w:hAnsi="Arial" w:cs="Arial"/>
          <w:vertAlign w:val="subscript"/>
        </w:rPr>
        <w:t>2.5</w:t>
      </w:r>
      <w:r w:rsidRPr="006F1D04">
        <w:rPr>
          <w:rFonts w:ascii="Arial" w:hAnsi="Arial" w:cs="Arial"/>
        </w:rPr>
        <w:t xml:space="preserve"> standards is summarised in </w:t>
      </w:r>
      <w:fldSimple w:instr=" REF _Ref367633996 \h  \* MERGEFORMAT ">
        <w:r w:rsidR="0085182E" w:rsidRPr="0085182E">
          <w:rPr>
            <w:rFonts w:ascii="Arial" w:hAnsi="Arial" w:cs="Arial"/>
            <w:b/>
          </w:rPr>
          <w:t>Table 8.7</w:t>
        </w:r>
      </w:fldSimple>
      <w:r w:rsidRPr="006F1D04">
        <w:rPr>
          <w:rFonts w:ascii="Arial" w:hAnsi="Arial" w:cs="Arial"/>
        </w:rPr>
        <w:t>.</w:t>
      </w:r>
      <w:r w:rsidR="005360B4" w:rsidRPr="006F1D04">
        <w:rPr>
          <w:rFonts w:ascii="Arial" w:hAnsi="Arial" w:cs="Arial"/>
        </w:rPr>
        <w:t xml:space="preserve"> </w:t>
      </w:r>
      <w:r w:rsidR="00C82FCE" w:rsidRPr="006F1D04">
        <w:rPr>
          <w:rFonts w:ascii="Arial" w:hAnsi="Arial" w:cs="Arial"/>
        </w:rPr>
        <w:t>The main aspects to note are:</w:t>
      </w:r>
    </w:p>
    <w:p w:rsidR="00C82FCE" w:rsidRPr="006F1D04" w:rsidRDefault="00C82FCE" w:rsidP="00003665">
      <w:pPr>
        <w:pStyle w:val="BulletArrows"/>
        <w:numPr>
          <w:ilvl w:val="0"/>
          <w:numId w:val="126"/>
        </w:numPr>
        <w:spacing w:after="200"/>
        <w:ind w:left="568" w:hanging="284"/>
        <w:rPr>
          <w:rFonts w:ascii="Arial" w:hAnsi="Arial"/>
        </w:rPr>
      </w:pPr>
      <w:r w:rsidRPr="006F1D04">
        <w:rPr>
          <w:rFonts w:ascii="Arial" w:hAnsi="Arial"/>
        </w:rPr>
        <w:t>The latest health findings indicate that it would be advisable to include an annual mean standard for PM</w:t>
      </w:r>
      <w:r w:rsidRPr="006F1D04">
        <w:rPr>
          <w:rFonts w:ascii="Arial" w:hAnsi="Arial"/>
          <w:vertAlign w:val="subscript"/>
        </w:rPr>
        <w:t>10</w:t>
      </w:r>
      <w:r w:rsidRPr="006F1D04">
        <w:rPr>
          <w:rFonts w:ascii="Arial" w:hAnsi="Arial"/>
        </w:rPr>
        <w:t xml:space="preserve"> in the </w:t>
      </w:r>
      <w:r w:rsidR="00EF24F8" w:rsidRPr="006F1D04">
        <w:rPr>
          <w:rFonts w:ascii="Arial" w:hAnsi="Arial"/>
        </w:rPr>
        <w:t>AAQ NEPM</w:t>
      </w:r>
      <w:r w:rsidRPr="006F1D04">
        <w:rPr>
          <w:rFonts w:ascii="Arial" w:hAnsi="Arial"/>
        </w:rPr>
        <w:t xml:space="preserve">. This is supported by </w:t>
      </w:r>
      <w:proofErr w:type="spellStart"/>
      <w:r w:rsidRPr="006F1D04">
        <w:rPr>
          <w:rFonts w:ascii="Arial" w:hAnsi="Arial"/>
        </w:rPr>
        <w:t>enHealth</w:t>
      </w:r>
      <w:proofErr w:type="spellEnd"/>
      <w:r w:rsidRPr="006F1D04">
        <w:rPr>
          <w:rFonts w:ascii="Arial" w:hAnsi="Arial"/>
        </w:rPr>
        <w:t>. The</w:t>
      </w:r>
      <w:r w:rsidR="005C0895" w:rsidRPr="006F1D04">
        <w:rPr>
          <w:rFonts w:ascii="Arial" w:hAnsi="Arial"/>
        </w:rPr>
        <w:t xml:space="preserve"> historical</w:t>
      </w:r>
      <w:r w:rsidRPr="006F1D04">
        <w:rPr>
          <w:rFonts w:ascii="Arial" w:hAnsi="Arial"/>
        </w:rPr>
        <w:t xml:space="preserve"> PM</w:t>
      </w:r>
      <w:r w:rsidRPr="006F1D04">
        <w:rPr>
          <w:rFonts w:ascii="Arial" w:hAnsi="Arial"/>
          <w:vertAlign w:val="subscript"/>
        </w:rPr>
        <w:t>10</w:t>
      </w:r>
      <w:r w:rsidRPr="006F1D04">
        <w:rPr>
          <w:rFonts w:ascii="Arial" w:hAnsi="Arial"/>
        </w:rPr>
        <w:t xml:space="preserve"> monitoring data and the </w:t>
      </w:r>
      <w:r w:rsidR="005C0895" w:rsidRPr="006F1D04">
        <w:rPr>
          <w:rFonts w:ascii="Arial" w:hAnsi="Arial"/>
        </w:rPr>
        <w:t xml:space="preserve">future projections from the </w:t>
      </w:r>
      <w:r w:rsidRPr="006F1D04">
        <w:rPr>
          <w:rFonts w:ascii="Arial" w:hAnsi="Arial"/>
        </w:rPr>
        <w:t xml:space="preserve">Economic Analysis indicate that a value for the standard of 20 </w:t>
      </w:r>
      <w:proofErr w:type="spellStart"/>
      <w:r w:rsidRPr="006F1D04">
        <w:rPr>
          <w:rFonts w:ascii="Arial" w:hAnsi="Arial"/>
        </w:rPr>
        <w:t>μg</w:t>
      </w:r>
      <w:proofErr w:type="spellEnd"/>
      <w:r w:rsidRPr="006F1D04">
        <w:rPr>
          <w:rFonts w:ascii="Arial" w:hAnsi="Arial"/>
        </w:rPr>
        <w:t>/m</w:t>
      </w:r>
      <w:r w:rsidRPr="006F1D04">
        <w:rPr>
          <w:rFonts w:ascii="Arial" w:hAnsi="Arial"/>
          <w:vertAlign w:val="superscript"/>
        </w:rPr>
        <w:t>3</w:t>
      </w:r>
      <w:r w:rsidRPr="006F1D04">
        <w:rPr>
          <w:rFonts w:ascii="Arial" w:hAnsi="Arial"/>
        </w:rPr>
        <w:t xml:space="preserve"> would be appropriate.</w:t>
      </w:r>
    </w:p>
    <w:p w:rsidR="005C0895" w:rsidRPr="006F1D04" w:rsidRDefault="005C0895" w:rsidP="00003665">
      <w:pPr>
        <w:pStyle w:val="BulletArrows"/>
        <w:numPr>
          <w:ilvl w:val="0"/>
          <w:numId w:val="126"/>
        </w:numPr>
        <w:spacing w:after="200"/>
        <w:ind w:left="568" w:hanging="284"/>
        <w:rPr>
          <w:rFonts w:ascii="Arial" w:hAnsi="Arial"/>
        </w:rPr>
      </w:pPr>
      <w:r w:rsidRPr="006F1D04">
        <w:rPr>
          <w:rFonts w:ascii="Arial" w:hAnsi="Arial"/>
        </w:rPr>
        <w:t>The PM</w:t>
      </w:r>
      <w:r w:rsidRPr="006F1D04">
        <w:rPr>
          <w:rFonts w:ascii="Arial" w:hAnsi="Arial"/>
          <w:vertAlign w:val="subscript"/>
        </w:rPr>
        <w:t>10</w:t>
      </w:r>
      <w:r w:rsidRPr="006F1D04">
        <w:rPr>
          <w:rFonts w:ascii="Arial" w:hAnsi="Arial"/>
        </w:rPr>
        <w:t xml:space="preserve"> monitoring data and the Economic Analysis indicate that a tightening of the 24-hour standard for PM</w:t>
      </w:r>
      <w:r w:rsidRPr="006F1D04">
        <w:rPr>
          <w:rFonts w:ascii="Arial" w:hAnsi="Arial"/>
          <w:vertAlign w:val="subscript"/>
        </w:rPr>
        <w:t>10</w:t>
      </w:r>
      <w:r w:rsidRPr="006F1D04">
        <w:rPr>
          <w:rFonts w:ascii="Arial" w:hAnsi="Arial"/>
        </w:rPr>
        <w:t xml:space="preserve"> (currently</w:t>
      </w:r>
      <w:r w:rsidR="00E21370" w:rsidRPr="006F1D04">
        <w:rPr>
          <w:rFonts w:ascii="Arial" w:hAnsi="Arial"/>
        </w:rPr>
        <w:t xml:space="preserve"> </w:t>
      </w:r>
      <w:r w:rsidRPr="006F1D04">
        <w:rPr>
          <w:rFonts w:ascii="Arial" w:hAnsi="Arial"/>
        </w:rPr>
        <w:t xml:space="preserve">50 </w:t>
      </w:r>
      <w:proofErr w:type="spellStart"/>
      <w:r w:rsidRPr="006F1D04">
        <w:rPr>
          <w:rFonts w:ascii="Arial" w:hAnsi="Arial"/>
        </w:rPr>
        <w:t>μg</w:t>
      </w:r>
      <w:proofErr w:type="spellEnd"/>
      <w:r w:rsidRPr="006F1D04">
        <w:rPr>
          <w:rFonts w:ascii="Arial" w:hAnsi="Arial"/>
        </w:rPr>
        <w:t>/m</w:t>
      </w:r>
      <w:r w:rsidRPr="006F1D04">
        <w:rPr>
          <w:rFonts w:ascii="Arial" w:hAnsi="Arial"/>
          <w:vertAlign w:val="superscript"/>
        </w:rPr>
        <w:t>3</w:t>
      </w:r>
      <w:r w:rsidR="00F22582" w:rsidRPr="006F1D04">
        <w:rPr>
          <w:rFonts w:ascii="Arial" w:hAnsi="Arial"/>
        </w:rPr>
        <w:t xml:space="preserve">) could </w:t>
      </w:r>
      <w:r w:rsidRPr="006F1D04">
        <w:rPr>
          <w:rFonts w:ascii="Arial" w:hAnsi="Arial"/>
        </w:rPr>
        <w:t xml:space="preserve">encourage future improvements in air quality. A change to a standard of 40 </w:t>
      </w:r>
      <w:proofErr w:type="spellStart"/>
      <w:r w:rsidRPr="006F1D04">
        <w:rPr>
          <w:rFonts w:ascii="Arial" w:hAnsi="Arial"/>
        </w:rPr>
        <w:t>μg</w:t>
      </w:r>
      <w:proofErr w:type="spellEnd"/>
      <w:r w:rsidRPr="006F1D04">
        <w:rPr>
          <w:rFonts w:ascii="Arial" w:hAnsi="Arial"/>
        </w:rPr>
        <w:t>/m</w:t>
      </w:r>
      <w:r w:rsidRPr="006F1D04">
        <w:rPr>
          <w:rFonts w:ascii="Arial" w:hAnsi="Arial"/>
          <w:vertAlign w:val="superscript"/>
        </w:rPr>
        <w:t>3</w:t>
      </w:r>
      <w:r w:rsidRPr="006F1D04">
        <w:rPr>
          <w:rFonts w:ascii="Arial" w:hAnsi="Arial"/>
        </w:rPr>
        <w:t xml:space="preserve"> would be possible</w:t>
      </w:r>
      <w:r w:rsidR="00C74851" w:rsidRPr="006F1D04">
        <w:rPr>
          <w:rFonts w:ascii="Arial" w:hAnsi="Arial"/>
        </w:rPr>
        <w:t>, particularly in most urban areas</w:t>
      </w:r>
      <w:r w:rsidRPr="006F1D04">
        <w:rPr>
          <w:rFonts w:ascii="Arial" w:hAnsi="Arial"/>
        </w:rPr>
        <w:t>. However, it would be advisable to retain the 50 </w:t>
      </w:r>
      <w:proofErr w:type="spellStart"/>
      <w:r w:rsidRPr="006F1D04">
        <w:rPr>
          <w:rFonts w:ascii="Arial" w:hAnsi="Arial"/>
        </w:rPr>
        <w:t>μg</w:t>
      </w:r>
      <w:proofErr w:type="spellEnd"/>
      <w:r w:rsidRPr="006F1D04">
        <w:rPr>
          <w:rFonts w:ascii="Arial" w:hAnsi="Arial"/>
        </w:rPr>
        <w:t>/m</w:t>
      </w:r>
      <w:r w:rsidRPr="006F1D04">
        <w:rPr>
          <w:rFonts w:ascii="Arial" w:hAnsi="Arial"/>
          <w:vertAlign w:val="superscript"/>
        </w:rPr>
        <w:t>3</w:t>
      </w:r>
      <w:r w:rsidR="002E2699" w:rsidRPr="006F1D04">
        <w:rPr>
          <w:rFonts w:ascii="Arial" w:hAnsi="Arial"/>
        </w:rPr>
        <w:t xml:space="preserve"> standard as a</w:t>
      </w:r>
      <w:r w:rsidRPr="006F1D04">
        <w:rPr>
          <w:rFonts w:ascii="Arial" w:hAnsi="Arial"/>
        </w:rPr>
        <w:t xml:space="preserve"> </w:t>
      </w:r>
      <w:r w:rsidR="002E2699" w:rsidRPr="006F1D04">
        <w:rPr>
          <w:rFonts w:ascii="Arial" w:hAnsi="Arial"/>
        </w:rPr>
        <w:t>sub-</w:t>
      </w:r>
      <w:r w:rsidRPr="006F1D04">
        <w:rPr>
          <w:rFonts w:ascii="Arial" w:hAnsi="Arial"/>
        </w:rPr>
        <w:t xml:space="preserve">option. </w:t>
      </w:r>
      <w:r w:rsidR="00C74851" w:rsidRPr="006F1D04">
        <w:rPr>
          <w:rFonts w:ascii="Arial" w:hAnsi="Arial"/>
        </w:rPr>
        <w:t xml:space="preserve">As </w:t>
      </w:r>
      <w:r w:rsidRPr="006F1D04">
        <w:rPr>
          <w:rFonts w:ascii="Arial" w:hAnsi="Arial"/>
        </w:rPr>
        <w:t xml:space="preserve">the difference between 40 </w:t>
      </w:r>
      <w:proofErr w:type="spellStart"/>
      <w:r w:rsidRPr="006F1D04">
        <w:rPr>
          <w:rFonts w:ascii="Arial" w:hAnsi="Arial"/>
        </w:rPr>
        <w:t>μg</w:t>
      </w:r>
      <w:proofErr w:type="spellEnd"/>
      <w:r w:rsidRPr="006F1D04">
        <w:rPr>
          <w:rFonts w:ascii="Arial" w:hAnsi="Arial"/>
        </w:rPr>
        <w:t>/m</w:t>
      </w:r>
      <w:r w:rsidRPr="006F1D04">
        <w:rPr>
          <w:rFonts w:ascii="Arial" w:hAnsi="Arial"/>
          <w:vertAlign w:val="superscript"/>
        </w:rPr>
        <w:t>3</w:t>
      </w:r>
      <w:r w:rsidRPr="006F1D04">
        <w:rPr>
          <w:rFonts w:ascii="Arial" w:hAnsi="Arial"/>
        </w:rPr>
        <w:t xml:space="preserve"> and 50 </w:t>
      </w:r>
      <w:proofErr w:type="spellStart"/>
      <w:r w:rsidRPr="006F1D04">
        <w:rPr>
          <w:rFonts w:ascii="Arial" w:hAnsi="Arial"/>
        </w:rPr>
        <w:t>μg</w:t>
      </w:r>
      <w:proofErr w:type="spellEnd"/>
      <w:r w:rsidRPr="006F1D04">
        <w:rPr>
          <w:rFonts w:ascii="Arial" w:hAnsi="Arial"/>
        </w:rPr>
        <w:t>/m</w:t>
      </w:r>
      <w:r w:rsidRPr="006F1D04">
        <w:rPr>
          <w:rFonts w:ascii="Arial" w:hAnsi="Arial"/>
          <w:vertAlign w:val="superscript"/>
        </w:rPr>
        <w:t>3</w:t>
      </w:r>
      <w:r w:rsidRPr="006F1D04">
        <w:rPr>
          <w:rFonts w:ascii="Arial" w:hAnsi="Arial"/>
        </w:rPr>
        <w:t xml:space="preserve"> is quite large, and moving to the lower value could present some difficulties in certain jurisdictions, an alternative would be to consider an intermediate </w:t>
      </w:r>
      <w:r w:rsidR="002E2699" w:rsidRPr="006F1D04">
        <w:rPr>
          <w:rFonts w:ascii="Arial" w:hAnsi="Arial"/>
        </w:rPr>
        <w:t>sub-</w:t>
      </w:r>
      <w:r w:rsidRPr="006F1D04">
        <w:rPr>
          <w:rFonts w:ascii="Arial" w:hAnsi="Arial"/>
        </w:rPr>
        <w:t>option of 45 </w:t>
      </w:r>
      <w:proofErr w:type="spellStart"/>
      <w:r w:rsidRPr="006F1D04">
        <w:rPr>
          <w:rFonts w:ascii="Arial" w:hAnsi="Arial"/>
        </w:rPr>
        <w:t>μg</w:t>
      </w:r>
      <w:proofErr w:type="spellEnd"/>
      <w:r w:rsidRPr="006F1D04">
        <w:rPr>
          <w:rFonts w:ascii="Arial" w:hAnsi="Arial"/>
        </w:rPr>
        <w:t>/m</w:t>
      </w:r>
      <w:r w:rsidRPr="006F1D04">
        <w:rPr>
          <w:rFonts w:ascii="Arial" w:hAnsi="Arial"/>
          <w:vertAlign w:val="superscript"/>
        </w:rPr>
        <w:t>3</w:t>
      </w:r>
      <w:r w:rsidRPr="006F1D04">
        <w:rPr>
          <w:rFonts w:ascii="Arial" w:hAnsi="Arial"/>
        </w:rPr>
        <w:t>.</w:t>
      </w:r>
    </w:p>
    <w:p w:rsidR="005C0895" w:rsidRPr="006F1D04" w:rsidRDefault="005C0895" w:rsidP="00003665">
      <w:pPr>
        <w:pStyle w:val="BulletArrows"/>
        <w:numPr>
          <w:ilvl w:val="0"/>
          <w:numId w:val="126"/>
        </w:numPr>
        <w:spacing w:after="200"/>
        <w:ind w:left="568" w:hanging="284"/>
        <w:rPr>
          <w:rFonts w:ascii="Arial" w:hAnsi="Arial"/>
        </w:rPr>
      </w:pPr>
      <w:r w:rsidRPr="006F1D04">
        <w:rPr>
          <w:rFonts w:ascii="Arial" w:hAnsi="Arial"/>
        </w:rPr>
        <w:t>For annual mean PM</w:t>
      </w:r>
      <w:r w:rsidRPr="006F1D04">
        <w:rPr>
          <w:rFonts w:ascii="Arial" w:hAnsi="Arial"/>
          <w:vertAlign w:val="subscript"/>
        </w:rPr>
        <w:t>2.5</w:t>
      </w:r>
      <w:r w:rsidRPr="006F1D04">
        <w:rPr>
          <w:rFonts w:ascii="Arial" w:hAnsi="Arial"/>
        </w:rPr>
        <w:t xml:space="preserve"> the monitoring data and the Economic Analysis indicate that a value for the standard of 8 </w:t>
      </w:r>
      <w:proofErr w:type="spellStart"/>
      <w:r w:rsidRPr="006F1D04">
        <w:rPr>
          <w:rFonts w:ascii="Arial" w:hAnsi="Arial"/>
        </w:rPr>
        <w:t>μg</w:t>
      </w:r>
      <w:proofErr w:type="spellEnd"/>
      <w:r w:rsidRPr="006F1D04">
        <w:rPr>
          <w:rFonts w:ascii="Arial" w:hAnsi="Arial"/>
        </w:rPr>
        <w:t>/m</w:t>
      </w:r>
      <w:r w:rsidRPr="006F1D04">
        <w:rPr>
          <w:rFonts w:ascii="Arial" w:hAnsi="Arial"/>
          <w:vertAlign w:val="superscript"/>
        </w:rPr>
        <w:t>3</w:t>
      </w:r>
      <w:r w:rsidRPr="006F1D04">
        <w:rPr>
          <w:rFonts w:ascii="Arial" w:hAnsi="Arial"/>
        </w:rPr>
        <w:t xml:space="preserve"> would be appropriate. Most jurisdictions are already complying with this on an average basis. A move to a standard of 6 </w:t>
      </w:r>
      <w:proofErr w:type="spellStart"/>
      <w:r w:rsidRPr="006F1D04">
        <w:rPr>
          <w:rFonts w:ascii="Arial" w:hAnsi="Arial"/>
        </w:rPr>
        <w:t>μg</w:t>
      </w:r>
      <w:proofErr w:type="spellEnd"/>
      <w:r w:rsidRPr="006F1D04">
        <w:rPr>
          <w:rFonts w:ascii="Arial" w:hAnsi="Arial"/>
        </w:rPr>
        <w:t>/m</w:t>
      </w:r>
      <w:r w:rsidRPr="006F1D04">
        <w:rPr>
          <w:rFonts w:ascii="Arial" w:hAnsi="Arial"/>
          <w:vertAlign w:val="superscript"/>
        </w:rPr>
        <w:t>3</w:t>
      </w:r>
      <w:r w:rsidRPr="006F1D04">
        <w:rPr>
          <w:rFonts w:ascii="Arial" w:hAnsi="Arial"/>
        </w:rPr>
        <w:t xml:space="preserve"> would </w:t>
      </w:r>
      <w:r w:rsidR="001D4F9D" w:rsidRPr="006F1D04">
        <w:rPr>
          <w:rFonts w:ascii="Arial" w:hAnsi="Arial"/>
        </w:rPr>
        <w:t xml:space="preserve">however </w:t>
      </w:r>
      <w:r w:rsidRPr="006F1D04">
        <w:rPr>
          <w:rFonts w:ascii="Arial" w:hAnsi="Arial"/>
        </w:rPr>
        <w:t>represent too great a step</w:t>
      </w:r>
      <w:r w:rsidR="00C74851" w:rsidRPr="006F1D04">
        <w:rPr>
          <w:rFonts w:ascii="Arial" w:hAnsi="Arial"/>
        </w:rPr>
        <w:t xml:space="preserve"> given t</w:t>
      </w:r>
      <w:r w:rsidR="00EE196E" w:rsidRPr="006F1D04">
        <w:rPr>
          <w:rFonts w:ascii="Arial" w:hAnsi="Arial"/>
        </w:rPr>
        <w:t xml:space="preserve">he </w:t>
      </w:r>
      <w:r w:rsidR="002E2699" w:rsidRPr="006F1D04">
        <w:rPr>
          <w:rFonts w:ascii="Arial" w:hAnsi="Arial"/>
        </w:rPr>
        <w:t xml:space="preserve">projected </w:t>
      </w:r>
      <w:r w:rsidR="00EE196E" w:rsidRPr="006F1D04">
        <w:rPr>
          <w:rFonts w:ascii="Arial" w:hAnsi="Arial"/>
        </w:rPr>
        <w:t>population growth and projected emissions growth in several sectors</w:t>
      </w:r>
      <w:r w:rsidRPr="006F1D04">
        <w:rPr>
          <w:rFonts w:ascii="Arial" w:hAnsi="Arial"/>
        </w:rPr>
        <w:t>.</w:t>
      </w:r>
    </w:p>
    <w:p w:rsidR="005C0895" w:rsidRPr="006F1D04" w:rsidRDefault="005C0895" w:rsidP="00003665">
      <w:pPr>
        <w:pStyle w:val="BulletArrows"/>
        <w:numPr>
          <w:ilvl w:val="0"/>
          <w:numId w:val="126"/>
        </w:numPr>
        <w:spacing w:after="240"/>
        <w:ind w:left="568" w:hanging="284"/>
        <w:rPr>
          <w:rFonts w:ascii="Arial" w:hAnsi="Arial"/>
          <w:szCs w:val="18"/>
        </w:rPr>
      </w:pPr>
      <w:r w:rsidRPr="006F1D04">
        <w:rPr>
          <w:rFonts w:ascii="Arial" w:hAnsi="Arial"/>
          <w:szCs w:val="18"/>
        </w:rPr>
        <w:t>The PM</w:t>
      </w:r>
      <w:r w:rsidRPr="006F1D04">
        <w:rPr>
          <w:rFonts w:ascii="Arial" w:hAnsi="Arial"/>
          <w:szCs w:val="18"/>
          <w:vertAlign w:val="subscript"/>
        </w:rPr>
        <w:t>2.5</w:t>
      </w:r>
      <w:r w:rsidRPr="006F1D04">
        <w:rPr>
          <w:rFonts w:ascii="Arial" w:hAnsi="Arial"/>
          <w:szCs w:val="18"/>
        </w:rPr>
        <w:t xml:space="preserve"> monitoring data indicate that the options for a 24-hour standard of 20 and 25 </w:t>
      </w:r>
      <w:proofErr w:type="spellStart"/>
      <w:r w:rsidRPr="006F1D04">
        <w:rPr>
          <w:rFonts w:ascii="Arial" w:hAnsi="Arial"/>
          <w:szCs w:val="18"/>
        </w:rPr>
        <w:t>μg</w:t>
      </w:r>
      <w:proofErr w:type="spellEnd"/>
      <w:r w:rsidRPr="006F1D04">
        <w:rPr>
          <w:rFonts w:ascii="Arial" w:hAnsi="Arial"/>
          <w:szCs w:val="18"/>
        </w:rPr>
        <w:t>/m</w:t>
      </w:r>
      <w:r w:rsidRPr="006F1D04">
        <w:rPr>
          <w:rFonts w:ascii="Arial" w:hAnsi="Arial"/>
          <w:szCs w:val="18"/>
          <w:vertAlign w:val="superscript"/>
        </w:rPr>
        <w:t>3</w:t>
      </w:r>
      <w:r w:rsidRPr="006F1D04">
        <w:rPr>
          <w:rFonts w:ascii="Arial" w:hAnsi="Arial"/>
          <w:szCs w:val="18"/>
        </w:rPr>
        <w:t xml:space="preserve"> would be feasible. However, if the zero-exceedance rule is retained it would be more realistic to retain the 25 </w:t>
      </w:r>
      <w:proofErr w:type="spellStart"/>
      <w:r w:rsidRPr="006F1D04">
        <w:rPr>
          <w:rFonts w:ascii="Arial" w:hAnsi="Arial"/>
          <w:szCs w:val="18"/>
        </w:rPr>
        <w:t>μg</w:t>
      </w:r>
      <w:proofErr w:type="spellEnd"/>
      <w:r w:rsidRPr="006F1D04">
        <w:rPr>
          <w:rFonts w:ascii="Arial" w:hAnsi="Arial"/>
          <w:szCs w:val="18"/>
        </w:rPr>
        <w:t>/m</w:t>
      </w:r>
      <w:r w:rsidRPr="006F1D04">
        <w:rPr>
          <w:rFonts w:ascii="Arial" w:hAnsi="Arial"/>
          <w:szCs w:val="18"/>
          <w:vertAlign w:val="superscript"/>
        </w:rPr>
        <w:t>3</w:t>
      </w:r>
      <w:r w:rsidRPr="006F1D04">
        <w:rPr>
          <w:rFonts w:ascii="Arial" w:hAnsi="Arial"/>
          <w:szCs w:val="18"/>
        </w:rPr>
        <w:t xml:space="preserve"> standard. </w:t>
      </w:r>
      <w:r w:rsidR="005951D1" w:rsidRPr="006F1D04">
        <w:rPr>
          <w:rFonts w:ascii="Arial" w:hAnsi="Arial"/>
          <w:szCs w:val="18"/>
        </w:rPr>
        <w:t>I</w:t>
      </w:r>
      <w:r w:rsidRPr="006F1D04">
        <w:rPr>
          <w:rFonts w:ascii="Arial" w:hAnsi="Arial"/>
          <w:szCs w:val="18"/>
        </w:rPr>
        <w:t xml:space="preserve">n the Economic Analysis it was concluded that meeting a standard of 20 </w:t>
      </w:r>
      <w:proofErr w:type="spellStart"/>
      <w:r w:rsidRPr="006F1D04">
        <w:rPr>
          <w:rFonts w:ascii="Arial" w:hAnsi="Arial"/>
          <w:szCs w:val="18"/>
        </w:rPr>
        <w:t>μg</w:t>
      </w:r>
      <w:proofErr w:type="spellEnd"/>
      <w:r w:rsidRPr="006F1D04">
        <w:rPr>
          <w:rFonts w:ascii="Arial" w:hAnsi="Arial"/>
          <w:szCs w:val="18"/>
        </w:rPr>
        <w:t>/m</w:t>
      </w:r>
      <w:r w:rsidRPr="006F1D04">
        <w:rPr>
          <w:rFonts w:ascii="Arial" w:hAnsi="Arial"/>
          <w:szCs w:val="18"/>
          <w:vertAlign w:val="superscript"/>
        </w:rPr>
        <w:t>3</w:t>
      </w:r>
      <w:r w:rsidRPr="006F1D04">
        <w:rPr>
          <w:rFonts w:ascii="Arial" w:hAnsi="Arial"/>
          <w:szCs w:val="18"/>
        </w:rPr>
        <w:t xml:space="preserve"> would be unlikely to be feasible given the large reductions in primary emissions that would be required in several jurisdictions.</w:t>
      </w:r>
    </w:p>
    <w:p w:rsidR="005360B4" w:rsidRPr="006F1D04" w:rsidRDefault="005360B4" w:rsidP="0048798A">
      <w:pPr>
        <w:rPr>
          <w:rFonts w:ascii="Arial" w:hAnsi="Arial" w:cs="Arial"/>
        </w:rPr>
        <w:sectPr w:rsidR="005360B4" w:rsidRPr="006F1D04" w:rsidSect="006A5626">
          <w:headerReference w:type="even" r:id="rId106"/>
          <w:headerReference w:type="default" r:id="rId107"/>
          <w:footerReference w:type="even" r:id="rId108"/>
          <w:footerReference w:type="default" r:id="rId109"/>
          <w:headerReference w:type="first" r:id="rId110"/>
          <w:pgSz w:w="11906" w:h="16838" w:code="9"/>
          <w:pgMar w:top="1440" w:right="1440" w:bottom="1276" w:left="1440" w:header="284" w:footer="377" w:gutter="0"/>
          <w:cols w:space="255"/>
          <w:docGrid w:linePitch="360"/>
        </w:sectPr>
      </w:pPr>
    </w:p>
    <w:p w:rsidR="008224B6" w:rsidRPr="006F1D04" w:rsidRDefault="008224B6" w:rsidP="008224B6">
      <w:pPr>
        <w:pStyle w:val="Caption"/>
        <w:rPr>
          <w:rFonts w:ascii="Arial" w:hAnsi="Arial" w:cs="Arial"/>
        </w:rPr>
      </w:pPr>
    </w:p>
    <w:p w:rsidR="005360B4" w:rsidRPr="006F1D04" w:rsidRDefault="005360B4" w:rsidP="005360B4">
      <w:pPr>
        <w:pStyle w:val="Caption"/>
        <w:rPr>
          <w:rFonts w:ascii="Arial" w:hAnsi="Arial" w:cs="Arial"/>
        </w:rPr>
      </w:pPr>
      <w:bookmarkStart w:id="185" w:name="_Ref367633996"/>
      <w:r w:rsidRPr="006F1D04">
        <w:rPr>
          <w:rFonts w:ascii="Arial" w:hAnsi="Arial" w:cs="Arial"/>
        </w:rPr>
        <w:t xml:space="preserve">Table </w:t>
      </w:r>
      <w:r w:rsidR="00BF6019" w:rsidRPr="006F1D04">
        <w:rPr>
          <w:rFonts w:ascii="Arial" w:hAnsi="Arial" w:cs="Arial"/>
        </w:rPr>
        <w:fldChar w:fldCharType="begin"/>
      </w:r>
      <w:r w:rsidRPr="006F1D04">
        <w:rPr>
          <w:rFonts w:ascii="Arial" w:hAnsi="Arial" w:cs="Arial"/>
        </w:rPr>
        <w:instrText xml:space="preserve"> STYLEREF 1 \s </w:instrText>
      </w:r>
      <w:r w:rsidR="00BF6019" w:rsidRPr="006F1D04">
        <w:rPr>
          <w:rFonts w:ascii="Arial" w:hAnsi="Arial" w:cs="Arial"/>
        </w:rPr>
        <w:fldChar w:fldCharType="separate"/>
      </w:r>
      <w:r w:rsidR="0085182E">
        <w:rPr>
          <w:rFonts w:ascii="Arial" w:hAnsi="Arial" w:cs="Arial"/>
          <w:noProof/>
        </w:rPr>
        <w:t>8</w:t>
      </w:r>
      <w:r w:rsidR="00BF6019" w:rsidRPr="006F1D04">
        <w:rPr>
          <w:rFonts w:ascii="Arial" w:hAnsi="Arial" w:cs="Arial"/>
        </w:rPr>
        <w:fldChar w:fldCharType="end"/>
      </w:r>
      <w:r w:rsidRPr="006F1D04">
        <w:rPr>
          <w:rFonts w:ascii="Arial" w:hAnsi="Arial" w:cs="Arial"/>
        </w:rPr>
        <w:t>.</w:t>
      </w:r>
      <w:r w:rsidR="00BF6019" w:rsidRPr="006F1D04">
        <w:rPr>
          <w:rFonts w:ascii="Arial" w:hAnsi="Arial" w:cs="Arial"/>
        </w:rPr>
        <w:fldChar w:fldCharType="begin"/>
      </w:r>
      <w:r w:rsidRPr="006F1D04">
        <w:rPr>
          <w:rFonts w:ascii="Arial" w:hAnsi="Arial" w:cs="Arial"/>
        </w:rPr>
        <w:instrText xml:space="preserve"> SEQ Table \* ARABIC \s 1 </w:instrText>
      </w:r>
      <w:r w:rsidR="00BF6019" w:rsidRPr="006F1D04">
        <w:rPr>
          <w:rFonts w:ascii="Arial" w:hAnsi="Arial" w:cs="Arial"/>
        </w:rPr>
        <w:fldChar w:fldCharType="separate"/>
      </w:r>
      <w:r w:rsidR="0085182E">
        <w:rPr>
          <w:rFonts w:ascii="Arial" w:hAnsi="Arial" w:cs="Arial"/>
          <w:noProof/>
        </w:rPr>
        <w:t>7</w:t>
      </w:r>
      <w:r w:rsidR="00BF6019" w:rsidRPr="006F1D04">
        <w:rPr>
          <w:rFonts w:ascii="Arial" w:hAnsi="Arial" w:cs="Arial"/>
        </w:rPr>
        <w:fldChar w:fldCharType="end"/>
      </w:r>
      <w:bookmarkEnd w:id="185"/>
      <w:r w:rsidRPr="006F1D04">
        <w:rPr>
          <w:rFonts w:ascii="Arial" w:hAnsi="Arial" w:cs="Arial"/>
        </w:rPr>
        <w:t>: Summary of information for each sub-option</w:t>
      </w:r>
    </w:p>
    <w:tbl>
      <w:tblPr>
        <w:tblW w:w="0" w:type="auto"/>
        <w:tblCellMar>
          <w:left w:w="28" w:type="dxa"/>
          <w:right w:w="28" w:type="dxa"/>
        </w:tblCellMar>
        <w:tblLook w:val="00A0"/>
      </w:tblPr>
      <w:tblGrid>
        <w:gridCol w:w="958"/>
        <w:gridCol w:w="808"/>
        <w:gridCol w:w="690"/>
        <w:gridCol w:w="1258"/>
        <w:gridCol w:w="1276"/>
        <w:gridCol w:w="1275"/>
        <w:gridCol w:w="1418"/>
        <w:gridCol w:w="2551"/>
        <w:gridCol w:w="2127"/>
        <w:gridCol w:w="1417"/>
      </w:tblGrid>
      <w:tr w:rsidR="00D97521" w:rsidRPr="006F1D04" w:rsidTr="005360B4">
        <w:trPr>
          <w:trHeight w:val="274"/>
        </w:trPr>
        <w:tc>
          <w:tcPr>
            <w:tcW w:w="958" w:type="dxa"/>
            <w:vMerge w:val="restart"/>
            <w:tcBorders>
              <w:top w:val="single" w:sz="4" w:space="0" w:color="0070C0"/>
              <w:left w:val="single" w:sz="4" w:space="0" w:color="0070C0"/>
              <w:bottom w:val="single" w:sz="4" w:space="0" w:color="0070C0"/>
              <w:right w:val="single" w:sz="4" w:space="0" w:color="0070C0"/>
            </w:tcBorders>
            <w:shd w:val="clear" w:color="auto" w:fill="0070C0"/>
            <w:vAlign w:val="center"/>
          </w:tcPr>
          <w:p w:rsidR="00D97521" w:rsidRPr="006F1D04" w:rsidRDefault="00D97521" w:rsidP="00C74C59">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Action</w:t>
            </w:r>
          </w:p>
        </w:tc>
        <w:tc>
          <w:tcPr>
            <w:tcW w:w="808" w:type="dxa"/>
            <w:vMerge w:val="restart"/>
            <w:tcBorders>
              <w:top w:val="single" w:sz="4" w:space="0" w:color="0070C0"/>
              <w:left w:val="single" w:sz="4" w:space="0" w:color="0070C0"/>
              <w:bottom w:val="single" w:sz="4" w:space="0" w:color="0070C0"/>
              <w:right w:val="single" w:sz="4" w:space="0" w:color="0070C0"/>
            </w:tcBorders>
            <w:shd w:val="clear" w:color="auto" w:fill="0070C0"/>
            <w:vAlign w:val="center"/>
          </w:tcPr>
          <w:p w:rsidR="00D97521" w:rsidRPr="006F1D04" w:rsidRDefault="00D97521" w:rsidP="00C74C59">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Option</w:t>
            </w:r>
          </w:p>
        </w:tc>
        <w:tc>
          <w:tcPr>
            <w:tcW w:w="690" w:type="dxa"/>
            <w:vMerge w:val="restart"/>
            <w:tcBorders>
              <w:top w:val="single" w:sz="4" w:space="0" w:color="0070C0"/>
              <w:left w:val="single" w:sz="4" w:space="0" w:color="0070C0"/>
              <w:bottom w:val="single" w:sz="4" w:space="0" w:color="0070C0"/>
              <w:right w:val="single" w:sz="4" w:space="0" w:color="0070C0"/>
            </w:tcBorders>
            <w:shd w:val="clear" w:color="auto" w:fill="0070C0"/>
            <w:vAlign w:val="center"/>
          </w:tcPr>
          <w:p w:rsidR="00D97521" w:rsidRPr="006F1D04" w:rsidRDefault="00D97521" w:rsidP="00C74C59">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Sub-option</w:t>
            </w:r>
          </w:p>
        </w:tc>
        <w:tc>
          <w:tcPr>
            <w:tcW w:w="1258" w:type="dxa"/>
            <w:vMerge w:val="restart"/>
            <w:tcBorders>
              <w:top w:val="single" w:sz="4" w:space="0" w:color="0070C0"/>
              <w:left w:val="single" w:sz="4" w:space="0" w:color="0070C0"/>
              <w:bottom w:val="single" w:sz="4" w:space="0" w:color="0070C0"/>
              <w:right w:val="single" w:sz="4" w:space="0" w:color="0070C0"/>
            </w:tcBorders>
            <w:shd w:val="clear" w:color="auto" w:fill="0070C0"/>
            <w:vAlign w:val="center"/>
          </w:tcPr>
          <w:p w:rsidR="00D97521" w:rsidRPr="006F1D04" w:rsidRDefault="00D97521" w:rsidP="00C74C59">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Standard</w:t>
            </w:r>
            <w:r w:rsidRPr="006F1D04">
              <w:rPr>
                <w:rFonts w:ascii="Arial" w:hAnsi="Arial" w:cs="Arial"/>
                <w:b/>
                <w:color w:val="FFFFFF"/>
                <w:sz w:val="14"/>
                <w:szCs w:val="14"/>
                <w:vertAlign w:val="superscript"/>
              </w:rPr>
              <w:t>(a)</w:t>
            </w:r>
          </w:p>
        </w:tc>
        <w:tc>
          <w:tcPr>
            <w:tcW w:w="1276" w:type="dxa"/>
            <w:vMerge w:val="restart"/>
            <w:tcBorders>
              <w:top w:val="single" w:sz="4" w:space="0" w:color="0070C0"/>
              <w:left w:val="single" w:sz="4" w:space="0" w:color="0070C0"/>
              <w:bottom w:val="single" w:sz="4" w:space="0" w:color="0070C0"/>
              <w:right w:val="single" w:sz="4" w:space="0" w:color="0070C0"/>
            </w:tcBorders>
            <w:shd w:val="clear" w:color="auto" w:fill="0070C0"/>
            <w:vAlign w:val="center"/>
          </w:tcPr>
          <w:p w:rsidR="00D97521" w:rsidRPr="006F1D04" w:rsidRDefault="000B44D2" w:rsidP="00F13426">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Feasibility</w:t>
            </w:r>
            <w:r w:rsidR="00D97521" w:rsidRPr="006F1D04">
              <w:rPr>
                <w:rFonts w:ascii="Arial" w:hAnsi="Arial" w:cs="Arial"/>
                <w:b/>
                <w:color w:val="FFFFFF"/>
                <w:sz w:val="14"/>
                <w:szCs w:val="14"/>
              </w:rPr>
              <w:t xml:space="preserve"> based on analysis of ambient PM data</w:t>
            </w:r>
            <w:r w:rsidR="00D97521" w:rsidRPr="006F1D04">
              <w:rPr>
                <w:rFonts w:ascii="Arial" w:hAnsi="Arial" w:cs="Arial"/>
                <w:b/>
                <w:color w:val="FFFFFF"/>
                <w:sz w:val="14"/>
                <w:szCs w:val="14"/>
                <w:vertAlign w:val="superscript"/>
              </w:rPr>
              <w:t>(b)</w:t>
            </w:r>
          </w:p>
        </w:tc>
        <w:tc>
          <w:tcPr>
            <w:tcW w:w="1275" w:type="dxa"/>
            <w:vMerge w:val="restart"/>
            <w:tcBorders>
              <w:top w:val="single" w:sz="4" w:space="0" w:color="0070C0"/>
              <w:left w:val="single" w:sz="4" w:space="0" w:color="0070C0"/>
              <w:bottom w:val="single" w:sz="4" w:space="0" w:color="0070C0"/>
              <w:right w:val="single" w:sz="4" w:space="0" w:color="0070C0"/>
            </w:tcBorders>
            <w:shd w:val="clear" w:color="auto" w:fill="0070C0"/>
            <w:vAlign w:val="center"/>
          </w:tcPr>
          <w:p w:rsidR="00D97521" w:rsidRPr="006F1D04" w:rsidRDefault="00D97521" w:rsidP="00F13426">
            <w:pPr>
              <w:keepNext/>
              <w:spacing w:after="0" w:line="240" w:lineRule="auto"/>
              <w:jc w:val="center"/>
              <w:rPr>
                <w:rFonts w:ascii="Arial" w:hAnsi="Arial" w:cs="Arial"/>
                <w:b/>
                <w:color w:val="FFFFFF"/>
                <w:sz w:val="14"/>
                <w:szCs w:val="14"/>
              </w:rPr>
            </w:pPr>
            <w:r w:rsidRPr="006F1D04">
              <w:rPr>
                <w:rFonts w:ascii="Arial" w:hAnsi="Arial" w:cs="Arial"/>
                <w:b/>
                <w:color w:val="FFFFFF"/>
                <w:sz w:val="14"/>
                <w:szCs w:val="14"/>
              </w:rPr>
              <w:t xml:space="preserve">Conclusions from HRA (change in current exposure)  </w:t>
            </w:r>
          </w:p>
        </w:tc>
        <w:tc>
          <w:tcPr>
            <w:tcW w:w="6096" w:type="dxa"/>
            <w:gridSpan w:val="3"/>
            <w:tcBorders>
              <w:top w:val="single" w:sz="4" w:space="0" w:color="0070C0"/>
              <w:left w:val="single" w:sz="4" w:space="0" w:color="0070C0"/>
              <w:bottom w:val="single" w:sz="4" w:space="0" w:color="0070C0"/>
              <w:right w:val="single" w:sz="4" w:space="0" w:color="0070C0"/>
            </w:tcBorders>
            <w:shd w:val="clear" w:color="auto" w:fill="0070C0"/>
            <w:vAlign w:val="center"/>
          </w:tcPr>
          <w:p w:rsidR="00D97521" w:rsidRPr="006F1D04" w:rsidRDefault="00D97521" w:rsidP="00D97521">
            <w:pPr>
              <w:keepNext/>
              <w:spacing w:after="0" w:line="240" w:lineRule="auto"/>
              <w:ind w:left="256"/>
              <w:rPr>
                <w:rFonts w:ascii="Arial" w:hAnsi="Arial" w:cs="Arial"/>
                <w:b/>
                <w:color w:val="FFFFFF"/>
                <w:sz w:val="14"/>
                <w:szCs w:val="14"/>
              </w:rPr>
            </w:pPr>
            <w:r w:rsidRPr="006F1D04">
              <w:rPr>
                <w:rFonts w:ascii="Arial" w:hAnsi="Arial" w:cs="Arial"/>
                <w:b/>
                <w:color w:val="FFFFFF"/>
                <w:sz w:val="14"/>
                <w:szCs w:val="14"/>
              </w:rPr>
              <w:t>Conclusions from Economic Analysis (2036)</w:t>
            </w:r>
          </w:p>
        </w:tc>
        <w:tc>
          <w:tcPr>
            <w:tcW w:w="1417" w:type="dxa"/>
            <w:tcBorders>
              <w:top w:val="single" w:sz="4" w:space="0" w:color="0070C0"/>
              <w:left w:val="single" w:sz="4" w:space="0" w:color="0070C0"/>
              <w:bottom w:val="single" w:sz="4" w:space="0" w:color="0070C0"/>
              <w:right w:val="single" w:sz="4" w:space="0" w:color="0070C0"/>
            </w:tcBorders>
            <w:shd w:val="clear" w:color="auto" w:fill="0070C0"/>
          </w:tcPr>
          <w:p w:rsidR="00D97521" w:rsidRPr="006F1D04" w:rsidRDefault="00D97521" w:rsidP="00C74C59">
            <w:pPr>
              <w:spacing w:after="0" w:line="240" w:lineRule="auto"/>
              <w:jc w:val="center"/>
              <w:rPr>
                <w:rFonts w:ascii="Arial" w:hAnsi="Arial" w:cs="Arial"/>
                <w:b/>
                <w:color w:val="FFFFFF"/>
                <w:sz w:val="14"/>
                <w:szCs w:val="14"/>
              </w:rPr>
            </w:pPr>
          </w:p>
        </w:tc>
      </w:tr>
      <w:tr w:rsidR="00D97521" w:rsidRPr="006F1D04" w:rsidTr="005360B4">
        <w:trPr>
          <w:trHeight w:val="637"/>
        </w:trPr>
        <w:tc>
          <w:tcPr>
            <w:tcW w:w="958" w:type="dxa"/>
            <w:vMerge/>
            <w:tcBorders>
              <w:top w:val="single" w:sz="4" w:space="0" w:color="0070C0"/>
              <w:left w:val="single" w:sz="4" w:space="0" w:color="0070C0"/>
              <w:bottom w:val="single" w:sz="4" w:space="0" w:color="0070C0"/>
              <w:right w:val="single" w:sz="4" w:space="0" w:color="0070C0"/>
            </w:tcBorders>
            <w:shd w:val="clear" w:color="auto" w:fill="0070C0"/>
            <w:vAlign w:val="center"/>
          </w:tcPr>
          <w:p w:rsidR="00D97521" w:rsidRPr="006F1D04" w:rsidRDefault="00D97521" w:rsidP="00C74C59">
            <w:pPr>
              <w:spacing w:after="0" w:line="240" w:lineRule="auto"/>
              <w:jc w:val="center"/>
              <w:rPr>
                <w:rFonts w:ascii="Arial" w:hAnsi="Arial" w:cs="Arial"/>
                <w:b/>
                <w:color w:val="FFFFFF"/>
                <w:sz w:val="14"/>
                <w:szCs w:val="14"/>
              </w:rPr>
            </w:pPr>
          </w:p>
        </w:tc>
        <w:tc>
          <w:tcPr>
            <w:tcW w:w="808" w:type="dxa"/>
            <w:vMerge/>
            <w:tcBorders>
              <w:top w:val="single" w:sz="4" w:space="0" w:color="0070C0"/>
              <w:left w:val="single" w:sz="4" w:space="0" w:color="0070C0"/>
              <w:bottom w:val="single" w:sz="4" w:space="0" w:color="0070C0"/>
              <w:right w:val="single" w:sz="4" w:space="0" w:color="0070C0"/>
            </w:tcBorders>
            <w:shd w:val="clear" w:color="auto" w:fill="0070C0"/>
            <w:vAlign w:val="center"/>
          </w:tcPr>
          <w:p w:rsidR="00D97521" w:rsidRPr="006F1D04" w:rsidRDefault="00D97521" w:rsidP="00C74C59">
            <w:pPr>
              <w:spacing w:after="0" w:line="240" w:lineRule="auto"/>
              <w:jc w:val="center"/>
              <w:rPr>
                <w:rFonts w:ascii="Arial" w:hAnsi="Arial" w:cs="Arial"/>
                <w:b/>
                <w:color w:val="FFFFFF"/>
                <w:sz w:val="14"/>
                <w:szCs w:val="14"/>
              </w:rPr>
            </w:pPr>
          </w:p>
        </w:tc>
        <w:tc>
          <w:tcPr>
            <w:tcW w:w="690" w:type="dxa"/>
            <w:vMerge/>
            <w:tcBorders>
              <w:top w:val="single" w:sz="4" w:space="0" w:color="0070C0"/>
              <w:left w:val="single" w:sz="4" w:space="0" w:color="0070C0"/>
              <w:bottom w:val="single" w:sz="4" w:space="0" w:color="0070C0"/>
              <w:right w:val="single" w:sz="4" w:space="0" w:color="0070C0"/>
            </w:tcBorders>
            <w:shd w:val="clear" w:color="auto" w:fill="0070C0"/>
            <w:vAlign w:val="center"/>
          </w:tcPr>
          <w:p w:rsidR="00D97521" w:rsidRPr="006F1D04" w:rsidRDefault="00D97521" w:rsidP="00C74C59">
            <w:pPr>
              <w:spacing w:after="0" w:line="240" w:lineRule="auto"/>
              <w:jc w:val="center"/>
              <w:rPr>
                <w:rFonts w:ascii="Arial" w:hAnsi="Arial" w:cs="Arial"/>
                <w:b/>
                <w:color w:val="FFFFFF"/>
                <w:sz w:val="14"/>
                <w:szCs w:val="14"/>
              </w:rPr>
            </w:pPr>
          </w:p>
        </w:tc>
        <w:tc>
          <w:tcPr>
            <w:tcW w:w="1258" w:type="dxa"/>
            <w:vMerge/>
            <w:tcBorders>
              <w:top w:val="single" w:sz="4" w:space="0" w:color="0070C0"/>
              <w:left w:val="single" w:sz="4" w:space="0" w:color="0070C0"/>
              <w:bottom w:val="single" w:sz="4" w:space="0" w:color="0070C0"/>
              <w:right w:val="single" w:sz="4" w:space="0" w:color="0070C0"/>
            </w:tcBorders>
            <w:shd w:val="clear" w:color="auto" w:fill="0070C0"/>
            <w:vAlign w:val="center"/>
          </w:tcPr>
          <w:p w:rsidR="00D97521" w:rsidRPr="006F1D04" w:rsidRDefault="00D97521" w:rsidP="00C74C59">
            <w:pPr>
              <w:spacing w:after="0" w:line="240" w:lineRule="auto"/>
              <w:jc w:val="center"/>
              <w:rPr>
                <w:rFonts w:ascii="Arial" w:hAnsi="Arial" w:cs="Arial"/>
                <w:b/>
                <w:color w:val="FFFFFF"/>
                <w:sz w:val="14"/>
                <w:szCs w:val="14"/>
              </w:rPr>
            </w:pPr>
          </w:p>
        </w:tc>
        <w:tc>
          <w:tcPr>
            <w:tcW w:w="1276" w:type="dxa"/>
            <w:vMerge/>
            <w:tcBorders>
              <w:top w:val="single" w:sz="4" w:space="0" w:color="0070C0"/>
              <w:left w:val="single" w:sz="4" w:space="0" w:color="0070C0"/>
              <w:bottom w:val="single" w:sz="4" w:space="0" w:color="0070C0"/>
              <w:right w:val="single" w:sz="4" w:space="0" w:color="0070C0"/>
            </w:tcBorders>
            <w:shd w:val="clear" w:color="auto" w:fill="0070C0"/>
            <w:vAlign w:val="center"/>
          </w:tcPr>
          <w:p w:rsidR="00D97521" w:rsidRPr="006F1D04" w:rsidRDefault="00D97521" w:rsidP="00F13426">
            <w:pPr>
              <w:spacing w:after="0" w:line="240" w:lineRule="auto"/>
              <w:jc w:val="center"/>
              <w:rPr>
                <w:rFonts w:ascii="Arial" w:hAnsi="Arial" w:cs="Arial"/>
                <w:b/>
                <w:color w:val="FFFFFF"/>
                <w:sz w:val="14"/>
                <w:szCs w:val="14"/>
              </w:rPr>
            </w:pPr>
          </w:p>
        </w:tc>
        <w:tc>
          <w:tcPr>
            <w:tcW w:w="1275" w:type="dxa"/>
            <w:vMerge/>
            <w:tcBorders>
              <w:top w:val="single" w:sz="4" w:space="0" w:color="0070C0"/>
              <w:left w:val="single" w:sz="4" w:space="0" w:color="0070C0"/>
              <w:bottom w:val="single" w:sz="4" w:space="0" w:color="0070C0"/>
              <w:right w:val="single" w:sz="4" w:space="0" w:color="0070C0"/>
            </w:tcBorders>
            <w:shd w:val="clear" w:color="auto" w:fill="0070C0"/>
            <w:vAlign w:val="center"/>
          </w:tcPr>
          <w:p w:rsidR="00D97521" w:rsidRPr="006F1D04" w:rsidRDefault="00D97521" w:rsidP="00F13426">
            <w:pPr>
              <w:keepNext/>
              <w:spacing w:after="0" w:line="240" w:lineRule="auto"/>
              <w:jc w:val="center"/>
              <w:rPr>
                <w:rFonts w:ascii="Arial" w:hAnsi="Arial" w:cs="Arial"/>
                <w:b/>
                <w:color w:val="FFFFFF"/>
                <w:sz w:val="14"/>
                <w:szCs w:val="14"/>
              </w:rPr>
            </w:pPr>
          </w:p>
        </w:tc>
        <w:tc>
          <w:tcPr>
            <w:tcW w:w="1418"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D97521" w:rsidRPr="006F1D04" w:rsidRDefault="00D97521" w:rsidP="00D97521">
            <w:pPr>
              <w:keepNext/>
              <w:spacing w:after="0" w:line="240" w:lineRule="auto"/>
              <w:jc w:val="center"/>
              <w:rPr>
                <w:rFonts w:ascii="Arial" w:hAnsi="Arial" w:cs="Arial"/>
                <w:b/>
                <w:color w:val="FFFFFF"/>
                <w:sz w:val="14"/>
                <w:szCs w:val="14"/>
              </w:rPr>
            </w:pPr>
            <w:r w:rsidRPr="006F1D04">
              <w:rPr>
                <w:rFonts w:ascii="Arial" w:hAnsi="Arial" w:cs="Arial"/>
                <w:b/>
                <w:color w:val="FFFFFF"/>
                <w:sz w:val="14"/>
                <w:szCs w:val="14"/>
              </w:rPr>
              <w:t>Feasible in principle?</w:t>
            </w:r>
            <w:r w:rsidRPr="006F1D04">
              <w:rPr>
                <w:rFonts w:ascii="Arial" w:hAnsi="Arial" w:cs="Arial"/>
                <w:b/>
                <w:color w:val="FFFFFF"/>
                <w:sz w:val="14"/>
                <w:szCs w:val="14"/>
                <w:vertAlign w:val="superscript"/>
              </w:rPr>
              <w:t>(b)</w:t>
            </w:r>
          </w:p>
        </w:tc>
        <w:tc>
          <w:tcPr>
            <w:tcW w:w="2551"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D97521" w:rsidRPr="006F1D04" w:rsidRDefault="00D97521" w:rsidP="00D97521">
            <w:pPr>
              <w:keepNext/>
              <w:spacing w:after="0" w:line="240" w:lineRule="auto"/>
              <w:jc w:val="center"/>
              <w:rPr>
                <w:rFonts w:ascii="Arial" w:hAnsi="Arial" w:cs="Arial"/>
                <w:b/>
                <w:color w:val="FFFFFF"/>
                <w:sz w:val="14"/>
                <w:szCs w:val="14"/>
              </w:rPr>
            </w:pPr>
            <w:r w:rsidRPr="006F1D04">
              <w:rPr>
                <w:rFonts w:ascii="Arial" w:hAnsi="Arial" w:cs="Arial"/>
                <w:b/>
                <w:color w:val="FFFFFF"/>
                <w:sz w:val="14"/>
                <w:szCs w:val="14"/>
              </w:rPr>
              <w:t>Further emission reduction required (by state)?</w:t>
            </w:r>
            <w:r w:rsidRPr="006F1D04">
              <w:rPr>
                <w:rFonts w:ascii="Arial" w:hAnsi="Arial" w:cs="Arial"/>
                <w:b/>
                <w:color w:val="FFFFFF"/>
                <w:sz w:val="14"/>
                <w:szCs w:val="14"/>
                <w:vertAlign w:val="superscript"/>
              </w:rPr>
              <w:t>(c)</w:t>
            </w:r>
          </w:p>
        </w:tc>
        <w:tc>
          <w:tcPr>
            <w:tcW w:w="2127"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D97521" w:rsidRPr="006F1D04" w:rsidRDefault="00D97521" w:rsidP="00D97521">
            <w:pPr>
              <w:keepNext/>
              <w:spacing w:after="0" w:line="240" w:lineRule="auto"/>
              <w:jc w:val="center"/>
              <w:rPr>
                <w:rFonts w:ascii="Arial" w:hAnsi="Arial" w:cs="Arial"/>
                <w:b/>
                <w:color w:val="FFFFFF"/>
                <w:sz w:val="14"/>
                <w:szCs w:val="14"/>
              </w:rPr>
            </w:pPr>
            <w:r w:rsidRPr="006F1D04">
              <w:rPr>
                <w:rFonts w:ascii="Arial" w:hAnsi="Arial" w:cs="Arial"/>
                <w:b/>
                <w:color w:val="FFFFFF"/>
                <w:sz w:val="14"/>
                <w:szCs w:val="14"/>
              </w:rPr>
              <w:t>Emission reductions likely to be achievable?</w:t>
            </w:r>
          </w:p>
        </w:tc>
        <w:tc>
          <w:tcPr>
            <w:tcW w:w="1417"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D97521" w:rsidRPr="006F1D04" w:rsidRDefault="00D97521" w:rsidP="00D97521">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 xml:space="preserve">Net benefit </w:t>
            </w:r>
            <w:r w:rsidR="00F953EE" w:rsidRPr="006F1D04">
              <w:rPr>
                <w:rFonts w:ascii="Arial" w:hAnsi="Arial" w:cs="Arial"/>
                <w:b/>
                <w:color w:val="FFFFFF"/>
                <w:sz w:val="14"/>
                <w:szCs w:val="14"/>
              </w:rPr>
              <w:br/>
            </w:r>
            <w:r w:rsidRPr="006F1D04">
              <w:rPr>
                <w:rFonts w:ascii="Arial" w:hAnsi="Arial" w:cs="Arial"/>
                <w:b/>
                <w:color w:val="FFFFFF"/>
                <w:sz w:val="14"/>
                <w:szCs w:val="14"/>
              </w:rPr>
              <w:t>($, 2011 prices)</w:t>
            </w:r>
          </w:p>
        </w:tc>
      </w:tr>
      <w:tr w:rsidR="00966372" w:rsidRPr="006F1D04" w:rsidTr="005360B4">
        <w:trPr>
          <w:trHeight w:hRule="exact" w:val="340"/>
        </w:trPr>
        <w:tc>
          <w:tcPr>
            <w:tcW w:w="958" w:type="dxa"/>
            <w:vMerge w:val="restart"/>
            <w:tcBorders>
              <w:top w:val="single" w:sz="4" w:space="0" w:color="0070C0"/>
              <w:left w:val="single"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r w:rsidRPr="006F1D04">
              <w:rPr>
                <w:rFonts w:ascii="Arial" w:hAnsi="Arial" w:cs="Arial"/>
                <w:sz w:val="14"/>
                <w:szCs w:val="14"/>
              </w:rPr>
              <w:t>Air quality standards</w:t>
            </w:r>
          </w:p>
        </w:tc>
        <w:tc>
          <w:tcPr>
            <w:tcW w:w="808" w:type="dxa"/>
            <w:vMerge w:val="restart"/>
            <w:tcBorders>
              <w:top w:val="single" w:sz="4" w:space="0" w:color="0070C0"/>
              <w:left w:val="single"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r w:rsidRPr="006F1D04">
              <w:rPr>
                <w:rFonts w:ascii="Arial" w:hAnsi="Arial" w:cs="Arial"/>
                <w:sz w:val="14"/>
                <w:szCs w:val="14"/>
              </w:rPr>
              <w:t>PM</w:t>
            </w:r>
            <w:r w:rsidRPr="006F1D04">
              <w:rPr>
                <w:rFonts w:ascii="Arial" w:hAnsi="Arial" w:cs="Arial"/>
                <w:sz w:val="14"/>
                <w:szCs w:val="14"/>
                <w:vertAlign w:val="subscript"/>
              </w:rPr>
              <w:t>10</w:t>
            </w:r>
          </w:p>
          <w:p w:rsidR="00966372" w:rsidRPr="006F1D04" w:rsidRDefault="00966372" w:rsidP="00C74C59">
            <w:pPr>
              <w:spacing w:after="0" w:line="240" w:lineRule="auto"/>
              <w:jc w:val="center"/>
              <w:rPr>
                <w:rFonts w:ascii="Arial" w:hAnsi="Arial" w:cs="Arial"/>
                <w:sz w:val="14"/>
                <w:szCs w:val="14"/>
              </w:rPr>
            </w:pPr>
            <w:r w:rsidRPr="006F1D04">
              <w:rPr>
                <w:rFonts w:ascii="Arial" w:hAnsi="Arial" w:cs="Arial"/>
                <w:sz w:val="14"/>
                <w:szCs w:val="14"/>
              </w:rPr>
              <w:t>annual mean</w:t>
            </w:r>
          </w:p>
        </w:tc>
        <w:tc>
          <w:tcPr>
            <w:tcW w:w="690" w:type="dxa"/>
            <w:tcBorders>
              <w:top w:val="single" w:sz="4" w:space="0" w:color="0070C0"/>
              <w:left w:val="single" w:sz="4" w:space="0" w:color="0070C0"/>
              <w:bottom w:val="dotted"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r w:rsidRPr="006F1D04">
              <w:rPr>
                <w:rFonts w:ascii="Arial" w:hAnsi="Arial" w:cs="Arial"/>
                <w:sz w:val="14"/>
                <w:szCs w:val="14"/>
              </w:rPr>
              <w:t>A20PM</w:t>
            </w:r>
            <w:r w:rsidRPr="006F1D04">
              <w:rPr>
                <w:rFonts w:ascii="Arial" w:hAnsi="Arial" w:cs="Arial"/>
                <w:sz w:val="14"/>
                <w:szCs w:val="14"/>
                <w:vertAlign w:val="subscript"/>
              </w:rPr>
              <w:t>10</w:t>
            </w:r>
          </w:p>
        </w:tc>
        <w:tc>
          <w:tcPr>
            <w:tcW w:w="1258" w:type="dxa"/>
            <w:tcBorders>
              <w:top w:val="single" w:sz="4" w:space="0" w:color="0070C0"/>
              <w:left w:val="single" w:sz="4" w:space="0" w:color="0070C0"/>
              <w:bottom w:val="dotted"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r w:rsidRPr="006F1D04">
              <w:rPr>
                <w:rFonts w:ascii="Arial" w:hAnsi="Arial" w:cs="Arial"/>
                <w:sz w:val="14"/>
                <w:szCs w:val="14"/>
              </w:rPr>
              <w:t xml:space="preserve">20 </w:t>
            </w:r>
            <w:proofErr w:type="spellStart"/>
            <w:r w:rsidRPr="006F1D04">
              <w:rPr>
                <w:rFonts w:ascii="Arial" w:hAnsi="Arial" w:cs="Arial"/>
                <w:sz w:val="14"/>
                <w:szCs w:val="14"/>
              </w:rPr>
              <w:t>μg</w:t>
            </w:r>
            <w:proofErr w:type="spellEnd"/>
            <w:r w:rsidRPr="006F1D04">
              <w:rPr>
                <w:rFonts w:ascii="Arial" w:hAnsi="Arial" w:cs="Arial"/>
                <w:sz w:val="14"/>
                <w:szCs w:val="14"/>
              </w:rPr>
              <w:t>/m</w:t>
            </w:r>
            <w:r w:rsidRPr="006F1D04">
              <w:rPr>
                <w:rFonts w:ascii="Arial" w:hAnsi="Arial" w:cs="Arial"/>
                <w:sz w:val="14"/>
                <w:szCs w:val="14"/>
                <w:vertAlign w:val="superscript"/>
              </w:rPr>
              <w:t>3</w:t>
            </w:r>
          </w:p>
        </w:tc>
        <w:tc>
          <w:tcPr>
            <w:tcW w:w="1276" w:type="dxa"/>
            <w:tcBorders>
              <w:top w:val="single" w:sz="4" w:space="0" w:color="0070C0"/>
              <w:left w:val="single" w:sz="4" w:space="0" w:color="0070C0"/>
              <w:bottom w:val="dotted" w:sz="4" w:space="0" w:color="0070C0"/>
              <w:right w:val="single" w:sz="4" w:space="0" w:color="0070C0"/>
            </w:tcBorders>
            <w:vAlign w:val="center"/>
          </w:tcPr>
          <w:p w:rsidR="00966372" w:rsidRPr="006F1D04" w:rsidRDefault="00D97521" w:rsidP="003A4476">
            <w:pPr>
              <w:keepNext/>
              <w:spacing w:after="0" w:line="240" w:lineRule="auto"/>
              <w:jc w:val="center"/>
              <w:rPr>
                <w:rFonts w:ascii="Arial" w:hAnsi="Arial" w:cs="Arial"/>
                <w:b/>
                <w:color w:val="00B050"/>
                <w:sz w:val="14"/>
                <w:szCs w:val="14"/>
              </w:rPr>
            </w:pPr>
            <w:r w:rsidRPr="006F1D04">
              <w:rPr>
                <w:rFonts w:ascii="Arial" w:hAnsi="Arial" w:cs="Arial"/>
                <w:b/>
                <w:color w:val="00B050"/>
                <w:sz w:val="14"/>
                <w:szCs w:val="14"/>
              </w:rPr>
              <w:t>Likely</w:t>
            </w:r>
          </w:p>
        </w:tc>
        <w:tc>
          <w:tcPr>
            <w:tcW w:w="1275" w:type="dxa"/>
            <w:tcBorders>
              <w:top w:val="single" w:sz="4" w:space="0" w:color="0070C0"/>
              <w:left w:val="single" w:sz="4" w:space="0" w:color="0070C0"/>
              <w:bottom w:val="dotted" w:sz="4" w:space="0" w:color="0070C0"/>
              <w:right w:val="single" w:sz="4" w:space="0" w:color="0070C0"/>
            </w:tcBorders>
            <w:vAlign w:val="center"/>
          </w:tcPr>
          <w:p w:rsidR="00966372" w:rsidRPr="006F1D04" w:rsidRDefault="00D97521" w:rsidP="003A4476">
            <w:pPr>
              <w:keepNext/>
              <w:spacing w:after="0" w:line="240" w:lineRule="auto"/>
              <w:jc w:val="center"/>
              <w:rPr>
                <w:rFonts w:ascii="Arial" w:hAnsi="Arial" w:cs="Arial"/>
                <w:sz w:val="14"/>
                <w:szCs w:val="14"/>
              </w:rPr>
            </w:pPr>
            <w:r w:rsidRPr="006F1D04">
              <w:rPr>
                <w:rFonts w:ascii="Arial" w:hAnsi="Arial" w:cs="Arial"/>
                <w:sz w:val="14"/>
                <w:szCs w:val="14"/>
              </w:rPr>
              <w:t>N/A</w:t>
            </w:r>
          </w:p>
        </w:tc>
        <w:tc>
          <w:tcPr>
            <w:tcW w:w="1418" w:type="dxa"/>
            <w:tcBorders>
              <w:top w:val="single" w:sz="4" w:space="0" w:color="0070C0"/>
              <w:left w:val="single" w:sz="4" w:space="0" w:color="0070C0"/>
              <w:bottom w:val="dotted" w:sz="4" w:space="0" w:color="0070C0"/>
              <w:right w:val="single" w:sz="4" w:space="0" w:color="0070C0"/>
            </w:tcBorders>
            <w:vAlign w:val="center"/>
          </w:tcPr>
          <w:p w:rsidR="00966372" w:rsidRPr="006F1D04" w:rsidRDefault="00966372" w:rsidP="003A4476">
            <w:pPr>
              <w:keepNext/>
              <w:spacing w:after="0" w:line="240" w:lineRule="auto"/>
              <w:jc w:val="center"/>
              <w:rPr>
                <w:rFonts w:ascii="Arial" w:hAnsi="Arial" w:cs="Arial"/>
                <w:b/>
                <w:color w:val="00B050"/>
                <w:sz w:val="14"/>
                <w:szCs w:val="14"/>
              </w:rPr>
            </w:pPr>
            <w:r w:rsidRPr="006F1D04">
              <w:rPr>
                <w:rFonts w:ascii="Arial" w:hAnsi="Arial" w:cs="Arial"/>
                <w:b/>
                <w:color w:val="00B050"/>
                <w:sz w:val="14"/>
                <w:szCs w:val="14"/>
              </w:rPr>
              <w:t>Yes</w:t>
            </w:r>
          </w:p>
        </w:tc>
        <w:tc>
          <w:tcPr>
            <w:tcW w:w="2551" w:type="dxa"/>
            <w:tcBorders>
              <w:top w:val="single" w:sz="4" w:space="0" w:color="0070C0"/>
              <w:left w:val="single" w:sz="4" w:space="0" w:color="0070C0"/>
              <w:bottom w:val="dotted" w:sz="4" w:space="0" w:color="0070C0"/>
              <w:right w:val="single" w:sz="4" w:space="0" w:color="0070C0"/>
            </w:tcBorders>
            <w:vAlign w:val="center"/>
          </w:tcPr>
          <w:p w:rsidR="00966372" w:rsidRPr="006F1D04" w:rsidRDefault="00966372" w:rsidP="00C74C59">
            <w:pPr>
              <w:keepNext/>
              <w:spacing w:after="0" w:line="240" w:lineRule="auto"/>
              <w:jc w:val="center"/>
              <w:rPr>
                <w:rFonts w:ascii="Arial" w:hAnsi="Arial" w:cs="Arial"/>
                <w:color w:val="000000"/>
                <w:sz w:val="14"/>
                <w:szCs w:val="14"/>
              </w:rPr>
            </w:pPr>
            <w:r w:rsidRPr="006F1D04">
              <w:rPr>
                <w:rFonts w:ascii="Arial" w:hAnsi="Arial" w:cs="Arial"/>
                <w:color w:val="000000"/>
                <w:sz w:val="14"/>
                <w:szCs w:val="14"/>
              </w:rPr>
              <w:t>WA</w:t>
            </w:r>
          </w:p>
        </w:tc>
        <w:tc>
          <w:tcPr>
            <w:tcW w:w="2127" w:type="dxa"/>
            <w:tcBorders>
              <w:top w:val="single" w:sz="4" w:space="0" w:color="0070C0"/>
              <w:left w:val="single" w:sz="4" w:space="0" w:color="0070C0"/>
              <w:bottom w:val="dotted" w:sz="4" w:space="0" w:color="0070C0"/>
              <w:right w:val="single" w:sz="4" w:space="0" w:color="0070C0"/>
            </w:tcBorders>
            <w:vAlign w:val="center"/>
          </w:tcPr>
          <w:p w:rsidR="00966372" w:rsidRPr="006F1D04" w:rsidRDefault="00966372" w:rsidP="00C74C59">
            <w:pPr>
              <w:keepNext/>
              <w:spacing w:after="0" w:line="240" w:lineRule="auto"/>
              <w:jc w:val="center"/>
              <w:rPr>
                <w:rFonts w:ascii="Arial" w:hAnsi="Arial" w:cs="Arial"/>
                <w:color w:val="000000"/>
                <w:sz w:val="14"/>
                <w:szCs w:val="14"/>
              </w:rPr>
            </w:pPr>
            <w:r w:rsidRPr="006F1D04">
              <w:rPr>
                <w:rFonts w:ascii="Arial" w:hAnsi="Arial" w:cs="Arial"/>
                <w:b/>
                <w:color w:val="00B050"/>
                <w:sz w:val="14"/>
                <w:szCs w:val="14"/>
              </w:rPr>
              <w:t>Yes</w:t>
            </w:r>
          </w:p>
        </w:tc>
        <w:tc>
          <w:tcPr>
            <w:tcW w:w="1417" w:type="dxa"/>
            <w:tcBorders>
              <w:top w:val="single" w:sz="4" w:space="0" w:color="0070C0"/>
              <w:left w:val="single" w:sz="4" w:space="0" w:color="0070C0"/>
              <w:bottom w:val="dotted" w:sz="4" w:space="0" w:color="0070C0"/>
              <w:right w:val="single" w:sz="4" w:space="0" w:color="0070C0"/>
            </w:tcBorders>
            <w:vAlign w:val="center"/>
          </w:tcPr>
          <w:p w:rsidR="00966372" w:rsidRPr="006F1D04" w:rsidRDefault="00966372" w:rsidP="00BE3CC0">
            <w:pPr>
              <w:spacing w:after="0" w:line="240" w:lineRule="auto"/>
              <w:jc w:val="center"/>
              <w:rPr>
                <w:rFonts w:ascii="Arial" w:hAnsi="Arial" w:cs="Arial"/>
                <w:sz w:val="14"/>
                <w:szCs w:val="14"/>
              </w:rPr>
            </w:pPr>
            <w:r w:rsidRPr="006F1D04">
              <w:rPr>
                <w:rFonts w:ascii="Arial" w:hAnsi="Arial" w:cs="Arial"/>
                <w:sz w:val="14"/>
                <w:szCs w:val="14"/>
              </w:rPr>
              <w:t>$6.4 billion</w:t>
            </w:r>
          </w:p>
        </w:tc>
      </w:tr>
      <w:tr w:rsidR="00966372" w:rsidRPr="006F1D04" w:rsidTr="005360B4">
        <w:trPr>
          <w:trHeight w:hRule="exact" w:val="340"/>
        </w:trPr>
        <w:tc>
          <w:tcPr>
            <w:tcW w:w="958" w:type="dxa"/>
            <w:vMerge/>
            <w:tcBorders>
              <w:left w:val="single"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p>
        </w:tc>
        <w:tc>
          <w:tcPr>
            <w:tcW w:w="808" w:type="dxa"/>
            <w:vMerge/>
            <w:tcBorders>
              <w:left w:val="single"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p>
        </w:tc>
        <w:tc>
          <w:tcPr>
            <w:tcW w:w="690" w:type="dxa"/>
            <w:tcBorders>
              <w:top w:val="dotted" w:sz="4" w:space="0" w:color="0070C0"/>
              <w:left w:val="single" w:sz="4" w:space="0" w:color="0070C0"/>
              <w:bottom w:val="dotted"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r w:rsidRPr="006F1D04">
              <w:rPr>
                <w:rFonts w:ascii="Arial" w:hAnsi="Arial" w:cs="Arial"/>
                <w:sz w:val="14"/>
                <w:szCs w:val="14"/>
              </w:rPr>
              <w:t>A16PM</w:t>
            </w:r>
            <w:r w:rsidRPr="006F1D04">
              <w:rPr>
                <w:rFonts w:ascii="Arial" w:hAnsi="Arial" w:cs="Arial"/>
                <w:sz w:val="14"/>
                <w:szCs w:val="14"/>
                <w:vertAlign w:val="subscript"/>
              </w:rPr>
              <w:t>10</w:t>
            </w:r>
          </w:p>
        </w:tc>
        <w:tc>
          <w:tcPr>
            <w:tcW w:w="1258" w:type="dxa"/>
            <w:tcBorders>
              <w:top w:val="dotted" w:sz="4" w:space="0" w:color="0070C0"/>
              <w:left w:val="single" w:sz="4" w:space="0" w:color="0070C0"/>
              <w:bottom w:val="dotted"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r w:rsidRPr="006F1D04">
              <w:rPr>
                <w:rFonts w:ascii="Arial" w:hAnsi="Arial" w:cs="Arial"/>
                <w:sz w:val="14"/>
                <w:szCs w:val="14"/>
              </w:rPr>
              <w:t xml:space="preserve">16 </w:t>
            </w:r>
            <w:proofErr w:type="spellStart"/>
            <w:r w:rsidRPr="006F1D04">
              <w:rPr>
                <w:rFonts w:ascii="Arial" w:hAnsi="Arial" w:cs="Arial"/>
                <w:sz w:val="14"/>
                <w:szCs w:val="14"/>
              </w:rPr>
              <w:t>μg</w:t>
            </w:r>
            <w:proofErr w:type="spellEnd"/>
            <w:r w:rsidRPr="006F1D04">
              <w:rPr>
                <w:rFonts w:ascii="Arial" w:hAnsi="Arial" w:cs="Arial"/>
                <w:sz w:val="14"/>
                <w:szCs w:val="14"/>
              </w:rPr>
              <w:t>/m</w:t>
            </w:r>
            <w:r w:rsidRPr="006F1D04">
              <w:rPr>
                <w:rFonts w:ascii="Arial" w:hAnsi="Arial" w:cs="Arial"/>
                <w:sz w:val="14"/>
                <w:szCs w:val="14"/>
                <w:vertAlign w:val="superscript"/>
              </w:rPr>
              <w:t>3</w:t>
            </w:r>
          </w:p>
        </w:tc>
        <w:tc>
          <w:tcPr>
            <w:tcW w:w="1276" w:type="dxa"/>
            <w:tcBorders>
              <w:top w:val="dotted" w:sz="4" w:space="0" w:color="0070C0"/>
              <w:left w:val="single" w:sz="4" w:space="0" w:color="0070C0"/>
              <w:bottom w:val="dotted" w:sz="4" w:space="0" w:color="0070C0"/>
              <w:right w:val="single" w:sz="4" w:space="0" w:color="0070C0"/>
            </w:tcBorders>
            <w:vAlign w:val="center"/>
          </w:tcPr>
          <w:p w:rsidR="00966372" w:rsidRPr="006F1D04" w:rsidRDefault="00D97521" w:rsidP="003A4476">
            <w:pPr>
              <w:keepNext/>
              <w:spacing w:after="0" w:line="240" w:lineRule="auto"/>
              <w:jc w:val="center"/>
              <w:rPr>
                <w:rFonts w:ascii="Arial" w:hAnsi="Arial" w:cs="Arial"/>
                <w:b/>
                <w:color w:val="FF0000"/>
                <w:sz w:val="14"/>
                <w:szCs w:val="14"/>
              </w:rPr>
            </w:pPr>
            <w:r w:rsidRPr="006F1D04">
              <w:rPr>
                <w:rFonts w:ascii="Arial" w:hAnsi="Arial" w:cs="Arial"/>
                <w:b/>
                <w:color w:val="FF0000"/>
                <w:sz w:val="14"/>
                <w:szCs w:val="14"/>
              </w:rPr>
              <w:t>Unlikely</w:t>
            </w:r>
          </w:p>
        </w:tc>
        <w:tc>
          <w:tcPr>
            <w:tcW w:w="1275" w:type="dxa"/>
            <w:tcBorders>
              <w:top w:val="dotted" w:sz="4" w:space="0" w:color="0070C0"/>
              <w:left w:val="single" w:sz="4" w:space="0" w:color="0070C0"/>
              <w:bottom w:val="dotted" w:sz="4" w:space="0" w:color="0070C0"/>
              <w:right w:val="single" w:sz="4" w:space="0" w:color="0070C0"/>
            </w:tcBorders>
            <w:vAlign w:val="center"/>
          </w:tcPr>
          <w:p w:rsidR="00966372" w:rsidRPr="006F1D04" w:rsidRDefault="00D97521" w:rsidP="003A4476">
            <w:pPr>
              <w:keepNext/>
              <w:spacing w:after="0" w:line="240" w:lineRule="auto"/>
              <w:jc w:val="center"/>
              <w:rPr>
                <w:rFonts w:ascii="Arial" w:hAnsi="Arial" w:cs="Arial"/>
                <w:b/>
                <w:color w:val="00B050"/>
                <w:sz w:val="14"/>
                <w:szCs w:val="14"/>
              </w:rPr>
            </w:pPr>
            <w:r w:rsidRPr="006F1D04">
              <w:rPr>
                <w:rFonts w:ascii="Arial" w:hAnsi="Arial" w:cs="Arial"/>
                <w:sz w:val="14"/>
                <w:szCs w:val="14"/>
              </w:rPr>
              <w:t>N/A</w:t>
            </w:r>
          </w:p>
        </w:tc>
        <w:tc>
          <w:tcPr>
            <w:tcW w:w="1418" w:type="dxa"/>
            <w:tcBorders>
              <w:top w:val="dotted" w:sz="4" w:space="0" w:color="0070C0"/>
              <w:left w:val="single" w:sz="4" w:space="0" w:color="0070C0"/>
              <w:bottom w:val="dotted" w:sz="4" w:space="0" w:color="0070C0"/>
              <w:right w:val="single" w:sz="4" w:space="0" w:color="0070C0"/>
            </w:tcBorders>
            <w:vAlign w:val="center"/>
          </w:tcPr>
          <w:p w:rsidR="00966372" w:rsidRPr="006F1D04" w:rsidRDefault="00966372" w:rsidP="003A4476">
            <w:pPr>
              <w:keepNext/>
              <w:spacing w:after="0" w:line="240" w:lineRule="auto"/>
              <w:jc w:val="center"/>
              <w:rPr>
                <w:rFonts w:ascii="Arial" w:hAnsi="Arial" w:cs="Arial"/>
                <w:b/>
                <w:color w:val="00B050"/>
                <w:sz w:val="14"/>
                <w:szCs w:val="14"/>
              </w:rPr>
            </w:pPr>
            <w:r w:rsidRPr="006F1D04">
              <w:rPr>
                <w:rFonts w:ascii="Arial" w:hAnsi="Arial" w:cs="Arial"/>
                <w:b/>
                <w:color w:val="00B050"/>
                <w:sz w:val="14"/>
                <w:szCs w:val="14"/>
              </w:rPr>
              <w:t>Yes</w:t>
            </w:r>
          </w:p>
        </w:tc>
        <w:tc>
          <w:tcPr>
            <w:tcW w:w="2551" w:type="dxa"/>
            <w:tcBorders>
              <w:top w:val="dotted" w:sz="4" w:space="0" w:color="0070C0"/>
              <w:left w:val="single" w:sz="4" w:space="0" w:color="0070C0"/>
              <w:bottom w:val="dotted" w:sz="4" w:space="0" w:color="0070C0"/>
              <w:right w:val="single" w:sz="4" w:space="0" w:color="0070C0"/>
            </w:tcBorders>
            <w:vAlign w:val="center"/>
          </w:tcPr>
          <w:p w:rsidR="00966372" w:rsidRPr="006F1D04" w:rsidRDefault="00966372" w:rsidP="00C74C59">
            <w:pPr>
              <w:keepNext/>
              <w:spacing w:after="0" w:line="240" w:lineRule="auto"/>
              <w:jc w:val="center"/>
              <w:rPr>
                <w:rFonts w:ascii="Arial" w:hAnsi="Arial" w:cs="Arial"/>
                <w:color w:val="000000"/>
                <w:sz w:val="14"/>
                <w:szCs w:val="14"/>
              </w:rPr>
            </w:pPr>
            <w:r w:rsidRPr="006F1D04">
              <w:rPr>
                <w:rFonts w:ascii="Arial" w:hAnsi="Arial" w:cs="Arial"/>
                <w:color w:val="000000"/>
                <w:sz w:val="14"/>
                <w:szCs w:val="14"/>
              </w:rPr>
              <w:t>NSW, VIC, QLD, WA, NT</w:t>
            </w:r>
          </w:p>
        </w:tc>
        <w:tc>
          <w:tcPr>
            <w:tcW w:w="2127" w:type="dxa"/>
            <w:tcBorders>
              <w:top w:val="dotted" w:sz="4" w:space="0" w:color="0070C0"/>
              <w:left w:val="single" w:sz="4" w:space="0" w:color="0070C0"/>
              <w:bottom w:val="dotted" w:sz="4" w:space="0" w:color="0070C0"/>
              <w:right w:val="single" w:sz="4" w:space="0" w:color="0070C0"/>
            </w:tcBorders>
            <w:vAlign w:val="center"/>
          </w:tcPr>
          <w:p w:rsidR="00966372" w:rsidRPr="006F1D04" w:rsidRDefault="00966372" w:rsidP="00C74C59">
            <w:pPr>
              <w:keepNext/>
              <w:spacing w:after="0" w:line="240" w:lineRule="auto"/>
              <w:jc w:val="center"/>
              <w:rPr>
                <w:rFonts w:ascii="Arial" w:hAnsi="Arial" w:cs="Arial"/>
                <w:color w:val="000000"/>
                <w:sz w:val="14"/>
                <w:szCs w:val="14"/>
              </w:rPr>
            </w:pPr>
            <w:r w:rsidRPr="006F1D04">
              <w:rPr>
                <w:rFonts w:ascii="Arial" w:hAnsi="Arial" w:cs="Arial"/>
                <w:b/>
                <w:color w:val="FF0000"/>
                <w:sz w:val="14"/>
                <w:szCs w:val="14"/>
              </w:rPr>
              <w:t>No</w:t>
            </w:r>
          </w:p>
        </w:tc>
        <w:tc>
          <w:tcPr>
            <w:tcW w:w="1417" w:type="dxa"/>
            <w:tcBorders>
              <w:top w:val="dotted" w:sz="4" w:space="0" w:color="0070C0"/>
              <w:left w:val="single" w:sz="4" w:space="0" w:color="0070C0"/>
              <w:bottom w:val="dotted" w:sz="4" w:space="0" w:color="0070C0"/>
              <w:right w:val="single" w:sz="4" w:space="0" w:color="0070C0"/>
            </w:tcBorders>
            <w:vAlign w:val="center"/>
          </w:tcPr>
          <w:p w:rsidR="00966372" w:rsidRPr="006F1D04" w:rsidRDefault="00F953EE" w:rsidP="00BE3CC0">
            <w:pPr>
              <w:spacing w:after="0" w:line="240" w:lineRule="auto"/>
              <w:jc w:val="center"/>
              <w:rPr>
                <w:rFonts w:ascii="Arial" w:hAnsi="Arial" w:cs="Arial"/>
                <w:sz w:val="14"/>
                <w:szCs w:val="14"/>
              </w:rPr>
            </w:pPr>
            <w:r w:rsidRPr="006F1D04">
              <w:rPr>
                <w:rFonts w:ascii="Arial" w:hAnsi="Arial" w:cs="Arial"/>
                <w:sz w:val="14"/>
                <w:szCs w:val="14"/>
              </w:rPr>
              <w:t>–</w:t>
            </w:r>
          </w:p>
        </w:tc>
      </w:tr>
      <w:tr w:rsidR="00966372" w:rsidRPr="006F1D04" w:rsidTr="005360B4">
        <w:trPr>
          <w:trHeight w:hRule="exact" w:val="340"/>
        </w:trPr>
        <w:tc>
          <w:tcPr>
            <w:tcW w:w="958" w:type="dxa"/>
            <w:vMerge/>
            <w:tcBorders>
              <w:left w:val="single"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p>
        </w:tc>
        <w:tc>
          <w:tcPr>
            <w:tcW w:w="808" w:type="dxa"/>
            <w:vMerge/>
            <w:tcBorders>
              <w:left w:val="single" w:sz="4" w:space="0" w:color="0070C0"/>
              <w:bottom w:val="single"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p>
        </w:tc>
        <w:tc>
          <w:tcPr>
            <w:tcW w:w="690" w:type="dxa"/>
            <w:tcBorders>
              <w:top w:val="dotted" w:sz="4" w:space="0" w:color="0070C0"/>
              <w:left w:val="single" w:sz="4" w:space="0" w:color="0070C0"/>
              <w:bottom w:val="single"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r w:rsidRPr="006F1D04">
              <w:rPr>
                <w:rFonts w:ascii="Arial" w:hAnsi="Arial" w:cs="Arial"/>
                <w:sz w:val="14"/>
                <w:szCs w:val="14"/>
              </w:rPr>
              <w:t>A12PM</w:t>
            </w:r>
            <w:r w:rsidRPr="006F1D04">
              <w:rPr>
                <w:rFonts w:ascii="Arial" w:hAnsi="Arial" w:cs="Arial"/>
                <w:sz w:val="14"/>
                <w:szCs w:val="14"/>
                <w:vertAlign w:val="subscript"/>
              </w:rPr>
              <w:t>10</w:t>
            </w:r>
          </w:p>
        </w:tc>
        <w:tc>
          <w:tcPr>
            <w:tcW w:w="1258" w:type="dxa"/>
            <w:tcBorders>
              <w:top w:val="dotted" w:sz="4" w:space="0" w:color="0070C0"/>
              <w:left w:val="single" w:sz="4" w:space="0" w:color="0070C0"/>
              <w:bottom w:val="single"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r w:rsidRPr="006F1D04">
              <w:rPr>
                <w:rFonts w:ascii="Arial" w:hAnsi="Arial" w:cs="Arial"/>
                <w:sz w:val="14"/>
                <w:szCs w:val="14"/>
              </w:rPr>
              <w:t xml:space="preserve">12 </w:t>
            </w:r>
            <w:proofErr w:type="spellStart"/>
            <w:r w:rsidRPr="006F1D04">
              <w:rPr>
                <w:rFonts w:ascii="Arial" w:hAnsi="Arial" w:cs="Arial"/>
                <w:sz w:val="14"/>
                <w:szCs w:val="14"/>
              </w:rPr>
              <w:t>μg</w:t>
            </w:r>
            <w:proofErr w:type="spellEnd"/>
            <w:r w:rsidRPr="006F1D04">
              <w:rPr>
                <w:rFonts w:ascii="Arial" w:hAnsi="Arial" w:cs="Arial"/>
                <w:sz w:val="14"/>
                <w:szCs w:val="14"/>
              </w:rPr>
              <w:t>/m</w:t>
            </w:r>
            <w:r w:rsidRPr="006F1D04">
              <w:rPr>
                <w:rFonts w:ascii="Arial" w:hAnsi="Arial" w:cs="Arial"/>
                <w:sz w:val="14"/>
                <w:szCs w:val="14"/>
                <w:vertAlign w:val="superscript"/>
              </w:rPr>
              <w:t>3</w:t>
            </w:r>
          </w:p>
        </w:tc>
        <w:tc>
          <w:tcPr>
            <w:tcW w:w="1276" w:type="dxa"/>
            <w:tcBorders>
              <w:top w:val="dotted" w:sz="4" w:space="0" w:color="0070C0"/>
              <w:left w:val="single" w:sz="4" w:space="0" w:color="0070C0"/>
              <w:bottom w:val="single" w:sz="4" w:space="0" w:color="0070C0"/>
              <w:right w:val="single" w:sz="4" w:space="0" w:color="0070C0"/>
            </w:tcBorders>
            <w:vAlign w:val="center"/>
          </w:tcPr>
          <w:p w:rsidR="00966372" w:rsidRPr="006F1D04" w:rsidRDefault="00D97521" w:rsidP="003A4476">
            <w:pPr>
              <w:spacing w:after="0" w:line="240" w:lineRule="auto"/>
              <w:jc w:val="center"/>
              <w:rPr>
                <w:rFonts w:ascii="Arial" w:hAnsi="Arial" w:cs="Arial"/>
                <w:sz w:val="14"/>
                <w:szCs w:val="14"/>
              </w:rPr>
            </w:pPr>
            <w:r w:rsidRPr="006F1D04">
              <w:rPr>
                <w:rFonts w:ascii="Arial" w:hAnsi="Arial" w:cs="Arial"/>
                <w:b/>
                <w:color w:val="FF0000"/>
                <w:sz w:val="14"/>
                <w:szCs w:val="14"/>
              </w:rPr>
              <w:t>Very unlikely</w:t>
            </w:r>
          </w:p>
        </w:tc>
        <w:tc>
          <w:tcPr>
            <w:tcW w:w="1275" w:type="dxa"/>
            <w:tcBorders>
              <w:top w:val="dotted" w:sz="4" w:space="0" w:color="0070C0"/>
              <w:left w:val="single" w:sz="4" w:space="0" w:color="0070C0"/>
              <w:bottom w:val="single" w:sz="4" w:space="0" w:color="0070C0"/>
              <w:right w:val="single" w:sz="4" w:space="0" w:color="0070C0"/>
            </w:tcBorders>
            <w:vAlign w:val="center"/>
          </w:tcPr>
          <w:p w:rsidR="00966372" w:rsidRPr="006F1D04" w:rsidRDefault="00D97521" w:rsidP="003A4476">
            <w:pPr>
              <w:keepNext/>
              <w:spacing w:after="0" w:line="240" w:lineRule="auto"/>
              <w:jc w:val="center"/>
              <w:rPr>
                <w:rFonts w:ascii="Arial" w:hAnsi="Arial" w:cs="Arial"/>
                <w:b/>
                <w:color w:val="FF0000"/>
                <w:sz w:val="14"/>
                <w:szCs w:val="14"/>
              </w:rPr>
            </w:pPr>
            <w:r w:rsidRPr="006F1D04">
              <w:rPr>
                <w:rFonts w:ascii="Arial" w:hAnsi="Arial" w:cs="Arial"/>
                <w:sz w:val="14"/>
                <w:szCs w:val="14"/>
              </w:rPr>
              <w:t>N/A</w:t>
            </w:r>
          </w:p>
        </w:tc>
        <w:tc>
          <w:tcPr>
            <w:tcW w:w="1418" w:type="dxa"/>
            <w:tcBorders>
              <w:top w:val="dotted" w:sz="4" w:space="0" w:color="0070C0"/>
              <w:left w:val="single" w:sz="4" w:space="0" w:color="0070C0"/>
              <w:bottom w:val="single" w:sz="4" w:space="0" w:color="0070C0"/>
              <w:right w:val="single" w:sz="4" w:space="0" w:color="0070C0"/>
            </w:tcBorders>
            <w:vAlign w:val="center"/>
          </w:tcPr>
          <w:p w:rsidR="00966372" w:rsidRPr="006F1D04" w:rsidRDefault="00966372" w:rsidP="003A4476">
            <w:pPr>
              <w:keepNext/>
              <w:spacing w:after="0" w:line="240" w:lineRule="auto"/>
              <w:jc w:val="center"/>
              <w:rPr>
                <w:rFonts w:ascii="Arial" w:hAnsi="Arial" w:cs="Arial"/>
                <w:b/>
                <w:color w:val="FF0000"/>
                <w:sz w:val="14"/>
                <w:szCs w:val="14"/>
              </w:rPr>
            </w:pPr>
            <w:r w:rsidRPr="006F1D04">
              <w:rPr>
                <w:rFonts w:ascii="Arial" w:hAnsi="Arial" w:cs="Arial"/>
                <w:b/>
                <w:color w:val="FF0000"/>
                <w:sz w:val="14"/>
                <w:szCs w:val="14"/>
              </w:rPr>
              <w:t>No</w:t>
            </w:r>
          </w:p>
        </w:tc>
        <w:tc>
          <w:tcPr>
            <w:tcW w:w="2551" w:type="dxa"/>
            <w:tcBorders>
              <w:top w:val="dotted" w:sz="4" w:space="0" w:color="0070C0"/>
              <w:left w:val="single" w:sz="4" w:space="0" w:color="0070C0"/>
              <w:bottom w:val="single" w:sz="4" w:space="0" w:color="0070C0"/>
              <w:right w:val="single" w:sz="4" w:space="0" w:color="0070C0"/>
            </w:tcBorders>
            <w:vAlign w:val="center"/>
          </w:tcPr>
          <w:p w:rsidR="00966372" w:rsidRPr="006F1D04" w:rsidRDefault="00F953EE" w:rsidP="00C74C59">
            <w:pPr>
              <w:keepNext/>
              <w:spacing w:after="0" w:line="240" w:lineRule="auto"/>
              <w:jc w:val="center"/>
              <w:rPr>
                <w:rFonts w:ascii="Arial" w:hAnsi="Arial" w:cs="Arial"/>
                <w:color w:val="000000"/>
                <w:sz w:val="14"/>
                <w:szCs w:val="14"/>
              </w:rPr>
            </w:pPr>
            <w:r w:rsidRPr="006F1D04">
              <w:rPr>
                <w:rFonts w:ascii="Arial" w:hAnsi="Arial" w:cs="Arial"/>
                <w:color w:val="000000"/>
                <w:sz w:val="14"/>
                <w:szCs w:val="14"/>
              </w:rPr>
              <w:t>–</w:t>
            </w:r>
          </w:p>
        </w:tc>
        <w:tc>
          <w:tcPr>
            <w:tcW w:w="2127" w:type="dxa"/>
            <w:tcBorders>
              <w:top w:val="dotted" w:sz="4" w:space="0" w:color="0070C0"/>
              <w:left w:val="single" w:sz="4" w:space="0" w:color="0070C0"/>
              <w:bottom w:val="single" w:sz="4" w:space="0" w:color="0070C0"/>
              <w:right w:val="single" w:sz="4" w:space="0" w:color="0070C0"/>
            </w:tcBorders>
            <w:vAlign w:val="center"/>
          </w:tcPr>
          <w:p w:rsidR="00966372" w:rsidRPr="006F1D04" w:rsidRDefault="00F953EE" w:rsidP="00C74C59">
            <w:pPr>
              <w:keepNext/>
              <w:spacing w:after="0" w:line="240" w:lineRule="auto"/>
              <w:jc w:val="center"/>
              <w:rPr>
                <w:rFonts w:ascii="Arial" w:hAnsi="Arial" w:cs="Arial"/>
                <w:color w:val="000000"/>
                <w:sz w:val="14"/>
                <w:szCs w:val="14"/>
              </w:rPr>
            </w:pPr>
            <w:r w:rsidRPr="006F1D04">
              <w:rPr>
                <w:rFonts w:ascii="Arial" w:hAnsi="Arial" w:cs="Arial"/>
                <w:color w:val="000000"/>
                <w:sz w:val="14"/>
                <w:szCs w:val="14"/>
              </w:rPr>
              <w:t>–</w:t>
            </w:r>
          </w:p>
        </w:tc>
        <w:tc>
          <w:tcPr>
            <w:tcW w:w="1417" w:type="dxa"/>
            <w:tcBorders>
              <w:top w:val="dotted" w:sz="4" w:space="0" w:color="0070C0"/>
              <w:left w:val="single" w:sz="4" w:space="0" w:color="0070C0"/>
              <w:bottom w:val="single" w:sz="4" w:space="0" w:color="0070C0"/>
              <w:right w:val="single" w:sz="4" w:space="0" w:color="0070C0"/>
            </w:tcBorders>
            <w:vAlign w:val="center"/>
          </w:tcPr>
          <w:p w:rsidR="00966372" w:rsidRPr="006F1D04" w:rsidRDefault="00F953EE" w:rsidP="00BE3CC0">
            <w:pPr>
              <w:spacing w:after="0" w:line="240" w:lineRule="auto"/>
              <w:jc w:val="center"/>
              <w:rPr>
                <w:rFonts w:ascii="Arial" w:hAnsi="Arial" w:cs="Arial"/>
                <w:sz w:val="14"/>
                <w:szCs w:val="14"/>
              </w:rPr>
            </w:pPr>
            <w:r w:rsidRPr="006F1D04">
              <w:rPr>
                <w:rFonts w:ascii="Arial" w:hAnsi="Arial" w:cs="Arial"/>
                <w:sz w:val="14"/>
                <w:szCs w:val="14"/>
              </w:rPr>
              <w:t>–</w:t>
            </w:r>
          </w:p>
        </w:tc>
      </w:tr>
      <w:tr w:rsidR="00966372" w:rsidRPr="006F1D04" w:rsidTr="005360B4">
        <w:trPr>
          <w:trHeight w:hRule="exact" w:val="340"/>
        </w:trPr>
        <w:tc>
          <w:tcPr>
            <w:tcW w:w="958" w:type="dxa"/>
            <w:vMerge/>
            <w:tcBorders>
              <w:left w:val="single"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p>
        </w:tc>
        <w:tc>
          <w:tcPr>
            <w:tcW w:w="808" w:type="dxa"/>
            <w:vMerge w:val="restart"/>
            <w:tcBorders>
              <w:top w:val="single" w:sz="4" w:space="0" w:color="0070C0"/>
              <w:left w:val="single"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r w:rsidRPr="006F1D04">
              <w:rPr>
                <w:rFonts w:ascii="Arial" w:hAnsi="Arial" w:cs="Arial"/>
                <w:sz w:val="14"/>
                <w:szCs w:val="14"/>
              </w:rPr>
              <w:t>PM</w:t>
            </w:r>
            <w:r w:rsidRPr="006F1D04">
              <w:rPr>
                <w:rFonts w:ascii="Arial" w:hAnsi="Arial" w:cs="Arial"/>
                <w:sz w:val="14"/>
                <w:szCs w:val="14"/>
                <w:vertAlign w:val="subscript"/>
              </w:rPr>
              <w:t>10</w:t>
            </w:r>
          </w:p>
          <w:p w:rsidR="00966372" w:rsidRPr="006F1D04" w:rsidRDefault="00966372" w:rsidP="00C74C59">
            <w:pPr>
              <w:spacing w:after="0" w:line="240" w:lineRule="auto"/>
              <w:jc w:val="center"/>
              <w:rPr>
                <w:rFonts w:ascii="Arial" w:hAnsi="Arial" w:cs="Arial"/>
                <w:sz w:val="14"/>
                <w:szCs w:val="14"/>
              </w:rPr>
            </w:pPr>
            <w:r w:rsidRPr="006F1D04">
              <w:rPr>
                <w:rFonts w:ascii="Arial" w:hAnsi="Arial" w:cs="Arial"/>
                <w:sz w:val="14"/>
                <w:szCs w:val="14"/>
              </w:rPr>
              <w:t>24-hour mean</w:t>
            </w:r>
          </w:p>
        </w:tc>
        <w:tc>
          <w:tcPr>
            <w:tcW w:w="690" w:type="dxa"/>
            <w:tcBorders>
              <w:top w:val="single" w:sz="4" w:space="0" w:color="0070C0"/>
              <w:left w:val="single" w:sz="4" w:space="0" w:color="0070C0"/>
              <w:bottom w:val="dotted"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r w:rsidRPr="006F1D04">
              <w:rPr>
                <w:rFonts w:ascii="Arial" w:hAnsi="Arial" w:cs="Arial"/>
                <w:sz w:val="14"/>
                <w:szCs w:val="14"/>
              </w:rPr>
              <w:t>D50PM</w:t>
            </w:r>
            <w:r w:rsidRPr="006F1D04">
              <w:rPr>
                <w:rFonts w:ascii="Arial" w:hAnsi="Arial" w:cs="Arial"/>
                <w:sz w:val="14"/>
                <w:szCs w:val="14"/>
                <w:vertAlign w:val="subscript"/>
              </w:rPr>
              <w:t>10</w:t>
            </w:r>
          </w:p>
        </w:tc>
        <w:tc>
          <w:tcPr>
            <w:tcW w:w="1258" w:type="dxa"/>
            <w:tcBorders>
              <w:top w:val="single" w:sz="4" w:space="0" w:color="0070C0"/>
              <w:left w:val="single" w:sz="4" w:space="0" w:color="0070C0"/>
              <w:bottom w:val="dotted"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b/>
                <w:sz w:val="14"/>
                <w:szCs w:val="14"/>
              </w:rPr>
            </w:pPr>
            <w:r w:rsidRPr="006F1D04">
              <w:rPr>
                <w:rFonts w:ascii="Arial" w:hAnsi="Arial" w:cs="Arial"/>
                <w:b/>
                <w:sz w:val="14"/>
                <w:szCs w:val="14"/>
              </w:rPr>
              <w:t>50</w:t>
            </w:r>
            <w:r w:rsidRPr="006F1D04">
              <w:rPr>
                <w:rFonts w:ascii="Arial" w:hAnsi="Arial" w:cs="Arial"/>
                <w:sz w:val="14"/>
                <w:szCs w:val="14"/>
              </w:rPr>
              <w:t xml:space="preserve"> </w:t>
            </w:r>
            <w:proofErr w:type="spellStart"/>
            <w:r w:rsidRPr="006F1D04">
              <w:rPr>
                <w:rFonts w:ascii="Arial" w:hAnsi="Arial" w:cs="Arial"/>
                <w:sz w:val="14"/>
                <w:szCs w:val="14"/>
              </w:rPr>
              <w:t>μg</w:t>
            </w:r>
            <w:proofErr w:type="spellEnd"/>
            <w:r w:rsidRPr="006F1D04">
              <w:rPr>
                <w:rFonts w:ascii="Arial" w:hAnsi="Arial" w:cs="Arial"/>
                <w:sz w:val="14"/>
                <w:szCs w:val="14"/>
              </w:rPr>
              <w:t>/m</w:t>
            </w:r>
            <w:r w:rsidRPr="006F1D04">
              <w:rPr>
                <w:rFonts w:ascii="Arial" w:hAnsi="Arial" w:cs="Arial"/>
                <w:sz w:val="14"/>
                <w:szCs w:val="14"/>
                <w:vertAlign w:val="superscript"/>
              </w:rPr>
              <w:t>3</w:t>
            </w:r>
          </w:p>
        </w:tc>
        <w:tc>
          <w:tcPr>
            <w:tcW w:w="1276" w:type="dxa"/>
            <w:tcBorders>
              <w:top w:val="single" w:sz="4" w:space="0" w:color="0070C0"/>
              <w:left w:val="single" w:sz="4" w:space="0" w:color="0070C0"/>
              <w:bottom w:val="dotted" w:sz="4" w:space="0" w:color="0070C0"/>
              <w:right w:val="single" w:sz="4" w:space="0" w:color="0070C0"/>
            </w:tcBorders>
            <w:vAlign w:val="center"/>
          </w:tcPr>
          <w:p w:rsidR="00966372" w:rsidRPr="006F1D04" w:rsidRDefault="00D97521" w:rsidP="003A4476">
            <w:pPr>
              <w:spacing w:after="0" w:line="240" w:lineRule="auto"/>
              <w:jc w:val="center"/>
              <w:rPr>
                <w:rFonts w:ascii="Arial" w:hAnsi="Arial" w:cs="Arial"/>
                <w:b/>
                <w:color w:val="FF0000"/>
                <w:sz w:val="14"/>
                <w:szCs w:val="14"/>
              </w:rPr>
            </w:pPr>
            <w:r w:rsidRPr="006F1D04">
              <w:rPr>
                <w:rFonts w:ascii="Arial" w:hAnsi="Arial" w:cs="Arial"/>
                <w:b/>
                <w:color w:val="00B050"/>
                <w:sz w:val="14"/>
                <w:szCs w:val="14"/>
              </w:rPr>
              <w:t>Likely</w:t>
            </w:r>
          </w:p>
        </w:tc>
        <w:tc>
          <w:tcPr>
            <w:tcW w:w="1275" w:type="dxa"/>
            <w:tcBorders>
              <w:top w:val="single" w:sz="4" w:space="0" w:color="0070C0"/>
              <w:left w:val="single" w:sz="4" w:space="0" w:color="0070C0"/>
              <w:bottom w:val="dotted" w:sz="4" w:space="0" w:color="0070C0"/>
              <w:right w:val="single" w:sz="4" w:space="0" w:color="0070C0"/>
            </w:tcBorders>
            <w:vAlign w:val="center"/>
          </w:tcPr>
          <w:p w:rsidR="00966372" w:rsidRPr="006F1D04" w:rsidRDefault="00D97521" w:rsidP="003A4476">
            <w:pPr>
              <w:keepNext/>
              <w:spacing w:after="0" w:line="240" w:lineRule="auto"/>
              <w:jc w:val="center"/>
              <w:rPr>
                <w:rFonts w:ascii="Arial" w:hAnsi="Arial" w:cs="Arial"/>
                <w:b/>
                <w:color w:val="00B050"/>
                <w:sz w:val="14"/>
                <w:szCs w:val="14"/>
              </w:rPr>
            </w:pPr>
            <w:r w:rsidRPr="006F1D04">
              <w:rPr>
                <w:rFonts w:ascii="Arial" w:hAnsi="Arial" w:cs="Arial"/>
                <w:b/>
                <w:color w:val="00B050"/>
                <w:sz w:val="14"/>
                <w:szCs w:val="14"/>
              </w:rPr>
              <w:t>Decrease</w:t>
            </w:r>
          </w:p>
        </w:tc>
        <w:tc>
          <w:tcPr>
            <w:tcW w:w="1418" w:type="dxa"/>
            <w:tcBorders>
              <w:top w:val="single" w:sz="4" w:space="0" w:color="0070C0"/>
              <w:left w:val="single" w:sz="4" w:space="0" w:color="0070C0"/>
              <w:bottom w:val="dotted" w:sz="4" w:space="0" w:color="0070C0"/>
              <w:right w:val="single" w:sz="4" w:space="0" w:color="0070C0"/>
            </w:tcBorders>
            <w:vAlign w:val="center"/>
          </w:tcPr>
          <w:p w:rsidR="00966372" w:rsidRPr="006F1D04" w:rsidRDefault="00966372" w:rsidP="003A4476">
            <w:pPr>
              <w:keepNext/>
              <w:spacing w:after="0" w:line="240" w:lineRule="auto"/>
              <w:jc w:val="center"/>
              <w:rPr>
                <w:rFonts w:ascii="Arial" w:hAnsi="Arial" w:cs="Arial"/>
                <w:b/>
                <w:color w:val="000000"/>
                <w:sz w:val="14"/>
                <w:szCs w:val="14"/>
              </w:rPr>
            </w:pPr>
            <w:r w:rsidRPr="006F1D04">
              <w:rPr>
                <w:rFonts w:ascii="Arial" w:hAnsi="Arial" w:cs="Arial"/>
                <w:b/>
                <w:color w:val="00B050"/>
                <w:sz w:val="14"/>
                <w:szCs w:val="14"/>
              </w:rPr>
              <w:t>Yes</w:t>
            </w:r>
          </w:p>
        </w:tc>
        <w:tc>
          <w:tcPr>
            <w:tcW w:w="2551" w:type="dxa"/>
            <w:tcBorders>
              <w:top w:val="single" w:sz="4" w:space="0" w:color="0070C0"/>
              <w:left w:val="single" w:sz="4" w:space="0" w:color="0070C0"/>
              <w:bottom w:val="dotted" w:sz="4" w:space="0" w:color="0070C0"/>
              <w:right w:val="single" w:sz="4" w:space="0" w:color="0070C0"/>
            </w:tcBorders>
            <w:vAlign w:val="center"/>
          </w:tcPr>
          <w:p w:rsidR="00966372" w:rsidRPr="006F1D04" w:rsidRDefault="00966372" w:rsidP="00C74C59">
            <w:pPr>
              <w:keepNext/>
              <w:spacing w:after="0" w:line="240" w:lineRule="auto"/>
              <w:jc w:val="center"/>
              <w:rPr>
                <w:rFonts w:ascii="Arial" w:hAnsi="Arial" w:cs="Arial"/>
                <w:color w:val="000000"/>
                <w:sz w:val="14"/>
                <w:szCs w:val="14"/>
              </w:rPr>
            </w:pPr>
            <w:r w:rsidRPr="006F1D04">
              <w:rPr>
                <w:rFonts w:ascii="Arial" w:hAnsi="Arial" w:cs="Arial"/>
                <w:color w:val="000000"/>
                <w:sz w:val="14"/>
                <w:szCs w:val="14"/>
              </w:rPr>
              <w:t>None</w:t>
            </w:r>
          </w:p>
        </w:tc>
        <w:tc>
          <w:tcPr>
            <w:tcW w:w="2127" w:type="dxa"/>
            <w:tcBorders>
              <w:top w:val="single" w:sz="4" w:space="0" w:color="0070C0"/>
              <w:left w:val="single" w:sz="4" w:space="0" w:color="0070C0"/>
              <w:bottom w:val="dotted" w:sz="4" w:space="0" w:color="0070C0"/>
              <w:right w:val="single" w:sz="4" w:space="0" w:color="0070C0"/>
            </w:tcBorders>
            <w:vAlign w:val="center"/>
          </w:tcPr>
          <w:p w:rsidR="00966372" w:rsidRPr="006F1D04" w:rsidRDefault="00966372" w:rsidP="00C74C59">
            <w:pPr>
              <w:keepNext/>
              <w:spacing w:after="0" w:line="240" w:lineRule="auto"/>
              <w:jc w:val="center"/>
              <w:rPr>
                <w:rFonts w:ascii="Arial" w:hAnsi="Arial" w:cs="Arial"/>
                <w:color w:val="000000"/>
                <w:sz w:val="14"/>
                <w:szCs w:val="14"/>
              </w:rPr>
            </w:pPr>
            <w:r w:rsidRPr="006F1D04">
              <w:rPr>
                <w:rFonts w:ascii="Arial" w:hAnsi="Arial" w:cs="Arial"/>
                <w:color w:val="000000"/>
                <w:sz w:val="14"/>
                <w:szCs w:val="14"/>
              </w:rPr>
              <w:t>No reduction required</w:t>
            </w:r>
          </w:p>
        </w:tc>
        <w:tc>
          <w:tcPr>
            <w:tcW w:w="1417" w:type="dxa"/>
            <w:tcBorders>
              <w:top w:val="single" w:sz="4" w:space="0" w:color="0070C0"/>
              <w:left w:val="single" w:sz="4" w:space="0" w:color="0070C0"/>
              <w:bottom w:val="dotted" w:sz="4" w:space="0" w:color="0070C0"/>
              <w:right w:val="single" w:sz="4" w:space="0" w:color="0070C0"/>
            </w:tcBorders>
            <w:vAlign w:val="center"/>
          </w:tcPr>
          <w:p w:rsidR="00966372" w:rsidRPr="006F1D04" w:rsidRDefault="00F953EE" w:rsidP="00BE3CC0">
            <w:pPr>
              <w:spacing w:after="0" w:line="240" w:lineRule="auto"/>
              <w:jc w:val="center"/>
              <w:rPr>
                <w:rFonts w:ascii="Arial" w:hAnsi="Arial" w:cs="Arial"/>
                <w:sz w:val="14"/>
                <w:szCs w:val="14"/>
              </w:rPr>
            </w:pPr>
            <w:r w:rsidRPr="006F1D04">
              <w:rPr>
                <w:rFonts w:ascii="Arial" w:hAnsi="Arial" w:cs="Arial"/>
                <w:sz w:val="14"/>
                <w:szCs w:val="14"/>
              </w:rPr>
              <w:t>–</w:t>
            </w:r>
          </w:p>
        </w:tc>
      </w:tr>
      <w:tr w:rsidR="00966372" w:rsidRPr="006F1D04" w:rsidTr="005360B4">
        <w:trPr>
          <w:trHeight w:hRule="exact" w:val="340"/>
        </w:trPr>
        <w:tc>
          <w:tcPr>
            <w:tcW w:w="958" w:type="dxa"/>
            <w:vMerge/>
            <w:tcBorders>
              <w:left w:val="single"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p>
        </w:tc>
        <w:tc>
          <w:tcPr>
            <w:tcW w:w="808" w:type="dxa"/>
            <w:vMerge/>
            <w:tcBorders>
              <w:left w:val="single"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p>
        </w:tc>
        <w:tc>
          <w:tcPr>
            <w:tcW w:w="690" w:type="dxa"/>
            <w:tcBorders>
              <w:top w:val="dotted" w:sz="4" w:space="0" w:color="0070C0"/>
              <w:left w:val="single" w:sz="4" w:space="0" w:color="0070C0"/>
              <w:bottom w:val="dotted"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r w:rsidRPr="006F1D04">
              <w:rPr>
                <w:rFonts w:ascii="Arial" w:hAnsi="Arial" w:cs="Arial"/>
                <w:sz w:val="14"/>
                <w:szCs w:val="14"/>
              </w:rPr>
              <w:t>D40PM</w:t>
            </w:r>
            <w:r w:rsidRPr="006F1D04">
              <w:rPr>
                <w:rFonts w:ascii="Arial" w:hAnsi="Arial" w:cs="Arial"/>
                <w:sz w:val="14"/>
                <w:szCs w:val="14"/>
                <w:vertAlign w:val="subscript"/>
              </w:rPr>
              <w:t>10</w:t>
            </w:r>
          </w:p>
        </w:tc>
        <w:tc>
          <w:tcPr>
            <w:tcW w:w="1258" w:type="dxa"/>
            <w:tcBorders>
              <w:top w:val="dotted" w:sz="4" w:space="0" w:color="0070C0"/>
              <w:left w:val="single" w:sz="4" w:space="0" w:color="0070C0"/>
              <w:bottom w:val="dotted"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r w:rsidRPr="006F1D04">
              <w:rPr>
                <w:rFonts w:ascii="Arial" w:hAnsi="Arial" w:cs="Arial"/>
                <w:sz w:val="14"/>
                <w:szCs w:val="14"/>
              </w:rPr>
              <w:t xml:space="preserve">40 </w:t>
            </w:r>
            <w:proofErr w:type="spellStart"/>
            <w:r w:rsidRPr="006F1D04">
              <w:rPr>
                <w:rFonts w:ascii="Arial" w:hAnsi="Arial" w:cs="Arial"/>
                <w:sz w:val="14"/>
                <w:szCs w:val="14"/>
              </w:rPr>
              <w:t>μg</w:t>
            </w:r>
            <w:proofErr w:type="spellEnd"/>
            <w:r w:rsidRPr="006F1D04">
              <w:rPr>
                <w:rFonts w:ascii="Arial" w:hAnsi="Arial" w:cs="Arial"/>
                <w:sz w:val="14"/>
                <w:szCs w:val="14"/>
              </w:rPr>
              <w:t>/m</w:t>
            </w:r>
            <w:r w:rsidRPr="006F1D04">
              <w:rPr>
                <w:rFonts w:ascii="Arial" w:hAnsi="Arial" w:cs="Arial"/>
                <w:sz w:val="14"/>
                <w:szCs w:val="14"/>
                <w:vertAlign w:val="superscript"/>
              </w:rPr>
              <w:t>3</w:t>
            </w:r>
          </w:p>
        </w:tc>
        <w:tc>
          <w:tcPr>
            <w:tcW w:w="1276" w:type="dxa"/>
            <w:tcBorders>
              <w:top w:val="dotted" w:sz="4" w:space="0" w:color="0070C0"/>
              <w:left w:val="single" w:sz="4" w:space="0" w:color="0070C0"/>
              <w:bottom w:val="dotted" w:sz="4" w:space="0" w:color="0070C0"/>
              <w:right w:val="single" w:sz="4" w:space="0" w:color="0070C0"/>
            </w:tcBorders>
            <w:vAlign w:val="center"/>
          </w:tcPr>
          <w:p w:rsidR="00966372" w:rsidRPr="006F1D04" w:rsidRDefault="00D97521" w:rsidP="003A4476">
            <w:pPr>
              <w:spacing w:after="0" w:line="240" w:lineRule="auto"/>
              <w:jc w:val="center"/>
              <w:rPr>
                <w:rFonts w:ascii="Arial" w:hAnsi="Arial" w:cs="Arial"/>
                <w:sz w:val="14"/>
                <w:szCs w:val="14"/>
              </w:rPr>
            </w:pPr>
            <w:r w:rsidRPr="006F1D04">
              <w:rPr>
                <w:rFonts w:ascii="Arial" w:hAnsi="Arial" w:cs="Arial"/>
                <w:b/>
                <w:color w:val="00B050"/>
                <w:sz w:val="14"/>
                <w:szCs w:val="14"/>
              </w:rPr>
              <w:t>Likely</w:t>
            </w:r>
          </w:p>
        </w:tc>
        <w:tc>
          <w:tcPr>
            <w:tcW w:w="1275" w:type="dxa"/>
            <w:tcBorders>
              <w:top w:val="dotted" w:sz="4" w:space="0" w:color="0070C0"/>
              <w:left w:val="single" w:sz="4" w:space="0" w:color="0070C0"/>
              <w:bottom w:val="dotted" w:sz="4" w:space="0" w:color="0070C0"/>
              <w:right w:val="single" w:sz="4" w:space="0" w:color="0070C0"/>
            </w:tcBorders>
            <w:vAlign w:val="center"/>
          </w:tcPr>
          <w:p w:rsidR="00966372" w:rsidRPr="006F1D04" w:rsidRDefault="00D97521" w:rsidP="003A4476">
            <w:pPr>
              <w:keepNext/>
              <w:spacing w:after="0" w:line="240" w:lineRule="auto"/>
              <w:jc w:val="center"/>
              <w:rPr>
                <w:rFonts w:ascii="Arial" w:hAnsi="Arial" w:cs="Arial"/>
                <w:b/>
                <w:color w:val="00B050"/>
                <w:sz w:val="14"/>
                <w:szCs w:val="14"/>
              </w:rPr>
            </w:pPr>
            <w:r w:rsidRPr="006F1D04">
              <w:rPr>
                <w:rFonts w:ascii="Arial" w:hAnsi="Arial" w:cs="Arial"/>
                <w:b/>
                <w:color w:val="00B050"/>
                <w:sz w:val="14"/>
                <w:szCs w:val="14"/>
              </w:rPr>
              <w:t>Decrease</w:t>
            </w:r>
          </w:p>
        </w:tc>
        <w:tc>
          <w:tcPr>
            <w:tcW w:w="1418" w:type="dxa"/>
            <w:tcBorders>
              <w:top w:val="dotted" w:sz="4" w:space="0" w:color="0070C0"/>
              <w:left w:val="single" w:sz="4" w:space="0" w:color="0070C0"/>
              <w:bottom w:val="dotted" w:sz="4" w:space="0" w:color="0070C0"/>
              <w:right w:val="single" w:sz="4" w:space="0" w:color="0070C0"/>
            </w:tcBorders>
            <w:vAlign w:val="center"/>
          </w:tcPr>
          <w:p w:rsidR="00966372" w:rsidRPr="006F1D04" w:rsidRDefault="00966372" w:rsidP="003A4476">
            <w:pPr>
              <w:keepNext/>
              <w:spacing w:after="0" w:line="240" w:lineRule="auto"/>
              <w:jc w:val="center"/>
              <w:rPr>
                <w:rFonts w:ascii="Arial" w:hAnsi="Arial" w:cs="Arial"/>
                <w:color w:val="000000"/>
                <w:sz w:val="14"/>
                <w:szCs w:val="14"/>
              </w:rPr>
            </w:pPr>
            <w:r w:rsidRPr="006F1D04">
              <w:rPr>
                <w:rFonts w:ascii="Arial" w:hAnsi="Arial" w:cs="Arial"/>
                <w:b/>
                <w:color w:val="00B050"/>
                <w:sz w:val="14"/>
                <w:szCs w:val="14"/>
              </w:rPr>
              <w:t>Yes</w:t>
            </w:r>
          </w:p>
        </w:tc>
        <w:tc>
          <w:tcPr>
            <w:tcW w:w="2551" w:type="dxa"/>
            <w:tcBorders>
              <w:top w:val="dotted" w:sz="4" w:space="0" w:color="0070C0"/>
              <w:left w:val="single" w:sz="4" w:space="0" w:color="0070C0"/>
              <w:bottom w:val="dotted" w:sz="4" w:space="0" w:color="0070C0"/>
              <w:right w:val="single" w:sz="4" w:space="0" w:color="0070C0"/>
            </w:tcBorders>
            <w:vAlign w:val="center"/>
          </w:tcPr>
          <w:p w:rsidR="00966372" w:rsidRPr="006F1D04" w:rsidRDefault="00966372" w:rsidP="00C74C59">
            <w:pPr>
              <w:keepNext/>
              <w:spacing w:after="0" w:line="240" w:lineRule="auto"/>
              <w:jc w:val="center"/>
              <w:rPr>
                <w:rFonts w:ascii="Arial" w:hAnsi="Arial" w:cs="Arial"/>
                <w:color w:val="000000"/>
                <w:sz w:val="14"/>
                <w:szCs w:val="14"/>
              </w:rPr>
            </w:pPr>
            <w:r w:rsidRPr="006F1D04">
              <w:rPr>
                <w:rFonts w:ascii="Arial" w:hAnsi="Arial" w:cs="Arial"/>
                <w:color w:val="000000"/>
                <w:sz w:val="14"/>
                <w:szCs w:val="14"/>
              </w:rPr>
              <w:t>TAS</w:t>
            </w:r>
          </w:p>
        </w:tc>
        <w:tc>
          <w:tcPr>
            <w:tcW w:w="2127" w:type="dxa"/>
            <w:tcBorders>
              <w:top w:val="dotted" w:sz="4" w:space="0" w:color="0070C0"/>
              <w:left w:val="single" w:sz="4" w:space="0" w:color="0070C0"/>
              <w:bottom w:val="dotted" w:sz="4" w:space="0" w:color="0070C0"/>
              <w:right w:val="single" w:sz="4" w:space="0" w:color="0070C0"/>
            </w:tcBorders>
            <w:vAlign w:val="center"/>
          </w:tcPr>
          <w:p w:rsidR="00966372" w:rsidRPr="006F1D04" w:rsidRDefault="00966372" w:rsidP="00C74C59">
            <w:pPr>
              <w:keepNext/>
              <w:spacing w:after="0" w:line="240" w:lineRule="auto"/>
              <w:jc w:val="center"/>
              <w:rPr>
                <w:rFonts w:ascii="Arial" w:hAnsi="Arial" w:cs="Arial"/>
                <w:color w:val="000000"/>
                <w:sz w:val="14"/>
                <w:szCs w:val="14"/>
              </w:rPr>
            </w:pPr>
            <w:r w:rsidRPr="006F1D04">
              <w:rPr>
                <w:rFonts w:ascii="Arial" w:hAnsi="Arial" w:cs="Arial"/>
                <w:b/>
                <w:color w:val="00B050"/>
                <w:sz w:val="14"/>
                <w:szCs w:val="14"/>
              </w:rPr>
              <w:t>Yes</w:t>
            </w:r>
          </w:p>
        </w:tc>
        <w:tc>
          <w:tcPr>
            <w:tcW w:w="1417" w:type="dxa"/>
            <w:tcBorders>
              <w:top w:val="dotted" w:sz="4" w:space="0" w:color="0070C0"/>
              <w:left w:val="single" w:sz="4" w:space="0" w:color="0070C0"/>
              <w:bottom w:val="dotted" w:sz="4" w:space="0" w:color="0070C0"/>
              <w:right w:val="single" w:sz="4" w:space="0" w:color="0070C0"/>
            </w:tcBorders>
            <w:vAlign w:val="center"/>
          </w:tcPr>
          <w:p w:rsidR="00966372" w:rsidRPr="006F1D04" w:rsidRDefault="00966372" w:rsidP="00BE3CC0">
            <w:pPr>
              <w:spacing w:after="0" w:line="240" w:lineRule="auto"/>
              <w:jc w:val="center"/>
              <w:rPr>
                <w:rFonts w:ascii="Arial" w:hAnsi="Arial" w:cs="Arial"/>
                <w:sz w:val="14"/>
                <w:szCs w:val="14"/>
              </w:rPr>
            </w:pPr>
            <w:r w:rsidRPr="006F1D04">
              <w:rPr>
                <w:rFonts w:ascii="Arial" w:hAnsi="Arial" w:cs="Arial"/>
                <w:sz w:val="14"/>
                <w:szCs w:val="14"/>
              </w:rPr>
              <w:t>$6.6 billion</w:t>
            </w:r>
          </w:p>
        </w:tc>
      </w:tr>
      <w:tr w:rsidR="00966372" w:rsidRPr="006F1D04" w:rsidTr="005360B4">
        <w:trPr>
          <w:trHeight w:hRule="exact" w:val="340"/>
        </w:trPr>
        <w:tc>
          <w:tcPr>
            <w:tcW w:w="958" w:type="dxa"/>
            <w:vMerge/>
            <w:tcBorders>
              <w:left w:val="single"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p>
        </w:tc>
        <w:tc>
          <w:tcPr>
            <w:tcW w:w="808" w:type="dxa"/>
            <w:vMerge/>
            <w:tcBorders>
              <w:left w:val="single" w:sz="4" w:space="0" w:color="0070C0"/>
              <w:bottom w:val="single"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p>
        </w:tc>
        <w:tc>
          <w:tcPr>
            <w:tcW w:w="690" w:type="dxa"/>
            <w:tcBorders>
              <w:top w:val="dotted" w:sz="4" w:space="0" w:color="0070C0"/>
              <w:left w:val="single" w:sz="4" w:space="0" w:color="0070C0"/>
              <w:bottom w:val="single"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r w:rsidRPr="006F1D04">
              <w:rPr>
                <w:rFonts w:ascii="Arial" w:hAnsi="Arial" w:cs="Arial"/>
                <w:sz w:val="14"/>
                <w:szCs w:val="14"/>
              </w:rPr>
              <w:t>D30PM</w:t>
            </w:r>
            <w:r w:rsidRPr="006F1D04">
              <w:rPr>
                <w:rFonts w:ascii="Arial" w:hAnsi="Arial" w:cs="Arial"/>
                <w:sz w:val="14"/>
                <w:szCs w:val="14"/>
                <w:vertAlign w:val="subscript"/>
              </w:rPr>
              <w:t>10</w:t>
            </w:r>
          </w:p>
        </w:tc>
        <w:tc>
          <w:tcPr>
            <w:tcW w:w="1258" w:type="dxa"/>
            <w:tcBorders>
              <w:top w:val="dotted" w:sz="4" w:space="0" w:color="0070C0"/>
              <w:left w:val="single" w:sz="4" w:space="0" w:color="0070C0"/>
              <w:bottom w:val="single"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r w:rsidRPr="006F1D04">
              <w:rPr>
                <w:rFonts w:ascii="Arial" w:hAnsi="Arial" w:cs="Arial"/>
                <w:sz w:val="14"/>
                <w:szCs w:val="14"/>
              </w:rPr>
              <w:t xml:space="preserve">30 </w:t>
            </w:r>
            <w:proofErr w:type="spellStart"/>
            <w:r w:rsidRPr="006F1D04">
              <w:rPr>
                <w:rFonts w:ascii="Arial" w:hAnsi="Arial" w:cs="Arial"/>
                <w:sz w:val="14"/>
                <w:szCs w:val="14"/>
              </w:rPr>
              <w:t>μg</w:t>
            </w:r>
            <w:proofErr w:type="spellEnd"/>
            <w:r w:rsidRPr="006F1D04">
              <w:rPr>
                <w:rFonts w:ascii="Arial" w:hAnsi="Arial" w:cs="Arial"/>
                <w:sz w:val="14"/>
                <w:szCs w:val="14"/>
              </w:rPr>
              <w:t>/m</w:t>
            </w:r>
            <w:r w:rsidRPr="006F1D04">
              <w:rPr>
                <w:rFonts w:ascii="Arial" w:hAnsi="Arial" w:cs="Arial"/>
                <w:sz w:val="14"/>
                <w:szCs w:val="14"/>
                <w:vertAlign w:val="superscript"/>
              </w:rPr>
              <w:t>3</w:t>
            </w:r>
          </w:p>
        </w:tc>
        <w:tc>
          <w:tcPr>
            <w:tcW w:w="1276" w:type="dxa"/>
            <w:tcBorders>
              <w:top w:val="dotted" w:sz="4" w:space="0" w:color="0070C0"/>
              <w:left w:val="single" w:sz="4" w:space="0" w:color="0070C0"/>
              <w:bottom w:val="single" w:sz="4" w:space="0" w:color="0070C0"/>
              <w:right w:val="single" w:sz="4" w:space="0" w:color="0070C0"/>
            </w:tcBorders>
            <w:vAlign w:val="center"/>
          </w:tcPr>
          <w:p w:rsidR="00966372" w:rsidRPr="006F1D04" w:rsidRDefault="00D97521" w:rsidP="003A4476">
            <w:pPr>
              <w:spacing w:after="0" w:line="240" w:lineRule="auto"/>
              <w:jc w:val="center"/>
              <w:rPr>
                <w:rFonts w:ascii="Arial" w:hAnsi="Arial" w:cs="Arial"/>
                <w:sz w:val="14"/>
                <w:szCs w:val="14"/>
              </w:rPr>
            </w:pPr>
            <w:r w:rsidRPr="006F1D04">
              <w:rPr>
                <w:rFonts w:ascii="Arial" w:hAnsi="Arial" w:cs="Arial"/>
                <w:b/>
                <w:color w:val="FF0000"/>
                <w:sz w:val="14"/>
                <w:szCs w:val="14"/>
              </w:rPr>
              <w:t>Unlikely</w:t>
            </w:r>
          </w:p>
        </w:tc>
        <w:tc>
          <w:tcPr>
            <w:tcW w:w="1275" w:type="dxa"/>
            <w:tcBorders>
              <w:top w:val="dotted" w:sz="4" w:space="0" w:color="0070C0"/>
              <w:left w:val="single" w:sz="4" w:space="0" w:color="0070C0"/>
              <w:bottom w:val="single" w:sz="4" w:space="0" w:color="0070C0"/>
              <w:right w:val="single" w:sz="4" w:space="0" w:color="0070C0"/>
            </w:tcBorders>
            <w:vAlign w:val="center"/>
          </w:tcPr>
          <w:p w:rsidR="00966372" w:rsidRPr="006F1D04" w:rsidRDefault="00D97521" w:rsidP="003A4476">
            <w:pPr>
              <w:keepNext/>
              <w:spacing w:after="0" w:line="240" w:lineRule="auto"/>
              <w:jc w:val="center"/>
              <w:rPr>
                <w:rFonts w:ascii="Arial" w:hAnsi="Arial" w:cs="Arial"/>
                <w:b/>
                <w:color w:val="00B050"/>
                <w:sz w:val="14"/>
                <w:szCs w:val="14"/>
              </w:rPr>
            </w:pPr>
            <w:r w:rsidRPr="006F1D04">
              <w:rPr>
                <w:rFonts w:ascii="Arial" w:hAnsi="Arial" w:cs="Arial"/>
                <w:b/>
                <w:color w:val="00B050"/>
                <w:sz w:val="14"/>
                <w:szCs w:val="14"/>
              </w:rPr>
              <w:t>Decrease</w:t>
            </w:r>
          </w:p>
        </w:tc>
        <w:tc>
          <w:tcPr>
            <w:tcW w:w="1418" w:type="dxa"/>
            <w:tcBorders>
              <w:top w:val="dotted" w:sz="4" w:space="0" w:color="0070C0"/>
              <w:left w:val="single" w:sz="4" w:space="0" w:color="0070C0"/>
              <w:bottom w:val="single" w:sz="4" w:space="0" w:color="0070C0"/>
              <w:right w:val="single" w:sz="4" w:space="0" w:color="0070C0"/>
            </w:tcBorders>
            <w:vAlign w:val="center"/>
          </w:tcPr>
          <w:p w:rsidR="00966372" w:rsidRPr="006F1D04" w:rsidRDefault="00966372" w:rsidP="003A4476">
            <w:pPr>
              <w:keepNext/>
              <w:spacing w:after="0" w:line="240" w:lineRule="auto"/>
              <w:jc w:val="center"/>
              <w:rPr>
                <w:rFonts w:ascii="Arial" w:hAnsi="Arial" w:cs="Arial"/>
                <w:color w:val="000000"/>
                <w:sz w:val="14"/>
                <w:szCs w:val="14"/>
              </w:rPr>
            </w:pPr>
            <w:r w:rsidRPr="006F1D04">
              <w:rPr>
                <w:rFonts w:ascii="Arial" w:hAnsi="Arial" w:cs="Arial"/>
                <w:b/>
                <w:color w:val="FF0000"/>
                <w:sz w:val="14"/>
                <w:szCs w:val="14"/>
              </w:rPr>
              <w:t>No</w:t>
            </w:r>
          </w:p>
        </w:tc>
        <w:tc>
          <w:tcPr>
            <w:tcW w:w="2551" w:type="dxa"/>
            <w:tcBorders>
              <w:top w:val="dotted" w:sz="4" w:space="0" w:color="0070C0"/>
              <w:left w:val="single" w:sz="4" w:space="0" w:color="0070C0"/>
              <w:bottom w:val="single" w:sz="4" w:space="0" w:color="0070C0"/>
              <w:right w:val="single" w:sz="4" w:space="0" w:color="0070C0"/>
            </w:tcBorders>
            <w:vAlign w:val="center"/>
          </w:tcPr>
          <w:p w:rsidR="00966372" w:rsidRPr="006F1D04" w:rsidRDefault="00F953EE" w:rsidP="00C74C59">
            <w:pPr>
              <w:keepNext/>
              <w:spacing w:after="0" w:line="240" w:lineRule="auto"/>
              <w:jc w:val="center"/>
              <w:rPr>
                <w:rFonts w:ascii="Arial" w:hAnsi="Arial" w:cs="Arial"/>
                <w:color w:val="000000"/>
                <w:sz w:val="14"/>
                <w:szCs w:val="14"/>
              </w:rPr>
            </w:pPr>
            <w:r w:rsidRPr="006F1D04">
              <w:rPr>
                <w:rFonts w:ascii="Arial" w:hAnsi="Arial" w:cs="Arial"/>
                <w:color w:val="000000"/>
                <w:sz w:val="14"/>
                <w:szCs w:val="14"/>
              </w:rPr>
              <w:t>–</w:t>
            </w:r>
          </w:p>
        </w:tc>
        <w:tc>
          <w:tcPr>
            <w:tcW w:w="2127" w:type="dxa"/>
            <w:tcBorders>
              <w:top w:val="dotted" w:sz="4" w:space="0" w:color="0070C0"/>
              <w:left w:val="single" w:sz="4" w:space="0" w:color="0070C0"/>
              <w:bottom w:val="single" w:sz="4" w:space="0" w:color="0070C0"/>
              <w:right w:val="single" w:sz="4" w:space="0" w:color="0070C0"/>
            </w:tcBorders>
            <w:vAlign w:val="center"/>
          </w:tcPr>
          <w:p w:rsidR="00966372" w:rsidRPr="006F1D04" w:rsidRDefault="00F953EE" w:rsidP="00C74C59">
            <w:pPr>
              <w:keepNext/>
              <w:spacing w:after="0" w:line="240" w:lineRule="auto"/>
              <w:jc w:val="center"/>
              <w:rPr>
                <w:rFonts w:ascii="Arial" w:hAnsi="Arial" w:cs="Arial"/>
                <w:color w:val="000000"/>
                <w:sz w:val="14"/>
                <w:szCs w:val="14"/>
              </w:rPr>
            </w:pPr>
            <w:r w:rsidRPr="006F1D04">
              <w:rPr>
                <w:rFonts w:ascii="Arial" w:hAnsi="Arial" w:cs="Arial"/>
                <w:color w:val="000000"/>
                <w:sz w:val="14"/>
                <w:szCs w:val="14"/>
              </w:rPr>
              <w:t>–</w:t>
            </w:r>
          </w:p>
        </w:tc>
        <w:tc>
          <w:tcPr>
            <w:tcW w:w="1417" w:type="dxa"/>
            <w:tcBorders>
              <w:top w:val="dotted" w:sz="4" w:space="0" w:color="0070C0"/>
              <w:left w:val="single" w:sz="4" w:space="0" w:color="0070C0"/>
              <w:bottom w:val="single" w:sz="4" w:space="0" w:color="0070C0"/>
              <w:right w:val="single" w:sz="4" w:space="0" w:color="0070C0"/>
            </w:tcBorders>
            <w:vAlign w:val="center"/>
          </w:tcPr>
          <w:p w:rsidR="00966372" w:rsidRPr="006F1D04" w:rsidRDefault="00F953EE" w:rsidP="00BE3CC0">
            <w:pPr>
              <w:spacing w:after="0" w:line="240" w:lineRule="auto"/>
              <w:jc w:val="center"/>
              <w:rPr>
                <w:rFonts w:ascii="Arial" w:hAnsi="Arial" w:cs="Arial"/>
                <w:sz w:val="14"/>
                <w:szCs w:val="14"/>
              </w:rPr>
            </w:pPr>
            <w:r w:rsidRPr="006F1D04">
              <w:rPr>
                <w:rFonts w:ascii="Arial" w:hAnsi="Arial" w:cs="Arial"/>
                <w:sz w:val="14"/>
                <w:szCs w:val="14"/>
              </w:rPr>
              <w:t>–</w:t>
            </w:r>
          </w:p>
        </w:tc>
      </w:tr>
      <w:tr w:rsidR="00966372" w:rsidRPr="006F1D04" w:rsidTr="005360B4">
        <w:trPr>
          <w:trHeight w:hRule="exact" w:val="340"/>
        </w:trPr>
        <w:tc>
          <w:tcPr>
            <w:tcW w:w="958" w:type="dxa"/>
            <w:vMerge/>
            <w:tcBorders>
              <w:left w:val="single"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p>
        </w:tc>
        <w:tc>
          <w:tcPr>
            <w:tcW w:w="808" w:type="dxa"/>
            <w:vMerge w:val="restart"/>
            <w:tcBorders>
              <w:top w:val="single" w:sz="4" w:space="0" w:color="0070C0"/>
              <w:left w:val="single" w:sz="4" w:space="0" w:color="0070C0"/>
              <w:bottom w:val="single"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r w:rsidRPr="006F1D04">
              <w:rPr>
                <w:rFonts w:ascii="Arial" w:hAnsi="Arial" w:cs="Arial"/>
                <w:sz w:val="14"/>
                <w:szCs w:val="14"/>
              </w:rPr>
              <w:t>PM</w:t>
            </w:r>
            <w:r w:rsidRPr="006F1D04">
              <w:rPr>
                <w:rFonts w:ascii="Arial" w:hAnsi="Arial" w:cs="Arial"/>
                <w:sz w:val="14"/>
                <w:szCs w:val="14"/>
                <w:vertAlign w:val="subscript"/>
              </w:rPr>
              <w:t>2.5</w:t>
            </w:r>
          </w:p>
          <w:p w:rsidR="00966372" w:rsidRPr="006F1D04" w:rsidRDefault="00966372" w:rsidP="00C74C59">
            <w:pPr>
              <w:spacing w:after="0" w:line="240" w:lineRule="auto"/>
              <w:jc w:val="center"/>
              <w:rPr>
                <w:rFonts w:ascii="Arial" w:hAnsi="Arial" w:cs="Arial"/>
                <w:sz w:val="14"/>
                <w:szCs w:val="14"/>
              </w:rPr>
            </w:pPr>
            <w:r w:rsidRPr="006F1D04">
              <w:rPr>
                <w:rFonts w:ascii="Arial" w:hAnsi="Arial" w:cs="Arial"/>
                <w:sz w:val="14"/>
                <w:szCs w:val="14"/>
              </w:rPr>
              <w:t>annual mean</w:t>
            </w:r>
          </w:p>
        </w:tc>
        <w:tc>
          <w:tcPr>
            <w:tcW w:w="690" w:type="dxa"/>
            <w:tcBorders>
              <w:top w:val="single" w:sz="4" w:space="0" w:color="0070C0"/>
              <w:left w:val="single" w:sz="4" w:space="0" w:color="0070C0"/>
              <w:bottom w:val="dotted"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r w:rsidRPr="006F1D04">
              <w:rPr>
                <w:rFonts w:ascii="Arial" w:hAnsi="Arial" w:cs="Arial"/>
                <w:sz w:val="14"/>
                <w:szCs w:val="14"/>
              </w:rPr>
              <w:t>A10PM</w:t>
            </w:r>
            <w:r w:rsidRPr="006F1D04">
              <w:rPr>
                <w:rFonts w:ascii="Arial" w:hAnsi="Arial" w:cs="Arial"/>
                <w:sz w:val="14"/>
                <w:szCs w:val="14"/>
                <w:vertAlign w:val="subscript"/>
              </w:rPr>
              <w:t>2.5</w:t>
            </w:r>
          </w:p>
        </w:tc>
        <w:tc>
          <w:tcPr>
            <w:tcW w:w="1258" w:type="dxa"/>
            <w:tcBorders>
              <w:top w:val="single" w:sz="4" w:space="0" w:color="0070C0"/>
              <w:left w:val="single" w:sz="4" w:space="0" w:color="0070C0"/>
              <w:bottom w:val="dotted"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r w:rsidRPr="006F1D04">
              <w:rPr>
                <w:rFonts w:ascii="Arial" w:hAnsi="Arial" w:cs="Arial"/>
                <w:sz w:val="14"/>
                <w:szCs w:val="14"/>
              </w:rPr>
              <w:t xml:space="preserve">10 </w:t>
            </w:r>
            <w:proofErr w:type="spellStart"/>
            <w:r w:rsidRPr="006F1D04">
              <w:rPr>
                <w:rFonts w:ascii="Arial" w:hAnsi="Arial" w:cs="Arial"/>
                <w:sz w:val="14"/>
                <w:szCs w:val="14"/>
              </w:rPr>
              <w:t>μg</w:t>
            </w:r>
            <w:proofErr w:type="spellEnd"/>
            <w:r w:rsidRPr="006F1D04">
              <w:rPr>
                <w:rFonts w:ascii="Arial" w:hAnsi="Arial" w:cs="Arial"/>
                <w:sz w:val="14"/>
                <w:szCs w:val="14"/>
              </w:rPr>
              <w:t>/m</w:t>
            </w:r>
            <w:r w:rsidRPr="006F1D04">
              <w:rPr>
                <w:rFonts w:ascii="Arial" w:hAnsi="Arial" w:cs="Arial"/>
                <w:sz w:val="14"/>
                <w:szCs w:val="14"/>
                <w:vertAlign w:val="superscript"/>
              </w:rPr>
              <w:t>3</w:t>
            </w:r>
          </w:p>
        </w:tc>
        <w:tc>
          <w:tcPr>
            <w:tcW w:w="1276" w:type="dxa"/>
            <w:tcBorders>
              <w:top w:val="single" w:sz="4" w:space="0" w:color="0070C0"/>
              <w:left w:val="single" w:sz="4" w:space="0" w:color="0070C0"/>
              <w:bottom w:val="dotted" w:sz="4" w:space="0" w:color="0070C0"/>
              <w:right w:val="single" w:sz="4" w:space="0" w:color="0070C0"/>
            </w:tcBorders>
            <w:vAlign w:val="center"/>
          </w:tcPr>
          <w:p w:rsidR="00966372" w:rsidRPr="006F1D04" w:rsidRDefault="00D97521" w:rsidP="003A4476">
            <w:pPr>
              <w:spacing w:after="0" w:line="240" w:lineRule="auto"/>
              <w:jc w:val="center"/>
              <w:rPr>
                <w:rFonts w:ascii="Arial" w:hAnsi="Arial" w:cs="Arial"/>
                <w:sz w:val="14"/>
                <w:szCs w:val="14"/>
              </w:rPr>
            </w:pPr>
            <w:r w:rsidRPr="006F1D04">
              <w:rPr>
                <w:rFonts w:ascii="Arial" w:hAnsi="Arial" w:cs="Arial"/>
                <w:b/>
                <w:color w:val="00B050"/>
                <w:sz w:val="14"/>
                <w:szCs w:val="14"/>
              </w:rPr>
              <w:t>Likely</w:t>
            </w:r>
          </w:p>
        </w:tc>
        <w:tc>
          <w:tcPr>
            <w:tcW w:w="1275" w:type="dxa"/>
            <w:tcBorders>
              <w:top w:val="single" w:sz="4" w:space="0" w:color="0070C0"/>
              <w:left w:val="single" w:sz="4" w:space="0" w:color="0070C0"/>
              <w:bottom w:val="dotted" w:sz="4" w:space="0" w:color="0070C0"/>
              <w:right w:val="single" w:sz="4" w:space="0" w:color="0070C0"/>
            </w:tcBorders>
            <w:vAlign w:val="center"/>
          </w:tcPr>
          <w:p w:rsidR="00966372" w:rsidRPr="006F1D04" w:rsidRDefault="00D97521" w:rsidP="003A4476">
            <w:pPr>
              <w:keepNext/>
              <w:spacing w:after="0" w:line="240" w:lineRule="auto"/>
              <w:jc w:val="center"/>
              <w:rPr>
                <w:rFonts w:ascii="Arial" w:hAnsi="Arial" w:cs="Arial"/>
                <w:b/>
                <w:color w:val="FF0000"/>
                <w:sz w:val="14"/>
                <w:szCs w:val="14"/>
              </w:rPr>
            </w:pPr>
            <w:r w:rsidRPr="006F1D04">
              <w:rPr>
                <w:rFonts w:ascii="Arial" w:hAnsi="Arial" w:cs="Arial"/>
                <w:b/>
                <w:color w:val="FF0000"/>
                <w:sz w:val="14"/>
                <w:szCs w:val="14"/>
              </w:rPr>
              <w:t>Increase</w:t>
            </w:r>
            <w:r w:rsidR="00FC1F67" w:rsidRPr="006F1D04">
              <w:rPr>
                <w:rFonts w:ascii="Arial" w:hAnsi="Arial" w:cs="Arial"/>
                <w:sz w:val="14"/>
                <w:szCs w:val="14"/>
                <w:vertAlign w:val="superscript"/>
              </w:rPr>
              <w:t>(d)</w:t>
            </w:r>
          </w:p>
        </w:tc>
        <w:tc>
          <w:tcPr>
            <w:tcW w:w="1418" w:type="dxa"/>
            <w:tcBorders>
              <w:top w:val="single" w:sz="4" w:space="0" w:color="0070C0"/>
              <w:left w:val="single" w:sz="4" w:space="0" w:color="0070C0"/>
              <w:bottom w:val="dotted" w:sz="4" w:space="0" w:color="0070C0"/>
              <w:right w:val="single" w:sz="4" w:space="0" w:color="0070C0"/>
            </w:tcBorders>
            <w:vAlign w:val="center"/>
          </w:tcPr>
          <w:p w:rsidR="00966372" w:rsidRPr="006F1D04" w:rsidRDefault="00966372" w:rsidP="003A4476">
            <w:pPr>
              <w:keepNext/>
              <w:spacing w:after="0" w:line="240" w:lineRule="auto"/>
              <w:jc w:val="center"/>
              <w:rPr>
                <w:rFonts w:ascii="Arial" w:hAnsi="Arial" w:cs="Arial"/>
                <w:color w:val="000000"/>
                <w:sz w:val="14"/>
                <w:szCs w:val="14"/>
              </w:rPr>
            </w:pPr>
            <w:r w:rsidRPr="006F1D04">
              <w:rPr>
                <w:rFonts w:ascii="Arial" w:hAnsi="Arial" w:cs="Arial"/>
                <w:b/>
                <w:color w:val="00B050"/>
                <w:sz w:val="14"/>
                <w:szCs w:val="14"/>
              </w:rPr>
              <w:t>Yes</w:t>
            </w:r>
          </w:p>
        </w:tc>
        <w:tc>
          <w:tcPr>
            <w:tcW w:w="2551" w:type="dxa"/>
            <w:tcBorders>
              <w:top w:val="single" w:sz="4" w:space="0" w:color="0070C0"/>
              <w:left w:val="single" w:sz="4" w:space="0" w:color="0070C0"/>
              <w:bottom w:val="dotted" w:sz="4" w:space="0" w:color="0070C0"/>
              <w:right w:val="single" w:sz="4" w:space="0" w:color="0070C0"/>
            </w:tcBorders>
            <w:vAlign w:val="center"/>
          </w:tcPr>
          <w:p w:rsidR="00966372" w:rsidRPr="006F1D04" w:rsidRDefault="00966372" w:rsidP="00C74C59">
            <w:pPr>
              <w:keepNext/>
              <w:spacing w:after="0" w:line="240" w:lineRule="auto"/>
              <w:jc w:val="center"/>
              <w:rPr>
                <w:rFonts w:ascii="Arial" w:hAnsi="Arial" w:cs="Arial"/>
                <w:color w:val="000000"/>
                <w:sz w:val="14"/>
                <w:szCs w:val="14"/>
              </w:rPr>
            </w:pPr>
            <w:r w:rsidRPr="006F1D04">
              <w:rPr>
                <w:rFonts w:ascii="Arial" w:hAnsi="Arial" w:cs="Arial"/>
                <w:color w:val="000000"/>
                <w:sz w:val="14"/>
                <w:szCs w:val="14"/>
              </w:rPr>
              <w:t>None</w:t>
            </w:r>
          </w:p>
        </w:tc>
        <w:tc>
          <w:tcPr>
            <w:tcW w:w="2127" w:type="dxa"/>
            <w:tcBorders>
              <w:top w:val="single" w:sz="4" w:space="0" w:color="0070C0"/>
              <w:left w:val="single" w:sz="4" w:space="0" w:color="0070C0"/>
              <w:bottom w:val="dotted" w:sz="4" w:space="0" w:color="0070C0"/>
              <w:right w:val="single" w:sz="4" w:space="0" w:color="0070C0"/>
            </w:tcBorders>
            <w:vAlign w:val="center"/>
          </w:tcPr>
          <w:p w:rsidR="00966372" w:rsidRPr="006F1D04" w:rsidRDefault="00966372" w:rsidP="00C74C59">
            <w:pPr>
              <w:keepNext/>
              <w:spacing w:after="0" w:line="240" w:lineRule="auto"/>
              <w:jc w:val="center"/>
              <w:rPr>
                <w:rFonts w:ascii="Arial" w:hAnsi="Arial" w:cs="Arial"/>
                <w:color w:val="000000"/>
                <w:sz w:val="14"/>
                <w:szCs w:val="14"/>
              </w:rPr>
            </w:pPr>
            <w:r w:rsidRPr="006F1D04">
              <w:rPr>
                <w:rFonts w:ascii="Arial" w:hAnsi="Arial" w:cs="Arial"/>
                <w:color w:val="000000"/>
                <w:sz w:val="14"/>
                <w:szCs w:val="14"/>
              </w:rPr>
              <w:t>No reduction required</w:t>
            </w:r>
          </w:p>
        </w:tc>
        <w:tc>
          <w:tcPr>
            <w:tcW w:w="1417" w:type="dxa"/>
            <w:tcBorders>
              <w:top w:val="single" w:sz="4" w:space="0" w:color="0070C0"/>
              <w:left w:val="single" w:sz="4" w:space="0" w:color="0070C0"/>
              <w:bottom w:val="dotted" w:sz="4" w:space="0" w:color="0070C0"/>
              <w:right w:val="single" w:sz="4" w:space="0" w:color="0070C0"/>
            </w:tcBorders>
            <w:vAlign w:val="center"/>
          </w:tcPr>
          <w:p w:rsidR="00966372" w:rsidRPr="006F1D04" w:rsidRDefault="00F953EE" w:rsidP="00BE3CC0">
            <w:pPr>
              <w:spacing w:after="0" w:line="240" w:lineRule="auto"/>
              <w:jc w:val="center"/>
              <w:rPr>
                <w:rFonts w:ascii="Arial" w:hAnsi="Arial" w:cs="Arial"/>
                <w:sz w:val="14"/>
                <w:szCs w:val="14"/>
              </w:rPr>
            </w:pPr>
            <w:r w:rsidRPr="006F1D04">
              <w:rPr>
                <w:rFonts w:ascii="Arial" w:hAnsi="Arial" w:cs="Arial"/>
                <w:sz w:val="14"/>
                <w:szCs w:val="14"/>
              </w:rPr>
              <w:t>–</w:t>
            </w:r>
          </w:p>
        </w:tc>
      </w:tr>
      <w:tr w:rsidR="00966372" w:rsidRPr="006F1D04" w:rsidTr="005360B4">
        <w:trPr>
          <w:trHeight w:hRule="exact" w:val="340"/>
        </w:trPr>
        <w:tc>
          <w:tcPr>
            <w:tcW w:w="958" w:type="dxa"/>
            <w:vMerge/>
            <w:tcBorders>
              <w:left w:val="single"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p>
        </w:tc>
        <w:tc>
          <w:tcPr>
            <w:tcW w:w="808" w:type="dxa"/>
            <w:vMerge/>
            <w:tcBorders>
              <w:top w:val="single" w:sz="4" w:space="0" w:color="0070C0"/>
              <w:left w:val="single" w:sz="4" w:space="0" w:color="0070C0"/>
              <w:bottom w:val="single"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p>
        </w:tc>
        <w:tc>
          <w:tcPr>
            <w:tcW w:w="690" w:type="dxa"/>
            <w:tcBorders>
              <w:top w:val="dotted" w:sz="4" w:space="0" w:color="0070C0"/>
              <w:left w:val="single" w:sz="4" w:space="0" w:color="0070C0"/>
              <w:bottom w:val="dotted"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r w:rsidRPr="006F1D04">
              <w:rPr>
                <w:rFonts w:ascii="Arial" w:hAnsi="Arial" w:cs="Arial"/>
                <w:sz w:val="14"/>
                <w:szCs w:val="14"/>
              </w:rPr>
              <w:t>A08PM</w:t>
            </w:r>
            <w:r w:rsidRPr="006F1D04">
              <w:rPr>
                <w:rFonts w:ascii="Arial" w:hAnsi="Arial" w:cs="Arial"/>
                <w:sz w:val="14"/>
                <w:szCs w:val="14"/>
                <w:vertAlign w:val="subscript"/>
              </w:rPr>
              <w:t>2.5</w:t>
            </w:r>
          </w:p>
        </w:tc>
        <w:tc>
          <w:tcPr>
            <w:tcW w:w="1258" w:type="dxa"/>
            <w:tcBorders>
              <w:top w:val="dotted" w:sz="4" w:space="0" w:color="0070C0"/>
              <w:left w:val="single" w:sz="4" w:space="0" w:color="0070C0"/>
              <w:bottom w:val="dotted"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b/>
                <w:sz w:val="14"/>
                <w:szCs w:val="14"/>
              </w:rPr>
            </w:pPr>
            <w:r w:rsidRPr="006F1D04">
              <w:rPr>
                <w:rFonts w:ascii="Arial" w:hAnsi="Arial" w:cs="Arial"/>
                <w:b/>
                <w:sz w:val="14"/>
                <w:szCs w:val="14"/>
              </w:rPr>
              <w:t>8</w:t>
            </w:r>
            <w:r w:rsidRPr="006F1D04">
              <w:rPr>
                <w:rFonts w:ascii="Arial" w:hAnsi="Arial" w:cs="Arial"/>
                <w:sz w:val="14"/>
                <w:szCs w:val="14"/>
              </w:rPr>
              <w:t xml:space="preserve"> </w:t>
            </w:r>
            <w:proofErr w:type="spellStart"/>
            <w:r w:rsidRPr="006F1D04">
              <w:rPr>
                <w:rFonts w:ascii="Arial" w:hAnsi="Arial" w:cs="Arial"/>
                <w:sz w:val="14"/>
                <w:szCs w:val="14"/>
              </w:rPr>
              <w:t>μg</w:t>
            </w:r>
            <w:proofErr w:type="spellEnd"/>
            <w:r w:rsidRPr="006F1D04">
              <w:rPr>
                <w:rFonts w:ascii="Arial" w:hAnsi="Arial" w:cs="Arial"/>
                <w:sz w:val="14"/>
                <w:szCs w:val="14"/>
              </w:rPr>
              <w:t>/m</w:t>
            </w:r>
            <w:r w:rsidRPr="006F1D04">
              <w:rPr>
                <w:rFonts w:ascii="Arial" w:hAnsi="Arial" w:cs="Arial"/>
                <w:sz w:val="14"/>
                <w:szCs w:val="14"/>
                <w:vertAlign w:val="superscript"/>
              </w:rPr>
              <w:t>3</w:t>
            </w:r>
          </w:p>
        </w:tc>
        <w:tc>
          <w:tcPr>
            <w:tcW w:w="1276" w:type="dxa"/>
            <w:tcBorders>
              <w:top w:val="dotted" w:sz="4" w:space="0" w:color="0070C0"/>
              <w:left w:val="single" w:sz="4" w:space="0" w:color="0070C0"/>
              <w:bottom w:val="dotted" w:sz="4" w:space="0" w:color="0070C0"/>
              <w:right w:val="single" w:sz="4" w:space="0" w:color="0070C0"/>
            </w:tcBorders>
            <w:vAlign w:val="center"/>
          </w:tcPr>
          <w:p w:rsidR="00966372" w:rsidRPr="006F1D04" w:rsidRDefault="00D97521" w:rsidP="003A4476">
            <w:pPr>
              <w:spacing w:after="0" w:line="240" w:lineRule="auto"/>
              <w:jc w:val="center"/>
              <w:rPr>
                <w:rFonts w:ascii="Arial" w:hAnsi="Arial" w:cs="Arial"/>
                <w:b/>
                <w:sz w:val="14"/>
                <w:szCs w:val="14"/>
              </w:rPr>
            </w:pPr>
            <w:r w:rsidRPr="006F1D04">
              <w:rPr>
                <w:rFonts w:ascii="Arial" w:hAnsi="Arial" w:cs="Arial"/>
                <w:b/>
                <w:color w:val="00B050"/>
                <w:sz w:val="14"/>
                <w:szCs w:val="14"/>
              </w:rPr>
              <w:t>Likely</w:t>
            </w:r>
          </w:p>
        </w:tc>
        <w:tc>
          <w:tcPr>
            <w:tcW w:w="1275" w:type="dxa"/>
            <w:tcBorders>
              <w:top w:val="dotted" w:sz="4" w:space="0" w:color="0070C0"/>
              <w:left w:val="single" w:sz="4" w:space="0" w:color="0070C0"/>
              <w:bottom w:val="dotted" w:sz="4" w:space="0" w:color="0070C0"/>
              <w:right w:val="single" w:sz="4" w:space="0" w:color="0070C0"/>
            </w:tcBorders>
            <w:vAlign w:val="center"/>
          </w:tcPr>
          <w:p w:rsidR="00966372" w:rsidRPr="006F1D04" w:rsidRDefault="00D97521" w:rsidP="003A4476">
            <w:pPr>
              <w:keepNext/>
              <w:spacing w:after="0" w:line="240" w:lineRule="auto"/>
              <w:jc w:val="center"/>
              <w:rPr>
                <w:rFonts w:ascii="Arial" w:hAnsi="Arial" w:cs="Arial"/>
                <w:b/>
                <w:color w:val="FF0000"/>
                <w:sz w:val="14"/>
                <w:szCs w:val="14"/>
              </w:rPr>
            </w:pPr>
            <w:r w:rsidRPr="006F1D04">
              <w:rPr>
                <w:rFonts w:ascii="Arial" w:hAnsi="Arial" w:cs="Arial"/>
                <w:b/>
                <w:color w:val="FF0000"/>
                <w:sz w:val="14"/>
                <w:szCs w:val="14"/>
              </w:rPr>
              <w:t>Increase</w:t>
            </w:r>
            <w:r w:rsidR="00FC1F67" w:rsidRPr="006F1D04">
              <w:rPr>
                <w:rFonts w:ascii="Arial" w:hAnsi="Arial" w:cs="Arial"/>
                <w:sz w:val="14"/>
                <w:szCs w:val="14"/>
                <w:vertAlign w:val="superscript"/>
              </w:rPr>
              <w:t>(d)</w:t>
            </w:r>
          </w:p>
        </w:tc>
        <w:tc>
          <w:tcPr>
            <w:tcW w:w="1418" w:type="dxa"/>
            <w:tcBorders>
              <w:top w:val="dotted" w:sz="4" w:space="0" w:color="0070C0"/>
              <w:left w:val="single" w:sz="4" w:space="0" w:color="0070C0"/>
              <w:bottom w:val="dotted" w:sz="4" w:space="0" w:color="0070C0"/>
              <w:right w:val="single" w:sz="4" w:space="0" w:color="0070C0"/>
            </w:tcBorders>
            <w:vAlign w:val="center"/>
          </w:tcPr>
          <w:p w:rsidR="00966372" w:rsidRPr="006F1D04" w:rsidRDefault="00966372" w:rsidP="003A4476">
            <w:pPr>
              <w:keepNext/>
              <w:spacing w:after="0" w:line="240" w:lineRule="auto"/>
              <w:jc w:val="center"/>
              <w:rPr>
                <w:rFonts w:ascii="Arial" w:hAnsi="Arial" w:cs="Arial"/>
                <w:b/>
                <w:color w:val="000000"/>
                <w:sz w:val="14"/>
                <w:szCs w:val="14"/>
              </w:rPr>
            </w:pPr>
            <w:r w:rsidRPr="006F1D04">
              <w:rPr>
                <w:rFonts w:ascii="Arial" w:hAnsi="Arial" w:cs="Arial"/>
                <w:b/>
                <w:color w:val="00B050"/>
                <w:sz w:val="14"/>
                <w:szCs w:val="14"/>
              </w:rPr>
              <w:t>Yes</w:t>
            </w:r>
          </w:p>
        </w:tc>
        <w:tc>
          <w:tcPr>
            <w:tcW w:w="2551" w:type="dxa"/>
            <w:tcBorders>
              <w:top w:val="dotted" w:sz="4" w:space="0" w:color="0070C0"/>
              <w:left w:val="single" w:sz="4" w:space="0" w:color="0070C0"/>
              <w:bottom w:val="dotted" w:sz="4" w:space="0" w:color="0070C0"/>
              <w:right w:val="single" w:sz="4" w:space="0" w:color="0070C0"/>
            </w:tcBorders>
            <w:vAlign w:val="center"/>
          </w:tcPr>
          <w:p w:rsidR="00966372" w:rsidRPr="006F1D04" w:rsidRDefault="00966372" w:rsidP="00C74C59">
            <w:pPr>
              <w:keepNext/>
              <w:spacing w:after="0" w:line="240" w:lineRule="auto"/>
              <w:jc w:val="center"/>
              <w:rPr>
                <w:rFonts w:ascii="Arial" w:hAnsi="Arial" w:cs="Arial"/>
                <w:color w:val="000000"/>
                <w:sz w:val="14"/>
                <w:szCs w:val="14"/>
              </w:rPr>
            </w:pPr>
            <w:r w:rsidRPr="006F1D04">
              <w:rPr>
                <w:rFonts w:ascii="Arial" w:hAnsi="Arial" w:cs="Arial"/>
                <w:color w:val="000000"/>
                <w:sz w:val="14"/>
                <w:szCs w:val="14"/>
              </w:rPr>
              <w:t>TAS</w:t>
            </w:r>
          </w:p>
        </w:tc>
        <w:tc>
          <w:tcPr>
            <w:tcW w:w="2127" w:type="dxa"/>
            <w:tcBorders>
              <w:top w:val="dotted" w:sz="4" w:space="0" w:color="0070C0"/>
              <w:left w:val="single" w:sz="4" w:space="0" w:color="0070C0"/>
              <w:bottom w:val="dotted" w:sz="4" w:space="0" w:color="0070C0"/>
              <w:right w:val="single" w:sz="4" w:space="0" w:color="0070C0"/>
            </w:tcBorders>
            <w:vAlign w:val="center"/>
          </w:tcPr>
          <w:p w:rsidR="00966372" w:rsidRPr="006F1D04" w:rsidRDefault="00966372" w:rsidP="00C74C59">
            <w:pPr>
              <w:keepNext/>
              <w:spacing w:after="0" w:line="240" w:lineRule="auto"/>
              <w:jc w:val="center"/>
              <w:rPr>
                <w:rFonts w:ascii="Arial" w:hAnsi="Arial" w:cs="Arial"/>
                <w:b/>
                <w:color w:val="00B050"/>
                <w:sz w:val="14"/>
                <w:szCs w:val="14"/>
              </w:rPr>
            </w:pPr>
            <w:r w:rsidRPr="006F1D04">
              <w:rPr>
                <w:rFonts w:ascii="Arial" w:hAnsi="Arial" w:cs="Arial"/>
                <w:b/>
                <w:color w:val="00B050"/>
                <w:sz w:val="14"/>
                <w:szCs w:val="14"/>
              </w:rPr>
              <w:t>Yes</w:t>
            </w:r>
          </w:p>
        </w:tc>
        <w:tc>
          <w:tcPr>
            <w:tcW w:w="1417" w:type="dxa"/>
            <w:tcBorders>
              <w:top w:val="dotted" w:sz="4" w:space="0" w:color="0070C0"/>
              <w:left w:val="single" w:sz="4" w:space="0" w:color="0070C0"/>
              <w:bottom w:val="dotted" w:sz="4" w:space="0" w:color="0070C0"/>
              <w:right w:val="single" w:sz="4" w:space="0" w:color="0070C0"/>
            </w:tcBorders>
            <w:vAlign w:val="center"/>
          </w:tcPr>
          <w:p w:rsidR="00966372" w:rsidRPr="006F1D04" w:rsidRDefault="00966372" w:rsidP="00BE3CC0">
            <w:pPr>
              <w:spacing w:after="0" w:line="240" w:lineRule="auto"/>
              <w:jc w:val="center"/>
              <w:rPr>
                <w:rFonts w:ascii="Arial" w:hAnsi="Arial" w:cs="Arial"/>
                <w:b/>
                <w:sz w:val="14"/>
                <w:szCs w:val="14"/>
              </w:rPr>
            </w:pPr>
            <w:r w:rsidRPr="006F1D04">
              <w:rPr>
                <w:rFonts w:ascii="Arial" w:hAnsi="Arial" w:cs="Arial"/>
                <w:sz w:val="14"/>
                <w:szCs w:val="14"/>
              </w:rPr>
              <w:t>$6.5 billion</w:t>
            </w:r>
          </w:p>
        </w:tc>
      </w:tr>
      <w:tr w:rsidR="00966372" w:rsidRPr="006F1D04" w:rsidTr="005360B4">
        <w:trPr>
          <w:trHeight w:hRule="exact" w:val="340"/>
        </w:trPr>
        <w:tc>
          <w:tcPr>
            <w:tcW w:w="958" w:type="dxa"/>
            <w:vMerge/>
            <w:tcBorders>
              <w:left w:val="single"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p>
        </w:tc>
        <w:tc>
          <w:tcPr>
            <w:tcW w:w="808" w:type="dxa"/>
            <w:vMerge/>
            <w:tcBorders>
              <w:top w:val="single" w:sz="4" w:space="0" w:color="0070C0"/>
              <w:left w:val="single" w:sz="4" w:space="0" w:color="0070C0"/>
              <w:bottom w:val="single"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p>
        </w:tc>
        <w:tc>
          <w:tcPr>
            <w:tcW w:w="690" w:type="dxa"/>
            <w:tcBorders>
              <w:top w:val="dotted" w:sz="4" w:space="0" w:color="0070C0"/>
              <w:left w:val="single" w:sz="4" w:space="0" w:color="0070C0"/>
              <w:bottom w:val="single"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r w:rsidRPr="006F1D04">
              <w:rPr>
                <w:rFonts w:ascii="Arial" w:hAnsi="Arial" w:cs="Arial"/>
                <w:sz w:val="14"/>
                <w:szCs w:val="14"/>
              </w:rPr>
              <w:t>A06PM</w:t>
            </w:r>
            <w:r w:rsidRPr="006F1D04">
              <w:rPr>
                <w:rFonts w:ascii="Arial" w:hAnsi="Arial" w:cs="Arial"/>
                <w:sz w:val="14"/>
                <w:szCs w:val="14"/>
                <w:vertAlign w:val="subscript"/>
              </w:rPr>
              <w:t>2.5</w:t>
            </w:r>
          </w:p>
        </w:tc>
        <w:tc>
          <w:tcPr>
            <w:tcW w:w="1258" w:type="dxa"/>
            <w:tcBorders>
              <w:top w:val="dotted" w:sz="4" w:space="0" w:color="0070C0"/>
              <w:left w:val="single" w:sz="4" w:space="0" w:color="0070C0"/>
              <w:bottom w:val="single" w:sz="4" w:space="0" w:color="0070C0"/>
              <w:right w:val="single" w:sz="4" w:space="0" w:color="0070C0"/>
            </w:tcBorders>
            <w:vAlign w:val="center"/>
          </w:tcPr>
          <w:p w:rsidR="00966372" w:rsidRPr="006F1D04" w:rsidRDefault="00966372" w:rsidP="00C74C59">
            <w:pPr>
              <w:spacing w:after="0" w:line="240" w:lineRule="auto"/>
              <w:jc w:val="center"/>
              <w:rPr>
                <w:rFonts w:ascii="Arial" w:hAnsi="Arial" w:cs="Arial"/>
                <w:sz w:val="14"/>
                <w:szCs w:val="14"/>
              </w:rPr>
            </w:pPr>
            <w:r w:rsidRPr="006F1D04">
              <w:rPr>
                <w:rFonts w:ascii="Arial" w:hAnsi="Arial" w:cs="Arial"/>
                <w:sz w:val="14"/>
                <w:szCs w:val="14"/>
              </w:rPr>
              <w:t xml:space="preserve">6 </w:t>
            </w:r>
            <w:proofErr w:type="spellStart"/>
            <w:r w:rsidRPr="006F1D04">
              <w:rPr>
                <w:rFonts w:ascii="Arial" w:hAnsi="Arial" w:cs="Arial"/>
                <w:sz w:val="14"/>
                <w:szCs w:val="14"/>
              </w:rPr>
              <w:t>μg</w:t>
            </w:r>
            <w:proofErr w:type="spellEnd"/>
            <w:r w:rsidRPr="006F1D04">
              <w:rPr>
                <w:rFonts w:ascii="Arial" w:hAnsi="Arial" w:cs="Arial"/>
                <w:sz w:val="14"/>
                <w:szCs w:val="14"/>
              </w:rPr>
              <w:t>/m</w:t>
            </w:r>
            <w:r w:rsidRPr="006F1D04">
              <w:rPr>
                <w:rFonts w:ascii="Arial" w:hAnsi="Arial" w:cs="Arial"/>
                <w:sz w:val="14"/>
                <w:szCs w:val="14"/>
                <w:vertAlign w:val="superscript"/>
              </w:rPr>
              <w:t>3</w:t>
            </w:r>
          </w:p>
        </w:tc>
        <w:tc>
          <w:tcPr>
            <w:tcW w:w="1276" w:type="dxa"/>
            <w:tcBorders>
              <w:top w:val="dotted" w:sz="4" w:space="0" w:color="0070C0"/>
              <w:left w:val="single" w:sz="4" w:space="0" w:color="0070C0"/>
              <w:bottom w:val="single" w:sz="4" w:space="0" w:color="0070C0"/>
              <w:right w:val="single" w:sz="4" w:space="0" w:color="0070C0"/>
            </w:tcBorders>
            <w:vAlign w:val="center"/>
          </w:tcPr>
          <w:p w:rsidR="00966372" w:rsidRPr="006F1D04" w:rsidRDefault="00D97521" w:rsidP="003A4476">
            <w:pPr>
              <w:spacing w:after="0" w:line="240" w:lineRule="auto"/>
              <w:jc w:val="center"/>
              <w:rPr>
                <w:rFonts w:ascii="Arial" w:hAnsi="Arial" w:cs="Arial"/>
                <w:sz w:val="14"/>
                <w:szCs w:val="14"/>
              </w:rPr>
            </w:pPr>
            <w:r w:rsidRPr="006F1D04">
              <w:rPr>
                <w:rFonts w:ascii="Arial" w:hAnsi="Arial" w:cs="Arial"/>
                <w:b/>
                <w:color w:val="FF0000"/>
                <w:sz w:val="14"/>
                <w:szCs w:val="14"/>
              </w:rPr>
              <w:t>Unlikely</w:t>
            </w:r>
          </w:p>
        </w:tc>
        <w:tc>
          <w:tcPr>
            <w:tcW w:w="1275" w:type="dxa"/>
            <w:tcBorders>
              <w:top w:val="dotted" w:sz="4" w:space="0" w:color="0070C0"/>
              <w:left w:val="single" w:sz="4" w:space="0" w:color="0070C0"/>
              <w:bottom w:val="single" w:sz="4" w:space="0" w:color="0070C0"/>
              <w:right w:val="single" w:sz="4" w:space="0" w:color="0070C0"/>
            </w:tcBorders>
            <w:vAlign w:val="center"/>
          </w:tcPr>
          <w:p w:rsidR="00966372" w:rsidRPr="006F1D04" w:rsidRDefault="00D97521" w:rsidP="003A4476">
            <w:pPr>
              <w:keepNext/>
              <w:spacing w:after="0" w:line="240" w:lineRule="auto"/>
              <w:jc w:val="center"/>
              <w:rPr>
                <w:rFonts w:ascii="Arial" w:hAnsi="Arial" w:cs="Arial"/>
                <w:b/>
                <w:color w:val="00B050"/>
                <w:sz w:val="14"/>
                <w:szCs w:val="14"/>
              </w:rPr>
            </w:pPr>
            <w:r w:rsidRPr="006F1D04">
              <w:rPr>
                <w:rFonts w:ascii="Arial" w:hAnsi="Arial" w:cs="Arial"/>
                <w:b/>
                <w:color w:val="00B050"/>
                <w:sz w:val="14"/>
                <w:szCs w:val="14"/>
              </w:rPr>
              <w:t>Decrease</w:t>
            </w:r>
          </w:p>
        </w:tc>
        <w:tc>
          <w:tcPr>
            <w:tcW w:w="1418" w:type="dxa"/>
            <w:tcBorders>
              <w:top w:val="dotted" w:sz="4" w:space="0" w:color="0070C0"/>
              <w:left w:val="single" w:sz="4" w:space="0" w:color="0070C0"/>
              <w:bottom w:val="single" w:sz="4" w:space="0" w:color="0070C0"/>
              <w:right w:val="single" w:sz="4" w:space="0" w:color="0070C0"/>
            </w:tcBorders>
            <w:vAlign w:val="center"/>
          </w:tcPr>
          <w:p w:rsidR="00966372" w:rsidRPr="006F1D04" w:rsidRDefault="00966372" w:rsidP="003A4476">
            <w:pPr>
              <w:keepNext/>
              <w:spacing w:after="0" w:line="240" w:lineRule="auto"/>
              <w:jc w:val="center"/>
              <w:rPr>
                <w:rFonts w:ascii="Arial" w:hAnsi="Arial" w:cs="Arial"/>
                <w:color w:val="000000"/>
                <w:sz w:val="14"/>
                <w:szCs w:val="14"/>
              </w:rPr>
            </w:pPr>
            <w:r w:rsidRPr="006F1D04">
              <w:rPr>
                <w:rFonts w:ascii="Arial" w:hAnsi="Arial" w:cs="Arial"/>
                <w:b/>
                <w:color w:val="00B050"/>
                <w:sz w:val="14"/>
                <w:szCs w:val="14"/>
              </w:rPr>
              <w:t>Yes</w:t>
            </w:r>
          </w:p>
        </w:tc>
        <w:tc>
          <w:tcPr>
            <w:tcW w:w="2551" w:type="dxa"/>
            <w:tcBorders>
              <w:top w:val="dotted" w:sz="4" w:space="0" w:color="0070C0"/>
              <w:left w:val="single" w:sz="4" w:space="0" w:color="0070C0"/>
              <w:bottom w:val="single" w:sz="4" w:space="0" w:color="0070C0"/>
              <w:right w:val="single" w:sz="4" w:space="0" w:color="0070C0"/>
            </w:tcBorders>
            <w:vAlign w:val="center"/>
          </w:tcPr>
          <w:p w:rsidR="00966372" w:rsidRPr="006F1D04" w:rsidRDefault="00966372" w:rsidP="00C74C59">
            <w:pPr>
              <w:keepNext/>
              <w:spacing w:after="0" w:line="240" w:lineRule="auto"/>
              <w:jc w:val="center"/>
              <w:rPr>
                <w:rFonts w:ascii="Arial" w:hAnsi="Arial" w:cs="Arial"/>
                <w:color w:val="000000"/>
                <w:sz w:val="14"/>
                <w:szCs w:val="14"/>
              </w:rPr>
            </w:pPr>
            <w:r w:rsidRPr="006F1D04">
              <w:rPr>
                <w:rFonts w:ascii="Arial" w:hAnsi="Arial" w:cs="Arial"/>
                <w:color w:val="000000"/>
                <w:sz w:val="14"/>
                <w:szCs w:val="14"/>
              </w:rPr>
              <w:t>NSW, QLD, SA, WA, TAS, NT, ACT</w:t>
            </w:r>
          </w:p>
        </w:tc>
        <w:tc>
          <w:tcPr>
            <w:tcW w:w="2127" w:type="dxa"/>
            <w:tcBorders>
              <w:top w:val="dotted" w:sz="4" w:space="0" w:color="0070C0"/>
              <w:left w:val="single" w:sz="4" w:space="0" w:color="0070C0"/>
              <w:bottom w:val="single" w:sz="4" w:space="0" w:color="0070C0"/>
              <w:right w:val="single" w:sz="4" w:space="0" w:color="0070C0"/>
            </w:tcBorders>
            <w:vAlign w:val="center"/>
          </w:tcPr>
          <w:p w:rsidR="00966372" w:rsidRPr="006F1D04" w:rsidRDefault="00966372" w:rsidP="00C74C59">
            <w:pPr>
              <w:keepNext/>
              <w:spacing w:after="0" w:line="240" w:lineRule="auto"/>
              <w:jc w:val="center"/>
              <w:rPr>
                <w:rFonts w:ascii="Arial" w:hAnsi="Arial" w:cs="Arial"/>
                <w:color w:val="000000"/>
                <w:sz w:val="14"/>
                <w:szCs w:val="14"/>
              </w:rPr>
            </w:pPr>
            <w:r w:rsidRPr="006F1D04">
              <w:rPr>
                <w:rFonts w:ascii="Arial" w:hAnsi="Arial" w:cs="Arial"/>
                <w:b/>
                <w:color w:val="FF0000"/>
                <w:sz w:val="14"/>
                <w:szCs w:val="14"/>
              </w:rPr>
              <w:t>No</w:t>
            </w:r>
          </w:p>
        </w:tc>
        <w:tc>
          <w:tcPr>
            <w:tcW w:w="1417" w:type="dxa"/>
            <w:tcBorders>
              <w:top w:val="dotted" w:sz="4" w:space="0" w:color="0070C0"/>
              <w:left w:val="single" w:sz="4" w:space="0" w:color="0070C0"/>
              <w:bottom w:val="single" w:sz="4" w:space="0" w:color="0070C0"/>
              <w:right w:val="single" w:sz="4" w:space="0" w:color="0070C0"/>
            </w:tcBorders>
            <w:vAlign w:val="center"/>
          </w:tcPr>
          <w:p w:rsidR="00966372" w:rsidRPr="006F1D04" w:rsidRDefault="00F953EE" w:rsidP="00BE3CC0">
            <w:pPr>
              <w:spacing w:after="0" w:line="240" w:lineRule="auto"/>
              <w:jc w:val="center"/>
              <w:rPr>
                <w:rFonts w:ascii="Arial" w:hAnsi="Arial" w:cs="Arial"/>
                <w:sz w:val="14"/>
                <w:szCs w:val="14"/>
              </w:rPr>
            </w:pPr>
            <w:r w:rsidRPr="006F1D04">
              <w:rPr>
                <w:rFonts w:ascii="Arial" w:hAnsi="Arial" w:cs="Arial"/>
                <w:sz w:val="14"/>
                <w:szCs w:val="14"/>
              </w:rPr>
              <w:t>–</w:t>
            </w:r>
          </w:p>
        </w:tc>
      </w:tr>
      <w:tr w:rsidR="00D97521" w:rsidRPr="006F1D04" w:rsidTr="005360B4">
        <w:trPr>
          <w:trHeight w:hRule="exact" w:val="340"/>
        </w:trPr>
        <w:tc>
          <w:tcPr>
            <w:tcW w:w="958" w:type="dxa"/>
            <w:vMerge/>
            <w:tcBorders>
              <w:left w:val="single" w:sz="4" w:space="0" w:color="0070C0"/>
              <w:right w:val="single" w:sz="4" w:space="0" w:color="0070C0"/>
            </w:tcBorders>
            <w:vAlign w:val="center"/>
          </w:tcPr>
          <w:p w:rsidR="00D97521" w:rsidRPr="006F1D04" w:rsidRDefault="00D97521" w:rsidP="00C74C59">
            <w:pPr>
              <w:spacing w:after="0" w:line="240" w:lineRule="auto"/>
              <w:jc w:val="center"/>
              <w:rPr>
                <w:rFonts w:ascii="Arial" w:hAnsi="Arial" w:cs="Arial"/>
                <w:sz w:val="14"/>
                <w:szCs w:val="14"/>
              </w:rPr>
            </w:pPr>
          </w:p>
        </w:tc>
        <w:tc>
          <w:tcPr>
            <w:tcW w:w="808" w:type="dxa"/>
            <w:vMerge w:val="restart"/>
            <w:tcBorders>
              <w:top w:val="single" w:sz="4" w:space="0" w:color="0070C0"/>
              <w:left w:val="single" w:sz="4" w:space="0" w:color="0070C0"/>
              <w:bottom w:val="single" w:sz="4" w:space="0" w:color="0070C0"/>
              <w:right w:val="single" w:sz="4" w:space="0" w:color="0070C0"/>
            </w:tcBorders>
            <w:vAlign w:val="center"/>
          </w:tcPr>
          <w:p w:rsidR="00D97521" w:rsidRPr="006F1D04" w:rsidRDefault="00D97521" w:rsidP="00C74C59">
            <w:pPr>
              <w:spacing w:after="0" w:line="240" w:lineRule="auto"/>
              <w:jc w:val="center"/>
              <w:rPr>
                <w:rFonts w:ascii="Arial" w:hAnsi="Arial" w:cs="Arial"/>
                <w:sz w:val="14"/>
                <w:szCs w:val="14"/>
              </w:rPr>
            </w:pPr>
            <w:r w:rsidRPr="006F1D04">
              <w:rPr>
                <w:rFonts w:ascii="Arial" w:hAnsi="Arial" w:cs="Arial"/>
                <w:sz w:val="14"/>
                <w:szCs w:val="14"/>
              </w:rPr>
              <w:t>PM</w:t>
            </w:r>
            <w:r w:rsidRPr="006F1D04">
              <w:rPr>
                <w:rFonts w:ascii="Arial" w:hAnsi="Arial" w:cs="Arial"/>
                <w:sz w:val="14"/>
                <w:szCs w:val="14"/>
                <w:vertAlign w:val="subscript"/>
              </w:rPr>
              <w:t>2.5</w:t>
            </w:r>
          </w:p>
          <w:p w:rsidR="00D97521" w:rsidRPr="006F1D04" w:rsidRDefault="00D97521" w:rsidP="00C74C59">
            <w:pPr>
              <w:spacing w:after="0" w:line="240" w:lineRule="auto"/>
              <w:jc w:val="center"/>
              <w:rPr>
                <w:rFonts w:ascii="Arial" w:hAnsi="Arial" w:cs="Arial"/>
                <w:sz w:val="14"/>
                <w:szCs w:val="14"/>
              </w:rPr>
            </w:pPr>
            <w:r w:rsidRPr="006F1D04">
              <w:rPr>
                <w:rFonts w:ascii="Arial" w:hAnsi="Arial" w:cs="Arial"/>
                <w:sz w:val="14"/>
                <w:szCs w:val="14"/>
              </w:rPr>
              <w:t>24-hour mean</w:t>
            </w:r>
          </w:p>
        </w:tc>
        <w:tc>
          <w:tcPr>
            <w:tcW w:w="690" w:type="dxa"/>
            <w:tcBorders>
              <w:top w:val="single" w:sz="4" w:space="0" w:color="0070C0"/>
              <w:left w:val="single" w:sz="4" w:space="0" w:color="0070C0"/>
              <w:bottom w:val="dotted" w:sz="4" w:space="0" w:color="0070C0"/>
              <w:right w:val="single" w:sz="4" w:space="0" w:color="0070C0"/>
            </w:tcBorders>
            <w:vAlign w:val="center"/>
          </w:tcPr>
          <w:p w:rsidR="00D97521" w:rsidRPr="006F1D04" w:rsidRDefault="00D97521" w:rsidP="00C74C59">
            <w:pPr>
              <w:spacing w:after="0" w:line="240" w:lineRule="auto"/>
              <w:jc w:val="center"/>
              <w:rPr>
                <w:rFonts w:ascii="Arial" w:hAnsi="Arial" w:cs="Arial"/>
                <w:sz w:val="14"/>
                <w:szCs w:val="14"/>
              </w:rPr>
            </w:pPr>
            <w:r w:rsidRPr="006F1D04">
              <w:rPr>
                <w:rFonts w:ascii="Arial" w:hAnsi="Arial" w:cs="Arial"/>
                <w:sz w:val="14"/>
                <w:szCs w:val="14"/>
              </w:rPr>
              <w:t>D25PM</w:t>
            </w:r>
            <w:r w:rsidRPr="006F1D04">
              <w:rPr>
                <w:rFonts w:ascii="Arial" w:hAnsi="Arial" w:cs="Arial"/>
                <w:sz w:val="14"/>
                <w:szCs w:val="14"/>
                <w:vertAlign w:val="subscript"/>
              </w:rPr>
              <w:t>2.5</w:t>
            </w:r>
          </w:p>
        </w:tc>
        <w:tc>
          <w:tcPr>
            <w:tcW w:w="1258" w:type="dxa"/>
            <w:tcBorders>
              <w:top w:val="single" w:sz="4" w:space="0" w:color="0070C0"/>
              <w:left w:val="single" w:sz="4" w:space="0" w:color="0070C0"/>
              <w:bottom w:val="dotted" w:sz="4" w:space="0" w:color="0070C0"/>
              <w:right w:val="single" w:sz="4" w:space="0" w:color="0070C0"/>
            </w:tcBorders>
            <w:vAlign w:val="center"/>
          </w:tcPr>
          <w:p w:rsidR="00D97521" w:rsidRPr="006F1D04" w:rsidRDefault="00D97521" w:rsidP="00C74C59">
            <w:pPr>
              <w:spacing w:after="0" w:line="240" w:lineRule="auto"/>
              <w:jc w:val="center"/>
              <w:rPr>
                <w:rFonts w:ascii="Arial" w:hAnsi="Arial" w:cs="Arial"/>
                <w:b/>
                <w:sz w:val="14"/>
                <w:szCs w:val="14"/>
              </w:rPr>
            </w:pPr>
            <w:r w:rsidRPr="006F1D04">
              <w:rPr>
                <w:rFonts w:ascii="Arial" w:hAnsi="Arial" w:cs="Arial"/>
                <w:b/>
                <w:sz w:val="14"/>
                <w:szCs w:val="14"/>
              </w:rPr>
              <w:t>25</w:t>
            </w:r>
            <w:r w:rsidRPr="006F1D04">
              <w:rPr>
                <w:rFonts w:ascii="Arial" w:hAnsi="Arial" w:cs="Arial"/>
                <w:sz w:val="14"/>
                <w:szCs w:val="14"/>
              </w:rPr>
              <w:t xml:space="preserve"> </w:t>
            </w:r>
            <w:proofErr w:type="spellStart"/>
            <w:r w:rsidRPr="006F1D04">
              <w:rPr>
                <w:rFonts w:ascii="Arial" w:hAnsi="Arial" w:cs="Arial"/>
                <w:sz w:val="14"/>
                <w:szCs w:val="14"/>
              </w:rPr>
              <w:t>μg</w:t>
            </w:r>
            <w:proofErr w:type="spellEnd"/>
            <w:r w:rsidRPr="006F1D04">
              <w:rPr>
                <w:rFonts w:ascii="Arial" w:hAnsi="Arial" w:cs="Arial"/>
                <w:sz w:val="14"/>
                <w:szCs w:val="14"/>
              </w:rPr>
              <w:t>/m</w:t>
            </w:r>
            <w:r w:rsidRPr="006F1D04">
              <w:rPr>
                <w:rFonts w:ascii="Arial" w:hAnsi="Arial" w:cs="Arial"/>
                <w:sz w:val="14"/>
                <w:szCs w:val="14"/>
                <w:vertAlign w:val="superscript"/>
              </w:rPr>
              <w:t>3</w:t>
            </w:r>
          </w:p>
        </w:tc>
        <w:tc>
          <w:tcPr>
            <w:tcW w:w="1276" w:type="dxa"/>
            <w:tcBorders>
              <w:top w:val="single" w:sz="4" w:space="0" w:color="0070C0"/>
              <w:left w:val="single" w:sz="4" w:space="0" w:color="0070C0"/>
              <w:bottom w:val="dotted" w:sz="4" w:space="0" w:color="0070C0"/>
              <w:right w:val="single" w:sz="4" w:space="0" w:color="0070C0"/>
            </w:tcBorders>
            <w:vAlign w:val="center"/>
          </w:tcPr>
          <w:p w:rsidR="00D97521" w:rsidRPr="006F1D04" w:rsidRDefault="00D97521" w:rsidP="003A4476">
            <w:pPr>
              <w:keepNext/>
              <w:spacing w:after="0" w:line="240" w:lineRule="auto"/>
              <w:jc w:val="center"/>
              <w:rPr>
                <w:rFonts w:ascii="Arial" w:hAnsi="Arial" w:cs="Arial"/>
                <w:b/>
                <w:color w:val="000000"/>
                <w:sz w:val="14"/>
                <w:szCs w:val="14"/>
              </w:rPr>
            </w:pPr>
            <w:r w:rsidRPr="006F1D04">
              <w:rPr>
                <w:rFonts w:ascii="Arial" w:hAnsi="Arial" w:cs="Arial"/>
                <w:b/>
                <w:color w:val="00B050"/>
                <w:sz w:val="14"/>
                <w:szCs w:val="14"/>
              </w:rPr>
              <w:t>Likely</w:t>
            </w:r>
          </w:p>
        </w:tc>
        <w:tc>
          <w:tcPr>
            <w:tcW w:w="1275" w:type="dxa"/>
            <w:tcBorders>
              <w:top w:val="single" w:sz="4" w:space="0" w:color="0070C0"/>
              <w:left w:val="single" w:sz="4" w:space="0" w:color="0070C0"/>
              <w:bottom w:val="dotted" w:sz="4" w:space="0" w:color="0070C0"/>
              <w:right w:val="single" w:sz="4" w:space="0" w:color="0070C0"/>
            </w:tcBorders>
            <w:vAlign w:val="center"/>
          </w:tcPr>
          <w:p w:rsidR="00D97521" w:rsidRPr="006F1D04" w:rsidRDefault="00D97521" w:rsidP="00805AC4">
            <w:pPr>
              <w:keepNext/>
              <w:spacing w:after="0" w:line="240" w:lineRule="auto"/>
              <w:jc w:val="center"/>
              <w:rPr>
                <w:rFonts w:ascii="Arial" w:hAnsi="Arial" w:cs="Arial"/>
                <w:b/>
                <w:color w:val="00B050"/>
                <w:sz w:val="14"/>
                <w:szCs w:val="14"/>
              </w:rPr>
            </w:pPr>
            <w:r w:rsidRPr="006F1D04">
              <w:rPr>
                <w:rFonts w:ascii="Arial" w:hAnsi="Arial" w:cs="Arial"/>
                <w:b/>
                <w:color w:val="00B050"/>
                <w:sz w:val="14"/>
                <w:szCs w:val="14"/>
              </w:rPr>
              <w:t>Decrease</w:t>
            </w:r>
          </w:p>
        </w:tc>
        <w:tc>
          <w:tcPr>
            <w:tcW w:w="1418" w:type="dxa"/>
            <w:tcBorders>
              <w:top w:val="single" w:sz="4" w:space="0" w:color="0070C0"/>
              <w:left w:val="single" w:sz="4" w:space="0" w:color="0070C0"/>
              <w:bottom w:val="dotted" w:sz="4" w:space="0" w:color="0070C0"/>
              <w:right w:val="single" w:sz="4" w:space="0" w:color="0070C0"/>
            </w:tcBorders>
            <w:vAlign w:val="center"/>
          </w:tcPr>
          <w:p w:rsidR="00D97521" w:rsidRPr="006F1D04" w:rsidRDefault="00D97521" w:rsidP="003A4476">
            <w:pPr>
              <w:keepNext/>
              <w:spacing w:after="0" w:line="240" w:lineRule="auto"/>
              <w:jc w:val="center"/>
              <w:rPr>
                <w:rFonts w:ascii="Arial" w:hAnsi="Arial" w:cs="Arial"/>
                <w:b/>
                <w:color w:val="000000"/>
                <w:sz w:val="14"/>
                <w:szCs w:val="14"/>
              </w:rPr>
            </w:pPr>
            <w:r w:rsidRPr="006F1D04">
              <w:rPr>
                <w:rFonts w:ascii="Arial" w:hAnsi="Arial" w:cs="Arial"/>
                <w:b/>
                <w:color w:val="00B050"/>
                <w:sz w:val="14"/>
                <w:szCs w:val="14"/>
              </w:rPr>
              <w:t>Yes</w:t>
            </w:r>
          </w:p>
        </w:tc>
        <w:tc>
          <w:tcPr>
            <w:tcW w:w="2551" w:type="dxa"/>
            <w:tcBorders>
              <w:top w:val="single" w:sz="4" w:space="0" w:color="0070C0"/>
              <w:left w:val="single" w:sz="4" w:space="0" w:color="0070C0"/>
              <w:bottom w:val="dotted" w:sz="4" w:space="0" w:color="0070C0"/>
              <w:right w:val="single" w:sz="4" w:space="0" w:color="0070C0"/>
            </w:tcBorders>
            <w:vAlign w:val="center"/>
          </w:tcPr>
          <w:p w:rsidR="00D97521" w:rsidRPr="006F1D04" w:rsidRDefault="00D97521" w:rsidP="00C74C59">
            <w:pPr>
              <w:keepNext/>
              <w:spacing w:after="0" w:line="240" w:lineRule="auto"/>
              <w:jc w:val="center"/>
              <w:rPr>
                <w:rFonts w:ascii="Arial" w:hAnsi="Arial" w:cs="Arial"/>
                <w:color w:val="000000"/>
                <w:sz w:val="14"/>
                <w:szCs w:val="14"/>
              </w:rPr>
            </w:pPr>
            <w:r w:rsidRPr="006F1D04">
              <w:rPr>
                <w:rFonts w:ascii="Arial" w:hAnsi="Arial" w:cs="Arial"/>
                <w:color w:val="000000"/>
                <w:sz w:val="14"/>
                <w:szCs w:val="14"/>
              </w:rPr>
              <w:t>TAS, ACT</w:t>
            </w:r>
          </w:p>
        </w:tc>
        <w:tc>
          <w:tcPr>
            <w:tcW w:w="2127" w:type="dxa"/>
            <w:tcBorders>
              <w:top w:val="single" w:sz="4" w:space="0" w:color="0070C0"/>
              <w:left w:val="single" w:sz="4" w:space="0" w:color="0070C0"/>
              <w:bottom w:val="dotted" w:sz="4" w:space="0" w:color="0070C0"/>
              <w:right w:val="single" w:sz="4" w:space="0" w:color="0070C0"/>
            </w:tcBorders>
            <w:vAlign w:val="center"/>
          </w:tcPr>
          <w:p w:rsidR="00D97521" w:rsidRPr="006F1D04" w:rsidRDefault="00D97521" w:rsidP="00C74C59">
            <w:pPr>
              <w:keepNext/>
              <w:spacing w:after="0" w:line="240" w:lineRule="auto"/>
              <w:jc w:val="center"/>
              <w:rPr>
                <w:rFonts w:ascii="Arial" w:hAnsi="Arial" w:cs="Arial"/>
                <w:b/>
                <w:color w:val="00B050"/>
                <w:sz w:val="14"/>
                <w:szCs w:val="14"/>
              </w:rPr>
            </w:pPr>
            <w:r w:rsidRPr="006F1D04">
              <w:rPr>
                <w:rFonts w:ascii="Arial" w:hAnsi="Arial" w:cs="Arial"/>
                <w:b/>
                <w:color w:val="00B050"/>
                <w:sz w:val="14"/>
                <w:szCs w:val="14"/>
              </w:rPr>
              <w:t>Possible</w:t>
            </w:r>
          </w:p>
        </w:tc>
        <w:tc>
          <w:tcPr>
            <w:tcW w:w="1417" w:type="dxa"/>
            <w:tcBorders>
              <w:top w:val="single" w:sz="4" w:space="0" w:color="0070C0"/>
              <w:left w:val="single" w:sz="4" w:space="0" w:color="0070C0"/>
              <w:bottom w:val="dotted" w:sz="4" w:space="0" w:color="0070C0"/>
              <w:right w:val="single" w:sz="4" w:space="0" w:color="0070C0"/>
            </w:tcBorders>
            <w:vAlign w:val="center"/>
          </w:tcPr>
          <w:p w:rsidR="00D97521" w:rsidRPr="006F1D04" w:rsidRDefault="00D97521" w:rsidP="00BE3CC0">
            <w:pPr>
              <w:spacing w:after="0" w:line="240" w:lineRule="auto"/>
              <w:jc w:val="center"/>
              <w:rPr>
                <w:rFonts w:ascii="Arial" w:hAnsi="Arial" w:cs="Arial"/>
                <w:b/>
                <w:sz w:val="14"/>
                <w:szCs w:val="14"/>
              </w:rPr>
            </w:pPr>
            <w:r w:rsidRPr="006F1D04">
              <w:rPr>
                <w:rFonts w:ascii="Arial" w:hAnsi="Arial" w:cs="Arial"/>
                <w:sz w:val="14"/>
                <w:szCs w:val="14"/>
              </w:rPr>
              <w:t>$6.9 billion</w:t>
            </w:r>
          </w:p>
        </w:tc>
      </w:tr>
      <w:tr w:rsidR="00D97521" w:rsidRPr="006F1D04" w:rsidTr="005360B4">
        <w:trPr>
          <w:trHeight w:hRule="exact" w:val="340"/>
        </w:trPr>
        <w:tc>
          <w:tcPr>
            <w:tcW w:w="958" w:type="dxa"/>
            <w:vMerge/>
            <w:tcBorders>
              <w:left w:val="single" w:sz="4" w:space="0" w:color="0070C0"/>
              <w:right w:val="single" w:sz="4" w:space="0" w:color="0070C0"/>
            </w:tcBorders>
            <w:vAlign w:val="center"/>
          </w:tcPr>
          <w:p w:rsidR="00D97521" w:rsidRPr="006F1D04" w:rsidRDefault="00D97521" w:rsidP="00C74C59">
            <w:pPr>
              <w:spacing w:after="0" w:line="240" w:lineRule="auto"/>
              <w:jc w:val="center"/>
              <w:rPr>
                <w:rFonts w:ascii="Arial" w:hAnsi="Arial" w:cs="Arial"/>
                <w:sz w:val="14"/>
                <w:szCs w:val="14"/>
              </w:rPr>
            </w:pPr>
          </w:p>
        </w:tc>
        <w:tc>
          <w:tcPr>
            <w:tcW w:w="808" w:type="dxa"/>
            <w:vMerge/>
            <w:tcBorders>
              <w:top w:val="single" w:sz="4" w:space="0" w:color="0070C0"/>
              <w:left w:val="single" w:sz="4" w:space="0" w:color="0070C0"/>
              <w:bottom w:val="single" w:sz="4" w:space="0" w:color="0070C0"/>
              <w:right w:val="single" w:sz="4" w:space="0" w:color="0070C0"/>
            </w:tcBorders>
            <w:vAlign w:val="center"/>
          </w:tcPr>
          <w:p w:rsidR="00D97521" w:rsidRPr="006F1D04" w:rsidRDefault="00D97521" w:rsidP="00C74C59">
            <w:pPr>
              <w:spacing w:after="0" w:line="240" w:lineRule="auto"/>
              <w:jc w:val="center"/>
              <w:rPr>
                <w:rFonts w:ascii="Arial" w:hAnsi="Arial" w:cs="Arial"/>
                <w:sz w:val="14"/>
                <w:szCs w:val="14"/>
              </w:rPr>
            </w:pPr>
          </w:p>
        </w:tc>
        <w:tc>
          <w:tcPr>
            <w:tcW w:w="690" w:type="dxa"/>
            <w:tcBorders>
              <w:top w:val="dotted" w:sz="4" w:space="0" w:color="0070C0"/>
              <w:left w:val="single" w:sz="4" w:space="0" w:color="0070C0"/>
              <w:bottom w:val="dotted" w:sz="4" w:space="0" w:color="0070C0"/>
              <w:right w:val="single" w:sz="4" w:space="0" w:color="0070C0"/>
            </w:tcBorders>
            <w:vAlign w:val="center"/>
          </w:tcPr>
          <w:p w:rsidR="00D97521" w:rsidRPr="006F1D04" w:rsidRDefault="00D97521" w:rsidP="00C74C59">
            <w:pPr>
              <w:spacing w:after="0" w:line="240" w:lineRule="auto"/>
              <w:jc w:val="center"/>
              <w:rPr>
                <w:rFonts w:ascii="Arial" w:hAnsi="Arial" w:cs="Arial"/>
                <w:sz w:val="14"/>
                <w:szCs w:val="14"/>
              </w:rPr>
            </w:pPr>
            <w:r w:rsidRPr="006F1D04">
              <w:rPr>
                <w:rFonts w:ascii="Arial" w:hAnsi="Arial" w:cs="Arial"/>
                <w:sz w:val="14"/>
                <w:szCs w:val="14"/>
              </w:rPr>
              <w:t>D20PM</w:t>
            </w:r>
            <w:r w:rsidRPr="006F1D04">
              <w:rPr>
                <w:rFonts w:ascii="Arial" w:hAnsi="Arial" w:cs="Arial"/>
                <w:sz w:val="14"/>
                <w:szCs w:val="14"/>
                <w:vertAlign w:val="subscript"/>
              </w:rPr>
              <w:t>2.5</w:t>
            </w:r>
          </w:p>
        </w:tc>
        <w:tc>
          <w:tcPr>
            <w:tcW w:w="1258" w:type="dxa"/>
            <w:tcBorders>
              <w:top w:val="dotted" w:sz="4" w:space="0" w:color="0070C0"/>
              <w:left w:val="single" w:sz="4" w:space="0" w:color="0070C0"/>
              <w:bottom w:val="dotted" w:sz="4" w:space="0" w:color="0070C0"/>
              <w:right w:val="single" w:sz="4" w:space="0" w:color="0070C0"/>
            </w:tcBorders>
            <w:vAlign w:val="center"/>
          </w:tcPr>
          <w:p w:rsidR="00D97521" w:rsidRPr="006F1D04" w:rsidRDefault="00D97521" w:rsidP="00C74C59">
            <w:pPr>
              <w:spacing w:after="0" w:line="240" w:lineRule="auto"/>
              <w:jc w:val="center"/>
              <w:rPr>
                <w:rFonts w:ascii="Arial" w:hAnsi="Arial" w:cs="Arial"/>
                <w:sz w:val="14"/>
                <w:szCs w:val="14"/>
              </w:rPr>
            </w:pPr>
            <w:r w:rsidRPr="006F1D04">
              <w:rPr>
                <w:rFonts w:ascii="Arial" w:hAnsi="Arial" w:cs="Arial"/>
                <w:sz w:val="14"/>
                <w:szCs w:val="14"/>
              </w:rPr>
              <w:t xml:space="preserve">20 </w:t>
            </w:r>
            <w:proofErr w:type="spellStart"/>
            <w:r w:rsidRPr="006F1D04">
              <w:rPr>
                <w:rFonts w:ascii="Arial" w:hAnsi="Arial" w:cs="Arial"/>
                <w:sz w:val="14"/>
                <w:szCs w:val="14"/>
              </w:rPr>
              <w:t>μg</w:t>
            </w:r>
            <w:proofErr w:type="spellEnd"/>
            <w:r w:rsidRPr="006F1D04">
              <w:rPr>
                <w:rFonts w:ascii="Arial" w:hAnsi="Arial" w:cs="Arial"/>
                <w:sz w:val="14"/>
                <w:szCs w:val="14"/>
              </w:rPr>
              <w:t>/m</w:t>
            </w:r>
            <w:r w:rsidRPr="006F1D04">
              <w:rPr>
                <w:rFonts w:ascii="Arial" w:hAnsi="Arial" w:cs="Arial"/>
                <w:sz w:val="14"/>
                <w:szCs w:val="14"/>
                <w:vertAlign w:val="superscript"/>
              </w:rPr>
              <w:t>3</w:t>
            </w:r>
          </w:p>
        </w:tc>
        <w:tc>
          <w:tcPr>
            <w:tcW w:w="1276" w:type="dxa"/>
            <w:tcBorders>
              <w:top w:val="dotted" w:sz="4" w:space="0" w:color="0070C0"/>
              <w:left w:val="single" w:sz="4" w:space="0" w:color="0070C0"/>
              <w:bottom w:val="dotted" w:sz="4" w:space="0" w:color="0070C0"/>
              <w:right w:val="single" w:sz="4" w:space="0" w:color="0070C0"/>
            </w:tcBorders>
            <w:vAlign w:val="center"/>
          </w:tcPr>
          <w:p w:rsidR="00D97521" w:rsidRPr="006F1D04" w:rsidRDefault="00D97521" w:rsidP="003A4476">
            <w:pPr>
              <w:keepNext/>
              <w:spacing w:after="0" w:line="240" w:lineRule="auto"/>
              <w:jc w:val="center"/>
              <w:rPr>
                <w:rFonts w:ascii="Arial" w:hAnsi="Arial" w:cs="Arial"/>
                <w:color w:val="000000"/>
                <w:sz w:val="14"/>
                <w:szCs w:val="14"/>
              </w:rPr>
            </w:pPr>
            <w:r w:rsidRPr="006F1D04">
              <w:rPr>
                <w:rFonts w:ascii="Arial" w:hAnsi="Arial" w:cs="Arial"/>
                <w:b/>
                <w:color w:val="00B050"/>
                <w:sz w:val="14"/>
                <w:szCs w:val="14"/>
              </w:rPr>
              <w:t>Likely</w:t>
            </w:r>
          </w:p>
        </w:tc>
        <w:tc>
          <w:tcPr>
            <w:tcW w:w="1275" w:type="dxa"/>
            <w:tcBorders>
              <w:top w:val="dotted" w:sz="4" w:space="0" w:color="0070C0"/>
              <w:left w:val="single" w:sz="4" w:space="0" w:color="0070C0"/>
              <w:bottom w:val="dotted" w:sz="4" w:space="0" w:color="0070C0"/>
              <w:right w:val="single" w:sz="4" w:space="0" w:color="0070C0"/>
            </w:tcBorders>
            <w:vAlign w:val="center"/>
          </w:tcPr>
          <w:p w:rsidR="00D97521" w:rsidRPr="006F1D04" w:rsidRDefault="00D97521" w:rsidP="00805AC4">
            <w:pPr>
              <w:keepNext/>
              <w:spacing w:after="0" w:line="240" w:lineRule="auto"/>
              <w:jc w:val="center"/>
              <w:rPr>
                <w:rFonts w:ascii="Arial" w:hAnsi="Arial" w:cs="Arial"/>
                <w:b/>
                <w:color w:val="00B050"/>
                <w:sz w:val="14"/>
                <w:szCs w:val="14"/>
              </w:rPr>
            </w:pPr>
            <w:r w:rsidRPr="006F1D04">
              <w:rPr>
                <w:rFonts w:ascii="Arial" w:hAnsi="Arial" w:cs="Arial"/>
                <w:b/>
                <w:color w:val="00B050"/>
                <w:sz w:val="14"/>
                <w:szCs w:val="14"/>
              </w:rPr>
              <w:t>Decrease</w:t>
            </w:r>
          </w:p>
        </w:tc>
        <w:tc>
          <w:tcPr>
            <w:tcW w:w="1418" w:type="dxa"/>
            <w:tcBorders>
              <w:top w:val="dotted" w:sz="4" w:space="0" w:color="0070C0"/>
              <w:left w:val="single" w:sz="4" w:space="0" w:color="0070C0"/>
              <w:bottom w:val="dotted" w:sz="4" w:space="0" w:color="0070C0"/>
              <w:right w:val="single" w:sz="4" w:space="0" w:color="0070C0"/>
            </w:tcBorders>
            <w:vAlign w:val="center"/>
          </w:tcPr>
          <w:p w:rsidR="00D97521" w:rsidRPr="006F1D04" w:rsidRDefault="00D97521" w:rsidP="003A4476">
            <w:pPr>
              <w:keepNext/>
              <w:spacing w:after="0" w:line="240" w:lineRule="auto"/>
              <w:jc w:val="center"/>
              <w:rPr>
                <w:rFonts w:ascii="Arial" w:hAnsi="Arial" w:cs="Arial"/>
                <w:color w:val="000000"/>
                <w:sz w:val="14"/>
                <w:szCs w:val="14"/>
              </w:rPr>
            </w:pPr>
            <w:r w:rsidRPr="006F1D04">
              <w:rPr>
                <w:rFonts w:ascii="Arial" w:hAnsi="Arial" w:cs="Arial"/>
                <w:b/>
                <w:color w:val="00B050"/>
                <w:sz w:val="14"/>
                <w:szCs w:val="14"/>
              </w:rPr>
              <w:t>Yes</w:t>
            </w:r>
          </w:p>
        </w:tc>
        <w:tc>
          <w:tcPr>
            <w:tcW w:w="2551" w:type="dxa"/>
            <w:tcBorders>
              <w:top w:val="dotted" w:sz="4" w:space="0" w:color="0070C0"/>
              <w:left w:val="single" w:sz="4" w:space="0" w:color="0070C0"/>
              <w:bottom w:val="dotted" w:sz="4" w:space="0" w:color="0070C0"/>
              <w:right w:val="single" w:sz="4" w:space="0" w:color="0070C0"/>
            </w:tcBorders>
            <w:vAlign w:val="center"/>
          </w:tcPr>
          <w:p w:rsidR="00D97521" w:rsidRPr="006F1D04" w:rsidRDefault="00D97521" w:rsidP="00C74C59">
            <w:pPr>
              <w:keepNext/>
              <w:spacing w:after="0" w:line="240" w:lineRule="auto"/>
              <w:jc w:val="center"/>
              <w:rPr>
                <w:rFonts w:ascii="Arial" w:hAnsi="Arial" w:cs="Arial"/>
                <w:color w:val="000000"/>
                <w:sz w:val="14"/>
                <w:szCs w:val="14"/>
              </w:rPr>
            </w:pPr>
            <w:r w:rsidRPr="006F1D04">
              <w:rPr>
                <w:rFonts w:ascii="Arial" w:hAnsi="Arial" w:cs="Arial"/>
                <w:color w:val="000000"/>
                <w:sz w:val="14"/>
                <w:szCs w:val="14"/>
              </w:rPr>
              <w:t>TAS, ACT</w:t>
            </w:r>
          </w:p>
        </w:tc>
        <w:tc>
          <w:tcPr>
            <w:tcW w:w="2127" w:type="dxa"/>
            <w:tcBorders>
              <w:top w:val="dotted" w:sz="4" w:space="0" w:color="0070C0"/>
              <w:left w:val="single" w:sz="4" w:space="0" w:color="0070C0"/>
              <w:bottom w:val="dotted" w:sz="4" w:space="0" w:color="0070C0"/>
              <w:right w:val="single" w:sz="4" w:space="0" w:color="0070C0"/>
            </w:tcBorders>
            <w:vAlign w:val="center"/>
          </w:tcPr>
          <w:p w:rsidR="00D97521" w:rsidRPr="006F1D04" w:rsidRDefault="00D97521" w:rsidP="00C74C59">
            <w:pPr>
              <w:keepNext/>
              <w:spacing w:after="0" w:line="240" w:lineRule="auto"/>
              <w:jc w:val="center"/>
              <w:rPr>
                <w:rFonts w:ascii="Arial" w:hAnsi="Arial" w:cs="Arial"/>
                <w:color w:val="000000"/>
                <w:sz w:val="14"/>
                <w:szCs w:val="14"/>
              </w:rPr>
            </w:pPr>
            <w:r w:rsidRPr="006F1D04">
              <w:rPr>
                <w:rFonts w:ascii="Arial" w:hAnsi="Arial" w:cs="Arial"/>
                <w:b/>
                <w:color w:val="FF0000"/>
                <w:sz w:val="14"/>
                <w:szCs w:val="14"/>
              </w:rPr>
              <w:t>No</w:t>
            </w:r>
          </w:p>
        </w:tc>
        <w:tc>
          <w:tcPr>
            <w:tcW w:w="1417" w:type="dxa"/>
            <w:tcBorders>
              <w:top w:val="dotted" w:sz="4" w:space="0" w:color="0070C0"/>
              <w:left w:val="single" w:sz="4" w:space="0" w:color="0070C0"/>
              <w:bottom w:val="dotted" w:sz="4" w:space="0" w:color="0070C0"/>
              <w:right w:val="single" w:sz="4" w:space="0" w:color="0070C0"/>
            </w:tcBorders>
            <w:vAlign w:val="center"/>
          </w:tcPr>
          <w:p w:rsidR="00D97521" w:rsidRPr="006F1D04" w:rsidRDefault="00F953EE" w:rsidP="00BE3CC0">
            <w:pPr>
              <w:spacing w:after="0" w:line="240" w:lineRule="auto"/>
              <w:jc w:val="center"/>
              <w:rPr>
                <w:rFonts w:ascii="Arial" w:hAnsi="Arial" w:cs="Arial"/>
                <w:sz w:val="14"/>
                <w:szCs w:val="14"/>
              </w:rPr>
            </w:pPr>
            <w:r w:rsidRPr="006F1D04">
              <w:rPr>
                <w:rFonts w:ascii="Arial" w:hAnsi="Arial" w:cs="Arial"/>
                <w:sz w:val="14"/>
                <w:szCs w:val="14"/>
              </w:rPr>
              <w:t>–</w:t>
            </w:r>
          </w:p>
        </w:tc>
      </w:tr>
      <w:tr w:rsidR="00D97521" w:rsidRPr="006F1D04" w:rsidTr="005360B4">
        <w:trPr>
          <w:trHeight w:hRule="exact" w:val="340"/>
        </w:trPr>
        <w:tc>
          <w:tcPr>
            <w:tcW w:w="958" w:type="dxa"/>
            <w:vMerge/>
            <w:tcBorders>
              <w:left w:val="single" w:sz="4" w:space="0" w:color="0070C0"/>
              <w:bottom w:val="single" w:sz="4" w:space="0" w:color="0070C0"/>
              <w:right w:val="single" w:sz="4" w:space="0" w:color="0070C0"/>
            </w:tcBorders>
            <w:vAlign w:val="center"/>
          </w:tcPr>
          <w:p w:rsidR="00D97521" w:rsidRPr="006F1D04" w:rsidRDefault="00D97521" w:rsidP="00C74C59">
            <w:pPr>
              <w:spacing w:after="0" w:line="240" w:lineRule="auto"/>
              <w:jc w:val="center"/>
              <w:rPr>
                <w:rFonts w:ascii="Arial" w:hAnsi="Arial" w:cs="Arial"/>
                <w:sz w:val="14"/>
                <w:szCs w:val="14"/>
              </w:rPr>
            </w:pPr>
          </w:p>
        </w:tc>
        <w:tc>
          <w:tcPr>
            <w:tcW w:w="808" w:type="dxa"/>
            <w:vMerge/>
            <w:tcBorders>
              <w:top w:val="single" w:sz="4" w:space="0" w:color="0070C0"/>
              <w:left w:val="single" w:sz="4" w:space="0" w:color="0070C0"/>
              <w:bottom w:val="single" w:sz="4" w:space="0" w:color="0070C0"/>
              <w:right w:val="single" w:sz="4" w:space="0" w:color="0070C0"/>
            </w:tcBorders>
            <w:vAlign w:val="center"/>
          </w:tcPr>
          <w:p w:rsidR="00D97521" w:rsidRPr="006F1D04" w:rsidRDefault="00D97521" w:rsidP="00C74C59">
            <w:pPr>
              <w:spacing w:after="0" w:line="240" w:lineRule="auto"/>
              <w:jc w:val="center"/>
              <w:rPr>
                <w:rFonts w:ascii="Arial" w:hAnsi="Arial" w:cs="Arial"/>
                <w:sz w:val="14"/>
                <w:szCs w:val="14"/>
              </w:rPr>
            </w:pPr>
          </w:p>
        </w:tc>
        <w:tc>
          <w:tcPr>
            <w:tcW w:w="690" w:type="dxa"/>
            <w:tcBorders>
              <w:top w:val="dotted" w:sz="4" w:space="0" w:color="0070C0"/>
              <w:left w:val="single" w:sz="4" w:space="0" w:color="0070C0"/>
              <w:bottom w:val="single" w:sz="4" w:space="0" w:color="0070C0"/>
              <w:right w:val="single" w:sz="4" w:space="0" w:color="0070C0"/>
            </w:tcBorders>
            <w:vAlign w:val="center"/>
          </w:tcPr>
          <w:p w:rsidR="00D97521" w:rsidRPr="006F1D04" w:rsidRDefault="00D97521" w:rsidP="00C74C59">
            <w:pPr>
              <w:spacing w:after="0" w:line="240" w:lineRule="auto"/>
              <w:jc w:val="center"/>
              <w:rPr>
                <w:rFonts w:ascii="Arial" w:hAnsi="Arial" w:cs="Arial"/>
                <w:sz w:val="14"/>
                <w:szCs w:val="14"/>
              </w:rPr>
            </w:pPr>
            <w:r w:rsidRPr="006F1D04">
              <w:rPr>
                <w:rFonts w:ascii="Arial" w:hAnsi="Arial" w:cs="Arial"/>
                <w:sz w:val="14"/>
                <w:szCs w:val="14"/>
              </w:rPr>
              <w:t>D15PM</w:t>
            </w:r>
            <w:r w:rsidRPr="006F1D04">
              <w:rPr>
                <w:rFonts w:ascii="Arial" w:hAnsi="Arial" w:cs="Arial"/>
                <w:sz w:val="14"/>
                <w:szCs w:val="14"/>
                <w:vertAlign w:val="subscript"/>
              </w:rPr>
              <w:t>2.5</w:t>
            </w:r>
          </w:p>
        </w:tc>
        <w:tc>
          <w:tcPr>
            <w:tcW w:w="1258" w:type="dxa"/>
            <w:tcBorders>
              <w:top w:val="dotted" w:sz="4" w:space="0" w:color="0070C0"/>
              <w:left w:val="single" w:sz="4" w:space="0" w:color="0070C0"/>
              <w:bottom w:val="single" w:sz="4" w:space="0" w:color="0070C0"/>
              <w:right w:val="single" w:sz="4" w:space="0" w:color="0070C0"/>
            </w:tcBorders>
            <w:vAlign w:val="center"/>
          </w:tcPr>
          <w:p w:rsidR="00D97521" w:rsidRPr="006F1D04" w:rsidRDefault="00D97521" w:rsidP="00C74C59">
            <w:pPr>
              <w:spacing w:after="0" w:line="240" w:lineRule="auto"/>
              <w:jc w:val="center"/>
              <w:rPr>
                <w:rFonts w:ascii="Arial" w:hAnsi="Arial" w:cs="Arial"/>
                <w:sz w:val="14"/>
                <w:szCs w:val="14"/>
              </w:rPr>
            </w:pPr>
            <w:r w:rsidRPr="006F1D04">
              <w:rPr>
                <w:rFonts w:ascii="Arial" w:hAnsi="Arial" w:cs="Arial"/>
                <w:sz w:val="14"/>
                <w:szCs w:val="14"/>
              </w:rPr>
              <w:t xml:space="preserve">15 </w:t>
            </w:r>
            <w:proofErr w:type="spellStart"/>
            <w:r w:rsidRPr="006F1D04">
              <w:rPr>
                <w:rFonts w:ascii="Arial" w:hAnsi="Arial" w:cs="Arial"/>
                <w:sz w:val="14"/>
                <w:szCs w:val="14"/>
              </w:rPr>
              <w:t>μg</w:t>
            </w:r>
            <w:proofErr w:type="spellEnd"/>
            <w:r w:rsidRPr="006F1D04">
              <w:rPr>
                <w:rFonts w:ascii="Arial" w:hAnsi="Arial" w:cs="Arial"/>
                <w:sz w:val="14"/>
                <w:szCs w:val="14"/>
              </w:rPr>
              <w:t>/m</w:t>
            </w:r>
            <w:r w:rsidRPr="006F1D04">
              <w:rPr>
                <w:rFonts w:ascii="Arial" w:hAnsi="Arial" w:cs="Arial"/>
                <w:sz w:val="14"/>
                <w:szCs w:val="14"/>
                <w:vertAlign w:val="superscript"/>
              </w:rPr>
              <w:t>3</w:t>
            </w:r>
          </w:p>
        </w:tc>
        <w:tc>
          <w:tcPr>
            <w:tcW w:w="1276" w:type="dxa"/>
            <w:tcBorders>
              <w:top w:val="dotted" w:sz="4" w:space="0" w:color="0070C0"/>
              <w:left w:val="single" w:sz="4" w:space="0" w:color="0070C0"/>
              <w:bottom w:val="single" w:sz="4" w:space="0" w:color="0070C0"/>
              <w:right w:val="single" w:sz="4" w:space="0" w:color="0070C0"/>
            </w:tcBorders>
            <w:vAlign w:val="center"/>
          </w:tcPr>
          <w:p w:rsidR="00D97521" w:rsidRPr="006F1D04" w:rsidRDefault="00D97521" w:rsidP="003A4476">
            <w:pPr>
              <w:keepNext/>
              <w:spacing w:after="0" w:line="240" w:lineRule="auto"/>
              <w:jc w:val="center"/>
              <w:rPr>
                <w:rFonts w:ascii="Arial" w:hAnsi="Arial" w:cs="Arial"/>
                <w:color w:val="000000"/>
                <w:sz w:val="14"/>
                <w:szCs w:val="14"/>
              </w:rPr>
            </w:pPr>
            <w:r w:rsidRPr="006F1D04">
              <w:rPr>
                <w:rFonts w:ascii="Arial" w:hAnsi="Arial" w:cs="Arial"/>
                <w:b/>
                <w:color w:val="FF0000"/>
                <w:sz w:val="14"/>
                <w:szCs w:val="14"/>
              </w:rPr>
              <w:t>Unlikely</w:t>
            </w:r>
          </w:p>
        </w:tc>
        <w:tc>
          <w:tcPr>
            <w:tcW w:w="1275" w:type="dxa"/>
            <w:tcBorders>
              <w:top w:val="dotted" w:sz="4" w:space="0" w:color="0070C0"/>
              <w:left w:val="single" w:sz="4" w:space="0" w:color="0070C0"/>
              <w:bottom w:val="single" w:sz="4" w:space="0" w:color="0070C0"/>
              <w:right w:val="single" w:sz="4" w:space="0" w:color="0070C0"/>
            </w:tcBorders>
            <w:vAlign w:val="center"/>
          </w:tcPr>
          <w:p w:rsidR="00D97521" w:rsidRPr="006F1D04" w:rsidRDefault="00D97521" w:rsidP="00805AC4">
            <w:pPr>
              <w:keepNext/>
              <w:spacing w:after="0" w:line="240" w:lineRule="auto"/>
              <w:jc w:val="center"/>
              <w:rPr>
                <w:rFonts w:ascii="Arial" w:hAnsi="Arial" w:cs="Arial"/>
                <w:b/>
                <w:color w:val="00B050"/>
                <w:sz w:val="14"/>
                <w:szCs w:val="14"/>
              </w:rPr>
            </w:pPr>
            <w:r w:rsidRPr="006F1D04">
              <w:rPr>
                <w:rFonts w:ascii="Arial" w:hAnsi="Arial" w:cs="Arial"/>
                <w:b/>
                <w:color w:val="00B050"/>
                <w:sz w:val="14"/>
                <w:szCs w:val="14"/>
              </w:rPr>
              <w:t>Decrease</w:t>
            </w:r>
          </w:p>
        </w:tc>
        <w:tc>
          <w:tcPr>
            <w:tcW w:w="1418" w:type="dxa"/>
            <w:tcBorders>
              <w:top w:val="dotted" w:sz="4" w:space="0" w:color="0070C0"/>
              <w:left w:val="single" w:sz="4" w:space="0" w:color="0070C0"/>
              <w:bottom w:val="single" w:sz="4" w:space="0" w:color="0070C0"/>
              <w:right w:val="single" w:sz="4" w:space="0" w:color="0070C0"/>
            </w:tcBorders>
            <w:vAlign w:val="center"/>
          </w:tcPr>
          <w:p w:rsidR="00D97521" w:rsidRPr="006F1D04" w:rsidRDefault="00D97521" w:rsidP="003A4476">
            <w:pPr>
              <w:keepNext/>
              <w:spacing w:after="0" w:line="240" w:lineRule="auto"/>
              <w:jc w:val="center"/>
              <w:rPr>
                <w:rFonts w:ascii="Arial" w:hAnsi="Arial" w:cs="Arial"/>
                <w:color w:val="000000"/>
                <w:sz w:val="14"/>
                <w:szCs w:val="14"/>
              </w:rPr>
            </w:pPr>
            <w:r w:rsidRPr="006F1D04">
              <w:rPr>
                <w:rFonts w:ascii="Arial" w:hAnsi="Arial" w:cs="Arial"/>
                <w:b/>
                <w:color w:val="FF0000"/>
                <w:sz w:val="14"/>
                <w:szCs w:val="14"/>
              </w:rPr>
              <w:t>No</w:t>
            </w:r>
          </w:p>
        </w:tc>
        <w:tc>
          <w:tcPr>
            <w:tcW w:w="2551" w:type="dxa"/>
            <w:tcBorders>
              <w:top w:val="dotted" w:sz="4" w:space="0" w:color="0070C0"/>
              <w:left w:val="single" w:sz="4" w:space="0" w:color="0070C0"/>
              <w:bottom w:val="single" w:sz="4" w:space="0" w:color="0070C0"/>
              <w:right w:val="single" w:sz="4" w:space="0" w:color="0070C0"/>
            </w:tcBorders>
            <w:vAlign w:val="center"/>
          </w:tcPr>
          <w:p w:rsidR="00D97521" w:rsidRPr="006F1D04" w:rsidRDefault="00F953EE" w:rsidP="00C74C59">
            <w:pPr>
              <w:keepNext/>
              <w:spacing w:after="0" w:line="240" w:lineRule="auto"/>
              <w:jc w:val="center"/>
              <w:rPr>
                <w:rFonts w:ascii="Arial" w:hAnsi="Arial" w:cs="Arial"/>
                <w:color w:val="000000"/>
                <w:sz w:val="14"/>
                <w:szCs w:val="14"/>
              </w:rPr>
            </w:pPr>
            <w:r w:rsidRPr="006F1D04">
              <w:rPr>
                <w:rFonts w:ascii="Arial" w:hAnsi="Arial" w:cs="Arial"/>
                <w:color w:val="000000"/>
                <w:sz w:val="14"/>
                <w:szCs w:val="14"/>
              </w:rPr>
              <w:t>–</w:t>
            </w:r>
          </w:p>
        </w:tc>
        <w:tc>
          <w:tcPr>
            <w:tcW w:w="2127" w:type="dxa"/>
            <w:tcBorders>
              <w:top w:val="dotted" w:sz="4" w:space="0" w:color="0070C0"/>
              <w:left w:val="single" w:sz="4" w:space="0" w:color="0070C0"/>
              <w:bottom w:val="single" w:sz="4" w:space="0" w:color="0070C0"/>
              <w:right w:val="single" w:sz="4" w:space="0" w:color="0070C0"/>
            </w:tcBorders>
            <w:vAlign w:val="center"/>
          </w:tcPr>
          <w:p w:rsidR="00D97521" w:rsidRPr="006F1D04" w:rsidRDefault="00F953EE" w:rsidP="00C74C59">
            <w:pPr>
              <w:keepNext/>
              <w:spacing w:after="0" w:line="240" w:lineRule="auto"/>
              <w:jc w:val="center"/>
              <w:rPr>
                <w:rFonts w:ascii="Arial" w:hAnsi="Arial" w:cs="Arial"/>
                <w:color w:val="000000"/>
                <w:sz w:val="14"/>
                <w:szCs w:val="14"/>
              </w:rPr>
            </w:pPr>
            <w:r w:rsidRPr="006F1D04">
              <w:rPr>
                <w:rFonts w:ascii="Arial" w:hAnsi="Arial" w:cs="Arial"/>
                <w:color w:val="000000"/>
                <w:sz w:val="14"/>
                <w:szCs w:val="14"/>
              </w:rPr>
              <w:t>–</w:t>
            </w:r>
          </w:p>
        </w:tc>
        <w:tc>
          <w:tcPr>
            <w:tcW w:w="1417" w:type="dxa"/>
            <w:tcBorders>
              <w:top w:val="dotted" w:sz="4" w:space="0" w:color="0070C0"/>
              <w:left w:val="single" w:sz="4" w:space="0" w:color="0070C0"/>
              <w:bottom w:val="single" w:sz="4" w:space="0" w:color="0070C0"/>
              <w:right w:val="single" w:sz="4" w:space="0" w:color="0070C0"/>
            </w:tcBorders>
            <w:vAlign w:val="center"/>
          </w:tcPr>
          <w:p w:rsidR="00D97521" w:rsidRPr="006F1D04" w:rsidRDefault="00F953EE" w:rsidP="00BE3CC0">
            <w:pPr>
              <w:spacing w:after="0" w:line="240" w:lineRule="auto"/>
              <w:jc w:val="center"/>
              <w:rPr>
                <w:rFonts w:ascii="Arial" w:hAnsi="Arial" w:cs="Arial"/>
                <w:sz w:val="14"/>
                <w:szCs w:val="14"/>
              </w:rPr>
            </w:pPr>
            <w:r w:rsidRPr="006F1D04">
              <w:rPr>
                <w:rFonts w:ascii="Arial" w:hAnsi="Arial" w:cs="Arial"/>
                <w:sz w:val="14"/>
                <w:szCs w:val="14"/>
              </w:rPr>
              <w:t>–</w:t>
            </w:r>
          </w:p>
        </w:tc>
      </w:tr>
      <w:tr w:rsidR="005360B4" w:rsidRPr="006F1D04" w:rsidTr="005360B4">
        <w:trPr>
          <w:trHeight w:val="1015"/>
        </w:trPr>
        <w:tc>
          <w:tcPr>
            <w:tcW w:w="958" w:type="dxa"/>
            <w:vMerge w:val="restart"/>
            <w:tcBorders>
              <w:top w:val="single" w:sz="4" w:space="0" w:color="0070C0"/>
              <w:left w:val="single" w:sz="4" w:space="0" w:color="0070C0"/>
              <w:right w:val="single" w:sz="4" w:space="0" w:color="0070C0"/>
            </w:tcBorders>
            <w:vAlign w:val="center"/>
          </w:tcPr>
          <w:p w:rsidR="005360B4" w:rsidRPr="006F1D04" w:rsidRDefault="005360B4" w:rsidP="00C74C59">
            <w:pPr>
              <w:spacing w:after="0" w:line="240" w:lineRule="auto"/>
              <w:jc w:val="center"/>
              <w:rPr>
                <w:rFonts w:ascii="Arial" w:hAnsi="Arial" w:cs="Arial"/>
                <w:sz w:val="14"/>
                <w:szCs w:val="14"/>
              </w:rPr>
            </w:pPr>
            <w:r w:rsidRPr="006F1D04">
              <w:rPr>
                <w:rFonts w:ascii="Arial" w:hAnsi="Arial" w:cs="Arial"/>
                <w:sz w:val="14"/>
                <w:szCs w:val="14"/>
              </w:rPr>
              <w:t>Exposure-reduction framework</w:t>
            </w:r>
          </w:p>
        </w:tc>
        <w:tc>
          <w:tcPr>
            <w:tcW w:w="808" w:type="dxa"/>
            <w:vMerge w:val="restart"/>
            <w:tcBorders>
              <w:top w:val="single" w:sz="4" w:space="0" w:color="0070C0"/>
              <w:left w:val="single" w:sz="4" w:space="0" w:color="0070C0"/>
              <w:right w:val="single" w:sz="4" w:space="0" w:color="0070C0"/>
            </w:tcBorders>
            <w:vAlign w:val="center"/>
          </w:tcPr>
          <w:p w:rsidR="005360B4" w:rsidRPr="006F1D04" w:rsidRDefault="005360B4" w:rsidP="00C74C59">
            <w:pPr>
              <w:spacing w:after="0" w:line="240" w:lineRule="auto"/>
              <w:jc w:val="center"/>
              <w:rPr>
                <w:rFonts w:ascii="Arial" w:hAnsi="Arial" w:cs="Arial"/>
                <w:sz w:val="14"/>
                <w:szCs w:val="14"/>
              </w:rPr>
            </w:pPr>
            <w:r w:rsidRPr="006F1D04">
              <w:rPr>
                <w:rFonts w:ascii="Arial" w:hAnsi="Arial" w:cs="Arial"/>
                <w:sz w:val="14"/>
                <w:szCs w:val="14"/>
              </w:rPr>
              <w:t>Co-option</w:t>
            </w:r>
          </w:p>
        </w:tc>
        <w:tc>
          <w:tcPr>
            <w:tcW w:w="690" w:type="dxa"/>
            <w:tcBorders>
              <w:top w:val="single" w:sz="4" w:space="0" w:color="0070C0"/>
              <w:left w:val="single" w:sz="4" w:space="0" w:color="0070C0"/>
              <w:bottom w:val="dotted" w:sz="4" w:space="0" w:color="0070C0"/>
              <w:right w:val="single" w:sz="4" w:space="0" w:color="0070C0"/>
            </w:tcBorders>
            <w:vAlign w:val="center"/>
          </w:tcPr>
          <w:p w:rsidR="005360B4" w:rsidRPr="006F1D04" w:rsidRDefault="005360B4" w:rsidP="00634C04">
            <w:pPr>
              <w:spacing w:after="0" w:line="240" w:lineRule="auto"/>
              <w:jc w:val="center"/>
              <w:rPr>
                <w:rFonts w:ascii="Arial" w:hAnsi="Arial" w:cs="Arial"/>
                <w:sz w:val="14"/>
                <w:szCs w:val="14"/>
              </w:rPr>
            </w:pPr>
            <w:r w:rsidRPr="006F1D04">
              <w:rPr>
                <w:rFonts w:ascii="Arial" w:hAnsi="Arial" w:cs="Arial"/>
                <w:sz w:val="14"/>
                <w:szCs w:val="14"/>
              </w:rPr>
              <w:t>ER1</w:t>
            </w:r>
          </w:p>
        </w:tc>
        <w:tc>
          <w:tcPr>
            <w:tcW w:w="1258" w:type="dxa"/>
            <w:tcBorders>
              <w:top w:val="single" w:sz="4" w:space="0" w:color="0070C0"/>
              <w:left w:val="single" w:sz="4" w:space="0" w:color="0070C0"/>
              <w:bottom w:val="dotted" w:sz="4" w:space="0" w:color="0070C0"/>
              <w:right w:val="single" w:sz="4" w:space="0" w:color="0070C0"/>
            </w:tcBorders>
            <w:vAlign w:val="center"/>
          </w:tcPr>
          <w:p w:rsidR="005360B4" w:rsidRPr="006F1D04" w:rsidRDefault="005360B4" w:rsidP="00634C04">
            <w:pPr>
              <w:spacing w:after="0" w:line="240" w:lineRule="auto"/>
              <w:jc w:val="center"/>
              <w:rPr>
                <w:rFonts w:ascii="Arial" w:hAnsi="Arial" w:cs="Arial"/>
                <w:sz w:val="14"/>
                <w:szCs w:val="14"/>
              </w:rPr>
            </w:pPr>
            <w:r w:rsidRPr="006F1D04">
              <w:rPr>
                <w:rFonts w:ascii="Arial" w:hAnsi="Arial" w:cs="Arial"/>
                <w:sz w:val="14"/>
                <w:szCs w:val="14"/>
              </w:rPr>
              <w:t>10% reduction in exposure to PM</w:t>
            </w:r>
            <w:r w:rsidRPr="006F1D04">
              <w:rPr>
                <w:rFonts w:ascii="Arial" w:hAnsi="Arial" w:cs="Arial"/>
                <w:sz w:val="14"/>
                <w:szCs w:val="14"/>
                <w:vertAlign w:val="subscript"/>
              </w:rPr>
              <w:t>2.5</w:t>
            </w:r>
            <w:r w:rsidRPr="006F1D04">
              <w:rPr>
                <w:rFonts w:ascii="Arial" w:hAnsi="Arial" w:cs="Arial"/>
                <w:sz w:val="14"/>
                <w:szCs w:val="14"/>
              </w:rPr>
              <w:t xml:space="preserve"> between 2015 and 2025, based on monitoring</w:t>
            </w:r>
          </w:p>
        </w:tc>
        <w:tc>
          <w:tcPr>
            <w:tcW w:w="1276" w:type="dxa"/>
            <w:tcBorders>
              <w:top w:val="single" w:sz="4" w:space="0" w:color="0070C0"/>
              <w:left w:val="single" w:sz="4" w:space="0" w:color="0070C0"/>
              <w:bottom w:val="dotted" w:sz="4" w:space="0" w:color="0070C0"/>
              <w:right w:val="single" w:sz="4" w:space="0" w:color="0070C0"/>
            </w:tcBorders>
            <w:vAlign w:val="center"/>
          </w:tcPr>
          <w:p w:rsidR="005360B4" w:rsidRPr="006F1D04" w:rsidRDefault="005360B4" w:rsidP="00634C04">
            <w:pPr>
              <w:spacing w:after="0" w:line="240" w:lineRule="auto"/>
              <w:jc w:val="center"/>
              <w:rPr>
                <w:rFonts w:ascii="Arial" w:hAnsi="Arial" w:cs="Arial"/>
                <w:b/>
                <w:color w:val="FF0000"/>
                <w:sz w:val="14"/>
                <w:szCs w:val="14"/>
              </w:rPr>
            </w:pPr>
            <w:r w:rsidRPr="006F1D04">
              <w:rPr>
                <w:rFonts w:ascii="Arial" w:hAnsi="Arial" w:cs="Arial"/>
                <w:sz w:val="14"/>
                <w:szCs w:val="14"/>
              </w:rPr>
              <w:t>N/A</w:t>
            </w:r>
          </w:p>
        </w:tc>
        <w:tc>
          <w:tcPr>
            <w:tcW w:w="1275" w:type="dxa"/>
            <w:tcBorders>
              <w:top w:val="single" w:sz="4" w:space="0" w:color="0070C0"/>
              <w:left w:val="single" w:sz="4" w:space="0" w:color="0070C0"/>
              <w:bottom w:val="dotted" w:sz="4" w:space="0" w:color="0070C0"/>
              <w:right w:val="single" w:sz="4" w:space="0" w:color="0070C0"/>
            </w:tcBorders>
            <w:vAlign w:val="center"/>
          </w:tcPr>
          <w:p w:rsidR="005360B4" w:rsidRPr="006F1D04" w:rsidRDefault="005360B4" w:rsidP="00634C04">
            <w:pPr>
              <w:spacing w:after="0" w:line="240" w:lineRule="auto"/>
              <w:jc w:val="center"/>
              <w:rPr>
                <w:rFonts w:ascii="Arial" w:hAnsi="Arial" w:cs="Arial"/>
                <w:sz w:val="14"/>
                <w:szCs w:val="14"/>
              </w:rPr>
            </w:pPr>
            <w:r w:rsidRPr="006F1D04">
              <w:rPr>
                <w:rFonts w:ascii="Arial" w:hAnsi="Arial" w:cs="Arial"/>
                <w:sz w:val="14"/>
                <w:szCs w:val="14"/>
              </w:rPr>
              <w:t>N/A</w:t>
            </w:r>
          </w:p>
        </w:tc>
        <w:tc>
          <w:tcPr>
            <w:tcW w:w="1418" w:type="dxa"/>
            <w:tcBorders>
              <w:top w:val="single" w:sz="4" w:space="0" w:color="0070C0"/>
              <w:left w:val="single" w:sz="4" w:space="0" w:color="0070C0"/>
              <w:bottom w:val="dotted" w:sz="4" w:space="0" w:color="0070C0"/>
              <w:right w:val="single" w:sz="4" w:space="0" w:color="0070C0"/>
            </w:tcBorders>
            <w:vAlign w:val="center"/>
          </w:tcPr>
          <w:p w:rsidR="005360B4" w:rsidRPr="006F1D04" w:rsidRDefault="005360B4" w:rsidP="00634C04">
            <w:pPr>
              <w:spacing w:after="0" w:line="240" w:lineRule="auto"/>
              <w:jc w:val="center"/>
              <w:rPr>
                <w:rFonts w:ascii="Arial" w:hAnsi="Arial" w:cs="Arial"/>
                <w:sz w:val="14"/>
                <w:szCs w:val="14"/>
              </w:rPr>
            </w:pPr>
            <w:r w:rsidRPr="006F1D04">
              <w:rPr>
                <w:rFonts w:ascii="Arial" w:hAnsi="Arial" w:cs="Arial"/>
                <w:b/>
                <w:color w:val="FF0000"/>
                <w:sz w:val="14"/>
                <w:szCs w:val="14"/>
              </w:rPr>
              <w:t>No</w:t>
            </w:r>
          </w:p>
        </w:tc>
        <w:tc>
          <w:tcPr>
            <w:tcW w:w="2551" w:type="dxa"/>
            <w:tcBorders>
              <w:top w:val="single" w:sz="4" w:space="0" w:color="0070C0"/>
              <w:left w:val="single" w:sz="4" w:space="0" w:color="0070C0"/>
              <w:bottom w:val="dotted" w:sz="4" w:space="0" w:color="0070C0"/>
              <w:right w:val="single" w:sz="4" w:space="0" w:color="0070C0"/>
            </w:tcBorders>
            <w:vAlign w:val="center"/>
          </w:tcPr>
          <w:p w:rsidR="005360B4" w:rsidRPr="006F1D04" w:rsidRDefault="005360B4" w:rsidP="00634C04">
            <w:pPr>
              <w:spacing w:after="0" w:line="240" w:lineRule="auto"/>
              <w:jc w:val="center"/>
              <w:rPr>
                <w:rFonts w:ascii="Arial" w:hAnsi="Arial" w:cs="Arial"/>
                <w:sz w:val="14"/>
                <w:szCs w:val="14"/>
              </w:rPr>
            </w:pPr>
            <w:r w:rsidRPr="006F1D04">
              <w:rPr>
                <w:rFonts w:ascii="Arial" w:hAnsi="Arial" w:cs="Arial"/>
                <w:sz w:val="14"/>
                <w:szCs w:val="14"/>
              </w:rPr>
              <w:t>All except NT</w:t>
            </w:r>
          </w:p>
        </w:tc>
        <w:tc>
          <w:tcPr>
            <w:tcW w:w="2127" w:type="dxa"/>
            <w:tcBorders>
              <w:top w:val="single" w:sz="4" w:space="0" w:color="0070C0"/>
              <w:left w:val="single" w:sz="4" w:space="0" w:color="0070C0"/>
              <w:bottom w:val="dotted" w:sz="4" w:space="0" w:color="0070C0"/>
              <w:right w:val="single" w:sz="4" w:space="0" w:color="0070C0"/>
            </w:tcBorders>
            <w:vAlign w:val="center"/>
          </w:tcPr>
          <w:p w:rsidR="005360B4" w:rsidRPr="006F1D04" w:rsidRDefault="005360B4" w:rsidP="00634C04">
            <w:pPr>
              <w:spacing w:after="0" w:line="240" w:lineRule="auto"/>
              <w:jc w:val="center"/>
              <w:rPr>
                <w:rFonts w:ascii="Arial" w:hAnsi="Arial" w:cs="Arial"/>
                <w:sz w:val="14"/>
                <w:szCs w:val="14"/>
              </w:rPr>
            </w:pPr>
            <w:r w:rsidRPr="006F1D04">
              <w:rPr>
                <w:rFonts w:ascii="Arial" w:hAnsi="Arial" w:cs="Arial"/>
                <w:b/>
                <w:color w:val="FF0000"/>
                <w:sz w:val="14"/>
                <w:szCs w:val="14"/>
              </w:rPr>
              <w:t>No</w:t>
            </w:r>
          </w:p>
        </w:tc>
        <w:tc>
          <w:tcPr>
            <w:tcW w:w="1417" w:type="dxa"/>
            <w:tcBorders>
              <w:top w:val="single" w:sz="4" w:space="0" w:color="0070C0"/>
              <w:left w:val="single" w:sz="4" w:space="0" w:color="0070C0"/>
              <w:bottom w:val="dotted" w:sz="4" w:space="0" w:color="0070C0"/>
              <w:right w:val="single" w:sz="4" w:space="0" w:color="0070C0"/>
            </w:tcBorders>
            <w:vAlign w:val="center"/>
          </w:tcPr>
          <w:p w:rsidR="005360B4" w:rsidRPr="006F1D04" w:rsidRDefault="005360B4" w:rsidP="00634C04">
            <w:pPr>
              <w:spacing w:after="0" w:line="240" w:lineRule="auto"/>
              <w:jc w:val="center"/>
              <w:rPr>
                <w:rFonts w:ascii="Arial" w:hAnsi="Arial" w:cs="Arial"/>
                <w:sz w:val="14"/>
                <w:szCs w:val="14"/>
              </w:rPr>
            </w:pPr>
            <w:r w:rsidRPr="006F1D04">
              <w:rPr>
                <w:rFonts w:ascii="Arial" w:hAnsi="Arial" w:cs="Arial"/>
                <w:sz w:val="14"/>
                <w:szCs w:val="14"/>
              </w:rPr>
              <w:t>N/A</w:t>
            </w:r>
          </w:p>
        </w:tc>
      </w:tr>
      <w:tr w:rsidR="005360B4" w:rsidRPr="006F1D04" w:rsidTr="005360B4">
        <w:trPr>
          <w:trHeight w:val="874"/>
        </w:trPr>
        <w:tc>
          <w:tcPr>
            <w:tcW w:w="958" w:type="dxa"/>
            <w:vMerge/>
            <w:tcBorders>
              <w:left w:val="single" w:sz="4" w:space="0" w:color="0070C0"/>
              <w:bottom w:val="single" w:sz="4" w:space="0" w:color="0070C0"/>
              <w:right w:val="single" w:sz="4" w:space="0" w:color="0070C0"/>
            </w:tcBorders>
            <w:vAlign w:val="center"/>
          </w:tcPr>
          <w:p w:rsidR="005360B4" w:rsidRPr="006F1D04" w:rsidRDefault="005360B4" w:rsidP="00C74C59">
            <w:pPr>
              <w:spacing w:after="0" w:line="240" w:lineRule="auto"/>
              <w:jc w:val="center"/>
              <w:rPr>
                <w:rFonts w:ascii="Arial" w:hAnsi="Arial" w:cs="Arial"/>
                <w:sz w:val="14"/>
                <w:szCs w:val="14"/>
              </w:rPr>
            </w:pPr>
          </w:p>
        </w:tc>
        <w:tc>
          <w:tcPr>
            <w:tcW w:w="808" w:type="dxa"/>
            <w:vMerge/>
            <w:tcBorders>
              <w:left w:val="single" w:sz="4" w:space="0" w:color="0070C0"/>
              <w:bottom w:val="single" w:sz="4" w:space="0" w:color="0070C0"/>
              <w:right w:val="single" w:sz="4" w:space="0" w:color="0070C0"/>
            </w:tcBorders>
            <w:vAlign w:val="center"/>
          </w:tcPr>
          <w:p w:rsidR="005360B4" w:rsidRPr="006F1D04" w:rsidRDefault="005360B4" w:rsidP="00C74C59">
            <w:pPr>
              <w:spacing w:after="0" w:line="240" w:lineRule="auto"/>
              <w:jc w:val="center"/>
              <w:rPr>
                <w:rFonts w:ascii="Arial" w:hAnsi="Arial" w:cs="Arial"/>
                <w:sz w:val="14"/>
                <w:szCs w:val="14"/>
              </w:rPr>
            </w:pPr>
          </w:p>
        </w:tc>
        <w:tc>
          <w:tcPr>
            <w:tcW w:w="690" w:type="dxa"/>
            <w:tcBorders>
              <w:top w:val="dotted" w:sz="4" w:space="0" w:color="0070C0"/>
              <w:left w:val="single" w:sz="4" w:space="0" w:color="0070C0"/>
              <w:bottom w:val="single" w:sz="4" w:space="0" w:color="0070C0"/>
              <w:right w:val="single" w:sz="4" w:space="0" w:color="0070C0"/>
            </w:tcBorders>
            <w:vAlign w:val="center"/>
          </w:tcPr>
          <w:p w:rsidR="005360B4" w:rsidRPr="006F1D04" w:rsidRDefault="005360B4" w:rsidP="00C74C59">
            <w:pPr>
              <w:spacing w:after="0" w:line="240" w:lineRule="auto"/>
              <w:jc w:val="center"/>
              <w:rPr>
                <w:rFonts w:ascii="Arial" w:hAnsi="Arial" w:cs="Arial"/>
                <w:sz w:val="14"/>
                <w:szCs w:val="14"/>
              </w:rPr>
            </w:pPr>
            <w:r w:rsidRPr="006F1D04">
              <w:rPr>
                <w:rFonts w:ascii="Arial" w:hAnsi="Arial" w:cs="Arial"/>
                <w:sz w:val="14"/>
                <w:szCs w:val="14"/>
              </w:rPr>
              <w:t>ER2</w:t>
            </w:r>
          </w:p>
        </w:tc>
        <w:tc>
          <w:tcPr>
            <w:tcW w:w="1258" w:type="dxa"/>
            <w:tcBorders>
              <w:top w:val="dotted" w:sz="4" w:space="0" w:color="0070C0"/>
              <w:left w:val="single" w:sz="4" w:space="0" w:color="0070C0"/>
              <w:bottom w:val="single" w:sz="4" w:space="0" w:color="0070C0"/>
              <w:right w:val="single" w:sz="4" w:space="0" w:color="0070C0"/>
            </w:tcBorders>
            <w:vAlign w:val="center"/>
          </w:tcPr>
          <w:p w:rsidR="005360B4" w:rsidRPr="006F1D04" w:rsidRDefault="005360B4" w:rsidP="00634C04">
            <w:pPr>
              <w:spacing w:after="0" w:line="240" w:lineRule="auto"/>
              <w:jc w:val="center"/>
              <w:rPr>
                <w:rFonts w:ascii="Arial" w:hAnsi="Arial" w:cs="Arial"/>
                <w:sz w:val="14"/>
                <w:szCs w:val="14"/>
              </w:rPr>
            </w:pPr>
            <w:r w:rsidRPr="006F1D04">
              <w:rPr>
                <w:rFonts w:ascii="Arial" w:hAnsi="Arial" w:cs="Arial"/>
                <w:sz w:val="14"/>
                <w:szCs w:val="14"/>
              </w:rPr>
              <w:t>No target. Exposure index, based on monitoring</w:t>
            </w:r>
          </w:p>
        </w:tc>
        <w:tc>
          <w:tcPr>
            <w:tcW w:w="1276" w:type="dxa"/>
            <w:tcBorders>
              <w:top w:val="dotted" w:sz="4" w:space="0" w:color="0070C0"/>
              <w:left w:val="single" w:sz="4" w:space="0" w:color="0070C0"/>
              <w:bottom w:val="single" w:sz="4" w:space="0" w:color="0070C0"/>
              <w:right w:val="single" w:sz="4" w:space="0" w:color="0070C0"/>
            </w:tcBorders>
            <w:vAlign w:val="center"/>
          </w:tcPr>
          <w:p w:rsidR="005360B4" w:rsidRPr="006F1D04" w:rsidRDefault="005360B4" w:rsidP="00F13426">
            <w:pPr>
              <w:spacing w:after="0" w:line="240" w:lineRule="auto"/>
              <w:jc w:val="center"/>
              <w:rPr>
                <w:rFonts w:ascii="Arial" w:hAnsi="Arial" w:cs="Arial"/>
                <w:b/>
                <w:color w:val="FF0000"/>
                <w:sz w:val="14"/>
                <w:szCs w:val="14"/>
              </w:rPr>
            </w:pPr>
            <w:r w:rsidRPr="006F1D04">
              <w:rPr>
                <w:rFonts w:ascii="Arial" w:hAnsi="Arial" w:cs="Arial"/>
                <w:sz w:val="14"/>
                <w:szCs w:val="14"/>
              </w:rPr>
              <w:t>N/A</w:t>
            </w:r>
          </w:p>
        </w:tc>
        <w:tc>
          <w:tcPr>
            <w:tcW w:w="1275" w:type="dxa"/>
            <w:tcBorders>
              <w:top w:val="dotted" w:sz="4" w:space="0" w:color="0070C0"/>
              <w:left w:val="single" w:sz="4" w:space="0" w:color="0070C0"/>
              <w:bottom w:val="single" w:sz="4" w:space="0" w:color="0070C0"/>
              <w:right w:val="single" w:sz="4" w:space="0" w:color="0070C0"/>
            </w:tcBorders>
            <w:vAlign w:val="center"/>
          </w:tcPr>
          <w:p w:rsidR="005360B4" w:rsidRPr="006F1D04" w:rsidRDefault="005360B4" w:rsidP="00F13426">
            <w:pPr>
              <w:spacing w:after="0" w:line="240" w:lineRule="auto"/>
              <w:jc w:val="center"/>
              <w:rPr>
                <w:rFonts w:ascii="Arial" w:hAnsi="Arial" w:cs="Arial"/>
                <w:sz w:val="14"/>
                <w:szCs w:val="14"/>
              </w:rPr>
            </w:pPr>
            <w:r w:rsidRPr="006F1D04">
              <w:rPr>
                <w:rFonts w:ascii="Arial" w:hAnsi="Arial" w:cs="Arial"/>
                <w:sz w:val="14"/>
                <w:szCs w:val="14"/>
              </w:rPr>
              <w:t>N/A</w:t>
            </w:r>
          </w:p>
        </w:tc>
        <w:tc>
          <w:tcPr>
            <w:tcW w:w="1418" w:type="dxa"/>
            <w:tcBorders>
              <w:top w:val="dotted" w:sz="4" w:space="0" w:color="0070C0"/>
              <w:left w:val="single" w:sz="4" w:space="0" w:color="0070C0"/>
              <w:bottom w:val="single" w:sz="4" w:space="0" w:color="0070C0"/>
              <w:right w:val="single" w:sz="4" w:space="0" w:color="0070C0"/>
            </w:tcBorders>
            <w:vAlign w:val="center"/>
          </w:tcPr>
          <w:p w:rsidR="005360B4" w:rsidRPr="006F1D04" w:rsidRDefault="005360B4" w:rsidP="00F13426">
            <w:pPr>
              <w:spacing w:after="0" w:line="240" w:lineRule="auto"/>
              <w:jc w:val="center"/>
              <w:rPr>
                <w:rFonts w:ascii="Arial" w:hAnsi="Arial" w:cs="Arial"/>
                <w:sz w:val="14"/>
                <w:szCs w:val="14"/>
              </w:rPr>
            </w:pPr>
            <w:r w:rsidRPr="006F1D04">
              <w:rPr>
                <w:rFonts w:ascii="Arial" w:hAnsi="Arial" w:cs="Arial"/>
                <w:b/>
                <w:color w:val="00B050"/>
                <w:sz w:val="14"/>
                <w:szCs w:val="14"/>
              </w:rPr>
              <w:t>Yes</w:t>
            </w:r>
          </w:p>
        </w:tc>
        <w:tc>
          <w:tcPr>
            <w:tcW w:w="2551" w:type="dxa"/>
            <w:tcBorders>
              <w:top w:val="dotted" w:sz="4" w:space="0" w:color="0070C0"/>
              <w:left w:val="single" w:sz="4" w:space="0" w:color="0070C0"/>
              <w:bottom w:val="single" w:sz="4" w:space="0" w:color="0070C0"/>
              <w:right w:val="single" w:sz="4" w:space="0" w:color="0070C0"/>
            </w:tcBorders>
            <w:vAlign w:val="center"/>
          </w:tcPr>
          <w:p w:rsidR="005360B4" w:rsidRPr="006F1D04" w:rsidRDefault="005360B4" w:rsidP="00F13426">
            <w:pPr>
              <w:spacing w:after="0" w:line="240" w:lineRule="auto"/>
              <w:jc w:val="center"/>
              <w:rPr>
                <w:rFonts w:ascii="Arial" w:hAnsi="Arial" w:cs="Arial"/>
                <w:sz w:val="14"/>
                <w:szCs w:val="14"/>
              </w:rPr>
            </w:pPr>
            <w:r w:rsidRPr="006F1D04">
              <w:rPr>
                <w:rFonts w:ascii="Arial" w:hAnsi="Arial" w:cs="Arial"/>
                <w:sz w:val="14"/>
                <w:szCs w:val="14"/>
              </w:rPr>
              <w:t>N/A</w:t>
            </w:r>
          </w:p>
        </w:tc>
        <w:tc>
          <w:tcPr>
            <w:tcW w:w="2127" w:type="dxa"/>
            <w:tcBorders>
              <w:top w:val="dotted" w:sz="4" w:space="0" w:color="0070C0"/>
              <w:left w:val="single" w:sz="4" w:space="0" w:color="0070C0"/>
              <w:bottom w:val="single" w:sz="4" w:space="0" w:color="0070C0"/>
              <w:right w:val="single" w:sz="4" w:space="0" w:color="0070C0"/>
            </w:tcBorders>
            <w:vAlign w:val="center"/>
          </w:tcPr>
          <w:p w:rsidR="005360B4" w:rsidRPr="006F1D04" w:rsidRDefault="005360B4" w:rsidP="00F13426">
            <w:pPr>
              <w:spacing w:after="0" w:line="240" w:lineRule="auto"/>
              <w:jc w:val="center"/>
              <w:rPr>
                <w:rFonts w:ascii="Arial" w:hAnsi="Arial" w:cs="Arial"/>
                <w:sz w:val="14"/>
                <w:szCs w:val="14"/>
              </w:rPr>
            </w:pPr>
            <w:r w:rsidRPr="006F1D04">
              <w:rPr>
                <w:rFonts w:ascii="Arial" w:hAnsi="Arial" w:cs="Arial"/>
                <w:sz w:val="14"/>
                <w:szCs w:val="14"/>
              </w:rPr>
              <w:t>N/A</w:t>
            </w:r>
          </w:p>
        </w:tc>
        <w:tc>
          <w:tcPr>
            <w:tcW w:w="1417" w:type="dxa"/>
            <w:tcBorders>
              <w:top w:val="dotted" w:sz="4" w:space="0" w:color="0070C0"/>
              <w:left w:val="single" w:sz="4" w:space="0" w:color="0070C0"/>
              <w:bottom w:val="single" w:sz="4" w:space="0" w:color="0070C0"/>
              <w:right w:val="single" w:sz="4" w:space="0" w:color="0070C0"/>
            </w:tcBorders>
            <w:vAlign w:val="center"/>
          </w:tcPr>
          <w:p w:rsidR="005360B4" w:rsidRPr="006F1D04" w:rsidRDefault="005360B4" w:rsidP="00F13426">
            <w:pPr>
              <w:spacing w:after="0" w:line="240" w:lineRule="auto"/>
              <w:jc w:val="center"/>
              <w:rPr>
                <w:rFonts w:ascii="Arial" w:hAnsi="Arial" w:cs="Arial"/>
                <w:sz w:val="14"/>
                <w:szCs w:val="14"/>
              </w:rPr>
            </w:pPr>
            <w:r w:rsidRPr="006F1D04">
              <w:rPr>
                <w:rFonts w:ascii="Arial" w:hAnsi="Arial" w:cs="Arial"/>
                <w:sz w:val="14"/>
                <w:szCs w:val="14"/>
              </w:rPr>
              <w:t>N/A</w:t>
            </w:r>
          </w:p>
        </w:tc>
      </w:tr>
    </w:tbl>
    <w:p w:rsidR="008224B6" w:rsidRPr="006F1D04" w:rsidRDefault="008224B6" w:rsidP="00F953EE">
      <w:pPr>
        <w:pStyle w:val="ListParagraph"/>
        <w:numPr>
          <w:ilvl w:val="0"/>
          <w:numId w:val="32"/>
        </w:numPr>
        <w:spacing w:before="120" w:after="0" w:line="240" w:lineRule="auto"/>
        <w:ind w:left="567"/>
        <w:rPr>
          <w:rFonts w:ascii="Arial" w:hAnsi="Arial" w:cs="Arial"/>
          <w:sz w:val="14"/>
          <w:szCs w:val="14"/>
        </w:rPr>
      </w:pPr>
      <w:r w:rsidRPr="006F1D04">
        <w:rPr>
          <w:rFonts w:ascii="Arial" w:hAnsi="Arial" w:cs="Arial"/>
          <w:sz w:val="14"/>
          <w:szCs w:val="14"/>
        </w:rPr>
        <w:t>Current standards are shown in bold.</w:t>
      </w:r>
    </w:p>
    <w:p w:rsidR="001B2F7F" w:rsidRPr="006F1D04" w:rsidRDefault="003A4476" w:rsidP="00E83EDD">
      <w:pPr>
        <w:pStyle w:val="ListParagraph"/>
        <w:numPr>
          <w:ilvl w:val="0"/>
          <w:numId w:val="32"/>
        </w:numPr>
        <w:spacing w:before="120" w:after="0" w:line="240" w:lineRule="auto"/>
        <w:ind w:left="567"/>
        <w:rPr>
          <w:rFonts w:ascii="Arial" w:hAnsi="Arial" w:cs="Arial"/>
          <w:sz w:val="14"/>
          <w:szCs w:val="14"/>
        </w:rPr>
      </w:pPr>
      <w:r w:rsidRPr="006F1D04">
        <w:rPr>
          <w:rFonts w:ascii="Arial" w:hAnsi="Arial" w:cs="Arial"/>
          <w:sz w:val="14"/>
          <w:szCs w:val="14"/>
        </w:rPr>
        <w:t>On average for Australia</w:t>
      </w:r>
      <w:r w:rsidR="00966372" w:rsidRPr="006F1D04">
        <w:rPr>
          <w:rFonts w:ascii="Arial" w:hAnsi="Arial" w:cs="Arial"/>
          <w:sz w:val="14"/>
          <w:szCs w:val="14"/>
        </w:rPr>
        <w:t xml:space="preserve"> (does not apply to individual sites)</w:t>
      </w:r>
      <w:r w:rsidR="00F953EE" w:rsidRPr="006F1D04">
        <w:rPr>
          <w:rFonts w:ascii="Arial" w:hAnsi="Arial" w:cs="Arial"/>
          <w:sz w:val="14"/>
          <w:szCs w:val="14"/>
        </w:rPr>
        <w:t>.</w:t>
      </w:r>
    </w:p>
    <w:p w:rsidR="005360B4" w:rsidRPr="006F1D04" w:rsidRDefault="001B2F7F" w:rsidP="00E83EDD">
      <w:pPr>
        <w:pStyle w:val="ListParagraph"/>
        <w:numPr>
          <w:ilvl w:val="0"/>
          <w:numId w:val="32"/>
        </w:numPr>
        <w:spacing w:before="120" w:after="0" w:line="240" w:lineRule="auto"/>
        <w:ind w:left="567"/>
        <w:rPr>
          <w:rFonts w:ascii="Arial" w:hAnsi="Arial" w:cs="Arial"/>
          <w:sz w:val="14"/>
          <w:szCs w:val="14"/>
        </w:rPr>
      </w:pPr>
      <w:r w:rsidRPr="006F1D04">
        <w:rPr>
          <w:rFonts w:ascii="Arial" w:hAnsi="Arial" w:cs="Arial"/>
          <w:sz w:val="14"/>
          <w:szCs w:val="14"/>
        </w:rPr>
        <w:t>In addition to the reductions that could</w:t>
      </w:r>
      <w:r w:rsidR="00746A1E" w:rsidRPr="006F1D04">
        <w:rPr>
          <w:rFonts w:ascii="Arial" w:hAnsi="Arial" w:cs="Arial"/>
          <w:sz w:val="14"/>
          <w:szCs w:val="14"/>
        </w:rPr>
        <w:t xml:space="preserve"> be achieved by implementation by package of </w:t>
      </w:r>
      <w:r w:rsidRPr="006F1D04">
        <w:rPr>
          <w:rFonts w:ascii="Arial" w:hAnsi="Arial" w:cs="Arial"/>
          <w:sz w:val="14"/>
          <w:szCs w:val="14"/>
        </w:rPr>
        <w:t>all feasible of national measures.</w:t>
      </w:r>
    </w:p>
    <w:p w:rsidR="00FC1F67" w:rsidRPr="006F1D04" w:rsidRDefault="00FC1F67" w:rsidP="00E83EDD">
      <w:pPr>
        <w:pStyle w:val="ListParagraph"/>
        <w:numPr>
          <w:ilvl w:val="0"/>
          <w:numId w:val="32"/>
        </w:numPr>
        <w:spacing w:before="120" w:after="0" w:line="240" w:lineRule="auto"/>
        <w:ind w:left="567"/>
        <w:rPr>
          <w:rFonts w:ascii="Arial" w:hAnsi="Arial" w:cs="Arial"/>
          <w:sz w:val="14"/>
          <w:szCs w:val="14"/>
        </w:rPr>
      </w:pPr>
      <w:r w:rsidRPr="006F1D04">
        <w:rPr>
          <w:rFonts w:ascii="Arial" w:hAnsi="Arial" w:cs="Arial"/>
          <w:sz w:val="14"/>
          <w:szCs w:val="14"/>
        </w:rPr>
        <w:t xml:space="preserve"> Equates to an increase in exposure based on current PM</w:t>
      </w:r>
      <w:r w:rsidRPr="006F1D04">
        <w:rPr>
          <w:rFonts w:ascii="Arial" w:hAnsi="Arial" w:cs="Arial"/>
          <w:sz w:val="14"/>
          <w:szCs w:val="14"/>
          <w:vertAlign w:val="subscript"/>
        </w:rPr>
        <w:t>2.5</w:t>
      </w:r>
      <w:r w:rsidRPr="006F1D04">
        <w:rPr>
          <w:rFonts w:ascii="Arial" w:hAnsi="Arial" w:cs="Arial"/>
          <w:sz w:val="14"/>
          <w:szCs w:val="14"/>
        </w:rPr>
        <w:t xml:space="preserve"> concentrations because annual mean PM</w:t>
      </w:r>
      <w:r w:rsidRPr="006F1D04">
        <w:rPr>
          <w:rFonts w:ascii="Arial" w:hAnsi="Arial" w:cs="Arial"/>
          <w:sz w:val="14"/>
          <w:szCs w:val="14"/>
          <w:vertAlign w:val="subscript"/>
        </w:rPr>
        <w:t>2.5</w:t>
      </w:r>
      <w:r w:rsidRPr="006F1D04">
        <w:rPr>
          <w:rFonts w:ascii="Arial" w:hAnsi="Arial" w:cs="Arial"/>
          <w:sz w:val="14"/>
          <w:szCs w:val="14"/>
        </w:rPr>
        <w:t xml:space="preserve"> concentrations at most monitoring sites are currently lower than 8 </w:t>
      </w:r>
      <w:proofErr w:type="spellStart"/>
      <w:r w:rsidRPr="006F1D04">
        <w:rPr>
          <w:rFonts w:ascii="Arial" w:hAnsi="Arial" w:cs="Arial"/>
          <w:sz w:val="14"/>
          <w:szCs w:val="14"/>
        </w:rPr>
        <w:t>μg</w:t>
      </w:r>
      <w:proofErr w:type="spellEnd"/>
      <w:r w:rsidRPr="006F1D04">
        <w:rPr>
          <w:rFonts w:ascii="Arial" w:hAnsi="Arial" w:cs="Arial"/>
          <w:sz w:val="14"/>
          <w:szCs w:val="14"/>
        </w:rPr>
        <w:t>/m</w:t>
      </w:r>
      <w:r w:rsidRPr="006F1D04">
        <w:rPr>
          <w:rFonts w:ascii="Arial" w:hAnsi="Arial" w:cs="Arial"/>
          <w:sz w:val="14"/>
          <w:szCs w:val="14"/>
          <w:vertAlign w:val="superscript"/>
        </w:rPr>
        <w:t>3</w:t>
      </w:r>
      <w:r w:rsidRPr="006F1D04">
        <w:rPr>
          <w:rFonts w:ascii="Arial" w:hAnsi="Arial" w:cs="Arial"/>
          <w:sz w:val="14"/>
          <w:szCs w:val="14"/>
        </w:rPr>
        <w:t>.</w:t>
      </w:r>
    </w:p>
    <w:p w:rsidR="00966372" w:rsidRPr="006F1D04" w:rsidRDefault="00966372" w:rsidP="005360B4">
      <w:pPr>
        <w:pStyle w:val="ListParagraph"/>
        <w:spacing w:before="120" w:after="0" w:line="240" w:lineRule="auto"/>
        <w:ind w:left="207"/>
        <w:rPr>
          <w:rFonts w:ascii="Arial" w:hAnsi="Arial" w:cs="Arial"/>
          <w:sz w:val="14"/>
          <w:szCs w:val="14"/>
        </w:rPr>
      </w:pPr>
      <w:r w:rsidRPr="006F1D04">
        <w:rPr>
          <w:rFonts w:ascii="Arial" w:hAnsi="Arial" w:cs="Arial"/>
          <w:sz w:val="14"/>
          <w:szCs w:val="14"/>
        </w:rPr>
        <w:t xml:space="preserve"> </w:t>
      </w:r>
    </w:p>
    <w:p w:rsidR="008224B6" w:rsidRPr="006F1D04" w:rsidRDefault="008224B6" w:rsidP="0048798A">
      <w:pPr>
        <w:rPr>
          <w:rFonts w:ascii="Arial" w:hAnsi="Arial" w:cs="Arial"/>
          <w:sz w:val="20"/>
          <w:szCs w:val="20"/>
          <w:highlight w:val="yellow"/>
        </w:rPr>
      </w:pPr>
    </w:p>
    <w:p w:rsidR="008224B6" w:rsidRPr="006F1D04" w:rsidRDefault="008224B6" w:rsidP="0048798A">
      <w:pPr>
        <w:rPr>
          <w:rFonts w:ascii="Arial" w:hAnsi="Arial" w:cs="Arial"/>
          <w:sz w:val="20"/>
          <w:szCs w:val="20"/>
          <w:highlight w:val="yellow"/>
        </w:rPr>
        <w:sectPr w:rsidR="008224B6" w:rsidRPr="006F1D04" w:rsidSect="006A5626">
          <w:headerReference w:type="even" r:id="rId111"/>
          <w:headerReference w:type="default" r:id="rId112"/>
          <w:footerReference w:type="even" r:id="rId113"/>
          <w:footerReference w:type="default" r:id="rId114"/>
          <w:headerReference w:type="first" r:id="rId115"/>
          <w:pgSz w:w="16838" w:h="11906" w:orient="landscape" w:code="9"/>
          <w:pgMar w:top="1440" w:right="1440" w:bottom="1440" w:left="1440" w:header="284" w:footer="409" w:gutter="0"/>
          <w:cols w:space="255"/>
          <w:docGrid w:linePitch="360"/>
        </w:sectPr>
      </w:pPr>
    </w:p>
    <w:p w:rsidR="00F40168" w:rsidRPr="006F1D04" w:rsidRDefault="00F40168" w:rsidP="002E2699">
      <w:pPr>
        <w:spacing w:after="180"/>
        <w:rPr>
          <w:rFonts w:ascii="Arial" w:hAnsi="Arial" w:cs="Arial"/>
        </w:rPr>
      </w:pPr>
      <w:r w:rsidRPr="006F1D04">
        <w:rPr>
          <w:rFonts w:ascii="Arial" w:hAnsi="Arial" w:cs="Arial"/>
        </w:rPr>
        <w:lastRenderedPageBreak/>
        <w:t xml:space="preserve">No conclusions have been drawn in this </w:t>
      </w:r>
      <w:r w:rsidR="007856A0" w:rsidRPr="006F1D04">
        <w:rPr>
          <w:rFonts w:ascii="Arial" w:hAnsi="Arial"/>
        </w:rPr>
        <w:t>Impact Statement</w:t>
      </w:r>
      <w:r w:rsidRPr="006F1D04">
        <w:rPr>
          <w:rFonts w:ascii="Arial" w:hAnsi="Arial" w:cs="Arial"/>
        </w:rPr>
        <w:t xml:space="preserve"> on the form of the standard (e.g. whether a natural events rule or a percentile rule is applied) and, where appropriate, the number of allowed ex</w:t>
      </w:r>
      <w:r w:rsidR="002E2699" w:rsidRPr="006F1D04">
        <w:rPr>
          <w:rFonts w:ascii="Arial" w:hAnsi="Arial" w:cs="Arial"/>
        </w:rPr>
        <w:t>ceedance days.</w:t>
      </w:r>
    </w:p>
    <w:p w:rsidR="00F40168" w:rsidRPr="006F1D04" w:rsidRDefault="00F40168" w:rsidP="00F40168">
      <w:pPr>
        <w:rPr>
          <w:rFonts w:ascii="Arial" w:hAnsi="Arial" w:cs="Arial"/>
        </w:rPr>
      </w:pPr>
      <w:r w:rsidRPr="006F1D04">
        <w:rPr>
          <w:rFonts w:ascii="Arial" w:hAnsi="Arial" w:cs="Arial"/>
        </w:rPr>
        <w:t xml:space="preserve">It is likely that the </w:t>
      </w:r>
      <w:r w:rsidR="007856A0" w:rsidRPr="006F1D04">
        <w:rPr>
          <w:rFonts w:ascii="Arial" w:hAnsi="Arial" w:cs="Arial"/>
        </w:rPr>
        <w:t xml:space="preserve">stakeholders </w:t>
      </w:r>
      <w:r w:rsidRPr="006F1D04">
        <w:rPr>
          <w:rFonts w:ascii="Arial" w:hAnsi="Arial" w:cs="Arial"/>
        </w:rPr>
        <w:t>will want to identify local issues that affect these decisions, and therefore they have been left as considerations during the consultation phase.</w:t>
      </w:r>
    </w:p>
    <w:p w:rsidR="00E21370" w:rsidRPr="006F1D04" w:rsidRDefault="00E21370" w:rsidP="00E21370">
      <w:pPr>
        <w:spacing w:after="300"/>
        <w:rPr>
          <w:rFonts w:ascii="Arial" w:hAnsi="Arial" w:cs="Arial"/>
        </w:rPr>
      </w:pPr>
      <w:r w:rsidRPr="006F1D04">
        <w:rPr>
          <w:rFonts w:ascii="Arial" w:hAnsi="Arial" w:cs="Arial"/>
        </w:rPr>
        <w:t xml:space="preserve">The findings for the exposure-reduction options are also summarised in </w:t>
      </w:r>
      <w:fldSimple w:instr=" REF _Ref367633996 \h  \* MERGEFORMAT ">
        <w:r w:rsidR="0085182E" w:rsidRPr="0085182E">
          <w:rPr>
            <w:rFonts w:ascii="Arial" w:hAnsi="Arial" w:cs="Arial"/>
            <w:b/>
          </w:rPr>
          <w:t>Table 8.7</w:t>
        </w:r>
      </w:fldSimple>
      <w:r w:rsidRPr="006F1D04">
        <w:rPr>
          <w:rFonts w:ascii="Arial" w:hAnsi="Arial" w:cs="Arial"/>
        </w:rPr>
        <w:t>. Meeting the target of a 10% reduction in the annual mean PM</w:t>
      </w:r>
      <w:r w:rsidRPr="006F1D04">
        <w:rPr>
          <w:rFonts w:ascii="Arial" w:hAnsi="Arial" w:cs="Arial"/>
          <w:vertAlign w:val="subscript"/>
        </w:rPr>
        <w:t>2.5</w:t>
      </w:r>
      <w:r w:rsidRPr="006F1D04">
        <w:rPr>
          <w:rFonts w:ascii="Arial" w:hAnsi="Arial" w:cs="Arial"/>
        </w:rPr>
        <w:t xml:space="preserve"> concentration</w:t>
      </w:r>
      <w:r w:rsidRPr="006F1D04">
        <w:rPr>
          <w:rFonts w:ascii="Arial" w:hAnsi="Arial" w:cs="Arial"/>
          <w:sz w:val="24"/>
          <w:szCs w:val="24"/>
        </w:rPr>
        <w:t xml:space="preserve"> </w:t>
      </w:r>
      <w:r w:rsidRPr="006F1D04">
        <w:rPr>
          <w:rFonts w:ascii="Arial" w:hAnsi="Arial" w:cs="Arial"/>
        </w:rPr>
        <w:t>between 2015 and 2025 (sub-option ER1) is unlikely to be feasible in practice.</w:t>
      </w:r>
      <w:r w:rsidR="00C573DA" w:rsidRPr="006F1D04">
        <w:rPr>
          <w:rFonts w:ascii="Arial" w:hAnsi="Arial" w:cs="Arial"/>
        </w:rPr>
        <w:t xml:space="preserve"> </w:t>
      </w:r>
      <w:r w:rsidRPr="006F1D04">
        <w:rPr>
          <w:rFonts w:ascii="Arial" w:hAnsi="Arial" w:cs="Arial"/>
        </w:rPr>
        <w:t xml:space="preserve">The incorporation of option ER2 into the </w:t>
      </w:r>
      <w:r w:rsidR="00EF24F8" w:rsidRPr="006F1D04">
        <w:rPr>
          <w:rFonts w:ascii="Arial" w:hAnsi="Arial" w:cs="Arial"/>
        </w:rPr>
        <w:t>AAQ NEPM</w:t>
      </w:r>
      <w:r w:rsidRPr="006F1D04">
        <w:rPr>
          <w:rFonts w:ascii="Arial" w:hAnsi="Arial" w:cs="Arial"/>
        </w:rPr>
        <w:t xml:space="preserve"> </w:t>
      </w:r>
      <w:r w:rsidR="00FC1F67" w:rsidRPr="006F1D04">
        <w:rPr>
          <w:rFonts w:ascii="Arial" w:hAnsi="Arial" w:cs="Arial"/>
        </w:rPr>
        <w:t>should</w:t>
      </w:r>
      <w:r w:rsidRPr="006F1D04">
        <w:rPr>
          <w:rFonts w:ascii="Arial" w:hAnsi="Arial" w:cs="Arial"/>
        </w:rPr>
        <w:t xml:space="preserve"> be considered. This would involve the development of an exposure index for PM</w:t>
      </w:r>
      <w:r w:rsidRPr="006F1D04">
        <w:rPr>
          <w:rFonts w:ascii="Arial" w:hAnsi="Arial" w:cs="Arial"/>
          <w:vertAlign w:val="subscript"/>
        </w:rPr>
        <w:t>2.5</w:t>
      </w:r>
      <w:r w:rsidRPr="006F1D04">
        <w:rPr>
          <w:rFonts w:ascii="Arial" w:hAnsi="Arial" w:cs="Arial"/>
        </w:rPr>
        <w:t xml:space="preserve"> for assessing progress, but without a formal target. It would involve little additional cost to the jurisdictions.</w:t>
      </w:r>
    </w:p>
    <w:p w:rsidR="001D783D" w:rsidRPr="006F1D04" w:rsidRDefault="001D783D" w:rsidP="00DA10B2">
      <w:pPr>
        <w:pStyle w:val="Heading2"/>
        <w:rPr>
          <w:rFonts w:ascii="Arial" w:hAnsi="Arial"/>
        </w:rPr>
      </w:pPr>
      <w:bookmarkStart w:id="186" w:name="_Toc394011152"/>
      <w:r w:rsidRPr="006F1D04">
        <w:rPr>
          <w:rFonts w:ascii="Arial" w:hAnsi="Arial"/>
        </w:rPr>
        <w:t>Other considerations</w:t>
      </w:r>
      <w:bookmarkEnd w:id="186"/>
    </w:p>
    <w:p w:rsidR="005116DD" w:rsidRPr="006F1D04" w:rsidRDefault="005116DD" w:rsidP="001D783D">
      <w:pPr>
        <w:pStyle w:val="Heading3"/>
        <w:rPr>
          <w:rFonts w:ascii="Arial" w:hAnsi="Arial"/>
        </w:rPr>
      </w:pPr>
      <w:bookmarkStart w:id="187" w:name="_Toc394011153"/>
      <w:r w:rsidRPr="006F1D04">
        <w:rPr>
          <w:rFonts w:ascii="Arial" w:hAnsi="Arial"/>
        </w:rPr>
        <w:t>Resourcing</w:t>
      </w:r>
      <w:r w:rsidR="00112CBB" w:rsidRPr="006F1D04">
        <w:rPr>
          <w:rFonts w:ascii="Arial" w:hAnsi="Arial"/>
        </w:rPr>
        <w:t xml:space="preserve"> implications for jurisdictions</w:t>
      </w:r>
      <w:bookmarkEnd w:id="187"/>
    </w:p>
    <w:p w:rsidR="007856A0" w:rsidRPr="006F1D04" w:rsidRDefault="007856A0" w:rsidP="007856A0">
      <w:pPr>
        <w:rPr>
          <w:rFonts w:ascii="Arial" w:hAnsi="Arial" w:cs="Arial"/>
        </w:rPr>
      </w:pPr>
      <w:r w:rsidRPr="006F1D04">
        <w:rPr>
          <w:rFonts w:ascii="Arial" w:hAnsi="Arial" w:cs="Arial"/>
        </w:rPr>
        <w:t>The resourcing obligations imposed on the jurisdictions by varying the AAQ NEPM PM standards predominantly relate to monitoring and reporting requirements (as currently exist).</w:t>
      </w:r>
    </w:p>
    <w:p w:rsidR="00BD72FB" w:rsidRPr="006F1D04" w:rsidRDefault="007856A0" w:rsidP="007856A0">
      <w:pPr>
        <w:rPr>
          <w:rFonts w:ascii="Arial" w:hAnsi="Arial" w:cs="Arial"/>
        </w:rPr>
      </w:pPr>
      <w:r w:rsidRPr="006F1D04">
        <w:rPr>
          <w:rFonts w:ascii="Arial" w:hAnsi="Arial" w:cs="Arial"/>
        </w:rPr>
        <w:t>Monitoring and reporting costs are currently being incurred by jurisdictions and would not be expected to change simply by changing the numerical value of the standards, except perhaps if an annual average PM</w:t>
      </w:r>
      <w:r w:rsidRPr="006F1D04">
        <w:rPr>
          <w:rFonts w:ascii="Arial" w:hAnsi="Arial" w:cs="Arial"/>
          <w:vertAlign w:val="subscript"/>
        </w:rPr>
        <w:t>10</w:t>
      </w:r>
      <w:r w:rsidRPr="006F1D04">
        <w:rPr>
          <w:rFonts w:ascii="Arial" w:hAnsi="Arial" w:cs="Arial"/>
        </w:rPr>
        <w:t xml:space="preserve"> standard is introduced. As PM</w:t>
      </w:r>
      <w:r w:rsidRPr="006F1D04">
        <w:rPr>
          <w:rFonts w:ascii="Arial" w:hAnsi="Arial" w:cs="Arial"/>
          <w:vertAlign w:val="subscript"/>
        </w:rPr>
        <w:t>10</w:t>
      </w:r>
      <w:r w:rsidRPr="006F1D04">
        <w:rPr>
          <w:rFonts w:ascii="Arial" w:hAnsi="Arial" w:cs="Arial"/>
        </w:rPr>
        <w:t xml:space="preserve"> is already being measured under the AAQ NEPM, any such increase should be </w:t>
      </w:r>
      <w:r w:rsidR="00AD2368" w:rsidRPr="006F1D04">
        <w:rPr>
          <w:rFonts w:ascii="Arial" w:hAnsi="Arial" w:cs="Arial"/>
        </w:rPr>
        <w:t>manageable</w:t>
      </w:r>
      <w:r w:rsidRPr="006F1D04">
        <w:rPr>
          <w:rFonts w:ascii="Arial" w:hAnsi="Arial" w:cs="Arial"/>
        </w:rPr>
        <w:t>. An expansion of the PM</w:t>
      </w:r>
      <w:r w:rsidRPr="006F1D04">
        <w:rPr>
          <w:rFonts w:ascii="Arial" w:hAnsi="Arial" w:cs="Arial"/>
          <w:vertAlign w:val="subscript"/>
        </w:rPr>
        <w:t>2.5</w:t>
      </w:r>
      <w:r w:rsidRPr="006F1D04">
        <w:rPr>
          <w:rFonts w:ascii="Arial" w:hAnsi="Arial" w:cs="Arial"/>
        </w:rPr>
        <w:t xml:space="preserve"> monitoring network, commensurate with adoption of formal standards should these be introduced, would be expected over time.</w:t>
      </w:r>
    </w:p>
    <w:p w:rsidR="007856A0" w:rsidRPr="006F1D04" w:rsidRDefault="007856A0" w:rsidP="007856A0">
      <w:pPr>
        <w:rPr>
          <w:rFonts w:ascii="Arial" w:hAnsi="Arial" w:cs="Arial"/>
        </w:rPr>
      </w:pPr>
      <w:r w:rsidRPr="006F1D04">
        <w:rPr>
          <w:rFonts w:ascii="Arial" w:hAnsi="Arial" w:cs="Arial"/>
        </w:rPr>
        <w:t>Costs associated with the phase-in of PM</w:t>
      </w:r>
      <w:r w:rsidRPr="006F1D04">
        <w:rPr>
          <w:rFonts w:ascii="Arial" w:hAnsi="Arial" w:cs="Arial"/>
          <w:vertAlign w:val="subscript"/>
        </w:rPr>
        <w:t>2.5</w:t>
      </w:r>
      <w:r w:rsidRPr="006F1D04">
        <w:rPr>
          <w:rFonts w:ascii="Arial" w:hAnsi="Arial" w:cs="Arial"/>
        </w:rPr>
        <w:t xml:space="preserve"> instrumentation, where it currently do</w:t>
      </w:r>
      <w:r w:rsidR="00CE017F">
        <w:rPr>
          <w:rFonts w:ascii="Arial" w:hAnsi="Arial" w:cs="Arial"/>
        </w:rPr>
        <w:t>es</w:t>
      </w:r>
      <w:r w:rsidRPr="006F1D04">
        <w:rPr>
          <w:rFonts w:ascii="Arial" w:hAnsi="Arial" w:cs="Arial"/>
        </w:rPr>
        <w:t xml:space="preserve">n’t exist, would be </w:t>
      </w:r>
      <w:r w:rsidR="00BD72FB" w:rsidRPr="006F1D04">
        <w:rPr>
          <w:rFonts w:ascii="Arial" w:hAnsi="Arial" w:cs="Arial"/>
        </w:rPr>
        <w:t xml:space="preserve">staged </w:t>
      </w:r>
      <w:r w:rsidRPr="006F1D04">
        <w:rPr>
          <w:rFonts w:ascii="Arial" w:hAnsi="Arial" w:cs="Arial"/>
        </w:rPr>
        <w:t>with planned instrument upgrades</w:t>
      </w:r>
      <w:r w:rsidR="00AD2368" w:rsidRPr="006F1D04">
        <w:rPr>
          <w:rFonts w:ascii="Arial" w:hAnsi="Arial" w:cs="Arial"/>
        </w:rPr>
        <w:t>,</w:t>
      </w:r>
      <w:r w:rsidRPr="006F1D04">
        <w:rPr>
          <w:rFonts w:ascii="Arial" w:hAnsi="Arial" w:cs="Arial"/>
        </w:rPr>
        <w:t xml:space="preserve"> </w:t>
      </w:r>
      <w:r w:rsidR="00AD2368" w:rsidRPr="006F1D04">
        <w:rPr>
          <w:rFonts w:ascii="Arial" w:hAnsi="Arial" w:cs="Arial"/>
        </w:rPr>
        <w:t xml:space="preserve">refurbishments and </w:t>
      </w:r>
      <w:r w:rsidRPr="006F1D04">
        <w:rPr>
          <w:rFonts w:ascii="Arial" w:hAnsi="Arial" w:cs="Arial"/>
        </w:rPr>
        <w:t xml:space="preserve">site </w:t>
      </w:r>
      <w:r w:rsidR="00D7103E" w:rsidRPr="006F1D04">
        <w:rPr>
          <w:rFonts w:ascii="Arial" w:hAnsi="Arial" w:cs="Arial"/>
        </w:rPr>
        <w:t>establishment</w:t>
      </w:r>
      <w:r w:rsidRPr="006F1D04">
        <w:rPr>
          <w:rFonts w:ascii="Arial" w:hAnsi="Arial" w:cs="Arial"/>
        </w:rPr>
        <w:t>.</w:t>
      </w:r>
    </w:p>
    <w:p w:rsidR="001B7F64" w:rsidRPr="006F1D04" w:rsidRDefault="001D783D" w:rsidP="00CE3683">
      <w:pPr>
        <w:spacing w:after="360"/>
        <w:rPr>
          <w:rFonts w:ascii="Arial" w:hAnsi="Arial" w:cs="Arial"/>
        </w:rPr>
      </w:pPr>
      <w:r w:rsidRPr="006F1D04">
        <w:rPr>
          <w:rFonts w:ascii="Arial" w:hAnsi="Arial" w:cs="Arial"/>
        </w:rPr>
        <w:t>T</w:t>
      </w:r>
      <w:r w:rsidR="001B7F64" w:rsidRPr="006F1D04">
        <w:rPr>
          <w:rFonts w:ascii="Arial" w:hAnsi="Arial" w:cs="Arial"/>
        </w:rPr>
        <w:t>he establishment and management</w:t>
      </w:r>
      <w:r w:rsidRPr="006F1D04">
        <w:rPr>
          <w:rFonts w:ascii="Arial" w:hAnsi="Arial" w:cs="Arial"/>
        </w:rPr>
        <w:t xml:space="preserve"> of a</w:t>
      </w:r>
      <w:r w:rsidR="00112CBB" w:rsidRPr="006F1D04">
        <w:rPr>
          <w:rFonts w:ascii="Arial" w:hAnsi="Arial" w:cs="Arial"/>
        </w:rPr>
        <w:t>n exposure-re</w:t>
      </w:r>
      <w:r w:rsidRPr="006F1D04">
        <w:rPr>
          <w:rFonts w:ascii="Arial" w:hAnsi="Arial" w:cs="Arial"/>
        </w:rPr>
        <w:t xml:space="preserve">duction framework </w:t>
      </w:r>
      <w:r w:rsidR="001B7F64" w:rsidRPr="006F1D04">
        <w:rPr>
          <w:rFonts w:ascii="Arial" w:hAnsi="Arial" w:cs="Arial"/>
        </w:rPr>
        <w:t xml:space="preserve">according to the options defined in </w:t>
      </w:r>
      <w:r w:rsidR="001B7F64" w:rsidRPr="006F1D04">
        <w:rPr>
          <w:rFonts w:ascii="Arial" w:hAnsi="Arial" w:cs="Arial"/>
          <w:b/>
        </w:rPr>
        <w:t>Chapter 7</w:t>
      </w:r>
      <w:r w:rsidR="001B7F64" w:rsidRPr="006F1D04">
        <w:rPr>
          <w:rFonts w:ascii="Arial" w:hAnsi="Arial" w:cs="Arial"/>
        </w:rPr>
        <w:t xml:space="preserve"> </w:t>
      </w:r>
      <w:r w:rsidRPr="006F1D04">
        <w:rPr>
          <w:rFonts w:ascii="Arial" w:hAnsi="Arial" w:cs="Arial"/>
        </w:rPr>
        <w:t xml:space="preserve">would entail </w:t>
      </w:r>
      <w:r w:rsidR="00AE0248" w:rsidRPr="006F1D04">
        <w:rPr>
          <w:rFonts w:ascii="Arial" w:hAnsi="Arial" w:cs="Arial"/>
        </w:rPr>
        <w:t>little or</w:t>
      </w:r>
      <w:r w:rsidR="00C74851" w:rsidRPr="006F1D04">
        <w:rPr>
          <w:rFonts w:ascii="Arial" w:hAnsi="Arial" w:cs="Arial"/>
        </w:rPr>
        <w:t xml:space="preserve"> no </w:t>
      </w:r>
      <w:r w:rsidR="00AE0248" w:rsidRPr="006F1D04">
        <w:rPr>
          <w:rFonts w:ascii="Arial" w:hAnsi="Arial" w:cs="Arial"/>
        </w:rPr>
        <w:t>extra cost</w:t>
      </w:r>
      <w:r w:rsidR="00482841" w:rsidRPr="006F1D04">
        <w:rPr>
          <w:rFonts w:ascii="Arial" w:hAnsi="Arial" w:cs="Arial"/>
        </w:rPr>
        <w:t>.</w:t>
      </w:r>
      <w:r w:rsidR="001B7F64" w:rsidRPr="006F1D04">
        <w:rPr>
          <w:rFonts w:ascii="Arial" w:hAnsi="Arial" w:cs="Arial"/>
        </w:rPr>
        <w:t xml:space="preserve"> Should the jurisdictions cho</w:t>
      </w:r>
      <w:r w:rsidR="008441E4" w:rsidRPr="006F1D04">
        <w:rPr>
          <w:rFonts w:ascii="Arial" w:hAnsi="Arial" w:cs="Arial"/>
        </w:rPr>
        <w:t>o</w:t>
      </w:r>
      <w:r w:rsidR="001B7F64" w:rsidRPr="006F1D04">
        <w:rPr>
          <w:rFonts w:ascii="Arial" w:hAnsi="Arial" w:cs="Arial"/>
        </w:rPr>
        <w:t>se to assess population exposure in detail</w:t>
      </w:r>
      <w:r w:rsidR="00AD22C5" w:rsidRPr="006F1D04">
        <w:rPr>
          <w:rFonts w:ascii="Arial" w:hAnsi="Arial" w:cs="Arial"/>
        </w:rPr>
        <w:t xml:space="preserve"> through an EU</w:t>
      </w:r>
      <w:r w:rsidR="00AE0248" w:rsidRPr="006F1D04">
        <w:rPr>
          <w:rFonts w:ascii="Arial" w:hAnsi="Arial" w:cs="Arial"/>
        </w:rPr>
        <w:t>-</w:t>
      </w:r>
      <w:r w:rsidR="00AD22C5" w:rsidRPr="006F1D04">
        <w:rPr>
          <w:rFonts w:ascii="Arial" w:hAnsi="Arial" w:cs="Arial"/>
        </w:rPr>
        <w:t>style exposure</w:t>
      </w:r>
      <w:r w:rsidR="00AE0248" w:rsidRPr="006F1D04">
        <w:rPr>
          <w:rFonts w:ascii="Arial" w:hAnsi="Arial" w:cs="Arial"/>
        </w:rPr>
        <w:t>-</w:t>
      </w:r>
      <w:r w:rsidR="00AD22C5" w:rsidRPr="006F1D04">
        <w:rPr>
          <w:rFonts w:ascii="Arial" w:hAnsi="Arial" w:cs="Arial"/>
        </w:rPr>
        <w:t>reduction system</w:t>
      </w:r>
      <w:r w:rsidR="001B7F64" w:rsidRPr="006F1D04">
        <w:rPr>
          <w:rFonts w:ascii="Arial" w:hAnsi="Arial" w:cs="Arial"/>
        </w:rPr>
        <w:t xml:space="preserve">, then the costs associated with setting up </w:t>
      </w:r>
      <w:r w:rsidR="00B44448" w:rsidRPr="006F1D04">
        <w:rPr>
          <w:rFonts w:ascii="Arial" w:hAnsi="Arial" w:cs="Arial"/>
        </w:rPr>
        <w:t xml:space="preserve">emissions </w:t>
      </w:r>
      <w:r w:rsidR="001B7F64" w:rsidRPr="006F1D04">
        <w:rPr>
          <w:rFonts w:ascii="Arial" w:hAnsi="Arial" w:cs="Arial"/>
        </w:rPr>
        <w:t>inventories, regional dispersion models and additional monitoring stations would become significant.</w:t>
      </w:r>
    </w:p>
    <w:p w:rsidR="00112CBB" w:rsidRPr="006F1D04" w:rsidRDefault="00112CBB" w:rsidP="001D783D">
      <w:pPr>
        <w:pStyle w:val="Heading3"/>
        <w:rPr>
          <w:rFonts w:ascii="Arial" w:hAnsi="Arial"/>
          <w:lang w:eastAsia="en-US"/>
        </w:rPr>
      </w:pPr>
      <w:bookmarkStart w:id="188" w:name="_Toc394011154"/>
      <w:r w:rsidRPr="006F1D04">
        <w:rPr>
          <w:rFonts w:ascii="Arial" w:hAnsi="Arial"/>
          <w:lang w:eastAsia="en-US"/>
        </w:rPr>
        <w:t>Costs to industry and business</w:t>
      </w:r>
      <w:bookmarkEnd w:id="188"/>
    </w:p>
    <w:p w:rsidR="00BD72FB" w:rsidRPr="006F1D04" w:rsidRDefault="00BD72FB" w:rsidP="00BD72FB">
      <w:pPr>
        <w:rPr>
          <w:rFonts w:ascii="Arial" w:hAnsi="Arial" w:cs="Arial"/>
        </w:rPr>
      </w:pPr>
      <w:r w:rsidRPr="006F1D04">
        <w:rPr>
          <w:rFonts w:ascii="Arial" w:hAnsi="Arial" w:cs="Arial"/>
        </w:rPr>
        <w:t xml:space="preserve">Options for tighter AAQ NEPM monitoring and reporting standards for ambient particle emissions are presented. </w:t>
      </w:r>
    </w:p>
    <w:p w:rsidR="00BD72FB" w:rsidRPr="006F1D04" w:rsidRDefault="00BD72FB" w:rsidP="00BD72FB">
      <w:pPr>
        <w:rPr>
          <w:rFonts w:ascii="Arial" w:hAnsi="Arial" w:cs="Arial"/>
        </w:rPr>
      </w:pPr>
      <w:r w:rsidRPr="006F1D04">
        <w:rPr>
          <w:rFonts w:ascii="Arial" w:hAnsi="Arial" w:cs="Arial"/>
        </w:rPr>
        <w:t>The AAQ NEPM itself does not compel or direct pollution control measures. The application of AAQ NEPM standards is at the discretion of individual jurisdictions, and subject to jurisdiction’s review processes.</w:t>
      </w:r>
    </w:p>
    <w:p w:rsidR="00BD72FB" w:rsidRPr="006F1D04" w:rsidRDefault="00BD72FB" w:rsidP="00BD72FB">
      <w:pPr>
        <w:rPr>
          <w:rFonts w:ascii="Arial" w:hAnsi="Arial" w:cs="Arial"/>
        </w:rPr>
      </w:pPr>
      <w:r w:rsidRPr="006F1D04">
        <w:rPr>
          <w:rFonts w:ascii="Arial" w:hAnsi="Arial" w:cs="Arial"/>
        </w:rPr>
        <w:t>Direct costs associated with the AAQ NEPM standards relate to monitoring and reporting levels of air pollution.</w:t>
      </w:r>
    </w:p>
    <w:p w:rsidR="00BD72FB" w:rsidRPr="006F1D04" w:rsidRDefault="00BD72FB" w:rsidP="00BD72FB">
      <w:pPr>
        <w:rPr>
          <w:rFonts w:ascii="Arial" w:hAnsi="Arial" w:cs="Arial"/>
        </w:rPr>
      </w:pPr>
      <w:r w:rsidRPr="006F1D04">
        <w:rPr>
          <w:rFonts w:ascii="Arial" w:hAnsi="Arial" w:cs="Arial"/>
        </w:rPr>
        <w:t>Meeting proposed monitoring and reporting standards for particles would result in significantly improved net economic benefits compared to current standards in terms of improved health outcomes. The proposals include a number of options.</w:t>
      </w:r>
    </w:p>
    <w:p w:rsidR="00BD72FB" w:rsidRPr="006F1D04" w:rsidRDefault="00BD72FB" w:rsidP="00BD72FB">
      <w:pPr>
        <w:rPr>
          <w:rFonts w:ascii="Arial" w:hAnsi="Arial" w:cs="Arial"/>
        </w:rPr>
      </w:pPr>
      <w:r w:rsidRPr="006F1D04">
        <w:rPr>
          <w:rFonts w:ascii="Arial" w:hAnsi="Arial" w:cs="Arial"/>
        </w:rPr>
        <w:t>If the tightest annual PM</w:t>
      </w:r>
      <w:r w:rsidRPr="006F1D04">
        <w:rPr>
          <w:rFonts w:ascii="Arial" w:hAnsi="Arial" w:cs="Arial"/>
          <w:vertAlign w:val="subscript"/>
        </w:rPr>
        <w:t>10</w:t>
      </w:r>
      <w:r w:rsidRPr="006F1D04">
        <w:rPr>
          <w:rFonts w:ascii="Arial" w:hAnsi="Arial" w:cs="Arial"/>
        </w:rPr>
        <w:t xml:space="preserve"> option were supported in the consultation process, this could have implications for the way jurisdictions choose to manage future </w:t>
      </w:r>
      <w:r w:rsidR="001214EA">
        <w:rPr>
          <w:rFonts w:ascii="Arial" w:hAnsi="Arial" w:cs="Arial"/>
        </w:rPr>
        <w:t xml:space="preserve">licence </w:t>
      </w:r>
      <w:r w:rsidRPr="006F1D04">
        <w:rPr>
          <w:rFonts w:ascii="Arial" w:hAnsi="Arial" w:cs="Arial"/>
        </w:rPr>
        <w:t>conditions for some industries.</w:t>
      </w:r>
    </w:p>
    <w:p w:rsidR="00557FE2" w:rsidRPr="006F1D04" w:rsidRDefault="00557FE2" w:rsidP="00557FE2">
      <w:pPr>
        <w:pStyle w:val="Heading3"/>
        <w:numPr>
          <w:ilvl w:val="2"/>
          <w:numId w:val="2"/>
        </w:numPr>
        <w:tabs>
          <w:tab w:val="clear" w:pos="1430"/>
          <w:tab w:val="num" w:pos="709"/>
        </w:tabs>
        <w:ind w:left="709" w:hanging="709"/>
        <w:rPr>
          <w:rFonts w:ascii="Arial" w:hAnsi="Arial"/>
        </w:rPr>
      </w:pPr>
      <w:bookmarkStart w:id="189" w:name="_Toc369875169"/>
      <w:bookmarkStart w:id="190" w:name="_Toc394011155"/>
      <w:r w:rsidRPr="006F1D04">
        <w:rPr>
          <w:rFonts w:ascii="Arial" w:hAnsi="Arial"/>
        </w:rPr>
        <w:t>Social impacts</w:t>
      </w:r>
      <w:bookmarkEnd w:id="189"/>
      <w:bookmarkEnd w:id="190"/>
    </w:p>
    <w:p w:rsidR="00BD72FB" w:rsidRPr="006F1D04" w:rsidRDefault="00BD72FB" w:rsidP="00BD72FB">
      <w:pPr>
        <w:rPr>
          <w:rFonts w:ascii="Arial" w:hAnsi="Arial" w:cs="Arial"/>
        </w:rPr>
      </w:pPr>
      <w:r w:rsidRPr="006F1D04">
        <w:rPr>
          <w:rFonts w:ascii="Arial" w:hAnsi="Arial" w:cs="Arial"/>
        </w:rPr>
        <w:t>The AAQ NEPM aims to guide policy formulation for the adequate protection of human health and wellbeing. The AAQ NEPM itself does not compel or direct pollution control measures accordingly there are no direct social impacts associated with the variation.</w:t>
      </w:r>
    </w:p>
    <w:p w:rsidR="00BD72FB" w:rsidRPr="006F1D04" w:rsidRDefault="00BD72FB" w:rsidP="00BD72FB">
      <w:pPr>
        <w:rPr>
          <w:rFonts w:ascii="Arial" w:hAnsi="Arial" w:cs="Arial"/>
        </w:rPr>
        <w:sectPr w:rsidR="00BD72FB" w:rsidRPr="006F1D04" w:rsidSect="006A5626">
          <w:headerReference w:type="even" r:id="rId116"/>
          <w:headerReference w:type="default" r:id="rId117"/>
          <w:footerReference w:type="default" r:id="rId118"/>
          <w:headerReference w:type="first" r:id="rId119"/>
          <w:pgSz w:w="11906" w:h="16838" w:code="9"/>
          <w:pgMar w:top="1440" w:right="1440" w:bottom="1440" w:left="1440" w:header="284" w:footer="244" w:gutter="0"/>
          <w:cols w:space="255"/>
          <w:docGrid w:linePitch="360"/>
        </w:sectPr>
      </w:pPr>
      <w:r w:rsidRPr="006F1D04">
        <w:rPr>
          <w:rFonts w:ascii="Arial" w:hAnsi="Arial" w:cs="Arial"/>
        </w:rPr>
        <w:t>The application of AAQ NEPM standards is at the discretion of individual jurisdictions, and subject to jurisdiction’s review processes. Meeting proposed monitoring and reporting standards for particles would result in significantly improved net economic benefits compared to current standards in terms of improved health outcomes.</w:t>
      </w:r>
    </w:p>
    <w:p w:rsidR="00BD72FB" w:rsidRPr="006574FD" w:rsidRDefault="00BD72FB" w:rsidP="00557FE2">
      <w:pPr>
        <w:spacing w:after="360"/>
        <w:rPr>
          <w:rFonts w:ascii="Arial" w:hAnsi="Arial" w:cs="Arial"/>
          <w:i/>
        </w:rPr>
      </w:pPr>
    </w:p>
    <w:p w:rsidR="00583B8B" w:rsidRPr="006574FD" w:rsidRDefault="00BF6019" w:rsidP="00583B8B">
      <w:pPr>
        <w:spacing w:after="360"/>
        <w:rPr>
          <w:rFonts w:ascii="Arial" w:hAnsi="Arial" w:cs="Arial"/>
          <w:i/>
          <w:color w:val="FF0000"/>
        </w:rPr>
      </w:pPr>
      <w:r>
        <w:rPr>
          <w:rFonts w:ascii="Arial" w:hAnsi="Arial" w:cs="Arial"/>
          <w:i/>
          <w:noProof/>
          <w:color w:val="FF0000"/>
        </w:rPr>
      </w:r>
      <w:r>
        <w:rPr>
          <w:rFonts w:ascii="Arial" w:hAnsi="Arial" w:cs="Arial"/>
          <w:i/>
          <w:noProof/>
          <w:color w:val="FF0000"/>
        </w:rPr>
        <w:pict>
          <v:shape id="AutoShape 36" o:spid="_x0000_s1029" type="#_x0000_t176" style="width:422.7pt;height:38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" fillcolor="#b8cce4" strokecolor="#4f81bd" strokeweight="2.5pt">
            <v:fill opacity="13107f"/>
            <v:shadow color="#868686"/>
            <v:textbox>
              <w:txbxContent>
                <w:p w:rsidR="0085182E" w:rsidRPr="0053199F" w:rsidRDefault="0085182E" w:rsidP="00E21370">
                  <w:pPr>
                    <w:jc w:val="center"/>
                    <w:rPr>
                      <w:b/>
                      <w:color w:val="0070C0"/>
                      <w:sz w:val="24"/>
                      <w:szCs w:val="24"/>
                    </w:rPr>
                  </w:pPr>
                  <w:r w:rsidRPr="0053199F">
                    <w:rPr>
                      <w:b/>
                      <w:color w:val="0070C0"/>
                      <w:sz w:val="24"/>
                      <w:szCs w:val="24"/>
                    </w:rPr>
                    <w:t>Key points from Chapter 8</w:t>
                  </w:r>
                </w:p>
                <w:p w:rsidR="0085182E" w:rsidRPr="00E21370" w:rsidRDefault="0085182E" w:rsidP="00003665">
                  <w:pPr>
                    <w:pStyle w:val="BulletArrows"/>
                    <w:numPr>
                      <w:ilvl w:val="0"/>
                      <w:numId w:val="127"/>
                    </w:numPr>
                    <w:spacing w:after="160"/>
                    <w:rPr>
                      <w:color w:val="auto"/>
                      <w:szCs w:val="18"/>
                    </w:rPr>
                  </w:pPr>
                  <w:r>
                    <w:rPr>
                      <w:color w:val="auto"/>
                      <w:szCs w:val="18"/>
                    </w:rPr>
                    <w:t>I</w:t>
                  </w:r>
                  <w:r w:rsidRPr="00E21370">
                    <w:rPr>
                      <w:color w:val="auto"/>
                      <w:szCs w:val="18"/>
                    </w:rPr>
                    <w:t>t would be advisable to include an annual mean standard for PM</w:t>
                  </w:r>
                  <w:r w:rsidRPr="00E21370">
                    <w:rPr>
                      <w:color w:val="auto"/>
                      <w:szCs w:val="18"/>
                      <w:vertAlign w:val="subscript"/>
                    </w:rPr>
                    <w:t>10</w:t>
                  </w:r>
                  <w:r w:rsidRPr="00E21370">
                    <w:rPr>
                      <w:color w:val="auto"/>
                      <w:szCs w:val="18"/>
                    </w:rPr>
                    <w:t xml:space="preserve"> in the AAQ NEPM. </w:t>
                  </w:r>
                  <w:r>
                    <w:rPr>
                      <w:color w:val="auto"/>
                      <w:szCs w:val="18"/>
                    </w:rPr>
                    <w:t xml:space="preserve">The </w:t>
                  </w:r>
                  <w:r w:rsidRPr="00E21370">
                    <w:rPr>
                      <w:color w:val="auto"/>
                      <w:szCs w:val="18"/>
                    </w:rPr>
                    <w:t xml:space="preserve">monitoring data and the future projections from the Economic Analysis indicate that a value for the standard of 20 </w:t>
                  </w:r>
                  <w:proofErr w:type="spellStart"/>
                  <w:r w:rsidRPr="00E21370">
                    <w:rPr>
                      <w:color w:val="auto"/>
                      <w:szCs w:val="18"/>
                    </w:rPr>
                    <w:t>μg</w:t>
                  </w:r>
                  <w:proofErr w:type="spellEnd"/>
                  <w:r w:rsidRPr="00E21370">
                    <w:rPr>
                      <w:color w:val="auto"/>
                      <w:szCs w:val="18"/>
                    </w:rPr>
                    <w:t>/m</w:t>
                  </w:r>
                  <w:r w:rsidRPr="00E21370">
                    <w:rPr>
                      <w:color w:val="auto"/>
                      <w:szCs w:val="18"/>
                      <w:vertAlign w:val="superscript"/>
                    </w:rPr>
                    <w:t>3</w:t>
                  </w:r>
                  <w:r w:rsidRPr="00E21370">
                    <w:rPr>
                      <w:color w:val="auto"/>
                      <w:szCs w:val="18"/>
                    </w:rPr>
                    <w:t xml:space="preserve"> would be</w:t>
                  </w:r>
                  <w:r>
                    <w:rPr>
                      <w:color w:val="auto"/>
                      <w:szCs w:val="18"/>
                    </w:rPr>
                    <w:t xml:space="preserve"> achievable and economic</w:t>
                  </w:r>
                  <w:r w:rsidRPr="00E21370">
                    <w:rPr>
                      <w:color w:val="auto"/>
                      <w:szCs w:val="18"/>
                    </w:rPr>
                    <w:t>.</w:t>
                  </w:r>
                </w:p>
                <w:p w:rsidR="0085182E" w:rsidRPr="00E21370" w:rsidRDefault="0085182E" w:rsidP="00003665">
                  <w:pPr>
                    <w:pStyle w:val="BulletArrows"/>
                    <w:numPr>
                      <w:ilvl w:val="0"/>
                      <w:numId w:val="127"/>
                    </w:numPr>
                    <w:spacing w:after="160"/>
                    <w:rPr>
                      <w:color w:val="auto"/>
                      <w:szCs w:val="18"/>
                    </w:rPr>
                  </w:pPr>
                  <w:r w:rsidRPr="00E21370">
                    <w:rPr>
                      <w:color w:val="auto"/>
                      <w:szCs w:val="18"/>
                    </w:rPr>
                    <w:t>The PM</w:t>
                  </w:r>
                  <w:r w:rsidRPr="00E21370">
                    <w:rPr>
                      <w:color w:val="auto"/>
                      <w:szCs w:val="18"/>
                      <w:vertAlign w:val="subscript"/>
                    </w:rPr>
                    <w:t>10</w:t>
                  </w:r>
                  <w:r w:rsidRPr="00E21370">
                    <w:rPr>
                      <w:color w:val="auto"/>
                      <w:szCs w:val="18"/>
                    </w:rPr>
                    <w:t xml:space="preserve"> monitoring data and the Economic Analysis indicate that a tightening of the 24-hour standard for PM</w:t>
                  </w:r>
                  <w:r w:rsidRPr="00E21370">
                    <w:rPr>
                      <w:color w:val="auto"/>
                      <w:szCs w:val="18"/>
                      <w:vertAlign w:val="subscript"/>
                    </w:rPr>
                    <w:t>10</w:t>
                  </w:r>
                  <w:r w:rsidRPr="00E21370">
                    <w:rPr>
                      <w:color w:val="auto"/>
                      <w:szCs w:val="18"/>
                    </w:rPr>
                    <w:t xml:space="preserve"> (currently</w:t>
                  </w:r>
                  <w:r>
                    <w:rPr>
                      <w:color w:val="auto"/>
                      <w:szCs w:val="18"/>
                    </w:rPr>
                    <w:t xml:space="preserve"> </w:t>
                  </w:r>
                  <w:r w:rsidRPr="00E21370">
                    <w:rPr>
                      <w:color w:val="auto"/>
                      <w:szCs w:val="18"/>
                    </w:rPr>
                    <w:t xml:space="preserve">50 </w:t>
                  </w:r>
                  <w:proofErr w:type="spellStart"/>
                  <w:r w:rsidRPr="00E21370">
                    <w:rPr>
                      <w:color w:val="auto"/>
                      <w:szCs w:val="18"/>
                    </w:rPr>
                    <w:t>μg</w:t>
                  </w:r>
                  <w:proofErr w:type="spellEnd"/>
                  <w:r w:rsidRPr="00E21370">
                    <w:rPr>
                      <w:color w:val="auto"/>
                      <w:szCs w:val="18"/>
                    </w:rPr>
                    <w:t>/m</w:t>
                  </w:r>
                  <w:r w:rsidRPr="00E21370">
                    <w:rPr>
                      <w:color w:val="auto"/>
                      <w:szCs w:val="18"/>
                      <w:vertAlign w:val="superscript"/>
                    </w:rPr>
                    <w:t>3</w:t>
                  </w:r>
                  <w:r>
                    <w:rPr>
                      <w:color w:val="auto"/>
                      <w:szCs w:val="18"/>
                    </w:rPr>
                    <w:t xml:space="preserve">) could </w:t>
                  </w:r>
                  <w:r w:rsidRPr="00E21370">
                    <w:rPr>
                      <w:color w:val="auto"/>
                      <w:szCs w:val="18"/>
                    </w:rPr>
                    <w:t>encourage future improvements in air quality.</w:t>
                  </w:r>
                </w:p>
                <w:p w:rsidR="0085182E" w:rsidRDefault="0085182E" w:rsidP="00003665">
                  <w:pPr>
                    <w:pStyle w:val="BulletArrows"/>
                    <w:numPr>
                      <w:ilvl w:val="0"/>
                      <w:numId w:val="127"/>
                    </w:numPr>
                    <w:spacing w:after="160"/>
                    <w:rPr>
                      <w:color w:val="auto"/>
                      <w:szCs w:val="18"/>
                    </w:rPr>
                  </w:pPr>
                  <w:r w:rsidRPr="00E21370">
                    <w:rPr>
                      <w:color w:val="auto"/>
                      <w:szCs w:val="18"/>
                    </w:rPr>
                    <w:t>For annual mean PM</w:t>
                  </w:r>
                  <w:r w:rsidRPr="00E21370">
                    <w:rPr>
                      <w:color w:val="auto"/>
                      <w:szCs w:val="18"/>
                      <w:vertAlign w:val="subscript"/>
                    </w:rPr>
                    <w:t>2.5</w:t>
                  </w:r>
                  <w:r w:rsidRPr="00E21370">
                    <w:rPr>
                      <w:color w:val="auto"/>
                      <w:szCs w:val="18"/>
                    </w:rPr>
                    <w:t xml:space="preserve"> the monitoring data and the Economic Analysis indicate that a value for the standard of 8 </w:t>
                  </w:r>
                  <w:proofErr w:type="spellStart"/>
                  <w:r w:rsidRPr="00E21370">
                    <w:rPr>
                      <w:color w:val="auto"/>
                      <w:szCs w:val="18"/>
                    </w:rPr>
                    <w:t>μg</w:t>
                  </w:r>
                  <w:proofErr w:type="spellEnd"/>
                  <w:r w:rsidRPr="00E21370">
                    <w:rPr>
                      <w:color w:val="auto"/>
                      <w:szCs w:val="18"/>
                    </w:rPr>
                    <w:t>/m</w:t>
                  </w:r>
                  <w:r w:rsidRPr="00E21370">
                    <w:rPr>
                      <w:color w:val="auto"/>
                      <w:szCs w:val="18"/>
                      <w:vertAlign w:val="superscript"/>
                    </w:rPr>
                    <w:t>3</w:t>
                  </w:r>
                  <w:r w:rsidRPr="00E21370">
                    <w:rPr>
                      <w:color w:val="auto"/>
                      <w:szCs w:val="18"/>
                    </w:rPr>
                    <w:t xml:space="preserve"> would be </w:t>
                  </w:r>
                  <w:r w:rsidRPr="00A25DA2">
                    <w:rPr>
                      <w:color w:val="auto"/>
                      <w:szCs w:val="18"/>
                    </w:rPr>
                    <w:t>achievable and economic.</w:t>
                  </w:r>
                  <w:r w:rsidRPr="00E21370">
                    <w:rPr>
                      <w:color w:val="auto"/>
                      <w:szCs w:val="18"/>
                    </w:rPr>
                    <w:t xml:space="preserve"> </w:t>
                  </w:r>
                  <w:r>
                    <w:rPr>
                      <w:color w:val="auto"/>
                      <w:szCs w:val="18"/>
                    </w:rPr>
                    <w:t>A move to a standard of 6 </w:t>
                  </w:r>
                  <w:proofErr w:type="spellStart"/>
                  <w:r w:rsidRPr="00E21370">
                    <w:rPr>
                      <w:color w:val="auto"/>
                      <w:szCs w:val="18"/>
                    </w:rPr>
                    <w:t>μg</w:t>
                  </w:r>
                  <w:proofErr w:type="spellEnd"/>
                  <w:r w:rsidRPr="00E21370">
                    <w:rPr>
                      <w:color w:val="auto"/>
                      <w:szCs w:val="18"/>
                    </w:rPr>
                    <w:t>/m</w:t>
                  </w:r>
                  <w:r w:rsidRPr="00E21370">
                    <w:rPr>
                      <w:color w:val="auto"/>
                      <w:szCs w:val="18"/>
                      <w:vertAlign w:val="superscript"/>
                    </w:rPr>
                    <w:t>3</w:t>
                  </w:r>
                  <w:r w:rsidRPr="00E21370">
                    <w:rPr>
                      <w:color w:val="auto"/>
                      <w:szCs w:val="18"/>
                    </w:rPr>
                    <w:t xml:space="preserve"> would </w:t>
                  </w:r>
                  <w:r>
                    <w:rPr>
                      <w:color w:val="auto"/>
                      <w:szCs w:val="18"/>
                    </w:rPr>
                    <w:t xml:space="preserve">however </w:t>
                  </w:r>
                  <w:r w:rsidRPr="00E21370">
                    <w:rPr>
                      <w:color w:val="auto"/>
                      <w:szCs w:val="18"/>
                    </w:rPr>
                    <w:t>represent too great a step</w:t>
                  </w:r>
                  <w:r w:rsidRPr="00C74851">
                    <w:rPr>
                      <w:color w:val="auto"/>
                      <w:szCs w:val="18"/>
                    </w:rPr>
                    <w:t xml:space="preserve"> given the </w:t>
                  </w:r>
                  <w:r>
                    <w:rPr>
                      <w:color w:val="auto"/>
                      <w:szCs w:val="18"/>
                    </w:rPr>
                    <w:t xml:space="preserve">background levels and the projected </w:t>
                  </w:r>
                  <w:r w:rsidRPr="00C74851">
                    <w:rPr>
                      <w:color w:val="auto"/>
                      <w:szCs w:val="18"/>
                    </w:rPr>
                    <w:t xml:space="preserve">growth </w:t>
                  </w:r>
                  <w:r>
                    <w:rPr>
                      <w:color w:val="auto"/>
                      <w:szCs w:val="18"/>
                    </w:rPr>
                    <w:t>in population and emissions.</w:t>
                  </w:r>
                </w:p>
                <w:p w:rsidR="0085182E" w:rsidRPr="005E4C36" w:rsidRDefault="0085182E" w:rsidP="00003665">
                  <w:pPr>
                    <w:pStyle w:val="BulletArrows"/>
                    <w:numPr>
                      <w:ilvl w:val="0"/>
                      <w:numId w:val="127"/>
                    </w:numPr>
                    <w:spacing w:after="160"/>
                    <w:rPr>
                      <w:color w:val="auto"/>
                      <w:szCs w:val="18"/>
                    </w:rPr>
                  </w:pPr>
                  <w:r w:rsidRPr="00E21370">
                    <w:t>The PM</w:t>
                  </w:r>
                  <w:r w:rsidRPr="005E4C36">
                    <w:rPr>
                      <w:vertAlign w:val="subscript"/>
                    </w:rPr>
                    <w:t>2.5</w:t>
                  </w:r>
                  <w:r w:rsidRPr="00E21370">
                    <w:t xml:space="preserve"> monitoring data indicate that</w:t>
                  </w:r>
                  <w:r>
                    <w:t xml:space="preserve"> of</w:t>
                  </w:r>
                  <w:r w:rsidRPr="00E21370">
                    <w:t xml:space="preserve"> the options for a 24-hour standard</w:t>
                  </w:r>
                  <w:r>
                    <w:t>,</w:t>
                  </w:r>
                  <w:r w:rsidRPr="00E21370">
                    <w:t xml:space="preserve"> the most realistic approach would be to retain 25 </w:t>
                  </w:r>
                  <w:proofErr w:type="spellStart"/>
                  <w:r w:rsidRPr="00E21370">
                    <w:t>μg</w:t>
                  </w:r>
                  <w:proofErr w:type="spellEnd"/>
                  <w:r w:rsidRPr="00E21370">
                    <w:t>/m</w:t>
                  </w:r>
                  <w:r w:rsidRPr="005E4C36">
                    <w:rPr>
                      <w:vertAlign w:val="superscript"/>
                    </w:rPr>
                    <w:t>3</w:t>
                  </w:r>
                  <w:r w:rsidRPr="005E4C36">
                    <w:rPr>
                      <w:color w:val="auto"/>
                      <w:szCs w:val="18"/>
                    </w:rPr>
                    <w:t>.</w:t>
                  </w:r>
                </w:p>
                <w:p w:rsidR="0085182E" w:rsidRPr="00E21370" w:rsidRDefault="0085182E" w:rsidP="00003665">
                  <w:pPr>
                    <w:pStyle w:val="BulletArrows"/>
                    <w:numPr>
                      <w:ilvl w:val="0"/>
                      <w:numId w:val="127"/>
                    </w:numPr>
                    <w:spacing w:after="160"/>
                    <w:rPr>
                      <w:color w:val="auto"/>
                      <w:szCs w:val="18"/>
                    </w:rPr>
                  </w:pPr>
                  <w:r w:rsidRPr="00E21370">
                    <w:rPr>
                      <w:color w:val="auto"/>
                      <w:szCs w:val="18"/>
                    </w:rPr>
                    <w:t xml:space="preserve">It is likely that the jurisdictions will want to identify local issues that affect the form of the standards </w:t>
                  </w:r>
                  <w:r w:rsidRPr="00FA2CAE">
                    <w:rPr>
                      <w:color w:val="auto"/>
                      <w:szCs w:val="18"/>
                    </w:rPr>
                    <w:t>(</w:t>
                  </w:r>
                  <w:r w:rsidRPr="002A2116">
                    <w:rPr>
                      <w:color w:val="auto"/>
                      <w:szCs w:val="18"/>
                    </w:rPr>
                    <w:t>i.e.</w:t>
                  </w:r>
                  <w:r w:rsidRPr="00FA2CAE">
                    <w:rPr>
                      <w:color w:val="auto"/>
                      <w:szCs w:val="18"/>
                    </w:rPr>
                    <w:t xml:space="preserve"> t</w:t>
                  </w:r>
                  <w:r>
                    <w:rPr>
                      <w:color w:val="auto"/>
                      <w:szCs w:val="18"/>
                    </w:rPr>
                    <w:t xml:space="preserve">reatment of </w:t>
                  </w:r>
                  <w:r w:rsidRPr="00B3354B">
                    <w:t>exceedances</w:t>
                  </w:r>
                  <w:r w:rsidRPr="00E21370">
                    <w:rPr>
                      <w:color w:val="auto"/>
                      <w:szCs w:val="18"/>
                    </w:rPr>
                    <w:t xml:space="preserve">), and therefore this issue has been left for the consultation phase. </w:t>
                  </w:r>
                </w:p>
                <w:p w:rsidR="0085182E" w:rsidRPr="00A0254D" w:rsidRDefault="0085182E" w:rsidP="00003665">
                  <w:pPr>
                    <w:pStyle w:val="BulletArrows"/>
                    <w:numPr>
                      <w:ilvl w:val="0"/>
                      <w:numId w:val="127"/>
                    </w:numPr>
                    <w:spacing w:after="0"/>
                    <w:rPr>
                      <w:color w:val="auto"/>
                      <w:szCs w:val="18"/>
                    </w:rPr>
                  </w:pPr>
                  <w:r w:rsidRPr="00A25DA2">
                    <w:rPr>
                      <w:color w:val="auto"/>
                      <w:szCs w:val="18"/>
                    </w:rPr>
                    <w:t>Meeting an exposure-reduction target of a 10% reduction in the annual mean PM</w:t>
                  </w:r>
                  <w:r w:rsidRPr="00A25DA2">
                    <w:rPr>
                      <w:color w:val="auto"/>
                      <w:szCs w:val="18"/>
                      <w:vertAlign w:val="subscript"/>
                    </w:rPr>
                    <w:t>2.5</w:t>
                  </w:r>
                  <w:r w:rsidRPr="00A25DA2">
                    <w:rPr>
                      <w:color w:val="auto"/>
                      <w:szCs w:val="18"/>
                    </w:rPr>
                    <w:t xml:space="preserve"> concentration between 2015 and 2025 is unlikely to be feasible in practice. The incorporation </w:t>
                  </w:r>
                  <w:r>
                    <w:rPr>
                      <w:color w:val="auto"/>
                      <w:szCs w:val="18"/>
                    </w:rPr>
                    <w:t xml:space="preserve">in the NEPM </w:t>
                  </w:r>
                  <w:r w:rsidRPr="00A25DA2">
                    <w:rPr>
                      <w:color w:val="auto"/>
                      <w:szCs w:val="18"/>
                    </w:rPr>
                    <w:t>of an exposure index for PM</w:t>
                  </w:r>
                  <w:r w:rsidRPr="00A0254D">
                    <w:rPr>
                      <w:color w:val="auto"/>
                      <w:szCs w:val="18"/>
                      <w:vertAlign w:val="subscript"/>
                    </w:rPr>
                    <w:t>2.5</w:t>
                  </w:r>
                  <w:r w:rsidRPr="00A0254D">
                    <w:rPr>
                      <w:color w:val="auto"/>
                      <w:szCs w:val="18"/>
                    </w:rPr>
                    <w:t xml:space="preserve"> for assessing progress should be considered.</w:t>
                  </w:r>
                </w:p>
              </w:txbxContent>
            </v:textbox>
            <w10:wrap type="none"/>
            <w10:anchorlock/>
          </v:shape>
        </w:pict>
      </w:r>
    </w:p>
    <w:p w:rsidR="00B759BE" w:rsidRPr="006574FD" w:rsidRDefault="00BF6019" w:rsidP="002A2116">
      <w:pPr>
        <w:rPr>
          <w:rFonts w:ascii="Arial" w:hAnsi="Arial" w:cs="Arial"/>
          <w:i/>
        </w:rPr>
      </w:pPr>
      <w:r>
        <w:rPr>
          <w:rFonts w:ascii="Arial" w:hAnsi="Arial" w:cs="Arial"/>
          <w:i/>
          <w:noProof/>
        </w:rPr>
      </w:r>
      <w:r>
        <w:rPr>
          <w:rFonts w:ascii="Arial" w:hAnsi="Arial" w:cs="Arial"/>
          <w:i/>
          <w:noProof/>
        </w:rPr>
        <w:pict>
          <v:shape id="AutoShape 56" o:spid="_x0000_s1028" type="#_x0000_t176" style="width:433.7pt;height:1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" fillcolor="#fbd4b4" strokecolor="#f79646" strokeweight="2.5pt">
            <v:fill opacity="13107f"/>
            <v:shadow color="#868686"/>
            <v:textbox inset=",.3mm,,.3mm">
              <w:txbxContent>
                <w:p w:rsidR="0085182E" w:rsidRPr="0006622B" w:rsidRDefault="0085182E" w:rsidP="0044450A">
                  <w:pPr>
                    <w:jc w:val="center"/>
                    <w:rPr>
                      <w:b/>
                      <w:color w:val="E36C0A"/>
                      <w:sz w:val="24"/>
                      <w:szCs w:val="24"/>
                    </w:rPr>
                  </w:pPr>
                  <w:r w:rsidRPr="0006622B">
                    <w:rPr>
                      <w:b/>
                      <w:color w:val="E36C0A"/>
                      <w:sz w:val="24"/>
                      <w:szCs w:val="24"/>
                    </w:rPr>
                    <w:t xml:space="preserve">Proposed questions for consultation: </w:t>
                  </w:r>
                  <w:r>
                    <w:rPr>
                      <w:b/>
                      <w:color w:val="E36C0A"/>
                      <w:sz w:val="24"/>
                      <w:szCs w:val="24"/>
                    </w:rPr>
                    <w:t>Impact analysis</w:t>
                  </w:r>
                </w:p>
                <w:p w:rsidR="0085182E" w:rsidRPr="006A5626" w:rsidRDefault="0085182E" w:rsidP="006A5626">
                  <w:pPr>
                    <w:pStyle w:val="BulletArrows"/>
                    <w:numPr>
                      <w:ilvl w:val="0"/>
                      <w:numId w:val="22"/>
                    </w:numPr>
                    <w:ind w:left="714" w:hanging="357"/>
                  </w:pPr>
                  <w:r w:rsidRPr="006A5626">
                    <w:t>Have all health, environmental, economic and social impacts of PM in Australia been identified? If not, please provide reasons and suggestions for additional analyses.</w:t>
                  </w:r>
                </w:p>
                <w:p w:rsidR="0085182E" w:rsidRPr="0044450A" w:rsidRDefault="0085182E" w:rsidP="0009368E">
                  <w:pPr>
                    <w:pStyle w:val="BulletArrows"/>
                    <w:numPr>
                      <w:ilvl w:val="0"/>
                      <w:numId w:val="22"/>
                    </w:numPr>
                    <w:ind w:left="714" w:hanging="357"/>
                  </w:pPr>
                  <w:r w:rsidRPr="006A5626">
                    <w:t>Have all key assumptions been correctly identified and included in the analysis? If not, please provide details.</w:t>
                  </w:r>
                </w:p>
              </w:txbxContent>
            </v:textbox>
            <w10:wrap type="none"/>
            <w10:anchorlock/>
          </v:shape>
        </w:pict>
      </w:r>
    </w:p>
    <w:p w:rsidR="00A76F39" w:rsidRPr="006574FD" w:rsidRDefault="00A76F39" w:rsidP="002C6E3A">
      <w:pPr>
        <w:rPr>
          <w:rFonts w:ascii="Arial" w:hAnsi="Arial" w:cs="Arial"/>
          <w:i/>
          <w:kern w:val="32"/>
        </w:rPr>
      </w:pPr>
    </w:p>
    <w:p w:rsidR="00692A6D" w:rsidRPr="006574FD" w:rsidRDefault="00692A6D" w:rsidP="002C6E3A">
      <w:pPr>
        <w:rPr>
          <w:rFonts w:ascii="Arial" w:hAnsi="Arial" w:cs="Arial"/>
          <w:i/>
        </w:rPr>
        <w:sectPr w:rsidR="00692A6D" w:rsidRPr="006574FD" w:rsidSect="006A5626">
          <w:headerReference w:type="even" r:id="rId120"/>
          <w:headerReference w:type="default" r:id="rId121"/>
          <w:footerReference w:type="even" r:id="rId122"/>
          <w:footerReference w:type="default" r:id="rId123"/>
          <w:headerReference w:type="first" r:id="rId124"/>
          <w:pgSz w:w="11906" w:h="16838" w:code="9"/>
          <w:pgMar w:top="1440" w:right="1440" w:bottom="1440" w:left="1440" w:header="284" w:footer="170" w:gutter="0"/>
          <w:cols w:space="255"/>
          <w:docGrid w:linePitch="360"/>
        </w:sectPr>
      </w:pPr>
    </w:p>
    <w:p w:rsidR="00A76F39" w:rsidRPr="006F1D04" w:rsidRDefault="00493178" w:rsidP="002440F9">
      <w:pPr>
        <w:pStyle w:val="Heading1"/>
        <w:rPr>
          <w:rFonts w:ascii="Arial" w:hAnsi="Arial"/>
        </w:rPr>
      </w:pPr>
      <w:bookmarkStart w:id="191" w:name="_Toc394011156"/>
      <w:r w:rsidRPr="006F1D04">
        <w:rPr>
          <w:rFonts w:ascii="Arial" w:hAnsi="Arial"/>
        </w:rPr>
        <w:lastRenderedPageBreak/>
        <w:t xml:space="preserve">Preferred </w:t>
      </w:r>
      <w:r w:rsidR="00F71E14" w:rsidRPr="006F1D04">
        <w:rPr>
          <w:rFonts w:ascii="Arial" w:hAnsi="Arial"/>
        </w:rPr>
        <w:t>O</w:t>
      </w:r>
      <w:r w:rsidRPr="006F1D04">
        <w:rPr>
          <w:rFonts w:ascii="Arial" w:hAnsi="Arial"/>
        </w:rPr>
        <w:t>ptions</w:t>
      </w:r>
      <w:bookmarkEnd w:id="191"/>
    </w:p>
    <w:p w:rsidR="00493178" w:rsidRPr="006F1D04" w:rsidRDefault="00A86EE5" w:rsidP="00A86EE5">
      <w:pPr>
        <w:pStyle w:val="BulletArrows"/>
        <w:spacing w:after="160"/>
        <w:rPr>
          <w:rFonts w:ascii="Arial" w:hAnsi="Arial"/>
          <w:color w:val="auto"/>
        </w:rPr>
      </w:pPr>
      <w:r w:rsidRPr="006F1D04">
        <w:rPr>
          <w:rFonts w:ascii="Arial" w:hAnsi="Arial"/>
          <w:color w:val="auto"/>
        </w:rPr>
        <w:t xml:space="preserve">This </w:t>
      </w:r>
      <w:r w:rsidR="00FA2CAE" w:rsidRPr="006F1D04">
        <w:rPr>
          <w:rFonts w:ascii="Arial" w:hAnsi="Arial"/>
          <w:color w:val="auto"/>
        </w:rPr>
        <w:t>c</w:t>
      </w:r>
      <w:r w:rsidRPr="006F1D04">
        <w:rPr>
          <w:rFonts w:ascii="Arial" w:hAnsi="Arial"/>
          <w:color w:val="auto"/>
        </w:rPr>
        <w:t xml:space="preserve">hapter </w:t>
      </w:r>
      <w:r w:rsidR="00AA0DC9" w:rsidRPr="006F1D04">
        <w:rPr>
          <w:rFonts w:ascii="Arial" w:hAnsi="Arial"/>
          <w:color w:val="auto"/>
        </w:rPr>
        <w:t>summarises</w:t>
      </w:r>
      <w:r w:rsidRPr="006F1D04">
        <w:rPr>
          <w:rFonts w:ascii="Arial" w:hAnsi="Arial"/>
          <w:color w:val="auto"/>
        </w:rPr>
        <w:t xml:space="preserve"> the </w:t>
      </w:r>
      <w:r w:rsidR="00493178" w:rsidRPr="006F1D04">
        <w:rPr>
          <w:rFonts w:ascii="Arial" w:hAnsi="Arial"/>
          <w:color w:val="auto"/>
        </w:rPr>
        <w:t>preferred options</w:t>
      </w:r>
      <w:r w:rsidR="00AA0DC9" w:rsidRPr="006F1D04">
        <w:rPr>
          <w:rFonts w:ascii="Arial" w:hAnsi="Arial"/>
          <w:color w:val="auto"/>
        </w:rPr>
        <w:t xml:space="preserve"> for varying the PM standards in the AAQ NEPM and the costs and benefits associated with the</w:t>
      </w:r>
      <w:r w:rsidR="004D5DE2" w:rsidRPr="006F1D04">
        <w:rPr>
          <w:rFonts w:ascii="Arial" w:hAnsi="Arial"/>
          <w:color w:val="auto"/>
        </w:rPr>
        <w:t>se</w:t>
      </w:r>
      <w:r w:rsidR="00AA0DC9" w:rsidRPr="006F1D04">
        <w:rPr>
          <w:rFonts w:ascii="Arial" w:hAnsi="Arial"/>
          <w:color w:val="auto"/>
        </w:rPr>
        <w:t xml:space="preserve"> options</w:t>
      </w:r>
      <w:r w:rsidRPr="006F1D04">
        <w:rPr>
          <w:rFonts w:ascii="Arial" w:hAnsi="Arial"/>
          <w:color w:val="auto"/>
        </w:rPr>
        <w:t xml:space="preserve">. </w:t>
      </w:r>
    </w:p>
    <w:p w:rsidR="00AD3CE6" w:rsidRPr="006F1D04" w:rsidRDefault="00821B17" w:rsidP="00AD3CE6">
      <w:pPr>
        <w:pStyle w:val="Heading2"/>
        <w:rPr>
          <w:rFonts w:ascii="Arial" w:hAnsi="Arial"/>
        </w:rPr>
      </w:pPr>
      <w:bookmarkStart w:id="192" w:name="_Toc394011157"/>
      <w:r w:rsidRPr="006F1D04">
        <w:rPr>
          <w:rFonts w:ascii="Arial" w:hAnsi="Arial"/>
        </w:rPr>
        <w:t>PM metrics</w:t>
      </w:r>
      <w:r w:rsidR="00A86EE5" w:rsidRPr="006F1D04">
        <w:rPr>
          <w:rFonts w:ascii="Arial" w:hAnsi="Arial"/>
        </w:rPr>
        <w:t xml:space="preserve"> for inclusion</w:t>
      </w:r>
      <w:r w:rsidR="00AD3CE6" w:rsidRPr="006F1D04">
        <w:rPr>
          <w:rFonts w:ascii="Arial" w:hAnsi="Arial"/>
        </w:rPr>
        <w:t xml:space="preserve"> in the </w:t>
      </w:r>
      <w:r w:rsidR="00EF24F8" w:rsidRPr="006F1D04">
        <w:rPr>
          <w:rFonts w:ascii="Arial" w:hAnsi="Arial"/>
        </w:rPr>
        <w:t>AAQ NEPM</w:t>
      </w:r>
      <w:bookmarkEnd w:id="192"/>
    </w:p>
    <w:p w:rsidR="00A9249D" w:rsidRPr="006F1D04" w:rsidRDefault="00A9249D" w:rsidP="00813D1B">
      <w:pPr>
        <w:spacing w:after="180"/>
        <w:rPr>
          <w:rFonts w:ascii="Arial" w:hAnsi="Arial" w:cs="Arial"/>
        </w:rPr>
      </w:pPr>
      <w:r w:rsidRPr="006F1D04">
        <w:rPr>
          <w:rFonts w:ascii="Arial" w:hAnsi="Arial" w:cs="Arial"/>
        </w:rPr>
        <w:t>Based on the health evidence that long-term and short-term exposure to</w:t>
      </w:r>
      <w:r w:rsidR="00F71E14" w:rsidRPr="006F1D04">
        <w:rPr>
          <w:rFonts w:ascii="Arial" w:hAnsi="Arial" w:cs="Arial"/>
        </w:rPr>
        <w:t xml:space="preserve"> PM</w:t>
      </w:r>
      <w:r w:rsidR="00F71E14" w:rsidRPr="006F1D04">
        <w:rPr>
          <w:rFonts w:ascii="Arial" w:hAnsi="Arial" w:cs="Arial"/>
          <w:vertAlign w:val="subscript"/>
        </w:rPr>
        <w:t>10</w:t>
      </w:r>
      <w:r w:rsidR="00F71E14" w:rsidRPr="006F1D04">
        <w:rPr>
          <w:rFonts w:ascii="Arial" w:hAnsi="Arial" w:cs="Arial"/>
        </w:rPr>
        <w:t xml:space="preserve"> and </w:t>
      </w:r>
      <w:r w:rsidRPr="006F1D04">
        <w:rPr>
          <w:rFonts w:ascii="Arial" w:hAnsi="Arial" w:cs="Arial"/>
        </w:rPr>
        <w:t>PM</w:t>
      </w:r>
      <w:r w:rsidRPr="006F1D04">
        <w:rPr>
          <w:rFonts w:ascii="Arial" w:hAnsi="Arial" w:cs="Arial"/>
          <w:vertAlign w:val="subscript"/>
        </w:rPr>
        <w:t>2.5</w:t>
      </w:r>
      <w:r w:rsidRPr="006F1D04">
        <w:rPr>
          <w:rFonts w:ascii="Arial" w:hAnsi="Arial" w:cs="Arial"/>
        </w:rPr>
        <w:t xml:space="preserve"> causes adverse health effects</w:t>
      </w:r>
      <w:r w:rsidR="002861CF" w:rsidRPr="006F1D04">
        <w:rPr>
          <w:rFonts w:ascii="Arial" w:hAnsi="Arial" w:cs="Arial"/>
        </w:rPr>
        <w:t>, the preferred metrics are as follows</w:t>
      </w:r>
      <w:r w:rsidRPr="006F1D04">
        <w:rPr>
          <w:rFonts w:ascii="Arial" w:hAnsi="Arial" w:cs="Arial"/>
        </w:rPr>
        <w:t>:</w:t>
      </w:r>
    </w:p>
    <w:p w:rsidR="00A9249D" w:rsidRPr="006F1D04" w:rsidRDefault="00A9249D" w:rsidP="000635B1">
      <w:pPr>
        <w:pStyle w:val="BulletArrows"/>
        <w:numPr>
          <w:ilvl w:val="0"/>
          <w:numId w:val="130"/>
        </w:numPr>
        <w:spacing w:after="180"/>
        <w:ind w:left="567"/>
        <w:rPr>
          <w:rFonts w:ascii="Arial" w:hAnsi="Arial"/>
        </w:rPr>
      </w:pPr>
      <w:r w:rsidRPr="006F1D04">
        <w:rPr>
          <w:rFonts w:ascii="Arial" w:hAnsi="Arial"/>
          <w:b/>
        </w:rPr>
        <w:t>Annual mean PM</w:t>
      </w:r>
      <w:r w:rsidRPr="006F1D04">
        <w:rPr>
          <w:rFonts w:ascii="Arial" w:hAnsi="Arial"/>
          <w:b/>
          <w:vertAlign w:val="subscript"/>
        </w:rPr>
        <w:t>10</w:t>
      </w:r>
      <w:r w:rsidRPr="006F1D04">
        <w:rPr>
          <w:rFonts w:ascii="Arial" w:hAnsi="Arial"/>
        </w:rPr>
        <w:t xml:space="preserve">. </w:t>
      </w:r>
      <w:r w:rsidR="00821B17" w:rsidRPr="006F1D04">
        <w:rPr>
          <w:rFonts w:ascii="Arial" w:hAnsi="Arial"/>
        </w:rPr>
        <w:t>The introduction of a</w:t>
      </w:r>
      <w:r w:rsidRPr="006F1D04">
        <w:rPr>
          <w:rFonts w:ascii="Arial" w:hAnsi="Arial"/>
        </w:rPr>
        <w:t xml:space="preserve"> long-term (annual mean) standard for PM</w:t>
      </w:r>
      <w:r w:rsidRPr="006F1D04">
        <w:rPr>
          <w:rFonts w:ascii="Arial" w:hAnsi="Arial"/>
          <w:vertAlign w:val="subscript"/>
        </w:rPr>
        <w:t>10</w:t>
      </w:r>
      <w:r w:rsidR="00821B17" w:rsidRPr="006F1D04">
        <w:rPr>
          <w:rFonts w:ascii="Arial" w:hAnsi="Arial"/>
        </w:rPr>
        <w:t xml:space="preserve"> in the </w:t>
      </w:r>
      <w:r w:rsidR="00EF24F8" w:rsidRPr="006F1D04">
        <w:rPr>
          <w:rFonts w:ascii="Arial" w:hAnsi="Arial"/>
        </w:rPr>
        <w:t>AAQ NEPM</w:t>
      </w:r>
      <w:r w:rsidR="00821B17" w:rsidRPr="006F1D04">
        <w:rPr>
          <w:rFonts w:ascii="Arial" w:hAnsi="Arial"/>
        </w:rPr>
        <w:t xml:space="preserve"> </w:t>
      </w:r>
      <w:r w:rsidRPr="006F1D04">
        <w:rPr>
          <w:rFonts w:ascii="Arial" w:hAnsi="Arial"/>
        </w:rPr>
        <w:t xml:space="preserve">would be prudent, given (a) the </w:t>
      </w:r>
      <w:r w:rsidR="00821B17" w:rsidRPr="006F1D04">
        <w:rPr>
          <w:rFonts w:ascii="Arial" w:hAnsi="Arial"/>
        </w:rPr>
        <w:t>increasing evidence for the adverse effects on health of coarse particles</w:t>
      </w:r>
      <w:r w:rsidRPr="006F1D04">
        <w:rPr>
          <w:rFonts w:ascii="Arial" w:hAnsi="Arial"/>
        </w:rPr>
        <w:t>, (b) the uncertainty that all health effects would be eliminated by controlling PM</w:t>
      </w:r>
      <w:r w:rsidRPr="006F1D04">
        <w:rPr>
          <w:rFonts w:ascii="Arial" w:hAnsi="Arial"/>
          <w:vertAlign w:val="subscript"/>
        </w:rPr>
        <w:t>2.5</w:t>
      </w:r>
      <w:r w:rsidRPr="006F1D04">
        <w:rPr>
          <w:rFonts w:ascii="Arial" w:hAnsi="Arial"/>
        </w:rPr>
        <w:t xml:space="preserve"> only, </w:t>
      </w:r>
      <w:r w:rsidR="00821B17" w:rsidRPr="006F1D04">
        <w:rPr>
          <w:rFonts w:ascii="Arial" w:hAnsi="Arial"/>
        </w:rPr>
        <w:t xml:space="preserve">(c) the observation that coarse particles pose a significant problem in some areas of Australia </w:t>
      </w:r>
      <w:r w:rsidRPr="006F1D04">
        <w:rPr>
          <w:rFonts w:ascii="Arial" w:hAnsi="Arial"/>
        </w:rPr>
        <w:t>and (</w:t>
      </w:r>
      <w:r w:rsidR="00821B17" w:rsidRPr="006F1D04">
        <w:rPr>
          <w:rFonts w:ascii="Arial" w:hAnsi="Arial"/>
        </w:rPr>
        <w:t>d</w:t>
      </w:r>
      <w:r w:rsidRPr="006F1D04">
        <w:rPr>
          <w:rFonts w:ascii="Arial" w:hAnsi="Arial"/>
        </w:rPr>
        <w:t xml:space="preserve">) the currently sparse nature </w:t>
      </w:r>
      <w:r w:rsidR="005F2D01" w:rsidRPr="006F1D04">
        <w:rPr>
          <w:rFonts w:ascii="Arial" w:hAnsi="Arial"/>
        </w:rPr>
        <w:t xml:space="preserve">of </w:t>
      </w:r>
      <w:r w:rsidRPr="006F1D04">
        <w:rPr>
          <w:rFonts w:ascii="Arial" w:hAnsi="Arial"/>
        </w:rPr>
        <w:t>PM</w:t>
      </w:r>
      <w:r w:rsidRPr="006F1D04">
        <w:rPr>
          <w:rFonts w:ascii="Arial" w:hAnsi="Arial"/>
          <w:vertAlign w:val="subscript"/>
        </w:rPr>
        <w:t>2.5</w:t>
      </w:r>
      <w:r w:rsidR="00821B17" w:rsidRPr="006F1D04">
        <w:rPr>
          <w:rFonts w:ascii="Arial" w:hAnsi="Arial"/>
        </w:rPr>
        <w:t xml:space="preserve"> monitoring in Australia. Moreover, there is not the same lack of data that necessitated the advisory standards for PM</w:t>
      </w:r>
      <w:r w:rsidR="00821B17" w:rsidRPr="006F1D04">
        <w:rPr>
          <w:rFonts w:ascii="Arial" w:hAnsi="Arial"/>
          <w:vertAlign w:val="subscript"/>
        </w:rPr>
        <w:t>2.5</w:t>
      </w:r>
      <w:r w:rsidR="00821B17" w:rsidRPr="006F1D04">
        <w:rPr>
          <w:rFonts w:ascii="Arial" w:hAnsi="Arial"/>
        </w:rPr>
        <w:t>; there is a reasonably long history of PM</w:t>
      </w:r>
      <w:r w:rsidR="00821B17" w:rsidRPr="006F1D04">
        <w:rPr>
          <w:rFonts w:ascii="Arial" w:hAnsi="Arial"/>
          <w:vertAlign w:val="subscript"/>
        </w:rPr>
        <w:t>10</w:t>
      </w:r>
      <w:r w:rsidR="002861CF" w:rsidRPr="006F1D04">
        <w:rPr>
          <w:rFonts w:ascii="Arial" w:hAnsi="Arial"/>
        </w:rPr>
        <w:t xml:space="preserve"> measurements.</w:t>
      </w:r>
      <w:r w:rsidR="00821B17" w:rsidRPr="006F1D04">
        <w:rPr>
          <w:rFonts w:ascii="Arial" w:hAnsi="Arial"/>
        </w:rPr>
        <w:t xml:space="preserve"> It could therefore be argued that there is no need for an advisory standard, and a </w:t>
      </w:r>
      <w:r w:rsidR="0087080F" w:rsidRPr="006F1D04">
        <w:rPr>
          <w:rFonts w:ascii="Arial" w:hAnsi="Arial"/>
        </w:rPr>
        <w:t>formal</w:t>
      </w:r>
      <w:r w:rsidR="00821B17" w:rsidRPr="006F1D04">
        <w:rPr>
          <w:rFonts w:ascii="Arial" w:hAnsi="Arial"/>
        </w:rPr>
        <w:t xml:space="preserve"> standard could be introduced immediately.</w:t>
      </w:r>
    </w:p>
    <w:p w:rsidR="00A9249D" w:rsidRPr="006F1D04" w:rsidRDefault="00A9249D" w:rsidP="00813D1B">
      <w:pPr>
        <w:pStyle w:val="BulletArrows"/>
        <w:numPr>
          <w:ilvl w:val="0"/>
          <w:numId w:val="1"/>
        </w:numPr>
        <w:spacing w:after="180"/>
        <w:ind w:left="568" w:hanging="284"/>
        <w:rPr>
          <w:rFonts w:ascii="Arial" w:hAnsi="Arial"/>
        </w:rPr>
      </w:pPr>
      <w:r w:rsidRPr="006F1D04">
        <w:rPr>
          <w:rFonts w:ascii="Arial" w:hAnsi="Arial"/>
          <w:b/>
        </w:rPr>
        <w:t>24-hour PM</w:t>
      </w:r>
      <w:r w:rsidRPr="006F1D04">
        <w:rPr>
          <w:rFonts w:ascii="Arial" w:hAnsi="Arial"/>
          <w:b/>
          <w:vertAlign w:val="subscript"/>
        </w:rPr>
        <w:t>10</w:t>
      </w:r>
      <w:r w:rsidRPr="006F1D04">
        <w:rPr>
          <w:rFonts w:ascii="Arial" w:hAnsi="Arial"/>
        </w:rPr>
        <w:t>. There is increasing evidence that short-term exposure to PM</w:t>
      </w:r>
      <w:r w:rsidRPr="006F1D04">
        <w:rPr>
          <w:rFonts w:ascii="Arial" w:hAnsi="Arial"/>
          <w:vertAlign w:val="subscript"/>
        </w:rPr>
        <w:t>10</w:t>
      </w:r>
      <w:r w:rsidRPr="006F1D04">
        <w:rPr>
          <w:rFonts w:ascii="Arial" w:hAnsi="Arial"/>
        </w:rPr>
        <w:t xml:space="preserve"> is independently associated with health effects, and </w:t>
      </w:r>
      <w:r w:rsidR="00F71E14" w:rsidRPr="006F1D04">
        <w:rPr>
          <w:rFonts w:ascii="Arial" w:hAnsi="Arial"/>
        </w:rPr>
        <w:t>it would therefore be advisable to retain</w:t>
      </w:r>
      <w:r w:rsidRPr="006F1D04">
        <w:rPr>
          <w:rFonts w:ascii="Arial" w:hAnsi="Arial"/>
        </w:rPr>
        <w:t xml:space="preserve"> a 24-hour average </w:t>
      </w:r>
      <w:r w:rsidR="00F71E14" w:rsidRPr="006F1D04">
        <w:rPr>
          <w:rFonts w:ascii="Arial" w:hAnsi="Arial"/>
        </w:rPr>
        <w:t xml:space="preserve">standard </w:t>
      </w:r>
      <w:r w:rsidRPr="006F1D04">
        <w:rPr>
          <w:rFonts w:ascii="Arial" w:hAnsi="Arial"/>
        </w:rPr>
        <w:t>for PM</w:t>
      </w:r>
      <w:r w:rsidRPr="006F1D04">
        <w:rPr>
          <w:rFonts w:ascii="Arial" w:hAnsi="Arial"/>
          <w:vertAlign w:val="subscript"/>
        </w:rPr>
        <w:t>10</w:t>
      </w:r>
      <w:r w:rsidR="00F71E14" w:rsidRPr="006F1D04">
        <w:rPr>
          <w:rFonts w:ascii="Arial" w:hAnsi="Arial"/>
        </w:rPr>
        <w:t xml:space="preserve"> </w:t>
      </w:r>
      <w:r w:rsidR="00821B17" w:rsidRPr="006F1D04">
        <w:rPr>
          <w:rFonts w:ascii="Arial" w:hAnsi="Arial"/>
        </w:rPr>
        <w:t xml:space="preserve">in the </w:t>
      </w:r>
      <w:r w:rsidR="00EF24F8" w:rsidRPr="006F1D04">
        <w:rPr>
          <w:rFonts w:ascii="Arial" w:hAnsi="Arial"/>
        </w:rPr>
        <w:t>AAQ NEPM</w:t>
      </w:r>
      <w:r w:rsidRPr="006F1D04">
        <w:rPr>
          <w:rFonts w:ascii="Arial" w:hAnsi="Arial"/>
        </w:rPr>
        <w:t>.</w:t>
      </w:r>
    </w:p>
    <w:p w:rsidR="00A9249D" w:rsidRPr="006F1D04" w:rsidRDefault="00A9249D" w:rsidP="00813D1B">
      <w:pPr>
        <w:pStyle w:val="BulletArrows"/>
        <w:numPr>
          <w:ilvl w:val="0"/>
          <w:numId w:val="1"/>
        </w:numPr>
        <w:spacing w:after="180"/>
        <w:ind w:left="568" w:hanging="284"/>
        <w:rPr>
          <w:rFonts w:ascii="Arial" w:hAnsi="Arial"/>
        </w:rPr>
      </w:pPr>
      <w:r w:rsidRPr="006F1D04">
        <w:rPr>
          <w:rFonts w:ascii="Arial" w:hAnsi="Arial"/>
          <w:b/>
        </w:rPr>
        <w:t>Annual mean PM</w:t>
      </w:r>
      <w:r w:rsidRPr="006F1D04">
        <w:rPr>
          <w:rFonts w:ascii="Arial" w:hAnsi="Arial"/>
          <w:b/>
          <w:vertAlign w:val="subscript"/>
        </w:rPr>
        <w:t>2.5</w:t>
      </w:r>
      <w:r w:rsidRPr="006F1D04">
        <w:rPr>
          <w:rFonts w:ascii="Arial" w:hAnsi="Arial"/>
        </w:rPr>
        <w:t xml:space="preserve">. </w:t>
      </w:r>
      <w:r w:rsidR="00F71E14" w:rsidRPr="006F1D04">
        <w:rPr>
          <w:rFonts w:ascii="Arial" w:hAnsi="Arial"/>
        </w:rPr>
        <w:t>It would be advisable to convert t</w:t>
      </w:r>
      <w:r w:rsidRPr="006F1D04">
        <w:rPr>
          <w:rFonts w:ascii="Arial" w:hAnsi="Arial"/>
        </w:rPr>
        <w:t>he advisory annual mean standard for PM</w:t>
      </w:r>
      <w:r w:rsidRPr="006F1D04">
        <w:rPr>
          <w:rFonts w:ascii="Arial" w:hAnsi="Arial"/>
          <w:vertAlign w:val="subscript"/>
        </w:rPr>
        <w:t>2.5</w:t>
      </w:r>
      <w:r w:rsidR="00F71E14" w:rsidRPr="006F1D04">
        <w:rPr>
          <w:rFonts w:ascii="Arial" w:hAnsi="Arial"/>
        </w:rPr>
        <w:t xml:space="preserve"> concentration</w:t>
      </w:r>
      <w:r w:rsidRPr="006F1D04">
        <w:rPr>
          <w:rFonts w:ascii="Arial" w:hAnsi="Arial"/>
        </w:rPr>
        <w:t xml:space="preserve"> </w:t>
      </w:r>
      <w:r w:rsidR="00821B17" w:rsidRPr="006F1D04">
        <w:rPr>
          <w:rFonts w:ascii="Arial" w:hAnsi="Arial"/>
        </w:rPr>
        <w:t xml:space="preserve">in the </w:t>
      </w:r>
      <w:r w:rsidR="00EF24F8" w:rsidRPr="006F1D04">
        <w:rPr>
          <w:rFonts w:ascii="Arial" w:hAnsi="Arial"/>
        </w:rPr>
        <w:t>AAQ NEPM</w:t>
      </w:r>
      <w:r w:rsidR="0087080F" w:rsidRPr="006F1D04">
        <w:rPr>
          <w:rFonts w:ascii="Arial" w:hAnsi="Arial"/>
        </w:rPr>
        <w:t xml:space="preserve"> into a formal</w:t>
      </w:r>
      <w:r w:rsidRPr="006F1D04">
        <w:rPr>
          <w:rFonts w:ascii="Arial" w:hAnsi="Arial"/>
        </w:rPr>
        <w:t xml:space="preserve"> standard.</w:t>
      </w:r>
    </w:p>
    <w:p w:rsidR="00A9249D" w:rsidRPr="006F1D04" w:rsidRDefault="00A9249D" w:rsidP="00A86EE5">
      <w:pPr>
        <w:pStyle w:val="BulletArrows"/>
        <w:numPr>
          <w:ilvl w:val="0"/>
          <w:numId w:val="1"/>
        </w:numPr>
        <w:spacing w:after="360"/>
        <w:ind w:left="568" w:hanging="284"/>
        <w:rPr>
          <w:rFonts w:ascii="Arial" w:hAnsi="Arial"/>
        </w:rPr>
      </w:pPr>
      <w:r w:rsidRPr="006F1D04">
        <w:rPr>
          <w:rFonts w:ascii="Arial" w:hAnsi="Arial"/>
          <w:b/>
        </w:rPr>
        <w:t>24-hour PM</w:t>
      </w:r>
      <w:r w:rsidRPr="006F1D04">
        <w:rPr>
          <w:rFonts w:ascii="Arial" w:hAnsi="Arial"/>
          <w:b/>
          <w:vertAlign w:val="subscript"/>
        </w:rPr>
        <w:t>2.5</w:t>
      </w:r>
      <w:r w:rsidRPr="006F1D04">
        <w:rPr>
          <w:rFonts w:ascii="Arial" w:hAnsi="Arial"/>
        </w:rPr>
        <w:t xml:space="preserve">. </w:t>
      </w:r>
      <w:r w:rsidR="00F71E14" w:rsidRPr="006F1D04">
        <w:rPr>
          <w:rFonts w:ascii="Arial" w:hAnsi="Arial"/>
        </w:rPr>
        <w:t>It would be advisable to convert t</w:t>
      </w:r>
      <w:r w:rsidRPr="006F1D04">
        <w:rPr>
          <w:rFonts w:ascii="Arial" w:hAnsi="Arial"/>
        </w:rPr>
        <w:t>he advisory 24-hour mean standard for PM</w:t>
      </w:r>
      <w:r w:rsidRPr="006F1D04">
        <w:rPr>
          <w:rFonts w:ascii="Arial" w:hAnsi="Arial"/>
          <w:vertAlign w:val="subscript"/>
        </w:rPr>
        <w:t xml:space="preserve">2.5 </w:t>
      </w:r>
      <w:r w:rsidR="00F71E14" w:rsidRPr="006F1D04">
        <w:rPr>
          <w:rFonts w:ascii="Arial" w:hAnsi="Arial"/>
        </w:rPr>
        <w:t>concentration</w:t>
      </w:r>
      <w:r w:rsidRPr="006F1D04">
        <w:rPr>
          <w:rFonts w:ascii="Arial" w:hAnsi="Arial"/>
        </w:rPr>
        <w:t xml:space="preserve"> </w:t>
      </w:r>
      <w:r w:rsidR="00821B17" w:rsidRPr="006F1D04">
        <w:rPr>
          <w:rFonts w:ascii="Arial" w:hAnsi="Arial"/>
        </w:rPr>
        <w:t xml:space="preserve">in the </w:t>
      </w:r>
      <w:r w:rsidR="00EF24F8" w:rsidRPr="006F1D04">
        <w:rPr>
          <w:rFonts w:ascii="Arial" w:hAnsi="Arial"/>
        </w:rPr>
        <w:t>AAQ NEPM</w:t>
      </w:r>
      <w:r w:rsidR="00821B17" w:rsidRPr="006F1D04">
        <w:rPr>
          <w:rFonts w:ascii="Arial" w:hAnsi="Arial"/>
        </w:rPr>
        <w:t xml:space="preserve"> </w:t>
      </w:r>
      <w:r w:rsidR="0087080F" w:rsidRPr="006F1D04">
        <w:rPr>
          <w:rFonts w:ascii="Arial" w:hAnsi="Arial"/>
        </w:rPr>
        <w:t>into a formal</w:t>
      </w:r>
      <w:r w:rsidRPr="006F1D04">
        <w:rPr>
          <w:rFonts w:ascii="Arial" w:hAnsi="Arial"/>
        </w:rPr>
        <w:t xml:space="preserve"> standard.</w:t>
      </w:r>
    </w:p>
    <w:p w:rsidR="00A86EE5" w:rsidRPr="006F1D04" w:rsidRDefault="001F33DD" w:rsidP="004D5DE2">
      <w:pPr>
        <w:rPr>
          <w:rFonts w:ascii="Arial" w:hAnsi="Arial" w:cs="Arial"/>
        </w:rPr>
      </w:pPr>
      <w:r w:rsidRPr="006F1D04">
        <w:rPr>
          <w:rFonts w:ascii="Arial" w:hAnsi="Arial" w:cs="Arial"/>
        </w:rPr>
        <w:t>Whilst the subject of metrics should be discussed during the consultation phase, there is strong evidence on health grounds to support the inclusion of all four metrics listed above in the AAQ NEPM. Any reasons for excluding one or more of these metrics would therefore need to be justified.</w:t>
      </w:r>
    </w:p>
    <w:p w:rsidR="004E466B" w:rsidRPr="006F1D04" w:rsidRDefault="004D5DE2" w:rsidP="004E466B">
      <w:pPr>
        <w:pStyle w:val="Heading2"/>
        <w:rPr>
          <w:rFonts w:ascii="Arial" w:hAnsi="Arial"/>
        </w:rPr>
      </w:pPr>
      <w:bookmarkStart w:id="193" w:name="_Toc374221092"/>
      <w:bookmarkStart w:id="194" w:name="_Toc374221366"/>
      <w:bookmarkStart w:id="195" w:name="_Toc374309802"/>
      <w:bookmarkStart w:id="196" w:name="_Toc394011158"/>
      <w:bookmarkEnd w:id="193"/>
      <w:bookmarkEnd w:id="194"/>
      <w:bookmarkEnd w:id="195"/>
      <w:r w:rsidRPr="006F1D04">
        <w:rPr>
          <w:rFonts w:ascii="Arial" w:hAnsi="Arial"/>
        </w:rPr>
        <w:t>N</w:t>
      </w:r>
      <w:r w:rsidR="00813D1B" w:rsidRPr="006F1D04">
        <w:rPr>
          <w:rFonts w:ascii="Arial" w:hAnsi="Arial"/>
        </w:rPr>
        <w:t xml:space="preserve">umerical values for the </w:t>
      </w:r>
      <w:r w:rsidR="002107C5" w:rsidRPr="006F1D04">
        <w:rPr>
          <w:rFonts w:ascii="Arial" w:hAnsi="Arial"/>
        </w:rPr>
        <w:t>PM standards</w:t>
      </w:r>
      <w:bookmarkEnd w:id="196"/>
    </w:p>
    <w:p w:rsidR="00B4514F" w:rsidRPr="006F1D04" w:rsidRDefault="00097BCF" w:rsidP="00B4514F">
      <w:pPr>
        <w:spacing w:after="180"/>
        <w:rPr>
          <w:rFonts w:ascii="Arial" w:hAnsi="Arial" w:cs="Arial"/>
        </w:rPr>
      </w:pPr>
      <w:r w:rsidRPr="006F1D04">
        <w:rPr>
          <w:rFonts w:ascii="Arial" w:hAnsi="Arial" w:cs="Arial"/>
        </w:rPr>
        <w:t xml:space="preserve">The existing </w:t>
      </w:r>
      <w:r w:rsidR="00EF24F8" w:rsidRPr="006F1D04">
        <w:rPr>
          <w:rFonts w:ascii="Arial" w:hAnsi="Arial" w:cs="Arial"/>
        </w:rPr>
        <w:t>AAQ NEPM</w:t>
      </w:r>
      <w:r w:rsidR="00813D1B" w:rsidRPr="006F1D04">
        <w:rPr>
          <w:rFonts w:ascii="Arial" w:hAnsi="Arial" w:cs="Arial"/>
        </w:rPr>
        <w:t xml:space="preserve"> </w:t>
      </w:r>
      <w:r w:rsidRPr="006F1D04">
        <w:rPr>
          <w:rFonts w:ascii="Arial" w:hAnsi="Arial" w:cs="Arial"/>
        </w:rPr>
        <w:t>standards for PM</w:t>
      </w:r>
      <w:r w:rsidRPr="006F1D04">
        <w:rPr>
          <w:rFonts w:ascii="Arial" w:hAnsi="Arial" w:cs="Arial"/>
          <w:vertAlign w:val="subscript"/>
        </w:rPr>
        <w:t>10</w:t>
      </w:r>
      <w:r w:rsidRPr="006F1D04">
        <w:rPr>
          <w:rFonts w:ascii="Arial" w:hAnsi="Arial" w:cs="Arial"/>
        </w:rPr>
        <w:t xml:space="preserve"> and PM</w:t>
      </w:r>
      <w:r w:rsidRPr="006F1D04">
        <w:rPr>
          <w:rFonts w:ascii="Arial" w:hAnsi="Arial" w:cs="Arial"/>
          <w:vertAlign w:val="subscript"/>
        </w:rPr>
        <w:t>2.5</w:t>
      </w:r>
      <w:r w:rsidRPr="006F1D04">
        <w:rPr>
          <w:rFonts w:ascii="Arial" w:hAnsi="Arial" w:cs="Arial"/>
        </w:rPr>
        <w:t xml:space="preserve"> are relatively stringent</w:t>
      </w:r>
      <w:r w:rsidR="00813D1B" w:rsidRPr="006F1D04">
        <w:rPr>
          <w:rFonts w:ascii="Arial" w:hAnsi="Arial" w:cs="Arial"/>
        </w:rPr>
        <w:t xml:space="preserve"> </w:t>
      </w:r>
      <w:r w:rsidR="002E2699" w:rsidRPr="006F1D04">
        <w:rPr>
          <w:rFonts w:ascii="Arial" w:hAnsi="Arial" w:cs="Arial"/>
        </w:rPr>
        <w:t xml:space="preserve">(in simple numerical terms, and ignoring the local context) </w:t>
      </w:r>
      <w:r w:rsidR="00813D1B" w:rsidRPr="006F1D04">
        <w:rPr>
          <w:rFonts w:ascii="Arial" w:hAnsi="Arial" w:cs="Arial"/>
        </w:rPr>
        <w:t>compared with those in other countries</w:t>
      </w:r>
      <w:r w:rsidRPr="006F1D04">
        <w:rPr>
          <w:rFonts w:ascii="Arial" w:hAnsi="Arial" w:cs="Arial"/>
        </w:rPr>
        <w:t xml:space="preserve">. </w:t>
      </w:r>
      <w:r w:rsidR="00F64FE8" w:rsidRPr="006F1D04">
        <w:rPr>
          <w:rFonts w:ascii="Arial" w:hAnsi="Arial" w:cs="Arial"/>
        </w:rPr>
        <w:t>However, currently standards applying to monitoring and reporting of PM</w:t>
      </w:r>
      <w:r w:rsidR="00F64FE8" w:rsidRPr="006F1D04">
        <w:rPr>
          <w:rFonts w:ascii="Arial" w:hAnsi="Arial" w:cs="Arial"/>
          <w:vertAlign w:val="subscript"/>
        </w:rPr>
        <w:t>2.5</w:t>
      </w:r>
      <w:r w:rsidR="00F64FE8" w:rsidRPr="006F1D04">
        <w:rPr>
          <w:rFonts w:ascii="Arial" w:hAnsi="Arial" w:cs="Arial"/>
        </w:rPr>
        <w:t xml:space="preserve"> are advisory</w:t>
      </w:r>
      <w:r w:rsidR="00606C77" w:rsidRPr="006F1D04">
        <w:rPr>
          <w:rFonts w:ascii="Arial" w:hAnsi="Arial" w:cs="Arial"/>
        </w:rPr>
        <w:t xml:space="preserve"> in nature</w:t>
      </w:r>
      <w:r w:rsidR="00F64FE8" w:rsidRPr="006F1D04">
        <w:rPr>
          <w:rFonts w:ascii="Arial" w:hAnsi="Arial" w:cs="Arial"/>
        </w:rPr>
        <w:t>. In addition, there is currently no annual mean PM</w:t>
      </w:r>
      <w:r w:rsidR="00F64FE8" w:rsidRPr="006F1D04">
        <w:rPr>
          <w:rFonts w:ascii="Arial" w:hAnsi="Arial" w:cs="Arial"/>
          <w:vertAlign w:val="subscript"/>
        </w:rPr>
        <w:t>10</w:t>
      </w:r>
      <w:r w:rsidR="00F64FE8" w:rsidRPr="006F1D04">
        <w:rPr>
          <w:rFonts w:ascii="Arial" w:hAnsi="Arial" w:cs="Arial"/>
        </w:rPr>
        <w:t xml:space="preserve"> standard in the AAQ NEPM.</w:t>
      </w:r>
      <w:r w:rsidR="00634F04" w:rsidRPr="006F1D04">
        <w:rPr>
          <w:rFonts w:ascii="Arial" w:hAnsi="Arial" w:cs="Arial"/>
        </w:rPr>
        <w:t xml:space="preserve"> </w:t>
      </w:r>
    </w:p>
    <w:p w:rsidR="00634F04" w:rsidRPr="006F1D04" w:rsidRDefault="00634F04" w:rsidP="00634F04">
      <w:pPr>
        <w:spacing w:after="180"/>
        <w:rPr>
          <w:rFonts w:ascii="Arial" w:hAnsi="Arial" w:cs="Arial"/>
        </w:rPr>
      </w:pPr>
      <w:r w:rsidRPr="006F1D04">
        <w:rPr>
          <w:rFonts w:ascii="Arial" w:hAnsi="Arial" w:cs="Arial"/>
        </w:rPr>
        <w:t>Long-term studies have not provided evidence of a threshold for health effects. There is also evidence that exposure to PM at levels experienced in Australian cities is associated with health effects. There would therefore be health benefits from reducing exposure below these levels, and setting standards as low as reasonably achievable.</w:t>
      </w:r>
    </w:p>
    <w:p w:rsidR="00B4514F" w:rsidRPr="006F1D04" w:rsidRDefault="000B44D2" w:rsidP="00B4514F">
      <w:pPr>
        <w:spacing w:after="180"/>
        <w:rPr>
          <w:rFonts w:ascii="Arial" w:hAnsi="Arial" w:cs="Arial"/>
        </w:rPr>
      </w:pPr>
      <w:r w:rsidRPr="006F1D04">
        <w:rPr>
          <w:rFonts w:ascii="Arial" w:hAnsi="Arial" w:cs="Arial"/>
        </w:rPr>
        <w:t>The</w:t>
      </w:r>
      <w:r w:rsidR="00813D1B" w:rsidRPr="006F1D04">
        <w:rPr>
          <w:rFonts w:ascii="Arial" w:hAnsi="Arial" w:cs="Arial"/>
        </w:rPr>
        <w:t xml:space="preserve"> analysis of the PM monitoring data </w:t>
      </w:r>
      <w:r w:rsidR="00156603" w:rsidRPr="006F1D04">
        <w:rPr>
          <w:rFonts w:ascii="Arial" w:hAnsi="Arial" w:cs="Arial"/>
        </w:rPr>
        <w:t xml:space="preserve">has indicated that </w:t>
      </w:r>
      <w:r w:rsidR="00813D1B" w:rsidRPr="006F1D04">
        <w:rPr>
          <w:rFonts w:ascii="Arial" w:hAnsi="Arial" w:cs="Arial"/>
        </w:rPr>
        <w:t xml:space="preserve">the </w:t>
      </w:r>
      <w:r w:rsidR="009E5558" w:rsidRPr="006F1D04">
        <w:rPr>
          <w:rFonts w:ascii="Arial" w:hAnsi="Arial" w:cs="Arial"/>
        </w:rPr>
        <w:t>options for standards</w:t>
      </w:r>
      <w:r w:rsidR="00813D1B" w:rsidRPr="006F1D04">
        <w:rPr>
          <w:rFonts w:ascii="Arial" w:hAnsi="Arial" w:cs="Arial"/>
        </w:rPr>
        <w:t xml:space="preserve"> shown in </w:t>
      </w:r>
      <w:fldSimple w:instr=" REF _Ref367352649 \h  \* MERGEFORMAT ">
        <w:r w:rsidR="0085182E" w:rsidRPr="0085182E">
          <w:rPr>
            <w:rFonts w:ascii="Arial" w:hAnsi="Arial" w:cs="Arial"/>
            <w:b/>
          </w:rPr>
          <w:t>Table 9.1</w:t>
        </w:r>
      </w:fldSimple>
      <w:r w:rsidR="00813D1B" w:rsidRPr="006F1D04">
        <w:rPr>
          <w:rFonts w:ascii="Arial" w:hAnsi="Arial" w:cs="Arial"/>
        </w:rPr>
        <w:t xml:space="preserve"> </w:t>
      </w:r>
      <w:r w:rsidR="00156603" w:rsidRPr="006F1D04">
        <w:rPr>
          <w:rFonts w:ascii="Arial" w:hAnsi="Arial" w:cs="Arial"/>
        </w:rPr>
        <w:t>would be the mos</w:t>
      </w:r>
      <w:r w:rsidR="002861CF" w:rsidRPr="006F1D04">
        <w:rPr>
          <w:rFonts w:ascii="Arial" w:hAnsi="Arial" w:cs="Arial"/>
        </w:rPr>
        <w:t xml:space="preserve">t </w:t>
      </w:r>
      <w:r w:rsidR="0009368E">
        <w:rPr>
          <w:rFonts w:ascii="Arial" w:hAnsi="Arial" w:cs="Arial"/>
        </w:rPr>
        <w:t>feasible</w:t>
      </w:r>
      <w:r w:rsidR="002861CF" w:rsidRPr="006F1D04">
        <w:rPr>
          <w:rFonts w:ascii="Arial" w:hAnsi="Arial" w:cs="Arial"/>
        </w:rPr>
        <w:t xml:space="preserve"> and achievable given the current monitoring networks (i.e. sites and instruments)</w:t>
      </w:r>
      <w:r w:rsidR="00813D1B" w:rsidRPr="006F1D04">
        <w:rPr>
          <w:rFonts w:ascii="Arial" w:hAnsi="Arial" w:cs="Arial"/>
        </w:rPr>
        <w:t xml:space="preserve">. </w:t>
      </w:r>
      <w:r w:rsidR="00B4514F" w:rsidRPr="006F1D04">
        <w:rPr>
          <w:rFonts w:ascii="Arial" w:hAnsi="Arial" w:cs="Arial"/>
        </w:rPr>
        <w:t xml:space="preserve">These values have also been recommended by </w:t>
      </w:r>
      <w:proofErr w:type="spellStart"/>
      <w:r w:rsidR="00B4514F" w:rsidRPr="006F1D04">
        <w:rPr>
          <w:rFonts w:ascii="Arial" w:hAnsi="Arial" w:cs="Arial"/>
        </w:rPr>
        <w:t>enHealth</w:t>
      </w:r>
      <w:proofErr w:type="spellEnd"/>
      <w:r w:rsidR="00B4514F" w:rsidRPr="006F1D04">
        <w:rPr>
          <w:rFonts w:ascii="Arial" w:hAnsi="Arial" w:cs="Arial"/>
        </w:rPr>
        <w:t>.</w:t>
      </w:r>
      <w:r w:rsidR="00F26D08" w:rsidRPr="006F1D04">
        <w:rPr>
          <w:rFonts w:ascii="Arial" w:hAnsi="Arial" w:cs="Arial"/>
        </w:rPr>
        <w:t xml:space="preserve"> Tighter standards than these are unlikely to be achievable in all jurisdictions.</w:t>
      </w:r>
      <w:r w:rsidR="00B4514F" w:rsidRPr="006F1D04">
        <w:rPr>
          <w:rFonts w:ascii="Arial" w:hAnsi="Arial" w:cs="Arial"/>
        </w:rPr>
        <w:t xml:space="preserve"> </w:t>
      </w:r>
      <w:r w:rsidR="00813D1B" w:rsidRPr="006F1D04">
        <w:rPr>
          <w:rFonts w:ascii="Arial" w:hAnsi="Arial" w:cs="Arial"/>
        </w:rPr>
        <w:t>The Economic Analysis project also showed that these standards should be achievable in 2036</w:t>
      </w:r>
      <w:r w:rsidR="002861CF" w:rsidRPr="006F1D04">
        <w:rPr>
          <w:rFonts w:ascii="Arial" w:hAnsi="Arial" w:cs="Arial"/>
        </w:rPr>
        <w:t xml:space="preserve"> with a package of national abatement measures in place</w:t>
      </w:r>
      <w:r w:rsidR="00813D1B" w:rsidRPr="006F1D04">
        <w:rPr>
          <w:rFonts w:ascii="Arial" w:hAnsi="Arial" w:cs="Arial"/>
        </w:rPr>
        <w:t>. The net benefit of meeting each standard</w:t>
      </w:r>
      <w:r w:rsidR="00DB3EE1" w:rsidRPr="006F1D04">
        <w:rPr>
          <w:rFonts w:ascii="Arial" w:hAnsi="Arial" w:cs="Arial"/>
        </w:rPr>
        <w:t>, or variation thereof,</w:t>
      </w:r>
      <w:r w:rsidR="00813D1B" w:rsidRPr="006F1D04">
        <w:rPr>
          <w:rFonts w:ascii="Arial" w:hAnsi="Arial" w:cs="Arial"/>
        </w:rPr>
        <w:t xml:space="preserve"> by 2036 – taking into account the costs of abatement as well as the health benefits – would be similar</w:t>
      </w:r>
      <w:r w:rsidR="002861CF" w:rsidRPr="006F1D04">
        <w:rPr>
          <w:rFonts w:ascii="Arial" w:hAnsi="Arial" w:cs="Arial"/>
        </w:rPr>
        <w:t>,</w:t>
      </w:r>
      <w:r w:rsidR="00813D1B" w:rsidRPr="006F1D04">
        <w:rPr>
          <w:rFonts w:ascii="Arial" w:hAnsi="Arial" w:cs="Arial"/>
        </w:rPr>
        <w:t xml:space="preserve"> at around $6.4 to $7 billion.</w:t>
      </w:r>
    </w:p>
    <w:p w:rsidR="00DD0B7A" w:rsidRPr="006F1D04" w:rsidRDefault="00DD0B7A" w:rsidP="00DD0B7A">
      <w:pPr>
        <w:rPr>
          <w:rFonts w:ascii="Arial" w:hAnsi="Arial" w:cs="Arial"/>
        </w:rPr>
      </w:pPr>
      <w:r w:rsidRPr="006F1D04">
        <w:rPr>
          <w:rFonts w:ascii="Arial" w:hAnsi="Arial" w:cs="Arial"/>
        </w:rPr>
        <w:t>No single preferred option has been selected for the 24-hour PM</w:t>
      </w:r>
      <w:r w:rsidRPr="006F1D04">
        <w:rPr>
          <w:rFonts w:ascii="Arial" w:hAnsi="Arial" w:cs="Arial"/>
          <w:vertAlign w:val="subscript"/>
        </w:rPr>
        <w:t>10</w:t>
      </w:r>
      <w:r w:rsidRPr="006F1D04">
        <w:rPr>
          <w:rFonts w:ascii="Arial" w:hAnsi="Arial" w:cs="Arial"/>
        </w:rPr>
        <w:t xml:space="preserve"> standard, as achievability in the different jurisdictions needs to be discussed further. The PM</w:t>
      </w:r>
      <w:r w:rsidRPr="006F1D04">
        <w:rPr>
          <w:rFonts w:ascii="Arial" w:hAnsi="Arial" w:cs="Arial"/>
          <w:vertAlign w:val="subscript"/>
        </w:rPr>
        <w:t>10</w:t>
      </w:r>
      <w:r w:rsidRPr="006F1D04">
        <w:rPr>
          <w:rFonts w:ascii="Arial" w:hAnsi="Arial" w:cs="Arial"/>
        </w:rPr>
        <w:t xml:space="preserve"> monitoring data and the Economic Analysis indicated that a tightening of the 24-hour standard for PM</w:t>
      </w:r>
      <w:r w:rsidRPr="006F1D04">
        <w:rPr>
          <w:rFonts w:ascii="Arial" w:hAnsi="Arial" w:cs="Arial"/>
          <w:vertAlign w:val="subscript"/>
        </w:rPr>
        <w:t>10</w:t>
      </w:r>
      <w:r w:rsidRPr="006F1D04">
        <w:rPr>
          <w:rFonts w:ascii="Arial" w:hAnsi="Arial" w:cs="Arial"/>
        </w:rPr>
        <w:t xml:space="preserve"> (currently 50 </w:t>
      </w:r>
      <w:proofErr w:type="spellStart"/>
      <w:r w:rsidRPr="006F1D04">
        <w:rPr>
          <w:rFonts w:ascii="Arial" w:hAnsi="Arial" w:cs="Arial"/>
        </w:rPr>
        <w:t>μg</w:t>
      </w:r>
      <w:proofErr w:type="spellEnd"/>
      <w:r w:rsidRPr="006F1D04">
        <w:rPr>
          <w:rFonts w:ascii="Arial" w:hAnsi="Arial" w:cs="Arial"/>
        </w:rPr>
        <w:t>/m</w:t>
      </w:r>
      <w:r w:rsidRPr="006F1D04">
        <w:rPr>
          <w:rFonts w:ascii="Arial" w:hAnsi="Arial" w:cs="Arial"/>
          <w:vertAlign w:val="superscript"/>
        </w:rPr>
        <w:t>3</w:t>
      </w:r>
      <w:r w:rsidRPr="006F1D04">
        <w:rPr>
          <w:rFonts w:ascii="Arial" w:hAnsi="Arial" w:cs="Arial"/>
        </w:rPr>
        <w:t xml:space="preserve">) could encourage future improvements in air quality. A change to a standard of 40 </w:t>
      </w:r>
      <w:proofErr w:type="spellStart"/>
      <w:r w:rsidRPr="006F1D04">
        <w:rPr>
          <w:rFonts w:ascii="Arial" w:hAnsi="Arial" w:cs="Arial"/>
        </w:rPr>
        <w:t>μg</w:t>
      </w:r>
      <w:proofErr w:type="spellEnd"/>
      <w:r w:rsidRPr="006F1D04">
        <w:rPr>
          <w:rFonts w:ascii="Arial" w:hAnsi="Arial" w:cs="Arial"/>
        </w:rPr>
        <w:t>/m</w:t>
      </w:r>
      <w:r w:rsidRPr="006F1D04">
        <w:rPr>
          <w:rFonts w:ascii="Arial" w:hAnsi="Arial" w:cs="Arial"/>
          <w:vertAlign w:val="superscript"/>
        </w:rPr>
        <w:t>3</w:t>
      </w:r>
      <w:r w:rsidRPr="006F1D04">
        <w:rPr>
          <w:rFonts w:ascii="Arial" w:hAnsi="Arial" w:cs="Arial"/>
        </w:rPr>
        <w:t xml:space="preserve"> would be possible; however, moving to the lower value could present some difficulties in certain jurisdictions. An alternative would be to consider an intermediate option of 45 </w:t>
      </w:r>
      <w:proofErr w:type="spellStart"/>
      <w:r w:rsidRPr="006F1D04">
        <w:rPr>
          <w:rFonts w:ascii="Arial" w:hAnsi="Arial" w:cs="Arial"/>
        </w:rPr>
        <w:t>μg</w:t>
      </w:r>
      <w:proofErr w:type="spellEnd"/>
      <w:r w:rsidRPr="006F1D04">
        <w:rPr>
          <w:rFonts w:ascii="Arial" w:hAnsi="Arial" w:cs="Arial"/>
        </w:rPr>
        <w:t>/m</w:t>
      </w:r>
      <w:r w:rsidRPr="006F1D04">
        <w:rPr>
          <w:rFonts w:ascii="Arial" w:hAnsi="Arial" w:cs="Arial"/>
          <w:vertAlign w:val="superscript"/>
        </w:rPr>
        <w:t>3</w:t>
      </w:r>
      <w:r w:rsidRPr="006F1D04">
        <w:rPr>
          <w:rFonts w:ascii="Arial" w:hAnsi="Arial" w:cs="Arial"/>
        </w:rPr>
        <w:t>.</w:t>
      </w:r>
    </w:p>
    <w:p w:rsidR="00813D1B" w:rsidRPr="006F1D04" w:rsidRDefault="00813D1B" w:rsidP="00813D1B">
      <w:pPr>
        <w:pStyle w:val="Caption"/>
        <w:rPr>
          <w:rFonts w:ascii="Arial" w:hAnsi="Arial" w:cs="Arial"/>
        </w:rPr>
      </w:pPr>
      <w:bookmarkStart w:id="197" w:name="_Ref367352649"/>
      <w:r w:rsidRPr="006F1D04">
        <w:rPr>
          <w:rFonts w:ascii="Arial" w:hAnsi="Arial" w:cs="Arial"/>
        </w:rPr>
        <w:lastRenderedPageBreak/>
        <w:t xml:space="preserve">Table </w:t>
      </w:r>
      <w:r w:rsidR="00BF6019" w:rsidRPr="006F1D04">
        <w:rPr>
          <w:rFonts w:ascii="Arial" w:hAnsi="Arial" w:cs="Arial"/>
        </w:rPr>
        <w:fldChar w:fldCharType="begin"/>
      </w:r>
      <w:r w:rsidRPr="006F1D04">
        <w:rPr>
          <w:rFonts w:ascii="Arial" w:hAnsi="Arial" w:cs="Arial"/>
        </w:rPr>
        <w:instrText xml:space="preserve"> STYLEREF 1 \s </w:instrText>
      </w:r>
      <w:r w:rsidR="00BF6019" w:rsidRPr="006F1D04">
        <w:rPr>
          <w:rFonts w:ascii="Arial" w:hAnsi="Arial" w:cs="Arial"/>
        </w:rPr>
        <w:fldChar w:fldCharType="separate"/>
      </w:r>
      <w:r w:rsidR="0085182E">
        <w:rPr>
          <w:rFonts w:ascii="Arial" w:hAnsi="Arial" w:cs="Arial"/>
          <w:noProof/>
        </w:rPr>
        <w:t>9</w:t>
      </w:r>
      <w:r w:rsidR="00BF6019" w:rsidRPr="006F1D04">
        <w:rPr>
          <w:rFonts w:ascii="Arial" w:hAnsi="Arial" w:cs="Arial"/>
        </w:rPr>
        <w:fldChar w:fldCharType="end"/>
      </w:r>
      <w:r w:rsidRPr="006F1D04">
        <w:rPr>
          <w:rFonts w:ascii="Arial" w:hAnsi="Arial" w:cs="Arial"/>
        </w:rPr>
        <w:t>.</w:t>
      </w:r>
      <w:r w:rsidR="00BF6019" w:rsidRPr="006F1D04">
        <w:rPr>
          <w:rFonts w:ascii="Arial" w:hAnsi="Arial" w:cs="Arial"/>
        </w:rPr>
        <w:fldChar w:fldCharType="begin"/>
      </w:r>
      <w:r w:rsidRPr="006F1D04">
        <w:rPr>
          <w:rFonts w:ascii="Arial" w:hAnsi="Arial" w:cs="Arial"/>
        </w:rPr>
        <w:instrText xml:space="preserve"> SEQ Table \* ARABIC \s 1 </w:instrText>
      </w:r>
      <w:r w:rsidR="00BF6019" w:rsidRPr="006F1D04">
        <w:rPr>
          <w:rFonts w:ascii="Arial" w:hAnsi="Arial" w:cs="Arial"/>
        </w:rPr>
        <w:fldChar w:fldCharType="separate"/>
      </w:r>
      <w:r w:rsidR="0085182E">
        <w:rPr>
          <w:rFonts w:ascii="Arial" w:hAnsi="Arial" w:cs="Arial"/>
          <w:noProof/>
        </w:rPr>
        <w:t>1</w:t>
      </w:r>
      <w:r w:rsidR="00BF6019" w:rsidRPr="006F1D04">
        <w:rPr>
          <w:rFonts w:ascii="Arial" w:hAnsi="Arial" w:cs="Arial"/>
        </w:rPr>
        <w:fldChar w:fldCharType="end"/>
      </w:r>
      <w:bookmarkEnd w:id="197"/>
      <w:r w:rsidRPr="006F1D04">
        <w:rPr>
          <w:rFonts w:ascii="Arial" w:hAnsi="Arial" w:cs="Arial"/>
        </w:rPr>
        <w:t>: Preferred values of PM standards</w:t>
      </w:r>
    </w:p>
    <w:tbl>
      <w:tblPr>
        <w:tblW w:w="0" w:type="auto"/>
        <w:jc w:val="center"/>
        <w:tblLook w:val="00A0"/>
      </w:tblPr>
      <w:tblGrid>
        <w:gridCol w:w="733"/>
        <w:gridCol w:w="1417"/>
        <w:gridCol w:w="2410"/>
        <w:gridCol w:w="2523"/>
        <w:gridCol w:w="1422"/>
      </w:tblGrid>
      <w:tr w:rsidR="00813D1B" w:rsidRPr="006F1D04" w:rsidTr="00DD0B7A">
        <w:trPr>
          <w:trHeight w:val="567"/>
          <w:jc w:val="center"/>
        </w:trPr>
        <w:tc>
          <w:tcPr>
            <w:tcW w:w="733"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813D1B" w:rsidRPr="006F1D04" w:rsidRDefault="00813D1B" w:rsidP="00634C04">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Metric</w:t>
            </w:r>
          </w:p>
        </w:tc>
        <w:tc>
          <w:tcPr>
            <w:tcW w:w="1417"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813D1B" w:rsidRPr="006F1D04" w:rsidRDefault="00813D1B" w:rsidP="00634C04">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Averaging period</w:t>
            </w:r>
          </w:p>
        </w:tc>
        <w:tc>
          <w:tcPr>
            <w:tcW w:w="2410"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813D1B" w:rsidRPr="006F1D04" w:rsidRDefault="00E74AAB" w:rsidP="00634C04">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Current</w:t>
            </w:r>
          </w:p>
          <w:p w:rsidR="00E74AAB" w:rsidRPr="006F1D04" w:rsidRDefault="00E74AAB" w:rsidP="00634C04">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standards</w:t>
            </w:r>
          </w:p>
        </w:tc>
        <w:tc>
          <w:tcPr>
            <w:tcW w:w="2523"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813D1B" w:rsidRPr="006F1D04" w:rsidRDefault="00244A5A" w:rsidP="00244A5A">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 xml:space="preserve">Options for </w:t>
            </w:r>
            <w:r w:rsidR="004D5DE2" w:rsidRPr="006F1D04">
              <w:rPr>
                <w:rFonts w:ascii="Arial" w:hAnsi="Arial" w:cs="Arial"/>
                <w:b/>
                <w:color w:val="FFFFFF"/>
                <w:sz w:val="15"/>
                <w:szCs w:val="15"/>
              </w:rPr>
              <w:t>s</w:t>
            </w:r>
            <w:r w:rsidR="00813D1B" w:rsidRPr="006F1D04">
              <w:rPr>
                <w:rFonts w:ascii="Arial" w:hAnsi="Arial" w:cs="Arial"/>
                <w:b/>
                <w:color w:val="FFFFFF"/>
                <w:sz w:val="15"/>
                <w:szCs w:val="15"/>
              </w:rPr>
              <w:t>tandard</w:t>
            </w:r>
            <w:r w:rsidR="00E74AAB" w:rsidRPr="006F1D04">
              <w:rPr>
                <w:rFonts w:ascii="Arial" w:hAnsi="Arial" w:cs="Arial"/>
                <w:b/>
                <w:color w:val="FFFFFF"/>
                <w:sz w:val="15"/>
                <w:szCs w:val="15"/>
              </w:rPr>
              <w:t xml:space="preserve">s </w:t>
            </w:r>
          </w:p>
        </w:tc>
        <w:tc>
          <w:tcPr>
            <w:tcW w:w="1422"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813D1B" w:rsidRPr="006F1D04" w:rsidRDefault="00813D1B" w:rsidP="00634C04">
            <w:pPr>
              <w:spacing w:after="0" w:line="240" w:lineRule="auto"/>
              <w:jc w:val="center"/>
              <w:rPr>
                <w:rFonts w:ascii="Arial" w:hAnsi="Arial" w:cs="Arial"/>
                <w:b/>
                <w:color w:val="FFFFFF"/>
                <w:sz w:val="15"/>
                <w:szCs w:val="15"/>
              </w:rPr>
            </w:pPr>
            <w:r w:rsidRPr="006F1D04">
              <w:rPr>
                <w:rFonts w:ascii="Arial" w:hAnsi="Arial" w:cs="Arial"/>
                <w:b/>
                <w:color w:val="FFFFFF"/>
                <w:sz w:val="15"/>
                <w:szCs w:val="15"/>
              </w:rPr>
              <w:t>Allowed exceedances</w:t>
            </w:r>
          </w:p>
        </w:tc>
      </w:tr>
      <w:tr w:rsidR="00813D1B" w:rsidRPr="006F1D04" w:rsidTr="00DD0B7A">
        <w:trPr>
          <w:trHeight w:hRule="exact" w:val="397"/>
          <w:jc w:val="center"/>
        </w:trPr>
        <w:tc>
          <w:tcPr>
            <w:tcW w:w="733" w:type="dxa"/>
            <w:vMerge w:val="restart"/>
            <w:tcBorders>
              <w:top w:val="single" w:sz="4" w:space="0" w:color="0070C0"/>
              <w:left w:val="single" w:sz="4" w:space="0" w:color="0070C0"/>
              <w:right w:val="single" w:sz="4" w:space="0" w:color="0070C0"/>
            </w:tcBorders>
            <w:vAlign w:val="center"/>
          </w:tcPr>
          <w:p w:rsidR="00813D1B" w:rsidRPr="006F1D04" w:rsidRDefault="00813D1B" w:rsidP="00634C04">
            <w:pPr>
              <w:spacing w:after="0" w:line="240" w:lineRule="auto"/>
              <w:jc w:val="center"/>
              <w:rPr>
                <w:rFonts w:ascii="Arial" w:hAnsi="Arial" w:cs="Arial"/>
                <w:sz w:val="15"/>
                <w:szCs w:val="15"/>
              </w:rPr>
            </w:pPr>
            <w:r w:rsidRPr="006F1D04">
              <w:rPr>
                <w:rFonts w:ascii="Arial" w:hAnsi="Arial" w:cs="Arial"/>
                <w:sz w:val="15"/>
                <w:szCs w:val="15"/>
              </w:rPr>
              <w:t>PM</w:t>
            </w:r>
            <w:r w:rsidRPr="006F1D04">
              <w:rPr>
                <w:rFonts w:ascii="Arial" w:hAnsi="Arial" w:cs="Arial"/>
                <w:sz w:val="15"/>
                <w:szCs w:val="15"/>
                <w:vertAlign w:val="subscript"/>
              </w:rPr>
              <w:t>10</w:t>
            </w:r>
          </w:p>
        </w:tc>
        <w:tc>
          <w:tcPr>
            <w:tcW w:w="1417" w:type="dxa"/>
            <w:tcBorders>
              <w:top w:val="single" w:sz="4" w:space="0" w:color="0070C0"/>
              <w:left w:val="single" w:sz="4" w:space="0" w:color="0070C0"/>
              <w:bottom w:val="dotted" w:sz="4" w:space="0" w:color="0070C0"/>
              <w:right w:val="single" w:sz="4" w:space="0" w:color="0070C0"/>
            </w:tcBorders>
            <w:vAlign w:val="center"/>
          </w:tcPr>
          <w:p w:rsidR="00813D1B" w:rsidRPr="006F1D04" w:rsidRDefault="00813D1B" w:rsidP="00634C04">
            <w:pPr>
              <w:spacing w:after="0" w:line="240" w:lineRule="auto"/>
              <w:jc w:val="center"/>
              <w:rPr>
                <w:rFonts w:ascii="Arial" w:hAnsi="Arial" w:cs="Arial"/>
                <w:sz w:val="15"/>
                <w:szCs w:val="15"/>
              </w:rPr>
            </w:pPr>
            <w:r w:rsidRPr="006F1D04">
              <w:rPr>
                <w:rFonts w:ascii="Arial" w:hAnsi="Arial" w:cs="Arial"/>
                <w:sz w:val="15"/>
                <w:szCs w:val="15"/>
              </w:rPr>
              <w:t>Annual mean</w:t>
            </w:r>
          </w:p>
        </w:tc>
        <w:tc>
          <w:tcPr>
            <w:tcW w:w="2410" w:type="dxa"/>
            <w:tcBorders>
              <w:top w:val="single" w:sz="4" w:space="0" w:color="0070C0"/>
              <w:left w:val="single" w:sz="4" w:space="0" w:color="0070C0"/>
              <w:bottom w:val="dotted" w:sz="4" w:space="0" w:color="0070C0"/>
              <w:right w:val="single" w:sz="4" w:space="0" w:color="0070C0"/>
            </w:tcBorders>
            <w:vAlign w:val="center"/>
          </w:tcPr>
          <w:p w:rsidR="00813D1B" w:rsidRPr="006F1D04" w:rsidRDefault="00E1688C" w:rsidP="00E1688C">
            <w:pPr>
              <w:spacing w:after="0" w:line="240" w:lineRule="auto"/>
              <w:jc w:val="center"/>
              <w:rPr>
                <w:rFonts w:ascii="Arial" w:hAnsi="Arial" w:cs="Arial"/>
                <w:sz w:val="15"/>
                <w:szCs w:val="15"/>
              </w:rPr>
            </w:pPr>
            <w:r w:rsidRPr="006F1D04">
              <w:rPr>
                <w:rFonts w:ascii="Arial" w:hAnsi="Arial" w:cs="Arial"/>
                <w:sz w:val="15"/>
                <w:szCs w:val="15"/>
              </w:rPr>
              <w:t>None</w:t>
            </w:r>
          </w:p>
        </w:tc>
        <w:tc>
          <w:tcPr>
            <w:tcW w:w="2523" w:type="dxa"/>
            <w:tcBorders>
              <w:top w:val="single" w:sz="4" w:space="0" w:color="0070C0"/>
              <w:left w:val="single" w:sz="4" w:space="0" w:color="0070C0"/>
              <w:bottom w:val="dotted" w:sz="4" w:space="0" w:color="0070C0"/>
              <w:right w:val="single" w:sz="4" w:space="0" w:color="0070C0"/>
            </w:tcBorders>
            <w:vAlign w:val="center"/>
          </w:tcPr>
          <w:p w:rsidR="00813D1B" w:rsidRPr="006F1D04" w:rsidRDefault="00916BBC" w:rsidP="00916BBC">
            <w:pPr>
              <w:spacing w:after="0" w:line="240" w:lineRule="auto"/>
              <w:jc w:val="center"/>
              <w:rPr>
                <w:rFonts w:ascii="Arial" w:hAnsi="Arial" w:cs="Arial"/>
                <w:sz w:val="15"/>
                <w:szCs w:val="15"/>
              </w:rPr>
            </w:pPr>
            <w:r>
              <w:rPr>
                <w:rFonts w:ascii="Arial" w:hAnsi="Arial" w:cs="Arial"/>
                <w:sz w:val="15"/>
                <w:szCs w:val="15"/>
              </w:rPr>
              <w:t>No standards with consideration of </w:t>
            </w:r>
            <w:r w:rsidR="00813D1B" w:rsidRPr="006F1D04">
              <w:rPr>
                <w:rFonts w:ascii="Arial" w:hAnsi="Arial" w:cs="Arial"/>
                <w:sz w:val="15"/>
                <w:szCs w:val="15"/>
              </w:rPr>
              <w:t xml:space="preserve">20 </w:t>
            </w:r>
            <w:proofErr w:type="spellStart"/>
            <w:r w:rsidR="00813D1B" w:rsidRPr="006F1D04">
              <w:rPr>
                <w:rFonts w:ascii="Arial" w:hAnsi="Arial" w:cs="Arial"/>
                <w:sz w:val="15"/>
                <w:szCs w:val="15"/>
              </w:rPr>
              <w:t>μg</w:t>
            </w:r>
            <w:proofErr w:type="spellEnd"/>
            <w:r w:rsidR="00813D1B" w:rsidRPr="006F1D04">
              <w:rPr>
                <w:rFonts w:ascii="Arial" w:hAnsi="Arial" w:cs="Arial"/>
                <w:sz w:val="15"/>
                <w:szCs w:val="15"/>
              </w:rPr>
              <w:t>/m</w:t>
            </w:r>
            <w:r w:rsidR="00813D1B" w:rsidRPr="006F1D04">
              <w:rPr>
                <w:rFonts w:ascii="Arial" w:hAnsi="Arial" w:cs="Arial"/>
                <w:sz w:val="15"/>
                <w:szCs w:val="15"/>
                <w:vertAlign w:val="superscript"/>
              </w:rPr>
              <w:t>3</w:t>
            </w:r>
          </w:p>
        </w:tc>
        <w:tc>
          <w:tcPr>
            <w:tcW w:w="1422" w:type="dxa"/>
            <w:tcBorders>
              <w:top w:val="single" w:sz="4" w:space="0" w:color="0070C0"/>
              <w:left w:val="single" w:sz="4" w:space="0" w:color="0070C0"/>
              <w:bottom w:val="dotted" w:sz="4" w:space="0" w:color="0070C0"/>
              <w:right w:val="single" w:sz="4" w:space="0" w:color="0070C0"/>
            </w:tcBorders>
            <w:vAlign w:val="center"/>
          </w:tcPr>
          <w:p w:rsidR="00813D1B" w:rsidRPr="006F1D04" w:rsidRDefault="00813D1B" w:rsidP="00634C04">
            <w:pPr>
              <w:spacing w:after="0" w:line="240" w:lineRule="auto"/>
              <w:jc w:val="center"/>
              <w:rPr>
                <w:rFonts w:ascii="Arial" w:hAnsi="Arial" w:cs="Arial"/>
                <w:sz w:val="15"/>
                <w:szCs w:val="15"/>
              </w:rPr>
            </w:pPr>
            <w:r w:rsidRPr="006F1D04">
              <w:rPr>
                <w:rFonts w:ascii="Arial" w:hAnsi="Arial" w:cs="Arial"/>
                <w:sz w:val="15"/>
                <w:szCs w:val="15"/>
              </w:rPr>
              <w:t>N/A</w:t>
            </w:r>
          </w:p>
        </w:tc>
      </w:tr>
      <w:tr w:rsidR="00813D1B" w:rsidRPr="006F1D04" w:rsidTr="00DD0B7A">
        <w:trPr>
          <w:trHeight w:hRule="exact" w:val="648"/>
          <w:jc w:val="center"/>
        </w:trPr>
        <w:tc>
          <w:tcPr>
            <w:tcW w:w="733" w:type="dxa"/>
            <w:vMerge/>
            <w:tcBorders>
              <w:left w:val="single" w:sz="4" w:space="0" w:color="0070C0"/>
              <w:bottom w:val="single" w:sz="4" w:space="0" w:color="0070C0"/>
              <w:right w:val="single" w:sz="4" w:space="0" w:color="0070C0"/>
            </w:tcBorders>
            <w:vAlign w:val="center"/>
          </w:tcPr>
          <w:p w:rsidR="00813D1B" w:rsidRPr="006F1D04" w:rsidRDefault="00813D1B" w:rsidP="00634C04">
            <w:pPr>
              <w:spacing w:after="0" w:line="240" w:lineRule="auto"/>
              <w:jc w:val="center"/>
              <w:rPr>
                <w:rFonts w:ascii="Arial" w:hAnsi="Arial" w:cs="Arial"/>
                <w:sz w:val="15"/>
                <w:szCs w:val="15"/>
              </w:rPr>
            </w:pPr>
          </w:p>
        </w:tc>
        <w:tc>
          <w:tcPr>
            <w:tcW w:w="1417" w:type="dxa"/>
            <w:tcBorders>
              <w:top w:val="dotted" w:sz="4" w:space="0" w:color="0070C0"/>
              <w:left w:val="single" w:sz="4" w:space="0" w:color="0070C0"/>
              <w:bottom w:val="single" w:sz="4" w:space="0" w:color="0070C0"/>
              <w:right w:val="single" w:sz="4" w:space="0" w:color="0070C0"/>
            </w:tcBorders>
            <w:vAlign w:val="center"/>
          </w:tcPr>
          <w:p w:rsidR="00813D1B" w:rsidRPr="006F1D04" w:rsidRDefault="00813D1B" w:rsidP="00634C04">
            <w:pPr>
              <w:spacing w:after="0" w:line="240" w:lineRule="auto"/>
              <w:jc w:val="center"/>
              <w:rPr>
                <w:rFonts w:ascii="Arial" w:hAnsi="Arial" w:cs="Arial"/>
                <w:sz w:val="15"/>
                <w:szCs w:val="15"/>
              </w:rPr>
            </w:pPr>
            <w:r w:rsidRPr="006F1D04">
              <w:rPr>
                <w:rFonts w:ascii="Arial" w:hAnsi="Arial" w:cs="Arial"/>
                <w:sz w:val="15"/>
                <w:szCs w:val="15"/>
              </w:rPr>
              <w:t>24-hour mean</w:t>
            </w:r>
          </w:p>
        </w:tc>
        <w:tc>
          <w:tcPr>
            <w:tcW w:w="2410" w:type="dxa"/>
            <w:tcBorders>
              <w:top w:val="dotted" w:sz="4" w:space="0" w:color="0070C0"/>
              <w:left w:val="single" w:sz="4" w:space="0" w:color="0070C0"/>
              <w:bottom w:val="single" w:sz="4" w:space="0" w:color="0070C0"/>
              <w:right w:val="single" w:sz="4" w:space="0" w:color="0070C0"/>
            </w:tcBorders>
            <w:vAlign w:val="center"/>
          </w:tcPr>
          <w:p w:rsidR="00813D1B" w:rsidRPr="006F1D04" w:rsidRDefault="00E1688C" w:rsidP="00634C04">
            <w:pPr>
              <w:spacing w:after="0" w:line="240" w:lineRule="auto"/>
              <w:jc w:val="center"/>
              <w:rPr>
                <w:rFonts w:ascii="Arial" w:hAnsi="Arial" w:cs="Arial"/>
                <w:sz w:val="15"/>
                <w:szCs w:val="15"/>
              </w:rPr>
            </w:pPr>
            <w:r w:rsidRPr="006F1D04">
              <w:rPr>
                <w:rFonts w:ascii="Arial" w:hAnsi="Arial" w:cs="Arial"/>
                <w:sz w:val="15"/>
                <w:szCs w:val="15"/>
              </w:rPr>
              <w:t xml:space="preserve">50 </w:t>
            </w:r>
            <w:proofErr w:type="spellStart"/>
            <w:r w:rsidRPr="006F1D04">
              <w:rPr>
                <w:rFonts w:ascii="Arial" w:hAnsi="Arial" w:cs="Arial"/>
                <w:sz w:val="15"/>
                <w:szCs w:val="15"/>
              </w:rPr>
              <w:t>μg</w:t>
            </w:r>
            <w:proofErr w:type="spellEnd"/>
            <w:r w:rsidRPr="006F1D04">
              <w:rPr>
                <w:rFonts w:ascii="Arial" w:hAnsi="Arial" w:cs="Arial"/>
                <w:sz w:val="15"/>
                <w:szCs w:val="15"/>
              </w:rPr>
              <w:t>/m</w:t>
            </w:r>
            <w:r w:rsidRPr="006F1D04">
              <w:rPr>
                <w:rFonts w:ascii="Arial" w:hAnsi="Arial" w:cs="Arial"/>
                <w:sz w:val="15"/>
                <w:szCs w:val="15"/>
                <w:vertAlign w:val="superscript"/>
              </w:rPr>
              <w:t>3</w:t>
            </w:r>
          </w:p>
        </w:tc>
        <w:tc>
          <w:tcPr>
            <w:tcW w:w="2523" w:type="dxa"/>
            <w:tcBorders>
              <w:top w:val="dotted" w:sz="4" w:space="0" w:color="0070C0"/>
              <w:left w:val="single" w:sz="4" w:space="0" w:color="0070C0"/>
              <w:bottom w:val="single" w:sz="4" w:space="0" w:color="0070C0"/>
              <w:right w:val="single" w:sz="4" w:space="0" w:color="0070C0"/>
            </w:tcBorders>
            <w:vAlign w:val="center"/>
          </w:tcPr>
          <w:p w:rsidR="00813D1B" w:rsidRPr="006F1D04" w:rsidRDefault="00813D1B" w:rsidP="00916BBC">
            <w:pPr>
              <w:spacing w:after="0" w:line="240" w:lineRule="auto"/>
              <w:jc w:val="center"/>
              <w:rPr>
                <w:rFonts w:ascii="Arial" w:hAnsi="Arial" w:cs="Arial"/>
                <w:sz w:val="15"/>
                <w:szCs w:val="15"/>
              </w:rPr>
            </w:pPr>
            <w:r w:rsidRPr="006F1D04">
              <w:rPr>
                <w:rFonts w:ascii="Arial" w:hAnsi="Arial" w:cs="Arial"/>
                <w:sz w:val="15"/>
                <w:szCs w:val="15"/>
              </w:rPr>
              <w:t xml:space="preserve">50 </w:t>
            </w:r>
            <w:proofErr w:type="spellStart"/>
            <w:r w:rsidRPr="006F1D04">
              <w:rPr>
                <w:rFonts w:ascii="Arial" w:hAnsi="Arial" w:cs="Arial"/>
                <w:sz w:val="15"/>
                <w:szCs w:val="15"/>
              </w:rPr>
              <w:t>μg</w:t>
            </w:r>
            <w:proofErr w:type="spellEnd"/>
            <w:r w:rsidRPr="006F1D04">
              <w:rPr>
                <w:rFonts w:ascii="Arial" w:hAnsi="Arial" w:cs="Arial"/>
                <w:sz w:val="15"/>
                <w:szCs w:val="15"/>
              </w:rPr>
              <w:t>/m</w:t>
            </w:r>
            <w:r w:rsidRPr="006F1D04">
              <w:rPr>
                <w:rFonts w:ascii="Arial" w:hAnsi="Arial" w:cs="Arial"/>
                <w:sz w:val="15"/>
                <w:szCs w:val="15"/>
                <w:vertAlign w:val="superscript"/>
              </w:rPr>
              <w:t>3</w:t>
            </w:r>
            <w:r w:rsidRPr="006F1D04">
              <w:rPr>
                <w:rFonts w:ascii="Arial" w:hAnsi="Arial" w:cs="Arial"/>
                <w:sz w:val="15"/>
                <w:szCs w:val="15"/>
              </w:rPr>
              <w:t>, with consideration of</w:t>
            </w:r>
            <w:r w:rsidR="00916BBC">
              <w:rPr>
                <w:rFonts w:ascii="Arial" w:hAnsi="Arial" w:cs="Arial"/>
                <w:sz w:val="15"/>
                <w:szCs w:val="15"/>
              </w:rPr>
              <w:t> </w:t>
            </w:r>
            <w:r w:rsidRPr="006F1D04">
              <w:rPr>
                <w:rFonts w:ascii="Arial" w:hAnsi="Arial" w:cs="Arial"/>
                <w:sz w:val="15"/>
                <w:szCs w:val="15"/>
              </w:rPr>
              <w:t>45</w:t>
            </w:r>
            <w:r w:rsidR="00916BBC">
              <w:rPr>
                <w:rFonts w:ascii="Arial" w:hAnsi="Arial" w:cs="Arial"/>
                <w:sz w:val="15"/>
                <w:szCs w:val="15"/>
              </w:rPr>
              <w:t> </w:t>
            </w:r>
            <w:proofErr w:type="spellStart"/>
            <w:r w:rsidRPr="006F1D04">
              <w:rPr>
                <w:rFonts w:ascii="Arial" w:hAnsi="Arial" w:cs="Arial"/>
                <w:sz w:val="15"/>
                <w:szCs w:val="15"/>
              </w:rPr>
              <w:t>μg</w:t>
            </w:r>
            <w:proofErr w:type="spellEnd"/>
            <w:r w:rsidRPr="006F1D04">
              <w:rPr>
                <w:rFonts w:ascii="Arial" w:hAnsi="Arial" w:cs="Arial"/>
                <w:sz w:val="15"/>
                <w:szCs w:val="15"/>
              </w:rPr>
              <w:t>/m</w:t>
            </w:r>
            <w:r w:rsidRPr="006F1D04">
              <w:rPr>
                <w:rFonts w:ascii="Arial" w:hAnsi="Arial" w:cs="Arial"/>
                <w:sz w:val="15"/>
                <w:szCs w:val="15"/>
                <w:vertAlign w:val="superscript"/>
              </w:rPr>
              <w:t>3</w:t>
            </w:r>
            <w:r w:rsidRPr="006F1D04">
              <w:rPr>
                <w:rFonts w:ascii="Arial" w:hAnsi="Arial" w:cs="Arial"/>
                <w:sz w:val="15"/>
                <w:szCs w:val="15"/>
              </w:rPr>
              <w:t xml:space="preserve"> and 40 </w:t>
            </w:r>
            <w:proofErr w:type="spellStart"/>
            <w:r w:rsidRPr="006F1D04">
              <w:rPr>
                <w:rFonts w:ascii="Arial" w:hAnsi="Arial" w:cs="Arial"/>
                <w:sz w:val="15"/>
                <w:szCs w:val="15"/>
              </w:rPr>
              <w:t>μg</w:t>
            </w:r>
            <w:proofErr w:type="spellEnd"/>
            <w:r w:rsidRPr="006F1D04">
              <w:rPr>
                <w:rFonts w:ascii="Arial" w:hAnsi="Arial" w:cs="Arial"/>
                <w:sz w:val="15"/>
                <w:szCs w:val="15"/>
              </w:rPr>
              <w:t>/m</w:t>
            </w:r>
            <w:r w:rsidRPr="006F1D04">
              <w:rPr>
                <w:rFonts w:ascii="Arial" w:hAnsi="Arial" w:cs="Arial"/>
                <w:sz w:val="15"/>
                <w:szCs w:val="15"/>
                <w:vertAlign w:val="superscript"/>
              </w:rPr>
              <w:t>3</w:t>
            </w:r>
          </w:p>
        </w:tc>
        <w:tc>
          <w:tcPr>
            <w:tcW w:w="1422" w:type="dxa"/>
            <w:tcBorders>
              <w:top w:val="dotted" w:sz="4" w:space="0" w:color="0070C0"/>
              <w:left w:val="single" w:sz="4" w:space="0" w:color="0070C0"/>
              <w:bottom w:val="single" w:sz="4" w:space="0" w:color="0070C0"/>
              <w:right w:val="single" w:sz="4" w:space="0" w:color="0070C0"/>
            </w:tcBorders>
            <w:vAlign w:val="center"/>
          </w:tcPr>
          <w:p w:rsidR="00813D1B" w:rsidRPr="006F1D04" w:rsidRDefault="00813D1B" w:rsidP="00634C04">
            <w:pPr>
              <w:spacing w:after="0" w:line="240" w:lineRule="auto"/>
              <w:jc w:val="center"/>
              <w:rPr>
                <w:rFonts w:ascii="Arial" w:hAnsi="Arial" w:cs="Arial"/>
                <w:sz w:val="15"/>
                <w:szCs w:val="15"/>
              </w:rPr>
            </w:pPr>
            <w:r w:rsidRPr="006F1D04">
              <w:rPr>
                <w:rFonts w:ascii="Arial" w:hAnsi="Arial" w:cs="Arial"/>
                <w:sz w:val="15"/>
                <w:szCs w:val="15"/>
              </w:rPr>
              <w:t xml:space="preserve">See </w:t>
            </w:r>
            <w:r w:rsidRPr="006F1D04">
              <w:rPr>
                <w:rFonts w:ascii="Arial" w:hAnsi="Arial" w:cs="Arial"/>
                <w:b/>
                <w:sz w:val="15"/>
                <w:szCs w:val="15"/>
              </w:rPr>
              <w:t>Section 9.3</w:t>
            </w:r>
          </w:p>
        </w:tc>
      </w:tr>
      <w:tr w:rsidR="00813D1B" w:rsidRPr="006F1D04" w:rsidTr="00DD0B7A">
        <w:trPr>
          <w:trHeight w:hRule="exact" w:val="397"/>
          <w:jc w:val="center"/>
        </w:trPr>
        <w:tc>
          <w:tcPr>
            <w:tcW w:w="733" w:type="dxa"/>
            <w:vMerge w:val="restart"/>
            <w:tcBorders>
              <w:top w:val="single" w:sz="4" w:space="0" w:color="0070C0"/>
              <w:left w:val="single" w:sz="4" w:space="0" w:color="0070C0"/>
              <w:right w:val="single" w:sz="4" w:space="0" w:color="0070C0"/>
            </w:tcBorders>
            <w:vAlign w:val="center"/>
          </w:tcPr>
          <w:p w:rsidR="00813D1B" w:rsidRPr="006F1D04" w:rsidRDefault="00813D1B" w:rsidP="00634C04">
            <w:pPr>
              <w:spacing w:after="0" w:line="240" w:lineRule="auto"/>
              <w:jc w:val="center"/>
              <w:rPr>
                <w:rFonts w:ascii="Arial" w:hAnsi="Arial" w:cs="Arial"/>
                <w:sz w:val="15"/>
                <w:szCs w:val="15"/>
              </w:rPr>
            </w:pPr>
            <w:r w:rsidRPr="006F1D04">
              <w:rPr>
                <w:rFonts w:ascii="Arial" w:hAnsi="Arial" w:cs="Arial"/>
                <w:sz w:val="15"/>
                <w:szCs w:val="15"/>
              </w:rPr>
              <w:t>PM</w:t>
            </w:r>
            <w:r w:rsidRPr="006F1D04">
              <w:rPr>
                <w:rFonts w:ascii="Arial" w:hAnsi="Arial" w:cs="Arial"/>
                <w:sz w:val="15"/>
                <w:szCs w:val="15"/>
                <w:vertAlign w:val="subscript"/>
              </w:rPr>
              <w:t>2.5</w:t>
            </w:r>
          </w:p>
        </w:tc>
        <w:tc>
          <w:tcPr>
            <w:tcW w:w="1417" w:type="dxa"/>
            <w:tcBorders>
              <w:top w:val="single" w:sz="4" w:space="0" w:color="0070C0"/>
              <w:left w:val="single" w:sz="4" w:space="0" w:color="0070C0"/>
              <w:bottom w:val="dotted" w:sz="4" w:space="0" w:color="0070C0"/>
              <w:right w:val="single" w:sz="4" w:space="0" w:color="0070C0"/>
            </w:tcBorders>
            <w:vAlign w:val="center"/>
          </w:tcPr>
          <w:p w:rsidR="00813D1B" w:rsidRPr="006F1D04" w:rsidRDefault="00813D1B" w:rsidP="00634C04">
            <w:pPr>
              <w:spacing w:after="0" w:line="240" w:lineRule="auto"/>
              <w:jc w:val="center"/>
              <w:rPr>
                <w:rFonts w:ascii="Arial" w:hAnsi="Arial" w:cs="Arial"/>
                <w:sz w:val="15"/>
                <w:szCs w:val="15"/>
              </w:rPr>
            </w:pPr>
            <w:r w:rsidRPr="006F1D04">
              <w:rPr>
                <w:rFonts w:ascii="Arial" w:hAnsi="Arial" w:cs="Arial"/>
                <w:sz w:val="15"/>
                <w:szCs w:val="15"/>
              </w:rPr>
              <w:t>Annual mean</w:t>
            </w:r>
          </w:p>
        </w:tc>
        <w:tc>
          <w:tcPr>
            <w:tcW w:w="2410" w:type="dxa"/>
            <w:tcBorders>
              <w:top w:val="single" w:sz="4" w:space="0" w:color="0070C0"/>
              <w:left w:val="single" w:sz="4" w:space="0" w:color="0070C0"/>
              <w:bottom w:val="dotted" w:sz="4" w:space="0" w:color="0070C0"/>
              <w:right w:val="single" w:sz="4" w:space="0" w:color="0070C0"/>
            </w:tcBorders>
            <w:vAlign w:val="center"/>
          </w:tcPr>
          <w:p w:rsidR="00813D1B" w:rsidRPr="006F1D04" w:rsidRDefault="00244A5A" w:rsidP="00E1688C">
            <w:pPr>
              <w:spacing w:after="0" w:line="240" w:lineRule="auto"/>
              <w:jc w:val="center"/>
              <w:rPr>
                <w:rFonts w:ascii="Arial" w:hAnsi="Arial" w:cs="Arial"/>
                <w:sz w:val="15"/>
                <w:szCs w:val="15"/>
              </w:rPr>
            </w:pPr>
            <w:r w:rsidRPr="006F1D04">
              <w:rPr>
                <w:rFonts w:ascii="Arial" w:hAnsi="Arial" w:cs="Arial"/>
                <w:sz w:val="15"/>
                <w:szCs w:val="15"/>
              </w:rPr>
              <w:t xml:space="preserve">8 </w:t>
            </w:r>
            <w:proofErr w:type="spellStart"/>
            <w:r w:rsidRPr="006F1D04">
              <w:rPr>
                <w:rFonts w:ascii="Arial" w:hAnsi="Arial" w:cs="Arial"/>
                <w:sz w:val="15"/>
                <w:szCs w:val="15"/>
              </w:rPr>
              <w:t>μg</w:t>
            </w:r>
            <w:proofErr w:type="spellEnd"/>
            <w:r w:rsidRPr="006F1D04">
              <w:rPr>
                <w:rFonts w:ascii="Arial" w:hAnsi="Arial" w:cs="Arial"/>
                <w:sz w:val="15"/>
                <w:szCs w:val="15"/>
              </w:rPr>
              <w:t>/m</w:t>
            </w:r>
            <w:r w:rsidRPr="006F1D04">
              <w:rPr>
                <w:rFonts w:ascii="Arial" w:hAnsi="Arial" w:cs="Arial"/>
                <w:sz w:val="15"/>
                <w:szCs w:val="15"/>
                <w:vertAlign w:val="superscript"/>
              </w:rPr>
              <w:t>3</w:t>
            </w:r>
            <w:r w:rsidR="00E1688C" w:rsidRPr="006F1D04">
              <w:rPr>
                <w:rFonts w:ascii="Arial" w:hAnsi="Arial" w:cs="Arial"/>
                <w:sz w:val="15"/>
                <w:szCs w:val="15"/>
              </w:rPr>
              <w:t xml:space="preserve"> </w:t>
            </w:r>
            <w:r w:rsidR="00E1688C" w:rsidRPr="006F1D04">
              <w:rPr>
                <w:rFonts w:ascii="Arial" w:hAnsi="Arial" w:cs="Arial"/>
                <w:bCs/>
                <w:sz w:val="15"/>
                <w:szCs w:val="15"/>
              </w:rPr>
              <w:t>(advisory)</w:t>
            </w:r>
          </w:p>
        </w:tc>
        <w:tc>
          <w:tcPr>
            <w:tcW w:w="2523" w:type="dxa"/>
            <w:tcBorders>
              <w:top w:val="single" w:sz="4" w:space="0" w:color="0070C0"/>
              <w:left w:val="single" w:sz="4" w:space="0" w:color="0070C0"/>
              <w:bottom w:val="dotted" w:sz="4" w:space="0" w:color="0070C0"/>
              <w:right w:val="single" w:sz="4" w:space="0" w:color="0070C0"/>
            </w:tcBorders>
            <w:vAlign w:val="center"/>
          </w:tcPr>
          <w:p w:rsidR="00813D1B" w:rsidRPr="006F1D04" w:rsidRDefault="00813D1B" w:rsidP="00634C04">
            <w:pPr>
              <w:spacing w:after="0" w:line="240" w:lineRule="auto"/>
              <w:jc w:val="center"/>
              <w:rPr>
                <w:rFonts w:ascii="Arial" w:hAnsi="Arial" w:cs="Arial"/>
                <w:sz w:val="15"/>
                <w:szCs w:val="15"/>
              </w:rPr>
            </w:pPr>
            <w:r w:rsidRPr="006F1D04">
              <w:rPr>
                <w:rFonts w:ascii="Arial" w:hAnsi="Arial" w:cs="Arial"/>
                <w:sz w:val="15"/>
                <w:szCs w:val="15"/>
              </w:rPr>
              <w:t xml:space="preserve">8 </w:t>
            </w:r>
            <w:proofErr w:type="spellStart"/>
            <w:r w:rsidRPr="006F1D04">
              <w:rPr>
                <w:rFonts w:ascii="Arial" w:hAnsi="Arial" w:cs="Arial"/>
                <w:sz w:val="15"/>
                <w:szCs w:val="15"/>
              </w:rPr>
              <w:t>μg</w:t>
            </w:r>
            <w:proofErr w:type="spellEnd"/>
            <w:r w:rsidRPr="006F1D04">
              <w:rPr>
                <w:rFonts w:ascii="Arial" w:hAnsi="Arial" w:cs="Arial"/>
                <w:sz w:val="15"/>
                <w:szCs w:val="15"/>
              </w:rPr>
              <w:t>/m</w:t>
            </w:r>
            <w:r w:rsidRPr="006F1D04">
              <w:rPr>
                <w:rFonts w:ascii="Arial" w:hAnsi="Arial" w:cs="Arial"/>
                <w:sz w:val="15"/>
                <w:szCs w:val="15"/>
                <w:vertAlign w:val="superscript"/>
              </w:rPr>
              <w:t>3</w:t>
            </w:r>
          </w:p>
        </w:tc>
        <w:tc>
          <w:tcPr>
            <w:tcW w:w="1422" w:type="dxa"/>
            <w:tcBorders>
              <w:top w:val="single" w:sz="4" w:space="0" w:color="0070C0"/>
              <w:left w:val="single" w:sz="4" w:space="0" w:color="0070C0"/>
              <w:bottom w:val="dotted" w:sz="4" w:space="0" w:color="0070C0"/>
              <w:right w:val="single" w:sz="4" w:space="0" w:color="0070C0"/>
            </w:tcBorders>
            <w:vAlign w:val="center"/>
          </w:tcPr>
          <w:p w:rsidR="00813D1B" w:rsidRPr="006F1D04" w:rsidRDefault="00813D1B" w:rsidP="00634C04">
            <w:pPr>
              <w:spacing w:after="0" w:line="240" w:lineRule="auto"/>
              <w:jc w:val="center"/>
              <w:rPr>
                <w:rFonts w:ascii="Arial" w:hAnsi="Arial" w:cs="Arial"/>
                <w:sz w:val="15"/>
                <w:szCs w:val="15"/>
              </w:rPr>
            </w:pPr>
            <w:r w:rsidRPr="006F1D04">
              <w:rPr>
                <w:rFonts w:ascii="Arial" w:hAnsi="Arial" w:cs="Arial"/>
                <w:sz w:val="15"/>
                <w:szCs w:val="15"/>
              </w:rPr>
              <w:t>N/A</w:t>
            </w:r>
          </w:p>
        </w:tc>
      </w:tr>
      <w:tr w:rsidR="00813D1B" w:rsidRPr="006F1D04" w:rsidTr="00DD0B7A">
        <w:trPr>
          <w:trHeight w:hRule="exact" w:val="397"/>
          <w:jc w:val="center"/>
        </w:trPr>
        <w:tc>
          <w:tcPr>
            <w:tcW w:w="733" w:type="dxa"/>
            <w:vMerge/>
            <w:tcBorders>
              <w:left w:val="single" w:sz="4" w:space="0" w:color="0070C0"/>
              <w:bottom w:val="single" w:sz="4" w:space="0" w:color="0070C0"/>
              <w:right w:val="single" w:sz="4" w:space="0" w:color="0070C0"/>
            </w:tcBorders>
            <w:vAlign w:val="center"/>
          </w:tcPr>
          <w:p w:rsidR="00813D1B" w:rsidRPr="006F1D04" w:rsidRDefault="00813D1B" w:rsidP="00634C04">
            <w:pPr>
              <w:spacing w:after="0" w:line="240" w:lineRule="auto"/>
              <w:jc w:val="center"/>
              <w:rPr>
                <w:rFonts w:ascii="Arial" w:hAnsi="Arial" w:cs="Arial"/>
                <w:sz w:val="15"/>
                <w:szCs w:val="15"/>
              </w:rPr>
            </w:pPr>
          </w:p>
        </w:tc>
        <w:tc>
          <w:tcPr>
            <w:tcW w:w="1417" w:type="dxa"/>
            <w:tcBorders>
              <w:top w:val="dotted" w:sz="4" w:space="0" w:color="0070C0"/>
              <w:left w:val="single" w:sz="4" w:space="0" w:color="0070C0"/>
              <w:bottom w:val="single" w:sz="4" w:space="0" w:color="0070C0"/>
              <w:right w:val="single" w:sz="4" w:space="0" w:color="0070C0"/>
            </w:tcBorders>
            <w:vAlign w:val="center"/>
          </w:tcPr>
          <w:p w:rsidR="00813D1B" w:rsidRPr="006F1D04" w:rsidRDefault="00813D1B" w:rsidP="00634C04">
            <w:pPr>
              <w:spacing w:after="0" w:line="240" w:lineRule="auto"/>
              <w:jc w:val="center"/>
              <w:rPr>
                <w:rFonts w:ascii="Arial" w:hAnsi="Arial" w:cs="Arial"/>
                <w:sz w:val="15"/>
                <w:szCs w:val="15"/>
              </w:rPr>
            </w:pPr>
            <w:r w:rsidRPr="006F1D04">
              <w:rPr>
                <w:rFonts w:ascii="Arial" w:hAnsi="Arial" w:cs="Arial"/>
                <w:sz w:val="15"/>
                <w:szCs w:val="15"/>
              </w:rPr>
              <w:t>24-hour mean</w:t>
            </w:r>
          </w:p>
        </w:tc>
        <w:tc>
          <w:tcPr>
            <w:tcW w:w="2410" w:type="dxa"/>
            <w:tcBorders>
              <w:top w:val="dotted" w:sz="4" w:space="0" w:color="0070C0"/>
              <w:left w:val="single" w:sz="4" w:space="0" w:color="0070C0"/>
              <w:bottom w:val="single" w:sz="4" w:space="0" w:color="0070C0"/>
              <w:right w:val="single" w:sz="4" w:space="0" w:color="0070C0"/>
            </w:tcBorders>
            <w:vAlign w:val="center"/>
          </w:tcPr>
          <w:p w:rsidR="00813D1B" w:rsidRPr="006F1D04" w:rsidRDefault="00244A5A" w:rsidP="00E1688C">
            <w:pPr>
              <w:spacing w:after="0" w:line="240" w:lineRule="auto"/>
              <w:jc w:val="center"/>
              <w:rPr>
                <w:rFonts w:ascii="Arial" w:hAnsi="Arial" w:cs="Arial"/>
                <w:sz w:val="15"/>
                <w:szCs w:val="15"/>
              </w:rPr>
            </w:pPr>
            <w:r w:rsidRPr="006F1D04">
              <w:rPr>
                <w:rFonts w:ascii="Arial" w:hAnsi="Arial" w:cs="Arial"/>
                <w:sz w:val="15"/>
                <w:szCs w:val="15"/>
              </w:rPr>
              <w:t xml:space="preserve">25 </w:t>
            </w:r>
            <w:proofErr w:type="spellStart"/>
            <w:r w:rsidRPr="006F1D04">
              <w:rPr>
                <w:rFonts w:ascii="Arial" w:hAnsi="Arial" w:cs="Arial"/>
                <w:sz w:val="15"/>
                <w:szCs w:val="15"/>
              </w:rPr>
              <w:t>μg</w:t>
            </w:r>
            <w:proofErr w:type="spellEnd"/>
            <w:r w:rsidRPr="006F1D04">
              <w:rPr>
                <w:rFonts w:ascii="Arial" w:hAnsi="Arial" w:cs="Arial"/>
                <w:sz w:val="15"/>
                <w:szCs w:val="15"/>
              </w:rPr>
              <w:t>/m</w:t>
            </w:r>
            <w:r w:rsidRPr="006F1D04">
              <w:rPr>
                <w:rFonts w:ascii="Arial" w:hAnsi="Arial" w:cs="Arial"/>
                <w:sz w:val="15"/>
                <w:szCs w:val="15"/>
                <w:vertAlign w:val="superscript"/>
              </w:rPr>
              <w:t>3</w:t>
            </w:r>
            <w:r w:rsidRPr="006F1D04" w:rsidDel="00244A5A">
              <w:rPr>
                <w:rFonts w:ascii="Arial" w:hAnsi="Arial" w:cs="Arial"/>
                <w:sz w:val="15"/>
                <w:szCs w:val="15"/>
              </w:rPr>
              <w:t xml:space="preserve"> </w:t>
            </w:r>
            <w:r w:rsidR="00E1688C" w:rsidRPr="006F1D04">
              <w:rPr>
                <w:rFonts w:ascii="Arial" w:hAnsi="Arial" w:cs="Arial"/>
                <w:bCs/>
                <w:sz w:val="15"/>
                <w:szCs w:val="15"/>
              </w:rPr>
              <w:t>(advisory)</w:t>
            </w:r>
          </w:p>
        </w:tc>
        <w:tc>
          <w:tcPr>
            <w:tcW w:w="2523" w:type="dxa"/>
            <w:tcBorders>
              <w:top w:val="dotted" w:sz="4" w:space="0" w:color="0070C0"/>
              <w:left w:val="single" w:sz="4" w:space="0" w:color="0070C0"/>
              <w:bottom w:val="single" w:sz="4" w:space="0" w:color="0070C0"/>
              <w:right w:val="single" w:sz="4" w:space="0" w:color="0070C0"/>
            </w:tcBorders>
            <w:vAlign w:val="center"/>
          </w:tcPr>
          <w:p w:rsidR="00813D1B" w:rsidRPr="006F1D04" w:rsidRDefault="00813D1B" w:rsidP="000B44D2">
            <w:pPr>
              <w:spacing w:after="0" w:line="240" w:lineRule="auto"/>
              <w:jc w:val="center"/>
              <w:rPr>
                <w:rFonts w:ascii="Arial" w:hAnsi="Arial" w:cs="Arial"/>
                <w:sz w:val="15"/>
                <w:szCs w:val="15"/>
              </w:rPr>
            </w:pPr>
            <w:r w:rsidRPr="006F1D04">
              <w:rPr>
                <w:rFonts w:ascii="Arial" w:hAnsi="Arial" w:cs="Arial"/>
                <w:sz w:val="15"/>
                <w:szCs w:val="15"/>
              </w:rPr>
              <w:t xml:space="preserve">25 </w:t>
            </w:r>
            <w:proofErr w:type="spellStart"/>
            <w:r w:rsidRPr="006F1D04">
              <w:rPr>
                <w:rFonts w:ascii="Arial" w:hAnsi="Arial" w:cs="Arial"/>
                <w:sz w:val="15"/>
                <w:szCs w:val="15"/>
              </w:rPr>
              <w:t>μg</w:t>
            </w:r>
            <w:proofErr w:type="spellEnd"/>
            <w:r w:rsidRPr="006F1D04">
              <w:rPr>
                <w:rFonts w:ascii="Arial" w:hAnsi="Arial" w:cs="Arial"/>
                <w:sz w:val="15"/>
                <w:szCs w:val="15"/>
              </w:rPr>
              <w:t>/m</w:t>
            </w:r>
            <w:r w:rsidRPr="006F1D04">
              <w:rPr>
                <w:rFonts w:ascii="Arial" w:hAnsi="Arial" w:cs="Arial"/>
                <w:sz w:val="15"/>
                <w:szCs w:val="15"/>
                <w:vertAlign w:val="superscript"/>
              </w:rPr>
              <w:t>3</w:t>
            </w:r>
          </w:p>
        </w:tc>
        <w:tc>
          <w:tcPr>
            <w:tcW w:w="1422" w:type="dxa"/>
            <w:tcBorders>
              <w:top w:val="dotted" w:sz="4" w:space="0" w:color="0070C0"/>
              <w:left w:val="single" w:sz="4" w:space="0" w:color="0070C0"/>
              <w:bottom w:val="single" w:sz="4" w:space="0" w:color="0070C0"/>
              <w:right w:val="single" w:sz="4" w:space="0" w:color="0070C0"/>
            </w:tcBorders>
            <w:vAlign w:val="center"/>
          </w:tcPr>
          <w:p w:rsidR="00813D1B" w:rsidRPr="006F1D04" w:rsidRDefault="00813D1B" w:rsidP="00634C04">
            <w:pPr>
              <w:spacing w:after="0" w:line="240" w:lineRule="auto"/>
              <w:jc w:val="center"/>
              <w:rPr>
                <w:rFonts w:ascii="Arial" w:hAnsi="Arial" w:cs="Arial"/>
                <w:sz w:val="15"/>
                <w:szCs w:val="15"/>
              </w:rPr>
            </w:pPr>
            <w:r w:rsidRPr="006F1D04">
              <w:rPr>
                <w:rFonts w:ascii="Arial" w:hAnsi="Arial" w:cs="Arial"/>
                <w:sz w:val="15"/>
                <w:szCs w:val="15"/>
              </w:rPr>
              <w:t xml:space="preserve">See </w:t>
            </w:r>
            <w:r w:rsidRPr="006F1D04">
              <w:rPr>
                <w:rFonts w:ascii="Arial" w:hAnsi="Arial" w:cs="Arial"/>
                <w:b/>
                <w:sz w:val="15"/>
                <w:szCs w:val="15"/>
              </w:rPr>
              <w:t>Section 9.3</w:t>
            </w:r>
          </w:p>
        </w:tc>
      </w:tr>
    </w:tbl>
    <w:p w:rsidR="00813D1B" w:rsidRPr="006F1D04" w:rsidRDefault="00813D1B" w:rsidP="00813D1B">
      <w:pPr>
        <w:spacing w:after="120"/>
        <w:rPr>
          <w:rFonts w:ascii="Arial" w:hAnsi="Arial" w:cs="Arial"/>
        </w:rPr>
      </w:pPr>
    </w:p>
    <w:p w:rsidR="005E4C36" w:rsidRPr="006F1D04" w:rsidRDefault="005E4C36" w:rsidP="00DD0B7A">
      <w:pPr>
        <w:spacing w:after="180"/>
        <w:rPr>
          <w:rFonts w:ascii="Arial" w:hAnsi="Arial" w:cs="Arial"/>
        </w:rPr>
      </w:pPr>
      <w:r w:rsidRPr="006F1D04">
        <w:rPr>
          <w:rFonts w:ascii="Arial" w:hAnsi="Arial" w:cs="Arial"/>
        </w:rPr>
        <w:t>The PM</w:t>
      </w:r>
      <w:r w:rsidRPr="006F1D04">
        <w:rPr>
          <w:rFonts w:ascii="Arial" w:hAnsi="Arial" w:cs="Arial"/>
          <w:vertAlign w:val="subscript"/>
        </w:rPr>
        <w:t>2.5</w:t>
      </w:r>
      <w:r w:rsidRPr="006F1D04">
        <w:rPr>
          <w:rFonts w:ascii="Arial" w:hAnsi="Arial" w:cs="Arial"/>
        </w:rPr>
        <w:t xml:space="preserve"> monitoring data </w:t>
      </w:r>
      <w:r w:rsidR="000B44D2" w:rsidRPr="006F1D04">
        <w:rPr>
          <w:rFonts w:ascii="Arial" w:hAnsi="Arial" w:cs="Arial"/>
        </w:rPr>
        <w:t xml:space="preserve">and Economic Analysis </w:t>
      </w:r>
      <w:r w:rsidRPr="006F1D04">
        <w:rPr>
          <w:rFonts w:ascii="Arial" w:hAnsi="Arial" w:cs="Arial"/>
        </w:rPr>
        <w:t>indicate that</w:t>
      </w:r>
      <w:r w:rsidR="005A0EF7" w:rsidRPr="006F1D04">
        <w:rPr>
          <w:rFonts w:ascii="Arial" w:hAnsi="Arial" w:cs="Arial"/>
        </w:rPr>
        <w:t>,</w:t>
      </w:r>
      <w:r w:rsidRPr="006F1D04">
        <w:rPr>
          <w:rFonts w:ascii="Arial" w:hAnsi="Arial" w:cs="Arial"/>
        </w:rPr>
        <w:t xml:space="preserve"> of the options for a 24-hour standard, the most realistic approach would be to retain the 25 </w:t>
      </w:r>
      <w:proofErr w:type="spellStart"/>
      <w:r w:rsidRPr="006F1D04">
        <w:rPr>
          <w:rFonts w:ascii="Arial" w:hAnsi="Arial" w:cs="Arial"/>
        </w:rPr>
        <w:t>μg</w:t>
      </w:r>
      <w:proofErr w:type="spellEnd"/>
      <w:r w:rsidRPr="006F1D04">
        <w:rPr>
          <w:rFonts w:ascii="Arial" w:hAnsi="Arial" w:cs="Arial"/>
        </w:rPr>
        <w:t>/m</w:t>
      </w:r>
      <w:r w:rsidRPr="006F1D04">
        <w:rPr>
          <w:rFonts w:ascii="Arial" w:hAnsi="Arial" w:cs="Arial"/>
          <w:vertAlign w:val="superscript"/>
        </w:rPr>
        <w:t>3</w:t>
      </w:r>
      <w:r w:rsidRPr="006F1D04">
        <w:rPr>
          <w:rFonts w:ascii="Arial" w:hAnsi="Arial" w:cs="Arial"/>
        </w:rPr>
        <w:t xml:space="preserve"> standard.</w:t>
      </w:r>
    </w:p>
    <w:p w:rsidR="00813D1B" w:rsidRPr="006F1D04" w:rsidRDefault="001F33DD" w:rsidP="00DD0B7A">
      <w:pPr>
        <w:spacing w:after="200"/>
        <w:rPr>
          <w:rFonts w:ascii="Arial" w:hAnsi="Arial" w:cs="Arial"/>
        </w:rPr>
      </w:pPr>
      <w:r w:rsidRPr="006F1D04">
        <w:rPr>
          <w:rFonts w:ascii="Arial" w:hAnsi="Arial" w:cs="Arial"/>
        </w:rPr>
        <w:t>The preferred numerical values for the standards are based on the available evidence. The analysis of the monitoring data was not specific to the jurisdictions, but provided an average picture across Australia. The Economic Analysis was jurisdiction-specific, but included some broad assumptions. It would therefore be appropriate to discuss the preferred options in relation to each jurisdiction during consultation.</w:t>
      </w:r>
    </w:p>
    <w:p w:rsidR="00AD3CE6" w:rsidRPr="006F1D04" w:rsidRDefault="004D5DE2" w:rsidP="00AD3CE6">
      <w:pPr>
        <w:pStyle w:val="Heading2"/>
        <w:rPr>
          <w:rFonts w:ascii="Arial" w:hAnsi="Arial"/>
        </w:rPr>
      </w:pPr>
      <w:bookmarkStart w:id="198" w:name="_Toc374221094"/>
      <w:bookmarkStart w:id="199" w:name="_Toc374221368"/>
      <w:bookmarkStart w:id="200" w:name="_Toc374309804"/>
      <w:bookmarkStart w:id="201" w:name="_Toc394011159"/>
      <w:bookmarkEnd w:id="198"/>
      <w:bookmarkEnd w:id="199"/>
      <w:bookmarkEnd w:id="200"/>
      <w:r w:rsidRPr="006F1D04">
        <w:rPr>
          <w:rFonts w:ascii="Arial" w:hAnsi="Arial"/>
        </w:rPr>
        <w:t>F</w:t>
      </w:r>
      <w:r w:rsidR="00F26D08" w:rsidRPr="006F1D04">
        <w:rPr>
          <w:rFonts w:ascii="Arial" w:hAnsi="Arial"/>
        </w:rPr>
        <w:t>orm of the 24-hour standards</w:t>
      </w:r>
      <w:bookmarkEnd w:id="201"/>
    </w:p>
    <w:p w:rsidR="00F26D08" w:rsidRPr="006F1D04" w:rsidRDefault="00CE3683" w:rsidP="00DD0B7A">
      <w:pPr>
        <w:spacing w:after="180"/>
        <w:rPr>
          <w:rFonts w:ascii="Arial" w:hAnsi="Arial" w:cs="Arial"/>
          <w:lang w:eastAsia="en-US"/>
        </w:rPr>
      </w:pPr>
      <w:r w:rsidRPr="006F1D04">
        <w:rPr>
          <w:rFonts w:ascii="Arial" w:hAnsi="Arial" w:cs="Arial"/>
        </w:rPr>
        <w:t>The four</w:t>
      </w:r>
      <w:r w:rsidR="00F26D08" w:rsidRPr="006F1D04">
        <w:rPr>
          <w:rFonts w:ascii="Arial" w:hAnsi="Arial" w:cs="Arial"/>
        </w:rPr>
        <w:t xml:space="preserve"> options for the form of the 24-hour standards </w:t>
      </w:r>
      <w:r w:rsidR="00C22A28" w:rsidRPr="006F1D04">
        <w:rPr>
          <w:rFonts w:ascii="Arial" w:hAnsi="Arial" w:cs="Arial"/>
        </w:rPr>
        <w:t xml:space="preserve">(i.e. the treatment of exceedances) </w:t>
      </w:r>
      <w:r w:rsidR="00F26D08" w:rsidRPr="006F1D04">
        <w:rPr>
          <w:rFonts w:ascii="Arial" w:hAnsi="Arial" w:cs="Arial"/>
        </w:rPr>
        <w:t>are:</w:t>
      </w:r>
    </w:p>
    <w:p w:rsidR="00CE3683" w:rsidRPr="006F1D04" w:rsidRDefault="004D5DE2" w:rsidP="002A2116">
      <w:pPr>
        <w:pStyle w:val="ListParagraph"/>
        <w:numPr>
          <w:ilvl w:val="0"/>
          <w:numId w:val="31"/>
        </w:numPr>
        <w:spacing w:after="100"/>
        <w:ind w:left="568" w:hanging="284"/>
        <w:contextualSpacing w:val="0"/>
        <w:rPr>
          <w:rFonts w:ascii="Arial" w:hAnsi="Arial" w:cs="Arial"/>
        </w:rPr>
      </w:pPr>
      <w:r w:rsidRPr="006F1D04">
        <w:rPr>
          <w:rFonts w:ascii="Arial" w:hAnsi="Arial" w:cs="Arial"/>
        </w:rPr>
        <w:t>b</w:t>
      </w:r>
      <w:r w:rsidR="00CE3683" w:rsidRPr="006F1D04">
        <w:rPr>
          <w:rFonts w:ascii="Arial" w:hAnsi="Arial" w:cs="Arial"/>
        </w:rPr>
        <w:t>usiness as usual option; a rule that allows a fixed number of exceedances of a PM standard in a given year, with no exclusion of data for exceptional events</w:t>
      </w:r>
    </w:p>
    <w:p w:rsidR="00CE3683" w:rsidRPr="006F1D04" w:rsidRDefault="004D5DE2" w:rsidP="002A2116">
      <w:pPr>
        <w:numPr>
          <w:ilvl w:val="0"/>
          <w:numId w:val="31"/>
        </w:numPr>
        <w:spacing w:after="100"/>
        <w:ind w:left="568" w:hanging="284"/>
        <w:rPr>
          <w:rFonts w:ascii="Arial" w:hAnsi="Arial" w:cs="Arial"/>
        </w:rPr>
      </w:pPr>
      <w:r w:rsidRPr="006F1D04">
        <w:rPr>
          <w:rFonts w:ascii="Arial" w:hAnsi="Arial" w:cs="Arial"/>
        </w:rPr>
        <w:t>a</w:t>
      </w:r>
      <w:r w:rsidR="00CE3683" w:rsidRPr="006F1D04">
        <w:rPr>
          <w:rFonts w:ascii="Arial" w:hAnsi="Arial" w:cs="Arial"/>
        </w:rPr>
        <w:t xml:space="preserve"> rule that allows a fixed number of exceedances of a PM standard in a given year, </w:t>
      </w:r>
      <w:r w:rsidRPr="006F1D04">
        <w:rPr>
          <w:rFonts w:ascii="Arial" w:hAnsi="Arial" w:cs="Arial"/>
        </w:rPr>
        <w:t xml:space="preserve">but </w:t>
      </w:r>
      <w:r w:rsidR="00CE3683" w:rsidRPr="006F1D04">
        <w:rPr>
          <w:rFonts w:ascii="Arial" w:hAnsi="Arial" w:cs="Arial"/>
        </w:rPr>
        <w:t>with exclusion of data for exceptional events</w:t>
      </w:r>
    </w:p>
    <w:p w:rsidR="00CE3683" w:rsidRPr="006F1D04" w:rsidRDefault="004D5DE2" w:rsidP="002A2116">
      <w:pPr>
        <w:numPr>
          <w:ilvl w:val="0"/>
          <w:numId w:val="31"/>
        </w:numPr>
        <w:spacing w:after="100"/>
        <w:ind w:left="568" w:hanging="284"/>
        <w:rPr>
          <w:rFonts w:ascii="Arial" w:hAnsi="Arial" w:cs="Arial"/>
        </w:rPr>
      </w:pPr>
      <w:r w:rsidRPr="006F1D04">
        <w:rPr>
          <w:rFonts w:ascii="Arial" w:hAnsi="Arial" w:cs="Arial"/>
        </w:rPr>
        <w:t>a</w:t>
      </w:r>
      <w:r w:rsidR="00CE3683" w:rsidRPr="006F1D04">
        <w:rPr>
          <w:rFonts w:ascii="Arial" w:hAnsi="Arial" w:cs="Arial"/>
        </w:rPr>
        <w:t xml:space="preserve"> rule in which the 98</w:t>
      </w:r>
      <w:r w:rsidR="00CE3683" w:rsidRPr="006F1D04">
        <w:rPr>
          <w:rFonts w:ascii="Arial" w:hAnsi="Arial" w:cs="Arial"/>
          <w:vertAlign w:val="superscript"/>
        </w:rPr>
        <w:t>th</w:t>
      </w:r>
      <w:r w:rsidR="00CE3683" w:rsidRPr="006F1D04">
        <w:rPr>
          <w:rFonts w:ascii="Arial" w:hAnsi="Arial" w:cs="Arial"/>
        </w:rPr>
        <w:t xml:space="preserve"> percentile PM concentration in a given year is compared with a standard, with no exclusion of data for exceptional events</w:t>
      </w:r>
    </w:p>
    <w:p w:rsidR="00CE3683" w:rsidRPr="006F1D04" w:rsidRDefault="004D5DE2" w:rsidP="002A2116">
      <w:pPr>
        <w:numPr>
          <w:ilvl w:val="0"/>
          <w:numId w:val="31"/>
        </w:numPr>
        <w:ind w:left="568" w:hanging="284"/>
        <w:rPr>
          <w:rFonts w:ascii="Arial" w:hAnsi="Arial" w:cs="Arial"/>
        </w:rPr>
      </w:pPr>
      <w:proofErr w:type="gramStart"/>
      <w:r w:rsidRPr="006F1D04">
        <w:rPr>
          <w:rFonts w:ascii="Arial" w:hAnsi="Arial" w:cs="Arial"/>
        </w:rPr>
        <w:t>a</w:t>
      </w:r>
      <w:proofErr w:type="gramEnd"/>
      <w:r w:rsidR="00CE3683" w:rsidRPr="006F1D04">
        <w:rPr>
          <w:rFonts w:ascii="Arial" w:hAnsi="Arial" w:cs="Arial"/>
        </w:rPr>
        <w:t xml:space="preserve"> rule in which the 98</w:t>
      </w:r>
      <w:r w:rsidR="00CE3683" w:rsidRPr="006F1D04">
        <w:rPr>
          <w:rFonts w:ascii="Arial" w:hAnsi="Arial" w:cs="Arial"/>
          <w:vertAlign w:val="superscript"/>
        </w:rPr>
        <w:t>th</w:t>
      </w:r>
      <w:r w:rsidR="00CE3683" w:rsidRPr="006F1D04">
        <w:rPr>
          <w:rFonts w:ascii="Arial" w:hAnsi="Arial" w:cs="Arial"/>
        </w:rPr>
        <w:t xml:space="preserve"> percentile PM concentration in a given year is compared with a standard, but with exclusion of data for exceptional events.</w:t>
      </w:r>
    </w:p>
    <w:p w:rsidR="00CE3683" w:rsidRPr="006F1D04" w:rsidRDefault="00CE3683" w:rsidP="00DD0B7A">
      <w:pPr>
        <w:spacing w:after="180"/>
        <w:rPr>
          <w:rFonts w:ascii="Arial" w:hAnsi="Arial" w:cs="Arial"/>
        </w:rPr>
      </w:pPr>
      <w:r w:rsidRPr="006F1D04">
        <w:rPr>
          <w:rFonts w:ascii="Arial" w:hAnsi="Arial" w:cs="Arial"/>
        </w:rPr>
        <w:t>There is no single analysis that can be done to confirm whether any one form of a 24-hour standard is systematically ‘better’ than any other form of the standard. The most suitable form depends on the objective of the monitoring and the required level of stringency</w:t>
      </w:r>
      <w:r w:rsidR="004D5DE2" w:rsidRPr="006F1D04">
        <w:rPr>
          <w:rFonts w:ascii="Arial" w:hAnsi="Arial" w:cs="Arial"/>
        </w:rPr>
        <w:t>.</w:t>
      </w:r>
    </w:p>
    <w:p w:rsidR="00B977E4" w:rsidRPr="006F1D04" w:rsidRDefault="00F26D08" w:rsidP="00DD0B7A">
      <w:pPr>
        <w:pStyle w:val="BulletArrows"/>
        <w:spacing w:after="180"/>
        <w:rPr>
          <w:rFonts w:ascii="Arial" w:hAnsi="Arial"/>
          <w:color w:val="auto"/>
          <w:szCs w:val="18"/>
        </w:rPr>
      </w:pPr>
      <w:r w:rsidRPr="006F1D04">
        <w:rPr>
          <w:rFonts w:ascii="Arial" w:hAnsi="Arial"/>
          <w:color w:val="auto"/>
          <w:szCs w:val="18"/>
        </w:rPr>
        <w:t xml:space="preserve">It is likely that the jurisdictions will want to identify local issues that affect the form of the standards and therefore this issue has been left for </w:t>
      </w:r>
      <w:r w:rsidR="00B977E4" w:rsidRPr="006F1D04">
        <w:rPr>
          <w:rFonts w:ascii="Arial" w:hAnsi="Arial"/>
          <w:color w:val="auto"/>
          <w:szCs w:val="18"/>
        </w:rPr>
        <w:t>the consultation phase.</w:t>
      </w:r>
    </w:p>
    <w:p w:rsidR="00CE3683" w:rsidRPr="006F1D04" w:rsidRDefault="00CE3683" w:rsidP="00DD0B7A">
      <w:pPr>
        <w:spacing w:after="180"/>
        <w:rPr>
          <w:rFonts w:ascii="Arial" w:hAnsi="Arial" w:cs="Arial"/>
        </w:rPr>
      </w:pPr>
      <w:r w:rsidRPr="006F1D04">
        <w:rPr>
          <w:rFonts w:ascii="Arial" w:hAnsi="Arial" w:cs="Arial"/>
        </w:rPr>
        <w:t xml:space="preserve">The </w:t>
      </w:r>
      <w:r w:rsidR="005B38F9" w:rsidRPr="006F1D04">
        <w:rPr>
          <w:rFonts w:ascii="Arial" w:hAnsi="Arial"/>
        </w:rPr>
        <w:t>Impact Statement</w:t>
      </w:r>
      <w:r w:rsidR="005B38F9" w:rsidRPr="006F1D04">
        <w:rPr>
          <w:rFonts w:ascii="Arial" w:hAnsi="Arial" w:cs="Arial"/>
        </w:rPr>
        <w:t xml:space="preserve"> </w:t>
      </w:r>
      <w:r w:rsidRPr="006F1D04">
        <w:rPr>
          <w:rFonts w:ascii="Arial" w:hAnsi="Arial" w:cs="Arial"/>
        </w:rPr>
        <w:t>examined specific combinations of standard and allowed exceedance days. This indicated which forms of the standards would be likely to be achievable, but provided no information on the division between those exceedances resulting from human activity and those resulting from natural events. Whilst the jurisdictions already provide basic information on the reasons for exceedances, the formal inclusion of a natural/exceptional events rule in the air quality standards would require the development of a consistent and more advanced approach. A trial could be conducted to test such an approach.</w:t>
      </w:r>
    </w:p>
    <w:p w:rsidR="00B55F92" w:rsidRPr="006F1D04" w:rsidRDefault="00B55F92" w:rsidP="00B55F92">
      <w:pPr>
        <w:rPr>
          <w:rFonts w:ascii="Arial" w:hAnsi="Arial" w:cs="Arial"/>
        </w:rPr>
      </w:pPr>
      <w:r w:rsidRPr="006F1D04">
        <w:rPr>
          <w:rFonts w:ascii="Arial" w:hAnsi="Arial" w:cs="Arial"/>
        </w:rPr>
        <w:t>Further discussion is required on the form of the standards.</w:t>
      </w:r>
    </w:p>
    <w:p w:rsidR="002155A1" w:rsidRPr="006F1D04" w:rsidRDefault="004D5DE2" w:rsidP="00B977E4">
      <w:pPr>
        <w:pStyle w:val="Heading2"/>
        <w:spacing w:before="120"/>
        <w:rPr>
          <w:rFonts w:ascii="Arial" w:hAnsi="Arial"/>
        </w:rPr>
      </w:pPr>
      <w:bookmarkStart w:id="202" w:name="_Toc374221096"/>
      <w:bookmarkStart w:id="203" w:name="_Toc374221370"/>
      <w:bookmarkStart w:id="204" w:name="_Toc374309806"/>
      <w:bookmarkStart w:id="205" w:name="_Toc374221097"/>
      <w:bookmarkStart w:id="206" w:name="_Toc374221371"/>
      <w:bookmarkStart w:id="207" w:name="_Toc374309807"/>
      <w:bookmarkStart w:id="208" w:name="_Toc394011160"/>
      <w:bookmarkEnd w:id="202"/>
      <w:bookmarkEnd w:id="203"/>
      <w:bookmarkEnd w:id="204"/>
      <w:bookmarkEnd w:id="205"/>
      <w:bookmarkEnd w:id="206"/>
      <w:bookmarkEnd w:id="207"/>
      <w:r w:rsidRPr="006F1D04">
        <w:rPr>
          <w:rFonts w:ascii="Arial" w:hAnsi="Arial"/>
        </w:rPr>
        <w:t>O</w:t>
      </w:r>
      <w:r w:rsidR="00B977E4" w:rsidRPr="006F1D04">
        <w:rPr>
          <w:rFonts w:ascii="Arial" w:hAnsi="Arial"/>
        </w:rPr>
        <w:t xml:space="preserve">ther </w:t>
      </w:r>
      <w:r w:rsidR="002155A1" w:rsidRPr="006F1D04">
        <w:rPr>
          <w:rFonts w:ascii="Arial" w:hAnsi="Arial"/>
        </w:rPr>
        <w:t xml:space="preserve">PM metrics </w:t>
      </w:r>
      <w:r w:rsidRPr="006F1D04">
        <w:rPr>
          <w:rFonts w:ascii="Arial" w:hAnsi="Arial"/>
        </w:rPr>
        <w:t>for possible inclusion</w:t>
      </w:r>
      <w:r w:rsidR="002155A1" w:rsidRPr="006F1D04">
        <w:rPr>
          <w:rFonts w:ascii="Arial" w:hAnsi="Arial"/>
        </w:rPr>
        <w:t xml:space="preserve"> in the </w:t>
      </w:r>
      <w:r w:rsidR="00EF24F8" w:rsidRPr="006F1D04">
        <w:rPr>
          <w:rFonts w:ascii="Arial" w:hAnsi="Arial"/>
        </w:rPr>
        <w:t>AAQ NEPM</w:t>
      </w:r>
      <w:bookmarkEnd w:id="208"/>
    </w:p>
    <w:p w:rsidR="002155A1" w:rsidRPr="006F1D04" w:rsidRDefault="002155A1" w:rsidP="002E2699">
      <w:pPr>
        <w:spacing w:after="180"/>
        <w:rPr>
          <w:rFonts w:ascii="Arial" w:hAnsi="Arial" w:cs="Arial"/>
        </w:rPr>
      </w:pPr>
      <w:r w:rsidRPr="006F1D04">
        <w:rPr>
          <w:rFonts w:ascii="Arial" w:hAnsi="Arial" w:cs="Arial"/>
        </w:rPr>
        <w:t>The following conclusions have been drawn from this work:</w:t>
      </w:r>
    </w:p>
    <w:p w:rsidR="002155A1" w:rsidRPr="006F1D04" w:rsidRDefault="002155A1" w:rsidP="00003665">
      <w:pPr>
        <w:pStyle w:val="BulletArrows"/>
        <w:numPr>
          <w:ilvl w:val="0"/>
          <w:numId w:val="128"/>
        </w:numPr>
        <w:spacing w:after="180"/>
        <w:rPr>
          <w:rFonts w:ascii="Arial" w:hAnsi="Arial"/>
        </w:rPr>
      </w:pPr>
      <w:r w:rsidRPr="006F1D04">
        <w:rPr>
          <w:rFonts w:ascii="Arial" w:hAnsi="Arial"/>
        </w:rPr>
        <w:t xml:space="preserve">Whilst there is increasing </w:t>
      </w:r>
      <w:r w:rsidR="002E2699" w:rsidRPr="006F1D04">
        <w:rPr>
          <w:rFonts w:ascii="Arial" w:hAnsi="Arial"/>
        </w:rPr>
        <w:t>epidemiological evidence of</w:t>
      </w:r>
      <w:r w:rsidRPr="006F1D04">
        <w:rPr>
          <w:rFonts w:ascii="Arial" w:hAnsi="Arial"/>
        </w:rPr>
        <w:t xml:space="preserve"> the association between short-term exposures to ultrafine particles and health, there are no routine monitoring data in Australia that could be used to set standards for such particles.</w:t>
      </w:r>
    </w:p>
    <w:p w:rsidR="002155A1" w:rsidRPr="006F1D04" w:rsidRDefault="002155A1" w:rsidP="00003665">
      <w:pPr>
        <w:pStyle w:val="BulletArrows"/>
        <w:numPr>
          <w:ilvl w:val="0"/>
          <w:numId w:val="128"/>
        </w:numPr>
        <w:spacing w:after="180"/>
        <w:rPr>
          <w:rFonts w:ascii="Arial" w:hAnsi="Arial"/>
        </w:rPr>
      </w:pPr>
      <w:r w:rsidRPr="006F1D04">
        <w:rPr>
          <w:rFonts w:ascii="Arial" w:hAnsi="Arial"/>
        </w:rPr>
        <w:lastRenderedPageBreak/>
        <w:t xml:space="preserve">There is currently no clear understanding of which particle properties, such </w:t>
      </w:r>
      <w:r w:rsidR="002E2699" w:rsidRPr="006F1D04">
        <w:rPr>
          <w:rFonts w:ascii="Arial" w:hAnsi="Arial"/>
        </w:rPr>
        <w:t>as</w:t>
      </w:r>
      <w:r w:rsidRPr="006F1D04">
        <w:rPr>
          <w:rFonts w:ascii="Arial" w:hAnsi="Arial"/>
        </w:rPr>
        <w:t xml:space="preserve"> the presence of specific chemical substances, are most responsible for the toxic effects. Again, there are very few monitoring data available in Australia to support the setting of standards for individual PM components.</w:t>
      </w:r>
    </w:p>
    <w:p w:rsidR="002155A1" w:rsidRPr="006F1D04" w:rsidRDefault="002155A1" w:rsidP="00003665">
      <w:pPr>
        <w:pStyle w:val="BulletArrows"/>
        <w:numPr>
          <w:ilvl w:val="0"/>
          <w:numId w:val="128"/>
        </w:numPr>
        <w:rPr>
          <w:rFonts w:ascii="Arial" w:hAnsi="Arial"/>
        </w:rPr>
      </w:pPr>
      <w:r w:rsidRPr="006F1D04">
        <w:rPr>
          <w:rFonts w:ascii="Arial" w:hAnsi="Arial"/>
        </w:rPr>
        <w:t xml:space="preserve">Notwithstanding the above </w:t>
      </w:r>
      <w:r w:rsidR="000650E6" w:rsidRPr="006F1D04">
        <w:rPr>
          <w:rFonts w:ascii="Arial" w:hAnsi="Arial"/>
        </w:rPr>
        <w:t>information</w:t>
      </w:r>
      <w:r w:rsidRPr="006F1D04">
        <w:rPr>
          <w:rFonts w:ascii="Arial" w:hAnsi="Arial"/>
        </w:rPr>
        <w:t>, additional detail on PM composition in Australia would be beneficial for a number of reasons, not least the potential contribution to the understanding of the reasons for exceedances of the standards. Consideration should be given to the routine collection of PM composition data using standardised methods.</w:t>
      </w:r>
    </w:p>
    <w:p w:rsidR="002E2699" w:rsidRPr="006F1D04" w:rsidRDefault="00B55F92" w:rsidP="00B55F92">
      <w:pPr>
        <w:rPr>
          <w:rFonts w:ascii="Arial" w:hAnsi="Arial" w:cs="Arial"/>
        </w:rPr>
      </w:pPr>
      <w:r w:rsidRPr="006F1D04">
        <w:rPr>
          <w:rFonts w:ascii="Arial" w:hAnsi="Arial" w:cs="Arial"/>
        </w:rPr>
        <w:t>The use of metrics other than PM</w:t>
      </w:r>
      <w:r w:rsidRPr="006F1D04">
        <w:rPr>
          <w:rFonts w:ascii="Arial" w:hAnsi="Arial" w:cs="Arial"/>
          <w:vertAlign w:val="subscript"/>
        </w:rPr>
        <w:t>10</w:t>
      </w:r>
      <w:r w:rsidRPr="006F1D04">
        <w:rPr>
          <w:rFonts w:ascii="Arial" w:hAnsi="Arial" w:cs="Arial"/>
        </w:rPr>
        <w:t xml:space="preserve"> and PM</w:t>
      </w:r>
      <w:r w:rsidRPr="006F1D04">
        <w:rPr>
          <w:rFonts w:ascii="Arial" w:hAnsi="Arial" w:cs="Arial"/>
          <w:vertAlign w:val="subscript"/>
        </w:rPr>
        <w:t>2.5</w:t>
      </w:r>
      <w:r w:rsidRPr="006F1D04">
        <w:rPr>
          <w:rFonts w:ascii="Arial" w:hAnsi="Arial" w:cs="Arial"/>
        </w:rPr>
        <w:t xml:space="preserve"> is not currently feasible in all Australian jurisdictions, and the scientific understanding is incomplete. It is therefore not appropriate to introduce such metrics in the AAQ NEPM at this stage. However, a mechanism for future inclusion of alternative metrics (and measurements to support them) could be discussed during the consultation.</w:t>
      </w:r>
    </w:p>
    <w:p w:rsidR="00AD3CE6" w:rsidRPr="006F1D04" w:rsidRDefault="004D5DE2" w:rsidP="00AD3CE6">
      <w:pPr>
        <w:pStyle w:val="Heading2"/>
        <w:rPr>
          <w:rFonts w:ascii="Arial" w:hAnsi="Arial"/>
        </w:rPr>
      </w:pPr>
      <w:bookmarkStart w:id="209" w:name="_Toc374221099"/>
      <w:bookmarkStart w:id="210" w:name="_Toc374221373"/>
      <w:bookmarkStart w:id="211" w:name="_Toc374309809"/>
      <w:bookmarkStart w:id="212" w:name="_Toc374221100"/>
      <w:bookmarkStart w:id="213" w:name="_Toc374221374"/>
      <w:bookmarkStart w:id="214" w:name="_Toc374309810"/>
      <w:bookmarkStart w:id="215" w:name="_Toc394011161"/>
      <w:bookmarkEnd w:id="209"/>
      <w:bookmarkEnd w:id="210"/>
      <w:bookmarkEnd w:id="211"/>
      <w:bookmarkEnd w:id="212"/>
      <w:bookmarkEnd w:id="213"/>
      <w:bookmarkEnd w:id="214"/>
      <w:r w:rsidRPr="006F1D04">
        <w:rPr>
          <w:rFonts w:ascii="Arial" w:hAnsi="Arial"/>
        </w:rPr>
        <w:t>F</w:t>
      </w:r>
      <w:r w:rsidR="00634C04" w:rsidRPr="006F1D04">
        <w:rPr>
          <w:rFonts w:ascii="Arial" w:hAnsi="Arial"/>
        </w:rPr>
        <w:t xml:space="preserve">orm </w:t>
      </w:r>
      <w:r w:rsidRPr="006F1D04">
        <w:rPr>
          <w:rFonts w:ascii="Arial" w:hAnsi="Arial"/>
        </w:rPr>
        <w:t xml:space="preserve">of </w:t>
      </w:r>
      <w:r w:rsidR="00156603" w:rsidRPr="006F1D04">
        <w:rPr>
          <w:rFonts w:ascii="Arial" w:hAnsi="Arial"/>
        </w:rPr>
        <w:t>an exposure-</w:t>
      </w:r>
      <w:r w:rsidR="00AD3CE6" w:rsidRPr="006F1D04">
        <w:rPr>
          <w:rFonts w:ascii="Arial" w:hAnsi="Arial"/>
        </w:rPr>
        <w:t>reduction</w:t>
      </w:r>
      <w:r w:rsidR="00156603" w:rsidRPr="006F1D04">
        <w:rPr>
          <w:rFonts w:ascii="Arial" w:hAnsi="Arial"/>
        </w:rPr>
        <w:t xml:space="preserve"> framework</w:t>
      </w:r>
      <w:bookmarkEnd w:id="215"/>
    </w:p>
    <w:p w:rsidR="00156603" w:rsidRPr="006F1D04" w:rsidRDefault="00156603" w:rsidP="00156603">
      <w:pPr>
        <w:rPr>
          <w:rFonts w:ascii="Arial" w:hAnsi="Arial" w:cs="Arial"/>
        </w:rPr>
      </w:pPr>
      <w:r w:rsidRPr="006F1D04">
        <w:rPr>
          <w:rFonts w:ascii="Arial" w:hAnsi="Arial" w:cs="Arial"/>
        </w:rPr>
        <w:t xml:space="preserve">Meeting </w:t>
      </w:r>
      <w:r w:rsidR="00805AC4" w:rsidRPr="006F1D04">
        <w:rPr>
          <w:rFonts w:ascii="Arial" w:hAnsi="Arial" w:cs="Arial"/>
        </w:rPr>
        <w:t>a</w:t>
      </w:r>
      <w:r w:rsidRPr="006F1D04">
        <w:rPr>
          <w:rFonts w:ascii="Arial" w:hAnsi="Arial" w:cs="Arial"/>
        </w:rPr>
        <w:t xml:space="preserve"> target of a 10% reduction in the annual mean PM</w:t>
      </w:r>
      <w:r w:rsidRPr="006F1D04">
        <w:rPr>
          <w:rFonts w:ascii="Arial" w:hAnsi="Arial" w:cs="Arial"/>
          <w:vertAlign w:val="subscript"/>
        </w:rPr>
        <w:t>2.5</w:t>
      </w:r>
      <w:r w:rsidRPr="006F1D04">
        <w:rPr>
          <w:rFonts w:ascii="Arial" w:hAnsi="Arial" w:cs="Arial"/>
        </w:rPr>
        <w:t xml:space="preserve"> concentration between 2015 and 2025</w:t>
      </w:r>
      <w:r w:rsidR="00805AC4" w:rsidRPr="006F1D04">
        <w:rPr>
          <w:rFonts w:ascii="Arial" w:hAnsi="Arial" w:cs="Arial"/>
        </w:rPr>
        <w:t xml:space="preserve"> </w:t>
      </w:r>
      <w:r w:rsidRPr="006F1D04">
        <w:rPr>
          <w:rFonts w:ascii="Arial" w:hAnsi="Arial" w:cs="Arial"/>
        </w:rPr>
        <w:t>is unlik</w:t>
      </w:r>
      <w:r w:rsidR="00C861F3" w:rsidRPr="006F1D04">
        <w:rPr>
          <w:rFonts w:ascii="Arial" w:hAnsi="Arial" w:cs="Arial"/>
        </w:rPr>
        <w:t xml:space="preserve">ely to be feasible in practice. </w:t>
      </w:r>
      <w:r w:rsidR="00DB3EE1" w:rsidRPr="006F1D04">
        <w:rPr>
          <w:rFonts w:ascii="Arial" w:hAnsi="Arial" w:cs="Arial"/>
        </w:rPr>
        <w:t>T</w:t>
      </w:r>
      <w:r w:rsidR="00E162F6" w:rsidRPr="006F1D04">
        <w:rPr>
          <w:rFonts w:ascii="Arial" w:hAnsi="Arial" w:cs="Arial"/>
        </w:rPr>
        <w:t>he issues and inconsistencies associated with the measurement of PM</w:t>
      </w:r>
      <w:r w:rsidR="00E162F6" w:rsidRPr="006F1D04">
        <w:rPr>
          <w:rFonts w:ascii="Arial" w:hAnsi="Arial" w:cs="Arial"/>
          <w:vertAlign w:val="subscript"/>
        </w:rPr>
        <w:t>2.5</w:t>
      </w:r>
      <w:r w:rsidR="00E162F6" w:rsidRPr="006F1D04">
        <w:rPr>
          <w:rFonts w:ascii="Arial" w:hAnsi="Arial" w:cs="Arial"/>
        </w:rPr>
        <w:t xml:space="preserve">, coupled with the need to detect relatively small changes in concentrations, mean that checking progress towards any target would </w:t>
      </w:r>
      <w:r w:rsidR="000650E6" w:rsidRPr="006F1D04">
        <w:rPr>
          <w:rFonts w:ascii="Arial" w:hAnsi="Arial" w:cs="Arial"/>
        </w:rPr>
        <w:t xml:space="preserve">also </w:t>
      </w:r>
      <w:r w:rsidR="00E162F6" w:rsidRPr="006F1D04">
        <w:rPr>
          <w:rFonts w:ascii="Arial" w:hAnsi="Arial" w:cs="Arial"/>
        </w:rPr>
        <w:t>be</w:t>
      </w:r>
      <w:r w:rsidR="00FA636C" w:rsidRPr="006F1D04">
        <w:rPr>
          <w:rFonts w:ascii="Arial" w:hAnsi="Arial" w:cs="Arial"/>
        </w:rPr>
        <w:t xml:space="preserve"> </w:t>
      </w:r>
      <w:r w:rsidR="00E162F6" w:rsidRPr="006F1D04">
        <w:rPr>
          <w:rFonts w:ascii="Arial" w:hAnsi="Arial" w:cs="Arial"/>
        </w:rPr>
        <w:t>very challenging.</w:t>
      </w:r>
    </w:p>
    <w:p w:rsidR="00172688" w:rsidRPr="006F1D04" w:rsidRDefault="00086E19" w:rsidP="00156603">
      <w:pPr>
        <w:rPr>
          <w:rFonts w:ascii="Arial" w:hAnsi="Arial" w:cs="Arial"/>
        </w:rPr>
      </w:pPr>
      <w:r w:rsidRPr="006F1D04">
        <w:rPr>
          <w:rFonts w:ascii="Arial" w:hAnsi="Arial" w:cs="Arial"/>
        </w:rPr>
        <w:t xml:space="preserve">A more practical approach </w:t>
      </w:r>
      <w:r w:rsidR="00C573DA" w:rsidRPr="006F1D04">
        <w:rPr>
          <w:rFonts w:ascii="Arial" w:hAnsi="Arial" w:cs="Arial"/>
        </w:rPr>
        <w:t>would</w:t>
      </w:r>
      <w:r w:rsidRPr="006F1D04">
        <w:rPr>
          <w:rFonts w:ascii="Arial" w:hAnsi="Arial" w:cs="Arial"/>
        </w:rPr>
        <w:t xml:space="preserve"> involve the de</w:t>
      </w:r>
      <w:r w:rsidR="00634C04" w:rsidRPr="006F1D04">
        <w:rPr>
          <w:rFonts w:ascii="Arial" w:hAnsi="Arial" w:cs="Arial"/>
        </w:rPr>
        <w:t>velopment of an exposure index based on monitoring to track</w:t>
      </w:r>
      <w:r w:rsidRPr="006F1D04">
        <w:rPr>
          <w:rFonts w:ascii="Arial" w:hAnsi="Arial" w:cs="Arial"/>
        </w:rPr>
        <w:t xml:space="preserve"> population exposure for major urban areas (</w:t>
      </w:r>
      <w:r w:rsidR="009334F4" w:rsidRPr="006F1D04">
        <w:rPr>
          <w:rFonts w:ascii="Arial" w:hAnsi="Arial" w:cs="Arial"/>
        </w:rPr>
        <w:t>e.g.</w:t>
      </w:r>
      <w:r w:rsidR="00634C04" w:rsidRPr="006F1D04">
        <w:rPr>
          <w:rFonts w:ascii="Arial" w:hAnsi="Arial" w:cs="Arial"/>
        </w:rPr>
        <w:t xml:space="preserve"> using a </w:t>
      </w:r>
      <w:r w:rsidR="004D5DE2" w:rsidRPr="006F1D04">
        <w:rPr>
          <w:rFonts w:ascii="Arial" w:hAnsi="Arial" w:cs="Arial"/>
        </w:rPr>
        <w:t>three</w:t>
      </w:r>
      <w:r w:rsidR="00634C04" w:rsidRPr="006F1D04">
        <w:rPr>
          <w:rFonts w:ascii="Arial" w:hAnsi="Arial" w:cs="Arial"/>
        </w:rPr>
        <w:t>-</w:t>
      </w:r>
      <w:r w:rsidRPr="006F1D04">
        <w:rPr>
          <w:rFonts w:ascii="Arial" w:hAnsi="Arial" w:cs="Arial"/>
        </w:rPr>
        <w:t>year rolling average</w:t>
      </w:r>
      <w:r w:rsidR="00634C04" w:rsidRPr="006F1D04">
        <w:rPr>
          <w:rFonts w:ascii="Arial" w:hAnsi="Arial" w:cs="Arial"/>
        </w:rPr>
        <w:t xml:space="preserve"> PM</w:t>
      </w:r>
      <w:r w:rsidR="00634C04" w:rsidRPr="006F1D04">
        <w:rPr>
          <w:rFonts w:ascii="Arial" w:hAnsi="Arial" w:cs="Arial"/>
          <w:vertAlign w:val="subscript"/>
        </w:rPr>
        <w:t>2.5</w:t>
      </w:r>
      <w:r w:rsidR="00634C04" w:rsidRPr="006F1D04">
        <w:rPr>
          <w:rFonts w:ascii="Arial" w:hAnsi="Arial" w:cs="Arial"/>
        </w:rPr>
        <w:t xml:space="preserve"> </w:t>
      </w:r>
      <w:r w:rsidR="00C573DA" w:rsidRPr="006F1D04">
        <w:rPr>
          <w:rFonts w:ascii="Arial" w:hAnsi="Arial" w:cs="Arial"/>
        </w:rPr>
        <w:t>concentration,</w:t>
      </w:r>
      <w:r w:rsidRPr="006F1D04">
        <w:rPr>
          <w:rFonts w:ascii="Arial" w:hAnsi="Arial" w:cs="Arial"/>
        </w:rPr>
        <w:t xml:space="preserve"> as in Europe</w:t>
      </w:r>
      <w:r w:rsidR="002E2699" w:rsidRPr="006F1D04">
        <w:rPr>
          <w:rFonts w:ascii="Arial" w:hAnsi="Arial" w:cs="Arial"/>
        </w:rPr>
        <w:t>)</w:t>
      </w:r>
      <w:r w:rsidRPr="006F1D04">
        <w:rPr>
          <w:rFonts w:ascii="Arial" w:hAnsi="Arial" w:cs="Arial"/>
        </w:rPr>
        <w:t xml:space="preserve">. </w:t>
      </w:r>
      <w:r w:rsidR="00C46A09" w:rsidRPr="006F1D04">
        <w:rPr>
          <w:rFonts w:ascii="Arial" w:hAnsi="Arial" w:cs="Arial"/>
        </w:rPr>
        <w:t xml:space="preserve">This </w:t>
      </w:r>
      <w:r w:rsidR="00C55915" w:rsidRPr="006F1D04">
        <w:rPr>
          <w:rFonts w:ascii="Arial" w:hAnsi="Arial" w:cs="Arial"/>
        </w:rPr>
        <w:t>w</w:t>
      </w:r>
      <w:r w:rsidR="00C46A09" w:rsidRPr="006F1D04">
        <w:rPr>
          <w:rFonts w:ascii="Arial" w:hAnsi="Arial" w:cs="Arial"/>
        </w:rPr>
        <w:t xml:space="preserve">ould provide </w:t>
      </w:r>
      <w:r w:rsidR="004D5DE2" w:rsidRPr="006F1D04">
        <w:rPr>
          <w:rFonts w:ascii="Arial" w:hAnsi="Arial" w:cs="Arial"/>
        </w:rPr>
        <w:t xml:space="preserve">the </w:t>
      </w:r>
      <w:r w:rsidR="00C46A09" w:rsidRPr="006F1D04">
        <w:rPr>
          <w:rFonts w:ascii="Arial" w:hAnsi="Arial" w:cs="Arial"/>
        </w:rPr>
        <w:t xml:space="preserve">first step towards characterising exposure based on the existing monitoring network. </w:t>
      </w:r>
      <w:r w:rsidRPr="006F1D04">
        <w:rPr>
          <w:rFonts w:ascii="Arial" w:hAnsi="Arial" w:cs="Arial"/>
        </w:rPr>
        <w:t>There would be no impacts on industry in development of this initiative as it would only seek to enhance existing monitoring data.</w:t>
      </w:r>
    </w:p>
    <w:p w:rsidR="00156603" w:rsidRPr="006F1D04" w:rsidRDefault="00156603" w:rsidP="00156603">
      <w:pPr>
        <w:pStyle w:val="Heading2"/>
        <w:rPr>
          <w:rFonts w:ascii="Arial" w:hAnsi="Arial"/>
        </w:rPr>
      </w:pPr>
      <w:bookmarkStart w:id="216" w:name="_Toc394011162"/>
      <w:r w:rsidRPr="006F1D04">
        <w:rPr>
          <w:rFonts w:ascii="Arial" w:hAnsi="Arial"/>
        </w:rPr>
        <w:t>Implementation</w:t>
      </w:r>
      <w:r w:rsidR="004D5DE2" w:rsidRPr="006F1D04">
        <w:rPr>
          <w:rFonts w:ascii="Arial" w:hAnsi="Arial"/>
        </w:rPr>
        <w:t xml:space="preserve"> of an AAQ NEPM variation</w:t>
      </w:r>
      <w:bookmarkEnd w:id="216"/>
    </w:p>
    <w:p w:rsidR="00C573DA" w:rsidRPr="006F1D04" w:rsidRDefault="00C573DA" w:rsidP="00C573DA">
      <w:pPr>
        <w:pStyle w:val="BulletArrows"/>
        <w:rPr>
          <w:rFonts w:ascii="Arial" w:hAnsi="Arial"/>
        </w:rPr>
      </w:pPr>
      <w:r w:rsidRPr="006F1D04">
        <w:rPr>
          <w:rFonts w:ascii="Arial" w:hAnsi="Arial"/>
        </w:rPr>
        <w:t xml:space="preserve">Under the NEPC Act a </w:t>
      </w:r>
      <w:r w:rsidR="00EF24F8" w:rsidRPr="006F1D04">
        <w:rPr>
          <w:rFonts w:ascii="Arial" w:hAnsi="Arial"/>
        </w:rPr>
        <w:t>NEPM</w:t>
      </w:r>
      <w:r w:rsidRPr="006F1D04">
        <w:rPr>
          <w:rFonts w:ascii="Arial" w:hAnsi="Arial"/>
        </w:rPr>
        <w:t xml:space="preserve"> variation needs to address: </w:t>
      </w:r>
    </w:p>
    <w:p w:rsidR="00C573DA" w:rsidRPr="006F1D04" w:rsidRDefault="00172688" w:rsidP="00003665">
      <w:pPr>
        <w:pStyle w:val="BulletArrows"/>
        <w:numPr>
          <w:ilvl w:val="0"/>
          <w:numId w:val="129"/>
        </w:numPr>
        <w:rPr>
          <w:rFonts w:ascii="Arial" w:hAnsi="Arial"/>
        </w:rPr>
      </w:pPr>
      <w:r w:rsidRPr="006F1D04">
        <w:rPr>
          <w:rFonts w:ascii="Arial" w:hAnsi="Arial"/>
        </w:rPr>
        <w:t>t</w:t>
      </w:r>
      <w:r w:rsidR="00C573DA" w:rsidRPr="006F1D04">
        <w:rPr>
          <w:rFonts w:ascii="Arial" w:hAnsi="Arial"/>
        </w:rPr>
        <w:t>he intended date for making the proposed measure</w:t>
      </w:r>
    </w:p>
    <w:p w:rsidR="00C573DA" w:rsidRPr="006F1D04" w:rsidRDefault="00172688" w:rsidP="00003665">
      <w:pPr>
        <w:pStyle w:val="BulletArrows"/>
        <w:numPr>
          <w:ilvl w:val="0"/>
          <w:numId w:val="129"/>
        </w:numPr>
        <w:rPr>
          <w:rFonts w:ascii="Arial" w:hAnsi="Arial"/>
        </w:rPr>
      </w:pPr>
      <w:r w:rsidRPr="006F1D04">
        <w:rPr>
          <w:rFonts w:ascii="Arial" w:hAnsi="Arial"/>
        </w:rPr>
        <w:t>t</w:t>
      </w:r>
      <w:r w:rsidR="00C573DA" w:rsidRPr="006F1D04">
        <w:rPr>
          <w:rFonts w:ascii="Arial" w:hAnsi="Arial"/>
        </w:rPr>
        <w:t>he timetable for the implementation of the proposed measure</w:t>
      </w:r>
    </w:p>
    <w:p w:rsidR="00C573DA" w:rsidRPr="006F1D04" w:rsidRDefault="00172688" w:rsidP="00003665">
      <w:pPr>
        <w:pStyle w:val="BulletArrows"/>
        <w:numPr>
          <w:ilvl w:val="0"/>
          <w:numId w:val="129"/>
        </w:numPr>
        <w:spacing w:after="240"/>
        <w:rPr>
          <w:rFonts w:ascii="Arial" w:hAnsi="Arial"/>
        </w:rPr>
      </w:pPr>
      <w:proofErr w:type="gramStart"/>
      <w:r w:rsidRPr="006F1D04">
        <w:rPr>
          <w:rFonts w:ascii="Arial" w:hAnsi="Arial"/>
        </w:rPr>
        <w:t>t</w:t>
      </w:r>
      <w:r w:rsidR="00C573DA" w:rsidRPr="006F1D04">
        <w:rPr>
          <w:rFonts w:ascii="Arial" w:hAnsi="Arial"/>
        </w:rPr>
        <w:t>he</w:t>
      </w:r>
      <w:proofErr w:type="gramEnd"/>
      <w:r w:rsidR="00C573DA" w:rsidRPr="006F1D04">
        <w:rPr>
          <w:rFonts w:ascii="Arial" w:hAnsi="Arial"/>
        </w:rPr>
        <w:t xml:space="preserve"> transitional arrangements in relation to the proposed measure.</w:t>
      </w:r>
    </w:p>
    <w:p w:rsidR="00C573DA" w:rsidRPr="006F1D04" w:rsidRDefault="005F2D01" w:rsidP="00C573DA">
      <w:pPr>
        <w:pStyle w:val="BulletArrows"/>
        <w:spacing w:after="240"/>
        <w:rPr>
          <w:rFonts w:ascii="Arial" w:hAnsi="Arial"/>
        </w:rPr>
      </w:pPr>
      <w:r w:rsidRPr="006F1D04">
        <w:rPr>
          <w:rFonts w:ascii="Arial" w:hAnsi="Arial"/>
        </w:rPr>
        <w:t xml:space="preserve">Following a period of public consultation, and pending a decision by NEPC following consideration of submissions received, it is anticipated that the </w:t>
      </w:r>
      <w:r w:rsidR="00EF24F8" w:rsidRPr="006F1D04">
        <w:rPr>
          <w:rFonts w:ascii="Arial" w:hAnsi="Arial"/>
        </w:rPr>
        <w:t>AAQ NEPM</w:t>
      </w:r>
      <w:r w:rsidRPr="006F1D04">
        <w:rPr>
          <w:rFonts w:ascii="Arial" w:hAnsi="Arial"/>
        </w:rPr>
        <w:t xml:space="preserve"> variation would be implemented by mid-2015.</w:t>
      </w:r>
    </w:p>
    <w:p w:rsidR="005F5551" w:rsidRPr="006F1D04" w:rsidRDefault="005F5551" w:rsidP="005F5551">
      <w:pPr>
        <w:pStyle w:val="BulletArrows"/>
        <w:spacing w:after="360"/>
        <w:rPr>
          <w:rFonts w:ascii="Arial" w:hAnsi="Arial"/>
        </w:rPr>
      </w:pPr>
      <w:r w:rsidRPr="006F1D04">
        <w:rPr>
          <w:rFonts w:ascii="Arial" w:hAnsi="Arial"/>
        </w:rPr>
        <w:t xml:space="preserve">Given that the proposals are not wide-ranging in scope, and will essentially involve only changes to existing monitoring and reporting procedures, the implementation of the </w:t>
      </w:r>
      <w:r w:rsidR="00EF24F8" w:rsidRPr="006F1D04">
        <w:rPr>
          <w:rFonts w:ascii="Arial" w:hAnsi="Arial"/>
        </w:rPr>
        <w:t>AAQ NEPM</w:t>
      </w:r>
      <w:r w:rsidRPr="006F1D04">
        <w:rPr>
          <w:rFonts w:ascii="Arial" w:hAnsi="Arial"/>
        </w:rPr>
        <w:t xml:space="preserve"> variation </w:t>
      </w:r>
      <w:r w:rsidR="00DB3EE1" w:rsidRPr="006F1D04">
        <w:rPr>
          <w:rFonts w:ascii="Arial" w:hAnsi="Arial"/>
        </w:rPr>
        <w:t>should</w:t>
      </w:r>
      <w:r w:rsidRPr="006F1D04">
        <w:rPr>
          <w:rFonts w:ascii="Arial" w:hAnsi="Arial"/>
        </w:rPr>
        <w:t xml:space="preserve"> be </w:t>
      </w:r>
      <w:r w:rsidR="006E3429" w:rsidRPr="006F1D04">
        <w:rPr>
          <w:rFonts w:ascii="Arial" w:hAnsi="Arial"/>
        </w:rPr>
        <w:t>straight forward</w:t>
      </w:r>
      <w:r w:rsidRPr="006F1D04">
        <w:rPr>
          <w:rFonts w:ascii="Arial" w:hAnsi="Arial"/>
        </w:rPr>
        <w:t>. Similarly, transitional arrangements</w:t>
      </w:r>
      <w:r w:rsidR="00D7103E" w:rsidRPr="006F1D04">
        <w:rPr>
          <w:rFonts w:ascii="Arial" w:hAnsi="Arial"/>
        </w:rPr>
        <w:t xml:space="preserve"> are not envisaged</w:t>
      </w:r>
      <w:r w:rsidRPr="006F1D04">
        <w:rPr>
          <w:rFonts w:ascii="Arial" w:hAnsi="Arial"/>
        </w:rPr>
        <w:t>.</w:t>
      </w:r>
    </w:p>
    <w:p w:rsidR="00B759BE" w:rsidRPr="006F1D04" w:rsidRDefault="00BF6019" w:rsidP="00B759BE">
      <w:pPr>
        <w:jc w:val="center"/>
        <w:rPr>
          <w:rFonts w:ascii="Arial" w:hAnsi="Arial" w:cs="Arial"/>
          <w:color w:val="FF0000"/>
        </w:rPr>
      </w:pPr>
      <w:r>
        <w:rPr>
          <w:rFonts w:ascii="Arial" w:hAnsi="Arial" w:cs="Arial"/>
          <w:noProof/>
          <w:color w:val="FF0000"/>
        </w:rPr>
      </w:r>
      <w:r>
        <w:rPr>
          <w:rFonts w:ascii="Arial" w:hAnsi="Arial" w:cs="Arial"/>
          <w:noProof/>
          <w:color w:val="FF0000"/>
        </w:rPr>
        <w:pict>
          <v:shape id="AutoShape 39" o:spid="_x0000_s1027" type="#_x0000_t176" style="width:433.7pt;height:30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" fillcolor="#fbd4b4" strokecolor="#f79646" strokeweight="2.5pt">
            <v:fill opacity="13107f"/>
            <v:shadow color="#868686"/>
            <v:textbox>
              <w:txbxContent>
                <w:p w:rsidR="0085182E" w:rsidRPr="0006622B" w:rsidRDefault="0085182E" w:rsidP="00B759BE">
                  <w:pPr>
                    <w:jc w:val="center"/>
                    <w:rPr>
                      <w:b/>
                      <w:color w:val="E36C0A"/>
                      <w:sz w:val="24"/>
                      <w:szCs w:val="24"/>
                    </w:rPr>
                  </w:pPr>
                  <w:r w:rsidRPr="0006622B">
                    <w:rPr>
                      <w:b/>
                      <w:color w:val="E36C0A"/>
                      <w:sz w:val="24"/>
                      <w:szCs w:val="24"/>
                    </w:rPr>
                    <w:t>Proposed questions for consultation: Preferred options</w:t>
                  </w:r>
                </w:p>
                <w:p w:rsidR="0085182E" w:rsidRPr="006A5626" w:rsidRDefault="0085182E" w:rsidP="006A5626">
                  <w:pPr>
                    <w:pStyle w:val="BulletArrows"/>
                    <w:numPr>
                      <w:ilvl w:val="0"/>
                      <w:numId w:val="22"/>
                    </w:numPr>
                    <w:ind w:left="714" w:hanging="357"/>
                  </w:pPr>
                  <w:r w:rsidRPr="006A5626">
                    <w:t>Do you agree with the introduction of an annual PM</w:t>
                  </w:r>
                  <w:r w:rsidRPr="006A5626">
                    <w:rPr>
                      <w:vertAlign w:val="subscript"/>
                    </w:rPr>
                    <w:t>10</w:t>
                  </w:r>
                  <w:r w:rsidRPr="006A5626">
                    <w:t xml:space="preserve"> standard, given the apparent adverse health effects of coarse particles and their prevalence in some regions?</w:t>
                  </w:r>
                </w:p>
                <w:p w:rsidR="0085182E" w:rsidRPr="006A5626" w:rsidRDefault="0085182E" w:rsidP="006A5626">
                  <w:pPr>
                    <w:pStyle w:val="BulletArrows"/>
                    <w:numPr>
                      <w:ilvl w:val="0"/>
                      <w:numId w:val="22"/>
                    </w:numPr>
                    <w:ind w:left="714" w:hanging="357"/>
                  </w:pPr>
                  <w:r w:rsidRPr="006A5626">
                    <w:t>Do you support upgrading the current AAQ NEPM advisory reporting standards for PM</w:t>
                  </w:r>
                  <w:r w:rsidRPr="006A5626">
                    <w:rPr>
                      <w:vertAlign w:val="subscript"/>
                    </w:rPr>
                    <w:t>2.5</w:t>
                  </w:r>
                  <w:r w:rsidRPr="006A5626">
                    <w:t xml:space="preserve"> to compliance standards?</w:t>
                  </w:r>
                </w:p>
                <w:p w:rsidR="0085182E" w:rsidRPr="006A5626" w:rsidRDefault="0085182E" w:rsidP="006A5626">
                  <w:pPr>
                    <w:pStyle w:val="BulletArrows"/>
                    <w:numPr>
                      <w:ilvl w:val="0"/>
                      <w:numId w:val="22"/>
                    </w:numPr>
                    <w:ind w:left="714" w:hanging="357"/>
                  </w:pPr>
                  <w:r w:rsidRPr="006A5626">
                    <w:t>Do you support the preferred numerical values for new/revised 24-hour and annual PM</w:t>
                  </w:r>
                  <w:r w:rsidRPr="006A5626">
                    <w:rPr>
                      <w:vertAlign w:val="subscript"/>
                    </w:rPr>
                    <w:t>2.5</w:t>
                  </w:r>
                  <w:r w:rsidRPr="006A5626">
                    <w:t xml:space="preserve"> and PM</w:t>
                  </w:r>
                  <w:r w:rsidRPr="006A5626">
                    <w:rPr>
                      <w:vertAlign w:val="subscript"/>
                    </w:rPr>
                    <w:t>10</w:t>
                  </w:r>
                  <w:r w:rsidRPr="006A5626">
                    <w:t xml:space="preserve"> standards? Which value for the 24-hour PM</w:t>
                  </w:r>
                  <w:r w:rsidRPr="006A5626">
                    <w:rPr>
                      <w:vertAlign w:val="subscript"/>
                    </w:rPr>
                    <w:t>10</w:t>
                  </w:r>
                  <w:r w:rsidRPr="006A5626">
                    <w:t xml:space="preserve"> standard do you consider to be the most appropriate, and why?</w:t>
                  </w:r>
                </w:p>
                <w:p w:rsidR="0085182E" w:rsidRPr="006A5626" w:rsidRDefault="0085182E" w:rsidP="006A5626">
                  <w:pPr>
                    <w:pStyle w:val="BulletArrows"/>
                    <w:numPr>
                      <w:ilvl w:val="0"/>
                      <w:numId w:val="22"/>
                    </w:numPr>
                    <w:ind w:left="714" w:hanging="357"/>
                  </w:pPr>
                  <w:r w:rsidRPr="006A5626">
                    <w:t>What is your preferred option for the form of the 24-hour PM</w:t>
                  </w:r>
                  <w:r w:rsidRPr="006A5626">
                    <w:rPr>
                      <w:vertAlign w:val="subscript"/>
                    </w:rPr>
                    <w:t>10</w:t>
                  </w:r>
                  <w:r w:rsidRPr="006A5626">
                    <w:t xml:space="preserve"> and PM</w:t>
                  </w:r>
                  <w:r w:rsidRPr="006A5626">
                    <w:rPr>
                      <w:vertAlign w:val="subscript"/>
                    </w:rPr>
                    <w:t>2.5</w:t>
                  </w:r>
                  <w:r w:rsidRPr="006A5626">
                    <w:t xml:space="preserve"> standards? Should the options be trialled?</w:t>
                  </w:r>
                </w:p>
                <w:p w:rsidR="0085182E" w:rsidRPr="006A5626" w:rsidRDefault="0085182E" w:rsidP="006A5626">
                  <w:pPr>
                    <w:pStyle w:val="BulletArrows"/>
                    <w:numPr>
                      <w:ilvl w:val="0"/>
                      <w:numId w:val="22"/>
                    </w:numPr>
                    <w:ind w:left="714" w:hanging="357"/>
                  </w:pPr>
                  <w:r w:rsidRPr="006A5626">
                    <w:t>Do you have any comments regarding the possible inclusion of PM metrics, other than PM</w:t>
                  </w:r>
                  <w:r w:rsidRPr="006A5626">
                    <w:rPr>
                      <w:vertAlign w:val="subscript"/>
                    </w:rPr>
                    <w:t>10</w:t>
                  </w:r>
                  <w:r w:rsidRPr="006A5626">
                    <w:t xml:space="preserve"> and PM</w:t>
                  </w:r>
                  <w:r w:rsidRPr="006A5626">
                    <w:rPr>
                      <w:vertAlign w:val="subscript"/>
                    </w:rPr>
                    <w:t>2.5</w:t>
                  </w:r>
                  <w:r w:rsidRPr="006A5626">
                    <w:t>, in the future?</w:t>
                  </w:r>
                </w:p>
                <w:p w:rsidR="0085182E" w:rsidRPr="00E15F4A" w:rsidRDefault="0085182E" w:rsidP="00E15F4A">
                  <w:pPr>
                    <w:pStyle w:val="BulletArrows"/>
                    <w:numPr>
                      <w:ilvl w:val="0"/>
                      <w:numId w:val="22"/>
                    </w:numPr>
                    <w:ind w:left="714" w:hanging="357"/>
                  </w:pPr>
                  <w:r w:rsidRPr="006A5626">
                    <w:t>Do you agree with the preferred form of the exposure-reduction framework under which an exposure index based on monitoring would be used to track population exposure for major urban areas?</w:t>
                  </w:r>
                </w:p>
              </w:txbxContent>
            </v:textbox>
            <w10:wrap type="none"/>
            <w10:anchorlock/>
          </v:shape>
        </w:pict>
      </w:r>
    </w:p>
    <w:p w:rsidR="00B759BE" w:rsidRPr="006F1D04" w:rsidRDefault="00B759BE" w:rsidP="00443F5C">
      <w:pPr>
        <w:rPr>
          <w:rFonts w:ascii="Arial" w:hAnsi="Arial" w:cs="Arial"/>
        </w:rPr>
      </w:pPr>
    </w:p>
    <w:p w:rsidR="00B759BE" w:rsidRPr="006F1D04" w:rsidRDefault="00B759BE" w:rsidP="00443F5C">
      <w:pPr>
        <w:rPr>
          <w:rFonts w:ascii="Arial" w:hAnsi="Arial" w:cs="Arial"/>
        </w:rPr>
      </w:pPr>
    </w:p>
    <w:p w:rsidR="00B759BE" w:rsidRPr="006F1D04" w:rsidRDefault="00B759BE" w:rsidP="00443F5C">
      <w:pPr>
        <w:rPr>
          <w:rFonts w:ascii="Arial" w:hAnsi="Arial" w:cs="Arial"/>
        </w:rPr>
      </w:pPr>
    </w:p>
    <w:p w:rsidR="00692A6D" w:rsidRPr="006F1D04" w:rsidRDefault="00692A6D" w:rsidP="002C6E3A">
      <w:pPr>
        <w:rPr>
          <w:rFonts w:ascii="Arial" w:hAnsi="Arial" w:cs="Arial"/>
        </w:rPr>
        <w:sectPr w:rsidR="00692A6D" w:rsidRPr="006F1D04" w:rsidSect="006A5626">
          <w:footerReference w:type="default" r:id="rId125"/>
          <w:headerReference w:type="first" r:id="rId126"/>
          <w:pgSz w:w="11906" w:h="16838" w:code="9"/>
          <w:pgMar w:top="1440" w:right="1440" w:bottom="1440" w:left="1440" w:header="284" w:footer="170" w:gutter="0"/>
          <w:cols w:space="255"/>
          <w:docGrid w:linePitch="360"/>
        </w:sectPr>
      </w:pPr>
    </w:p>
    <w:p w:rsidR="00A76F39" w:rsidRPr="006F1D04" w:rsidRDefault="00A76F39" w:rsidP="00B759BE">
      <w:pPr>
        <w:pStyle w:val="Heading1"/>
        <w:rPr>
          <w:rFonts w:ascii="Arial" w:hAnsi="Arial"/>
        </w:rPr>
      </w:pPr>
      <w:bookmarkStart w:id="217" w:name="_Toc394011163"/>
      <w:r w:rsidRPr="006F1D04">
        <w:rPr>
          <w:rFonts w:ascii="Arial" w:hAnsi="Arial"/>
        </w:rPr>
        <w:lastRenderedPageBreak/>
        <w:t>Consultation</w:t>
      </w:r>
      <w:bookmarkEnd w:id="217"/>
    </w:p>
    <w:p w:rsidR="00782B1B" w:rsidRPr="006F1D04" w:rsidRDefault="00782B1B" w:rsidP="00782B1B">
      <w:pPr>
        <w:rPr>
          <w:rFonts w:ascii="Arial" w:hAnsi="Arial" w:cs="Arial"/>
        </w:rPr>
      </w:pPr>
      <w:r w:rsidRPr="006F1D04">
        <w:rPr>
          <w:rFonts w:ascii="Arial" w:hAnsi="Arial" w:cs="Arial"/>
        </w:rPr>
        <w:t>Input is now sought from stakeholders on the options outlined in the Impact Statement.</w:t>
      </w:r>
    </w:p>
    <w:p w:rsidR="00782B1B" w:rsidRPr="006F1D04" w:rsidRDefault="00782B1B" w:rsidP="00782B1B">
      <w:pPr>
        <w:rPr>
          <w:rFonts w:ascii="Arial" w:hAnsi="Arial" w:cs="Arial"/>
        </w:rPr>
      </w:pPr>
      <w:r w:rsidRPr="006F1D04">
        <w:rPr>
          <w:rFonts w:ascii="Arial" w:hAnsi="Arial" w:cs="Arial"/>
        </w:rPr>
        <w:t xml:space="preserve">Feedback is also welcomed on the analysis and conclusions and any other aspect of the Impact Statement. </w:t>
      </w:r>
      <w:r w:rsidR="000223A0" w:rsidRPr="006F1D04">
        <w:rPr>
          <w:rFonts w:ascii="Arial" w:hAnsi="Arial" w:cs="Arial"/>
        </w:rPr>
        <w:t xml:space="preserve">All submissions are public documents unless clearly marked ‘confidential’ and may be made available to other interested parties, including by being published on the NEPC website. </w:t>
      </w:r>
      <w:r w:rsidRPr="006F1D04">
        <w:rPr>
          <w:rFonts w:ascii="Arial" w:hAnsi="Arial" w:cs="Arial"/>
        </w:rPr>
        <w:t>Stakeholders should indicate if their submission is confidential or clearly indicate sections that may contain confidential or sensitive information that is not for publication.</w:t>
      </w:r>
    </w:p>
    <w:p w:rsidR="00782B1B" w:rsidRPr="006F1D04" w:rsidRDefault="00782B1B" w:rsidP="00782B1B">
      <w:pPr>
        <w:rPr>
          <w:rFonts w:ascii="Arial" w:hAnsi="Arial" w:cs="Arial"/>
        </w:rPr>
      </w:pPr>
      <w:r w:rsidRPr="006F1D04">
        <w:rPr>
          <w:rFonts w:ascii="Arial" w:hAnsi="Arial" w:cs="Arial"/>
        </w:rPr>
        <w:t xml:space="preserve">Feedback received during the public </w:t>
      </w:r>
      <w:proofErr w:type="gramStart"/>
      <w:r w:rsidRPr="006F1D04">
        <w:rPr>
          <w:rFonts w:ascii="Arial" w:hAnsi="Arial" w:cs="Arial"/>
        </w:rPr>
        <w:t>comment  period</w:t>
      </w:r>
      <w:proofErr w:type="gramEnd"/>
      <w:r w:rsidRPr="006F1D04">
        <w:rPr>
          <w:rFonts w:ascii="Arial" w:hAnsi="Arial" w:cs="Arial"/>
        </w:rPr>
        <w:t xml:space="preserve"> will be used to inform the development of the NEPM variation.  </w:t>
      </w:r>
    </w:p>
    <w:p w:rsidR="00177A6C" w:rsidRPr="007428E2" w:rsidRDefault="00177A6C" w:rsidP="00177A6C">
      <w:pPr>
        <w:autoSpaceDE w:val="0"/>
        <w:autoSpaceDN w:val="0"/>
        <w:adjustRightInd w:val="0"/>
        <w:spacing w:after="0" w:line="240" w:lineRule="auto"/>
        <w:rPr>
          <w:rFonts w:ascii="Arial" w:hAnsi="Arial" w:cs="Arial"/>
        </w:rPr>
      </w:pPr>
      <w:r w:rsidRPr="007428E2">
        <w:rPr>
          <w:rFonts w:ascii="Arial" w:hAnsi="Arial" w:cs="Arial"/>
        </w:rPr>
        <w:t>The NEPC Act requires that both the draft AAQ NEPM variation and the Impact Statement be made available for public consultation for a period of at least two months.</w:t>
      </w:r>
      <w:r>
        <w:rPr>
          <w:rFonts w:ascii="Arial" w:hAnsi="Arial" w:cs="Arial"/>
        </w:rPr>
        <w:t xml:space="preserve"> The </w:t>
      </w:r>
      <w:r w:rsidRPr="007428E2">
        <w:rPr>
          <w:rFonts w:ascii="Arial" w:hAnsi="Arial" w:cs="Arial"/>
        </w:rPr>
        <w:t xml:space="preserve">consultation period will occur </w:t>
      </w:r>
      <w:r>
        <w:rPr>
          <w:rFonts w:ascii="Arial" w:hAnsi="Arial" w:cs="Arial"/>
        </w:rPr>
        <w:t xml:space="preserve">over a ten week period from </w:t>
      </w:r>
      <w:r w:rsidRPr="007428E2">
        <w:rPr>
          <w:rFonts w:ascii="Arial" w:hAnsi="Arial" w:cs="Arial"/>
        </w:rPr>
        <w:t>July</w:t>
      </w:r>
      <w:r>
        <w:rPr>
          <w:rFonts w:ascii="Arial" w:hAnsi="Arial" w:cs="Arial"/>
        </w:rPr>
        <w:t xml:space="preserve"> to October </w:t>
      </w:r>
      <w:r w:rsidRPr="007428E2">
        <w:rPr>
          <w:rFonts w:ascii="Arial" w:hAnsi="Arial" w:cs="Arial"/>
        </w:rPr>
        <w:t xml:space="preserve">2014. The views of stakeholders on these documents </w:t>
      </w:r>
      <w:r>
        <w:rPr>
          <w:rFonts w:ascii="Arial" w:hAnsi="Arial" w:cs="Arial"/>
        </w:rPr>
        <w:t xml:space="preserve">are </w:t>
      </w:r>
      <w:r w:rsidRPr="007428E2">
        <w:rPr>
          <w:rFonts w:ascii="Arial" w:hAnsi="Arial" w:cs="Arial"/>
        </w:rPr>
        <w:t>be</w:t>
      </w:r>
      <w:r w:rsidR="00916BBC">
        <w:rPr>
          <w:rFonts w:ascii="Arial" w:hAnsi="Arial" w:cs="Arial"/>
        </w:rPr>
        <w:t>ing</w:t>
      </w:r>
      <w:r w:rsidRPr="007428E2">
        <w:rPr>
          <w:rFonts w:ascii="Arial" w:hAnsi="Arial" w:cs="Arial"/>
        </w:rPr>
        <w:t xml:space="preserve"> sought through written and online submissions.</w:t>
      </w:r>
    </w:p>
    <w:p w:rsidR="00177A6C" w:rsidRDefault="00177A6C" w:rsidP="00177A6C">
      <w:pPr>
        <w:autoSpaceDE w:val="0"/>
        <w:autoSpaceDN w:val="0"/>
        <w:adjustRightInd w:val="0"/>
        <w:spacing w:after="0" w:line="240" w:lineRule="auto"/>
        <w:rPr>
          <w:rFonts w:ascii="Arial" w:hAnsi="Arial" w:cs="Arial"/>
        </w:rPr>
      </w:pPr>
    </w:p>
    <w:p w:rsidR="00723257" w:rsidRPr="00FD5FEA" w:rsidRDefault="00723257" w:rsidP="00723257">
      <w:pPr>
        <w:spacing w:after="180"/>
        <w:rPr>
          <w:rFonts w:ascii="Arial" w:hAnsi="Arial" w:cs="Arial"/>
          <w:b/>
        </w:rPr>
      </w:pPr>
      <w:r>
        <w:rPr>
          <w:rFonts w:ascii="Arial" w:hAnsi="Arial" w:cs="Arial"/>
        </w:rPr>
        <w:t xml:space="preserve">Online submissions are preferred and can be made via </w:t>
      </w:r>
      <w:r w:rsidRPr="00916BBC">
        <w:rPr>
          <w:rFonts w:ascii="Arial" w:hAnsi="Arial" w:cs="Arial"/>
          <w:b/>
        </w:rPr>
        <w:t>&lt;</w:t>
      </w:r>
      <w:r w:rsidRPr="00916BBC">
        <w:t xml:space="preserve"> </w:t>
      </w:r>
      <w:hyperlink r:id="rId127" w:history="1">
        <w:r w:rsidRPr="00916BBC">
          <w:rPr>
            <w:rStyle w:val="Hyperlink"/>
            <w:rFonts w:ascii="Arial" w:hAnsi="Arial" w:cs="Arial"/>
            <w:b/>
          </w:rPr>
          <w:t>www.nepc.gov.au</w:t>
        </w:r>
      </w:hyperlink>
      <w:r w:rsidRPr="00916BBC">
        <w:rPr>
          <w:rFonts w:ascii="Arial" w:hAnsi="Arial" w:cs="Arial"/>
          <w:b/>
        </w:rPr>
        <w:t xml:space="preserve"> &gt;</w:t>
      </w:r>
    </w:p>
    <w:p w:rsidR="00723257" w:rsidRDefault="00723257" w:rsidP="00723257">
      <w:pPr>
        <w:spacing w:after="180"/>
        <w:rPr>
          <w:rFonts w:ascii="Arial" w:hAnsi="Arial" w:cs="Arial"/>
        </w:rPr>
      </w:pPr>
      <w:r>
        <w:rPr>
          <w:rFonts w:ascii="Arial" w:hAnsi="Arial" w:cs="Arial"/>
        </w:rPr>
        <w:t xml:space="preserve">Written submissions may also be made and can be sent to: </w:t>
      </w:r>
    </w:p>
    <w:p w:rsidR="00723257" w:rsidRPr="00FD5FEA" w:rsidRDefault="00723257" w:rsidP="00723257">
      <w:pPr>
        <w:autoSpaceDE w:val="0"/>
        <w:autoSpaceDN w:val="0"/>
        <w:adjustRightInd w:val="0"/>
        <w:spacing w:after="0" w:line="240" w:lineRule="auto"/>
        <w:ind w:left="720"/>
        <w:rPr>
          <w:rFonts w:ascii="Arial" w:hAnsi="Arial" w:cs="Arial"/>
          <w:b/>
        </w:rPr>
      </w:pPr>
      <w:r>
        <w:rPr>
          <w:rFonts w:ascii="Arial" w:hAnsi="Arial" w:cs="Arial"/>
          <w:b/>
        </w:rPr>
        <w:t>The Executive Officer</w:t>
      </w:r>
    </w:p>
    <w:p w:rsidR="00723257" w:rsidRDefault="00723257" w:rsidP="00723257">
      <w:pPr>
        <w:autoSpaceDE w:val="0"/>
        <w:autoSpaceDN w:val="0"/>
        <w:adjustRightInd w:val="0"/>
        <w:spacing w:after="0" w:line="240" w:lineRule="auto"/>
        <w:ind w:left="720"/>
        <w:rPr>
          <w:rFonts w:ascii="Arial" w:hAnsi="Arial" w:cs="Arial"/>
          <w:b/>
        </w:rPr>
      </w:pPr>
      <w:r w:rsidRPr="00FD5FEA">
        <w:rPr>
          <w:rFonts w:ascii="Arial" w:hAnsi="Arial" w:cs="Arial"/>
          <w:b/>
        </w:rPr>
        <w:t>National Environment Protection Council</w:t>
      </w:r>
    </w:p>
    <w:p w:rsidR="00723257" w:rsidRPr="00FD5FEA" w:rsidRDefault="00723257" w:rsidP="00723257">
      <w:pPr>
        <w:autoSpaceDE w:val="0"/>
        <w:autoSpaceDN w:val="0"/>
        <w:adjustRightInd w:val="0"/>
        <w:spacing w:after="0" w:line="240" w:lineRule="auto"/>
        <w:ind w:left="720"/>
        <w:rPr>
          <w:rFonts w:ascii="Arial" w:hAnsi="Arial" w:cs="Arial"/>
          <w:b/>
        </w:rPr>
      </w:pPr>
      <w:r>
        <w:rPr>
          <w:rFonts w:ascii="Arial" w:hAnsi="Arial" w:cs="Arial"/>
          <w:b/>
        </w:rPr>
        <w:t>Department of the Environment</w:t>
      </w:r>
    </w:p>
    <w:p w:rsidR="00723257" w:rsidRPr="00FD5FEA" w:rsidRDefault="00723257" w:rsidP="00723257">
      <w:pPr>
        <w:autoSpaceDE w:val="0"/>
        <w:autoSpaceDN w:val="0"/>
        <w:adjustRightInd w:val="0"/>
        <w:spacing w:after="0" w:line="240" w:lineRule="auto"/>
        <w:ind w:left="720"/>
        <w:rPr>
          <w:rFonts w:ascii="Arial" w:hAnsi="Arial" w:cs="Arial"/>
          <w:b/>
          <w:color w:val="000000"/>
        </w:rPr>
      </w:pPr>
      <w:r w:rsidRPr="00FD5FEA">
        <w:rPr>
          <w:rFonts w:ascii="Arial" w:hAnsi="Arial" w:cs="Arial"/>
          <w:b/>
          <w:color w:val="000000"/>
        </w:rPr>
        <w:t>GPO Box 787</w:t>
      </w:r>
    </w:p>
    <w:p w:rsidR="00723257" w:rsidRPr="00FD5FEA" w:rsidRDefault="00723257" w:rsidP="00723257">
      <w:pPr>
        <w:autoSpaceDE w:val="0"/>
        <w:autoSpaceDN w:val="0"/>
        <w:adjustRightInd w:val="0"/>
        <w:spacing w:after="0" w:line="240" w:lineRule="auto"/>
        <w:ind w:left="720"/>
        <w:rPr>
          <w:rFonts w:ascii="Arial" w:hAnsi="Arial" w:cs="Arial"/>
          <w:b/>
        </w:rPr>
      </w:pPr>
      <w:proofErr w:type="gramStart"/>
      <w:r w:rsidRPr="00FD5FEA">
        <w:rPr>
          <w:rFonts w:ascii="Arial" w:hAnsi="Arial" w:cs="Arial"/>
          <w:b/>
          <w:color w:val="000000"/>
        </w:rPr>
        <w:t>Canberra  ACT</w:t>
      </w:r>
      <w:proofErr w:type="gramEnd"/>
      <w:r w:rsidRPr="00FD5FEA">
        <w:rPr>
          <w:rFonts w:ascii="Arial" w:hAnsi="Arial" w:cs="Arial"/>
          <w:b/>
          <w:color w:val="000000"/>
        </w:rPr>
        <w:t xml:space="preserve">  2601</w:t>
      </w:r>
    </w:p>
    <w:p w:rsidR="00723257" w:rsidRPr="00FD5FEA" w:rsidRDefault="00723257" w:rsidP="00723257">
      <w:pPr>
        <w:autoSpaceDE w:val="0"/>
        <w:autoSpaceDN w:val="0"/>
        <w:adjustRightInd w:val="0"/>
        <w:spacing w:after="0" w:line="240" w:lineRule="auto"/>
        <w:ind w:left="720"/>
        <w:rPr>
          <w:rFonts w:ascii="Arial" w:hAnsi="Arial" w:cs="Arial"/>
          <w:b/>
        </w:rPr>
      </w:pPr>
    </w:p>
    <w:p w:rsidR="00723257" w:rsidRPr="00FD5FEA" w:rsidRDefault="00723257" w:rsidP="00723257">
      <w:pPr>
        <w:autoSpaceDE w:val="0"/>
        <w:autoSpaceDN w:val="0"/>
        <w:adjustRightInd w:val="0"/>
        <w:spacing w:after="200" w:line="240" w:lineRule="auto"/>
        <w:ind w:left="720"/>
        <w:rPr>
          <w:rFonts w:ascii="Arial" w:hAnsi="Arial" w:cs="Arial"/>
          <w:b/>
        </w:rPr>
      </w:pPr>
      <w:r w:rsidRPr="00FD5FEA">
        <w:rPr>
          <w:rFonts w:ascii="Arial" w:hAnsi="Arial" w:cs="Arial"/>
          <w:b/>
        </w:rPr>
        <w:t xml:space="preserve">Email: </w:t>
      </w:r>
      <w:hyperlink r:id="rId128" w:history="1">
        <w:r w:rsidRPr="00FD5FEA">
          <w:rPr>
            <w:rStyle w:val="Hyperlink"/>
            <w:rFonts w:ascii="Arial" w:hAnsi="Arial" w:cs="Arial"/>
            <w:b/>
          </w:rPr>
          <w:t>nepc@environment.gov.au</w:t>
        </w:r>
      </w:hyperlink>
    </w:p>
    <w:p w:rsidR="00723257" w:rsidRPr="00FD5FEA" w:rsidRDefault="00723257" w:rsidP="00723257">
      <w:pPr>
        <w:autoSpaceDE w:val="0"/>
        <w:autoSpaceDN w:val="0"/>
        <w:adjustRightInd w:val="0"/>
        <w:spacing w:after="200" w:line="240" w:lineRule="auto"/>
        <w:rPr>
          <w:rFonts w:ascii="Arial" w:hAnsi="Arial" w:cs="Arial"/>
          <w:b/>
        </w:rPr>
      </w:pPr>
      <w:r w:rsidRPr="00FD5FEA">
        <w:rPr>
          <w:rFonts w:ascii="Arial" w:hAnsi="Arial" w:cs="Arial"/>
          <w:b/>
        </w:rPr>
        <w:t xml:space="preserve">The </w:t>
      </w:r>
      <w:r>
        <w:rPr>
          <w:rFonts w:ascii="Arial" w:hAnsi="Arial" w:cs="Arial"/>
          <w:b/>
        </w:rPr>
        <w:t xml:space="preserve">closing date for </w:t>
      </w:r>
      <w:r w:rsidRPr="00FD5FEA">
        <w:rPr>
          <w:rFonts w:ascii="Arial" w:hAnsi="Arial" w:cs="Arial"/>
          <w:b/>
        </w:rPr>
        <w:t>submission</w:t>
      </w:r>
      <w:r>
        <w:rPr>
          <w:rFonts w:ascii="Arial" w:hAnsi="Arial" w:cs="Arial"/>
          <w:b/>
        </w:rPr>
        <w:t>s</w:t>
      </w:r>
      <w:r w:rsidRPr="00FD5FEA">
        <w:rPr>
          <w:rFonts w:ascii="Arial" w:hAnsi="Arial" w:cs="Arial"/>
          <w:b/>
        </w:rPr>
        <w:t xml:space="preserve"> is Friday 10 October 2014.</w:t>
      </w:r>
    </w:p>
    <w:p w:rsidR="00177A6C" w:rsidRDefault="00177A6C" w:rsidP="00782B1B">
      <w:pPr>
        <w:autoSpaceDE w:val="0"/>
        <w:autoSpaceDN w:val="0"/>
        <w:adjustRightInd w:val="0"/>
        <w:spacing w:after="0" w:line="240" w:lineRule="auto"/>
        <w:rPr>
          <w:rFonts w:ascii="Arial" w:hAnsi="Arial" w:cs="Arial"/>
        </w:rPr>
      </w:pPr>
    </w:p>
    <w:p w:rsidR="00782B1B" w:rsidRPr="006F1D04" w:rsidRDefault="00782B1B" w:rsidP="00782B1B">
      <w:pPr>
        <w:autoSpaceDE w:val="0"/>
        <w:autoSpaceDN w:val="0"/>
        <w:adjustRightInd w:val="0"/>
        <w:spacing w:after="0" w:line="240" w:lineRule="auto"/>
        <w:rPr>
          <w:rFonts w:ascii="Arial" w:hAnsi="Arial" w:cs="Arial"/>
        </w:rPr>
      </w:pPr>
      <w:r w:rsidRPr="006F1D04">
        <w:rPr>
          <w:rFonts w:ascii="Arial" w:hAnsi="Arial" w:cs="Arial"/>
        </w:rPr>
        <w:t>Following the public consultation period, the NEPC is required to prepare a summary of the issues raised in submissions and responses to them. In deciding whether or not to make the NEPM variation, the NEPC must take both the Impact Statement and the summary of submissions and responses into account.</w:t>
      </w:r>
    </w:p>
    <w:p w:rsidR="00782B1B" w:rsidRPr="006F1D04" w:rsidRDefault="00782B1B" w:rsidP="00782B1B">
      <w:pPr>
        <w:autoSpaceDE w:val="0"/>
        <w:autoSpaceDN w:val="0"/>
        <w:adjustRightInd w:val="0"/>
        <w:spacing w:after="0" w:line="240" w:lineRule="auto"/>
        <w:rPr>
          <w:rFonts w:ascii="Arial" w:hAnsi="Arial" w:cs="Arial"/>
        </w:rPr>
      </w:pPr>
    </w:p>
    <w:p w:rsidR="00782B1B" w:rsidRPr="006F1D04" w:rsidRDefault="00782B1B" w:rsidP="00782B1B">
      <w:pPr>
        <w:autoSpaceDE w:val="0"/>
        <w:autoSpaceDN w:val="0"/>
        <w:adjustRightInd w:val="0"/>
        <w:spacing w:after="0" w:line="240" w:lineRule="auto"/>
        <w:rPr>
          <w:rFonts w:ascii="Arial" w:hAnsi="Arial" w:cs="Arial"/>
        </w:rPr>
      </w:pPr>
      <w:r w:rsidRPr="006F1D04">
        <w:rPr>
          <w:rFonts w:ascii="Arial" w:hAnsi="Arial" w:cs="Arial"/>
        </w:rPr>
        <w:t>The following documents have been released by the NEPC to facilitate public consultation on the NEPM</w:t>
      </w:r>
    </w:p>
    <w:p w:rsidR="006F1D04" w:rsidRDefault="00782B1B" w:rsidP="006F1D04">
      <w:pPr>
        <w:spacing w:after="200" w:line="240" w:lineRule="auto"/>
        <w:rPr>
          <w:rFonts w:ascii="Arial" w:hAnsi="Arial" w:cs="Arial"/>
        </w:rPr>
      </w:pPr>
      <w:proofErr w:type="gramStart"/>
      <w:r w:rsidRPr="006F1D04">
        <w:rPr>
          <w:rFonts w:ascii="Arial" w:hAnsi="Arial" w:cs="Arial"/>
        </w:rPr>
        <w:t>variation</w:t>
      </w:r>
      <w:proofErr w:type="gramEnd"/>
      <w:r w:rsidRPr="006F1D04">
        <w:rPr>
          <w:rFonts w:ascii="Arial" w:hAnsi="Arial" w:cs="Arial"/>
        </w:rPr>
        <w:t>.</w:t>
      </w:r>
    </w:p>
    <w:p w:rsidR="006F1D04" w:rsidRDefault="00916BBC" w:rsidP="006F1D04">
      <w:pPr>
        <w:pStyle w:val="ListBullet3"/>
        <w:numPr>
          <w:ilvl w:val="0"/>
          <w:numId w:val="46"/>
        </w:numPr>
        <w:rPr>
          <w:rFonts w:cs="Arial"/>
          <w:sz w:val="18"/>
          <w:szCs w:val="18"/>
        </w:rPr>
      </w:pPr>
      <w:r w:rsidRPr="00916BBC">
        <w:rPr>
          <w:rFonts w:cs="Arial"/>
          <w:sz w:val="18"/>
          <w:szCs w:val="18"/>
        </w:rPr>
        <w:t>Exposure Assessment and Risk Characterisation to Inform Recommendations for Updating Ambient Air Quality Standards for PM</w:t>
      </w:r>
      <w:r w:rsidRPr="00916BBC">
        <w:rPr>
          <w:rFonts w:cs="Arial"/>
          <w:sz w:val="18"/>
          <w:szCs w:val="18"/>
          <w:vertAlign w:val="subscript"/>
        </w:rPr>
        <w:t>2.5</w:t>
      </w:r>
      <w:r w:rsidRPr="00916BBC">
        <w:rPr>
          <w:rFonts w:cs="Arial"/>
          <w:sz w:val="18"/>
          <w:szCs w:val="18"/>
        </w:rPr>
        <w:t>, PM</w:t>
      </w:r>
      <w:r w:rsidRPr="00916BBC">
        <w:rPr>
          <w:rFonts w:cs="Arial"/>
          <w:sz w:val="18"/>
          <w:szCs w:val="18"/>
          <w:vertAlign w:val="subscript"/>
        </w:rPr>
        <w:t>10</w:t>
      </w:r>
      <w:r w:rsidRPr="00916BBC">
        <w:rPr>
          <w:rFonts w:cs="Arial"/>
          <w:sz w:val="18"/>
          <w:szCs w:val="18"/>
        </w:rPr>
        <w:t>, 0</w:t>
      </w:r>
      <w:r w:rsidRPr="00916BBC">
        <w:rPr>
          <w:rFonts w:cs="Arial"/>
          <w:sz w:val="18"/>
          <w:szCs w:val="18"/>
          <w:vertAlign w:val="subscript"/>
        </w:rPr>
        <w:t>3</w:t>
      </w:r>
      <w:r w:rsidRPr="00916BBC">
        <w:rPr>
          <w:rFonts w:cs="Arial"/>
          <w:sz w:val="18"/>
          <w:szCs w:val="18"/>
        </w:rPr>
        <w:t>, NO</w:t>
      </w:r>
      <w:r w:rsidRPr="00916BBC">
        <w:rPr>
          <w:rFonts w:cs="Arial"/>
          <w:sz w:val="18"/>
          <w:szCs w:val="18"/>
          <w:vertAlign w:val="subscript"/>
        </w:rPr>
        <w:t>2</w:t>
      </w:r>
      <w:r w:rsidRPr="00916BBC">
        <w:rPr>
          <w:rFonts w:cs="Arial"/>
          <w:sz w:val="18"/>
          <w:szCs w:val="18"/>
        </w:rPr>
        <w:t xml:space="preserve"> and SO</w:t>
      </w:r>
      <w:r w:rsidRPr="00916BBC">
        <w:rPr>
          <w:rFonts w:cs="Arial"/>
          <w:sz w:val="18"/>
          <w:szCs w:val="18"/>
          <w:vertAlign w:val="subscript"/>
        </w:rPr>
        <w:t>2</w:t>
      </w:r>
      <w:r w:rsidRPr="00916BBC">
        <w:rPr>
          <w:rFonts w:cs="Arial"/>
          <w:sz w:val="18"/>
          <w:szCs w:val="18"/>
        </w:rPr>
        <w:t xml:space="preserve"> (referred to in this Impact Statement as the Health Risk Assessment (HRA))</w:t>
      </w:r>
    </w:p>
    <w:p w:rsidR="006F1D04" w:rsidRPr="007428E2" w:rsidRDefault="006F1D04" w:rsidP="006F1D04">
      <w:pPr>
        <w:pStyle w:val="ListBullet3"/>
        <w:numPr>
          <w:ilvl w:val="0"/>
          <w:numId w:val="46"/>
        </w:numPr>
        <w:rPr>
          <w:rFonts w:cs="Arial"/>
          <w:sz w:val="18"/>
          <w:szCs w:val="18"/>
        </w:rPr>
      </w:pPr>
      <w:r w:rsidRPr="007428E2">
        <w:rPr>
          <w:rFonts w:cs="Arial"/>
          <w:sz w:val="18"/>
          <w:szCs w:val="18"/>
        </w:rPr>
        <w:t xml:space="preserve">Summary for Policy Makers of the Health Risk Assessment on Air Pollution in Australia </w:t>
      </w:r>
    </w:p>
    <w:p w:rsidR="006F1D04" w:rsidRPr="007428E2" w:rsidRDefault="00916BBC" w:rsidP="006F1D04">
      <w:pPr>
        <w:pStyle w:val="ListBullet3"/>
        <w:numPr>
          <w:ilvl w:val="0"/>
          <w:numId w:val="46"/>
        </w:numPr>
        <w:rPr>
          <w:rFonts w:cs="Arial"/>
          <w:sz w:val="18"/>
          <w:szCs w:val="18"/>
        </w:rPr>
      </w:pPr>
      <w:r w:rsidRPr="00916BBC">
        <w:rPr>
          <w:rFonts w:cs="Arial"/>
          <w:sz w:val="18"/>
          <w:szCs w:val="18"/>
        </w:rPr>
        <w:t>Economic Analysis to Inform the National Plan for Clean Air (Particles) (referred to in this Impact Statement as the Economic Analysis)</w:t>
      </w:r>
    </w:p>
    <w:p w:rsidR="006F1D04" w:rsidRPr="007428E2" w:rsidRDefault="006F1D04" w:rsidP="006F1D04">
      <w:pPr>
        <w:pStyle w:val="ListBullet3"/>
        <w:numPr>
          <w:ilvl w:val="0"/>
          <w:numId w:val="46"/>
        </w:numPr>
        <w:rPr>
          <w:rFonts w:cs="Arial"/>
          <w:sz w:val="18"/>
          <w:szCs w:val="18"/>
        </w:rPr>
      </w:pPr>
      <w:r w:rsidRPr="007428E2">
        <w:rPr>
          <w:rFonts w:cs="Arial"/>
          <w:sz w:val="18"/>
          <w:szCs w:val="18"/>
        </w:rPr>
        <w:t xml:space="preserve">Evaluating Options for an Exposure Reduction Framework in Australia </w:t>
      </w:r>
    </w:p>
    <w:p w:rsidR="006F1D04" w:rsidRPr="007428E2" w:rsidRDefault="006F1D04" w:rsidP="006F1D04">
      <w:pPr>
        <w:pStyle w:val="ListBullet3"/>
        <w:numPr>
          <w:ilvl w:val="0"/>
          <w:numId w:val="46"/>
        </w:numPr>
        <w:rPr>
          <w:rFonts w:cs="Arial"/>
          <w:sz w:val="18"/>
          <w:szCs w:val="18"/>
        </w:rPr>
      </w:pPr>
      <w:r w:rsidRPr="007428E2">
        <w:rPr>
          <w:rFonts w:cs="Arial"/>
          <w:sz w:val="18"/>
          <w:szCs w:val="18"/>
        </w:rPr>
        <w:t>Methodology for Valuing the Health Impacts of Changes in Particle Emissions</w:t>
      </w:r>
    </w:p>
    <w:p w:rsidR="002C6E3A" w:rsidRDefault="002C6E3A">
      <w:pPr>
        <w:spacing w:after="200" w:line="240" w:lineRule="auto"/>
        <w:rPr>
          <w:rFonts w:ascii="Arial" w:hAnsi="Arial" w:cs="Arial"/>
          <w:i/>
        </w:rPr>
      </w:pPr>
    </w:p>
    <w:p w:rsidR="00177A6C" w:rsidRPr="006574FD" w:rsidRDefault="00177A6C">
      <w:pPr>
        <w:spacing w:after="200" w:line="240" w:lineRule="auto"/>
        <w:rPr>
          <w:rFonts w:ascii="Arial" w:hAnsi="Arial" w:cs="Arial"/>
          <w:i/>
        </w:rPr>
        <w:sectPr w:rsidR="00177A6C" w:rsidRPr="006574FD" w:rsidSect="006A5626">
          <w:headerReference w:type="even" r:id="rId129"/>
          <w:footerReference w:type="default" r:id="rId130"/>
          <w:headerReference w:type="first" r:id="rId131"/>
          <w:pgSz w:w="11906" w:h="16838" w:code="9"/>
          <w:pgMar w:top="1440" w:right="1440" w:bottom="1440" w:left="1440" w:header="284" w:footer="170" w:gutter="0"/>
          <w:cols w:space="255"/>
          <w:docGrid w:linePitch="360"/>
        </w:sectPr>
      </w:pPr>
    </w:p>
    <w:p w:rsidR="002C5F09" w:rsidRPr="006F1D04" w:rsidRDefault="003F626A" w:rsidP="002C5F09">
      <w:pPr>
        <w:pStyle w:val="Heading1"/>
        <w:rPr>
          <w:rFonts w:ascii="Arial" w:hAnsi="Arial"/>
        </w:rPr>
      </w:pPr>
      <w:bookmarkStart w:id="218" w:name="_Toc394011164"/>
      <w:r w:rsidRPr="006F1D04">
        <w:rPr>
          <w:rFonts w:ascii="Arial" w:hAnsi="Arial"/>
        </w:rPr>
        <w:lastRenderedPageBreak/>
        <w:t xml:space="preserve">List </w:t>
      </w:r>
      <w:r w:rsidR="002C5F09" w:rsidRPr="006F1D04">
        <w:rPr>
          <w:rFonts w:ascii="Arial" w:hAnsi="Arial"/>
        </w:rPr>
        <w:t xml:space="preserve">of </w:t>
      </w:r>
      <w:r w:rsidRPr="006F1D04">
        <w:rPr>
          <w:rFonts w:ascii="Arial" w:hAnsi="Arial"/>
        </w:rPr>
        <w:t xml:space="preserve">technical </w:t>
      </w:r>
      <w:r w:rsidR="002C5F09" w:rsidRPr="006F1D04">
        <w:rPr>
          <w:rFonts w:ascii="Arial" w:hAnsi="Arial"/>
        </w:rPr>
        <w:t>terms and abbreviations</w:t>
      </w:r>
      <w:bookmarkEnd w:id="218"/>
    </w:p>
    <w:tbl>
      <w:tblPr>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2835"/>
        <w:gridCol w:w="6237"/>
      </w:tblGrid>
      <w:tr w:rsidR="002C6E3A" w:rsidRPr="006F1D04" w:rsidTr="0044368A">
        <w:trPr>
          <w:cantSplit/>
          <w:trHeight w:val="410"/>
        </w:trPr>
        <w:tc>
          <w:tcPr>
            <w:tcW w:w="2835" w:type="dxa"/>
            <w:shd w:val="clear" w:color="auto" w:fill="0070C0"/>
            <w:vAlign w:val="center"/>
          </w:tcPr>
          <w:p w:rsidR="002C6E3A" w:rsidRPr="006F1D04" w:rsidRDefault="002C6E3A" w:rsidP="002C6E3A">
            <w:pPr>
              <w:spacing w:after="0" w:line="240" w:lineRule="auto"/>
              <w:rPr>
                <w:rFonts w:ascii="Arial" w:hAnsi="Arial" w:cs="Arial"/>
                <w:b/>
                <w:color w:val="FFFFFF"/>
                <w:sz w:val="16"/>
                <w:szCs w:val="16"/>
              </w:rPr>
            </w:pPr>
            <w:r w:rsidRPr="006F1D04">
              <w:rPr>
                <w:rFonts w:ascii="Arial" w:hAnsi="Arial" w:cs="Arial"/>
                <w:b/>
                <w:color w:val="FFFFFF"/>
                <w:sz w:val="16"/>
                <w:szCs w:val="16"/>
              </w:rPr>
              <w:t>Term or abbreviation</w:t>
            </w:r>
          </w:p>
        </w:tc>
        <w:tc>
          <w:tcPr>
            <w:tcW w:w="6237" w:type="dxa"/>
            <w:shd w:val="clear" w:color="auto" w:fill="0070C0"/>
            <w:vAlign w:val="center"/>
          </w:tcPr>
          <w:p w:rsidR="002C6E3A" w:rsidRPr="006F1D04" w:rsidRDefault="002C6E3A" w:rsidP="002C6E3A">
            <w:pPr>
              <w:spacing w:after="0" w:line="240" w:lineRule="auto"/>
              <w:rPr>
                <w:rFonts w:ascii="Arial" w:hAnsi="Arial" w:cs="Arial"/>
                <w:b/>
                <w:color w:val="FFFFFF"/>
                <w:sz w:val="16"/>
                <w:szCs w:val="16"/>
              </w:rPr>
            </w:pPr>
            <w:r w:rsidRPr="006F1D04">
              <w:rPr>
                <w:rFonts w:ascii="Arial" w:hAnsi="Arial" w:cs="Arial"/>
                <w:b/>
                <w:color w:val="FFFFFF"/>
                <w:sz w:val="16"/>
                <w:szCs w:val="16"/>
              </w:rPr>
              <w:t>Description</w:t>
            </w:r>
          </w:p>
        </w:tc>
      </w:tr>
      <w:tr w:rsidR="002C6E3A" w:rsidRPr="006F1D04" w:rsidTr="0044368A">
        <w:trPr>
          <w:cantSplit/>
        </w:trPr>
        <w:tc>
          <w:tcPr>
            <w:tcW w:w="2835" w:type="dxa"/>
            <w:shd w:val="clear" w:color="auto" w:fill="auto"/>
          </w:tcPr>
          <w:p w:rsidR="002C6E3A" w:rsidRPr="006F1D04" w:rsidRDefault="002C6E3A"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AAQ NEPM</w:t>
            </w:r>
          </w:p>
        </w:tc>
        <w:tc>
          <w:tcPr>
            <w:tcW w:w="6237" w:type="dxa"/>
            <w:shd w:val="clear" w:color="auto" w:fill="auto"/>
          </w:tcPr>
          <w:p w:rsidR="002C6E3A" w:rsidRPr="006F1D04" w:rsidRDefault="002C6E3A"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sz w:val="16"/>
                <w:szCs w:val="16"/>
              </w:rPr>
              <w:t>National Environment Protection (Ambient Air Quality) Measure</w:t>
            </w:r>
            <w:r w:rsidRPr="006F1D04">
              <w:rPr>
                <w:rFonts w:ascii="Arial" w:hAnsi="Arial" w:cs="Arial"/>
                <w:kern w:val="32"/>
                <w:sz w:val="16"/>
                <w:szCs w:val="16"/>
              </w:rPr>
              <w:t xml:space="preserve"> </w:t>
            </w:r>
          </w:p>
        </w:tc>
      </w:tr>
      <w:tr w:rsidR="002C6E3A" w:rsidRPr="006F1D04" w:rsidTr="0044368A">
        <w:trPr>
          <w:cantSplit/>
        </w:trPr>
        <w:tc>
          <w:tcPr>
            <w:tcW w:w="2835" w:type="dxa"/>
            <w:shd w:val="clear" w:color="auto" w:fill="auto"/>
          </w:tcPr>
          <w:p w:rsidR="002C6E3A" w:rsidRPr="006F1D04" w:rsidRDefault="002C6E3A"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ABS</w:t>
            </w:r>
          </w:p>
        </w:tc>
        <w:tc>
          <w:tcPr>
            <w:tcW w:w="6237" w:type="dxa"/>
            <w:shd w:val="clear" w:color="auto" w:fill="auto"/>
          </w:tcPr>
          <w:p w:rsidR="002C6E3A" w:rsidRPr="006F1D04" w:rsidRDefault="002C6E3A"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Australian Bureau of Statistics</w:t>
            </w:r>
          </w:p>
        </w:tc>
      </w:tr>
      <w:tr w:rsidR="002C6E3A" w:rsidRPr="006F1D04" w:rsidTr="0044368A">
        <w:trPr>
          <w:cantSplit/>
        </w:trPr>
        <w:tc>
          <w:tcPr>
            <w:tcW w:w="2835" w:type="dxa"/>
            <w:shd w:val="clear" w:color="auto" w:fill="auto"/>
          </w:tcPr>
          <w:p w:rsidR="002C6E3A" w:rsidRPr="006F1D04" w:rsidRDefault="002C6E3A"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ACT</w:t>
            </w:r>
          </w:p>
        </w:tc>
        <w:tc>
          <w:tcPr>
            <w:tcW w:w="6237" w:type="dxa"/>
            <w:shd w:val="clear" w:color="auto" w:fill="auto"/>
          </w:tcPr>
          <w:p w:rsidR="002C6E3A" w:rsidRPr="006F1D04" w:rsidRDefault="002C6E3A"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Australian Capital Territory</w:t>
            </w:r>
          </w:p>
        </w:tc>
      </w:tr>
      <w:tr w:rsidR="002C6E3A" w:rsidRPr="006F1D04" w:rsidTr="0044368A">
        <w:trPr>
          <w:cantSplit/>
        </w:trPr>
        <w:tc>
          <w:tcPr>
            <w:tcW w:w="2835" w:type="dxa"/>
            <w:shd w:val="clear" w:color="auto" w:fill="auto"/>
          </w:tcPr>
          <w:p w:rsidR="002C6E3A" w:rsidRPr="006F1D04" w:rsidRDefault="002C6E3A" w:rsidP="002C6E3A">
            <w:pPr>
              <w:autoSpaceDE w:val="0"/>
              <w:autoSpaceDN w:val="0"/>
              <w:adjustRightInd w:val="0"/>
              <w:spacing w:before="60" w:after="60" w:line="240" w:lineRule="auto"/>
              <w:rPr>
                <w:rFonts w:ascii="Arial" w:hAnsi="Arial" w:cs="Arial"/>
              </w:rPr>
            </w:pPr>
            <w:r w:rsidRPr="006F1D04">
              <w:rPr>
                <w:rFonts w:ascii="Arial" w:hAnsi="Arial" w:cs="Arial"/>
                <w:bCs/>
                <w:iCs/>
                <w:sz w:val="16"/>
                <w:szCs w:val="16"/>
                <w:lang w:eastAsia="en-US"/>
              </w:rPr>
              <w:t>Advisory Reporting Standard (in the AAQ NEPM)</w:t>
            </w:r>
          </w:p>
        </w:tc>
        <w:tc>
          <w:tcPr>
            <w:tcW w:w="6237" w:type="dxa"/>
            <w:shd w:val="clear" w:color="auto" w:fill="auto"/>
          </w:tcPr>
          <w:p w:rsidR="002C6E3A" w:rsidRPr="006F1D04" w:rsidRDefault="002C6E3A" w:rsidP="002C6E3A">
            <w:pPr>
              <w:autoSpaceDE w:val="0"/>
              <w:autoSpaceDN w:val="0"/>
              <w:adjustRightInd w:val="0"/>
              <w:spacing w:before="60" w:after="60" w:line="240" w:lineRule="auto"/>
              <w:rPr>
                <w:rFonts w:ascii="Arial" w:hAnsi="Arial" w:cs="Arial"/>
              </w:rPr>
            </w:pPr>
            <w:r w:rsidRPr="006F1D04">
              <w:rPr>
                <w:rFonts w:ascii="Arial" w:hAnsi="Arial" w:cs="Arial"/>
                <w:sz w:val="16"/>
                <w:szCs w:val="16"/>
                <w:lang w:eastAsia="en-US"/>
              </w:rPr>
              <w:t>A health-based standard to assess the results of monitoring for PM</w:t>
            </w:r>
            <w:r w:rsidRPr="006F1D04">
              <w:rPr>
                <w:rFonts w:ascii="Arial" w:hAnsi="Arial" w:cs="Arial"/>
                <w:sz w:val="16"/>
                <w:szCs w:val="16"/>
                <w:vertAlign w:val="subscript"/>
                <w:lang w:eastAsia="en-US"/>
              </w:rPr>
              <w:t>2.5</w:t>
            </w:r>
            <w:r w:rsidRPr="006F1D04">
              <w:rPr>
                <w:rFonts w:ascii="Arial" w:hAnsi="Arial" w:cs="Arial"/>
                <w:sz w:val="16"/>
                <w:szCs w:val="16"/>
                <w:lang w:eastAsia="en-US"/>
              </w:rPr>
              <w:t xml:space="preserve">. These standards do not have a </w:t>
            </w:r>
            <w:r w:rsidRPr="006F1D04">
              <w:rPr>
                <w:rFonts w:ascii="Arial" w:hAnsi="Arial" w:cs="Arial"/>
                <w:sz w:val="16"/>
                <w:szCs w:val="16"/>
              </w:rPr>
              <w:t>timeframe for compliance associated with them.</w:t>
            </w:r>
          </w:p>
        </w:tc>
      </w:tr>
      <w:tr w:rsidR="002C6E3A" w:rsidRPr="006F1D04" w:rsidTr="0044368A">
        <w:trPr>
          <w:cantSplit/>
        </w:trPr>
        <w:tc>
          <w:tcPr>
            <w:tcW w:w="2835" w:type="dxa"/>
            <w:shd w:val="clear" w:color="auto" w:fill="auto"/>
          </w:tcPr>
          <w:p w:rsidR="002C6E3A" w:rsidRPr="006F1D04" w:rsidRDefault="002C6E3A" w:rsidP="002C6E3A">
            <w:pPr>
              <w:autoSpaceDE w:val="0"/>
              <w:autoSpaceDN w:val="0"/>
              <w:adjustRightInd w:val="0"/>
              <w:spacing w:before="60" w:after="60" w:line="240" w:lineRule="auto"/>
              <w:rPr>
                <w:rFonts w:ascii="Arial" w:hAnsi="Arial" w:cs="Arial"/>
                <w:bCs/>
                <w:iCs/>
                <w:sz w:val="16"/>
                <w:szCs w:val="16"/>
                <w:lang w:eastAsia="en-US"/>
              </w:rPr>
            </w:pPr>
            <w:r w:rsidRPr="006F1D04">
              <w:rPr>
                <w:rFonts w:ascii="Arial" w:hAnsi="Arial" w:cs="Arial"/>
                <w:bCs/>
                <w:iCs/>
                <w:sz w:val="16"/>
                <w:szCs w:val="16"/>
                <w:lang w:eastAsia="en-US"/>
              </w:rPr>
              <w:t>AEI</w:t>
            </w:r>
          </w:p>
        </w:tc>
        <w:tc>
          <w:tcPr>
            <w:tcW w:w="6237" w:type="dxa"/>
            <w:shd w:val="clear" w:color="auto" w:fill="auto"/>
          </w:tcPr>
          <w:p w:rsidR="002C6E3A" w:rsidRPr="006F1D04" w:rsidRDefault="002C6E3A" w:rsidP="002C6E3A">
            <w:pPr>
              <w:autoSpaceDE w:val="0"/>
              <w:autoSpaceDN w:val="0"/>
              <w:adjustRightInd w:val="0"/>
              <w:spacing w:before="60" w:after="60" w:line="240" w:lineRule="auto"/>
              <w:rPr>
                <w:rFonts w:ascii="Arial" w:hAnsi="Arial" w:cs="Arial"/>
                <w:sz w:val="16"/>
                <w:szCs w:val="16"/>
                <w:lang w:eastAsia="en-US"/>
              </w:rPr>
            </w:pPr>
            <w:r w:rsidRPr="006F1D04">
              <w:rPr>
                <w:rFonts w:ascii="Arial" w:hAnsi="Arial" w:cs="Arial"/>
                <w:sz w:val="16"/>
                <w:szCs w:val="16"/>
                <w:lang w:eastAsia="en-US"/>
              </w:rPr>
              <w:t>Average exposure indicator (as used in Europe)</w:t>
            </w:r>
          </w:p>
        </w:tc>
      </w:tr>
      <w:tr w:rsidR="002C6E3A" w:rsidRPr="006F1D04" w:rsidTr="0044368A">
        <w:trPr>
          <w:cantSplit/>
        </w:trPr>
        <w:tc>
          <w:tcPr>
            <w:tcW w:w="2835" w:type="dxa"/>
            <w:shd w:val="clear" w:color="auto" w:fill="auto"/>
          </w:tcPr>
          <w:p w:rsidR="002C6E3A" w:rsidRPr="006F1D04" w:rsidRDefault="002C6E3A"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AIHW</w:t>
            </w:r>
          </w:p>
        </w:tc>
        <w:tc>
          <w:tcPr>
            <w:tcW w:w="6237" w:type="dxa"/>
            <w:shd w:val="clear" w:color="auto" w:fill="auto"/>
          </w:tcPr>
          <w:p w:rsidR="002C6E3A" w:rsidRPr="006F1D04" w:rsidRDefault="002C6E3A"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Australian Institute of Health and Welfare</w:t>
            </w:r>
          </w:p>
        </w:tc>
      </w:tr>
      <w:tr w:rsidR="002C6E3A" w:rsidRPr="006F1D04" w:rsidTr="0044368A">
        <w:trPr>
          <w:cantSplit/>
        </w:trPr>
        <w:tc>
          <w:tcPr>
            <w:tcW w:w="2835" w:type="dxa"/>
            <w:shd w:val="clear" w:color="auto" w:fill="auto"/>
          </w:tcPr>
          <w:p w:rsidR="002C6E3A" w:rsidRPr="006F1D04" w:rsidRDefault="002C6E3A" w:rsidP="002C6E3A">
            <w:pPr>
              <w:autoSpaceDE w:val="0"/>
              <w:autoSpaceDN w:val="0"/>
              <w:adjustRightInd w:val="0"/>
              <w:spacing w:before="60" w:after="60" w:line="240" w:lineRule="auto"/>
              <w:rPr>
                <w:rFonts w:ascii="Arial" w:hAnsi="Arial" w:cs="Arial"/>
                <w:bCs/>
                <w:iCs/>
                <w:sz w:val="16"/>
                <w:szCs w:val="16"/>
                <w:lang w:eastAsia="en-US"/>
              </w:rPr>
            </w:pPr>
            <w:proofErr w:type="spellStart"/>
            <w:r w:rsidRPr="006F1D04">
              <w:rPr>
                <w:rFonts w:ascii="Arial" w:hAnsi="Arial" w:cs="Arial"/>
                <w:bCs/>
                <w:iCs/>
                <w:sz w:val="16"/>
                <w:szCs w:val="16"/>
                <w:lang w:eastAsia="en-US"/>
              </w:rPr>
              <w:t>Airshed</w:t>
            </w:r>
            <w:proofErr w:type="spellEnd"/>
          </w:p>
        </w:tc>
        <w:tc>
          <w:tcPr>
            <w:tcW w:w="6237" w:type="dxa"/>
            <w:shd w:val="clear" w:color="auto" w:fill="auto"/>
          </w:tcPr>
          <w:p w:rsidR="002C6E3A" w:rsidRPr="006F1D04" w:rsidRDefault="002C6E3A" w:rsidP="002C6E3A">
            <w:pPr>
              <w:autoSpaceDE w:val="0"/>
              <w:autoSpaceDN w:val="0"/>
              <w:adjustRightInd w:val="0"/>
              <w:spacing w:before="60" w:after="60" w:line="240" w:lineRule="auto"/>
              <w:rPr>
                <w:rFonts w:ascii="Arial" w:hAnsi="Arial" w:cs="Arial"/>
                <w:sz w:val="16"/>
                <w:szCs w:val="16"/>
                <w:lang w:eastAsia="en-US"/>
              </w:rPr>
            </w:pPr>
            <w:r w:rsidRPr="006F1D04">
              <w:rPr>
                <w:rFonts w:ascii="Arial" w:hAnsi="Arial" w:cs="Arial"/>
                <w:sz w:val="16"/>
                <w:szCs w:val="16"/>
                <w:lang w:eastAsia="en-US"/>
              </w:rPr>
              <w:t>A body of air bounded by topography and meteorology in which a substance, once emitted, is contained.</w:t>
            </w:r>
          </w:p>
        </w:tc>
      </w:tr>
      <w:tr w:rsidR="002C6E3A" w:rsidRPr="006F1D04" w:rsidTr="0044368A">
        <w:trPr>
          <w:cantSplit/>
        </w:trPr>
        <w:tc>
          <w:tcPr>
            <w:tcW w:w="2835" w:type="dxa"/>
            <w:shd w:val="clear" w:color="auto" w:fill="auto"/>
          </w:tcPr>
          <w:p w:rsidR="002C6E3A" w:rsidRPr="006F1D04" w:rsidRDefault="002C6E3A"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Air TOG</w:t>
            </w:r>
          </w:p>
        </w:tc>
        <w:tc>
          <w:tcPr>
            <w:tcW w:w="6237" w:type="dxa"/>
            <w:shd w:val="clear" w:color="auto" w:fill="auto"/>
          </w:tcPr>
          <w:p w:rsidR="002C6E3A" w:rsidRPr="006F1D04" w:rsidRDefault="002C6E3A"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Air Thematic Oversight Group</w:t>
            </w:r>
          </w:p>
        </w:tc>
      </w:tr>
      <w:tr w:rsidR="002C6E3A" w:rsidRPr="006F1D04" w:rsidTr="0044368A">
        <w:trPr>
          <w:cantSplit/>
        </w:trPr>
        <w:tc>
          <w:tcPr>
            <w:tcW w:w="2835" w:type="dxa"/>
            <w:shd w:val="clear" w:color="auto" w:fill="auto"/>
          </w:tcPr>
          <w:p w:rsidR="002C6E3A" w:rsidRPr="006F1D04" w:rsidRDefault="002C6E3A" w:rsidP="002C6E3A">
            <w:pPr>
              <w:autoSpaceDE w:val="0"/>
              <w:autoSpaceDN w:val="0"/>
              <w:adjustRightInd w:val="0"/>
              <w:spacing w:before="60" w:after="60" w:line="240" w:lineRule="auto"/>
              <w:rPr>
                <w:rFonts w:ascii="Arial" w:hAnsi="Arial" w:cs="Arial"/>
                <w:bCs/>
                <w:iCs/>
                <w:sz w:val="16"/>
                <w:szCs w:val="16"/>
                <w:lang w:eastAsia="en-US"/>
              </w:rPr>
            </w:pPr>
            <w:r w:rsidRPr="006F1D04">
              <w:rPr>
                <w:rFonts w:ascii="Arial" w:hAnsi="Arial" w:cs="Arial"/>
                <w:bCs/>
                <w:iCs/>
                <w:sz w:val="16"/>
                <w:szCs w:val="16"/>
                <w:lang w:eastAsia="en-US"/>
              </w:rPr>
              <w:t>Al</w:t>
            </w:r>
          </w:p>
        </w:tc>
        <w:tc>
          <w:tcPr>
            <w:tcW w:w="6237" w:type="dxa"/>
            <w:shd w:val="clear" w:color="auto" w:fill="auto"/>
          </w:tcPr>
          <w:p w:rsidR="002C6E3A" w:rsidRPr="006F1D04" w:rsidRDefault="002C6E3A" w:rsidP="002C6E3A">
            <w:pPr>
              <w:autoSpaceDE w:val="0"/>
              <w:autoSpaceDN w:val="0"/>
              <w:adjustRightInd w:val="0"/>
              <w:spacing w:before="60" w:after="60" w:line="240" w:lineRule="auto"/>
              <w:rPr>
                <w:rFonts w:ascii="Arial" w:hAnsi="Arial" w:cs="Arial"/>
                <w:sz w:val="16"/>
                <w:szCs w:val="16"/>
                <w:lang w:eastAsia="en-US"/>
              </w:rPr>
            </w:pPr>
            <w:r w:rsidRPr="006F1D04">
              <w:rPr>
                <w:rFonts w:ascii="Arial" w:hAnsi="Arial" w:cs="Arial"/>
                <w:sz w:val="16"/>
                <w:szCs w:val="16"/>
                <w:lang w:eastAsia="en-US"/>
              </w:rPr>
              <w:t>Aluminium</w:t>
            </w:r>
          </w:p>
        </w:tc>
      </w:tr>
      <w:tr w:rsidR="002C6E3A" w:rsidRPr="006F1D04" w:rsidTr="0044368A">
        <w:trPr>
          <w:cantSplit/>
        </w:trPr>
        <w:tc>
          <w:tcPr>
            <w:tcW w:w="2835" w:type="dxa"/>
            <w:shd w:val="clear" w:color="auto" w:fill="auto"/>
          </w:tcPr>
          <w:p w:rsidR="002C6E3A" w:rsidRPr="006F1D04" w:rsidRDefault="002C6E3A" w:rsidP="002C6E3A">
            <w:pPr>
              <w:autoSpaceDE w:val="0"/>
              <w:autoSpaceDN w:val="0"/>
              <w:adjustRightInd w:val="0"/>
              <w:spacing w:before="60" w:after="60" w:line="240" w:lineRule="auto"/>
              <w:rPr>
                <w:rFonts w:ascii="Arial" w:hAnsi="Arial" w:cs="Arial"/>
                <w:sz w:val="16"/>
                <w:szCs w:val="16"/>
              </w:rPr>
            </w:pPr>
            <w:r w:rsidRPr="006F1D04">
              <w:rPr>
                <w:rFonts w:ascii="Arial" w:hAnsi="Arial" w:cs="Arial"/>
                <w:bCs/>
                <w:iCs/>
                <w:sz w:val="16"/>
                <w:szCs w:val="16"/>
                <w:lang w:eastAsia="en-US"/>
              </w:rPr>
              <w:t xml:space="preserve">Ambient air </w:t>
            </w:r>
          </w:p>
        </w:tc>
        <w:tc>
          <w:tcPr>
            <w:tcW w:w="6237" w:type="dxa"/>
            <w:shd w:val="clear" w:color="auto" w:fill="auto"/>
          </w:tcPr>
          <w:p w:rsidR="002C6E3A" w:rsidRPr="006F1D04" w:rsidRDefault="002C6E3A" w:rsidP="002C6E3A">
            <w:pPr>
              <w:autoSpaceDE w:val="0"/>
              <w:autoSpaceDN w:val="0"/>
              <w:adjustRightInd w:val="0"/>
              <w:spacing w:before="60" w:after="60" w:line="240" w:lineRule="auto"/>
              <w:rPr>
                <w:rFonts w:ascii="Arial" w:hAnsi="Arial" w:cs="Arial"/>
                <w:sz w:val="16"/>
                <w:szCs w:val="16"/>
                <w:lang w:eastAsia="en-US"/>
              </w:rPr>
            </w:pPr>
            <w:r w:rsidRPr="006F1D04">
              <w:rPr>
                <w:rFonts w:ascii="Arial" w:hAnsi="Arial" w:cs="Arial"/>
                <w:sz w:val="16"/>
                <w:szCs w:val="16"/>
                <w:lang w:eastAsia="en-US"/>
              </w:rPr>
              <w:t xml:space="preserve">The external air environment. Does not include the air </w:t>
            </w:r>
            <w:r w:rsidRPr="006F1D04">
              <w:rPr>
                <w:rFonts w:ascii="Arial" w:hAnsi="Arial" w:cs="Arial"/>
                <w:sz w:val="16"/>
                <w:szCs w:val="16"/>
              </w:rPr>
              <w:t>environment inside buildings or structures.</w:t>
            </w:r>
          </w:p>
        </w:tc>
      </w:tr>
      <w:tr w:rsidR="002C6E3A" w:rsidRPr="006F1D04" w:rsidTr="0044368A">
        <w:trPr>
          <w:cantSplit/>
        </w:trPr>
        <w:tc>
          <w:tcPr>
            <w:tcW w:w="2835" w:type="dxa"/>
            <w:shd w:val="clear" w:color="auto" w:fill="auto"/>
          </w:tcPr>
          <w:p w:rsidR="002C6E3A" w:rsidRPr="006F1D04" w:rsidRDefault="002C6E3A"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ANSTO</w:t>
            </w:r>
          </w:p>
        </w:tc>
        <w:tc>
          <w:tcPr>
            <w:tcW w:w="6237" w:type="dxa"/>
            <w:shd w:val="clear" w:color="auto" w:fill="auto"/>
          </w:tcPr>
          <w:p w:rsidR="002C6E3A" w:rsidRPr="006F1D04" w:rsidRDefault="002C6E3A"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Australian Nuclear Science and Technology Organisation</w:t>
            </w:r>
          </w:p>
        </w:tc>
      </w:tr>
      <w:tr w:rsidR="002C6E3A" w:rsidRPr="006F1D04" w:rsidTr="0044368A">
        <w:trPr>
          <w:cantSplit/>
        </w:trPr>
        <w:tc>
          <w:tcPr>
            <w:tcW w:w="2835" w:type="dxa"/>
            <w:shd w:val="clear" w:color="auto" w:fill="auto"/>
          </w:tcPr>
          <w:p w:rsidR="002C6E3A" w:rsidRPr="006F1D04" w:rsidRDefault="002C6E3A"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ANZECC</w:t>
            </w:r>
          </w:p>
        </w:tc>
        <w:tc>
          <w:tcPr>
            <w:tcW w:w="6237" w:type="dxa"/>
            <w:shd w:val="clear" w:color="auto" w:fill="auto"/>
          </w:tcPr>
          <w:p w:rsidR="002C6E3A" w:rsidRPr="006F1D04" w:rsidRDefault="002C6E3A"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Australian and New Zealand Environment and Conservation Council</w:t>
            </w:r>
          </w:p>
        </w:tc>
      </w:tr>
      <w:tr w:rsidR="002C6E3A" w:rsidRPr="006F1D04" w:rsidTr="0044368A">
        <w:trPr>
          <w:cantSplit/>
        </w:trPr>
        <w:tc>
          <w:tcPr>
            <w:tcW w:w="2835" w:type="dxa"/>
            <w:shd w:val="clear" w:color="auto" w:fill="auto"/>
          </w:tcPr>
          <w:p w:rsidR="002C6E3A" w:rsidRPr="006F1D04" w:rsidRDefault="002C6E3A"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ANZSIC</w:t>
            </w:r>
          </w:p>
        </w:tc>
        <w:tc>
          <w:tcPr>
            <w:tcW w:w="6237" w:type="dxa"/>
            <w:shd w:val="clear" w:color="auto" w:fill="auto"/>
          </w:tcPr>
          <w:p w:rsidR="002C6E3A" w:rsidRPr="006F1D04" w:rsidRDefault="002C6E3A"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Australian and New Zealand Standard Industrial Classification</w:t>
            </w:r>
          </w:p>
        </w:tc>
      </w:tr>
      <w:tr w:rsidR="002C6E3A" w:rsidRPr="006F1D04" w:rsidTr="0044368A">
        <w:trPr>
          <w:cantSplit/>
        </w:trPr>
        <w:tc>
          <w:tcPr>
            <w:tcW w:w="2835" w:type="dxa"/>
            <w:shd w:val="clear" w:color="auto" w:fill="auto"/>
          </w:tcPr>
          <w:p w:rsidR="002C6E3A" w:rsidRPr="006F1D04" w:rsidRDefault="002C6E3A"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BAM</w:t>
            </w:r>
          </w:p>
        </w:tc>
        <w:tc>
          <w:tcPr>
            <w:tcW w:w="6237" w:type="dxa"/>
            <w:shd w:val="clear" w:color="auto" w:fill="auto"/>
          </w:tcPr>
          <w:p w:rsidR="002C6E3A" w:rsidRPr="006F1D04" w:rsidRDefault="002C6E3A"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Beta Attenuation Monitor</w:t>
            </w:r>
          </w:p>
        </w:tc>
      </w:tr>
      <w:tr w:rsidR="002C6E3A" w:rsidRPr="006F1D04" w:rsidTr="0044368A">
        <w:trPr>
          <w:cantSplit/>
        </w:trPr>
        <w:tc>
          <w:tcPr>
            <w:tcW w:w="2835" w:type="dxa"/>
            <w:shd w:val="clear" w:color="auto" w:fill="auto"/>
          </w:tcPr>
          <w:p w:rsidR="002C6E3A" w:rsidRPr="006F1D04" w:rsidRDefault="002C6E3A"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BAU</w:t>
            </w:r>
          </w:p>
        </w:tc>
        <w:tc>
          <w:tcPr>
            <w:tcW w:w="6237" w:type="dxa"/>
            <w:shd w:val="clear" w:color="auto" w:fill="auto"/>
          </w:tcPr>
          <w:p w:rsidR="002C6E3A" w:rsidRPr="006F1D04" w:rsidRDefault="002C6E3A"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Business as usual</w:t>
            </w:r>
          </w:p>
        </w:tc>
      </w:tr>
      <w:tr w:rsidR="002C6E3A" w:rsidRPr="006F1D04" w:rsidTr="0044368A">
        <w:trPr>
          <w:cantSplit/>
        </w:trPr>
        <w:tc>
          <w:tcPr>
            <w:tcW w:w="2835" w:type="dxa"/>
            <w:shd w:val="clear" w:color="auto" w:fill="auto"/>
          </w:tcPr>
          <w:p w:rsidR="002C6E3A" w:rsidRPr="006F1D04" w:rsidRDefault="002C6E3A"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BCR</w:t>
            </w:r>
          </w:p>
        </w:tc>
        <w:tc>
          <w:tcPr>
            <w:tcW w:w="6237" w:type="dxa"/>
            <w:shd w:val="clear" w:color="auto" w:fill="auto"/>
          </w:tcPr>
          <w:p w:rsidR="002C6E3A" w:rsidRPr="006F1D04" w:rsidRDefault="002C6E3A" w:rsidP="002C6E3A">
            <w:pPr>
              <w:tabs>
                <w:tab w:val="left" w:pos="6804"/>
              </w:tabs>
              <w:spacing w:before="60" w:after="60" w:line="240" w:lineRule="auto"/>
              <w:ind w:right="568"/>
              <w:rPr>
                <w:rFonts w:ascii="Arial" w:hAnsi="Arial" w:cs="Arial"/>
                <w:kern w:val="32"/>
                <w:sz w:val="16"/>
                <w:szCs w:val="16"/>
              </w:rPr>
            </w:pPr>
            <w:proofErr w:type="spellStart"/>
            <w:r w:rsidRPr="006F1D04">
              <w:rPr>
                <w:rFonts w:ascii="Arial" w:hAnsi="Arial" w:cs="Arial"/>
                <w:kern w:val="32"/>
                <w:sz w:val="16"/>
                <w:szCs w:val="16"/>
              </w:rPr>
              <w:t>Benefit:cost</w:t>
            </w:r>
            <w:proofErr w:type="spellEnd"/>
            <w:r w:rsidRPr="006F1D04">
              <w:rPr>
                <w:rFonts w:ascii="Arial" w:hAnsi="Arial" w:cs="Arial"/>
                <w:kern w:val="32"/>
                <w:sz w:val="16"/>
                <w:szCs w:val="16"/>
              </w:rPr>
              <w:t xml:space="preserve"> ratio</w:t>
            </w:r>
          </w:p>
        </w:tc>
      </w:tr>
      <w:tr w:rsidR="002C6E3A" w:rsidRPr="006F1D04" w:rsidTr="0044368A">
        <w:trPr>
          <w:cantSplit/>
        </w:trPr>
        <w:tc>
          <w:tcPr>
            <w:tcW w:w="2835" w:type="dxa"/>
            <w:shd w:val="clear" w:color="auto" w:fill="auto"/>
          </w:tcPr>
          <w:p w:rsidR="002C6E3A" w:rsidRPr="006F1D04" w:rsidRDefault="002C6E3A"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BITRE</w:t>
            </w:r>
          </w:p>
        </w:tc>
        <w:tc>
          <w:tcPr>
            <w:tcW w:w="6237" w:type="dxa"/>
            <w:shd w:val="clear" w:color="auto" w:fill="auto"/>
          </w:tcPr>
          <w:p w:rsidR="002C6E3A" w:rsidRPr="006F1D04" w:rsidRDefault="002C6E3A"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Bureau of Infrastructure, Transport and Regional Economics</w:t>
            </w:r>
          </w:p>
        </w:tc>
      </w:tr>
      <w:tr w:rsidR="002C6E3A" w:rsidRPr="006F1D04" w:rsidTr="0044368A">
        <w:trPr>
          <w:cantSplit/>
        </w:trPr>
        <w:tc>
          <w:tcPr>
            <w:tcW w:w="2835" w:type="dxa"/>
            <w:shd w:val="clear" w:color="auto" w:fill="auto"/>
          </w:tcPr>
          <w:p w:rsidR="002C6E3A" w:rsidRPr="006F1D04" w:rsidRDefault="002C6E3A"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Ca</w:t>
            </w:r>
          </w:p>
        </w:tc>
        <w:tc>
          <w:tcPr>
            <w:tcW w:w="6237" w:type="dxa"/>
            <w:shd w:val="clear" w:color="auto" w:fill="auto"/>
          </w:tcPr>
          <w:p w:rsidR="002C6E3A" w:rsidRPr="006F1D04" w:rsidRDefault="002C6E3A"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Calcium</w:t>
            </w:r>
          </w:p>
        </w:tc>
      </w:tr>
      <w:tr w:rsidR="002C6E3A" w:rsidRPr="006F1D04" w:rsidTr="0044368A">
        <w:trPr>
          <w:cantSplit/>
        </w:trPr>
        <w:tc>
          <w:tcPr>
            <w:tcW w:w="2835" w:type="dxa"/>
            <w:shd w:val="clear" w:color="auto" w:fill="auto"/>
          </w:tcPr>
          <w:p w:rsidR="002C6E3A" w:rsidRPr="006F1D04" w:rsidRDefault="002C6E3A"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CBA</w:t>
            </w:r>
          </w:p>
        </w:tc>
        <w:tc>
          <w:tcPr>
            <w:tcW w:w="6237" w:type="dxa"/>
            <w:shd w:val="clear" w:color="auto" w:fill="auto"/>
          </w:tcPr>
          <w:p w:rsidR="002C6E3A" w:rsidRPr="006F1D04" w:rsidRDefault="002C6E3A"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Cost-benefit analysis</w:t>
            </w:r>
          </w:p>
        </w:tc>
      </w:tr>
      <w:tr w:rsidR="002C6E3A" w:rsidRPr="006F1D04" w:rsidTr="0044368A">
        <w:trPr>
          <w:cantSplit/>
        </w:trPr>
        <w:tc>
          <w:tcPr>
            <w:tcW w:w="2835" w:type="dxa"/>
            <w:shd w:val="clear" w:color="auto" w:fill="auto"/>
          </w:tcPr>
          <w:p w:rsidR="002C6E3A" w:rsidRPr="006F1D04" w:rsidRDefault="002C6E3A"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CBD</w:t>
            </w:r>
          </w:p>
        </w:tc>
        <w:tc>
          <w:tcPr>
            <w:tcW w:w="6237" w:type="dxa"/>
            <w:shd w:val="clear" w:color="auto" w:fill="auto"/>
          </w:tcPr>
          <w:p w:rsidR="002C6E3A" w:rsidRPr="006F1D04" w:rsidRDefault="002C6E3A"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Central Business District</w:t>
            </w:r>
          </w:p>
        </w:tc>
      </w:tr>
      <w:tr w:rsidR="002C6E3A" w:rsidRPr="006F1D04" w:rsidTr="0044368A">
        <w:trPr>
          <w:cantSplit/>
        </w:trPr>
        <w:tc>
          <w:tcPr>
            <w:tcW w:w="2835" w:type="dxa"/>
            <w:shd w:val="clear" w:color="auto" w:fill="auto"/>
          </w:tcPr>
          <w:p w:rsidR="002C6E3A" w:rsidRPr="006F1D04" w:rsidRDefault="002C6E3A"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Cl</w:t>
            </w:r>
          </w:p>
        </w:tc>
        <w:tc>
          <w:tcPr>
            <w:tcW w:w="6237" w:type="dxa"/>
            <w:shd w:val="clear" w:color="auto" w:fill="auto"/>
          </w:tcPr>
          <w:p w:rsidR="002C6E3A" w:rsidRPr="006F1D04" w:rsidRDefault="002C6E3A"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Chlorine</w:t>
            </w:r>
          </w:p>
        </w:tc>
      </w:tr>
      <w:tr w:rsidR="002C6E3A" w:rsidRPr="006F1D04" w:rsidTr="0044368A">
        <w:trPr>
          <w:cantSplit/>
        </w:trPr>
        <w:tc>
          <w:tcPr>
            <w:tcW w:w="2835" w:type="dxa"/>
            <w:shd w:val="clear" w:color="auto" w:fill="auto"/>
          </w:tcPr>
          <w:p w:rsidR="002C6E3A" w:rsidRPr="006F1D04" w:rsidRDefault="002C6E3A"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CLRTAP</w:t>
            </w:r>
          </w:p>
        </w:tc>
        <w:tc>
          <w:tcPr>
            <w:tcW w:w="6237" w:type="dxa"/>
            <w:shd w:val="clear" w:color="auto" w:fill="auto"/>
          </w:tcPr>
          <w:p w:rsidR="002C6E3A" w:rsidRPr="006F1D04" w:rsidRDefault="002C6E3A"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 xml:space="preserve">1979 Geneva Convention on Long Range </w:t>
            </w:r>
            <w:proofErr w:type="spellStart"/>
            <w:r w:rsidRPr="006F1D04">
              <w:rPr>
                <w:rFonts w:ascii="Arial" w:hAnsi="Arial" w:cs="Arial"/>
                <w:color w:val="auto"/>
                <w:szCs w:val="16"/>
                <w:lang w:eastAsia="en-AU"/>
              </w:rPr>
              <w:t>Transboundary</w:t>
            </w:r>
            <w:proofErr w:type="spellEnd"/>
            <w:r w:rsidRPr="006F1D04">
              <w:rPr>
                <w:rFonts w:ascii="Arial" w:hAnsi="Arial" w:cs="Arial"/>
                <w:color w:val="auto"/>
                <w:szCs w:val="16"/>
                <w:lang w:eastAsia="en-AU"/>
              </w:rPr>
              <w:t xml:space="preserve"> Air Pollution</w:t>
            </w:r>
          </w:p>
        </w:tc>
      </w:tr>
      <w:tr w:rsidR="002C6E3A" w:rsidRPr="006F1D04" w:rsidTr="0044368A">
        <w:trPr>
          <w:cantSplit/>
        </w:trPr>
        <w:tc>
          <w:tcPr>
            <w:tcW w:w="2835" w:type="dxa"/>
            <w:shd w:val="clear" w:color="auto" w:fill="auto"/>
          </w:tcPr>
          <w:p w:rsidR="002C6E3A" w:rsidRPr="006F1D04" w:rsidRDefault="002C6E3A"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CO</w:t>
            </w:r>
          </w:p>
        </w:tc>
        <w:tc>
          <w:tcPr>
            <w:tcW w:w="6237" w:type="dxa"/>
            <w:shd w:val="clear" w:color="auto" w:fill="auto"/>
          </w:tcPr>
          <w:p w:rsidR="002C6E3A" w:rsidRPr="006F1D04" w:rsidRDefault="002C6E3A"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Carbon monoxide</w:t>
            </w:r>
          </w:p>
        </w:tc>
      </w:tr>
      <w:tr w:rsidR="002C6E3A" w:rsidRPr="006F1D04" w:rsidTr="0044368A">
        <w:trPr>
          <w:cantSplit/>
        </w:trPr>
        <w:tc>
          <w:tcPr>
            <w:tcW w:w="2835" w:type="dxa"/>
            <w:shd w:val="clear" w:color="auto" w:fill="auto"/>
          </w:tcPr>
          <w:p w:rsidR="002C6E3A" w:rsidRPr="006F1D04" w:rsidRDefault="002C6E3A"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CO</w:t>
            </w:r>
            <w:r w:rsidRPr="006F1D04">
              <w:rPr>
                <w:rFonts w:ascii="Arial" w:hAnsi="Arial" w:cs="Arial"/>
                <w:color w:val="auto"/>
                <w:szCs w:val="16"/>
                <w:vertAlign w:val="subscript"/>
                <w:lang w:eastAsia="en-AU"/>
              </w:rPr>
              <w:t>2</w:t>
            </w:r>
          </w:p>
        </w:tc>
        <w:tc>
          <w:tcPr>
            <w:tcW w:w="6237" w:type="dxa"/>
            <w:shd w:val="clear" w:color="auto" w:fill="auto"/>
          </w:tcPr>
          <w:p w:rsidR="002C6E3A" w:rsidRPr="006F1D04" w:rsidRDefault="002C6E3A"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Carbon dioxide</w:t>
            </w:r>
          </w:p>
        </w:tc>
      </w:tr>
      <w:tr w:rsidR="002C6E3A" w:rsidRPr="006F1D04" w:rsidTr="0044368A">
        <w:trPr>
          <w:cantSplit/>
        </w:trPr>
        <w:tc>
          <w:tcPr>
            <w:tcW w:w="2835" w:type="dxa"/>
            <w:shd w:val="clear" w:color="auto" w:fill="auto"/>
          </w:tcPr>
          <w:p w:rsidR="002C6E3A" w:rsidRPr="006F1D04" w:rsidRDefault="002C6E3A"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COAG</w:t>
            </w:r>
          </w:p>
        </w:tc>
        <w:tc>
          <w:tcPr>
            <w:tcW w:w="6237" w:type="dxa"/>
            <w:shd w:val="clear" w:color="auto" w:fill="auto"/>
          </w:tcPr>
          <w:p w:rsidR="002C6E3A" w:rsidRPr="006F1D04" w:rsidRDefault="002C6E3A"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Council of Australian Governments</w:t>
            </w:r>
          </w:p>
        </w:tc>
      </w:tr>
      <w:tr w:rsidR="002C6E3A" w:rsidRPr="006F1D04" w:rsidTr="0044368A">
        <w:trPr>
          <w:cantSplit/>
        </w:trPr>
        <w:tc>
          <w:tcPr>
            <w:tcW w:w="2835" w:type="dxa"/>
            <w:shd w:val="clear" w:color="auto" w:fill="auto"/>
          </w:tcPr>
          <w:p w:rsidR="002C6E3A" w:rsidRPr="006F1D04" w:rsidRDefault="002C6E3A"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Cr</w:t>
            </w:r>
          </w:p>
        </w:tc>
        <w:tc>
          <w:tcPr>
            <w:tcW w:w="6237" w:type="dxa"/>
            <w:shd w:val="clear" w:color="auto" w:fill="auto"/>
          </w:tcPr>
          <w:p w:rsidR="002C6E3A" w:rsidRPr="006F1D04" w:rsidRDefault="002C6E3A"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Chromium</w:t>
            </w:r>
          </w:p>
        </w:tc>
      </w:tr>
      <w:tr w:rsidR="002C6E3A" w:rsidRPr="006F1D04" w:rsidTr="0044368A">
        <w:trPr>
          <w:cantSplit/>
        </w:trPr>
        <w:tc>
          <w:tcPr>
            <w:tcW w:w="2835" w:type="dxa"/>
            <w:shd w:val="clear" w:color="auto" w:fill="auto"/>
          </w:tcPr>
          <w:p w:rsidR="002C6E3A" w:rsidRPr="006F1D04" w:rsidRDefault="002C6E3A"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CRF</w:t>
            </w:r>
          </w:p>
        </w:tc>
        <w:tc>
          <w:tcPr>
            <w:tcW w:w="6237" w:type="dxa"/>
            <w:shd w:val="clear" w:color="auto" w:fill="auto"/>
          </w:tcPr>
          <w:p w:rsidR="002C6E3A" w:rsidRPr="006F1D04" w:rsidRDefault="002C6E3A"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Concentration-response function</w:t>
            </w:r>
          </w:p>
        </w:tc>
      </w:tr>
      <w:tr w:rsidR="002C6E3A" w:rsidRPr="006F1D04" w:rsidTr="0044368A">
        <w:trPr>
          <w:cantSplit/>
        </w:trPr>
        <w:tc>
          <w:tcPr>
            <w:tcW w:w="2835" w:type="dxa"/>
            <w:shd w:val="clear" w:color="auto" w:fill="auto"/>
          </w:tcPr>
          <w:p w:rsidR="002C6E3A" w:rsidRPr="006F1D04" w:rsidRDefault="002C6E3A"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CSIRO</w:t>
            </w:r>
          </w:p>
        </w:tc>
        <w:tc>
          <w:tcPr>
            <w:tcW w:w="6237" w:type="dxa"/>
            <w:shd w:val="clear" w:color="auto" w:fill="auto"/>
          </w:tcPr>
          <w:p w:rsidR="002C6E3A" w:rsidRPr="006F1D04" w:rsidRDefault="002C6E3A"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 xml:space="preserve">Commonwealth Scientific and Industrial Research Organisation </w:t>
            </w:r>
          </w:p>
        </w:tc>
      </w:tr>
      <w:tr w:rsidR="002C6E3A" w:rsidRPr="006F1D04" w:rsidTr="0044368A">
        <w:trPr>
          <w:cantSplit/>
        </w:trPr>
        <w:tc>
          <w:tcPr>
            <w:tcW w:w="2835" w:type="dxa"/>
            <w:shd w:val="clear" w:color="auto" w:fill="auto"/>
          </w:tcPr>
          <w:p w:rsidR="002C6E3A" w:rsidRPr="006F1D04" w:rsidRDefault="002C6E3A"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Cu</w:t>
            </w:r>
          </w:p>
        </w:tc>
        <w:tc>
          <w:tcPr>
            <w:tcW w:w="6237" w:type="dxa"/>
            <w:shd w:val="clear" w:color="auto" w:fill="auto"/>
          </w:tcPr>
          <w:p w:rsidR="002C6E3A" w:rsidRPr="006F1D04" w:rsidRDefault="002C6E3A"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Copper</w:t>
            </w:r>
          </w:p>
        </w:tc>
      </w:tr>
      <w:tr w:rsidR="002C6E3A" w:rsidRPr="006F1D04" w:rsidTr="0044368A">
        <w:trPr>
          <w:cantSplit/>
        </w:trPr>
        <w:tc>
          <w:tcPr>
            <w:tcW w:w="2835" w:type="dxa"/>
            <w:shd w:val="clear" w:color="auto" w:fill="auto"/>
          </w:tcPr>
          <w:p w:rsidR="002C6E3A" w:rsidRPr="006F1D04" w:rsidRDefault="002C6E3A"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Defra</w:t>
            </w:r>
          </w:p>
        </w:tc>
        <w:tc>
          <w:tcPr>
            <w:tcW w:w="6237" w:type="dxa"/>
            <w:shd w:val="clear" w:color="auto" w:fill="auto"/>
          </w:tcPr>
          <w:p w:rsidR="002C6E3A" w:rsidRPr="006F1D04" w:rsidRDefault="002C6E3A"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(UK) Department for Environment, Food and Rural Affairs</w:t>
            </w:r>
          </w:p>
        </w:tc>
      </w:tr>
      <w:tr w:rsidR="002C6E3A" w:rsidRPr="006F1D04" w:rsidTr="0044368A">
        <w:trPr>
          <w:cantSplit/>
        </w:trPr>
        <w:tc>
          <w:tcPr>
            <w:tcW w:w="2835" w:type="dxa"/>
            <w:shd w:val="clear" w:color="auto" w:fill="auto"/>
          </w:tcPr>
          <w:p w:rsidR="002C6E3A" w:rsidRPr="006F1D04" w:rsidRDefault="002C6E3A"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DERM</w:t>
            </w:r>
          </w:p>
        </w:tc>
        <w:tc>
          <w:tcPr>
            <w:tcW w:w="6237" w:type="dxa"/>
            <w:shd w:val="clear" w:color="auto" w:fill="auto"/>
          </w:tcPr>
          <w:p w:rsidR="002C6E3A" w:rsidRPr="006F1D04" w:rsidRDefault="003F626A"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 xml:space="preserve">Former </w:t>
            </w:r>
            <w:r w:rsidR="002C6E3A" w:rsidRPr="006F1D04">
              <w:rPr>
                <w:rFonts w:ascii="Arial" w:hAnsi="Arial" w:cs="Arial"/>
                <w:kern w:val="32"/>
                <w:sz w:val="16"/>
                <w:szCs w:val="16"/>
              </w:rPr>
              <w:t>(Queensland) Department of Environment &amp; Resource Management</w:t>
            </w:r>
          </w:p>
        </w:tc>
      </w:tr>
      <w:tr w:rsidR="002C6E3A" w:rsidRPr="006F1D04" w:rsidTr="0044368A">
        <w:trPr>
          <w:cantSplit/>
        </w:trPr>
        <w:tc>
          <w:tcPr>
            <w:tcW w:w="2835" w:type="dxa"/>
            <w:shd w:val="clear" w:color="auto" w:fill="auto"/>
          </w:tcPr>
          <w:p w:rsidR="002C6E3A" w:rsidRPr="006F1D04" w:rsidRDefault="002C6E3A"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DEWHA</w:t>
            </w:r>
          </w:p>
        </w:tc>
        <w:tc>
          <w:tcPr>
            <w:tcW w:w="6237" w:type="dxa"/>
            <w:shd w:val="clear" w:color="auto" w:fill="auto"/>
          </w:tcPr>
          <w:p w:rsidR="002C6E3A" w:rsidRPr="006F1D04" w:rsidRDefault="002C6E3A"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(Commonwealth) Department of Environment, Water, Heritage and the Arts (now Department of the Environment)</w:t>
            </w:r>
          </w:p>
        </w:tc>
      </w:tr>
      <w:tr w:rsidR="002C6E3A" w:rsidRPr="006F1D04" w:rsidTr="0044368A">
        <w:trPr>
          <w:cantSplit/>
        </w:trPr>
        <w:tc>
          <w:tcPr>
            <w:tcW w:w="2835" w:type="dxa"/>
            <w:shd w:val="clear" w:color="auto" w:fill="auto"/>
          </w:tcPr>
          <w:p w:rsidR="002C6E3A" w:rsidRPr="006F1D04" w:rsidRDefault="002C6E3A"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DPF</w:t>
            </w:r>
          </w:p>
        </w:tc>
        <w:tc>
          <w:tcPr>
            <w:tcW w:w="6237" w:type="dxa"/>
            <w:shd w:val="clear" w:color="auto" w:fill="auto"/>
          </w:tcPr>
          <w:p w:rsidR="002C6E3A" w:rsidRPr="006F1D04" w:rsidRDefault="002C6E3A"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 xml:space="preserve">Diesel </w:t>
            </w:r>
            <w:r w:rsidR="003F626A" w:rsidRPr="006F1D04">
              <w:rPr>
                <w:rFonts w:ascii="Arial" w:hAnsi="Arial" w:cs="Arial"/>
                <w:kern w:val="32"/>
                <w:sz w:val="16"/>
                <w:szCs w:val="16"/>
              </w:rPr>
              <w:t>p</w:t>
            </w:r>
            <w:r w:rsidRPr="006F1D04">
              <w:rPr>
                <w:rFonts w:ascii="Arial" w:hAnsi="Arial" w:cs="Arial"/>
                <w:kern w:val="32"/>
                <w:sz w:val="16"/>
                <w:szCs w:val="16"/>
              </w:rPr>
              <w:t xml:space="preserve">articulate </w:t>
            </w:r>
            <w:r w:rsidR="003F626A" w:rsidRPr="006F1D04">
              <w:rPr>
                <w:rFonts w:ascii="Arial" w:hAnsi="Arial" w:cs="Arial"/>
                <w:kern w:val="32"/>
                <w:sz w:val="16"/>
                <w:szCs w:val="16"/>
              </w:rPr>
              <w:t>f</w:t>
            </w:r>
            <w:r w:rsidRPr="006F1D04">
              <w:rPr>
                <w:rFonts w:ascii="Arial" w:hAnsi="Arial" w:cs="Arial"/>
                <w:kern w:val="32"/>
                <w:sz w:val="16"/>
                <w:szCs w:val="16"/>
              </w:rPr>
              <w:t>ilter</w:t>
            </w:r>
          </w:p>
        </w:tc>
      </w:tr>
      <w:tr w:rsidR="002C6E3A" w:rsidRPr="006F1D04" w:rsidTr="0044368A">
        <w:trPr>
          <w:cantSplit/>
        </w:trPr>
        <w:tc>
          <w:tcPr>
            <w:tcW w:w="2835" w:type="dxa"/>
            <w:shd w:val="clear" w:color="auto" w:fill="auto"/>
          </w:tcPr>
          <w:p w:rsidR="002C6E3A" w:rsidRPr="006F1D04" w:rsidRDefault="002C6E3A"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DSEWPC</w:t>
            </w:r>
          </w:p>
        </w:tc>
        <w:tc>
          <w:tcPr>
            <w:tcW w:w="6237" w:type="dxa"/>
            <w:shd w:val="clear" w:color="auto" w:fill="auto"/>
          </w:tcPr>
          <w:p w:rsidR="002C6E3A" w:rsidRPr="006F1D04" w:rsidRDefault="002C6E3A"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(Commonwealth) Department of Sustainability, Environment, Water, Population and Communities (now Department of the Environment)</w:t>
            </w:r>
          </w:p>
        </w:tc>
      </w:tr>
      <w:tr w:rsidR="002C6E3A" w:rsidRPr="006F1D04" w:rsidTr="0044368A">
        <w:trPr>
          <w:cantSplit/>
        </w:trPr>
        <w:tc>
          <w:tcPr>
            <w:tcW w:w="2835" w:type="dxa"/>
            <w:shd w:val="clear" w:color="auto" w:fill="auto"/>
          </w:tcPr>
          <w:p w:rsidR="002C6E3A" w:rsidRPr="006F1D04" w:rsidRDefault="002C6E3A"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DSITIA</w:t>
            </w:r>
          </w:p>
        </w:tc>
        <w:tc>
          <w:tcPr>
            <w:tcW w:w="6237" w:type="dxa"/>
            <w:shd w:val="clear" w:color="auto" w:fill="auto"/>
          </w:tcPr>
          <w:p w:rsidR="002C6E3A" w:rsidRPr="006F1D04" w:rsidRDefault="002C6E3A"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(Queensland) Department of Science, Information Technology, Innovation and the Arts</w:t>
            </w:r>
          </w:p>
        </w:tc>
      </w:tr>
      <w:tr w:rsidR="002C6E3A" w:rsidRPr="006F1D04" w:rsidTr="0044368A">
        <w:trPr>
          <w:cantSplit/>
        </w:trPr>
        <w:tc>
          <w:tcPr>
            <w:tcW w:w="2835" w:type="dxa"/>
            <w:shd w:val="clear" w:color="auto" w:fill="auto"/>
          </w:tcPr>
          <w:p w:rsidR="002C6E3A" w:rsidRPr="006F1D04" w:rsidRDefault="002C6E3A"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EC</w:t>
            </w:r>
          </w:p>
        </w:tc>
        <w:tc>
          <w:tcPr>
            <w:tcW w:w="6237" w:type="dxa"/>
            <w:shd w:val="clear" w:color="auto" w:fill="auto"/>
          </w:tcPr>
          <w:p w:rsidR="002C6E3A" w:rsidRPr="006F1D04" w:rsidRDefault="002C6E3A"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Elemental carbon</w:t>
            </w:r>
          </w:p>
        </w:tc>
      </w:tr>
      <w:tr w:rsidR="002C6E3A" w:rsidRPr="006F1D04" w:rsidTr="0044368A">
        <w:trPr>
          <w:cantSplit/>
        </w:trPr>
        <w:tc>
          <w:tcPr>
            <w:tcW w:w="2835" w:type="dxa"/>
            <w:shd w:val="clear" w:color="auto" w:fill="auto"/>
          </w:tcPr>
          <w:p w:rsidR="002C6E3A" w:rsidRPr="006F1D04" w:rsidRDefault="002C6E3A"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EIA</w:t>
            </w:r>
          </w:p>
        </w:tc>
        <w:tc>
          <w:tcPr>
            <w:tcW w:w="6237" w:type="dxa"/>
            <w:shd w:val="clear" w:color="auto" w:fill="auto"/>
          </w:tcPr>
          <w:p w:rsidR="002C6E3A" w:rsidRPr="006F1D04" w:rsidRDefault="002C6E3A"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Environmental Impact Assessment</w:t>
            </w:r>
          </w:p>
        </w:tc>
      </w:tr>
      <w:tr w:rsidR="002C6E3A" w:rsidRPr="006F1D04" w:rsidTr="0044368A">
        <w:trPr>
          <w:cantSplit/>
        </w:trPr>
        <w:tc>
          <w:tcPr>
            <w:tcW w:w="2835" w:type="dxa"/>
            <w:shd w:val="clear" w:color="auto" w:fill="auto"/>
          </w:tcPr>
          <w:p w:rsidR="002C6E3A" w:rsidRPr="006F1D04" w:rsidRDefault="002C6E3A"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lastRenderedPageBreak/>
              <w:t>EPA Victoria</w:t>
            </w:r>
          </w:p>
        </w:tc>
        <w:tc>
          <w:tcPr>
            <w:tcW w:w="6237" w:type="dxa"/>
            <w:shd w:val="clear" w:color="auto" w:fill="auto"/>
          </w:tcPr>
          <w:p w:rsidR="002C6E3A" w:rsidRPr="006F1D04" w:rsidRDefault="002C6E3A"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Environment Protection Authority Victoria</w:t>
            </w:r>
          </w:p>
        </w:tc>
      </w:tr>
      <w:tr w:rsidR="002C6E3A" w:rsidRPr="006F1D04" w:rsidTr="0044368A">
        <w:trPr>
          <w:cantSplit/>
        </w:trPr>
        <w:tc>
          <w:tcPr>
            <w:tcW w:w="2835" w:type="dxa"/>
            <w:shd w:val="clear" w:color="auto" w:fill="auto"/>
          </w:tcPr>
          <w:p w:rsidR="002C6E3A" w:rsidRPr="006F1D04" w:rsidRDefault="002C6E3A"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EPHC</w:t>
            </w:r>
          </w:p>
        </w:tc>
        <w:tc>
          <w:tcPr>
            <w:tcW w:w="6237" w:type="dxa"/>
            <w:shd w:val="clear" w:color="auto" w:fill="auto"/>
          </w:tcPr>
          <w:p w:rsidR="002C6E3A" w:rsidRPr="006F1D04" w:rsidRDefault="002C6E3A"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Environment Protection Heritage Council</w:t>
            </w:r>
          </w:p>
        </w:tc>
      </w:tr>
      <w:tr w:rsidR="002C6E3A" w:rsidRPr="006F1D04" w:rsidTr="0044368A">
        <w:trPr>
          <w:cantSplit/>
        </w:trPr>
        <w:tc>
          <w:tcPr>
            <w:tcW w:w="2835" w:type="dxa"/>
            <w:shd w:val="clear" w:color="auto" w:fill="auto"/>
          </w:tcPr>
          <w:p w:rsidR="002C6E3A" w:rsidRPr="006F1D04" w:rsidRDefault="002C6E3A"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EU</w:t>
            </w:r>
          </w:p>
        </w:tc>
        <w:tc>
          <w:tcPr>
            <w:tcW w:w="6237" w:type="dxa"/>
            <w:shd w:val="clear" w:color="auto" w:fill="auto"/>
          </w:tcPr>
          <w:p w:rsidR="002C6E3A" w:rsidRPr="006F1D04" w:rsidRDefault="002C6E3A"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European Union</w:t>
            </w:r>
          </w:p>
        </w:tc>
      </w:tr>
      <w:tr w:rsidR="002C6E3A" w:rsidRPr="006F1D04" w:rsidTr="0044368A">
        <w:trPr>
          <w:cantSplit/>
        </w:trPr>
        <w:tc>
          <w:tcPr>
            <w:tcW w:w="2835" w:type="dxa"/>
            <w:shd w:val="clear" w:color="auto" w:fill="auto"/>
          </w:tcPr>
          <w:p w:rsidR="002C6E3A" w:rsidRPr="006F1D04" w:rsidRDefault="002C6E3A" w:rsidP="002C6E3A">
            <w:pPr>
              <w:tabs>
                <w:tab w:val="left" w:pos="6804"/>
              </w:tabs>
              <w:spacing w:before="60" w:after="60" w:line="240" w:lineRule="auto"/>
              <w:rPr>
                <w:rFonts w:ascii="Arial" w:hAnsi="Arial" w:cs="Arial"/>
                <w:sz w:val="16"/>
                <w:szCs w:val="16"/>
              </w:rPr>
            </w:pPr>
            <w:r w:rsidRPr="006F1D04">
              <w:rPr>
                <w:rFonts w:ascii="Arial" w:hAnsi="Arial" w:cs="Arial"/>
                <w:sz w:val="16"/>
                <w:szCs w:val="16"/>
              </w:rPr>
              <w:t>Fe</w:t>
            </w:r>
          </w:p>
        </w:tc>
        <w:tc>
          <w:tcPr>
            <w:tcW w:w="6237" w:type="dxa"/>
            <w:shd w:val="clear" w:color="auto" w:fill="auto"/>
          </w:tcPr>
          <w:p w:rsidR="002C6E3A" w:rsidRPr="006F1D04" w:rsidRDefault="002C6E3A" w:rsidP="002C6E3A">
            <w:pPr>
              <w:tabs>
                <w:tab w:val="left" w:pos="6804"/>
              </w:tabs>
              <w:spacing w:before="60" w:after="60" w:line="240" w:lineRule="auto"/>
              <w:ind w:right="568"/>
              <w:rPr>
                <w:rFonts w:ascii="Arial" w:hAnsi="Arial" w:cs="Arial"/>
                <w:sz w:val="16"/>
                <w:szCs w:val="16"/>
              </w:rPr>
            </w:pPr>
            <w:r w:rsidRPr="006F1D04">
              <w:rPr>
                <w:rFonts w:ascii="Arial" w:hAnsi="Arial" w:cs="Arial"/>
                <w:sz w:val="16"/>
                <w:szCs w:val="16"/>
              </w:rPr>
              <w:t>Iron</w:t>
            </w:r>
          </w:p>
        </w:tc>
      </w:tr>
      <w:tr w:rsidR="002C6E3A" w:rsidRPr="006F1D04" w:rsidTr="0044368A">
        <w:trPr>
          <w:cantSplit/>
        </w:trPr>
        <w:tc>
          <w:tcPr>
            <w:tcW w:w="2835" w:type="dxa"/>
            <w:shd w:val="clear" w:color="auto" w:fill="auto"/>
          </w:tcPr>
          <w:p w:rsidR="002C6E3A" w:rsidRPr="006F1D04" w:rsidRDefault="002C6E3A" w:rsidP="002C6E3A">
            <w:pPr>
              <w:tabs>
                <w:tab w:val="left" w:pos="6804"/>
              </w:tabs>
              <w:spacing w:before="60" w:after="60" w:line="240" w:lineRule="auto"/>
              <w:rPr>
                <w:rFonts w:ascii="Arial" w:hAnsi="Arial" w:cs="Arial"/>
                <w:kern w:val="32"/>
                <w:sz w:val="16"/>
                <w:szCs w:val="16"/>
              </w:rPr>
            </w:pPr>
            <w:r w:rsidRPr="006F1D04">
              <w:rPr>
                <w:rFonts w:ascii="Arial" w:hAnsi="Arial" w:cs="Arial"/>
                <w:sz w:val="16"/>
                <w:szCs w:val="16"/>
              </w:rPr>
              <w:t>FDMS</w:t>
            </w:r>
          </w:p>
        </w:tc>
        <w:tc>
          <w:tcPr>
            <w:tcW w:w="6237" w:type="dxa"/>
            <w:shd w:val="clear" w:color="auto" w:fill="auto"/>
          </w:tcPr>
          <w:p w:rsidR="002C6E3A" w:rsidRPr="006F1D04" w:rsidRDefault="002C6E3A"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sz w:val="16"/>
                <w:szCs w:val="16"/>
              </w:rPr>
              <w:t>Filter Dynamic Measurement System</w:t>
            </w:r>
          </w:p>
        </w:tc>
      </w:tr>
      <w:tr w:rsidR="002C6E3A" w:rsidRPr="006F1D04" w:rsidTr="0044368A">
        <w:trPr>
          <w:cantSplit/>
        </w:trPr>
        <w:tc>
          <w:tcPr>
            <w:tcW w:w="2835" w:type="dxa"/>
            <w:shd w:val="clear" w:color="auto" w:fill="auto"/>
          </w:tcPr>
          <w:p w:rsidR="002C6E3A" w:rsidRPr="006F1D04" w:rsidRDefault="002C6E3A"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GMR</w:t>
            </w:r>
          </w:p>
        </w:tc>
        <w:tc>
          <w:tcPr>
            <w:tcW w:w="6237" w:type="dxa"/>
            <w:shd w:val="clear" w:color="auto" w:fill="auto"/>
          </w:tcPr>
          <w:p w:rsidR="002C6E3A" w:rsidRPr="006F1D04" w:rsidRDefault="002C6E3A"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(NSW) Greater Metropolitan Region</w:t>
            </w:r>
          </w:p>
        </w:tc>
      </w:tr>
      <w:tr w:rsidR="002C6E3A" w:rsidRPr="006F1D04" w:rsidTr="0044368A">
        <w:trPr>
          <w:cantSplit/>
        </w:trPr>
        <w:tc>
          <w:tcPr>
            <w:tcW w:w="2835" w:type="dxa"/>
            <w:shd w:val="clear" w:color="auto" w:fill="auto"/>
          </w:tcPr>
          <w:p w:rsidR="002C6E3A" w:rsidRPr="006F1D04" w:rsidRDefault="002C6E3A" w:rsidP="002C6E3A">
            <w:pPr>
              <w:autoSpaceDE w:val="0"/>
              <w:autoSpaceDN w:val="0"/>
              <w:adjustRightInd w:val="0"/>
              <w:spacing w:before="60" w:after="60" w:line="240" w:lineRule="auto"/>
              <w:rPr>
                <w:rFonts w:ascii="Arial" w:hAnsi="Arial" w:cs="Arial"/>
                <w:bCs/>
                <w:iCs/>
                <w:sz w:val="16"/>
                <w:szCs w:val="16"/>
                <w:lang w:eastAsia="en-US"/>
              </w:rPr>
            </w:pPr>
            <w:r w:rsidRPr="006F1D04">
              <w:rPr>
                <w:rFonts w:ascii="Arial" w:hAnsi="Arial" w:cs="Arial"/>
                <w:bCs/>
                <w:iCs/>
                <w:sz w:val="16"/>
                <w:szCs w:val="16"/>
                <w:lang w:eastAsia="en-US"/>
              </w:rPr>
              <w:t>Goal (in AAQ NEPM)</w:t>
            </w:r>
          </w:p>
        </w:tc>
        <w:tc>
          <w:tcPr>
            <w:tcW w:w="6237" w:type="dxa"/>
            <w:shd w:val="clear" w:color="auto" w:fill="auto"/>
          </w:tcPr>
          <w:p w:rsidR="002C6E3A" w:rsidRPr="006F1D04" w:rsidRDefault="002C6E3A" w:rsidP="002C6E3A">
            <w:pPr>
              <w:autoSpaceDE w:val="0"/>
              <w:autoSpaceDN w:val="0"/>
              <w:adjustRightInd w:val="0"/>
              <w:spacing w:before="60" w:after="60" w:line="240" w:lineRule="auto"/>
              <w:rPr>
                <w:rFonts w:ascii="Arial" w:hAnsi="Arial" w:cs="Arial"/>
                <w:sz w:val="16"/>
                <w:szCs w:val="16"/>
                <w:lang w:eastAsia="en-US"/>
              </w:rPr>
            </w:pPr>
            <w:r w:rsidRPr="006F1D04">
              <w:rPr>
                <w:rFonts w:ascii="Arial" w:hAnsi="Arial" w:cs="Arial"/>
                <w:sz w:val="16"/>
                <w:szCs w:val="16"/>
                <w:lang w:eastAsia="en-US"/>
              </w:rPr>
              <w:t>Maximum allowable exceedances to be achieved within 10 years</w:t>
            </w:r>
          </w:p>
        </w:tc>
      </w:tr>
      <w:tr w:rsidR="002C6E3A" w:rsidRPr="006F1D04" w:rsidTr="0044368A">
        <w:trPr>
          <w:cantSplit/>
        </w:trPr>
        <w:tc>
          <w:tcPr>
            <w:tcW w:w="2835" w:type="dxa"/>
            <w:shd w:val="clear" w:color="auto" w:fill="auto"/>
          </w:tcPr>
          <w:p w:rsidR="002C6E3A" w:rsidRPr="006F1D04" w:rsidRDefault="002C6E3A" w:rsidP="002C6E3A">
            <w:pPr>
              <w:autoSpaceDE w:val="0"/>
              <w:autoSpaceDN w:val="0"/>
              <w:adjustRightInd w:val="0"/>
              <w:spacing w:before="60" w:after="60" w:line="240" w:lineRule="auto"/>
              <w:rPr>
                <w:rFonts w:ascii="Arial" w:hAnsi="Arial" w:cs="Arial"/>
                <w:bCs/>
                <w:iCs/>
                <w:sz w:val="16"/>
                <w:szCs w:val="16"/>
                <w:lang w:eastAsia="en-US"/>
              </w:rPr>
            </w:pPr>
            <w:r w:rsidRPr="006F1D04">
              <w:rPr>
                <w:rFonts w:ascii="Arial" w:hAnsi="Arial" w:cs="Arial"/>
                <w:bCs/>
                <w:iCs/>
                <w:sz w:val="16"/>
                <w:szCs w:val="16"/>
                <w:lang w:eastAsia="en-US"/>
              </w:rPr>
              <w:t>GRUB</w:t>
            </w:r>
          </w:p>
        </w:tc>
        <w:tc>
          <w:tcPr>
            <w:tcW w:w="6237" w:type="dxa"/>
            <w:shd w:val="clear" w:color="auto" w:fill="auto"/>
          </w:tcPr>
          <w:p w:rsidR="002C6E3A" w:rsidRPr="006F1D04" w:rsidRDefault="002C6E3A" w:rsidP="002C6E3A">
            <w:pPr>
              <w:autoSpaceDE w:val="0"/>
              <w:autoSpaceDN w:val="0"/>
              <w:adjustRightInd w:val="0"/>
              <w:spacing w:before="60" w:after="60" w:line="240" w:lineRule="auto"/>
              <w:rPr>
                <w:rFonts w:ascii="Arial" w:hAnsi="Arial" w:cs="Arial"/>
                <w:sz w:val="16"/>
                <w:szCs w:val="16"/>
                <w:lang w:eastAsia="en-US"/>
              </w:rPr>
            </w:pPr>
            <w:r w:rsidRPr="006F1D04">
              <w:rPr>
                <w:rFonts w:ascii="Arial" w:hAnsi="Arial" w:cs="Arial"/>
                <w:sz w:val="16"/>
                <w:szCs w:val="16"/>
                <w:lang w:eastAsia="en-US"/>
              </w:rPr>
              <w:t>Generally representative upper bound</w:t>
            </w:r>
            <w:r w:rsidR="003F626A" w:rsidRPr="006F1D04">
              <w:rPr>
                <w:rFonts w:ascii="Arial" w:hAnsi="Arial" w:cs="Arial"/>
                <w:sz w:val="16"/>
                <w:szCs w:val="16"/>
                <w:lang w:eastAsia="en-US"/>
              </w:rPr>
              <w:t xml:space="preserve"> – </w:t>
            </w:r>
            <w:r w:rsidRPr="006F1D04">
              <w:rPr>
                <w:rFonts w:ascii="Arial" w:hAnsi="Arial" w:cs="Arial"/>
                <w:sz w:val="16"/>
                <w:szCs w:val="16"/>
                <w:lang w:eastAsia="en-US"/>
              </w:rPr>
              <w:t>the upper bound of pollution levels likely to be experienced by the general population in a specified region while avoiding the direct impacts of localised pollutant sources</w:t>
            </w:r>
          </w:p>
        </w:tc>
      </w:tr>
      <w:tr w:rsidR="002C6E3A" w:rsidRPr="006F1D04" w:rsidTr="0044368A">
        <w:trPr>
          <w:cantSplit/>
        </w:trPr>
        <w:tc>
          <w:tcPr>
            <w:tcW w:w="2835" w:type="dxa"/>
            <w:shd w:val="clear" w:color="auto" w:fill="auto"/>
          </w:tcPr>
          <w:p w:rsidR="002C6E3A" w:rsidRPr="006F1D04" w:rsidRDefault="002C6E3A"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GVA</w:t>
            </w:r>
          </w:p>
        </w:tc>
        <w:tc>
          <w:tcPr>
            <w:tcW w:w="6237" w:type="dxa"/>
            <w:shd w:val="clear" w:color="auto" w:fill="auto"/>
          </w:tcPr>
          <w:p w:rsidR="002C6E3A" w:rsidRPr="006F1D04" w:rsidRDefault="002C6E3A"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Gross value added</w:t>
            </w:r>
          </w:p>
        </w:tc>
      </w:tr>
      <w:tr w:rsidR="002C6E3A" w:rsidRPr="006F1D04" w:rsidTr="0044368A">
        <w:trPr>
          <w:cantSplit/>
        </w:trPr>
        <w:tc>
          <w:tcPr>
            <w:tcW w:w="2835" w:type="dxa"/>
            <w:shd w:val="clear" w:color="auto" w:fill="auto"/>
          </w:tcPr>
          <w:p w:rsidR="002C6E3A" w:rsidRPr="006F1D04" w:rsidRDefault="002C6E3A"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HRA</w:t>
            </w:r>
          </w:p>
        </w:tc>
        <w:tc>
          <w:tcPr>
            <w:tcW w:w="6237" w:type="dxa"/>
            <w:shd w:val="clear" w:color="auto" w:fill="auto"/>
          </w:tcPr>
          <w:p w:rsidR="002C6E3A" w:rsidRPr="006F1D04" w:rsidRDefault="002C6E3A"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Health risk assessment</w:t>
            </w:r>
          </w:p>
        </w:tc>
      </w:tr>
      <w:tr w:rsidR="002C6E3A" w:rsidRPr="006F1D04" w:rsidTr="0044368A">
        <w:trPr>
          <w:cantSplit/>
        </w:trPr>
        <w:tc>
          <w:tcPr>
            <w:tcW w:w="2835" w:type="dxa"/>
            <w:shd w:val="clear" w:color="auto" w:fill="auto"/>
          </w:tcPr>
          <w:p w:rsidR="002C6E3A" w:rsidRPr="006F1D04" w:rsidRDefault="002C6E3A"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HVAS</w:t>
            </w:r>
          </w:p>
        </w:tc>
        <w:tc>
          <w:tcPr>
            <w:tcW w:w="6237" w:type="dxa"/>
            <w:shd w:val="clear" w:color="auto" w:fill="auto"/>
          </w:tcPr>
          <w:p w:rsidR="002C6E3A" w:rsidRPr="006F1D04" w:rsidRDefault="002C6E3A"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High volume air samplers</w:t>
            </w:r>
          </w:p>
        </w:tc>
      </w:tr>
      <w:tr w:rsidR="002C6E3A" w:rsidRPr="006F1D04" w:rsidTr="0044368A">
        <w:trPr>
          <w:cantSplit/>
        </w:trPr>
        <w:tc>
          <w:tcPr>
            <w:tcW w:w="2835" w:type="dxa"/>
            <w:shd w:val="clear" w:color="auto" w:fill="auto"/>
          </w:tcPr>
          <w:p w:rsidR="002C6E3A" w:rsidRPr="006F1D04" w:rsidRDefault="002C6E3A"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IAWG</w:t>
            </w:r>
          </w:p>
        </w:tc>
        <w:tc>
          <w:tcPr>
            <w:tcW w:w="6237" w:type="dxa"/>
            <w:shd w:val="clear" w:color="auto" w:fill="auto"/>
          </w:tcPr>
          <w:p w:rsidR="002C6E3A" w:rsidRPr="006F1D04" w:rsidRDefault="002C6E3A"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Impact Assessment Working Group (of the Air Thematic Oversight Group)</w:t>
            </w:r>
          </w:p>
        </w:tc>
      </w:tr>
      <w:tr w:rsidR="002C6E3A" w:rsidRPr="006F1D04" w:rsidTr="0044368A">
        <w:trPr>
          <w:cantSplit/>
        </w:trPr>
        <w:tc>
          <w:tcPr>
            <w:tcW w:w="2835" w:type="dxa"/>
            <w:shd w:val="clear" w:color="auto" w:fill="auto"/>
          </w:tcPr>
          <w:p w:rsidR="002C6E3A" w:rsidRPr="006F1D04" w:rsidRDefault="002C6E3A"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IGCB</w:t>
            </w:r>
          </w:p>
        </w:tc>
        <w:tc>
          <w:tcPr>
            <w:tcW w:w="6237" w:type="dxa"/>
            <w:shd w:val="clear" w:color="auto" w:fill="auto"/>
          </w:tcPr>
          <w:p w:rsidR="002C6E3A" w:rsidRPr="006F1D04" w:rsidRDefault="002C6E3A"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(UK) Interdepartmental Group on Costs and Benefits</w:t>
            </w:r>
          </w:p>
        </w:tc>
      </w:tr>
      <w:tr w:rsidR="002C6E3A" w:rsidRPr="006F1D04" w:rsidTr="0044368A">
        <w:trPr>
          <w:cantSplit/>
        </w:trPr>
        <w:tc>
          <w:tcPr>
            <w:tcW w:w="2835" w:type="dxa"/>
            <w:shd w:val="clear" w:color="auto" w:fill="auto"/>
          </w:tcPr>
          <w:p w:rsidR="002C6E3A" w:rsidRPr="006F1D04" w:rsidRDefault="002C6E3A"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K</w:t>
            </w:r>
          </w:p>
        </w:tc>
        <w:tc>
          <w:tcPr>
            <w:tcW w:w="6237" w:type="dxa"/>
            <w:shd w:val="clear" w:color="auto" w:fill="auto"/>
          </w:tcPr>
          <w:p w:rsidR="002C6E3A" w:rsidRPr="006F1D04" w:rsidRDefault="002C6E3A"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Potassium</w:t>
            </w:r>
          </w:p>
        </w:tc>
      </w:tr>
      <w:tr w:rsidR="002C6E3A" w:rsidRPr="006F1D04" w:rsidTr="0044368A">
        <w:trPr>
          <w:cantSplit/>
        </w:trPr>
        <w:tc>
          <w:tcPr>
            <w:tcW w:w="2835" w:type="dxa"/>
            <w:shd w:val="clear" w:color="auto" w:fill="auto"/>
          </w:tcPr>
          <w:p w:rsidR="002C6E3A" w:rsidRPr="006F1D04" w:rsidRDefault="002C6E3A"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Na</w:t>
            </w:r>
          </w:p>
        </w:tc>
        <w:tc>
          <w:tcPr>
            <w:tcW w:w="6237" w:type="dxa"/>
            <w:shd w:val="clear" w:color="auto" w:fill="auto"/>
          </w:tcPr>
          <w:p w:rsidR="002C6E3A" w:rsidRPr="006F1D04" w:rsidRDefault="002C6E3A"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Sodium</w:t>
            </w:r>
          </w:p>
        </w:tc>
      </w:tr>
      <w:tr w:rsidR="002C6E3A" w:rsidRPr="006F1D04" w:rsidTr="0044368A">
        <w:trPr>
          <w:cantSplit/>
        </w:trPr>
        <w:tc>
          <w:tcPr>
            <w:tcW w:w="2835" w:type="dxa"/>
            <w:shd w:val="clear" w:color="auto" w:fill="auto"/>
          </w:tcPr>
          <w:p w:rsidR="002C6E3A" w:rsidRPr="006F1D04" w:rsidRDefault="002C6E3A"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NEPC</w:t>
            </w:r>
          </w:p>
        </w:tc>
        <w:tc>
          <w:tcPr>
            <w:tcW w:w="6237" w:type="dxa"/>
            <w:shd w:val="clear" w:color="auto" w:fill="auto"/>
          </w:tcPr>
          <w:p w:rsidR="002C6E3A" w:rsidRPr="006F1D04" w:rsidRDefault="002C6E3A"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National Environment Protection Council</w:t>
            </w:r>
          </w:p>
        </w:tc>
      </w:tr>
      <w:tr w:rsidR="002C6E3A" w:rsidRPr="006F1D04" w:rsidTr="0044368A">
        <w:trPr>
          <w:cantSplit/>
        </w:trPr>
        <w:tc>
          <w:tcPr>
            <w:tcW w:w="2835" w:type="dxa"/>
            <w:shd w:val="clear" w:color="auto" w:fill="auto"/>
          </w:tcPr>
          <w:p w:rsidR="002C6E3A" w:rsidRPr="006F1D04" w:rsidRDefault="002C6E3A"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NEPC Act</w:t>
            </w:r>
          </w:p>
        </w:tc>
        <w:tc>
          <w:tcPr>
            <w:tcW w:w="6237" w:type="dxa"/>
            <w:shd w:val="clear" w:color="auto" w:fill="auto"/>
          </w:tcPr>
          <w:p w:rsidR="002C6E3A" w:rsidRPr="006F1D04" w:rsidRDefault="002C6E3A"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National Environment Protection Council Act 1994 (</w:t>
            </w:r>
            <w:proofErr w:type="spellStart"/>
            <w:r w:rsidRPr="006F1D04">
              <w:rPr>
                <w:rFonts w:ascii="Arial" w:hAnsi="Arial" w:cs="Arial"/>
                <w:color w:val="auto"/>
                <w:szCs w:val="16"/>
                <w:lang w:eastAsia="en-AU"/>
              </w:rPr>
              <w:t>Cwlth</w:t>
            </w:r>
            <w:proofErr w:type="spellEnd"/>
            <w:r w:rsidRPr="006F1D04">
              <w:rPr>
                <w:rFonts w:ascii="Arial" w:hAnsi="Arial" w:cs="Arial"/>
                <w:color w:val="auto"/>
                <w:szCs w:val="16"/>
                <w:lang w:eastAsia="en-AU"/>
              </w:rPr>
              <w:t>)</w:t>
            </w:r>
          </w:p>
        </w:tc>
      </w:tr>
      <w:tr w:rsidR="002C6E3A" w:rsidRPr="006F1D04" w:rsidTr="0044368A">
        <w:trPr>
          <w:cantSplit/>
        </w:trPr>
        <w:tc>
          <w:tcPr>
            <w:tcW w:w="2835" w:type="dxa"/>
            <w:shd w:val="clear" w:color="auto" w:fill="auto"/>
          </w:tcPr>
          <w:p w:rsidR="002C6E3A" w:rsidRPr="006F1D04" w:rsidRDefault="002C6E3A"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NEPM</w:t>
            </w:r>
          </w:p>
        </w:tc>
        <w:tc>
          <w:tcPr>
            <w:tcW w:w="6237" w:type="dxa"/>
            <w:shd w:val="clear" w:color="auto" w:fill="auto"/>
          </w:tcPr>
          <w:p w:rsidR="002C6E3A" w:rsidRPr="006F1D04" w:rsidRDefault="002C6E3A"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National Environment Protection Measure</w:t>
            </w:r>
          </w:p>
        </w:tc>
      </w:tr>
      <w:tr w:rsidR="002C6E3A" w:rsidRPr="006F1D04" w:rsidTr="0044368A">
        <w:trPr>
          <w:cantSplit/>
        </w:trPr>
        <w:tc>
          <w:tcPr>
            <w:tcW w:w="2835" w:type="dxa"/>
            <w:shd w:val="clear" w:color="auto" w:fill="auto"/>
          </w:tcPr>
          <w:p w:rsidR="002C6E3A" w:rsidRPr="006F1D04" w:rsidRDefault="002C6E3A"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NH</w:t>
            </w:r>
            <w:r w:rsidRPr="006F1D04">
              <w:rPr>
                <w:rFonts w:ascii="Arial" w:hAnsi="Arial" w:cs="Arial"/>
                <w:color w:val="auto"/>
                <w:szCs w:val="16"/>
                <w:vertAlign w:val="subscript"/>
                <w:lang w:eastAsia="en-AU"/>
              </w:rPr>
              <w:t>3</w:t>
            </w:r>
          </w:p>
        </w:tc>
        <w:tc>
          <w:tcPr>
            <w:tcW w:w="6237" w:type="dxa"/>
            <w:shd w:val="clear" w:color="auto" w:fill="auto"/>
          </w:tcPr>
          <w:p w:rsidR="002C6E3A" w:rsidRPr="006F1D04" w:rsidRDefault="002C6E3A"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Ammonia</w:t>
            </w:r>
          </w:p>
        </w:tc>
      </w:tr>
      <w:tr w:rsidR="002C6E3A" w:rsidRPr="006F1D04" w:rsidTr="0044368A">
        <w:trPr>
          <w:cantSplit/>
        </w:trPr>
        <w:tc>
          <w:tcPr>
            <w:tcW w:w="2835" w:type="dxa"/>
            <w:shd w:val="clear" w:color="auto" w:fill="auto"/>
          </w:tcPr>
          <w:p w:rsidR="002C6E3A" w:rsidRPr="006F1D04" w:rsidRDefault="002C6E3A" w:rsidP="002C6E3A">
            <w:pPr>
              <w:pStyle w:val="TableContentText"/>
              <w:spacing w:before="60" w:after="60"/>
              <w:rPr>
                <w:rFonts w:ascii="Arial" w:hAnsi="Arial" w:cs="Arial"/>
                <w:color w:val="auto"/>
                <w:szCs w:val="16"/>
              </w:rPr>
            </w:pPr>
            <w:r w:rsidRPr="006F1D04">
              <w:rPr>
                <w:rFonts w:ascii="Arial" w:hAnsi="Arial" w:cs="Arial"/>
                <w:color w:val="auto"/>
                <w:szCs w:val="16"/>
              </w:rPr>
              <w:t>NH</w:t>
            </w:r>
            <w:r w:rsidRPr="006F1D04">
              <w:rPr>
                <w:rFonts w:ascii="Arial" w:hAnsi="Arial" w:cs="Arial"/>
                <w:color w:val="auto"/>
                <w:szCs w:val="16"/>
                <w:vertAlign w:val="subscript"/>
              </w:rPr>
              <w:t>4</w:t>
            </w:r>
            <w:r w:rsidRPr="006F1D04">
              <w:rPr>
                <w:rFonts w:ascii="Arial" w:hAnsi="Arial" w:cs="Arial"/>
                <w:color w:val="auto"/>
                <w:szCs w:val="16"/>
              </w:rPr>
              <w:t>NO</w:t>
            </w:r>
            <w:r w:rsidRPr="006F1D04">
              <w:rPr>
                <w:rFonts w:ascii="Arial" w:hAnsi="Arial" w:cs="Arial"/>
                <w:color w:val="auto"/>
                <w:szCs w:val="16"/>
                <w:vertAlign w:val="subscript"/>
              </w:rPr>
              <w:t>3</w:t>
            </w:r>
          </w:p>
        </w:tc>
        <w:tc>
          <w:tcPr>
            <w:tcW w:w="6237" w:type="dxa"/>
            <w:shd w:val="clear" w:color="auto" w:fill="auto"/>
          </w:tcPr>
          <w:p w:rsidR="002C6E3A" w:rsidRPr="006F1D04" w:rsidRDefault="002C6E3A"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Ammonium nitrate</w:t>
            </w:r>
          </w:p>
        </w:tc>
      </w:tr>
      <w:tr w:rsidR="002C6E3A" w:rsidRPr="006F1D04" w:rsidTr="0044368A">
        <w:trPr>
          <w:cantSplit/>
        </w:trPr>
        <w:tc>
          <w:tcPr>
            <w:tcW w:w="2835" w:type="dxa"/>
            <w:shd w:val="clear" w:color="auto" w:fill="auto"/>
          </w:tcPr>
          <w:p w:rsidR="002C6E3A" w:rsidRPr="006F1D04" w:rsidRDefault="002C6E3A" w:rsidP="002C6E3A">
            <w:pPr>
              <w:pStyle w:val="TableContentText"/>
              <w:spacing w:before="60" w:after="60"/>
              <w:rPr>
                <w:rFonts w:ascii="Arial" w:hAnsi="Arial" w:cs="Arial"/>
                <w:color w:val="auto"/>
                <w:szCs w:val="16"/>
              </w:rPr>
            </w:pPr>
            <w:r w:rsidRPr="006F1D04">
              <w:rPr>
                <w:rFonts w:ascii="Arial" w:hAnsi="Arial" w:cs="Arial"/>
                <w:color w:val="auto"/>
                <w:szCs w:val="16"/>
              </w:rPr>
              <w:t>(NH</w:t>
            </w:r>
            <w:r w:rsidRPr="006F1D04">
              <w:rPr>
                <w:rFonts w:ascii="Arial" w:hAnsi="Arial" w:cs="Arial"/>
                <w:color w:val="auto"/>
                <w:szCs w:val="16"/>
                <w:vertAlign w:val="subscript"/>
              </w:rPr>
              <w:t>4</w:t>
            </w:r>
            <w:r w:rsidRPr="006F1D04">
              <w:rPr>
                <w:rFonts w:ascii="Arial" w:hAnsi="Arial" w:cs="Arial"/>
                <w:color w:val="auto"/>
                <w:szCs w:val="16"/>
              </w:rPr>
              <w:t>)</w:t>
            </w:r>
            <w:r w:rsidRPr="006F1D04">
              <w:rPr>
                <w:rFonts w:ascii="Arial" w:hAnsi="Arial" w:cs="Arial"/>
                <w:color w:val="auto"/>
                <w:szCs w:val="16"/>
                <w:vertAlign w:val="subscript"/>
              </w:rPr>
              <w:t>2</w:t>
            </w:r>
            <w:r w:rsidRPr="006F1D04">
              <w:rPr>
                <w:rFonts w:ascii="Arial" w:hAnsi="Arial" w:cs="Arial"/>
                <w:color w:val="auto"/>
                <w:szCs w:val="16"/>
              </w:rPr>
              <w:t>SO</w:t>
            </w:r>
            <w:r w:rsidRPr="006F1D04">
              <w:rPr>
                <w:rFonts w:ascii="Arial" w:hAnsi="Arial" w:cs="Arial"/>
                <w:color w:val="auto"/>
                <w:szCs w:val="16"/>
                <w:vertAlign w:val="subscript"/>
              </w:rPr>
              <w:t>4</w:t>
            </w:r>
          </w:p>
        </w:tc>
        <w:tc>
          <w:tcPr>
            <w:tcW w:w="6237" w:type="dxa"/>
            <w:shd w:val="clear" w:color="auto" w:fill="auto"/>
          </w:tcPr>
          <w:p w:rsidR="002C6E3A" w:rsidRPr="006F1D04" w:rsidRDefault="002C6E3A"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 xml:space="preserve">Ammonium </w:t>
            </w:r>
            <w:r w:rsidR="003F626A" w:rsidRPr="006F1D04">
              <w:rPr>
                <w:rFonts w:ascii="Arial" w:hAnsi="Arial" w:cs="Arial"/>
                <w:color w:val="auto"/>
                <w:szCs w:val="16"/>
                <w:lang w:eastAsia="en-AU"/>
              </w:rPr>
              <w:t>sulfate</w:t>
            </w:r>
          </w:p>
        </w:tc>
      </w:tr>
      <w:tr w:rsidR="002C6E3A" w:rsidRPr="006F1D04" w:rsidTr="0044368A">
        <w:trPr>
          <w:cantSplit/>
        </w:trPr>
        <w:tc>
          <w:tcPr>
            <w:tcW w:w="2835" w:type="dxa"/>
            <w:shd w:val="clear" w:color="auto" w:fill="auto"/>
          </w:tcPr>
          <w:p w:rsidR="002C6E3A" w:rsidRPr="006F1D04" w:rsidRDefault="002C6E3A" w:rsidP="002C6E3A">
            <w:pPr>
              <w:pStyle w:val="TableContentText"/>
              <w:spacing w:before="60" w:after="60"/>
              <w:rPr>
                <w:rFonts w:ascii="Arial" w:hAnsi="Arial" w:cs="Arial"/>
                <w:color w:val="auto"/>
                <w:szCs w:val="16"/>
                <w:lang w:eastAsia="en-AU"/>
              </w:rPr>
            </w:pPr>
            <w:r w:rsidRPr="006F1D04">
              <w:rPr>
                <w:rFonts w:ascii="Arial" w:hAnsi="Arial" w:cs="Arial"/>
                <w:color w:val="auto"/>
                <w:szCs w:val="16"/>
              </w:rPr>
              <w:t>NHMRC</w:t>
            </w:r>
          </w:p>
        </w:tc>
        <w:tc>
          <w:tcPr>
            <w:tcW w:w="6237" w:type="dxa"/>
            <w:shd w:val="clear" w:color="auto" w:fill="auto"/>
          </w:tcPr>
          <w:p w:rsidR="002C6E3A" w:rsidRPr="006F1D04" w:rsidRDefault="002C6E3A"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National Health and Medical Research Council</w:t>
            </w:r>
          </w:p>
        </w:tc>
      </w:tr>
      <w:tr w:rsidR="002C6E3A" w:rsidRPr="006F1D04" w:rsidTr="0044368A">
        <w:trPr>
          <w:cantSplit/>
        </w:trPr>
        <w:tc>
          <w:tcPr>
            <w:tcW w:w="2835" w:type="dxa"/>
            <w:shd w:val="clear" w:color="auto" w:fill="auto"/>
          </w:tcPr>
          <w:p w:rsidR="002C6E3A" w:rsidRPr="006F1D04" w:rsidRDefault="002C6E3A"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NHSO</w:t>
            </w:r>
            <w:r w:rsidRPr="006F1D04">
              <w:rPr>
                <w:rFonts w:ascii="Arial" w:hAnsi="Arial" w:cs="Arial"/>
                <w:color w:val="auto"/>
                <w:szCs w:val="16"/>
                <w:vertAlign w:val="subscript"/>
                <w:lang w:eastAsia="en-AU"/>
              </w:rPr>
              <w:t>4</w:t>
            </w:r>
          </w:p>
        </w:tc>
        <w:tc>
          <w:tcPr>
            <w:tcW w:w="6237" w:type="dxa"/>
            <w:shd w:val="clear" w:color="auto" w:fill="auto"/>
          </w:tcPr>
          <w:p w:rsidR="002C6E3A" w:rsidRPr="006F1D04" w:rsidRDefault="002C6E3A"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Sulfate</w:t>
            </w:r>
          </w:p>
        </w:tc>
      </w:tr>
      <w:tr w:rsidR="002C6E3A" w:rsidRPr="006F1D04" w:rsidTr="0044368A">
        <w:trPr>
          <w:cantSplit/>
        </w:trPr>
        <w:tc>
          <w:tcPr>
            <w:tcW w:w="2835" w:type="dxa"/>
            <w:shd w:val="clear" w:color="auto" w:fill="auto"/>
          </w:tcPr>
          <w:p w:rsidR="002C6E3A" w:rsidRPr="006F1D04" w:rsidRDefault="002C6E3A"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Ni</w:t>
            </w:r>
          </w:p>
        </w:tc>
        <w:tc>
          <w:tcPr>
            <w:tcW w:w="6237" w:type="dxa"/>
            <w:shd w:val="clear" w:color="auto" w:fill="auto"/>
          </w:tcPr>
          <w:p w:rsidR="002C6E3A" w:rsidRPr="006F1D04" w:rsidRDefault="002C6E3A"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Nickel</w:t>
            </w:r>
          </w:p>
        </w:tc>
      </w:tr>
      <w:tr w:rsidR="002C6E3A" w:rsidRPr="006F1D04" w:rsidTr="0044368A">
        <w:trPr>
          <w:cantSplit/>
        </w:trPr>
        <w:tc>
          <w:tcPr>
            <w:tcW w:w="2835" w:type="dxa"/>
            <w:shd w:val="clear" w:color="auto" w:fill="auto"/>
          </w:tcPr>
          <w:p w:rsidR="002C6E3A" w:rsidRPr="006F1D04" w:rsidRDefault="002C6E3A"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NO</w:t>
            </w:r>
            <w:r w:rsidRPr="006F1D04">
              <w:rPr>
                <w:rFonts w:ascii="Arial" w:hAnsi="Arial" w:cs="Arial"/>
                <w:color w:val="auto"/>
                <w:szCs w:val="16"/>
                <w:vertAlign w:val="subscript"/>
                <w:lang w:eastAsia="en-AU"/>
              </w:rPr>
              <w:t>2</w:t>
            </w:r>
          </w:p>
        </w:tc>
        <w:tc>
          <w:tcPr>
            <w:tcW w:w="6237" w:type="dxa"/>
            <w:shd w:val="clear" w:color="auto" w:fill="auto"/>
          </w:tcPr>
          <w:p w:rsidR="002C6E3A" w:rsidRPr="006F1D04" w:rsidRDefault="002C6E3A"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Nitrogen dioxide</w:t>
            </w:r>
          </w:p>
        </w:tc>
      </w:tr>
      <w:tr w:rsidR="002C6E3A" w:rsidRPr="006F1D04" w:rsidTr="0044368A">
        <w:trPr>
          <w:cantSplit/>
          <w:trHeight w:hRule="exact" w:val="340"/>
        </w:trPr>
        <w:tc>
          <w:tcPr>
            <w:tcW w:w="2835" w:type="dxa"/>
            <w:shd w:val="clear" w:color="auto" w:fill="auto"/>
          </w:tcPr>
          <w:p w:rsidR="002C6E3A" w:rsidRPr="006F1D04" w:rsidRDefault="002C6E3A"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NO</w:t>
            </w:r>
            <w:r w:rsidRPr="006F1D04">
              <w:rPr>
                <w:rFonts w:ascii="Arial" w:hAnsi="Arial" w:cs="Arial"/>
                <w:color w:val="auto"/>
                <w:szCs w:val="16"/>
                <w:vertAlign w:val="subscript"/>
                <w:lang w:eastAsia="en-AU"/>
              </w:rPr>
              <w:t>X</w:t>
            </w:r>
          </w:p>
        </w:tc>
        <w:tc>
          <w:tcPr>
            <w:tcW w:w="6237" w:type="dxa"/>
            <w:shd w:val="clear" w:color="auto" w:fill="auto"/>
          </w:tcPr>
          <w:p w:rsidR="002C6E3A" w:rsidRPr="006F1D04" w:rsidRDefault="002C6E3A"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Oxides of nitrogen; the sum of NO</w:t>
            </w:r>
            <w:r w:rsidRPr="006F1D04">
              <w:rPr>
                <w:rFonts w:ascii="Arial" w:hAnsi="Arial" w:cs="Arial"/>
                <w:color w:val="auto"/>
                <w:szCs w:val="16"/>
                <w:vertAlign w:val="subscript"/>
                <w:lang w:eastAsia="en-AU"/>
              </w:rPr>
              <w:t>2</w:t>
            </w:r>
            <w:r w:rsidRPr="006F1D04">
              <w:rPr>
                <w:rFonts w:ascii="Arial" w:hAnsi="Arial" w:cs="Arial"/>
                <w:color w:val="auto"/>
                <w:szCs w:val="16"/>
                <w:lang w:eastAsia="en-AU"/>
              </w:rPr>
              <w:t xml:space="preserve"> and NO by convention</w:t>
            </w:r>
          </w:p>
        </w:tc>
      </w:tr>
      <w:tr w:rsidR="008B3A16" w:rsidRPr="006F1D04" w:rsidTr="00B92255">
        <w:trPr>
          <w:cantSplit/>
          <w:trHeight w:hRule="exact" w:val="340"/>
        </w:trPr>
        <w:tc>
          <w:tcPr>
            <w:tcW w:w="2835" w:type="dxa"/>
            <w:shd w:val="clear" w:color="auto" w:fill="auto"/>
            <w:vAlign w:val="center"/>
          </w:tcPr>
          <w:p w:rsidR="008B3A16" w:rsidRPr="006F1D04" w:rsidRDefault="008B3A16" w:rsidP="002C6E3A">
            <w:pPr>
              <w:pStyle w:val="TableContentText"/>
              <w:spacing w:before="60" w:after="60"/>
              <w:rPr>
                <w:rFonts w:ascii="Arial" w:hAnsi="Arial" w:cs="Arial"/>
                <w:color w:val="auto"/>
                <w:szCs w:val="16"/>
                <w:lang w:eastAsia="en-AU"/>
              </w:rPr>
            </w:pPr>
            <w:r w:rsidRPr="006F1D04">
              <w:rPr>
                <w:rFonts w:ascii="Arial" w:hAnsi="Arial"/>
                <w:color w:val="auto"/>
                <w:szCs w:val="16"/>
              </w:rPr>
              <w:t>NPI</w:t>
            </w:r>
          </w:p>
        </w:tc>
        <w:tc>
          <w:tcPr>
            <w:tcW w:w="6237" w:type="dxa"/>
            <w:shd w:val="clear" w:color="auto" w:fill="auto"/>
            <w:vAlign w:val="center"/>
          </w:tcPr>
          <w:p w:rsidR="008B3A16" w:rsidRPr="006F1D04" w:rsidRDefault="008B3A16" w:rsidP="002C6E3A">
            <w:pPr>
              <w:pStyle w:val="TableContentText"/>
              <w:spacing w:before="60" w:after="60"/>
              <w:ind w:right="568"/>
              <w:rPr>
                <w:rFonts w:ascii="Arial" w:hAnsi="Arial" w:cs="Arial"/>
                <w:color w:val="auto"/>
                <w:szCs w:val="16"/>
                <w:lang w:eastAsia="en-AU"/>
              </w:rPr>
            </w:pPr>
            <w:r w:rsidRPr="006F1D04">
              <w:rPr>
                <w:rFonts w:ascii="Arial" w:hAnsi="Arial"/>
                <w:color w:val="auto"/>
                <w:szCs w:val="16"/>
              </w:rPr>
              <w:t>National Pollutant Inventory</w:t>
            </w:r>
          </w:p>
        </w:tc>
      </w:tr>
      <w:tr w:rsidR="008B3A16" w:rsidRPr="006F1D04" w:rsidTr="00B92255">
        <w:trPr>
          <w:cantSplit/>
          <w:trHeight w:hRule="exact" w:val="340"/>
        </w:trPr>
        <w:tc>
          <w:tcPr>
            <w:tcW w:w="2835" w:type="dxa"/>
            <w:shd w:val="clear" w:color="auto" w:fill="auto"/>
          </w:tcPr>
          <w:p w:rsidR="008B3A16" w:rsidRPr="006F1D04" w:rsidRDefault="008B3A16" w:rsidP="002C6E3A">
            <w:pPr>
              <w:pStyle w:val="BulletsLevel3Dash"/>
              <w:numPr>
                <w:ilvl w:val="0"/>
                <w:numId w:val="0"/>
              </w:numPr>
              <w:spacing w:before="60" w:after="60" w:line="240" w:lineRule="auto"/>
              <w:rPr>
                <w:rFonts w:ascii="Arial" w:hAnsi="Arial"/>
                <w:color w:val="auto"/>
                <w:sz w:val="16"/>
                <w:szCs w:val="16"/>
              </w:rPr>
            </w:pPr>
            <w:r w:rsidRPr="006F1D04">
              <w:rPr>
                <w:rFonts w:ascii="Arial" w:hAnsi="Arial"/>
                <w:color w:val="auto"/>
                <w:szCs w:val="16"/>
                <w:lang w:eastAsia="en-AU"/>
              </w:rPr>
              <w:t>NPV</w:t>
            </w:r>
          </w:p>
        </w:tc>
        <w:tc>
          <w:tcPr>
            <w:tcW w:w="6237" w:type="dxa"/>
            <w:shd w:val="clear" w:color="auto" w:fill="auto"/>
          </w:tcPr>
          <w:p w:rsidR="008B3A16" w:rsidRPr="006F1D04" w:rsidRDefault="008B3A16" w:rsidP="002C6E3A">
            <w:pPr>
              <w:pStyle w:val="BulletsLevel3Dash"/>
              <w:numPr>
                <w:ilvl w:val="0"/>
                <w:numId w:val="0"/>
              </w:numPr>
              <w:spacing w:before="60" w:after="60" w:line="240" w:lineRule="auto"/>
              <w:rPr>
                <w:rFonts w:ascii="Arial" w:hAnsi="Arial"/>
                <w:color w:val="auto"/>
                <w:sz w:val="16"/>
                <w:szCs w:val="16"/>
              </w:rPr>
            </w:pPr>
            <w:r w:rsidRPr="006F1D04">
              <w:rPr>
                <w:rFonts w:ascii="Arial" w:hAnsi="Arial"/>
                <w:color w:val="auto"/>
                <w:szCs w:val="16"/>
                <w:lang w:eastAsia="en-AU"/>
              </w:rPr>
              <w:t>Net present value</w:t>
            </w:r>
          </w:p>
        </w:tc>
      </w:tr>
      <w:tr w:rsidR="008B3A16" w:rsidRPr="006F1D04" w:rsidTr="0044368A">
        <w:trPr>
          <w:cantSplit/>
          <w:trHeight w:hRule="exact" w:val="340"/>
        </w:trPr>
        <w:tc>
          <w:tcPr>
            <w:tcW w:w="2835" w:type="dxa"/>
            <w:shd w:val="clear" w:color="auto" w:fill="auto"/>
          </w:tcPr>
          <w:p w:rsidR="008B3A16" w:rsidRPr="006F1D04" w:rsidRDefault="008B3A16"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NSW</w:t>
            </w:r>
          </w:p>
        </w:tc>
        <w:tc>
          <w:tcPr>
            <w:tcW w:w="6237" w:type="dxa"/>
            <w:shd w:val="clear" w:color="auto" w:fill="auto"/>
          </w:tcPr>
          <w:p w:rsidR="008B3A16" w:rsidRPr="006F1D04" w:rsidRDefault="008B3A16"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New South Wales</w:t>
            </w:r>
          </w:p>
        </w:tc>
      </w:tr>
      <w:tr w:rsidR="008B3A16" w:rsidRPr="006F1D04" w:rsidTr="0044368A">
        <w:trPr>
          <w:cantSplit/>
          <w:trHeight w:hRule="exact" w:val="340"/>
        </w:trPr>
        <w:tc>
          <w:tcPr>
            <w:tcW w:w="2835" w:type="dxa"/>
            <w:shd w:val="clear" w:color="auto" w:fill="auto"/>
          </w:tcPr>
          <w:p w:rsidR="008B3A16" w:rsidRPr="006F1D04" w:rsidRDefault="008B3A16"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NT</w:t>
            </w:r>
          </w:p>
        </w:tc>
        <w:tc>
          <w:tcPr>
            <w:tcW w:w="6237" w:type="dxa"/>
            <w:shd w:val="clear" w:color="auto" w:fill="auto"/>
          </w:tcPr>
          <w:p w:rsidR="008B3A16" w:rsidRPr="006F1D04" w:rsidRDefault="008B3A16"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Northern Territory</w:t>
            </w:r>
          </w:p>
        </w:tc>
      </w:tr>
      <w:tr w:rsidR="008B3A16" w:rsidRPr="006F1D04" w:rsidTr="0044368A">
        <w:trPr>
          <w:cantSplit/>
          <w:trHeight w:hRule="exact" w:val="340"/>
        </w:trPr>
        <w:tc>
          <w:tcPr>
            <w:tcW w:w="2835" w:type="dxa"/>
            <w:shd w:val="clear" w:color="auto" w:fill="auto"/>
          </w:tcPr>
          <w:p w:rsidR="008B3A16" w:rsidRPr="006F1D04" w:rsidRDefault="008B3A16"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NSW EPA</w:t>
            </w:r>
          </w:p>
        </w:tc>
        <w:tc>
          <w:tcPr>
            <w:tcW w:w="6237" w:type="dxa"/>
            <w:shd w:val="clear" w:color="auto" w:fill="auto"/>
          </w:tcPr>
          <w:p w:rsidR="008B3A16" w:rsidRPr="006F1D04" w:rsidRDefault="008B3A16"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New South Wales Environment Protection Authority</w:t>
            </w:r>
          </w:p>
        </w:tc>
      </w:tr>
      <w:tr w:rsidR="008B3A16" w:rsidRPr="006F1D04" w:rsidTr="0044368A">
        <w:trPr>
          <w:cantSplit/>
          <w:trHeight w:hRule="exact" w:val="340"/>
        </w:trPr>
        <w:tc>
          <w:tcPr>
            <w:tcW w:w="2835" w:type="dxa"/>
            <w:shd w:val="clear" w:color="auto" w:fill="auto"/>
          </w:tcPr>
          <w:p w:rsidR="008B3A16" w:rsidRPr="006F1D04" w:rsidRDefault="008B3A16" w:rsidP="002C6E3A">
            <w:pPr>
              <w:pStyle w:val="TableContentText"/>
              <w:spacing w:before="60" w:after="60"/>
              <w:rPr>
                <w:rFonts w:ascii="Arial" w:hAnsi="Arial" w:cs="Arial"/>
                <w:color w:val="auto"/>
                <w:szCs w:val="16"/>
                <w:lang w:eastAsia="en-AU"/>
              </w:rPr>
            </w:pPr>
            <w:r w:rsidRPr="006F1D04">
              <w:rPr>
                <w:rFonts w:ascii="Arial" w:hAnsi="Arial" w:cs="Arial"/>
                <w:color w:val="auto"/>
                <w:szCs w:val="16"/>
              </w:rPr>
              <w:t>O</w:t>
            </w:r>
            <w:r w:rsidRPr="006F1D04">
              <w:rPr>
                <w:rFonts w:ascii="Arial" w:hAnsi="Arial" w:cs="Arial"/>
                <w:color w:val="auto"/>
                <w:szCs w:val="16"/>
                <w:vertAlign w:val="subscript"/>
              </w:rPr>
              <w:t>3</w:t>
            </w:r>
          </w:p>
        </w:tc>
        <w:tc>
          <w:tcPr>
            <w:tcW w:w="6237" w:type="dxa"/>
            <w:shd w:val="clear" w:color="auto" w:fill="auto"/>
          </w:tcPr>
          <w:p w:rsidR="008B3A16" w:rsidRPr="006F1D04" w:rsidRDefault="008B3A16"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rPr>
              <w:t>Ozone</w:t>
            </w:r>
          </w:p>
        </w:tc>
      </w:tr>
      <w:tr w:rsidR="008B3A16" w:rsidRPr="006F1D04" w:rsidTr="0044368A">
        <w:trPr>
          <w:cantSplit/>
        </w:trPr>
        <w:tc>
          <w:tcPr>
            <w:tcW w:w="2835" w:type="dxa"/>
            <w:shd w:val="clear" w:color="auto" w:fill="auto"/>
          </w:tcPr>
          <w:p w:rsidR="008B3A16" w:rsidRPr="006F1D04" w:rsidRDefault="008B3A16"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szCs w:val="16"/>
              </w:rPr>
              <w:t>OC</w:t>
            </w:r>
          </w:p>
        </w:tc>
        <w:tc>
          <w:tcPr>
            <w:tcW w:w="6237" w:type="dxa"/>
            <w:shd w:val="clear" w:color="auto" w:fill="auto"/>
          </w:tcPr>
          <w:p w:rsidR="008B3A16" w:rsidRPr="006F1D04" w:rsidRDefault="008B3A16"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szCs w:val="16"/>
              </w:rPr>
              <w:t>Organic carbon</w:t>
            </w:r>
          </w:p>
        </w:tc>
      </w:tr>
      <w:tr w:rsidR="008B3A16" w:rsidRPr="006F1D04" w:rsidTr="0044368A">
        <w:trPr>
          <w:cantSplit/>
        </w:trPr>
        <w:tc>
          <w:tcPr>
            <w:tcW w:w="2835" w:type="dxa"/>
            <w:shd w:val="clear" w:color="auto" w:fill="auto"/>
          </w:tcPr>
          <w:p w:rsidR="008B3A16" w:rsidRPr="006F1D04" w:rsidRDefault="008B3A16" w:rsidP="002C6E3A">
            <w:pPr>
              <w:pStyle w:val="TableContentText"/>
              <w:spacing w:before="60" w:after="60"/>
              <w:rPr>
                <w:rFonts w:ascii="Arial" w:hAnsi="Arial" w:cs="Arial"/>
                <w:color w:val="auto"/>
                <w:szCs w:val="16"/>
                <w:lang w:eastAsia="en-AU"/>
              </w:rPr>
            </w:pPr>
            <w:proofErr w:type="spellStart"/>
            <w:r w:rsidRPr="006F1D04">
              <w:rPr>
                <w:rFonts w:ascii="Arial" w:hAnsi="Arial" w:cs="Arial"/>
                <w:color w:val="auto"/>
                <w:szCs w:val="16"/>
                <w:lang w:eastAsia="en-AU"/>
              </w:rPr>
              <w:t>Pb</w:t>
            </w:r>
            <w:proofErr w:type="spellEnd"/>
          </w:p>
        </w:tc>
        <w:tc>
          <w:tcPr>
            <w:tcW w:w="6237" w:type="dxa"/>
            <w:shd w:val="clear" w:color="auto" w:fill="auto"/>
          </w:tcPr>
          <w:p w:rsidR="008B3A16" w:rsidRPr="006F1D04" w:rsidRDefault="008B3A16"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Lead</w:t>
            </w:r>
          </w:p>
        </w:tc>
      </w:tr>
      <w:tr w:rsidR="008B3A16" w:rsidRPr="006F1D04" w:rsidTr="0044368A">
        <w:trPr>
          <w:cantSplit/>
        </w:trPr>
        <w:tc>
          <w:tcPr>
            <w:tcW w:w="2835" w:type="dxa"/>
            <w:shd w:val="clear" w:color="auto" w:fill="auto"/>
          </w:tcPr>
          <w:p w:rsidR="008B3A16" w:rsidRPr="006F1D04" w:rsidRDefault="008B3A16"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PM</w:t>
            </w:r>
          </w:p>
        </w:tc>
        <w:tc>
          <w:tcPr>
            <w:tcW w:w="6237" w:type="dxa"/>
            <w:shd w:val="clear" w:color="auto" w:fill="auto"/>
          </w:tcPr>
          <w:p w:rsidR="008B3A16" w:rsidRPr="006F1D04" w:rsidRDefault="008B3A16"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Airborne particulate matter</w:t>
            </w:r>
          </w:p>
        </w:tc>
      </w:tr>
      <w:tr w:rsidR="008B3A16" w:rsidRPr="006F1D04" w:rsidTr="0044368A">
        <w:trPr>
          <w:cantSplit/>
        </w:trPr>
        <w:tc>
          <w:tcPr>
            <w:tcW w:w="2835" w:type="dxa"/>
            <w:shd w:val="clear" w:color="auto" w:fill="auto"/>
          </w:tcPr>
          <w:p w:rsidR="008B3A16" w:rsidRPr="006F1D04" w:rsidRDefault="008B3A16" w:rsidP="002C6E3A">
            <w:pPr>
              <w:pStyle w:val="TableContentText"/>
              <w:spacing w:before="60" w:after="60"/>
              <w:rPr>
                <w:rFonts w:ascii="Arial" w:hAnsi="Arial" w:cs="Arial"/>
                <w:color w:val="auto"/>
                <w:szCs w:val="16"/>
                <w:lang w:eastAsia="en-AU"/>
              </w:rPr>
            </w:pPr>
            <w:r w:rsidRPr="006F1D04">
              <w:rPr>
                <w:rFonts w:ascii="Arial" w:hAnsi="Arial"/>
                <w:color w:val="auto"/>
                <w:szCs w:val="16"/>
              </w:rPr>
              <w:t>PM</w:t>
            </w:r>
            <w:r w:rsidRPr="006F1D04">
              <w:rPr>
                <w:rFonts w:ascii="Arial" w:hAnsi="Arial"/>
                <w:color w:val="auto"/>
                <w:szCs w:val="16"/>
                <w:vertAlign w:val="subscript"/>
              </w:rPr>
              <w:t>10</w:t>
            </w:r>
          </w:p>
        </w:tc>
        <w:tc>
          <w:tcPr>
            <w:tcW w:w="6237" w:type="dxa"/>
            <w:shd w:val="clear" w:color="auto" w:fill="auto"/>
          </w:tcPr>
          <w:p w:rsidR="008B3A16" w:rsidRPr="006F1D04" w:rsidRDefault="008B3A16" w:rsidP="002C6E3A">
            <w:pPr>
              <w:pStyle w:val="TableContentText"/>
              <w:spacing w:before="60" w:after="60"/>
              <w:ind w:right="568"/>
              <w:rPr>
                <w:rFonts w:ascii="Arial" w:hAnsi="Arial" w:cs="Arial"/>
                <w:color w:val="auto"/>
                <w:szCs w:val="16"/>
                <w:lang w:eastAsia="en-AU"/>
              </w:rPr>
            </w:pPr>
            <w:r w:rsidRPr="006F1D04">
              <w:rPr>
                <w:rFonts w:ascii="Arial" w:hAnsi="Arial"/>
                <w:color w:val="auto"/>
                <w:szCs w:val="16"/>
              </w:rPr>
              <w:t>Particulate matter with an equivalent aerodynamic diameter of 10 micrometres or less.</w:t>
            </w:r>
          </w:p>
        </w:tc>
      </w:tr>
      <w:tr w:rsidR="008B3A16" w:rsidRPr="006F1D04" w:rsidTr="0044368A">
        <w:trPr>
          <w:cantSplit/>
        </w:trPr>
        <w:tc>
          <w:tcPr>
            <w:tcW w:w="2835" w:type="dxa"/>
            <w:shd w:val="clear" w:color="auto" w:fill="auto"/>
          </w:tcPr>
          <w:p w:rsidR="008B3A16" w:rsidRPr="006F1D04" w:rsidRDefault="008B3A16" w:rsidP="002C6E3A">
            <w:pPr>
              <w:pStyle w:val="BulletsLevel3Dash"/>
              <w:numPr>
                <w:ilvl w:val="0"/>
                <w:numId w:val="0"/>
              </w:numPr>
              <w:spacing w:before="60" w:after="60" w:line="240" w:lineRule="auto"/>
              <w:rPr>
                <w:rFonts w:ascii="Arial" w:hAnsi="Arial"/>
                <w:color w:val="auto"/>
                <w:sz w:val="16"/>
                <w:szCs w:val="16"/>
              </w:rPr>
            </w:pPr>
            <w:r w:rsidRPr="006F1D04">
              <w:rPr>
                <w:rFonts w:ascii="Arial" w:hAnsi="Arial"/>
                <w:color w:val="auto"/>
                <w:sz w:val="16"/>
                <w:szCs w:val="16"/>
              </w:rPr>
              <w:t>PM</w:t>
            </w:r>
            <w:r w:rsidRPr="006F1D04">
              <w:rPr>
                <w:rFonts w:ascii="Arial" w:hAnsi="Arial"/>
                <w:color w:val="auto"/>
                <w:sz w:val="16"/>
                <w:szCs w:val="16"/>
                <w:vertAlign w:val="subscript"/>
              </w:rPr>
              <w:t>2.5</w:t>
            </w:r>
          </w:p>
        </w:tc>
        <w:tc>
          <w:tcPr>
            <w:tcW w:w="6237" w:type="dxa"/>
            <w:shd w:val="clear" w:color="auto" w:fill="auto"/>
          </w:tcPr>
          <w:p w:rsidR="008B3A16" w:rsidRPr="006F1D04" w:rsidRDefault="008B3A16" w:rsidP="002C6E3A">
            <w:pPr>
              <w:pStyle w:val="BulletsLevel3Dash"/>
              <w:numPr>
                <w:ilvl w:val="0"/>
                <w:numId w:val="0"/>
              </w:numPr>
              <w:spacing w:before="60" w:after="60" w:line="240" w:lineRule="auto"/>
              <w:rPr>
                <w:rFonts w:ascii="Arial" w:hAnsi="Arial"/>
                <w:color w:val="auto"/>
                <w:sz w:val="16"/>
                <w:szCs w:val="16"/>
              </w:rPr>
            </w:pPr>
            <w:r w:rsidRPr="006F1D04">
              <w:rPr>
                <w:rFonts w:ascii="Arial" w:hAnsi="Arial"/>
                <w:color w:val="auto"/>
                <w:sz w:val="16"/>
                <w:szCs w:val="16"/>
              </w:rPr>
              <w:t>Particulate matter with an equivalent aerodynamic diameter of 2.5 micrometres or less.</w:t>
            </w:r>
          </w:p>
        </w:tc>
      </w:tr>
      <w:tr w:rsidR="008B3A16" w:rsidRPr="006F1D04" w:rsidTr="0044368A">
        <w:trPr>
          <w:cantSplit/>
        </w:trPr>
        <w:tc>
          <w:tcPr>
            <w:tcW w:w="2835" w:type="dxa"/>
            <w:shd w:val="clear" w:color="auto" w:fill="auto"/>
          </w:tcPr>
          <w:p w:rsidR="008B3A16" w:rsidRPr="006F1D04" w:rsidRDefault="008B3A16" w:rsidP="002C6E3A">
            <w:pPr>
              <w:pStyle w:val="BulletsLevel3Dash"/>
              <w:numPr>
                <w:ilvl w:val="0"/>
                <w:numId w:val="0"/>
              </w:numPr>
              <w:spacing w:before="60" w:after="60" w:line="240" w:lineRule="auto"/>
              <w:rPr>
                <w:rFonts w:ascii="Arial" w:hAnsi="Arial"/>
                <w:color w:val="auto"/>
                <w:sz w:val="16"/>
                <w:szCs w:val="16"/>
              </w:rPr>
            </w:pPr>
            <w:r w:rsidRPr="006F1D04">
              <w:rPr>
                <w:rFonts w:ascii="Arial" w:hAnsi="Arial"/>
                <w:bCs w:val="0"/>
                <w:iCs/>
                <w:color w:val="auto"/>
                <w:sz w:val="16"/>
                <w:szCs w:val="16"/>
              </w:rPr>
              <w:t>Performance monitoring station</w:t>
            </w:r>
          </w:p>
        </w:tc>
        <w:tc>
          <w:tcPr>
            <w:tcW w:w="6237" w:type="dxa"/>
            <w:shd w:val="clear" w:color="auto" w:fill="auto"/>
          </w:tcPr>
          <w:p w:rsidR="008B3A16" w:rsidRPr="006F1D04" w:rsidRDefault="008B3A16" w:rsidP="002C6E3A">
            <w:pPr>
              <w:autoSpaceDE w:val="0"/>
              <w:autoSpaceDN w:val="0"/>
              <w:adjustRightInd w:val="0"/>
              <w:spacing w:before="60" w:after="60" w:line="240" w:lineRule="auto"/>
              <w:rPr>
                <w:rFonts w:ascii="Arial" w:hAnsi="Arial" w:cs="Arial"/>
                <w:sz w:val="16"/>
                <w:szCs w:val="16"/>
                <w:lang w:eastAsia="en-US"/>
              </w:rPr>
            </w:pPr>
            <w:r w:rsidRPr="006F1D04">
              <w:rPr>
                <w:rFonts w:ascii="Arial" w:hAnsi="Arial" w:cs="Arial"/>
                <w:sz w:val="16"/>
                <w:szCs w:val="16"/>
                <w:lang w:eastAsia="en-US"/>
              </w:rPr>
              <w:t xml:space="preserve">A monitoring station used to </w:t>
            </w:r>
            <w:r w:rsidRPr="006F1D04">
              <w:rPr>
                <w:rFonts w:ascii="Arial" w:hAnsi="Arial" w:cs="Arial"/>
                <w:sz w:val="16"/>
                <w:szCs w:val="16"/>
              </w:rPr>
              <w:t>measure achievement against an air quality goal. The station is located to measure air quality likely to be experienced by the general population in a region or sub-region.</w:t>
            </w:r>
          </w:p>
        </w:tc>
      </w:tr>
      <w:tr w:rsidR="008B3A16" w:rsidRPr="006F1D04" w:rsidTr="0044368A">
        <w:trPr>
          <w:cantSplit/>
        </w:trPr>
        <w:tc>
          <w:tcPr>
            <w:tcW w:w="2835" w:type="dxa"/>
            <w:shd w:val="clear" w:color="auto" w:fill="auto"/>
          </w:tcPr>
          <w:p w:rsidR="008B3A16" w:rsidRPr="006F1D04" w:rsidRDefault="008B3A16" w:rsidP="002C6E3A">
            <w:pPr>
              <w:pStyle w:val="BulletsLevel3Dash"/>
              <w:numPr>
                <w:ilvl w:val="0"/>
                <w:numId w:val="0"/>
              </w:numPr>
              <w:spacing w:before="60" w:after="60" w:line="240" w:lineRule="auto"/>
              <w:rPr>
                <w:rFonts w:ascii="Arial" w:hAnsi="Arial"/>
                <w:color w:val="auto"/>
                <w:sz w:val="16"/>
                <w:szCs w:val="16"/>
                <w:highlight w:val="yellow"/>
              </w:rPr>
            </w:pPr>
            <w:r w:rsidRPr="006F1D04">
              <w:rPr>
                <w:rFonts w:ascii="Arial" w:hAnsi="Arial"/>
                <w:color w:val="auto"/>
                <w:sz w:val="16"/>
                <w:szCs w:val="16"/>
              </w:rPr>
              <w:t>ppb</w:t>
            </w:r>
          </w:p>
        </w:tc>
        <w:tc>
          <w:tcPr>
            <w:tcW w:w="6237" w:type="dxa"/>
            <w:shd w:val="clear" w:color="auto" w:fill="auto"/>
          </w:tcPr>
          <w:p w:rsidR="008B3A16" w:rsidRPr="006F1D04" w:rsidRDefault="008B3A16" w:rsidP="002C6E3A">
            <w:pPr>
              <w:autoSpaceDE w:val="0"/>
              <w:autoSpaceDN w:val="0"/>
              <w:adjustRightInd w:val="0"/>
              <w:spacing w:before="60" w:after="60" w:line="240" w:lineRule="auto"/>
              <w:rPr>
                <w:rFonts w:ascii="Arial" w:hAnsi="Arial" w:cs="Arial"/>
                <w:sz w:val="16"/>
                <w:szCs w:val="16"/>
                <w:lang w:eastAsia="en-US"/>
              </w:rPr>
            </w:pPr>
            <w:r w:rsidRPr="006F1D04">
              <w:rPr>
                <w:rFonts w:ascii="Arial" w:hAnsi="Arial"/>
                <w:sz w:val="16"/>
                <w:szCs w:val="16"/>
              </w:rPr>
              <w:t>Parts per billion by volume</w:t>
            </w:r>
          </w:p>
        </w:tc>
      </w:tr>
      <w:tr w:rsidR="008B3A16" w:rsidRPr="006F1D04" w:rsidTr="0044368A">
        <w:trPr>
          <w:cantSplit/>
        </w:trPr>
        <w:tc>
          <w:tcPr>
            <w:tcW w:w="2835" w:type="dxa"/>
            <w:shd w:val="clear" w:color="auto" w:fill="auto"/>
          </w:tcPr>
          <w:p w:rsidR="008B3A16" w:rsidRPr="006F1D04" w:rsidRDefault="008B3A16" w:rsidP="002C6E3A">
            <w:pPr>
              <w:pStyle w:val="BulletsLevel3Dash"/>
              <w:numPr>
                <w:ilvl w:val="0"/>
                <w:numId w:val="0"/>
              </w:numPr>
              <w:spacing w:before="60" w:after="60" w:line="240" w:lineRule="auto"/>
              <w:rPr>
                <w:rFonts w:ascii="Arial" w:hAnsi="Arial"/>
                <w:color w:val="auto"/>
                <w:sz w:val="16"/>
                <w:szCs w:val="16"/>
              </w:rPr>
            </w:pPr>
            <w:r w:rsidRPr="006F1D04">
              <w:rPr>
                <w:rFonts w:ascii="Arial" w:hAnsi="Arial"/>
                <w:color w:val="auto"/>
                <w:sz w:val="16"/>
                <w:szCs w:val="16"/>
              </w:rPr>
              <w:t>ppm</w:t>
            </w:r>
          </w:p>
        </w:tc>
        <w:tc>
          <w:tcPr>
            <w:tcW w:w="6237" w:type="dxa"/>
            <w:shd w:val="clear" w:color="auto" w:fill="auto"/>
          </w:tcPr>
          <w:p w:rsidR="008B3A16" w:rsidRPr="006F1D04" w:rsidRDefault="008B3A16" w:rsidP="002C6E3A">
            <w:pPr>
              <w:pStyle w:val="BulletsLevel3Dash"/>
              <w:numPr>
                <w:ilvl w:val="0"/>
                <w:numId w:val="0"/>
              </w:numPr>
              <w:spacing w:before="60" w:after="60" w:line="240" w:lineRule="auto"/>
              <w:rPr>
                <w:rFonts w:ascii="Arial" w:hAnsi="Arial"/>
                <w:color w:val="auto"/>
                <w:sz w:val="16"/>
                <w:szCs w:val="16"/>
              </w:rPr>
            </w:pPr>
            <w:r w:rsidRPr="006F1D04">
              <w:rPr>
                <w:rFonts w:ascii="Arial" w:hAnsi="Arial"/>
                <w:color w:val="auto"/>
                <w:sz w:val="16"/>
                <w:szCs w:val="16"/>
              </w:rPr>
              <w:t>Parts per million by volume</w:t>
            </w:r>
          </w:p>
        </w:tc>
      </w:tr>
      <w:tr w:rsidR="008B3A16" w:rsidRPr="006F1D04" w:rsidTr="0044368A">
        <w:trPr>
          <w:cantSplit/>
        </w:trPr>
        <w:tc>
          <w:tcPr>
            <w:tcW w:w="2835" w:type="dxa"/>
            <w:shd w:val="clear" w:color="auto" w:fill="auto"/>
          </w:tcPr>
          <w:p w:rsidR="008B3A16" w:rsidRPr="006F1D04" w:rsidRDefault="008B3A16" w:rsidP="002C6E3A">
            <w:pPr>
              <w:pStyle w:val="BulletsLevel3Dash"/>
              <w:numPr>
                <w:ilvl w:val="0"/>
                <w:numId w:val="0"/>
              </w:numPr>
              <w:spacing w:before="60" w:after="60" w:line="240" w:lineRule="auto"/>
              <w:rPr>
                <w:rFonts w:ascii="Arial" w:hAnsi="Arial"/>
                <w:color w:val="auto"/>
                <w:sz w:val="16"/>
                <w:szCs w:val="16"/>
              </w:rPr>
            </w:pPr>
            <w:r w:rsidRPr="006F1D04">
              <w:rPr>
                <w:rFonts w:ascii="Arial" w:hAnsi="Arial"/>
                <w:color w:val="auto"/>
                <w:szCs w:val="16"/>
                <w:lang w:eastAsia="en-AU"/>
              </w:rPr>
              <w:lastRenderedPageBreak/>
              <w:t>PRC</w:t>
            </w:r>
          </w:p>
        </w:tc>
        <w:tc>
          <w:tcPr>
            <w:tcW w:w="6237" w:type="dxa"/>
            <w:shd w:val="clear" w:color="auto" w:fill="auto"/>
          </w:tcPr>
          <w:p w:rsidR="008B3A16" w:rsidRPr="006F1D04" w:rsidRDefault="008B3A16" w:rsidP="002C6E3A">
            <w:pPr>
              <w:pStyle w:val="BulletsLevel3Dash"/>
              <w:numPr>
                <w:ilvl w:val="0"/>
                <w:numId w:val="0"/>
              </w:numPr>
              <w:spacing w:before="60" w:after="60" w:line="240" w:lineRule="auto"/>
              <w:rPr>
                <w:rFonts w:ascii="Arial" w:hAnsi="Arial"/>
                <w:color w:val="auto"/>
                <w:sz w:val="16"/>
                <w:szCs w:val="16"/>
              </w:rPr>
            </w:pPr>
            <w:r w:rsidRPr="006F1D04">
              <w:rPr>
                <w:rFonts w:ascii="Arial" w:hAnsi="Arial"/>
                <w:color w:val="auto"/>
                <w:szCs w:val="16"/>
                <w:lang w:eastAsia="en-AU"/>
              </w:rPr>
              <w:t>Peer Review Committee</w:t>
            </w:r>
          </w:p>
        </w:tc>
      </w:tr>
      <w:tr w:rsidR="008B3A16" w:rsidRPr="006F1D04" w:rsidTr="0044368A">
        <w:trPr>
          <w:cantSplit/>
        </w:trPr>
        <w:tc>
          <w:tcPr>
            <w:tcW w:w="2835" w:type="dxa"/>
            <w:shd w:val="clear" w:color="auto" w:fill="auto"/>
          </w:tcPr>
          <w:p w:rsidR="008B3A16" w:rsidRPr="006F1D04" w:rsidRDefault="008B3A16"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QLD</w:t>
            </w:r>
          </w:p>
        </w:tc>
        <w:tc>
          <w:tcPr>
            <w:tcW w:w="6237" w:type="dxa"/>
            <w:shd w:val="clear" w:color="auto" w:fill="auto"/>
          </w:tcPr>
          <w:p w:rsidR="008B3A16" w:rsidRPr="006F1D04" w:rsidRDefault="008B3A16"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Queensland</w:t>
            </w:r>
          </w:p>
        </w:tc>
      </w:tr>
      <w:tr w:rsidR="008B3A16" w:rsidRPr="006F1D04" w:rsidTr="0044368A">
        <w:trPr>
          <w:cantSplit/>
        </w:trPr>
        <w:tc>
          <w:tcPr>
            <w:tcW w:w="2835" w:type="dxa"/>
            <w:shd w:val="clear" w:color="auto" w:fill="auto"/>
          </w:tcPr>
          <w:p w:rsidR="008B3A16" w:rsidRPr="006F1D04" w:rsidRDefault="008B3A16" w:rsidP="002C6E3A">
            <w:pPr>
              <w:pStyle w:val="TableContentText"/>
              <w:spacing w:before="60" w:after="60"/>
              <w:rPr>
                <w:rFonts w:ascii="Arial" w:hAnsi="Arial" w:cs="Arial"/>
                <w:color w:val="auto"/>
                <w:szCs w:val="16"/>
                <w:lang w:eastAsia="en-AU"/>
              </w:rPr>
            </w:pPr>
            <w:r w:rsidRPr="006F1D04">
              <w:rPr>
                <w:rFonts w:ascii="Arial" w:hAnsi="Arial" w:cs="Arial"/>
                <w:bCs/>
                <w:iCs/>
                <w:color w:val="auto"/>
                <w:szCs w:val="16"/>
              </w:rPr>
              <w:t>Reference method</w:t>
            </w:r>
          </w:p>
        </w:tc>
        <w:tc>
          <w:tcPr>
            <w:tcW w:w="6237" w:type="dxa"/>
            <w:shd w:val="clear" w:color="auto" w:fill="auto"/>
          </w:tcPr>
          <w:p w:rsidR="008B3A16" w:rsidRPr="006F1D04" w:rsidRDefault="008B3A16"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rPr>
              <w:t>The monitoring method used for collection of data that can be compared to the advisory reporting standards</w:t>
            </w:r>
          </w:p>
        </w:tc>
      </w:tr>
      <w:tr w:rsidR="008B3A16" w:rsidRPr="006F1D04" w:rsidTr="0044368A">
        <w:trPr>
          <w:cantSplit/>
        </w:trPr>
        <w:tc>
          <w:tcPr>
            <w:tcW w:w="2835" w:type="dxa"/>
            <w:shd w:val="clear" w:color="auto" w:fill="auto"/>
          </w:tcPr>
          <w:p w:rsidR="008B3A16" w:rsidRPr="006F1D04" w:rsidRDefault="008B3A16" w:rsidP="002C6E3A">
            <w:pPr>
              <w:autoSpaceDE w:val="0"/>
              <w:autoSpaceDN w:val="0"/>
              <w:adjustRightInd w:val="0"/>
              <w:spacing w:before="60" w:after="60" w:line="240" w:lineRule="auto"/>
              <w:rPr>
                <w:rFonts w:ascii="Arial" w:hAnsi="Arial" w:cs="Arial"/>
              </w:rPr>
            </w:pPr>
            <w:r w:rsidRPr="006F1D04">
              <w:rPr>
                <w:rFonts w:ascii="Arial" w:hAnsi="Arial" w:cs="Arial"/>
                <w:szCs w:val="16"/>
              </w:rPr>
              <w:t>REVIHAAP</w:t>
            </w:r>
          </w:p>
        </w:tc>
        <w:tc>
          <w:tcPr>
            <w:tcW w:w="6237" w:type="dxa"/>
            <w:shd w:val="clear" w:color="auto" w:fill="auto"/>
          </w:tcPr>
          <w:p w:rsidR="008B3A16" w:rsidRPr="006F1D04" w:rsidRDefault="008B3A16" w:rsidP="002C6E3A">
            <w:pPr>
              <w:autoSpaceDE w:val="0"/>
              <w:autoSpaceDN w:val="0"/>
              <w:adjustRightInd w:val="0"/>
              <w:spacing w:before="60" w:after="60" w:line="240" w:lineRule="auto"/>
              <w:rPr>
                <w:rFonts w:ascii="Arial" w:hAnsi="Arial" w:cs="Arial"/>
                <w:sz w:val="16"/>
                <w:szCs w:val="16"/>
                <w:lang w:eastAsia="en-US"/>
              </w:rPr>
            </w:pPr>
            <w:r w:rsidRPr="006F1D04">
              <w:rPr>
                <w:rFonts w:ascii="Arial" w:hAnsi="Arial" w:cs="Arial"/>
                <w:szCs w:val="16"/>
              </w:rPr>
              <w:t>Review of evidence on health aspects of air pollution</w:t>
            </w:r>
          </w:p>
        </w:tc>
      </w:tr>
      <w:tr w:rsidR="008B3A16" w:rsidRPr="006F1D04" w:rsidTr="0044368A">
        <w:trPr>
          <w:cantSplit/>
        </w:trPr>
        <w:tc>
          <w:tcPr>
            <w:tcW w:w="2835" w:type="dxa"/>
            <w:shd w:val="clear" w:color="auto" w:fill="auto"/>
          </w:tcPr>
          <w:p w:rsidR="008B3A16" w:rsidRPr="006F1D04" w:rsidRDefault="008B3A16"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RMS</w:t>
            </w:r>
          </w:p>
        </w:tc>
        <w:tc>
          <w:tcPr>
            <w:tcW w:w="6237" w:type="dxa"/>
            <w:shd w:val="clear" w:color="auto" w:fill="auto"/>
          </w:tcPr>
          <w:p w:rsidR="008B3A16" w:rsidRPr="006F1D04" w:rsidRDefault="008B3A16"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(NSW) Roads and Maritime Services</w:t>
            </w:r>
          </w:p>
        </w:tc>
      </w:tr>
      <w:tr w:rsidR="008B3A16" w:rsidRPr="006F1D04" w:rsidTr="0044368A">
        <w:trPr>
          <w:cantSplit/>
        </w:trPr>
        <w:tc>
          <w:tcPr>
            <w:tcW w:w="2835" w:type="dxa"/>
            <w:shd w:val="clear" w:color="auto" w:fill="auto"/>
          </w:tcPr>
          <w:p w:rsidR="008B3A16" w:rsidRPr="006F1D04" w:rsidRDefault="008B3A16"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S</w:t>
            </w:r>
          </w:p>
        </w:tc>
        <w:tc>
          <w:tcPr>
            <w:tcW w:w="6237" w:type="dxa"/>
            <w:shd w:val="clear" w:color="auto" w:fill="auto"/>
          </w:tcPr>
          <w:p w:rsidR="008B3A16" w:rsidRPr="006F1D04" w:rsidRDefault="008B3A16"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Sulfur</w:t>
            </w:r>
          </w:p>
        </w:tc>
      </w:tr>
      <w:tr w:rsidR="008B3A16" w:rsidRPr="006F1D04" w:rsidTr="0044368A">
        <w:trPr>
          <w:cantSplit/>
        </w:trPr>
        <w:tc>
          <w:tcPr>
            <w:tcW w:w="2835" w:type="dxa"/>
            <w:shd w:val="clear" w:color="auto" w:fill="auto"/>
          </w:tcPr>
          <w:p w:rsidR="008B3A16" w:rsidRPr="006F1D04" w:rsidRDefault="008B3A16"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SA</w:t>
            </w:r>
          </w:p>
        </w:tc>
        <w:tc>
          <w:tcPr>
            <w:tcW w:w="6237" w:type="dxa"/>
            <w:shd w:val="clear" w:color="auto" w:fill="auto"/>
          </w:tcPr>
          <w:p w:rsidR="008B3A16" w:rsidRPr="006F1D04" w:rsidRDefault="008B3A16"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South Australia</w:t>
            </w:r>
          </w:p>
        </w:tc>
      </w:tr>
      <w:tr w:rsidR="008B3A16" w:rsidRPr="006F1D04" w:rsidTr="0044368A">
        <w:trPr>
          <w:cantSplit/>
        </w:trPr>
        <w:tc>
          <w:tcPr>
            <w:tcW w:w="2835" w:type="dxa"/>
            <w:shd w:val="clear" w:color="auto" w:fill="auto"/>
          </w:tcPr>
          <w:p w:rsidR="008B3A16" w:rsidRPr="006F1D04" w:rsidRDefault="008B3A16"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SCEW</w:t>
            </w:r>
          </w:p>
        </w:tc>
        <w:tc>
          <w:tcPr>
            <w:tcW w:w="6237" w:type="dxa"/>
            <w:shd w:val="clear" w:color="auto" w:fill="auto"/>
          </w:tcPr>
          <w:p w:rsidR="008B3A16" w:rsidRPr="006F1D04" w:rsidRDefault="008B3A16"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Standing Council on Environment and Water</w:t>
            </w:r>
          </w:p>
        </w:tc>
      </w:tr>
      <w:tr w:rsidR="008B3A16" w:rsidRPr="006F1D04" w:rsidTr="0044368A">
        <w:trPr>
          <w:cantSplit/>
        </w:trPr>
        <w:tc>
          <w:tcPr>
            <w:tcW w:w="2835" w:type="dxa"/>
            <w:shd w:val="clear" w:color="auto" w:fill="auto"/>
          </w:tcPr>
          <w:p w:rsidR="008B3A16" w:rsidRPr="006F1D04" w:rsidRDefault="008B3A16" w:rsidP="002C6E3A">
            <w:pPr>
              <w:pStyle w:val="TableContentText"/>
              <w:spacing w:before="60" w:after="60"/>
              <w:rPr>
                <w:rFonts w:ascii="Arial" w:hAnsi="Arial" w:cs="Arial"/>
                <w:color w:val="auto"/>
                <w:szCs w:val="16"/>
                <w:lang w:eastAsia="en-AU"/>
              </w:rPr>
            </w:pPr>
            <w:r w:rsidRPr="006F1D04">
              <w:rPr>
                <w:rFonts w:ascii="Arial" w:hAnsi="Arial" w:cs="Arial"/>
                <w:color w:val="auto"/>
                <w:szCs w:val="16"/>
              </w:rPr>
              <w:t>SEQ</w:t>
            </w:r>
          </w:p>
        </w:tc>
        <w:tc>
          <w:tcPr>
            <w:tcW w:w="6237" w:type="dxa"/>
            <w:shd w:val="clear" w:color="auto" w:fill="auto"/>
          </w:tcPr>
          <w:p w:rsidR="008B3A16" w:rsidRPr="006F1D04" w:rsidRDefault="008B3A16"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rPr>
              <w:t>South-East Queensland</w:t>
            </w:r>
          </w:p>
        </w:tc>
      </w:tr>
      <w:tr w:rsidR="008B3A16" w:rsidRPr="006F1D04" w:rsidTr="0044368A">
        <w:trPr>
          <w:cantSplit/>
        </w:trPr>
        <w:tc>
          <w:tcPr>
            <w:tcW w:w="2835" w:type="dxa"/>
            <w:shd w:val="clear" w:color="auto" w:fill="auto"/>
          </w:tcPr>
          <w:p w:rsidR="008B3A16" w:rsidRPr="006F1D04" w:rsidRDefault="008B3A16"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Si</w:t>
            </w:r>
          </w:p>
        </w:tc>
        <w:tc>
          <w:tcPr>
            <w:tcW w:w="6237" w:type="dxa"/>
            <w:shd w:val="clear" w:color="auto" w:fill="auto"/>
          </w:tcPr>
          <w:p w:rsidR="008B3A16" w:rsidRPr="006F1D04" w:rsidRDefault="008B3A16"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Silicon</w:t>
            </w:r>
          </w:p>
        </w:tc>
      </w:tr>
      <w:tr w:rsidR="008B3A16" w:rsidRPr="006F1D04" w:rsidTr="0044368A">
        <w:trPr>
          <w:cantSplit/>
        </w:trPr>
        <w:tc>
          <w:tcPr>
            <w:tcW w:w="2835" w:type="dxa"/>
            <w:shd w:val="clear" w:color="auto" w:fill="auto"/>
          </w:tcPr>
          <w:p w:rsidR="008B3A16" w:rsidRPr="006F1D04" w:rsidRDefault="008B3A16"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SIA</w:t>
            </w:r>
          </w:p>
        </w:tc>
        <w:tc>
          <w:tcPr>
            <w:tcW w:w="6237" w:type="dxa"/>
            <w:shd w:val="clear" w:color="auto" w:fill="auto"/>
          </w:tcPr>
          <w:p w:rsidR="008B3A16" w:rsidRPr="006F1D04" w:rsidRDefault="008B3A16"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Secondary inorganic aerosol</w:t>
            </w:r>
          </w:p>
        </w:tc>
      </w:tr>
      <w:tr w:rsidR="008B3A16" w:rsidRPr="006F1D04" w:rsidTr="0044368A">
        <w:trPr>
          <w:cantSplit/>
        </w:trPr>
        <w:tc>
          <w:tcPr>
            <w:tcW w:w="2835" w:type="dxa"/>
            <w:shd w:val="clear" w:color="auto" w:fill="auto"/>
          </w:tcPr>
          <w:p w:rsidR="008B3A16" w:rsidRPr="006F1D04" w:rsidRDefault="008B3A16" w:rsidP="002C6E3A">
            <w:pPr>
              <w:tabs>
                <w:tab w:val="left" w:pos="6804"/>
              </w:tabs>
              <w:spacing w:before="60" w:after="60" w:line="240" w:lineRule="auto"/>
              <w:rPr>
                <w:rFonts w:ascii="Arial" w:hAnsi="Arial" w:cs="Arial"/>
                <w:kern w:val="32"/>
                <w:sz w:val="16"/>
                <w:szCs w:val="16"/>
              </w:rPr>
            </w:pPr>
            <w:r w:rsidRPr="006F1D04">
              <w:rPr>
                <w:rFonts w:ascii="Arial" w:hAnsi="Arial" w:cs="Arial"/>
                <w:szCs w:val="16"/>
              </w:rPr>
              <w:t>SO</w:t>
            </w:r>
            <w:r w:rsidRPr="006F1D04">
              <w:rPr>
                <w:rFonts w:ascii="Arial" w:hAnsi="Arial" w:cs="Arial"/>
                <w:szCs w:val="16"/>
                <w:vertAlign w:val="subscript"/>
              </w:rPr>
              <w:t>2</w:t>
            </w:r>
          </w:p>
        </w:tc>
        <w:tc>
          <w:tcPr>
            <w:tcW w:w="6237" w:type="dxa"/>
            <w:shd w:val="clear" w:color="auto" w:fill="auto"/>
          </w:tcPr>
          <w:p w:rsidR="008B3A16" w:rsidRPr="006F1D04" w:rsidRDefault="008B3A16"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szCs w:val="16"/>
              </w:rPr>
              <w:t>Sulfur dioxide</w:t>
            </w:r>
          </w:p>
        </w:tc>
      </w:tr>
      <w:tr w:rsidR="008B3A16" w:rsidRPr="006F1D04" w:rsidTr="0044368A">
        <w:trPr>
          <w:cantSplit/>
        </w:trPr>
        <w:tc>
          <w:tcPr>
            <w:tcW w:w="2835" w:type="dxa"/>
            <w:shd w:val="clear" w:color="auto" w:fill="auto"/>
          </w:tcPr>
          <w:p w:rsidR="008B3A16" w:rsidRPr="006F1D04" w:rsidRDefault="008B3A16" w:rsidP="002C6E3A">
            <w:pPr>
              <w:pStyle w:val="TableContentText"/>
              <w:spacing w:before="60" w:after="60"/>
              <w:rPr>
                <w:rFonts w:ascii="Arial" w:hAnsi="Arial" w:cs="Arial"/>
                <w:color w:val="auto"/>
                <w:szCs w:val="16"/>
                <w:lang w:eastAsia="en-AU"/>
              </w:rPr>
            </w:pPr>
            <w:r w:rsidRPr="006F1D04">
              <w:rPr>
                <w:rFonts w:ascii="Arial" w:hAnsi="Arial" w:cs="Arial"/>
                <w:color w:val="auto"/>
                <w:szCs w:val="16"/>
              </w:rPr>
              <w:t>SO</w:t>
            </w:r>
            <w:r w:rsidRPr="006F1D04">
              <w:rPr>
                <w:rFonts w:ascii="Arial" w:hAnsi="Arial" w:cs="Arial"/>
                <w:color w:val="auto"/>
                <w:szCs w:val="16"/>
                <w:vertAlign w:val="subscript"/>
              </w:rPr>
              <w:t>X</w:t>
            </w:r>
          </w:p>
        </w:tc>
        <w:tc>
          <w:tcPr>
            <w:tcW w:w="6237" w:type="dxa"/>
            <w:shd w:val="clear" w:color="auto" w:fill="auto"/>
          </w:tcPr>
          <w:p w:rsidR="008B3A16" w:rsidRPr="006F1D04" w:rsidRDefault="008B3A16"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rPr>
              <w:t>Sulfur oxides</w:t>
            </w:r>
          </w:p>
        </w:tc>
      </w:tr>
      <w:tr w:rsidR="008B3A16" w:rsidRPr="006F1D04" w:rsidTr="0044368A">
        <w:trPr>
          <w:cantSplit/>
        </w:trPr>
        <w:tc>
          <w:tcPr>
            <w:tcW w:w="2835" w:type="dxa"/>
            <w:shd w:val="clear" w:color="auto" w:fill="auto"/>
          </w:tcPr>
          <w:p w:rsidR="008B3A16" w:rsidRPr="006F1D04" w:rsidRDefault="008B3A16"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SOA</w:t>
            </w:r>
          </w:p>
        </w:tc>
        <w:tc>
          <w:tcPr>
            <w:tcW w:w="6237" w:type="dxa"/>
            <w:shd w:val="clear" w:color="auto" w:fill="auto"/>
          </w:tcPr>
          <w:p w:rsidR="008B3A16" w:rsidRPr="006F1D04" w:rsidRDefault="008B3A16"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Secondary organic aerosol</w:t>
            </w:r>
          </w:p>
        </w:tc>
      </w:tr>
      <w:tr w:rsidR="008B3A16" w:rsidRPr="006F1D04" w:rsidTr="0044368A">
        <w:trPr>
          <w:cantSplit/>
        </w:trPr>
        <w:tc>
          <w:tcPr>
            <w:tcW w:w="2835" w:type="dxa"/>
            <w:shd w:val="clear" w:color="auto" w:fill="auto"/>
          </w:tcPr>
          <w:p w:rsidR="008B3A16" w:rsidRPr="006F1D04" w:rsidRDefault="008B3A16" w:rsidP="002C6E3A">
            <w:pPr>
              <w:tabs>
                <w:tab w:val="left" w:pos="6804"/>
              </w:tabs>
              <w:spacing w:before="60" w:after="60" w:line="240" w:lineRule="auto"/>
              <w:rPr>
                <w:rFonts w:ascii="Arial" w:hAnsi="Arial" w:cs="Arial"/>
                <w:kern w:val="32"/>
                <w:sz w:val="16"/>
                <w:szCs w:val="16"/>
              </w:rPr>
            </w:pPr>
            <w:r w:rsidRPr="006F1D04">
              <w:rPr>
                <w:rFonts w:ascii="Arial" w:hAnsi="Arial" w:cs="Arial"/>
                <w:sz w:val="16"/>
                <w:szCs w:val="16"/>
              </w:rPr>
              <w:t>Standard (in AAQ NEPM)</w:t>
            </w:r>
          </w:p>
        </w:tc>
        <w:tc>
          <w:tcPr>
            <w:tcW w:w="6237" w:type="dxa"/>
            <w:shd w:val="clear" w:color="auto" w:fill="auto"/>
          </w:tcPr>
          <w:p w:rsidR="008B3A16" w:rsidRPr="006F1D04" w:rsidRDefault="008B3A16"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sz w:val="16"/>
                <w:szCs w:val="16"/>
              </w:rPr>
              <w:t>The maximum concentration for a given averaging period</w:t>
            </w:r>
          </w:p>
        </w:tc>
      </w:tr>
      <w:tr w:rsidR="008B3A16" w:rsidRPr="006F1D04" w:rsidTr="0044368A">
        <w:trPr>
          <w:cantSplit/>
        </w:trPr>
        <w:tc>
          <w:tcPr>
            <w:tcW w:w="2835" w:type="dxa"/>
            <w:shd w:val="clear" w:color="auto" w:fill="auto"/>
          </w:tcPr>
          <w:p w:rsidR="008B3A16" w:rsidRPr="006F1D04" w:rsidRDefault="008B3A16" w:rsidP="002C6E3A">
            <w:pPr>
              <w:tabs>
                <w:tab w:val="left" w:pos="6804"/>
              </w:tabs>
              <w:spacing w:before="60" w:after="60" w:line="240" w:lineRule="auto"/>
              <w:rPr>
                <w:rFonts w:ascii="Arial" w:hAnsi="Arial" w:cs="Arial"/>
                <w:sz w:val="16"/>
                <w:szCs w:val="16"/>
              </w:rPr>
            </w:pPr>
            <w:r w:rsidRPr="006F1D04">
              <w:rPr>
                <w:rFonts w:ascii="Arial" w:hAnsi="Arial" w:cs="Arial"/>
                <w:sz w:val="16"/>
                <w:szCs w:val="16"/>
              </w:rPr>
              <w:t>TAS</w:t>
            </w:r>
          </w:p>
        </w:tc>
        <w:tc>
          <w:tcPr>
            <w:tcW w:w="6237" w:type="dxa"/>
            <w:shd w:val="clear" w:color="auto" w:fill="auto"/>
          </w:tcPr>
          <w:p w:rsidR="008B3A16" w:rsidRPr="006F1D04" w:rsidRDefault="008B3A16" w:rsidP="002C6E3A">
            <w:pPr>
              <w:tabs>
                <w:tab w:val="left" w:pos="6804"/>
              </w:tabs>
              <w:spacing w:before="60" w:after="60" w:line="240" w:lineRule="auto"/>
              <w:ind w:right="568"/>
              <w:rPr>
                <w:rFonts w:ascii="Arial" w:hAnsi="Arial" w:cs="Arial"/>
                <w:sz w:val="16"/>
                <w:szCs w:val="16"/>
              </w:rPr>
            </w:pPr>
            <w:r w:rsidRPr="006F1D04">
              <w:rPr>
                <w:rFonts w:ascii="Arial" w:hAnsi="Arial" w:cs="Arial"/>
                <w:sz w:val="16"/>
                <w:szCs w:val="16"/>
              </w:rPr>
              <w:t>Tasmania</w:t>
            </w:r>
          </w:p>
        </w:tc>
      </w:tr>
      <w:tr w:rsidR="008B3A16" w:rsidRPr="006F1D04" w:rsidTr="0044368A">
        <w:trPr>
          <w:cantSplit/>
        </w:trPr>
        <w:tc>
          <w:tcPr>
            <w:tcW w:w="2835" w:type="dxa"/>
            <w:shd w:val="clear" w:color="auto" w:fill="auto"/>
          </w:tcPr>
          <w:p w:rsidR="008B3A16" w:rsidRPr="006F1D04" w:rsidRDefault="008B3A16" w:rsidP="002C6E3A">
            <w:pPr>
              <w:tabs>
                <w:tab w:val="left" w:pos="6804"/>
              </w:tabs>
              <w:spacing w:before="60" w:after="60" w:line="240" w:lineRule="auto"/>
              <w:rPr>
                <w:rFonts w:ascii="Arial" w:hAnsi="Arial" w:cs="Arial"/>
                <w:kern w:val="32"/>
                <w:sz w:val="16"/>
                <w:szCs w:val="16"/>
              </w:rPr>
            </w:pPr>
            <w:r w:rsidRPr="006F1D04">
              <w:rPr>
                <w:rFonts w:ascii="Arial" w:hAnsi="Arial" w:cs="Arial"/>
                <w:szCs w:val="16"/>
              </w:rPr>
              <w:t>TEOM</w:t>
            </w:r>
          </w:p>
        </w:tc>
        <w:tc>
          <w:tcPr>
            <w:tcW w:w="6237" w:type="dxa"/>
            <w:shd w:val="clear" w:color="auto" w:fill="auto"/>
          </w:tcPr>
          <w:p w:rsidR="008B3A16" w:rsidRPr="006F1D04" w:rsidRDefault="008B3A16"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szCs w:val="16"/>
              </w:rPr>
              <w:t>Tapered Element Oscillating Microbalance</w:t>
            </w:r>
          </w:p>
        </w:tc>
      </w:tr>
      <w:tr w:rsidR="008B3A16" w:rsidRPr="006F1D04" w:rsidTr="0044368A">
        <w:trPr>
          <w:cantSplit/>
        </w:trPr>
        <w:tc>
          <w:tcPr>
            <w:tcW w:w="2835" w:type="dxa"/>
            <w:shd w:val="clear" w:color="auto" w:fill="auto"/>
          </w:tcPr>
          <w:p w:rsidR="008B3A16" w:rsidRPr="006F1D04" w:rsidRDefault="008B3A16" w:rsidP="002C6E3A">
            <w:pPr>
              <w:pStyle w:val="TableContentText"/>
              <w:spacing w:before="60" w:after="60"/>
              <w:rPr>
                <w:rFonts w:ascii="Arial" w:hAnsi="Arial" w:cs="Arial"/>
                <w:color w:val="auto"/>
                <w:szCs w:val="16"/>
                <w:lang w:eastAsia="en-AU"/>
              </w:rPr>
            </w:pPr>
            <w:r w:rsidRPr="006F1D04">
              <w:rPr>
                <w:rFonts w:ascii="Arial" w:hAnsi="Arial" w:cs="Arial"/>
                <w:color w:val="auto"/>
                <w:szCs w:val="16"/>
              </w:rPr>
              <w:t>Ti</w:t>
            </w:r>
          </w:p>
        </w:tc>
        <w:tc>
          <w:tcPr>
            <w:tcW w:w="6237" w:type="dxa"/>
            <w:shd w:val="clear" w:color="auto" w:fill="auto"/>
          </w:tcPr>
          <w:p w:rsidR="008B3A16" w:rsidRPr="006F1D04" w:rsidRDefault="008B3A16"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rPr>
              <w:t>Titanium</w:t>
            </w:r>
          </w:p>
        </w:tc>
      </w:tr>
      <w:tr w:rsidR="008B3A16" w:rsidRPr="006F1D04" w:rsidTr="0044368A">
        <w:trPr>
          <w:cantSplit/>
        </w:trPr>
        <w:tc>
          <w:tcPr>
            <w:tcW w:w="2835" w:type="dxa"/>
            <w:shd w:val="clear" w:color="auto" w:fill="auto"/>
          </w:tcPr>
          <w:p w:rsidR="008B3A16" w:rsidRPr="006F1D04" w:rsidRDefault="008B3A16"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TSP</w:t>
            </w:r>
          </w:p>
        </w:tc>
        <w:tc>
          <w:tcPr>
            <w:tcW w:w="6237" w:type="dxa"/>
            <w:shd w:val="clear" w:color="auto" w:fill="auto"/>
          </w:tcPr>
          <w:p w:rsidR="008B3A16" w:rsidRPr="006F1D04" w:rsidRDefault="008B3A16"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Total suspended particulate</w:t>
            </w:r>
          </w:p>
        </w:tc>
      </w:tr>
      <w:tr w:rsidR="008B3A16" w:rsidRPr="006F1D04" w:rsidTr="0044368A">
        <w:trPr>
          <w:cantSplit/>
        </w:trPr>
        <w:tc>
          <w:tcPr>
            <w:tcW w:w="2835" w:type="dxa"/>
            <w:shd w:val="clear" w:color="auto" w:fill="auto"/>
          </w:tcPr>
          <w:p w:rsidR="008B3A16" w:rsidRPr="006F1D04" w:rsidRDefault="008B3A16" w:rsidP="002C6E3A">
            <w:pPr>
              <w:tabs>
                <w:tab w:val="left" w:pos="6804"/>
              </w:tabs>
              <w:spacing w:before="60" w:after="60" w:line="240" w:lineRule="auto"/>
              <w:rPr>
                <w:rFonts w:ascii="Arial" w:hAnsi="Arial" w:cs="Arial"/>
                <w:kern w:val="32"/>
                <w:sz w:val="16"/>
                <w:szCs w:val="16"/>
              </w:rPr>
            </w:pPr>
            <w:proofErr w:type="spellStart"/>
            <w:r w:rsidRPr="006F1D04">
              <w:rPr>
                <w:rFonts w:ascii="Arial" w:hAnsi="Arial" w:cs="Arial"/>
                <w:bCs/>
                <w:iCs/>
                <w:sz w:val="16"/>
                <w:szCs w:val="16"/>
                <w:lang w:eastAsia="en-US"/>
              </w:rPr>
              <w:t>μg</w:t>
            </w:r>
            <w:proofErr w:type="spellEnd"/>
          </w:p>
        </w:tc>
        <w:tc>
          <w:tcPr>
            <w:tcW w:w="6237" w:type="dxa"/>
            <w:shd w:val="clear" w:color="auto" w:fill="auto"/>
          </w:tcPr>
          <w:p w:rsidR="008B3A16" w:rsidRPr="006F1D04" w:rsidRDefault="008B3A16"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sz w:val="16"/>
                <w:szCs w:val="16"/>
                <w:lang w:eastAsia="en-US"/>
              </w:rPr>
              <w:t>Microgram (one millionth of a gram)</w:t>
            </w:r>
          </w:p>
        </w:tc>
      </w:tr>
      <w:tr w:rsidR="008B3A16" w:rsidRPr="006F1D04" w:rsidTr="0044368A">
        <w:trPr>
          <w:cantSplit/>
        </w:trPr>
        <w:tc>
          <w:tcPr>
            <w:tcW w:w="2835" w:type="dxa"/>
            <w:shd w:val="clear" w:color="auto" w:fill="auto"/>
          </w:tcPr>
          <w:p w:rsidR="008B3A16" w:rsidRPr="006F1D04" w:rsidRDefault="008B3A16" w:rsidP="002C6E3A">
            <w:pPr>
              <w:autoSpaceDE w:val="0"/>
              <w:autoSpaceDN w:val="0"/>
              <w:adjustRightInd w:val="0"/>
              <w:spacing w:before="60" w:after="60" w:line="240" w:lineRule="auto"/>
              <w:rPr>
                <w:rFonts w:ascii="Arial" w:hAnsi="Arial" w:cs="Arial"/>
                <w:sz w:val="16"/>
                <w:szCs w:val="16"/>
              </w:rPr>
            </w:pPr>
            <w:proofErr w:type="spellStart"/>
            <w:r w:rsidRPr="006F1D04">
              <w:rPr>
                <w:rFonts w:ascii="Arial" w:hAnsi="Arial" w:cs="Arial"/>
                <w:bCs/>
                <w:iCs/>
                <w:sz w:val="16"/>
                <w:szCs w:val="16"/>
                <w:lang w:eastAsia="en-US"/>
              </w:rPr>
              <w:t>μg</w:t>
            </w:r>
            <w:proofErr w:type="spellEnd"/>
            <w:r w:rsidRPr="006F1D04">
              <w:rPr>
                <w:rFonts w:ascii="Arial" w:hAnsi="Arial" w:cs="Arial"/>
                <w:bCs/>
                <w:iCs/>
                <w:sz w:val="16"/>
                <w:szCs w:val="16"/>
                <w:lang w:eastAsia="en-US"/>
              </w:rPr>
              <w:t>/m</w:t>
            </w:r>
            <w:r w:rsidRPr="006F1D04">
              <w:rPr>
                <w:rFonts w:ascii="Arial" w:hAnsi="Arial" w:cs="Arial"/>
                <w:bCs/>
                <w:iCs/>
                <w:sz w:val="16"/>
                <w:szCs w:val="16"/>
                <w:vertAlign w:val="superscript"/>
                <w:lang w:eastAsia="en-US"/>
              </w:rPr>
              <w:t>3</w:t>
            </w:r>
          </w:p>
          <w:p w:rsidR="008B3A16" w:rsidRPr="006F1D04" w:rsidRDefault="008B3A16" w:rsidP="002C6E3A">
            <w:pPr>
              <w:autoSpaceDE w:val="0"/>
              <w:autoSpaceDN w:val="0"/>
              <w:adjustRightInd w:val="0"/>
              <w:spacing w:before="60" w:after="60" w:line="240" w:lineRule="auto"/>
              <w:rPr>
                <w:rFonts w:ascii="Arial" w:hAnsi="Arial" w:cs="Arial"/>
                <w:sz w:val="16"/>
                <w:szCs w:val="16"/>
              </w:rPr>
            </w:pPr>
          </w:p>
        </w:tc>
        <w:tc>
          <w:tcPr>
            <w:tcW w:w="6237" w:type="dxa"/>
            <w:shd w:val="clear" w:color="auto" w:fill="auto"/>
          </w:tcPr>
          <w:p w:rsidR="008B3A16" w:rsidRPr="006F1D04" w:rsidRDefault="008B3A16" w:rsidP="002C6E3A">
            <w:pPr>
              <w:autoSpaceDE w:val="0"/>
              <w:autoSpaceDN w:val="0"/>
              <w:adjustRightInd w:val="0"/>
              <w:spacing w:before="60" w:after="60" w:line="240" w:lineRule="auto"/>
              <w:rPr>
                <w:rFonts w:ascii="Arial" w:hAnsi="Arial" w:cs="Arial"/>
                <w:sz w:val="16"/>
                <w:szCs w:val="16"/>
                <w:lang w:eastAsia="en-US"/>
              </w:rPr>
            </w:pPr>
            <w:r w:rsidRPr="006F1D04">
              <w:rPr>
                <w:rFonts w:ascii="Arial" w:hAnsi="Arial" w:cs="Arial"/>
                <w:sz w:val="16"/>
                <w:szCs w:val="16"/>
                <w:lang w:eastAsia="en-US"/>
              </w:rPr>
              <w:t>Micrograms per cubic metre. This</w:t>
            </w:r>
            <w:r w:rsidRPr="006F1D04">
              <w:rPr>
                <w:rFonts w:ascii="Arial" w:hAnsi="Arial" w:cs="Arial"/>
                <w:sz w:val="16"/>
                <w:szCs w:val="16"/>
              </w:rPr>
              <w:t xml:space="preserve"> is the unit used for concentrations of particles in the air, and is </w:t>
            </w:r>
            <w:r w:rsidRPr="006F1D04">
              <w:rPr>
                <w:rFonts w:ascii="Arial" w:hAnsi="Arial" w:cs="Arial"/>
                <w:sz w:val="16"/>
                <w:szCs w:val="16"/>
                <w:lang w:eastAsia="en-US"/>
              </w:rPr>
              <w:t xml:space="preserve">referenced to a temperature of </w:t>
            </w:r>
            <w:r w:rsidRPr="006F1D04">
              <w:rPr>
                <w:rFonts w:ascii="Arial" w:hAnsi="Arial" w:cs="Arial"/>
                <w:sz w:val="16"/>
                <w:szCs w:val="16"/>
              </w:rPr>
              <w:t>0 degrees Celsius and an absolute pressure of 101.325 kilopascals</w:t>
            </w:r>
          </w:p>
        </w:tc>
      </w:tr>
      <w:tr w:rsidR="008B3A16" w:rsidRPr="006F1D04" w:rsidTr="0044368A">
        <w:trPr>
          <w:cantSplit/>
        </w:trPr>
        <w:tc>
          <w:tcPr>
            <w:tcW w:w="2835" w:type="dxa"/>
            <w:shd w:val="clear" w:color="auto" w:fill="auto"/>
          </w:tcPr>
          <w:p w:rsidR="008B3A16" w:rsidRPr="006F1D04" w:rsidRDefault="008B3A16" w:rsidP="002C6E3A">
            <w:pPr>
              <w:pStyle w:val="BulletsLevel3Dash"/>
              <w:numPr>
                <w:ilvl w:val="0"/>
                <w:numId w:val="0"/>
              </w:numPr>
              <w:spacing w:before="60" w:after="60" w:line="240" w:lineRule="auto"/>
              <w:rPr>
                <w:rFonts w:ascii="Arial" w:hAnsi="Arial"/>
                <w:color w:val="auto"/>
                <w:sz w:val="16"/>
                <w:szCs w:val="16"/>
                <w:highlight w:val="yellow"/>
              </w:rPr>
            </w:pPr>
            <w:r w:rsidRPr="006F1D04">
              <w:rPr>
                <w:rFonts w:ascii="Arial" w:hAnsi="Arial"/>
                <w:color w:val="auto"/>
              </w:rPr>
              <w:t>µm</w:t>
            </w:r>
          </w:p>
        </w:tc>
        <w:tc>
          <w:tcPr>
            <w:tcW w:w="6237" w:type="dxa"/>
            <w:shd w:val="clear" w:color="auto" w:fill="auto"/>
          </w:tcPr>
          <w:p w:rsidR="008B3A16" w:rsidRPr="006F1D04" w:rsidRDefault="008B3A16" w:rsidP="002C6E3A">
            <w:pPr>
              <w:autoSpaceDE w:val="0"/>
              <w:autoSpaceDN w:val="0"/>
              <w:adjustRightInd w:val="0"/>
              <w:spacing w:before="60" w:after="60" w:line="240" w:lineRule="auto"/>
              <w:rPr>
                <w:rFonts w:ascii="Arial" w:hAnsi="Arial" w:cs="Arial"/>
                <w:sz w:val="16"/>
                <w:szCs w:val="16"/>
                <w:lang w:eastAsia="en-US"/>
              </w:rPr>
            </w:pPr>
            <w:r w:rsidRPr="006F1D04">
              <w:rPr>
                <w:rFonts w:ascii="Arial" w:hAnsi="Arial" w:cs="Arial"/>
                <w:kern w:val="32"/>
                <w:sz w:val="16"/>
                <w:szCs w:val="16"/>
              </w:rPr>
              <w:t>Micrometre (one millionth of a metre)</w:t>
            </w:r>
          </w:p>
        </w:tc>
      </w:tr>
      <w:tr w:rsidR="008B3A16" w:rsidRPr="006F1D04" w:rsidTr="0044368A">
        <w:trPr>
          <w:cantSplit/>
        </w:trPr>
        <w:tc>
          <w:tcPr>
            <w:tcW w:w="2835" w:type="dxa"/>
            <w:shd w:val="clear" w:color="auto" w:fill="auto"/>
          </w:tcPr>
          <w:p w:rsidR="008B3A16" w:rsidRPr="006F1D04" w:rsidRDefault="008B3A16"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UHAQMN</w:t>
            </w:r>
          </w:p>
        </w:tc>
        <w:tc>
          <w:tcPr>
            <w:tcW w:w="6237" w:type="dxa"/>
            <w:shd w:val="clear" w:color="auto" w:fill="auto"/>
          </w:tcPr>
          <w:p w:rsidR="008B3A16" w:rsidRPr="006F1D04" w:rsidRDefault="008B3A16"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Upper Hunter Air Quality Monitoring Network</w:t>
            </w:r>
          </w:p>
        </w:tc>
      </w:tr>
      <w:tr w:rsidR="008B3A16" w:rsidRPr="006F1D04" w:rsidTr="0044368A">
        <w:trPr>
          <w:cantSplit/>
        </w:trPr>
        <w:tc>
          <w:tcPr>
            <w:tcW w:w="2835" w:type="dxa"/>
            <w:shd w:val="clear" w:color="auto" w:fill="auto"/>
          </w:tcPr>
          <w:p w:rsidR="008B3A16" w:rsidRPr="006F1D04" w:rsidRDefault="008B3A16"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UK</w:t>
            </w:r>
          </w:p>
        </w:tc>
        <w:tc>
          <w:tcPr>
            <w:tcW w:w="6237" w:type="dxa"/>
            <w:shd w:val="clear" w:color="auto" w:fill="auto"/>
          </w:tcPr>
          <w:p w:rsidR="008B3A16" w:rsidRPr="006F1D04" w:rsidRDefault="008B3A16"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United Kingdom</w:t>
            </w:r>
          </w:p>
        </w:tc>
      </w:tr>
      <w:tr w:rsidR="008B3A16" w:rsidRPr="006F1D04" w:rsidTr="0044368A">
        <w:trPr>
          <w:cantSplit/>
        </w:trPr>
        <w:tc>
          <w:tcPr>
            <w:tcW w:w="2835" w:type="dxa"/>
            <w:shd w:val="clear" w:color="auto" w:fill="auto"/>
          </w:tcPr>
          <w:p w:rsidR="008B3A16" w:rsidRPr="006F1D04" w:rsidRDefault="008B3A16" w:rsidP="002C6E3A">
            <w:pPr>
              <w:tabs>
                <w:tab w:val="left" w:pos="6804"/>
              </w:tabs>
              <w:spacing w:before="60" w:after="60" w:line="240" w:lineRule="auto"/>
              <w:rPr>
                <w:rFonts w:ascii="Arial" w:hAnsi="Arial" w:cs="Arial"/>
                <w:kern w:val="32"/>
                <w:sz w:val="16"/>
                <w:szCs w:val="16"/>
              </w:rPr>
            </w:pPr>
            <w:r w:rsidRPr="006F1D04">
              <w:rPr>
                <w:rFonts w:ascii="Arial" w:hAnsi="Arial" w:cs="Arial"/>
                <w:kern w:val="32"/>
                <w:sz w:val="16"/>
                <w:szCs w:val="16"/>
              </w:rPr>
              <w:t>US</w:t>
            </w:r>
          </w:p>
        </w:tc>
        <w:tc>
          <w:tcPr>
            <w:tcW w:w="6237" w:type="dxa"/>
            <w:shd w:val="clear" w:color="auto" w:fill="auto"/>
          </w:tcPr>
          <w:p w:rsidR="008B3A16" w:rsidRPr="006F1D04" w:rsidRDefault="008B3A16"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kern w:val="32"/>
                <w:sz w:val="16"/>
                <w:szCs w:val="16"/>
              </w:rPr>
              <w:t>United States</w:t>
            </w:r>
          </w:p>
        </w:tc>
      </w:tr>
      <w:tr w:rsidR="008B3A16" w:rsidRPr="006F1D04" w:rsidTr="0044368A">
        <w:trPr>
          <w:cantSplit/>
        </w:trPr>
        <w:tc>
          <w:tcPr>
            <w:tcW w:w="2835" w:type="dxa"/>
            <w:shd w:val="clear" w:color="auto" w:fill="auto"/>
          </w:tcPr>
          <w:p w:rsidR="008B3A16" w:rsidRPr="006F1D04" w:rsidRDefault="008B3A16" w:rsidP="002C6E3A">
            <w:pPr>
              <w:tabs>
                <w:tab w:val="left" w:pos="6804"/>
              </w:tabs>
              <w:spacing w:before="60" w:after="60" w:line="240" w:lineRule="auto"/>
              <w:rPr>
                <w:rFonts w:ascii="Arial" w:hAnsi="Arial" w:cs="Arial"/>
                <w:kern w:val="32"/>
                <w:sz w:val="16"/>
                <w:szCs w:val="16"/>
              </w:rPr>
            </w:pPr>
            <w:r w:rsidRPr="006F1D04">
              <w:rPr>
                <w:rFonts w:ascii="Arial" w:hAnsi="Arial"/>
                <w:sz w:val="16"/>
                <w:szCs w:val="16"/>
              </w:rPr>
              <w:t>USEPA</w:t>
            </w:r>
          </w:p>
        </w:tc>
        <w:tc>
          <w:tcPr>
            <w:tcW w:w="6237" w:type="dxa"/>
            <w:shd w:val="clear" w:color="auto" w:fill="auto"/>
          </w:tcPr>
          <w:p w:rsidR="008B3A16" w:rsidRPr="006F1D04" w:rsidRDefault="008B3A16" w:rsidP="002C6E3A">
            <w:pPr>
              <w:tabs>
                <w:tab w:val="left" w:pos="6804"/>
              </w:tabs>
              <w:spacing w:before="60" w:after="60" w:line="240" w:lineRule="auto"/>
              <w:ind w:right="568"/>
              <w:rPr>
                <w:rFonts w:ascii="Arial" w:hAnsi="Arial" w:cs="Arial"/>
                <w:kern w:val="32"/>
                <w:sz w:val="16"/>
                <w:szCs w:val="16"/>
              </w:rPr>
            </w:pPr>
            <w:r w:rsidRPr="006F1D04">
              <w:rPr>
                <w:rFonts w:ascii="Arial" w:hAnsi="Arial"/>
                <w:sz w:val="16"/>
                <w:szCs w:val="16"/>
              </w:rPr>
              <w:t>United States Environment Protection Agency</w:t>
            </w:r>
          </w:p>
        </w:tc>
      </w:tr>
      <w:tr w:rsidR="008B3A16" w:rsidRPr="006F1D04" w:rsidTr="0044368A">
        <w:trPr>
          <w:cantSplit/>
        </w:trPr>
        <w:tc>
          <w:tcPr>
            <w:tcW w:w="2835" w:type="dxa"/>
            <w:shd w:val="clear" w:color="auto" w:fill="auto"/>
          </w:tcPr>
          <w:p w:rsidR="008B3A16" w:rsidRPr="006F1D04" w:rsidRDefault="008B3A16" w:rsidP="002C6E3A">
            <w:pPr>
              <w:pStyle w:val="BulletsLevel3Dash"/>
              <w:numPr>
                <w:ilvl w:val="0"/>
                <w:numId w:val="0"/>
              </w:numPr>
              <w:spacing w:before="60" w:after="60" w:line="240" w:lineRule="auto"/>
              <w:rPr>
                <w:rFonts w:ascii="Arial" w:hAnsi="Arial"/>
                <w:color w:val="auto"/>
                <w:sz w:val="16"/>
                <w:szCs w:val="16"/>
              </w:rPr>
            </w:pPr>
            <w:r w:rsidRPr="006F1D04">
              <w:rPr>
                <w:rFonts w:ascii="Arial" w:hAnsi="Arial"/>
                <w:color w:val="auto"/>
                <w:szCs w:val="16"/>
                <w:lang w:eastAsia="en-AU"/>
              </w:rPr>
              <w:t>V</w:t>
            </w:r>
          </w:p>
        </w:tc>
        <w:tc>
          <w:tcPr>
            <w:tcW w:w="6237" w:type="dxa"/>
            <w:shd w:val="clear" w:color="auto" w:fill="auto"/>
          </w:tcPr>
          <w:p w:rsidR="008B3A16" w:rsidRPr="006F1D04" w:rsidRDefault="008B3A16" w:rsidP="002C6E3A">
            <w:pPr>
              <w:pStyle w:val="BulletsLevel3Dash"/>
              <w:numPr>
                <w:ilvl w:val="0"/>
                <w:numId w:val="0"/>
              </w:numPr>
              <w:spacing w:before="60" w:after="60" w:line="240" w:lineRule="auto"/>
              <w:rPr>
                <w:rFonts w:ascii="Arial" w:hAnsi="Arial"/>
                <w:color w:val="auto"/>
                <w:sz w:val="16"/>
                <w:szCs w:val="16"/>
              </w:rPr>
            </w:pPr>
            <w:r w:rsidRPr="006F1D04">
              <w:rPr>
                <w:rFonts w:ascii="Arial" w:hAnsi="Arial"/>
                <w:color w:val="auto"/>
                <w:szCs w:val="16"/>
                <w:lang w:eastAsia="en-AU"/>
              </w:rPr>
              <w:t>Vanadium</w:t>
            </w:r>
          </w:p>
        </w:tc>
      </w:tr>
      <w:tr w:rsidR="008B3A16" w:rsidRPr="006F1D04" w:rsidTr="0044368A">
        <w:trPr>
          <w:cantSplit/>
        </w:trPr>
        <w:tc>
          <w:tcPr>
            <w:tcW w:w="2835" w:type="dxa"/>
            <w:shd w:val="clear" w:color="auto" w:fill="auto"/>
          </w:tcPr>
          <w:p w:rsidR="008B3A16" w:rsidRPr="006F1D04" w:rsidRDefault="008B3A16"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VIC</w:t>
            </w:r>
          </w:p>
        </w:tc>
        <w:tc>
          <w:tcPr>
            <w:tcW w:w="6237" w:type="dxa"/>
            <w:shd w:val="clear" w:color="auto" w:fill="auto"/>
          </w:tcPr>
          <w:p w:rsidR="008B3A16" w:rsidRPr="006F1D04" w:rsidRDefault="008B3A16"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Victoria</w:t>
            </w:r>
          </w:p>
        </w:tc>
      </w:tr>
      <w:tr w:rsidR="008B3A16" w:rsidRPr="006F1D04" w:rsidTr="0044368A">
        <w:trPr>
          <w:cantSplit/>
        </w:trPr>
        <w:tc>
          <w:tcPr>
            <w:tcW w:w="2835" w:type="dxa"/>
            <w:shd w:val="clear" w:color="auto" w:fill="auto"/>
          </w:tcPr>
          <w:p w:rsidR="008B3A16" w:rsidRPr="006F1D04" w:rsidRDefault="008B3A16" w:rsidP="002C6E3A">
            <w:pPr>
              <w:pStyle w:val="TableContentText"/>
              <w:spacing w:before="60" w:after="60"/>
              <w:rPr>
                <w:rFonts w:ascii="Arial" w:hAnsi="Arial" w:cs="Arial"/>
                <w:color w:val="auto"/>
                <w:szCs w:val="16"/>
                <w:lang w:eastAsia="en-AU"/>
              </w:rPr>
            </w:pPr>
            <w:r w:rsidRPr="006F1D04">
              <w:rPr>
                <w:rFonts w:ascii="Arial" w:hAnsi="Arial" w:cs="Arial"/>
                <w:color w:val="auto"/>
                <w:szCs w:val="16"/>
                <w:lang w:eastAsia="en-AU"/>
              </w:rPr>
              <w:t>VOCs</w:t>
            </w:r>
          </w:p>
        </w:tc>
        <w:tc>
          <w:tcPr>
            <w:tcW w:w="6237" w:type="dxa"/>
            <w:shd w:val="clear" w:color="auto" w:fill="auto"/>
          </w:tcPr>
          <w:p w:rsidR="008B3A16" w:rsidRPr="006F1D04" w:rsidRDefault="008B3A16"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lang w:eastAsia="en-AU"/>
              </w:rPr>
              <w:t>Volatile organic compounds</w:t>
            </w:r>
          </w:p>
        </w:tc>
      </w:tr>
      <w:tr w:rsidR="008B3A16" w:rsidRPr="006F1D04" w:rsidTr="0044368A">
        <w:trPr>
          <w:cantSplit/>
        </w:trPr>
        <w:tc>
          <w:tcPr>
            <w:tcW w:w="2835" w:type="dxa"/>
            <w:shd w:val="clear" w:color="auto" w:fill="auto"/>
          </w:tcPr>
          <w:p w:rsidR="008B3A16" w:rsidRPr="006F1D04" w:rsidRDefault="008B3A16" w:rsidP="002C6E3A">
            <w:pPr>
              <w:pStyle w:val="TableContentText"/>
              <w:spacing w:before="60" w:after="60"/>
              <w:rPr>
                <w:rFonts w:ascii="Arial" w:hAnsi="Arial" w:cs="Arial"/>
                <w:color w:val="auto"/>
                <w:szCs w:val="16"/>
                <w:lang w:eastAsia="en-AU"/>
              </w:rPr>
            </w:pPr>
            <w:r w:rsidRPr="006F1D04">
              <w:rPr>
                <w:rFonts w:ascii="Arial" w:hAnsi="Arial" w:cs="Arial"/>
                <w:color w:val="auto"/>
                <w:szCs w:val="16"/>
              </w:rPr>
              <w:t>VSL</w:t>
            </w:r>
          </w:p>
        </w:tc>
        <w:tc>
          <w:tcPr>
            <w:tcW w:w="6237" w:type="dxa"/>
            <w:shd w:val="clear" w:color="auto" w:fill="auto"/>
          </w:tcPr>
          <w:p w:rsidR="008B3A16" w:rsidRPr="006F1D04" w:rsidRDefault="008B3A16" w:rsidP="002C6E3A">
            <w:pPr>
              <w:pStyle w:val="TableContentText"/>
              <w:spacing w:before="60" w:after="60"/>
              <w:ind w:right="568"/>
              <w:rPr>
                <w:rFonts w:ascii="Arial" w:hAnsi="Arial" w:cs="Arial"/>
                <w:color w:val="auto"/>
                <w:szCs w:val="16"/>
                <w:lang w:eastAsia="en-AU"/>
              </w:rPr>
            </w:pPr>
            <w:r w:rsidRPr="006F1D04">
              <w:rPr>
                <w:rFonts w:ascii="Arial" w:hAnsi="Arial" w:cs="Arial"/>
                <w:color w:val="auto"/>
                <w:szCs w:val="16"/>
              </w:rPr>
              <w:t>Value of a statistical life</w:t>
            </w:r>
          </w:p>
        </w:tc>
      </w:tr>
      <w:tr w:rsidR="008B3A16" w:rsidRPr="006F1D04" w:rsidTr="0044368A">
        <w:trPr>
          <w:cantSplit/>
        </w:trPr>
        <w:tc>
          <w:tcPr>
            <w:tcW w:w="2835" w:type="dxa"/>
            <w:shd w:val="clear" w:color="auto" w:fill="auto"/>
          </w:tcPr>
          <w:p w:rsidR="008B3A16" w:rsidRPr="006F1D04" w:rsidRDefault="008B3A16" w:rsidP="002C6E3A">
            <w:pPr>
              <w:tabs>
                <w:tab w:val="left" w:pos="6804"/>
              </w:tabs>
              <w:spacing w:before="60" w:after="60" w:line="240" w:lineRule="auto"/>
              <w:rPr>
                <w:rFonts w:ascii="Arial" w:hAnsi="Arial" w:cs="Arial"/>
                <w:kern w:val="32"/>
                <w:sz w:val="16"/>
                <w:szCs w:val="16"/>
              </w:rPr>
            </w:pPr>
            <w:r w:rsidRPr="006F1D04">
              <w:rPr>
                <w:rFonts w:ascii="Arial" w:hAnsi="Arial" w:cs="Arial"/>
                <w:sz w:val="16"/>
                <w:szCs w:val="16"/>
              </w:rPr>
              <w:t>WA</w:t>
            </w:r>
          </w:p>
        </w:tc>
        <w:tc>
          <w:tcPr>
            <w:tcW w:w="6237" w:type="dxa"/>
            <w:shd w:val="clear" w:color="auto" w:fill="auto"/>
          </w:tcPr>
          <w:p w:rsidR="008B3A16" w:rsidRPr="006F1D04" w:rsidRDefault="008B3A16" w:rsidP="002C6E3A">
            <w:pPr>
              <w:tabs>
                <w:tab w:val="left" w:pos="6804"/>
              </w:tabs>
              <w:spacing w:before="60" w:after="60" w:line="240" w:lineRule="auto"/>
              <w:ind w:right="568"/>
              <w:rPr>
                <w:rFonts w:ascii="Arial" w:hAnsi="Arial" w:cs="Arial"/>
                <w:kern w:val="32"/>
                <w:sz w:val="16"/>
                <w:szCs w:val="16"/>
              </w:rPr>
            </w:pPr>
            <w:r w:rsidRPr="006F1D04">
              <w:rPr>
                <w:rFonts w:ascii="Arial" w:hAnsi="Arial" w:cs="Arial"/>
                <w:sz w:val="16"/>
                <w:szCs w:val="16"/>
              </w:rPr>
              <w:t>Western Australia</w:t>
            </w:r>
          </w:p>
        </w:tc>
      </w:tr>
      <w:tr w:rsidR="008B3A16" w:rsidRPr="006F1D04" w:rsidTr="0044368A">
        <w:trPr>
          <w:cantSplit/>
        </w:trPr>
        <w:tc>
          <w:tcPr>
            <w:tcW w:w="2835" w:type="dxa"/>
            <w:shd w:val="clear" w:color="auto" w:fill="auto"/>
          </w:tcPr>
          <w:p w:rsidR="008B3A16" w:rsidRPr="006F1D04" w:rsidRDefault="008B3A16" w:rsidP="002C6E3A">
            <w:pPr>
              <w:tabs>
                <w:tab w:val="left" w:pos="6804"/>
              </w:tabs>
              <w:spacing w:before="60" w:after="60" w:line="240" w:lineRule="auto"/>
              <w:rPr>
                <w:rFonts w:ascii="Arial" w:hAnsi="Arial" w:cs="Arial"/>
                <w:kern w:val="32"/>
                <w:sz w:val="16"/>
                <w:szCs w:val="16"/>
              </w:rPr>
            </w:pPr>
            <w:r w:rsidRPr="006F1D04">
              <w:rPr>
                <w:rFonts w:ascii="Arial" w:hAnsi="Arial"/>
                <w:sz w:val="16"/>
                <w:szCs w:val="16"/>
              </w:rPr>
              <w:t>WHO</w:t>
            </w:r>
          </w:p>
        </w:tc>
        <w:tc>
          <w:tcPr>
            <w:tcW w:w="6237" w:type="dxa"/>
            <w:shd w:val="clear" w:color="auto" w:fill="auto"/>
          </w:tcPr>
          <w:p w:rsidR="008B3A16" w:rsidRPr="006F1D04" w:rsidRDefault="008B3A16" w:rsidP="002C6E3A">
            <w:pPr>
              <w:tabs>
                <w:tab w:val="left" w:pos="6804"/>
              </w:tabs>
              <w:spacing w:before="60" w:after="60" w:line="240" w:lineRule="auto"/>
              <w:ind w:right="568"/>
              <w:rPr>
                <w:rFonts w:ascii="Arial" w:hAnsi="Arial" w:cs="Arial"/>
                <w:kern w:val="32"/>
                <w:sz w:val="16"/>
                <w:szCs w:val="16"/>
              </w:rPr>
            </w:pPr>
            <w:r w:rsidRPr="006F1D04">
              <w:rPr>
                <w:rFonts w:ascii="Arial" w:hAnsi="Arial"/>
                <w:sz w:val="16"/>
                <w:szCs w:val="16"/>
              </w:rPr>
              <w:t>World Health Organization</w:t>
            </w:r>
          </w:p>
        </w:tc>
      </w:tr>
      <w:tr w:rsidR="008B3A16" w:rsidRPr="006F1D04" w:rsidTr="0044368A">
        <w:trPr>
          <w:cantSplit/>
        </w:trPr>
        <w:tc>
          <w:tcPr>
            <w:tcW w:w="2835" w:type="dxa"/>
            <w:shd w:val="clear" w:color="auto" w:fill="auto"/>
          </w:tcPr>
          <w:p w:rsidR="008B3A16" w:rsidRPr="006F1D04" w:rsidRDefault="008B3A16" w:rsidP="002C6E3A">
            <w:pPr>
              <w:pStyle w:val="BulletsLevel3Dash"/>
              <w:numPr>
                <w:ilvl w:val="0"/>
                <w:numId w:val="0"/>
              </w:numPr>
              <w:spacing w:before="60" w:after="60" w:line="240" w:lineRule="auto"/>
              <w:rPr>
                <w:rFonts w:ascii="Arial" w:hAnsi="Arial"/>
                <w:color w:val="auto"/>
                <w:sz w:val="16"/>
                <w:szCs w:val="16"/>
              </w:rPr>
            </w:pPr>
            <w:r w:rsidRPr="006F1D04">
              <w:rPr>
                <w:rFonts w:ascii="Arial" w:hAnsi="Arial"/>
                <w:color w:val="auto"/>
                <w:sz w:val="16"/>
                <w:szCs w:val="16"/>
              </w:rPr>
              <w:t>Zn</w:t>
            </w:r>
          </w:p>
        </w:tc>
        <w:tc>
          <w:tcPr>
            <w:tcW w:w="6237" w:type="dxa"/>
            <w:shd w:val="clear" w:color="auto" w:fill="auto"/>
          </w:tcPr>
          <w:p w:rsidR="008B3A16" w:rsidRPr="006F1D04" w:rsidRDefault="008B3A16" w:rsidP="002C6E3A">
            <w:pPr>
              <w:pStyle w:val="BulletsLevel3Dash"/>
              <w:numPr>
                <w:ilvl w:val="0"/>
                <w:numId w:val="0"/>
              </w:numPr>
              <w:spacing w:before="60" w:after="60" w:line="240" w:lineRule="auto"/>
              <w:rPr>
                <w:rFonts w:ascii="Arial" w:hAnsi="Arial"/>
                <w:color w:val="auto"/>
                <w:sz w:val="16"/>
                <w:szCs w:val="16"/>
              </w:rPr>
            </w:pPr>
            <w:r w:rsidRPr="006F1D04">
              <w:rPr>
                <w:rFonts w:ascii="Arial" w:hAnsi="Arial"/>
                <w:color w:val="auto"/>
                <w:sz w:val="16"/>
                <w:szCs w:val="16"/>
              </w:rPr>
              <w:t>Zinc</w:t>
            </w:r>
          </w:p>
        </w:tc>
      </w:tr>
      <w:tr w:rsidR="008B3A16" w:rsidRPr="006F1D04" w:rsidTr="0044368A">
        <w:trPr>
          <w:cantSplit/>
        </w:trPr>
        <w:tc>
          <w:tcPr>
            <w:tcW w:w="2835" w:type="dxa"/>
            <w:shd w:val="clear" w:color="auto" w:fill="auto"/>
          </w:tcPr>
          <w:p w:rsidR="008B3A16" w:rsidRPr="006F1D04" w:rsidRDefault="008B3A16" w:rsidP="002C6E3A">
            <w:pPr>
              <w:pStyle w:val="BulletsLevel3Dash"/>
              <w:numPr>
                <w:ilvl w:val="0"/>
                <w:numId w:val="0"/>
              </w:numPr>
              <w:spacing w:before="60" w:after="60" w:line="240" w:lineRule="auto"/>
              <w:rPr>
                <w:rFonts w:ascii="Arial" w:hAnsi="Arial"/>
                <w:sz w:val="16"/>
                <w:szCs w:val="16"/>
              </w:rPr>
            </w:pPr>
          </w:p>
        </w:tc>
        <w:tc>
          <w:tcPr>
            <w:tcW w:w="6237" w:type="dxa"/>
            <w:shd w:val="clear" w:color="auto" w:fill="auto"/>
          </w:tcPr>
          <w:p w:rsidR="008B3A16" w:rsidRPr="006F1D04" w:rsidRDefault="008B3A16" w:rsidP="002C6E3A">
            <w:pPr>
              <w:pStyle w:val="BulletsLevel3Dash"/>
              <w:numPr>
                <w:ilvl w:val="0"/>
                <w:numId w:val="0"/>
              </w:numPr>
              <w:spacing w:before="60" w:after="60" w:line="240" w:lineRule="auto"/>
              <w:rPr>
                <w:rFonts w:ascii="Arial" w:hAnsi="Arial"/>
                <w:sz w:val="16"/>
                <w:szCs w:val="16"/>
              </w:rPr>
            </w:pPr>
          </w:p>
        </w:tc>
      </w:tr>
    </w:tbl>
    <w:p w:rsidR="00C8583B" w:rsidRPr="006F1D04" w:rsidRDefault="00C8583B">
      <w:pPr>
        <w:spacing w:after="200" w:line="240" w:lineRule="auto"/>
        <w:rPr>
          <w:rFonts w:ascii="Arial" w:hAnsi="Arial" w:cs="Arial"/>
        </w:rPr>
      </w:pPr>
    </w:p>
    <w:p w:rsidR="0054013C" w:rsidRPr="006F1D04" w:rsidRDefault="0054013C" w:rsidP="002C5F09">
      <w:pPr>
        <w:rPr>
          <w:rFonts w:ascii="Arial" w:hAnsi="Arial" w:cs="Arial"/>
          <w:kern w:val="32"/>
        </w:rPr>
      </w:pPr>
    </w:p>
    <w:p w:rsidR="00692A6D" w:rsidRPr="006F1D04" w:rsidRDefault="00692A6D" w:rsidP="002C5F09">
      <w:pPr>
        <w:rPr>
          <w:rFonts w:ascii="Arial" w:hAnsi="Arial" w:cs="Arial"/>
        </w:rPr>
        <w:sectPr w:rsidR="00692A6D" w:rsidRPr="006F1D04" w:rsidSect="006A5626">
          <w:footerReference w:type="default" r:id="rId132"/>
          <w:headerReference w:type="first" r:id="rId133"/>
          <w:pgSz w:w="11906" w:h="16838" w:code="9"/>
          <w:pgMar w:top="1440" w:right="1440" w:bottom="1440" w:left="1440" w:header="284" w:footer="170" w:gutter="0"/>
          <w:cols w:space="255"/>
          <w:docGrid w:linePitch="360"/>
        </w:sectPr>
      </w:pPr>
      <w:bookmarkStart w:id="219" w:name="_Toc340058275"/>
      <w:bookmarkEnd w:id="69"/>
    </w:p>
    <w:p w:rsidR="00FE0361" w:rsidRPr="006F1D04" w:rsidRDefault="00002132" w:rsidP="002440F9">
      <w:pPr>
        <w:pStyle w:val="Heading1"/>
        <w:rPr>
          <w:rFonts w:ascii="Arial" w:hAnsi="Arial"/>
        </w:rPr>
      </w:pPr>
      <w:bookmarkStart w:id="220" w:name="_Toc394011165"/>
      <w:r w:rsidRPr="006F1D04">
        <w:rPr>
          <w:rFonts w:ascii="Arial" w:hAnsi="Arial"/>
        </w:rPr>
        <w:lastRenderedPageBreak/>
        <w:t>References</w:t>
      </w:r>
      <w:bookmarkEnd w:id="219"/>
      <w:bookmarkEnd w:id="220"/>
    </w:p>
    <w:p w:rsidR="00FE0361" w:rsidRPr="00D97DA5" w:rsidRDefault="00422263" w:rsidP="00DD0B7A">
      <w:pPr>
        <w:keepLines/>
        <w:spacing w:after="220"/>
        <w:rPr>
          <w:rFonts w:ascii="Arial" w:hAnsi="Arial" w:cs="Arial"/>
        </w:rPr>
      </w:pPr>
      <w:r w:rsidRPr="00D97DA5">
        <w:rPr>
          <w:rFonts w:ascii="Arial" w:hAnsi="Arial" w:cs="Arial"/>
        </w:rPr>
        <w:t>ABS (2008</w:t>
      </w:r>
      <w:r w:rsidR="00FE0361" w:rsidRPr="00D97DA5">
        <w:rPr>
          <w:rFonts w:ascii="Arial" w:hAnsi="Arial" w:cs="Arial"/>
        </w:rPr>
        <w:t>),</w:t>
      </w:r>
      <w:r w:rsidRPr="00D97DA5">
        <w:rPr>
          <w:rFonts w:ascii="Arial" w:hAnsi="Arial" w:cs="Arial"/>
        </w:rPr>
        <w:t xml:space="preserve"> </w:t>
      </w:r>
      <w:r w:rsidRPr="00D97DA5">
        <w:rPr>
          <w:rFonts w:ascii="Arial" w:hAnsi="Arial" w:cs="Arial"/>
          <w:i/>
        </w:rPr>
        <w:t>Population Projections, Australia, 2006 to 2</w:t>
      </w:r>
      <w:r w:rsidR="00D97DA5" w:rsidRPr="00D97DA5">
        <w:rPr>
          <w:rFonts w:ascii="Arial" w:hAnsi="Arial" w:cs="Arial"/>
          <w:i/>
        </w:rPr>
        <w:t>1</w:t>
      </w:r>
      <w:r w:rsidRPr="00D97DA5">
        <w:rPr>
          <w:rFonts w:ascii="Arial" w:hAnsi="Arial" w:cs="Arial"/>
          <w:i/>
        </w:rPr>
        <w:t>01</w:t>
      </w:r>
      <w:r w:rsidR="00881CDB" w:rsidRPr="00D97DA5">
        <w:rPr>
          <w:rFonts w:ascii="Arial" w:hAnsi="Arial" w:cs="Arial"/>
        </w:rPr>
        <w:t>,</w:t>
      </w:r>
      <w:r w:rsidRPr="00D97DA5">
        <w:rPr>
          <w:rFonts w:ascii="Arial" w:hAnsi="Arial" w:cs="Arial"/>
        </w:rPr>
        <w:t xml:space="preserve"> ABS Publication 3222.0</w:t>
      </w:r>
      <w:r w:rsidR="00881CDB" w:rsidRPr="00D97DA5">
        <w:rPr>
          <w:rFonts w:ascii="Arial" w:hAnsi="Arial" w:cs="Arial"/>
        </w:rPr>
        <w:t>,</w:t>
      </w:r>
      <w:r w:rsidRPr="00D97DA5">
        <w:rPr>
          <w:rFonts w:ascii="Arial" w:hAnsi="Arial" w:cs="Arial"/>
        </w:rPr>
        <w:t xml:space="preserve"> Australian Bureau of Statistics, Canberra</w:t>
      </w:r>
      <w:r w:rsidR="00881CDB" w:rsidRPr="00D97DA5">
        <w:rPr>
          <w:rFonts w:ascii="Arial" w:hAnsi="Arial" w:cs="Arial"/>
        </w:rPr>
        <w:t>,</w:t>
      </w:r>
      <w:r w:rsidRPr="00D97DA5">
        <w:rPr>
          <w:rFonts w:ascii="Arial" w:hAnsi="Arial" w:cs="Arial"/>
        </w:rPr>
        <w:t xml:space="preserve"> </w:t>
      </w:r>
      <w:hyperlink r:id="rId134" w:history="1">
        <w:r w:rsidR="00F73565" w:rsidRPr="00D97DA5">
          <w:rPr>
            <w:rFonts w:ascii="Arial" w:hAnsi="Arial" w:cs="Arial"/>
            <w:color w:val="0070C0"/>
          </w:rPr>
          <w:t>www.abs.gov.au/AUSSTATS/abs@.nsf/DetailsPage/3222.02006%20to%202101?OpenDocument#Time</w:t>
        </w:r>
      </w:hyperlink>
    </w:p>
    <w:p w:rsidR="00FE0361" w:rsidRPr="00D97DA5" w:rsidRDefault="00220CD9" w:rsidP="00FE0361">
      <w:pPr>
        <w:keepLines/>
        <w:ind w:right="-2"/>
        <w:rPr>
          <w:rFonts w:ascii="Arial" w:hAnsi="Arial" w:cs="Arial"/>
        </w:rPr>
      </w:pPr>
      <w:r w:rsidRPr="00D97DA5">
        <w:rPr>
          <w:rFonts w:ascii="Arial" w:hAnsi="Arial" w:cs="Arial"/>
        </w:rPr>
        <w:t>Access Economics (2008</w:t>
      </w:r>
      <w:r w:rsidR="00FE0361" w:rsidRPr="00D97DA5">
        <w:rPr>
          <w:rFonts w:ascii="Arial" w:hAnsi="Arial" w:cs="Arial"/>
        </w:rPr>
        <w:t>),</w:t>
      </w:r>
      <w:r w:rsidRPr="00D97DA5">
        <w:rPr>
          <w:rFonts w:ascii="Arial" w:hAnsi="Arial" w:cs="Arial"/>
        </w:rPr>
        <w:t xml:space="preserve"> </w:t>
      </w:r>
      <w:r w:rsidRPr="00D97DA5">
        <w:rPr>
          <w:rFonts w:ascii="Arial" w:hAnsi="Arial" w:cs="Arial"/>
          <w:i/>
        </w:rPr>
        <w:t xml:space="preserve">The Health of Nations: </w:t>
      </w:r>
      <w:proofErr w:type="gramStart"/>
      <w:r w:rsidRPr="00D97DA5">
        <w:rPr>
          <w:rFonts w:ascii="Arial" w:hAnsi="Arial" w:cs="Arial"/>
          <w:i/>
        </w:rPr>
        <w:t>The</w:t>
      </w:r>
      <w:proofErr w:type="gramEnd"/>
      <w:r w:rsidRPr="00D97DA5">
        <w:rPr>
          <w:rFonts w:ascii="Arial" w:hAnsi="Arial" w:cs="Arial"/>
          <w:i/>
        </w:rPr>
        <w:t xml:space="preserve"> Value of a Statistical Life</w:t>
      </w:r>
      <w:r w:rsidR="00881CDB" w:rsidRPr="00D97DA5">
        <w:rPr>
          <w:rFonts w:ascii="Arial" w:hAnsi="Arial" w:cs="Arial"/>
        </w:rPr>
        <w:t>,</w:t>
      </w:r>
      <w:r w:rsidRPr="00D97DA5">
        <w:rPr>
          <w:rFonts w:ascii="Arial" w:hAnsi="Arial" w:cs="Arial"/>
        </w:rPr>
        <w:t xml:space="preserve"> </w:t>
      </w:r>
      <w:r w:rsidR="00697254" w:rsidRPr="00D97DA5">
        <w:rPr>
          <w:rFonts w:ascii="Arial" w:hAnsi="Arial" w:cs="Arial"/>
        </w:rPr>
        <w:t>r</w:t>
      </w:r>
      <w:r w:rsidRPr="00D97DA5">
        <w:rPr>
          <w:rFonts w:ascii="Arial" w:hAnsi="Arial" w:cs="Arial"/>
        </w:rPr>
        <w:t>eport by Access Economics for Office of the Australian Safety and Compensation Council, Access Economics, 14 January 2008</w:t>
      </w:r>
      <w:r w:rsidR="00881CDB" w:rsidRPr="00D97DA5">
        <w:rPr>
          <w:rFonts w:ascii="Arial" w:hAnsi="Arial" w:cs="Arial"/>
        </w:rPr>
        <w:t>,</w:t>
      </w:r>
      <w:r w:rsidRPr="00D97DA5">
        <w:rPr>
          <w:rFonts w:ascii="Arial" w:hAnsi="Arial" w:cs="Arial"/>
        </w:rPr>
        <w:t xml:space="preserve"> </w:t>
      </w:r>
      <w:r w:rsidRPr="00D97DA5">
        <w:rPr>
          <w:rFonts w:ascii="Arial" w:hAnsi="Arial" w:cs="Arial"/>
          <w:color w:val="0070C0"/>
        </w:rPr>
        <w:t>www.accesseconomics.com.au/publicationsreports/getreport.php?report=156&amp;id=204</w:t>
      </w:r>
    </w:p>
    <w:p w:rsidR="00FE0361" w:rsidRPr="00D97DA5" w:rsidRDefault="003D0E88" w:rsidP="00FE0361">
      <w:pPr>
        <w:keepLines/>
        <w:ind w:right="-2"/>
        <w:rPr>
          <w:rFonts w:ascii="Arial" w:hAnsi="Arial" w:cs="Arial"/>
        </w:rPr>
      </w:pPr>
      <w:r w:rsidRPr="00D97DA5">
        <w:rPr>
          <w:rFonts w:ascii="Arial" w:hAnsi="Arial" w:cs="Arial"/>
        </w:rPr>
        <w:t>AQEG (2005</w:t>
      </w:r>
      <w:r w:rsidR="00FE0361" w:rsidRPr="00D97DA5">
        <w:rPr>
          <w:rFonts w:ascii="Arial" w:hAnsi="Arial" w:cs="Arial"/>
        </w:rPr>
        <w:t>),</w:t>
      </w:r>
      <w:r w:rsidRPr="00D97DA5">
        <w:rPr>
          <w:rFonts w:ascii="Arial" w:hAnsi="Arial" w:cs="Arial"/>
        </w:rPr>
        <w:t xml:space="preserve"> </w:t>
      </w:r>
      <w:r w:rsidRPr="00D97DA5">
        <w:rPr>
          <w:rFonts w:ascii="Arial" w:hAnsi="Arial" w:cs="Arial"/>
          <w:i/>
        </w:rPr>
        <w:t>Particulate matter in the United Kingdom</w:t>
      </w:r>
      <w:r w:rsidR="00881CDB" w:rsidRPr="00D97DA5">
        <w:rPr>
          <w:rFonts w:ascii="Arial" w:hAnsi="Arial" w:cs="Arial"/>
        </w:rPr>
        <w:t>,</w:t>
      </w:r>
      <w:r w:rsidRPr="00D97DA5">
        <w:rPr>
          <w:rFonts w:ascii="Arial" w:hAnsi="Arial" w:cs="Arial"/>
        </w:rPr>
        <w:t xml:space="preserve"> </w:t>
      </w:r>
      <w:r w:rsidR="00697254" w:rsidRPr="00D97DA5">
        <w:rPr>
          <w:rFonts w:ascii="Arial" w:hAnsi="Arial" w:cs="Arial"/>
        </w:rPr>
        <w:t>r</w:t>
      </w:r>
      <w:r w:rsidRPr="00D97DA5">
        <w:rPr>
          <w:rFonts w:ascii="Arial" w:hAnsi="Arial" w:cs="Arial"/>
        </w:rPr>
        <w:t xml:space="preserve">eport of the </w:t>
      </w:r>
      <w:r w:rsidR="008465EC" w:rsidRPr="00D97DA5">
        <w:rPr>
          <w:rFonts w:ascii="Arial" w:hAnsi="Arial" w:cs="Arial"/>
        </w:rPr>
        <w:t>A</w:t>
      </w:r>
      <w:r w:rsidRPr="00D97DA5">
        <w:rPr>
          <w:rFonts w:ascii="Arial" w:hAnsi="Arial" w:cs="Arial"/>
        </w:rPr>
        <w:t>ir</w:t>
      </w:r>
      <w:r w:rsidR="008465EC" w:rsidRPr="00D97DA5">
        <w:rPr>
          <w:rFonts w:ascii="Arial" w:hAnsi="Arial" w:cs="Arial"/>
        </w:rPr>
        <w:t xml:space="preserve"> Quality Expert G</w:t>
      </w:r>
      <w:r w:rsidRPr="00D97DA5">
        <w:rPr>
          <w:rFonts w:ascii="Arial" w:hAnsi="Arial" w:cs="Arial"/>
        </w:rPr>
        <w:t>roup</w:t>
      </w:r>
      <w:r w:rsidR="00881CDB" w:rsidRPr="00D97DA5">
        <w:rPr>
          <w:rFonts w:ascii="Arial" w:hAnsi="Arial" w:cs="Arial"/>
        </w:rPr>
        <w:t>,</w:t>
      </w:r>
      <w:r w:rsidRPr="00D97DA5">
        <w:rPr>
          <w:rFonts w:ascii="Arial" w:hAnsi="Arial" w:cs="Arial"/>
        </w:rPr>
        <w:t xml:space="preserve"> </w:t>
      </w:r>
      <w:r w:rsidR="0037616C" w:rsidRPr="00D97DA5">
        <w:rPr>
          <w:rFonts w:ascii="Arial" w:hAnsi="Arial" w:cs="Arial"/>
        </w:rPr>
        <w:t>p</w:t>
      </w:r>
      <w:r w:rsidR="008465EC" w:rsidRPr="00D97DA5">
        <w:rPr>
          <w:rFonts w:ascii="Arial" w:hAnsi="Arial" w:cs="Arial"/>
        </w:rPr>
        <w:t>ublished by the Department for Environment, Food and Rural Affairs, London, UK.</w:t>
      </w:r>
    </w:p>
    <w:p w:rsidR="00FE0361" w:rsidRPr="00D97DA5" w:rsidRDefault="006272D9" w:rsidP="00FE0361">
      <w:pPr>
        <w:keepLines/>
        <w:ind w:right="-2"/>
        <w:rPr>
          <w:rFonts w:ascii="Arial" w:hAnsi="Arial" w:cs="Arial"/>
        </w:rPr>
      </w:pPr>
      <w:r w:rsidRPr="00D97DA5">
        <w:rPr>
          <w:rFonts w:ascii="Arial" w:hAnsi="Arial" w:cs="Arial"/>
        </w:rPr>
        <w:t>AQEG (2012</w:t>
      </w:r>
      <w:r w:rsidR="00FE0361" w:rsidRPr="00D97DA5">
        <w:rPr>
          <w:rFonts w:ascii="Arial" w:hAnsi="Arial" w:cs="Arial"/>
        </w:rPr>
        <w:t>),</w:t>
      </w:r>
      <w:r w:rsidRPr="00D97DA5">
        <w:rPr>
          <w:rFonts w:ascii="Arial" w:hAnsi="Arial" w:cs="Arial"/>
        </w:rPr>
        <w:t xml:space="preserve"> </w:t>
      </w:r>
      <w:r w:rsidRPr="00D97DA5">
        <w:rPr>
          <w:rFonts w:ascii="Arial" w:hAnsi="Arial" w:cs="Arial"/>
          <w:i/>
        </w:rPr>
        <w:t>Fine Particulate Matter (PM</w:t>
      </w:r>
      <w:r w:rsidRPr="00D97DA5">
        <w:rPr>
          <w:rFonts w:ascii="Arial" w:hAnsi="Arial" w:cs="Arial"/>
          <w:i/>
          <w:vertAlign w:val="subscript"/>
        </w:rPr>
        <w:t>2.5</w:t>
      </w:r>
      <w:r w:rsidRPr="00D97DA5">
        <w:rPr>
          <w:rFonts w:ascii="Arial" w:hAnsi="Arial" w:cs="Arial"/>
          <w:i/>
        </w:rPr>
        <w:t>) in the U</w:t>
      </w:r>
      <w:r w:rsidR="008465EC" w:rsidRPr="00D97DA5">
        <w:rPr>
          <w:rFonts w:ascii="Arial" w:hAnsi="Arial" w:cs="Arial"/>
          <w:i/>
        </w:rPr>
        <w:t>nited Kingdom</w:t>
      </w:r>
      <w:r w:rsidR="00881CDB" w:rsidRPr="00D97DA5">
        <w:rPr>
          <w:rFonts w:ascii="Arial" w:hAnsi="Arial" w:cs="Arial"/>
        </w:rPr>
        <w:t>,</w:t>
      </w:r>
      <w:r w:rsidR="008465EC" w:rsidRPr="00D97DA5">
        <w:rPr>
          <w:rFonts w:ascii="Arial" w:hAnsi="Arial" w:cs="Arial"/>
        </w:rPr>
        <w:t xml:space="preserve"> </w:t>
      </w:r>
      <w:r w:rsidR="00697254" w:rsidRPr="00D97DA5">
        <w:rPr>
          <w:rFonts w:ascii="Arial" w:hAnsi="Arial" w:cs="Arial"/>
        </w:rPr>
        <w:t>r</w:t>
      </w:r>
      <w:r w:rsidR="008465EC" w:rsidRPr="00D97DA5">
        <w:rPr>
          <w:rFonts w:ascii="Arial" w:hAnsi="Arial" w:cs="Arial"/>
        </w:rPr>
        <w:t xml:space="preserve">eport of the </w:t>
      </w:r>
      <w:r w:rsidRPr="00D97DA5">
        <w:rPr>
          <w:rFonts w:ascii="Arial" w:hAnsi="Arial" w:cs="Arial"/>
        </w:rPr>
        <w:t>Air Quality Expert Group</w:t>
      </w:r>
      <w:r w:rsidR="00881CDB" w:rsidRPr="00D97DA5">
        <w:rPr>
          <w:rFonts w:ascii="Arial" w:hAnsi="Arial" w:cs="Arial"/>
        </w:rPr>
        <w:t>,</w:t>
      </w:r>
      <w:r w:rsidRPr="00D97DA5">
        <w:rPr>
          <w:rFonts w:ascii="Arial" w:hAnsi="Arial" w:cs="Arial"/>
        </w:rPr>
        <w:t xml:space="preserve"> </w:t>
      </w:r>
      <w:r w:rsidR="0037616C" w:rsidRPr="00D97DA5">
        <w:rPr>
          <w:rFonts w:ascii="Arial" w:hAnsi="Arial" w:cs="Arial"/>
        </w:rPr>
        <w:t>p</w:t>
      </w:r>
      <w:r w:rsidRPr="00D97DA5">
        <w:rPr>
          <w:rFonts w:ascii="Arial" w:hAnsi="Arial" w:cs="Arial"/>
        </w:rPr>
        <w:t>ublished by the Department for Environment, Food and Rural Affairs</w:t>
      </w:r>
      <w:r w:rsidR="008465EC" w:rsidRPr="00D97DA5">
        <w:rPr>
          <w:rFonts w:ascii="Arial" w:hAnsi="Arial" w:cs="Arial"/>
        </w:rPr>
        <w:t>, London, UK</w:t>
      </w:r>
      <w:r w:rsidRPr="00D97DA5">
        <w:rPr>
          <w:rFonts w:ascii="Arial" w:hAnsi="Arial" w:cs="Arial"/>
        </w:rPr>
        <w:t>.</w:t>
      </w:r>
    </w:p>
    <w:p w:rsidR="00FE0361" w:rsidRPr="00D97DA5" w:rsidRDefault="00902A18" w:rsidP="00FE0361">
      <w:pPr>
        <w:keepLines/>
        <w:rPr>
          <w:rFonts w:ascii="Arial" w:hAnsi="Arial" w:cs="Arial"/>
        </w:rPr>
      </w:pPr>
      <w:r w:rsidRPr="00D97DA5">
        <w:rPr>
          <w:rFonts w:ascii="Arial" w:hAnsi="Arial" w:cs="Arial"/>
        </w:rPr>
        <w:t>ANSTO (2008</w:t>
      </w:r>
      <w:r w:rsidR="00FE0361" w:rsidRPr="00D97DA5">
        <w:rPr>
          <w:rFonts w:ascii="Arial" w:hAnsi="Arial" w:cs="Arial"/>
        </w:rPr>
        <w:t>),</w:t>
      </w:r>
      <w:r w:rsidRPr="00D97DA5">
        <w:rPr>
          <w:rFonts w:ascii="Arial" w:hAnsi="Arial" w:cs="Arial"/>
        </w:rPr>
        <w:t xml:space="preserve"> </w:t>
      </w:r>
      <w:r w:rsidRPr="00D97DA5">
        <w:rPr>
          <w:rFonts w:ascii="Arial" w:hAnsi="Arial" w:cs="Arial"/>
          <w:i/>
        </w:rPr>
        <w:t>Fine Particle Aerosol Sampling Newsletter</w:t>
      </w:r>
      <w:r w:rsidRPr="00D97DA5">
        <w:rPr>
          <w:rFonts w:ascii="Arial" w:hAnsi="Arial" w:cs="Arial"/>
        </w:rPr>
        <w:t>, Number 38, July 2008</w:t>
      </w:r>
      <w:r w:rsidR="00881CDB" w:rsidRPr="00D97DA5">
        <w:rPr>
          <w:rFonts w:ascii="Arial" w:hAnsi="Arial" w:cs="Arial"/>
        </w:rPr>
        <w:t>,</w:t>
      </w:r>
      <w:r w:rsidRPr="00D97DA5">
        <w:rPr>
          <w:rFonts w:ascii="Arial" w:hAnsi="Arial" w:cs="Arial"/>
        </w:rPr>
        <w:t xml:space="preserve"> </w:t>
      </w:r>
      <w:r w:rsidR="0037616C" w:rsidRPr="00D97DA5">
        <w:rPr>
          <w:rFonts w:ascii="Arial" w:hAnsi="Arial" w:cs="Arial"/>
        </w:rPr>
        <w:t xml:space="preserve">Australian Nuclear Science and Technology Organisation, Lucas Heights, NSW </w:t>
      </w:r>
      <w:hyperlink r:id="rId135" w:history="1">
        <w:r w:rsidR="00F73565" w:rsidRPr="00D97DA5">
          <w:rPr>
            <w:rFonts w:ascii="Arial" w:hAnsi="Arial" w:cs="Arial"/>
            <w:color w:val="0070C0"/>
          </w:rPr>
          <w:t>www.ansto.gov.au/__data/assets/pdf_file/0019/39313/Newsletter38.pdf</w:t>
        </w:r>
      </w:hyperlink>
    </w:p>
    <w:p w:rsidR="00FE0361" w:rsidRPr="00D97DA5" w:rsidRDefault="00902A18" w:rsidP="00FE0361">
      <w:pPr>
        <w:keepLines/>
        <w:rPr>
          <w:rFonts w:ascii="Arial" w:hAnsi="Arial" w:cs="Arial"/>
        </w:rPr>
      </w:pPr>
      <w:r w:rsidRPr="00D97DA5">
        <w:rPr>
          <w:rFonts w:ascii="Arial" w:hAnsi="Arial" w:cs="Arial"/>
        </w:rPr>
        <w:t>ANSTO (2010</w:t>
      </w:r>
      <w:r w:rsidR="00FE0361" w:rsidRPr="00D97DA5">
        <w:rPr>
          <w:rFonts w:ascii="Arial" w:hAnsi="Arial" w:cs="Arial"/>
        </w:rPr>
        <w:t>),</w:t>
      </w:r>
      <w:r w:rsidRPr="00D97DA5">
        <w:rPr>
          <w:rFonts w:ascii="Arial" w:hAnsi="Arial" w:cs="Arial"/>
        </w:rPr>
        <w:t xml:space="preserve"> </w:t>
      </w:r>
      <w:r w:rsidRPr="00D97DA5">
        <w:rPr>
          <w:rFonts w:ascii="Arial" w:hAnsi="Arial" w:cs="Arial"/>
          <w:i/>
        </w:rPr>
        <w:t>Fine Particle Aerosol Sampling Newsletter</w:t>
      </w:r>
      <w:r w:rsidRPr="00D97DA5">
        <w:rPr>
          <w:rFonts w:ascii="Arial" w:hAnsi="Arial" w:cs="Arial"/>
        </w:rPr>
        <w:t>, Number 40, May 2010</w:t>
      </w:r>
      <w:r w:rsidR="00881CDB" w:rsidRPr="00D97DA5">
        <w:rPr>
          <w:rFonts w:ascii="Arial" w:hAnsi="Arial" w:cs="Arial"/>
        </w:rPr>
        <w:t>,</w:t>
      </w:r>
      <w:r w:rsidR="0037616C" w:rsidRPr="00D97DA5">
        <w:rPr>
          <w:rFonts w:ascii="Arial" w:hAnsi="Arial" w:cs="Arial"/>
        </w:rPr>
        <w:t xml:space="preserve"> Australian Nuclear Science and Technology Organisation, Lucas Heights, NSW</w:t>
      </w:r>
      <w:r w:rsidRPr="00D97DA5">
        <w:rPr>
          <w:rFonts w:ascii="Arial" w:hAnsi="Arial" w:cs="Arial"/>
        </w:rPr>
        <w:t xml:space="preserve"> </w:t>
      </w:r>
      <w:hyperlink r:id="rId136" w:history="1">
        <w:r w:rsidR="00F73565" w:rsidRPr="00D97DA5">
          <w:rPr>
            <w:rFonts w:ascii="Arial" w:hAnsi="Arial" w:cs="Arial"/>
            <w:color w:val="0070C0"/>
          </w:rPr>
          <w:t>www.ansto.gov.au/__data/assets/pdf_file/0018/47133/Newsletter40.pdf</w:t>
        </w:r>
      </w:hyperlink>
    </w:p>
    <w:p w:rsidR="00837E20" w:rsidRPr="00D97DA5" w:rsidRDefault="00837E20" w:rsidP="00FE0361">
      <w:pPr>
        <w:keepLines/>
        <w:rPr>
          <w:rFonts w:ascii="Arial" w:hAnsi="Arial" w:cs="Arial"/>
        </w:rPr>
      </w:pPr>
      <w:r w:rsidRPr="00D97DA5">
        <w:rPr>
          <w:rFonts w:ascii="Arial" w:hAnsi="Arial" w:cs="Arial"/>
        </w:rPr>
        <w:t>Aust</w:t>
      </w:r>
      <w:r w:rsidR="0037616C" w:rsidRPr="00D97DA5">
        <w:rPr>
          <w:rFonts w:ascii="Arial" w:hAnsi="Arial" w:cs="Arial"/>
        </w:rPr>
        <w:t>,</w:t>
      </w:r>
      <w:r w:rsidRPr="00D97DA5">
        <w:rPr>
          <w:rFonts w:ascii="Arial" w:hAnsi="Arial" w:cs="Arial"/>
        </w:rPr>
        <w:t xml:space="preserve"> N, </w:t>
      </w:r>
      <w:proofErr w:type="spellStart"/>
      <w:r w:rsidRPr="00D97DA5">
        <w:rPr>
          <w:rFonts w:ascii="Arial" w:hAnsi="Arial" w:cs="Arial"/>
        </w:rPr>
        <w:t>Watkiss</w:t>
      </w:r>
      <w:proofErr w:type="spellEnd"/>
      <w:r w:rsidR="0037616C" w:rsidRPr="00D97DA5">
        <w:rPr>
          <w:rFonts w:ascii="Arial" w:hAnsi="Arial" w:cs="Arial"/>
        </w:rPr>
        <w:t>,</w:t>
      </w:r>
      <w:r w:rsidRPr="00D97DA5">
        <w:rPr>
          <w:rFonts w:ascii="Arial" w:hAnsi="Arial" w:cs="Arial"/>
        </w:rPr>
        <w:t xml:space="preserve"> P, Boulter</w:t>
      </w:r>
      <w:r w:rsidR="0037616C" w:rsidRPr="00D97DA5">
        <w:rPr>
          <w:rFonts w:ascii="Arial" w:hAnsi="Arial" w:cs="Arial"/>
        </w:rPr>
        <w:t>,</w:t>
      </w:r>
      <w:r w:rsidRPr="00D97DA5">
        <w:rPr>
          <w:rFonts w:ascii="Arial" w:hAnsi="Arial" w:cs="Arial"/>
        </w:rPr>
        <w:t xml:space="preserve"> P and </w:t>
      </w:r>
      <w:proofErr w:type="spellStart"/>
      <w:r w:rsidRPr="00D97DA5">
        <w:rPr>
          <w:rFonts w:ascii="Arial" w:hAnsi="Arial" w:cs="Arial"/>
        </w:rPr>
        <w:t>Bawden</w:t>
      </w:r>
      <w:proofErr w:type="spellEnd"/>
      <w:r w:rsidR="0037616C" w:rsidRPr="00D97DA5">
        <w:rPr>
          <w:rFonts w:ascii="Arial" w:hAnsi="Arial" w:cs="Arial"/>
        </w:rPr>
        <w:t>,</w:t>
      </w:r>
      <w:r w:rsidRPr="00D97DA5">
        <w:rPr>
          <w:rFonts w:ascii="Arial" w:hAnsi="Arial" w:cs="Arial"/>
        </w:rPr>
        <w:t xml:space="preserve"> K (2013</w:t>
      </w:r>
      <w:r w:rsidR="00FE0361" w:rsidRPr="00D97DA5">
        <w:rPr>
          <w:rFonts w:ascii="Arial" w:hAnsi="Arial" w:cs="Arial"/>
        </w:rPr>
        <w:t>),</w:t>
      </w:r>
      <w:r w:rsidRPr="00D97DA5">
        <w:rPr>
          <w:rFonts w:ascii="Arial" w:hAnsi="Arial" w:cs="Arial"/>
        </w:rPr>
        <w:t xml:space="preserve"> </w:t>
      </w:r>
      <w:r w:rsidRPr="00D97DA5">
        <w:rPr>
          <w:rFonts w:ascii="Arial" w:hAnsi="Arial" w:cs="Arial"/>
          <w:i/>
        </w:rPr>
        <w:t>Methodology for valuing the health impacts of changes in particle emissions – Final Report</w:t>
      </w:r>
      <w:r w:rsidR="00881CDB" w:rsidRPr="00D97DA5">
        <w:rPr>
          <w:rFonts w:ascii="Arial" w:hAnsi="Arial" w:cs="Arial"/>
        </w:rPr>
        <w:t>,</w:t>
      </w:r>
      <w:r w:rsidRPr="00D97DA5">
        <w:rPr>
          <w:rFonts w:ascii="Arial" w:hAnsi="Arial" w:cs="Arial"/>
        </w:rPr>
        <w:t xml:space="preserve"> </w:t>
      </w:r>
      <w:proofErr w:type="spellStart"/>
      <w:r w:rsidRPr="00D97DA5">
        <w:rPr>
          <w:rFonts w:ascii="Arial" w:hAnsi="Arial" w:cs="Arial"/>
        </w:rPr>
        <w:t>PAEHolmes</w:t>
      </w:r>
      <w:proofErr w:type="spellEnd"/>
      <w:r w:rsidRPr="00D97DA5">
        <w:rPr>
          <w:rFonts w:ascii="Arial" w:hAnsi="Arial" w:cs="Arial"/>
        </w:rPr>
        <w:t xml:space="preserve"> Report 6695</w:t>
      </w:r>
      <w:r w:rsidR="0037616C" w:rsidRPr="00D97DA5">
        <w:rPr>
          <w:rFonts w:ascii="Arial" w:hAnsi="Arial" w:cs="Arial"/>
        </w:rPr>
        <w:t xml:space="preserve">, </w:t>
      </w:r>
      <w:proofErr w:type="spellStart"/>
      <w:r w:rsidR="0037616C" w:rsidRPr="00D97DA5">
        <w:rPr>
          <w:rFonts w:ascii="Arial" w:hAnsi="Arial" w:cs="Arial"/>
        </w:rPr>
        <w:t>PAEHolmes</w:t>
      </w:r>
      <w:proofErr w:type="spellEnd"/>
      <w:r w:rsidR="0037616C" w:rsidRPr="00D97DA5">
        <w:rPr>
          <w:rFonts w:ascii="Arial" w:hAnsi="Arial" w:cs="Arial"/>
        </w:rPr>
        <w:t>, Brisbane, QLD</w:t>
      </w:r>
      <w:r w:rsidRPr="00D97DA5">
        <w:rPr>
          <w:rFonts w:ascii="Arial" w:hAnsi="Arial" w:cs="Arial"/>
        </w:rPr>
        <w:t>.</w:t>
      </w:r>
    </w:p>
    <w:p w:rsidR="00FE0361" w:rsidRPr="00D97DA5" w:rsidRDefault="003C450D" w:rsidP="00FE0361">
      <w:pPr>
        <w:keepLines/>
        <w:rPr>
          <w:rFonts w:ascii="Arial" w:hAnsi="Arial" w:cs="Arial"/>
        </w:rPr>
      </w:pPr>
      <w:proofErr w:type="spellStart"/>
      <w:r w:rsidRPr="00D97DA5">
        <w:rPr>
          <w:rFonts w:ascii="Arial" w:hAnsi="Arial" w:cs="Arial"/>
        </w:rPr>
        <w:t>Bawden</w:t>
      </w:r>
      <w:proofErr w:type="spellEnd"/>
      <w:r w:rsidR="0037616C" w:rsidRPr="00D97DA5">
        <w:rPr>
          <w:rFonts w:ascii="Arial" w:hAnsi="Arial" w:cs="Arial"/>
        </w:rPr>
        <w:t>,</w:t>
      </w:r>
      <w:r w:rsidRPr="00D97DA5">
        <w:rPr>
          <w:rFonts w:ascii="Arial" w:hAnsi="Arial" w:cs="Arial"/>
        </w:rPr>
        <w:t xml:space="preserve"> K, Aust</w:t>
      </w:r>
      <w:r w:rsidR="0037616C" w:rsidRPr="00D97DA5">
        <w:rPr>
          <w:rFonts w:ascii="Arial" w:hAnsi="Arial" w:cs="Arial"/>
        </w:rPr>
        <w:t>,</w:t>
      </w:r>
      <w:r w:rsidRPr="00D97DA5">
        <w:rPr>
          <w:rFonts w:ascii="Arial" w:hAnsi="Arial" w:cs="Arial"/>
        </w:rPr>
        <w:t xml:space="preserve"> N, Moorcroft</w:t>
      </w:r>
      <w:r w:rsidR="0037616C" w:rsidRPr="00D97DA5">
        <w:rPr>
          <w:rFonts w:ascii="Arial" w:hAnsi="Arial" w:cs="Arial"/>
        </w:rPr>
        <w:t>,</w:t>
      </w:r>
      <w:r w:rsidRPr="00D97DA5">
        <w:rPr>
          <w:rFonts w:ascii="Arial" w:hAnsi="Arial" w:cs="Arial"/>
        </w:rPr>
        <w:t xml:space="preserve"> S, </w:t>
      </w:r>
      <w:proofErr w:type="spellStart"/>
      <w:r w:rsidRPr="00D97DA5">
        <w:rPr>
          <w:rFonts w:ascii="Arial" w:hAnsi="Arial" w:cs="Arial"/>
        </w:rPr>
        <w:t>Laxen</w:t>
      </w:r>
      <w:proofErr w:type="spellEnd"/>
      <w:r w:rsidR="0037616C" w:rsidRPr="00D97DA5">
        <w:rPr>
          <w:rFonts w:ascii="Arial" w:hAnsi="Arial" w:cs="Arial"/>
        </w:rPr>
        <w:t>,</w:t>
      </w:r>
      <w:r w:rsidRPr="00D97DA5">
        <w:rPr>
          <w:rFonts w:ascii="Arial" w:hAnsi="Arial" w:cs="Arial"/>
        </w:rPr>
        <w:t xml:space="preserve"> D and Williams</w:t>
      </w:r>
      <w:r w:rsidR="0037616C" w:rsidRPr="00D97DA5">
        <w:rPr>
          <w:rFonts w:ascii="Arial" w:hAnsi="Arial" w:cs="Arial"/>
        </w:rPr>
        <w:t>,</w:t>
      </w:r>
      <w:r w:rsidRPr="00D97DA5">
        <w:rPr>
          <w:rFonts w:ascii="Arial" w:hAnsi="Arial" w:cs="Arial"/>
        </w:rPr>
        <w:t xml:space="preserve"> M (2012</w:t>
      </w:r>
      <w:r w:rsidR="00FE0361" w:rsidRPr="00D97DA5">
        <w:rPr>
          <w:rFonts w:ascii="Arial" w:hAnsi="Arial" w:cs="Arial"/>
        </w:rPr>
        <w:t>),</w:t>
      </w:r>
      <w:r w:rsidRPr="00D97DA5">
        <w:rPr>
          <w:rFonts w:ascii="Arial" w:hAnsi="Arial" w:cs="Arial"/>
        </w:rPr>
        <w:t xml:space="preserve"> </w:t>
      </w:r>
      <w:r w:rsidRPr="00D97DA5">
        <w:rPr>
          <w:rFonts w:ascii="Arial" w:hAnsi="Arial" w:cs="Arial"/>
          <w:i/>
        </w:rPr>
        <w:t>Evaluating Options for an Exposure Reduction Framework in Australia</w:t>
      </w:r>
      <w:r w:rsidR="00881CDB" w:rsidRPr="00D97DA5">
        <w:rPr>
          <w:rFonts w:ascii="Arial" w:hAnsi="Arial" w:cs="Arial"/>
        </w:rPr>
        <w:t>,</w:t>
      </w:r>
      <w:r w:rsidRPr="00D97DA5">
        <w:rPr>
          <w:rFonts w:ascii="Arial" w:hAnsi="Arial" w:cs="Arial"/>
        </w:rPr>
        <w:t xml:space="preserve"> </w:t>
      </w:r>
      <w:proofErr w:type="spellStart"/>
      <w:r w:rsidRPr="00D97DA5">
        <w:rPr>
          <w:rFonts w:ascii="Arial" w:hAnsi="Arial" w:cs="Arial"/>
        </w:rPr>
        <w:t>PAEHolmes</w:t>
      </w:r>
      <w:proofErr w:type="spellEnd"/>
      <w:r w:rsidRPr="00D97DA5">
        <w:rPr>
          <w:rFonts w:ascii="Arial" w:hAnsi="Arial" w:cs="Arial"/>
        </w:rPr>
        <w:t xml:space="preserve"> Report 6808</w:t>
      </w:r>
      <w:r w:rsidR="00881CDB" w:rsidRPr="00D97DA5">
        <w:rPr>
          <w:rFonts w:ascii="Arial" w:hAnsi="Arial" w:cs="Arial"/>
        </w:rPr>
        <w:t>,</w:t>
      </w:r>
      <w:r w:rsidRPr="00D97DA5">
        <w:rPr>
          <w:rFonts w:ascii="Arial" w:hAnsi="Arial" w:cs="Arial"/>
        </w:rPr>
        <w:t xml:space="preserve"> </w:t>
      </w:r>
      <w:proofErr w:type="spellStart"/>
      <w:r w:rsidRPr="00D97DA5">
        <w:rPr>
          <w:rFonts w:ascii="Arial" w:hAnsi="Arial" w:cs="Arial"/>
        </w:rPr>
        <w:t>PAEHolmes</w:t>
      </w:r>
      <w:proofErr w:type="spellEnd"/>
      <w:r w:rsidRPr="00D97DA5">
        <w:rPr>
          <w:rFonts w:ascii="Arial" w:hAnsi="Arial" w:cs="Arial"/>
        </w:rPr>
        <w:t>, Brisbane</w:t>
      </w:r>
      <w:r w:rsidR="0037616C" w:rsidRPr="00D97DA5">
        <w:rPr>
          <w:rFonts w:ascii="Arial" w:hAnsi="Arial" w:cs="Arial"/>
        </w:rPr>
        <w:t>, QLD</w:t>
      </w:r>
      <w:r w:rsidRPr="00D97DA5">
        <w:rPr>
          <w:rFonts w:ascii="Arial" w:hAnsi="Arial" w:cs="Arial"/>
        </w:rPr>
        <w:t>.</w:t>
      </w:r>
    </w:p>
    <w:p w:rsidR="00FE0361" w:rsidRPr="00D97DA5" w:rsidRDefault="008F438C" w:rsidP="00FE0361">
      <w:pPr>
        <w:keepLines/>
        <w:rPr>
          <w:rFonts w:ascii="Arial" w:hAnsi="Arial" w:cs="Arial"/>
        </w:rPr>
      </w:pPr>
      <w:r w:rsidRPr="00D97DA5">
        <w:rPr>
          <w:rFonts w:ascii="Arial" w:hAnsi="Arial" w:cs="Arial"/>
        </w:rPr>
        <w:t>BDA Group (2013</w:t>
      </w:r>
      <w:r w:rsidR="00FE0361" w:rsidRPr="00D97DA5">
        <w:rPr>
          <w:rFonts w:ascii="Arial" w:hAnsi="Arial" w:cs="Arial"/>
        </w:rPr>
        <w:t>),</w:t>
      </w:r>
      <w:r w:rsidRPr="00D97DA5">
        <w:rPr>
          <w:rFonts w:ascii="Arial" w:hAnsi="Arial" w:cs="Arial"/>
        </w:rPr>
        <w:t xml:space="preserve"> </w:t>
      </w:r>
      <w:r w:rsidRPr="00D97DA5">
        <w:rPr>
          <w:rFonts w:ascii="Arial" w:hAnsi="Arial" w:cs="Arial"/>
          <w:i/>
        </w:rPr>
        <w:t>Consultation regulation impact statement for reducing emissions from wood heaters</w:t>
      </w:r>
      <w:r w:rsidR="00881CDB" w:rsidRPr="00D97DA5">
        <w:rPr>
          <w:rFonts w:ascii="Arial" w:hAnsi="Arial" w:cs="Arial"/>
        </w:rPr>
        <w:t>,</w:t>
      </w:r>
      <w:r w:rsidRPr="00D97DA5">
        <w:rPr>
          <w:rFonts w:ascii="Arial" w:hAnsi="Arial" w:cs="Arial"/>
        </w:rPr>
        <w:t xml:space="preserve"> </w:t>
      </w:r>
      <w:r w:rsidR="00697254" w:rsidRPr="00D97DA5">
        <w:rPr>
          <w:rFonts w:ascii="Arial" w:hAnsi="Arial" w:cs="Arial"/>
        </w:rPr>
        <w:t>r</w:t>
      </w:r>
      <w:r w:rsidRPr="00D97DA5">
        <w:rPr>
          <w:rFonts w:ascii="Arial" w:hAnsi="Arial" w:cs="Arial"/>
        </w:rPr>
        <w:t>eport for National Environment Protection Council Service Corporation, 11 April 2013</w:t>
      </w:r>
      <w:r w:rsidR="00881CDB" w:rsidRPr="00D97DA5">
        <w:rPr>
          <w:rFonts w:ascii="Arial" w:hAnsi="Arial" w:cs="Arial"/>
        </w:rPr>
        <w:t>,</w:t>
      </w:r>
      <w:r w:rsidRPr="00D97DA5">
        <w:rPr>
          <w:rFonts w:ascii="Arial" w:hAnsi="Arial" w:cs="Arial"/>
        </w:rPr>
        <w:t xml:space="preserve"> BDA Group, Manuka, </w:t>
      </w:r>
      <w:proofErr w:type="gramStart"/>
      <w:r w:rsidRPr="00D97DA5">
        <w:rPr>
          <w:rFonts w:ascii="Arial" w:hAnsi="Arial" w:cs="Arial"/>
        </w:rPr>
        <w:t>ACT</w:t>
      </w:r>
      <w:proofErr w:type="gramEnd"/>
      <w:r w:rsidRPr="00D97DA5">
        <w:rPr>
          <w:rFonts w:ascii="Arial" w:hAnsi="Arial" w:cs="Arial"/>
        </w:rPr>
        <w:t>.</w:t>
      </w:r>
    </w:p>
    <w:p w:rsidR="00FE0361" w:rsidRPr="00D97DA5" w:rsidRDefault="00220CD9" w:rsidP="00FE0361">
      <w:pPr>
        <w:keepLines/>
        <w:rPr>
          <w:rFonts w:ascii="Arial" w:hAnsi="Arial" w:cs="Arial"/>
          <w:color w:val="0070C0"/>
        </w:rPr>
      </w:pPr>
      <w:proofErr w:type="spellStart"/>
      <w:r w:rsidRPr="00D97DA5">
        <w:rPr>
          <w:rFonts w:ascii="Arial" w:hAnsi="Arial" w:cs="Arial"/>
        </w:rPr>
        <w:t>Begg</w:t>
      </w:r>
      <w:proofErr w:type="spellEnd"/>
      <w:r w:rsidR="0037616C" w:rsidRPr="00D97DA5">
        <w:rPr>
          <w:rFonts w:ascii="Arial" w:hAnsi="Arial" w:cs="Arial"/>
        </w:rPr>
        <w:t>,</w:t>
      </w:r>
      <w:r w:rsidRPr="00D97DA5">
        <w:rPr>
          <w:rFonts w:ascii="Arial" w:hAnsi="Arial" w:cs="Arial"/>
        </w:rPr>
        <w:t xml:space="preserve"> S, </w:t>
      </w:r>
      <w:proofErr w:type="spellStart"/>
      <w:r w:rsidRPr="00D97DA5">
        <w:rPr>
          <w:rFonts w:ascii="Arial" w:hAnsi="Arial" w:cs="Arial"/>
        </w:rPr>
        <w:t>Vos</w:t>
      </w:r>
      <w:proofErr w:type="spellEnd"/>
      <w:r w:rsidR="0037616C" w:rsidRPr="00D97DA5">
        <w:rPr>
          <w:rFonts w:ascii="Arial" w:hAnsi="Arial" w:cs="Arial"/>
        </w:rPr>
        <w:t>,</w:t>
      </w:r>
      <w:r w:rsidRPr="00D97DA5">
        <w:rPr>
          <w:rFonts w:ascii="Arial" w:hAnsi="Arial" w:cs="Arial"/>
        </w:rPr>
        <w:t xml:space="preserve"> T, Barker</w:t>
      </w:r>
      <w:r w:rsidR="0037616C" w:rsidRPr="00D97DA5">
        <w:rPr>
          <w:rFonts w:ascii="Arial" w:hAnsi="Arial" w:cs="Arial"/>
        </w:rPr>
        <w:t>,</w:t>
      </w:r>
      <w:r w:rsidRPr="00D97DA5">
        <w:rPr>
          <w:rFonts w:ascii="Arial" w:hAnsi="Arial" w:cs="Arial"/>
        </w:rPr>
        <w:t xml:space="preserve"> B, Stevenson</w:t>
      </w:r>
      <w:r w:rsidR="0037616C" w:rsidRPr="00D97DA5">
        <w:rPr>
          <w:rFonts w:ascii="Arial" w:hAnsi="Arial" w:cs="Arial"/>
        </w:rPr>
        <w:t>,</w:t>
      </w:r>
      <w:r w:rsidRPr="00D97DA5">
        <w:rPr>
          <w:rFonts w:ascii="Arial" w:hAnsi="Arial" w:cs="Arial"/>
        </w:rPr>
        <w:t xml:space="preserve"> C, Stanley</w:t>
      </w:r>
      <w:r w:rsidR="0037616C" w:rsidRPr="00D97DA5">
        <w:rPr>
          <w:rFonts w:ascii="Arial" w:hAnsi="Arial" w:cs="Arial"/>
        </w:rPr>
        <w:t>,</w:t>
      </w:r>
      <w:r w:rsidRPr="00D97DA5">
        <w:rPr>
          <w:rFonts w:ascii="Arial" w:hAnsi="Arial" w:cs="Arial"/>
        </w:rPr>
        <w:t xml:space="preserve"> L and Lopez</w:t>
      </w:r>
      <w:r w:rsidR="0037616C" w:rsidRPr="00D97DA5">
        <w:rPr>
          <w:rFonts w:ascii="Arial" w:hAnsi="Arial" w:cs="Arial"/>
        </w:rPr>
        <w:t>,</w:t>
      </w:r>
      <w:r w:rsidRPr="00D97DA5">
        <w:rPr>
          <w:rFonts w:ascii="Arial" w:hAnsi="Arial" w:cs="Arial"/>
        </w:rPr>
        <w:t xml:space="preserve"> AD (2007</w:t>
      </w:r>
      <w:r w:rsidR="00FE0361" w:rsidRPr="00D97DA5">
        <w:rPr>
          <w:rFonts w:ascii="Arial" w:hAnsi="Arial" w:cs="Arial"/>
        </w:rPr>
        <w:t>),</w:t>
      </w:r>
      <w:r w:rsidRPr="00D97DA5">
        <w:rPr>
          <w:rFonts w:ascii="Arial" w:hAnsi="Arial" w:cs="Arial"/>
        </w:rPr>
        <w:t xml:space="preserve"> </w:t>
      </w:r>
      <w:r w:rsidRPr="00D97DA5">
        <w:rPr>
          <w:rFonts w:ascii="Arial" w:hAnsi="Arial" w:cs="Arial"/>
          <w:i/>
        </w:rPr>
        <w:t>The burden of disease and injury in Australia 2003</w:t>
      </w:r>
      <w:r w:rsidR="00881CDB" w:rsidRPr="00D97DA5">
        <w:rPr>
          <w:rFonts w:ascii="Arial" w:hAnsi="Arial" w:cs="Arial"/>
        </w:rPr>
        <w:t>,</w:t>
      </w:r>
      <w:r w:rsidRPr="00D97DA5">
        <w:rPr>
          <w:rFonts w:ascii="Arial" w:hAnsi="Arial" w:cs="Arial"/>
        </w:rPr>
        <w:t xml:space="preserve"> PHE 82</w:t>
      </w:r>
      <w:r w:rsidR="00881CDB" w:rsidRPr="00D97DA5">
        <w:rPr>
          <w:rFonts w:ascii="Arial" w:hAnsi="Arial" w:cs="Arial"/>
        </w:rPr>
        <w:t>,</w:t>
      </w:r>
      <w:r w:rsidRPr="00D97DA5">
        <w:rPr>
          <w:rFonts w:ascii="Arial" w:hAnsi="Arial" w:cs="Arial"/>
        </w:rPr>
        <w:t xml:space="preserve"> Australian Institute of Health and Welfare (AIHW), Canberra</w:t>
      </w:r>
      <w:r w:rsidR="00881CDB" w:rsidRPr="00D97DA5">
        <w:rPr>
          <w:rFonts w:ascii="Arial" w:hAnsi="Arial" w:cs="Arial"/>
        </w:rPr>
        <w:t>,</w:t>
      </w:r>
      <w:r w:rsidR="00FE0361" w:rsidRPr="00D97DA5">
        <w:rPr>
          <w:rFonts w:ascii="Arial" w:hAnsi="Arial" w:cs="Arial"/>
        </w:rPr>
        <w:t xml:space="preserve"> </w:t>
      </w:r>
      <w:r w:rsidR="0037616C" w:rsidRPr="00D97DA5">
        <w:rPr>
          <w:rFonts w:ascii="Arial" w:hAnsi="Arial" w:cs="Arial"/>
        </w:rPr>
        <w:t xml:space="preserve">ACT, </w:t>
      </w:r>
      <w:r w:rsidRPr="00D97DA5">
        <w:rPr>
          <w:rFonts w:ascii="Arial" w:hAnsi="Arial" w:cs="Arial"/>
          <w:color w:val="0070C0"/>
        </w:rPr>
        <w:t>www.aihw.gov.au/publications/hwe/bodaiia03/bodaiia03.pdf</w:t>
      </w:r>
    </w:p>
    <w:p w:rsidR="00FE0361" w:rsidRPr="00D97DA5" w:rsidRDefault="00BD1830" w:rsidP="00FE0361">
      <w:pPr>
        <w:keepLines/>
        <w:rPr>
          <w:rFonts w:ascii="Arial" w:hAnsi="Arial" w:cs="Arial"/>
        </w:rPr>
      </w:pPr>
      <w:r w:rsidRPr="00D97DA5">
        <w:rPr>
          <w:rFonts w:ascii="Arial" w:hAnsi="Arial" w:cs="Arial"/>
        </w:rPr>
        <w:t>Bell</w:t>
      </w:r>
      <w:r w:rsidR="0037616C" w:rsidRPr="00D97DA5">
        <w:rPr>
          <w:rFonts w:ascii="Arial" w:hAnsi="Arial" w:cs="Arial"/>
        </w:rPr>
        <w:t>,</w:t>
      </w:r>
      <w:r w:rsidRPr="00D97DA5">
        <w:rPr>
          <w:rFonts w:ascii="Arial" w:hAnsi="Arial" w:cs="Arial"/>
        </w:rPr>
        <w:t xml:space="preserve"> ML (2012</w:t>
      </w:r>
      <w:r w:rsidR="00FE0361" w:rsidRPr="00D97DA5">
        <w:rPr>
          <w:rFonts w:ascii="Arial" w:hAnsi="Arial" w:cs="Arial"/>
        </w:rPr>
        <w:t>),</w:t>
      </w:r>
      <w:r w:rsidRPr="00D97DA5">
        <w:rPr>
          <w:rFonts w:ascii="Arial" w:hAnsi="Arial" w:cs="Arial"/>
        </w:rPr>
        <w:t xml:space="preserve"> </w:t>
      </w:r>
      <w:r w:rsidRPr="00D97DA5">
        <w:rPr>
          <w:rFonts w:ascii="Arial" w:hAnsi="Arial" w:cs="Arial"/>
          <w:i/>
        </w:rPr>
        <w:t>Assessment of the Health Impacts of Particulate Matter Characteristics</w:t>
      </w:r>
      <w:r w:rsidR="00881CDB" w:rsidRPr="00D97DA5">
        <w:rPr>
          <w:rFonts w:ascii="Arial" w:hAnsi="Arial" w:cs="Arial"/>
        </w:rPr>
        <w:t>,</w:t>
      </w:r>
      <w:r w:rsidRPr="00D97DA5">
        <w:rPr>
          <w:rFonts w:ascii="Arial" w:hAnsi="Arial" w:cs="Arial"/>
        </w:rPr>
        <w:t xml:space="preserve"> Research Report 161, Health Effects Institute, Boston, Massachusetts</w:t>
      </w:r>
      <w:r w:rsidR="00881CDB" w:rsidRPr="00D97DA5">
        <w:rPr>
          <w:rFonts w:ascii="Arial" w:hAnsi="Arial" w:cs="Arial"/>
        </w:rPr>
        <w:t>,</w:t>
      </w:r>
      <w:r w:rsidRPr="00D97DA5">
        <w:rPr>
          <w:rFonts w:ascii="Arial" w:hAnsi="Arial" w:cs="Arial"/>
        </w:rPr>
        <w:t xml:space="preserve"> </w:t>
      </w:r>
      <w:r w:rsidR="0037616C" w:rsidRPr="00D97DA5">
        <w:rPr>
          <w:rFonts w:ascii="Arial" w:hAnsi="Arial" w:cs="Arial"/>
        </w:rPr>
        <w:t xml:space="preserve">USA </w:t>
      </w:r>
      <w:r w:rsidRPr="00D97DA5">
        <w:rPr>
          <w:rFonts w:ascii="Arial" w:hAnsi="Arial" w:cs="Arial"/>
          <w:color w:val="0070C0"/>
        </w:rPr>
        <w:t>http://pubs.healtheffects.org/view.php?id=371</w:t>
      </w:r>
    </w:p>
    <w:p w:rsidR="00FE0361" w:rsidRPr="00D97DA5" w:rsidRDefault="0012534B" w:rsidP="00FE0361">
      <w:pPr>
        <w:keepLines/>
        <w:rPr>
          <w:rFonts w:ascii="Arial" w:hAnsi="Arial" w:cs="Arial"/>
        </w:rPr>
      </w:pPr>
      <w:r w:rsidRPr="00D97DA5">
        <w:rPr>
          <w:rFonts w:ascii="Arial" w:hAnsi="Arial" w:cs="Arial"/>
        </w:rPr>
        <w:t>BITRE (2010</w:t>
      </w:r>
      <w:r w:rsidR="00FE0361" w:rsidRPr="00D97DA5">
        <w:rPr>
          <w:rFonts w:ascii="Arial" w:hAnsi="Arial" w:cs="Arial"/>
        </w:rPr>
        <w:t>),</w:t>
      </w:r>
      <w:r w:rsidRPr="00D97DA5">
        <w:rPr>
          <w:rFonts w:ascii="Arial" w:hAnsi="Arial" w:cs="Arial"/>
        </w:rPr>
        <w:t xml:space="preserve"> </w:t>
      </w:r>
      <w:r w:rsidRPr="00D97DA5">
        <w:rPr>
          <w:rFonts w:ascii="Arial" w:hAnsi="Arial" w:cs="Arial"/>
          <w:i/>
        </w:rPr>
        <w:t>Long-term Projections of Australian Transport Emissions: Base Case 2010</w:t>
      </w:r>
      <w:r w:rsidR="00881CDB" w:rsidRPr="00D97DA5">
        <w:rPr>
          <w:rFonts w:ascii="Arial" w:hAnsi="Arial" w:cs="Arial"/>
        </w:rPr>
        <w:t>,</w:t>
      </w:r>
      <w:r w:rsidRPr="00D97DA5">
        <w:rPr>
          <w:rFonts w:ascii="Arial" w:hAnsi="Arial" w:cs="Arial"/>
        </w:rPr>
        <w:t xml:space="preserve"> Bureau of Infrastructure, Transport and Regional Economics, Canberra</w:t>
      </w:r>
      <w:r w:rsidR="0037616C" w:rsidRPr="00D97DA5">
        <w:rPr>
          <w:rFonts w:ascii="Arial" w:hAnsi="Arial" w:cs="Arial"/>
        </w:rPr>
        <w:t>, ACT</w:t>
      </w:r>
      <w:r w:rsidRPr="00D97DA5">
        <w:rPr>
          <w:rFonts w:ascii="Arial" w:hAnsi="Arial" w:cs="Arial"/>
        </w:rPr>
        <w:t>.</w:t>
      </w:r>
    </w:p>
    <w:p w:rsidR="00FE0361" w:rsidRPr="00D97DA5" w:rsidRDefault="00837E20" w:rsidP="00FE0361">
      <w:pPr>
        <w:keepLines/>
        <w:rPr>
          <w:rFonts w:ascii="Arial" w:hAnsi="Arial" w:cs="Arial"/>
        </w:rPr>
      </w:pPr>
      <w:r w:rsidRPr="00D97DA5">
        <w:rPr>
          <w:rFonts w:ascii="Arial" w:hAnsi="Arial" w:cs="Arial"/>
        </w:rPr>
        <w:t>Boulter</w:t>
      </w:r>
      <w:r w:rsidR="0037616C" w:rsidRPr="00D97DA5">
        <w:rPr>
          <w:rFonts w:ascii="Arial" w:hAnsi="Arial" w:cs="Arial"/>
        </w:rPr>
        <w:t>,</w:t>
      </w:r>
      <w:r w:rsidRPr="00D97DA5">
        <w:rPr>
          <w:rFonts w:ascii="Arial" w:hAnsi="Arial" w:cs="Arial"/>
        </w:rPr>
        <w:t xml:space="preserve"> P and Kulkarni</w:t>
      </w:r>
      <w:r w:rsidR="0037616C" w:rsidRPr="00D97DA5">
        <w:rPr>
          <w:rFonts w:ascii="Arial" w:hAnsi="Arial" w:cs="Arial"/>
        </w:rPr>
        <w:t>,</w:t>
      </w:r>
      <w:r w:rsidRPr="00D97DA5">
        <w:rPr>
          <w:rFonts w:ascii="Arial" w:hAnsi="Arial" w:cs="Arial"/>
        </w:rPr>
        <w:t xml:space="preserve"> K (2013</w:t>
      </w:r>
      <w:r w:rsidR="00FE0361" w:rsidRPr="00D97DA5">
        <w:rPr>
          <w:rFonts w:ascii="Arial" w:hAnsi="Arial" w:cs="Arial"/>
        </w:rPr>
        <w:t>),</w:t>
      </w:r>
      <w:r w:rsidRPr="00D97DA5">
        <w:rPr>
          <w:rFonts w:ascii="Arial" w:hAnsi="Arial" w:cs="Arial"/>
        </w:rPr>
        <w:t xml:space="preserve"> </w:t>
      </w:r>
      <w:r w:rsidR="0037616C" w:rsidRPr="00D97DA5">
        <w:rPr>
          <w:rFonts w:ascii="Arial" w:hAnsi="Arial" w:cs="Arial"/>
        </w:rPr>
        <w:t>‘</w:t>
      </w:r>
      <w:r w:rsidRPr="00D97DA5">
        <w:rPr>
          <w:rFonts w:ascii="Arial" w:hAnsi="Arial" w:cs="Arial"/>
          <w:i/>
        </w:rPr>
        <w:t>Economic analysis to inform the national plan for clean air (particles) – Final report</w:t>
      </w:r>
      <w:r w:rsidR="0037616C" w:rsidRPr="00D97DA5">
        <w:rPr>
          <w:rFonts w:ascii="Arial" w:hAnsi="Arial" w:cs="Arial"/>
        </w:rPr>
        <w:t>’</w:t>
      </w:r>
      <w:r w:rsidR="00881CDB" w:rsidRPr="00D97DA5">
        <w:rPr>
          <w:rFonts w:ascii="Arial" w:hAnsi="Arial" w:cs="Arial"/>
        </w:rPr>
        <w:t>,</w:t>
      </w:r>
      <w:r w:rsidRPr="00D97DA5">
        <w:rPr>
          <w:rFonts w:ascii="Arial" w:hAnsi="Arial" w:cs="Arial"/>
        </w:rPr>
        <w:t xml:space="preserve"> </w:t>
      </w:r>
      <w:r w:rsidR="00697254" w:rsidRPr="00D97DA5">
        <w:rPr>
          <w:rFonts w:ascii="Arial" w:hAnsi="Arial" w:cs="Arial"/>
        </w:rPr>
        <w:t>r</w:t>
      </w:r>
      <w:r w:rsidRPr="00D97DA5">
        <w:rPr>
          <w:rFonts w:ascii="Arial" w:hAnsi="Arial" w:cs="Arial"/>
        </w:rPr>
        <w:t>eport prepared fo</w:t>
      </w:r>
      <w:r w:rsidR="00225A92" w:rsidRPr="00D97DA5">
        <w:rPr>
          <w:rFonts w:ascii="Arial" w:hAnsi="Arial" w:cs="Arial"/>
        </w:rPr>
        <w:t>r NEPC Service Corporation, August</w:t>
      </w:r>
      <w:r w:rsidRPr="00D97DA5">
        <w:rPr>
          <w:rFonts w:ascii="Arial" w:hAnsi="Arial" w:cs="Arial"/>
        </w:rPr>
        <w:t xml:space="preserve"> 2013</w:t>
      </w:r>
      <w:r w:rsidR="007A07B8" w:rsidRPr="00D97DA5">
        <w:rPr>
          <w:rFonts w:ascii="Arial" w:hAnsi="Arial" w:cs="Arial"/>
        </w:rPr>
        <w:t xml:space="preserve"> (unpublished)</w:t>
      </w:r>
      <w:r w:rsidRPr="00D97DA5">
        <w:rPr>
          <w:rFonts w:ascii="Arial" w:hAnsi="Arial" w:cs="Arial"/>
        </w:rPr>
        <w:t>.</w:t>
      </w:r>
    </w:p>
    <w:p w:rsidR="00FE0361" w:rsidRPr="00D97DA5" w:rsidRDefault="00F70C54" w:rsidP="00FE0361">
      <w:pPr>
        <w:keepLines/>
        <w:rPr>
          <w:rFonts w:ascii="Arial" w:hAnsi="Arial" w:cs="Arial"/>
        </w:rPr>
      </w:pPr>
      <w:r w:rsidRPr="00D97DA5">
        <w:rPr>
          <w:rFonts w:ascii="Arial" w:hAnsi="Arial" w:cs="Arial"/>
        </w:rPr>
        <w:t>Brook</w:t>
      </w:r>
      <w:r w:rsidR="0037616C" w:rsidRPr="00D97DA5">
        <w:rPr>
          <w:rFonts w:ascii="Arial" w:hAnsi="Arial" w:cs="Arial"/>
        </w:rPr>
        <w:t>,</w:t>
      </w:r>
      <w:r w:rsidRPr="00D97DA5">
        <w:rPr>
          <w:rFonts w:ascii="Arial" w:hAnsi="Arial" w:cs="Arial"/>
        </w:rPr>
        <w:t xml:space="preserve"> RD, </w:t>
      </w:r>
      <w:proofErr w:type="spellStart"/>
      <w:r w:rsidRPr="00D97DA5">
        <w:rPr>
          <w:rFonts w:ascii="Arial" w:hAnsi="Arial" w:cs="Arial"/>
        </w:rPr>
        <w:t>Rajagopalan</w:t>
      </w:r>
      <w:proofErr w:type="spellEnd"/>
      <w:r w:rsidR="0037616C" w:rsidRPr="00D97DA5">
        <w:rPr>
          <w:rFonts w:ascii="Arial" w:hAnsi="Arial" w:cs="Arial"/>
        </w:rPr>
        <w:t>,</w:t>
      </w:r>
      <w:r w:rsidRPr="00D97DA5">
        <w:rPr>
          <w:rFonts w:ascii="Arial" w:hAnsi="Arial" w:cs="Arial"/>
        </w:rPr>
        <w:t xml:space="preserve"> S, Pope</w:t>
      </w:r>
      <w:r w:rsidR="0037616C" w:rsidRPr="00D97DA5">
        <w:rPr>
          <w:rFonts w:ascii="Arial" w:hAnsi="Arial" w:cs="Arial"/>
        </w:rPr>
        <w:t>,</w:t>
      </w:r>
      <w:r w:rsidRPr="00D97DA5">
        <w:rPr>
          <w:rFonts w:ascii="Arial" w:hAnsi="Arial" w:cs="Arial"/>
        </w:rPr>
        <w:t xml:space="preserve"> CA, Brook</w:t>
      </w:r>
      <w:r w:rsidR="0037616C" w:rsidRPr="00D97DA5">
        <w:rPr>
          <w:rFonts w:ascii="Arial" w:hAnsi="Arial" w:cs="Arial"/>
        </w:rPr>
        <w:t>,</w:t>
      </w:r>
      <w:r w:rsidRPr="00D97DA5">
        <w:rPr>
          <w:rFonts w:ascii="Arial" w:hAnsi="Arial" w:cs="Arial"/>
        </w:rPr>
        <w:t xml:space="preserve"> JR, </w:t>
      </w:r>
      <w:proofErr w:type="spellStart"/>
      <w:r w:rsidRPr="00D97DA5">
        <w:rPr>
          <w:rFonts w:ascii="Arial" w:hAnsi="Arial" w:cs="Arial"/>
        </w:rPr>
        <w:t>Bhatnagar</w:t>
      </w:r>
      <w:proofErr w:type="spellEnd"/>
      <w:r w:rsidR="0037616C" w:rsidRPr="00D97DA5">
        <w:rPr>
          <w:rFonts w:ascii="Arial" w:hAnsi="Arial" w:cs="Arial"/>
        </w:rPr>
        <w:t>,</w:t>
      </w:r>
      <w:r w:rsidRPr="00D97DA5">
        <w:rPr>
          <w:rFonts w:ascii="Arial" w:hAnsi="Arial" w:cs="Arial"/>
        </w:rPr>
        <w:t xml:space="preserve"> A, </w:t>
      </w:r>
      <w:proofErr w:type="spellStart"/>
      <w:r w:rsidRPr="00D97DA5">
        <w:rPr>
          <w:rFonts w:ascii="Arial" w:hAnsi="Arial" w:cs="Arial"/>
        </w:rPr>
        <w:t>Diez</w:t>
      </w:r>
      <w:proofErr w:type="spellEnd"/>
      <w:r w:rsidRPr="00D97DA5">
        <w:rPr>
          <w:rFonts w:ascii="Arial" w:hAnsi="Arial" w:cs="Arial"/>
        </w:rPr>
        <w:t>-Roux</w:t>
      </w:r>
      <w:r w:rsidR="0037616C" w:rsidRPr="00D97DA5">
        <w:rPr>
          <w:rFonts w:ascii="Arial" w:hAnsi="Arial" w:cs="Arial"/>
        </w:rPr>
        <w:t>,</w:t>
      </w:r>
      <w:r w:rsidRPr="00D97DA5">
        <w:rPr>
          <w:rFonts w:ascii="Arial" w:hAnsi="Arial" w:cs="Arial"/>
        </w:rPr>
        <w:t xml:space="preserve"> AV, Holguin</w:t>
      </w:r>
      <w:r w:rsidR="0037616C" w:rsidRPr="00D97DA5">
        <w:rPr>
          <w:rFonts w:ascii="Arial" w:hAnsi="Arial" w:cs="Arial"/>
        </w:rPr>
        <w:t>,</w:t>
      </w:r>
      <w:r w:rsidRPr="00D97DA5">
        <w:rPr>
          <w:rFonts w:ascii="Arial" w:hAnsi="Arial" w:cs="Arial"/>
        </w:rPr>
        <w:t xml:space="preserve"> F, Hong</w:t>
      </w:r>
      <w:r w:rsidR="0037616C" w:rsidRPr="00D97DA5">
        <w:rPr>
          <w:rFonts w:ascii="Arial" w:hAnsi="Arial" w:cs="Arial"/>
        </w:rPr>
        <w:t>,</w:t>
      </w:r>
      <w:r w:rsidRPr="00D97DA5">
        <w:rPr>
          <w:rFonts w:ascii="Arial" w:hAnsi="Arial" w:cs="Arial"/>
        </w:rPr>
        <w:t xml:space="preserve"> Y, </w:t>
      </w:r>
      <w:proofErr w:type="spellStart"/>
      <w:r w:rsidRPr="00D97DA5">
        <w:rPr>
          <w:rFonts w:ascii="Arial" w:hAnsi="Arial" w:cs="Arial"/>
        </w:rPr>
        <w:t>Luepker</w:t>
      </w:r>
      <w:proofErr w:type="spellEnd"/>
      <w:r w:rsidR="0037616C" w:rsidRPr="00D97DA5">
        <w:rPr>
          <w:rFonts w:ascii="Arial" w:hAnsi="Arial" w:cs="Arial"/>
        </w:rPr>
        <w:t>,</w:t>
      </w:r>
      <w:r w:rsidRPr="00D97DA5">
        <w:rPr>
          <w:rFonts w:ascii="Arial" w:hAnsi="Arial" w:cs="Arial"/>
        </w:rPr>
        <w:t xml:space="preserve"> RV, </w:t>
      </w:r>
      <w:proofErr w:type="spellStart"/>
      <w:r w:rsidRPr="00D97DA5">
        <w:rPr>
          <w:rFonts w:ascii="Arial" w:hAnsi="Arial" w:cs="Arial"/>
        </w:rPr>
        <w:t>Mittleman</w:t>
      </w:r>
      <w:proofErr w:type="spellEnd"/>
      <w:r w:rsidR="0037616C" w:rsidRPr="00D97DA5">
        <w:rPr>
          <w:rFonts w:ascii="Arial" w:hAnsi="Arial" w:cs="Arial"/>
        </w:rPr>
        <w:t>,</w:t>
      </w:r>
      <w:r w:rsidRPr="00D97DA5">
        <w:rPr>
          <w:rFonts w:ascii="Arial" w:hAnsi="Arial" w:cs="Arial"/>
        </w:rPr>
        <w:t xml:space="preserve"> MA, Peters</w:t>
      </w:r>
      <w:r w:rsidR="0037616C" w:rsidRPr="00D97DA5">
        <w:rPr>
          <w:rFonts w:ascii="Arial" w:hAnsi="Arial" w:cs="Arial"/>
        </w:rPr>
        <w:t>,</w:t>
      </w:r>
      <w:r w:rsidRPr="00D97DA5">
        <w:rPr>
          <w:rFonts w:ascii="Arial" w:hAnsi="Arial" w:cs="Arial"/>
        </w:rPr>
        <w:t xml:space="preserve"> A, </w:t>
      </w:r>
      <w:proofErr w:type="spellStart"/>
      <w:r w:rsidRPr="00D97DA5">
        <w:rPr>
          <w:rFonts w:ascii="Arial" w:hAnsi="Arial" w:cs="Arial"/>
        </w:rPr>
        <w:t>Siscovick</w:t>
      </w:r>
      <w:proofErr w:type="spellEnd"/>
      <w:r w:rsidR="0037616C" w:rsidRPr="00D97DA5">
        <w:rPr>
          <w:rFonts w:ascii="Arial" w:hAnsi="Arial" w:cs="Arial"/>
        </w:rPr>
        <w:t>,</w:t>
      </w:r>
      <w:r w:rsidRPr="00D97DA5">
        <w:rPr>
          <w:rFonts w:ascii="Arial" w:hAnsi="Arial" w:cs="Arial"/>
        </w:rPr>
        <w:t xml:space="preserve"> D, Smith</w:t>
      </w:r>
      <w:r w:rsidR="0037616C" w:rsidRPr="00D97DA5">
        <w:rPr>
          <w:rFonts w:ascii="Arial" w:hAnsi="Arial" w:cs="Arial"/>
        </w:rPr>
        <w:t>,</w:t>
      </w:r>
      <w:r w:rsidRPr="00D97DA5">
        <w:rPr>
          <w:rFonts w:ascii="Arial" w:hAnsi="Arial" w:cs="Arial"/>
        </w:rPr>
        <w:t xml:space="preserve"> SC </w:t>
      </w:r>
      <w:proofErr w:type="spellStart"/>
      <w:r w:rsidRPr="00D97DA5">
        <w:rPr>
          <w:rFonts w:ascii="Arial" w:hAnsi="Arial" w:cs="Arial"/>
        </w:rPr>
        <w:t>Jr</w:t>
      </w:r>
      <w:proofErr w:type="spellEnd"/>
      <w:r w:rsidRPr="00D97DA5">
        <w:rPr>
          <w:rFonts w:ascii="Arial" w:hAnsi="Arial" w:cs="Arial"/>
        </w:rPr>
        <w:t xml:space="preserve">, </w:t>
      </w:r>
      <w:proofErr w:type="spellStart"/>
      <w:r w:rsidRPr="00D97DA5">
        <w:rPr>
          <w:rFonts w:ascii="Arial" w:hAnsi="Arial" w:cs="Arial"/>
        </w:rPr>
        <w:t>Whitsel</w:t>
      </w:r>
      <w:proofErr w:type="spellEnd"/>
      <w:r w:rsidR="0037616C" w:rsidRPr="00D97DA5">
        <w:rPr>
          <w:rFonts w:ascii="Arial" w:hAnsi="Arial" w:cs="Arial"/>
        </w:rPr>
        <w:t>,</w:t>
      </w:r>
      <w:r w:rsidRPr="00D97DA5">
        <w:rPr>
          <w:rFonts w:ascii="Arial" w:hAnsi="Arial" w:cs="Arial"/>
        </w:rPr>
        <w:t xml:space="preserve"> L and Kaufman</w:t>
      </w:r>
      <w:r w:rsidR="0037616C" w:rsidRPr="00D97DA5">
        <w:rPr>
          <w:rFonts w:ascii="Arial" w:hAnsi="Arial" w:cs="Arial"/>
        </w:rPr>
        <w:t>,</w:t>
      </w:r>
      <w:r w:rsidRPr="00D97DA5">
        <w:rPr>
          <w:rFonts w:ascii="Arial" w:hAnsi="Arial" w:cs="Arial"/>
        </w:rPr>
        <w:t xml:space="preserve"> JD (2010</w:t>
      </w:r>
      <w:r w:rsidR="00FE0361" w:rsidRPr="00D97DA5">
        <w:rPr>
          <w:rFonts w:ascii="Arial" w:hAnsi="Arial" w:cs="Arial"/>
        </w:rPr>
        <w:t>),</w:t>
      </w:r>
      <w:r w:rsidRPr="00D97DA5">
        <w:rPr>
          <w:rFonts w:ascii="Arial" w:hAnsi="Arial" w:cs="Arial"/>
        </w:rPr>
        <w:t xml:space="preserve"> </w:t>
      </w:r>
      <w:r w:rsidR="0037616C" w:rsidRPr="00D97DA5">
        <w:rPr>
          <w:rFonts w:ascii="Arial" w:hAnsi="Arial" w:cs="Arial"/>
        </w:rPr>
        <w:t>‘</w:t>
      </w:r>
      <w:r w:rsidRPr="00D97DA5">
        <w:rPr>
          <w:rFonts w:ascii="Arial" w:hAnsi="Arial" w:cs="Arial"/>
        </w:rPr>
        <w:t>Particulate matter air pollution and cardiovascular disease: An update to the scientific statement from the American Heart Association</w:t>
      </w:r>
      <w:r w:rsidR="0037616C" w:rsidRPr="00D97DA5">
        <w:rPr>
          <w:rFonts w:ascii="Arial" w:hAnsi="Arial" w:cs="Arial"/>
        </w:rPr>
        <w:t>’</w:t>
      </w:r>
      <w:r w:rsidR="00881CDB" w:rsidRPr="00D97DA5">
        <w:rPr>
          <w:rFonts w:ascii="Arial" w:hAnsi="Arial" w:cs="Arial"/>
        </w:rPr>
        <w:t>,</w:t>
      </w:r>
      <w:r w:rsidRPr="00D97DA5">
        <w:rPr>
          <w:rFonts w:ascii="Arial" w:hAnsi="Arial" w:cs="Arial"/>
        </w:rPr>
        <w:t xml:space="preserve"> </w:t>
      </w:r>
      <w:r w:rsidRPr="00D97DA5">
        <w:rPr>
          <w:rFonts w:ascii="Arial" w:hAnsi="Arial" w:cs="Arial"/>
          <w:i/>
        </w:rPr>
        <w:t>Circulation</w:t>
      </w:r>
      <w:r w:rsidRPr="00D97DA5">
        <w:rPr>
          <w:rFonts w:ascii="Arial" w:hAnsi="Arial" w:cs="Arial"/>
        </w:rPr>
        <w:t xml:space="preserve">, </w:t>
      </w:r>
      <w:r w:rsidR="0037616C" w:rsidRPr="00D97DA5">
        <w:rPr>
          <w:rFonts w:ascii="Arial" w:hAnsi="Arial" w:cs="Arial"/>
        </w:rPr>
        <w:t>vol.</w:t>
      </w:r>
      <w:r w:rsidRPr="00D97DA5">
        <w:rPr>
          <w:rFonts w:ascii="Arial" w:hAnsi="Arial" w:cs="Arial"/>
        </w:rPr>
        <w:t xml:space="preserve"> 121, pp. 2331</w:t>
      </w:r>
      <w:r w:rsidR="0037616C" w:rsidRPr="00D97DA5">
        <w:rPr>
          <w:rFonts w:ascii="Arial" w:hAnsi="Arial" w:cs="Arial"/>
        </w:rPr>
        <w:t>–</w:t>
      </w:r>
      <w:r w:rsidRPr="00D97DA5">
        <w:rPr>
          <w:rFonts w:ascii="Arial" w:hAnsi="Arial" w:cs="Arial"/>
        </w:rPr>
        <w:t>2378.</w:t>
      </w:r>
    </w:p>
    <w:p w:rsidR="00FE0361" w:rsidRPr="00D97DA5" w:rsidRDefault="00E41D3C" w:rsidP="00FE0361">
      <w:pPr>
        <w:keepLines/>
        <w:rPr>
          <w:rFonts w:ascii="Arial" w:hAnsi="Arial" w:cs="Arial"/>
          <w:color w:val="0070C0"/>
        </w:rPr>
      </w:pPr>
      <w:r w:rsidRPr="00D97DA5">
        <w:rPr>
          <w:rFonts w:ascii="Arial" w:hAnsi="Arial" w:cs="Arial"/>
        </w:rPr>
        <w:t>BTRE (2005</w:t>
      </w:r>
      <w:r w:rsidR="00FE0361" w:rsidRPr="00D97DA5">
        <w:rPr>
          <w:rFonts w:ascii="Arial" w:hAnsi="Arial" w:cs="Arial"/>
        </w:rPr>
        <w:t>),</w:t>
      </w:r>
      <w:r w:rsidRPr="00D97DA5">
        <w:rPr>
          <w:rFonts w:ascii="Arial" w:hAnsi="Arial" w:cs="Arial"/>
        </w:rPr>
        <w:t xml:space="preserve"> </w:t>
      </w:r>
      <w:r w:rsidRPr="00D97DA5">
        <w:rPr>
          <w:rFonts w:ascii="Arial" w:hAnsi="Arial" w:cs="Arial"/>
          <w:i/>
        </w:rPr>
        <w:t>Health Impacts of Transport Emissions in Australia: Economic Costs</w:t>
      </w:r>
      <w:r w:rsidR="00881CDB" w:rsidRPr="00D97DA5">
        <w:rPr>
          <w:rFonts w:ascii="Arial" w:hAnsi="Arial" w:cs="Arial"/>
        </w:rPr>
        <w:t>,</w:t>
      </w:r>
      <w:r w:rsidRPr="00D97DA5">
        <w:rPr>
          <w:rFonts w:ascii="Arial" w:hAnsi="Arial" w:cs="Arial"/>
        </w:rPr>
        <w:t xml:space="preserve"> BTRE Working Paper 63, Bureau of Transport and Regional Economics, Canberra</w:t>
      </w:r>
      <w:r w:rsidR="00881CDB" w:rsidRPr="00D97DA5">
        <w:rPr>
          <w:rFonts w:ascii="Arial" w:hAnsi="Arial" w:cs="Arial"/>
        </w:rPr>
        <w:t>,</w:t>
      </w:r>
      <w:r w:rsidR="00FE0361" w:rsidRPr="00D97DA5">
        <w:rPr>
          <w:rFonts w:ascii="Arial" w:hAnsi="Arial" w:cs="Arial"/>
        </w:rPr>
        <w:t xml:space="preserve"> </w:t>
      </w:r>
      <w:r w:rsidR="0037616C" w:rsidRPr="00D97DA5">
        <w:rPr>
          <w:rFonts w:ascii="Arial" w:hAnsi="Arial" w:cs="Arial"/>
        </w:rPr>
        <w:t xml:space="preserve">ACT </w:t>
      </w:r>
      <w:hyperlink r:id="rId137" w:history="1">
        <w:r w:rsidR="00F73565" w:rsidRPr="00D97DA5">
          <w:rPr>
            <w:rFonts w:ascii="Arial" w:hAnsi="Arial" w:cs="Arial"/>
            <w:color w:val="0070C0"/>
          </w:rPr>
          <w:t>www.bitre.gov.au/publications/2005/files/wp_063.pdf</w:t>
        </w:r>
      </w:hyperlink>
    </w:p>
    <w:p w:rsidR="00FE0361" w:rsidRPr="00D97DA5" w:rsidRDefault="00E71490" w:rsidP="00DD0B7A">
      <w:pPr>
        <w:keepLines/>
        <w:spacing w:after="220"/>
        <w:rPr>
          <w:rFonts w:ascii="Arial" w:hAnsi="Arial" w:cs="Arial"/>
        </w:rPr>
      </w:pPr>
      <w:proofErr w:type="spellStart"/>
      <w:r w:rsidRPr="00D97DA5">
        <w:rPr>
          <w:rFonts w:ascii="Arial" w:hAnsi="Arial" w:cs="Arial"/>
        </w:rPr>
        <w:lastRenderedPageBreak/>
        <w:t>Cambra-Lópeza</w:t>
      </w:r>
      <w:proofErr w:type="spellEnd"/>
      <w:r w:rsidR="0037616C" w:rsidRPr="00D97DA5">
        <w:rPr>
          <w:rFonts w:ascii="Arial" w:hAnsi="Arial" w:cs="Arial"/>
        </w:rPr>
        <w:t>,</w:t>
      </w:r>
      <w:r w:rsidRPr="00D97DA5">
        <w:rPr>
          <w:rFonts w:ascii="Arial" w:hAnsi="Arial" w:cs="Arial"/>
        </w:rPr>
        <w:t xml:space="preserve"> M, </w:t>
      </w:r>
      <w:proofErr w:type="spellStart"/>
      <w:r w:rsidRPr="00D97DA5">
        <w:rPr>
          <w:rFonts w:ascii="Arial" w:hAnsi="Arial" w:cs="Arial"/>
        </w:rPr>
        <w:t>Aarnink</w:t>
      </w:r>
      <w:proofErr w:type="spellEnd"/>
      <w:r w:rsidR="0037616C" w:rsidRPr="00D97DA5">
        <w:rPr>
          <w:rFonts w:ascii="Arial" w:hAnsi="Arial" w:cs="Arial"/>
        </w:rPr>
        <w:t>,</w:t>
      </w:r>
      <w:r w:rsidRPr="00D97DA5">
        <w:rPr>
          <w:rFonts w:ascii="Arial" w:hAnsi="Arial" w:cs="Arial"/>
        </w:rPr>
        <w:t xml:space="preserve"> AJA, Zhao</w:t>
      </w:r>
      <w:r w:rsidR="0037616C" w:rsidRPr="00D97DA5">
        <w:rPr>
          <w:rFonts w:ascii="Arial" w:hAnsi="Arial" w:cs="Arial"/>
        </w:rPr>
        <w:t>,</w:t>
      </w:r>
      <w:r w:rsidRPr="00D97DA5">
        <w:rPr>
          <w:rFonts w:ascii="Arial" w:hAnsi="Arial" w:cs="Arial"/>
        </w:rPr>
        <w:t xml:space="preserve"> Y, </w:t>
      </w:r>
      <w:proofErr w:type="spellStart"/>
      <w:r w:rsidRPr="00D97DA5">
        <w:rPr>
          <w:rFonts w:ascii="Arial" w:hAnsi="Arial" w:cs="Arial"/>
        </w:rPr>
        <w:t>Calvet</w:t>
      </w:r>
      <w:proofErr w:type="spellEnd"/>
      <w:r w:rsidR="0037616C" w:rsidRPr="00D97DA5">
        <w:rPr>
          <w:rFonts w:ascii="Arial" w:hAnsi="Arial" w:cs="Arial"/>
        </w:rPr>
        <w:t>,</w:t>
      </w:r>
      <w:r w:rsidRPr="00D97DA5">
        <w:rPr>
          <w:rFonts w:ascii="Arial" w:hAnsi="Arial" w:cs="Arial"/>
        </w:rPr>
        <w:t xml:space="preserve"> S and Torres</w:t>
      </w:r>
      <w:r w:rsidR="0037616C" w:rsidRPr="00D97DA5">
        <w:rPr>
          <w:rFonts w:ascii="Arial" w:hAnsi="Arial" w:cs="Arial"/>
        </w:rPr>
        <w:t>,</w:t>
      </w:r>
      <w:r w:rsidRPr="00D97DA5">
        <w:rPr>
          <w:rFonts w:ascii="Arial" w:hAnsi="Arial" w:cs="Arial"/>
        </w:rPr>
        <w:t xml:space="preserve"> AG (2010</w:t>
      </w:r>
      <w:r w:rsidR="00FE0361" w:rsidRPr="00D97DA5">
        <w:rPr>
          <w:rFonts w:ascii="Arial" w:hAnsi="Arial" w:cs="Arial"/>
        </w:rPr>
        <w:t>),</w:t>
      </w:r>
      <w:r w:rsidRPr="00D97DA5">
        <w:rPr>
          <w:rFonts w:ascii="Arial" w:hAnsi="Arial" w:cs="Arial"/>
        </w:rPr>
        <w:t xml:space="preserve"> </w:t>
      </w:r>
      <w:r w:rsidR="0037616C" w:rsidRPr="00D97DA5">
        <w:rPr>
          <w:rFonts w:ascii="Arial" w:hAnsi="Arial" w:cs="Arial"/>
        </w:rPr>
        <w:t>‘</w:t>
      </w:r>
      <w:r w:rsidRPr="00D97DA5">
        <w:rPr>
          <w:rFonts w:ascii="Arial" w:hAnsi="Arial" w:cs="Arial"/>
        </w:rPr>
        <w:t>Airborne particulate matter from livestock production systems: A review of an air pollution problem</w:t>
      </w:r>
      <w:r w:rsidR="0037616C" w:rsidRPr="00D97DA5">
        <w:rPr>
          <w:rFonts w:ascii="Arial" w:hAnsi="Arial" w:cs="Arial"/>
        </w:rPr>
        <w:t>’</w:t>
      </w:r>
      <w:r w:rsidR="00881CDB" w:rsidRPr="00D97DA5">
        <w:rPr>
          <w:rFonts w:ascii="Arial" w:hAnsi="Arial" w:cs="Arial"/>
        </w:rPr>
        <w:t>,</w:t>
      </w:r>
      <w:r w:rsidRPr="00D97DA5">
        <w:rPr>
          <w:rFonts w:ascii="Arial" w:hAnsi="Arial" w:cs="Arial"/>
        </w:rPr>
        <w:t xml:space="preserve"> </w:t>
      </w:r>
      <w:r w:rsidRPr="00D97DA5">
        <w:rPr>
          <w:rFonts w:ascii="Arial" w:hAnsi="Arial" w:cs="Arial"/>
          <w:i/>
        </w:rPr>
        <w:t>Environmental Pollution</w:t>
      </w:r>
      <w:r w:rsidRPr="00D97DA5">
        <w:rPr>
          <w:rFonts w:ascii="Arial" w:hAnsi="Arial" w:cs="Arial"/>
        </w:rPr>
        <w:t xml:space="preserve">, </w:t>
      </w:r>
      <w:r w:rsidR="0037616C" w:rsidRPr="00D97DA5">
        <w:rPr>
          <w:rFonts w:ascii="Arial" w:hAnsi="Arial" w:cs="Arial"/>
        </w:rPr>
        <w:t>v</w:t>
      </w:r>
      <w:r w:rsidRPr="00D97DA5">
        <w:rPr>
          <w:rFonts w:ascii="Arial" w:hAnsi="Arial" w:cs="Arial"/>
        </w:rPr>
        <w:t>ol. 158(1), pp. 1–17.</w:t>
      </w:r>
    </w:p>
    <w:p w:rsidR="00FE0361" w:rsidRPr="00D97DA5" w:rsidRDefault="00DB5D5F" w:rsidP="00DD0B7A">
      <w:pPr>
        <w:keepLines/>
        <w:spacing w:after="220"/>
        <w:rPr>
          <w:rFonts w:ascii="Arial" w:hAnsi="Arial" w:cs="Arial"/>
          <w:color w:val="0070C0"/>
        </w:rPr>
      </w:pPr>
      <w:r w:rsidRPr="00D97DA5">
        <w:rPr>
          <w:rFonts w:ascii="Arial" w:hAnsi="Arial" w:cs="Arial"/>
        </w:rPr>
        <w:t>CCME (2006</w:t>
      </w:r>
      <w:r w:rsidR="00FE0361" w:rsidRPr="00D97DA5">
        <w:rPr>
          <w:rFonts w:ascii="Arial" w:hAnsi="Arial" w:cs="Arial"/>
        </w:rPr>
        <w:t>),</w:t>
      </w:r>
      <w:r w:rsidRPr="00D97DA5">
        <w:rPr>
          <w:rFonts w:ascii="Arial" w:hAnsi="Arial" w:cs="Arial"/>
        </w:rPr>
        <w:t xml:space="preserve"> </w:t>
      </w:r>
      <w:r w:rsidRPr="00D97DA5">
        <w:rPr>
          <w:rFonts w:ascii="Arial" w:hAnsi="Arial" w:cs="Arial"/>
          <w:i/>
        </w:rPr>
        <w:t>Canada-wide Standards for Particulate Matter and Ozone</w:t>
      </w:r>
      <w:r w:rsidR="00881CDB" w:rsidRPr="00D97DA5">
        <w:rPr>
          <w:rFonts w:ascii="Arial" w:hAnsi="Arial" w:cs="Arial"/>
          <w:i/>
        </w:rPr>
        <w:t>,</w:t>
      </w:r>
      <w:r w:rsidR="004B4989" w:rsidRPr="00D97DA5">
        <w:rPr>
          <w:rFonts w:ascii="Arial" w:hAnsi="Arial" w:cs="Arial"/>
          <w:i/>
        </w:rPr>
        <w:t xml:space="preserve"> </w:t>
      </w:r>
      <w:r w:rsidRPr="00D97DA5">
        <w:rPr>
          <w:rFonts w:ascii="Arial" w:hAnsi="Arial" w:cs="Arial"/>
          <w:i/>
        </w:rPr>
        <w:t>Five Year Report 2000</w:t>
      </w:r>
      <w:r w:rsidR="0037616C" w:rsidRPr="00D97DA5">
        <w:rPr>
          <w:rFonts w:ascii="Arial" w:hAnsi="Arial" w:cs="Arial"/>
          <w:i/>
        </w:rPr>
        <w:t>–</w:t>
      </w:r>
      <w:r w:rsidRPr="00D97DA5">
        <w:rPr>
          <w:rFonts w:ascii="Arial" w:hAnsi="Arial" w:cs="Arial"/>
          <w:i/>
        </w:rPr>
        <w:t>2005</w:t>
      </w:r>
      <w:r w:rsidRPr="00D97DA5">
        <w:rPr>
          <w:rFonts w:ascii="Arial" w:hAnsi="Arial" w:cs="Arial"/>
        </w:rPr>
        <w:t>, PN 1374, Canadian Council of Ministers of the Environment</w:t>
      </w:r>
      <w:r w:rsidR="00881CDB" w:rsidRPr="00D97DA5">
        <w:rPr>
          <w:rFonts w:ascii="Arial" w:hAnsi="Arial" w:cs="Arial"/>
        </w:rPr>
        <w:t>,</w:t>
      </w:r>
      <w:r w:rsidR="00FE0361" w:rsidRPr="00D97DA5">
        <w:rPr>
          <w:rFonts w:ascii="Arial" w:hAnsi="Arial" w:cs="Arial"/>
        </w:rPr>
        <w:t xml:space="preserve"> </w:t>
      </w:r>
      <w:r w:rsidR="0037616C" w:rsidRPr="00D97DA5">
        <w:rPr>
          <w:rFonts w:ascii="Arial" w:hAnsi="Arial" w:cs="Arial"/>
        </w:rPr>
        <w:t xml:space="preserve">Canada, </w:t>
      </w:r>
      <w:hyperlink r:id="rId138" w:history="1">
        <w:r w:rsidR="00BB1CED" w:rsidRPr="00D97DA5">
          <w:rPr>
            <w:rFonts w:ascii="Arial" w:hAnsi="Arial" w:cs="Arial"/>
            <w:color w:val="0070C0"/>
          </w:rPr>
          <w:t>www.ccme.ca/assets/pdf/pm_oz_2000_2005_rpt_e.pdf</w:t>
        </w:r>
      </w:hyperlink>
    </w:p>
    <w:p w:rsidR="00FE0361" w:rsidRPr="00D97DA5" w:rsidRDefault="00DB5D5F" w:rsidP="00FE0361">
      <w:pPr>
        <w:keepLines/>
        <w:rPr>
          <w:rFonts w:ascii="Arial" w:hAnsi="Arial" w:cs="Arial"/>
          <w:color w:val="0070C0"/>
        </w:rPr>
      </w:pPr>
      <w:r w:rsidRPr="00D97DA5">
        <w:rPr>
          <w:rFonts w:ascii="Arial" w:hAnsi="Arial" w:cs="Arial"/>
        </w:rPr>
        <w:t>CCME (2007</w:t>
      </w:r>
      <w:r w:rsidR="00FE0361" w:rsidRPr="00D97DA5">
        <w:rPr>
          <w:rFonts w:ascii="Arial" w:hAnsi="Arial" w:cs="Arial"/>
        </w:rPr>
        <w:t>),</w:t>
      </w:r>
      <w:r w:rsidRPr="00D97DA5">
        <w:rPr>
          <w:rFonts w:ascii="Arial" w:hAnsi="Arial" w:cs="Arial"/>
        </w:rPr>
        <w:t xml:space="preserve"> </w:t>
      </w:r>
      <w:r w:rsidRPr="00D97DA5">
        <w:rPr>
          <w:rFonts w:ascii="Arial" w:hAnsi="Arial" w:cs="Arial"/>
          <w:i/>
        </w:rPr>
        <w:t>Guidance Document on Continuous Improvement (CI) and Keeping-Clean-Areas-Clean (KCAC)</w:t>
      </w:r>
      <w:r w:rsidR="00881CDB" w:rsidRPr="00D97DA5">
        <w:rPr>
          <w:rFonts w:ascii="Arial" w:hAnsi="Arial" w:cs="Arial"/>
        </w:rPr>
        <w:t>,</w:t>
      </w:r>
      <w:r w:rsidR="004B4989" w:rsidRPr="00D97DA5">
        <w:rPr>
          <w:rFonts w:ascii="Arial" w:hAnsi="Arial" w:cs="Arial"/>
        </w:rPr>
        <w:t xml:space="preserve"> </w:t>
      </w:r>
      <w:r w:rsidRPr="00D97DA5">
        <w:rPr>
          <w:rFonts w:ascii="Arial" w:hAnsi="Arial" w:cs="Arial"/>
        </w:rPr>
        <w:t>PN 1389, Canadian Council of Ministers of the Environment</w:t>
      </w:r>
      <w:r w:rsidR="00881CDB" w:rsidRPr="00D97DA5">
        <w:rPr>
          <w:rFonts w:ascii="Arial" w:hAnsi="Arial" w:cs="Arial"/>
        </w:rPr>
        <w:t>,</w:t>
      </w:r>
      <w:r w:rsidR="00FE0361" w:rsidRPr="00D97DA5">
        <w:rPr>
          <w:rFonts w:ascii="Arial" w:hAnsi="Arial" w:cs="Arial"/>
        </w:rPr>
        <w:t xml:space="preserve"> </w:t>
      </w:r>
      <w:r w:rsidR="0037616C" w:rsidRPr="00D97DA5">
        <w:rPr>
          <w:rFonts w:ascii="Arial" w:hAnsi="Arial" w:cs="Arial"/>
        </w:rPr>
        <w:t xml:space="preserve">Canada, </w:t>
      </w:r>
      <w:hyperlink r:id="rId139" w:history="1">
        <w:r w:rsidR="00BB1CED" w:rsidRPr="00D97DA5">
          <w:rPr>
            <w:rFonts w:ascii="Arial" w:hAnsi="Arial" w:cs="Arial"/>
            <w:color w:val="0070C0"/>
          </w:rPr>
          <w:t>www.ccme.ca/assets/pdf/1389_ci_kcac_e.pdf</w:t>
        </w:r>
      </w:hyperlink>
    </w:p>
    <w:p w:rsidR="00FE0361" w:rsidRPr="00D97DA5" w:rsidRDefault="003C450D" w:rsidP="00FE0361">
      <w:pPr>
        <w:keepLines/>
        <w:rPr>
          <w:rFonts w:ascii="Arial" w:hAnsi="Arial" w:cs="Arial"/>
        </w:rPr>
      </w:pPr>
      <w:r w:rsidRPr="00D97DA5">
        <w:rPr>
          <w:rFonts w:ascii="Arial" w:hAnsi="Arial" w:cs="Arial"/>
        </w:rPr>
        <w:t>Chan</w:t>
      </w:r>
      <w:r w:rsidR="0037616C" w:rsidRPr="00D97DA5">
        <w:rPr>
          <w:rFonts w:ascii="Arial" w:hAnsi="Arial" w:cs="Arial"/>
        </w:rPr>
        <w:t>,</w:t>
      </w:r>
      <w:r w:rsidRPr="00D97DA5">
        <w:rPr>
          <w:rFonts w:ascii="Arial" w:hAnsi="Arial" w:cs="Arial"/>
        </w:rPr>
        <w:t xml:space="preserve"> YC, Simpson</w:t>
      </w:r>
      <w:r w:rsidR="0037616C" w:rsidRPr="00D97DA5">
        <w:rPr>
          <w:rFonts w:ascii="Arial" w:hAnsi="Arial" w:cs="Arial"/>
        </w:rPr>
        <w:t>,</w:t>
      </w:r>
      <w:r w:rsidRPr="00D97DA5">
        <w:rPr>
          <w:rFonts w:ascii="Arial" w:hAnsi="Arial" w:cs="Arial"/>
        </w:rPr>
        <w:t xml:space="preserve"> RW, </w:t>
      </w:r>
      <w:proofErr w:type="spellStart"/>
      <w:r w:rsidRPr="00D97DA5">
        <w:rPr>
          <w:rFonts w:ascii="Arial" w:hAnsi="Arial" w:cs="Arial"/>
        </w:rPr>
        <w:t>Mctainsh</w:t>
      </w:r>
      <w:proofErr w:type="spellEnd"/>
      <w:r w:rsidR="0037616C" w:rsidRPr="00D97DA5">
        <w:rPr>
          <w:rFonts w:ascii="Arial" w:hAnsi="Arial" w:cs="Arial"/>
        </w:rPr>
        <w:t>,</w:t>
      </w:r>
      <w:r w:rsidRPr="00D97DA5">
        <w:rPr>
          <w:rFonts w:ascii="Arial" w:hAnsi="Arial" w:cs="Arial"/>
        </w:rPr>
        <w:t xml:space="preserve"> GH, </w:t>
      </w:r>
      <w:proofErr w:type="spellStart"/>
      <w:r w:rsidRPr="00D97DA5">
        <w:rPr>
          <w:rFonts w:ascii="Arial" w:hAnsi="Arial" w:cs="Arial"/>
        </w:rPr>
        <w:t>Vowles</w:t>
      </w:r>
      <w:proofErr w:type="spellEnd"/>
      <w:r w:rsidR="0037616C" w:rsidRPr="00D97DA5">
        <w:rPr>
          <w:rFonts w:ascii="Arial" w:hAnsi="Arial" w:cs="Arial"/>
        </w:rPr>
        <w:t>,</w:t>
      </w:r>
      <w:r w:rsidRPr="00D97DA5">
        <w:rPr>
          <w:rFonts w:ascii="Arial" w:hAnsi="Arial" w:cs="Arial"/>
        </w:rPr>
        <w:t xml:space="preserve"> PD, Cohen</w:t>
      </w:r>
      <w:r w:rsidR="0037616C" w:rsidRPr="00D97DA5">
        <w:rPr>
          <w:rFonts w:ascii="Arial" w:hAnsi="Arial" w:cs="Arial"/>
        </w:rPr>
        <w:t>,</w:t>
      </w:r>
      <w:r w:rsidRPr="00D97DA5">
        <w:rPr>
          <w:rFonts w:ascii="Arial" w:hAnsi="Arial" w:cs="Arial"/>
        </w:rPr>
        <w:t xml:space="preserve"> DD</w:t>
      </w:r>
      <w:r w:rsidR="0037616C" w:rsidRPr="00D97DA5">
        <w:rPr>
          <w:rFonts w:ascii="Arial" w:hAnsi="Arial" w:cs="Arial"/>
        </w:rPr>
        <w:t xml:space="preserve"> and</w:t>
      </w:r>
      <w:r w:rsidRPr="00D97DA5">
        <w:rPr>
          <w:rFonts w:ascii="Arial" w:hAnsi="Arial" w:cs="Arial"/>
        </w:rPr>
        <w:t xml:space="preserve"> Bailey</w:t>
      </w:r>
      <w:r w:rsidR="0037616C" w:rsidRPr="00D97DA5">
        <w:rPr>
          <w:rFonts w:ascii="Arial" w:hAnsi="Arial" w:cs="Arial"/>
        </w:rPr>
        <w:t>,</w:t>
      </w:r>
      <w:r w:rsidRPr="00D97DA5">
        <w:rPr>
          <w:rFonts w:ascii="Arial" w:hAnsi="Arial" w:cs="Arial"/>
        </w:rPr>
        <w:t xml:space="preserve"> GM (1997</w:t>
      </w:r>
      <w:r w:rsidR="00FE0361" w:rsidRPr="00D97DA5">
        <w:rPr>
          <w:rFonts w:ascii="Arial" w:hAnsi="Arial" w:cs="Arial"/>
        </w:rPr>
        <w:t>),</w:t>
      </w:r>
      <w:r w:rsidRPr="00D97DA5">
        <w:rPr>
          <w:rFonts w:ascii="Arial" w:hAnsi="Arial" w:cs="Arial"/>
        </w:rPr>
        <w:t xml:space="preserve"> </w:t>
      </w:r>
      <w:r w:rsidR="00784EC2" w:rsidRPr="00D97DA5">
        <w:rPr>
          <w:rFonts w:ascii="Arial" w:hAnsi="Arial" w:cs="Arial"/>
        </w:rPr>
        <w:t>‘</w:t>
      </w:r>
      <w:r w:rsidRPr="00D97DA5">
        <w:rPr>
          <w:rFonts w:ascii="Arial" w:hAnsi="Arial" w:cs="Arial"/>
        </w:rPr>
        <w:t>Characterization of chemical species in PM</w:t>
      </w:r>
      <w:r w:rsidRPr="00D97DA5">
        <w:rPr>
          <w:rFonts w:ascii="Arial" w:hAnsi="Arial" w:cs="Arial"/>
          <w:vertAlign w:val="subscript"/>
        </w:rPr>
        <w:t>2.5</w:t>
      </w:r>
      <w:r w:rsidRPr="00D97DA5">
        <w:rPr>
          <w:rFonts w:ascii="Arial" w:hAnsi="Arial" w:cs="Arial"/>
        </w:rPr>
        <w:t xml:space="preserve"> and PM</w:t>
      </w:r>
      <w:r w:rsidRPr="00D97DA5">
        <w:rPr>
          <w:rFonts w:ascii="Arial" w:hAnsi="Arial" w:cs="Arial"/>
          <w:vertAlign w:val="subscript"/>
        </w:rPr>
        <w:t>10</w:t>
      </w:r>
      <w:r w:rsidRPr="00D97DA5">
        <w:rPr>
          <w:rFonts w:ascii="Arial" w:hAnsi="Arial" w:cs="Arial"/>
        </w:rPr>
        <w:t xml:space="preserve"> aerosols in Brisbane</w:t>
      </w:r>
      <w:r w:rsidR="00784EC2" w:rsidRPr="00D97DA5">
        <w:rPr>
          <w:rFonts w:ascii="Arial" w:hAnsi="Arial" w:cs="Arial"/>
        </w:rPr>
        <w:t>’</w:t>
      </w:r>
      <w:r w:rsidRPr="00D97DA5">
        <w:rPr>
          <w:rFonts w:ascii="Arial" w:hAnsi="Arial" w:cs="Arial"/>
        </w:rPr>
        <w:t xml:space="preserve">, </w:t>
      </w:r>
      <w:r w:rsidRPr="00D97DA5">
        <w:rPr>
          <w:rFonts w:ascii="Arial" w:hAnsi="Arial" w:cs="Arial"/>
          <w:i/>
        </w:rPr>
        <w:t>Atmospheric Environment</w:t>
      </w:r>
      <w:r w:rsidRPr="00D97DA5">
        <w:rPr>
          <w:rFonts w:ascii="Arial" w:hAnsi="Arial" w:cs="Arial"/>
        </w:rPr>
        <w:t xml:space="preserve">, </w:t>
      </w:r>
      <w:r w:rsidR="00784EC2" w:rsidRPr="00D97DA5">
        <w:rPr>
          <w:rFonts w:ascii="Arial" w:hAnsi="Arial" w:cs="Arial"/>
        </w:rPr>
        <w:t>v</w:t>
      </w:r>
      <w:r w:rsidR="002E2699" w:rsidRPr="00D97DA5">
        <w:rPr>
          <w:rFonts w:ascii="Arial" w:hAnsi="Arial" w:cs="Arial"/>
        </w:rPr>
        <w:t xml:space="preserve">ol. </w:t>
      </w:r>
      <w:r w:rsidRPr="00D97DA5">
        <w:rPr>
          <w:rFonts w:ascii="Arial" w:hAnsi="Arial" w:cs="Arial"/>
        </w:rPr>
        <w:t xml:space="preserve">31, </w:t>
      </w:r>
      <w:r w:rsidR="002E2699" w:rsidRPr="00D97DA5">
        <w:rPr>
          <w:rFonts w:ascii="Arial" w:hAnsi="Arial" w:cs="Arial"/>
        </w:rPr>
        <w:t xml:space="preserve">pp. </w:t>
      </w:r>
      <w:r w:rsidRPr="00D97DA5">
        <w:rPr>
          <w:rFonts w:ascii="Arial" w:hAnsi="Arial" w:cs="Arial"/>
        </w:rPr>
        <w:t>2061–2080.</w:t>
      </w:r>
    </w:p>
    <w:p w:rsidR="00FE0361" w:rsidRPr="00D97DA5" w:rsidRDefault="003C450D" w:rsidP="00FE0361">
      <w:pPr>
        <w:keepLines/>
        <w:rPr>
          <w:rFonts w:ascii="Arial" w:hAnsi="Arial" w:cs="Arial"/>
        </w:rPr>
      </w:pPr>
      <w:r w:rsidRPr="00D97DA5">
        <w:rPr>
          <w:rFonts w:ascii="Arial" w:hAnsi="Arial" w:cs="Arial"/>
        </w:rPr>
        <w:t>Chan</w:t>
      </w:r>
      <w:r w:rsidR="00784EC2" w:rsidRPr="00D97DA5">
        <w:rPr>
          <w:rFonts w:ascii="Arial" w:hAnsi="Arial" w:cs="Arial"/>
        </w:rPr>
        <w:t>,</w:t>
      </w:r>
      <w:r w:rsidRPr="00D97DA5">
        <w:rPr>
          <w:rFonts w:ascii="Arial" w:hAnsi="Arial" w:cs="Arial"/>
        </w:rPr>
        <w:t xml:space="preserve"> YC, Simpson</w:t>
      </w:r>
      <w:r w:rsidR="00784EC2" w:rsidRPr="00D97DA5">
        <w:rPr>
          <w:rFonts w:ascii="Arial" w:hAnsi="Arial" w:cs="Arial"/>
        </w:rPr>
        <w:t>,</w:t>
      </w:r>
      <w:r w:rsidRPr="00D97DA5">
        <w:rPr>
          <w:rFonts w:ascii="Arial" w:hAnsi="Arial" w:cs="Arial"/>
        </w:rPr>
        <w:t xml:space="preserve"> RW, </w:t>
      </w:r>
      <w:proofErr w:type="spellStart"/>
      <w:r w:rsidRPr="00D97DA5">
        <w:rPr>
          <w:rFonts w:ascii="Arial" w:hAnsi="Arial" w:cs="Arial"/>
        </w:rPr>
        <w:t>Mctainsh</w:t>
      </w:r>
      <w:proofErr w:type="spellEnd"/>
      <w:r w:rsidR="00784EC2" w:rsidRPr="00D97DA5">
        <w:rPr>
          <w:rFonts w:ascii="Arial" w:hAnsi="Arial" w:cs="Arial"/>
        </w:rPr>
        <w:t>,</w:t>
      </w:r>
      <w:r w:rsidRPr="00D97DA5">
        <w:rPr>
          <w:rFonts w:ascii="Arial" w:hAnsi="Arial" w:cs="Arial"/>
        </w:rPr>
        <w:t xml:space="preserve"> GH, </w:t>
      </w:r>
      <w:proofErr w:type="spellStart"/>
      <w:r w:rsidRPr="00D97DA5">
        <w:rPr>
          <w:rFonts w:ascii="Arial" w:hAnsi="Arial" w:cs="Arial"/>
        </w:rPr>
        <w:t>Vowles</w:t>
      </w:r>
      <w:proofErr w:type="spellEnd"/>
      <w:r w:rsidR="00784EC2" w:rsidRPr="00D97DA5">
        <w:rPr>
          <w:rFonts w:ascii="Arial" w:hAnsi="Arial" w:cs="Arial"/>
        </w:rPr>
        <w:t>,</w:t>
      </w:r>
      <w:r w:rsidRPr="00D97DA5">
        <w:rPr>
          <w:rFonts w:ascii="Arial" w:hAnsi="Arial" w:cs="Arial"/>
        </w:rPr>
        <w:t xml:space="preserve"> PD, Cohen</w:t>
      </w:r>
      <w:r w:rsidR="00784EC2" w:rsidRPr="00D97DA5">
        <w:rPr>
          <w:rFonts w:ascii="Arial" w:hAnsi="Arial" w:cs="Arial"/>
        </w:rPr>
        <w:t>,</w:t>
      </w:r>
      <w:r w:rsidRPr="00D97DA5">
        <w:rPr>
          <w:rFonts w:ascii="Arial" w:hAnsi="Arial" w:cs="Arial"/>
        </w:rPr>
        <w:t xml:space="preserve"> DD</w:t>
      </w:r>
      <w:r w:rsidR="004B4989" w:rsidRPr="00D97DA5">
        <w:rPr>
          <w:rFonts w:ascii="Arial" w:hAnsi="Arial" w:cs="Arial"/>
        </w:rPr>
        <w:t xml:space="preserve"> </w:t>
      </w:r>
      <w:r w:rsidRPr="00D97DA5">
        <w:rPr>
          <w:rFonts w:ascii="Arial" w:hAnsi="Arial" w:cs="Arial"/>
        </w:rPr>
        <w:t>and Bailey</w:t>
      </w:r>
      <w:r w:rsidR="00784EC2" w:rsidRPr="00D97DA5">
        <w:rPr>
          <w:rFonts w:ascii="Arial" w:hAnsi="Arial" w:cs="Arial"/>
        </w:rPr>
        <w:t>,</w:t>
      </w:r>
      <w:r w:rsidRPr="00D97DA5">
        <w:rPr>
          <w:rFonts w:ascii="Arial" w:hAnsi="Arial" w:cs="Arial"/>
        </w:rPr>
        <w:t xml:space="preserve"> GM (1999</w:t>
      </w:r>
      <w:r w:rsidR="00FE0361" w:rsidRPr="00D97DA5">
        <w:rPr>
          <w:rFonts w:ascii="Arial" w:hAnsi="Arial" w:cs="Arial"/>
        </w:rPr>
        <w:t>),</w:t>
      </w:r>
      <w:r w:rsidRPr="00D97DA5">
        <w:rPr>
          <w:rFonts w:ascii="Arial" w:hAnsi="Arial" w:cs="Arial"/>
        </w:rPr>
        <w:t xml:space="preserve"> </w:t>
      </w:r>
      <w:r w:rsidR="00BB1CED" w:rsidRPr="00D97DA5">
        <w:rPr>
          <w:rFonts w:ascii="Arial" w:hAnsi="Arial" w:cs="Arial"/>
        </w:rPr>
        <w:t>‘</w:t>
      </w:r>
      <w:r w:rsidRPr="00D97DA5">
        <w:rPr>
          <w:rFonts w:ascii="Arial" w:hAnsi="Arial" w:cs="Arial"/>
        </w:rPr>
        <w:t>Source apportionment of PM</w:t>
      </w:r>
      <w:r w:rsidRPr="00D97DA5">
        <w:rPr>
          <w:rFonts w:ascii="Arial" w:hAnsi="Arial" w:cs="Arial"/>
          <w:vertAlign w:val="subscript"/>
        </w:rPr>
        <w:t>2.5</w:t>
      </w:r>
      <w:r w:rsidRPr="00D97DA5">
        <w:rPr>
          <w:rFonts w:ascii="Arial" w:hAnsi="Arial" w:cs="Arial"/>
        </w:rPr>
        <w:t xml:space="preserve"> and PM</w:t>
      </w:r>
      <w:r w:rsidRPr="00D97DA5">
        <w:rPr>
          <w:rFonts w:ascii="Arial" w:hAnsi="Arial" w:cs="Arial"/>
          <w:vertAlign w:val="subscript"/>
        </w:rPr>
        <w:t>10</w:t>
      </w:r>
      <w:r w:rsidRPr="00D97DA5">
        <w:rPr>
          <w:rFonts w:ascii="Arial" w:hAnsi="Arial" w:cs="Arial"/>
        </w:rPr>
        <w:t xml:space="preserve"> aerosols in Brisbane (Australia) by receptor modelling</w:t>
      </w:r>
      <w:r w:rsidR="00BB1CED" w:rsidRPr="00D97DA5">
        <w:rPr>
          <w:rFonts w:ascii="Arial" w:hAnsi="Arial" w:cs="Arial"/>
        </w:rPr>
        <w:t>’</w:t>
      </w:r>
      <w:r w:rsidR="00881CDB" w:rsidRPr="00D97DA5">
        <w:rPr>
          <w:rFonts w:ascii="Arial" w:hAnsi="Arial" w:cs="Arial"/>
        </w:rPr>
        <w:t>,</w:t>
      </w:r>
      <w:r w:rsidRPr="00D97DA5">
        <w:rPr>
          <w:rFonts w:ascii="Arial" w:hAnsi="Arial" w:cs="Arial"/>
        </w:rPr>
        <w:t xml:space="preserve"> </w:t>
      </w:r>
      <w:r w:rsidRPr="00D97DA5">
        <w:rPr>
          <w:rFonts w:ascii="Arial" w:hAnsi="Arial" w:cs="Arial"/>
          <w:i/>
        </w:rPr>
        <w:t>Atmospheric Environment</w:t>
      </w:r>
      <w:r w:rsidRPr="00D97DA5">
        <w:rPr>
          <w:rFonts w:ascii="Arial" w:hAnsi="Arial" w:cs="Arial"/>
        </w:rPr>
        <w:t xml:space="preserve">, </w:t>
      </w:r>
      <w:r w:rsidR="00BB1CED" w:rsidRPr="00D97DA5">
        <w:rPr>
          <w:rFonts w:ascii="Arial" w:hAnsi="Arial" w:cs="Arial"/>
        </w:rPr>
        <w:t>v</w:t>
      </w:r>
      <w:r w:rsidRPr="00D97DA5">
        <w:rPr>
          <w:rFonts w:ascii="Arial" w:hAnsi="Arial" w:cs="Arial"/>
        </w:rPr>
        <w:t>ol. 33</w:t>
      </w:r>
      <w:r w:rsidR="00BB1CED" w:rsidRPr="00D97DA5">
        <w:rPr>
          <w:rFonts w:ascii="Arial" w:hAnsi="Arial" w:cs="Arial"/>
        </w:rPr>
        <w:t>(19)</w:t>
      </w:r>
      <w:r w:rsidRPr="00D97DA5">
        <w:rPr>
          <w:rFonts w:ascii="Arial" w:hAnsi="Arial" w:cs="Arial"/>
        </w:rPr>
        <w:t>, pp.</w:t>
      </w:r>
      <w:r w:rsidR="004B4989" w:rsidRPr="00D97DA5">
        <w:rPr>
          <w:rFonts w:ascii="Arial" w:hAnsi="Arial" w:cs="Arial"/>
        </w:rPr>
        <w:t xml:space="preserve"> </w:t>
      </w:r>
      <w:r w:rsidRPr="00D97DA5">
        <w:rPr>
          <w:rFonts w:ascii="Arial" w:hAnsi="Arial" w:cs="Arial"/>
        </w:rPr>
        <w:t>3251–3268.</w:t>
      </w:r>
    </w:p>
    <w:p w:rsidR="00FE0361" w:rsidRPr="00D97DA5" w:rsidRDefault="003C450D" w:rsidP="00FE0361">
      <w:pPr>
        <w:keepLines/>
        <w:rPr>
          <w:rFonts w:ascii="Arial" w:hAnsi="Arial" w:cs="Arial"/>
        </w:rPr>
      </w:pPr>
      <w:r w:rsidRPr="00D97DA5">
        <w:rPr>
          <w:rFonts w:ascii="Arial" w:hAnsi="Arial" w:cs="Arial"/>
        </w:rPr>
        <w:t>Chan</w:t>
      </w:r>
      <w:r w:rsidR="00BB1CED" w:rsidRPr="00D97DA5">
        <w:rPr>
          <w:rFonts w:ascii="Arial" w:hAnsi="Arial" w:cs="Arial"/>
        </w:rPr>
        <w:t>,</w:t>
      </w:r>
      <w:r w:rsidRPr="00D97DA5">
        <w:rPr>
          <w:rFonts w:ascii="Arial" w:hAnsi="Arial" w:cs="Arial"/>
        </w:rPr>
        <w:t xml:space="preserve"> YC, </w:t>
      </w:r>
      <w:proofErr w:type="spellStart"/>
      <w:r w:rsidRPr="00D97DA5">
        <w:rPr>
          <w:rFonts w:ascii="Arial" w:hAnsi="Arial" w:cs="Arial"/>
        </w:rPr>
        <w:t>Vowles</w:t>
      </w:r>
      <w:proofErr w:type="spellEnd"/>
      <w:r w:rsidR="00BB1CED" w:rsidRPr="00D97DA5">
        <w:rPr>
          <w:rFonts w:ascii="Arial" w:hAnsi="Arial" w:cs="Arial"/>
        </w:rPr>
        <w:t>,</w:t>
      </w:r>
      <w:r w:rsidRPr="00D97DA5">
        <w:rPr>
          <w:rFonts w:ascii="Arial" w:hAnsi="Arial" w:cs="Arial"/>
        </w:rPr>
        <w:t xml:space="preserve"> PD, </w:t>
      </w:r>
      <w:proofErr w:type="spellStart"/>
      <w:r w:rsidRPr="00D97DA5">
        <w:rPr>
          <w:rFonts w:ascii="Arial" w:hAnsi="Arial" w:cs="Arial"/>
        </w:rPr>
        <w:t>Mctainsh</w:t>
      </w:r>
      <w:proofErr w:type="spellEnd"/>
      <w:r w:rsidR="00BB1CED" w:rsidRPr="00D97DA5">
        <w:rPr>
          <w:rFonts w:ascii="Arial" w:hAnsi="Arial" w:cs="Arial"/>
        </w:rPr>
        <w:t>,</w:t>
      </w:r>
      <w:r w:rsidRPr="00D97DA5">
        <w:rPr>
          <w:rFonts w:ascii="Arial" w:hAnsi="Arial" w:cs="Arial"/>
        </w:rPr>
        <w:t xml:space="preserve"> GH, Simpson</w:t>
      </w:r>
      <w:r w:rsidR="00BB1CED" w:rsidRPr="00D97DA5">
        <w:rPr>
          <w:rFonts w:ascii="Arial" w:hAnsi="Arial" w:cs="Arial"/>
        </w:rPr>
        <w:t>,</w:t>
      </w:r>
      <w:r w:rsidRPr="00D97DA5">
        <w:rPr>
          <w:rFonts w:ascii="Arial" w:hAnsi="Arial" w:cs="Arial"/>
        </w:rPr>
        <w:t xml:space="preserve"> RW, Cohen</w:t>
      </w:r>
      <w:r w:rsidR="00BB1CED" w:rsidRPr="00D97DA5">
        <w:rPr>
          <w:rFonts w:ascii="Arial" w:hAnsi="Arial" w:cs="Arial"/>
        </w:rPr>
        <w:t>,</w:t>
      </w:r>
      <w:r w:rsidRPr="00D97DA5">
        <w:rPr>
          <w:rFonts w:ascii="Arial" w:hAnsi="Arial" w:cs="Arial"/>
        </w:rPr>
        <w:t xml:space="preserve"> DD, Bailey</w:t>
      </w:r>
      <w:r w:rsidR="00BB1CED" w:rsidRPr="00D97DA5">
        <w:rPr>
          <w:rFonts w:ascii="Arial" w:hAnsi="Arial" w:cs="Arial"/>
        </w:rPr>
        <w:t>,</w:t>
      </w:r>
      <w:r w:rsidRPr="00D97DA5">
        <w:rPr>
          <w:rFonts w:ascii="Arial" w:hAnsi="Arial" w:cs="Arial"/>
        </w:rPr>
        <w:t xml:space="preserve"> GM and </w:t>
      </w:r>
      <w:proofErr w:type="spellStart"/>
      <w:r w:rsidRPr="00D97DA5">
        <w:rPr>
          <w:rFonts w:ascii="Arial" w:hAnsi="Arial" w:cs="Arial"/>
        </w:rPr>
        <w:t>McOrist</w:t>
      </w:r>
      <w:proofErr w:type="spellEnd"/>
      <w:r w:rsidR="00BB1CED" w:rsidRPr="00D97DA5">
        <w:rPr>
          <w:rFonts w:ascii="Arial" w:hAnsi="Arial" w:cs="Arial"/>
        </w:rPr>
        <w:t>,</w:t>
      </w:r>
      <w:r w:rsidRPr="00D97DA5">
        <w:rPr>
          <w:rFonts w:ascii="Arial" w:hAnsi="Arial" w:cs="Arial"/>
        </w:rPr>
        <w:t xml:space="preserve"> GD (2000</w:t>
      </w:r>
      <w:r w:rsidR="00FE0361" w:rsidRPr="00D97DA5">
        <w:rPr>
          <w:rFonts w:ascii="Arial" w:hAnsi="Arial" w:cs="Arial"/>
        </w:rPr>
        <w:t>),</w:t>
      </w:r>
      <w:r w:rsidRPr="00D97DA5">
        <w:rPr>
          <w:rFonts w:ascii="Arial" w:hAnsi="Arial" w:cs="Arial"/>
        </w:rPr>
        <w:t xml:space="preserve"> </w:t>
      </w:r>
      <w:r w:rsidR="00BB1CED" w:rsidRPr="00D97DA5">
        <w:rPr>
          <w:rFonts w:ascii="Arial" w:hAnsi="Arial" w:cs="Arial"/>
        </w:rPr>
        <w:t>‘</w:t>
      </w:r>
      <w:r w:rsidRPr="00D97DA5">
        <w:rPr>
          <w:rFonts w:ascii="Arial" w:hAnsi="Arial" w:cs="Arial"/>
        </w:rPr>
        <w:t>Characterisation and source identification of PM</w:t>
      </w:r>
      <w:r w:rsidRPr="00D97DA5">
        <w:rPr>
          <w:rFonts w:ascii="Arial" w:hAnsi="Arial" w:cs="Arial"/>
          <w:vertAlign w:val="subscript"/>
        </w:rPr>
        <w:t>10</w:t>
      </w:r>
      <w:r w:rsidRPr="00D97DA5">
        <w:rPr>
          <w:rFonts w:ascii="Arial" w:hAnsi="Arial" w:cs="Arial"/>
        </w:rPr>
        <w:t xml:space="preserve"> aerosol samples collected with a high volume cascade </w:t>
      </w:r>
      <w:proofErr w:type="spellStart"/>
      <w:r w:rsidRPr="00D97DA5">
        <w:rPr>
          <w:rFonts w:ascii="Arial" w:hAnsi="Arial" w:cs="Arial"/>
        </w:rPr>
        <w:t>impactor</w:t>
      </w:r>
      <w:proofErr w:type="spellEnd"/>
      <w:r w:rsidRPr="00D97DA5">
        <w:rPr>
          <w:rFonts w:ascii="Arial" w:hAnsi="Arial" w:cs="Arial"/>
        </w:rPr>
        <w:t xml:space="preserve"> in Brisbane (Australia</w:t>
      </w:r>
      <w:r w:rsidR="00FE0361" w:rsidRPr="00D97DA5">
        <w:rPr>
          <w:rFonts w:ascii="Arial" w:hAnsi="Arial" w:cs="Arial"/>
        </w:rPr>
        <w:t>)</w:t>
      </w:r>
      <w:r w:rsidR="00BB1CED" w:rsidRPr="00D97DA5">
        <w:rPr>
          <w:rFonts w:ascii="Arial" w:hAnsi="Arial" w:cs="Arial"/>
        </w:rPr>
        <w:t>’</w:t>
      </w:r>
      <w:r w:rsidR="00FE0361" w:rsidRPr="00D97DA5">
        <w:rPr>
          <w:rFonts w:ascii="Arial" w:hAnsi="Arial" w:cs="Arial"/>
        </w:rPr>
        <w:t>,</w:t>
      </w:r>
      <w:r w:rsidRPr="00D97DA5">
        <w:rPr>
          <w:rFonts w:ascii="Arial" w:hAnsi="Arial" w:cs="Arial"/>
        </w:rPr>
        <w:t xml:space="preserve"> </w:t>
      </w:r>
      <w:r w:rsidRPr="00D97DA5">
        <w:rPr>
          <w:rFonts w:ascii="Arial" w:hAnsi="Arial" w:cs="Arial"/>
          <w:i/>
        </w:rPr>
        <w:t>The Science of the Total Environment</w:t>
      </w:r>
      <w:r w:rsidRPr="00D97DA5">
        <w:rPr>
          <w:rFonts w:ascii="Arial" w:hAnsi="Arial" w:cs="Arial"/>
        </w:rPr>
        <w:t xml:space="preserve">, </w:t>
      </w:r>
      <w:r w:rsidR="00BB1CED" w:rsidRPr="00D97DA5">
        <w:rPr>
          <w:rFonts w:ascii="Arial" w:hAnsi="Arial" w:cs="Arial"/>
        </w:rPr>
        <w:t>v</w:t>
      </w:r>
      <w:r w:rsidRPr="00D97DA5">
        <w:rPr>
          <w:rFonts w:ascii="Arial" w:hAnsi="Arial" w:cs="Arial"/>
        </w:rPr>
        <w:t>ol. 262, pp. 5</w:t>
      </w:r>
      <w:r w:rsidR="00BB1CED" w:rsidRPr="00D97DA5">
        <w:rPr>
          <w:rFonts w:ascii="Arial" w:hAnsi="Arial" w:cs="Arial"/>
        </w:rPr>
        <w:t>–</w:t>
      </w:r>
      <w:r w:rsidRPr="00D97DA5">
        <w:rPr>
          <w:rFonts w:ascii="Arial" w:hAnsi="Arial" w:cs="Arial"/>
        </w:rPr>
        <w:t>19.</w:t>
      </w:r>
    </w:p>
    <w:p w:rsidR="00FE0361" w:rsidRPr="00D97DA5" w:rsidRDefault="003C450D" w:rsidP="00FE0361">
      <w:pPr>
        <w:keepLines/>
        <w:rPr>
          <w:rFonts w:ascii="Arial" w:hAnsi="Arial" w:cs="Arial"/>
        </w:rPr>
      </w:pPr>
      <w:r w:rsidRPr="00D97DA5">
        <w:rPr>
          <w:rFonts w:ascii="Arial" w:hAnsi="Arial" w:cs="Arial"/>
        </w:rPr>
        <w:t>Chan</w:t>
      </w:r>
      <w:r w:rsidR="00BB1CED" w:rsidRPr="00D97DA5">
        <w:rPr>
          <w:rFonts w:ascii="Arial" w:hAnsi="Arial" w:cs="Arial"/>
        </w:rPr>
        <w:t>,</w:t>
      </w:r>
      <w:r w:rsidRPr="00D97DA5">
        <w:rPr>
          <w:rFonts w:ascii="Arial" w:hAnsi="Arial" w:cs="Arial"/>
        </w:rPr>
        <w:t xml:space="preserve"> YC, Cohen</w:t>
      </w:r>
      <w:r w:rsidR="00BB1CED" w:rsidRPr="00D97DA5">
        <w:rPr>
          <w:rFonts w:ascii="Arial" w:hAnsi="Arial" w:cs="Arial"/>
        </w:rPr>
        <w:t>,</w:t>
      </w:r>
      <w:r w:rsidRPr="00D97DA5">
        <w:rPr>
          <w:rFonts w:ascii="Arial" w:hAnsi="Arial" w:cs="Arial"/>
        </w:rPr>
        <w:t xml:space="preserve"> DD, </w:t>
      </w:r>
      <w:proofErr w:type="spellStart"/>
      <w:r w:rsidRPr="00D97DA5">
        <w:rPr>
          <w:rFonts w:ascii="Arial" w:hAnsi="Arial" w:cs="Arial"/>
        </w:rPr>
        <w:t>Hawas</w:t>
      </w:r>
      <w:proofErr w:type="spellEnd"/>
      <w:r w:rsidR="00BB1CED" w:rsidRPr="00D97DA5">
        <w:rPr>
          <w:rFonts w:ascii="Arial" w:hAnsi="Arial" w:cs="Arial"/>
        </w:rPr>
        <w:t>,</w:t>
      </w:r>
      <w:r w:rsidRPr="00D97DA5">
        <w:rPr>
          <w:rFonts w:ascii="Arial" w:hAnsi="Arial" w:cs="Arial"/>
        </w:rPr>
        <w:t xml:space="preserve"> O, </w:t>
      </w:r>
      <w:proofErr w:type="spellStart"/>
      <w:r w:rsidRPr="00D97DA5">
        <w:rPr>
          <w:rFonts w:ascii="Arial" w:hAnsi="Arial" w:cs="Arial"/>
        </w:rPr>
        <w:t>Stelcer</w:t>
      </w:r>
      <w:proofErr w:type="spellEnd"/>
      <w:r w:rsidR="00BB1CED" w:rsidRPr="00D97DA5">
        <w:rPr>
          <w:rFonts w:ascii="Arial" w:hAnsi="Arial" w:cs="Arial"/>
        </w:rPr>
        <w:t>,</w:t>
      </w:r>
      <w:r w:rsidRPr="00D97DA5">
        <w:rPr>
          <w:rFonts w:ascii="Arial" w:hAnsi="Arial" w:cs="Arial"/>
        </w:rPr>
        <w:t xml:space="preserve"> E, Simpson</w:t>
      </w:r>
      <w:r w:rsidR="00BB1CED" w:rsidRPr="00D97DA5">
        <w:rPr>
          <w:rFonts w:ascii="Arial" w:hAnsi="Arial" w:cs="Arial"/>
        </w:rPr>
        <w:t>,</w:t>
      </w:r>
      <w:r w:rsidRPr="00D97DA5">
        <w:rPr>
          <w:rFonts w:ascii="Arial" w:hAnsi="Arial" w:cs="Arial"/>
        </w:rPr>
        <w:t xml:space="preserve"> R, Denison</w:t>
      </w:r>
      <w:r w:rsidR="00BB1CED" w:rsidRPr="00D97DA5">
        <w:rPr>
          <w:rFonts w:ascii="Arial" w:hAnsi="Arial" w:cs="Arial"/>
        </w:rPr>
        <w:t>,</w:t>
      </w:r>
      <w:r w:rsidRPr="00D97DA5">
        <w:rPr>
          <w:rFonts w:ascii="Arial" w:hAnsi="Arial" w:cs="Arial"/>
        </w:rPr>
        <w:t xml:space="preserve"> L, Wong</w:t>
      </w:r>
      <w:r w:rsidR="00BB1CED" w:rsidRPr="00D97DA5">
        <w:rPr>
          <w:rFonts w:ascii="Arial" w:hAnsi="Arial" w:cs="Arial"/>
        </w:rPr>
        <w:t>,</w:t>
      </w:r>
      <w:r w:rsidRPr="00D97DA5">
        <w:rPr>
          <w:rFonts w:ascii="Arial" w:hAnsi="Arial" w:cs="Arial"/>
        </w:rPr>
        <w:t xml:space="preserve"> N, Hodge</w:t>
      </w:r>
      <w:r w:rsidR="00BB1CED" w:rsidRPr="00D97DA5">
        <w:rPr>
          <w:rFonts w:ascii="Arial" w:hAnsi="Arial" w:cs="Arial"/>
        </w:rPr>
        <w:t>,</w:t>
      </w:r>
      <w:r w:rsidRPr="00D97DA5">
        <w:rPr>
          <w:rFonts w:ascii="Arial" w:hAnsi="Arial" w:cs="Arial"/>
        </w:rPr>
        <w:t xml:space="preserve"> M, Comino</w:t>
      </w:r>
      <w:r w:rsidR="00BB1CED" w:rsidRPr="00D97DA5">
        <w:rPr>
          <w:rFonts w:ascii="Arial" w:hAnsi="Arial" w:cs="Arial"/>
        </w:rPr>
        <w:t>,</w:t>
      </w:r>
      <w:r w:rsidRPr="00D97DA5">
        <w:rPr>
          <w:rFonts w:ascii="Arial" w:hAnsi="Arial" w:cs="Arial"/>
        </w:rPr>
        <w:t xml:space="preserve"> E and </w:t>
      </w:r>
      <w:proofErr w:type="spellStart"/>
      <w:r w:rsidRPr="00D97DA5">
        <w:rPr>
          <w:rFonts w:ascii="Arial" w:hAnsi="Arial" w:cs="Arial"/>
        </w:rPr>
        <w:t>Carswell</w:t>
      </w:r>
      <w:proofErr w:type="spellEnd"/>
      <w:r w:rsidR="00BB1CED" w:rsidRPr="00D97DA5">
        <w:rPr>
          <w:rFonts w:ascii="Arial" w:hAnsi="Arial" w:cs="Arial"/>
        </w:rPr>
        <w:t>,</w:t>
      </w:r>
      <w:r w:rsidRPr="00D97DA5">
        <w:rPr>
          <w:rFonts w:ascii="Arial" w:hAnsi="Arial" w:cs="Arial"/>
        </w:rPr>
        <w:t xml:space="preserve"> S (2008</w:t>
      </w:r>
      <w:r w:rsidR="00FE0361" w:rsidRPr="00D97DA5">
        <w:rPr>
          <w:rFonts w:ascii="Arial" w:hAnsi="Arial" w:cs="Arial"/>
        </w:rPr>
        <w:t>),</w:t>
      </w:r>
      <w:r w:rsidRPr="00D97DA5">
        <w:rPr>
          <w:rFonts w:ascii="Arial" w:hAnsi="Arial" w:cs="Arial"/>
        </w:rPr>
        <w:t xml:space="preserve"> </w:t>
      </w:r>
      <w:r w:rsidR="00BB1CED" w:rsidRPr="00D97DA5">
        <w:rPr>
          <w:rFonts w:ascii="Arial" w:hAnsi="Arial" w:cs="Arial"/>
        </w:rPr>
        <w:t>‘</w:t>
      </w:r>
      <w:r w:rsidRPr="00D97DA5">
        <w:rPr>
          <w:rFonts w:ascii="Arial" w:hAnsi="Arial" w:cs="Arial"/>
        </w:rPr>
        <w:t>Apportionment of sources of fine and coarse particles in four major Australian cities by positive matrix factorisation</w:t>
      </w:r>
      <w:r w:rsidR="00BB1CED" w:rsidRPr="00D97DA5">
        <w:rPr>
          <w:rFonts w:ascii="Arial" w:hAnsi="Arial" w:cs="Arial"/>
        </w:rPr>
        <w:t>’</w:t>
      </w:r>
      <w:r w:rsidR="00881CDB" w:rsidRPr="00D97DA5">
        <w:rPr>
          <w:rFonts w:ascii="Arial" w:hAnsi="Arial" w:cs="Arial"/>
        </w:rPr>
        <w:t>,</w:t>
      </w:r>
      <w:r w:rsidRPr="00D97DA5">
        <w:rPr>
          <w:rFonts w:ascii="Arial" w:hAnsi="Arial" w:cs="Arial"/>
        </w:rPr>
        <w:t xml:space="preserve"> </w:t>
      </w:r>
      <w:r w:rsidRPr="00D97DA5">
        <w:rPr>
          <w:rFonts w:ascii="Arial" w:hAnsi="Arial" w:cs="Arial"/>
          <w:i/>
        </w:rPr>
        <w:t>Atmospheric Environment</w:t>
      </w:r>
      <w:r w:rsidRPr="00D97DA5">
        <w:rPr>
          <w:rFonts w:ascii="Arial" w:hAnsi="Arial" w:cs="Arial"/>
        </w:rPr>
        <w:t xml:space="preserve">, </w:t>
      </w:r>
      <w:r w:rsidR="00BB1CED" w:rsidRPr="00D97DA5">
        <w:rPr>
          <w:rFonts w:ascii="Arial" w:hAnsi="Arial" w:cs="Arial"/>
        </w:rPr>
        <w:t>v</w:t>
      </w:r>
      <w:r w:rsidRPr="00D97DA5">
        <w:rPr>
          <w:rFonts w:ascii="Arial" w:hAnsi="Arial" w:cs="Arial"/>
        </w:rPr>
        <w:t>ol. 42</w:t>
      </w:r>
      <w:r w:rsidR="00BB1CED" w:rsidRPr="00D97DA5">
        <w:rPr>
          <w:rFonts w:ascii="Arial" w:hAnsi="Arial" w:cs="Arial"/>
        </w:rPr>
        <w:t>(2)</w:t>
      </w:r>
      <w:r w:rsidRPr="00D97DA5">
        <w:rPr>
          <w:rFonts w:ascii="Arial" w:hAnsi="Arial" w:cs="Arial"/>
        </w:rPr>
        <w:t>, pp. 374–389.</w:t>
      </w:r>
    </w:p>
    <w:p w:rsidR="00FE0361" w:rsidRPr="00D97DA5" w:rsidRDefault="003C450D" w:rsidP="00FE0361">
      <w:pPr>
        <w:keepLines/>
        <w:rPr>
          <w:rFonts w:ascii="Arial" w:hAnsi="Arial" w:cs="Arial"/>
        </w:rPr>
      </w:pPr>
      <w:r w:rsidRPr="00D97DA5">
        <w:rPr>
          <w:rFonts w:ascii="Arial" w:hAnsi="Arial" w:cs="Arial"/>
        </w:rPr>
        <w:t>Chan</w:t>
      </w:r>
      <w:r w:rsidR="00BB1CED" w:rsidRPr="00D97DA5">
        <w:rPr>
          <w:rFonts w:ascii="Arial" w:hAnsi="Arial" w:cs="Arial"/>
        </w:rPr>
        <w:t>,</w:t>
      </w:r>
      <w:r w:rsidRPr="00D97DA5">
        <w:rPr>
          <w:rFonts w:ascii="Arial" w:hAnsi="Arial" w:cs="Arial"/>
        </w:rPr>
        <w:t xml:space="preserve"> YC, </w:t>
      </w:r>
      <w:proofErr w:type="spellStart"/>
      <w:r w:rsidRPr="00D97DA5">
        <w:rPr>
          <w:rFonts w:ascii="Arial" w:hAnsi="Arial" w:cs="Arial"/>
        </w:rPr>
        <w:t>Hawas</w:t>
      </w:r>
      <w:proofErr w:type="spellEnd"/>
      <w:r w:rsidR="00BB1CED" w:rsidRPr="00D97DA5">
        <w:rPr>
          <w:rFonts w:ascii="Arial" w:hAnsi="Arial" w:cs="Arial"/>
        </w:rPr>
        <w:t>,</w:t>
      </w:r>
      <w:r w:rsidRPr="00D97DA5">
        <w:rPr>
          <w:rFonts w:ascii="Arial" w:hAnsi="Arial" w:cs="Arial"/>
        </w:rPr>
        <w:t xml:space="preserve"> O, Hawker</w:t>
      </w:r>
      <w:r w:rsidR="00BB1CED" w:rsidRPr="00D97DA5">
        <w:rPr>
          <w:rFonts w:ascii="Arial" w:hAnsi="Arial" w:cs="Arial"/>
        </w:rPr>
        <w:t>,</w:t>
      </w:r>
      <w:r w:rsidRPr="00D97DA5">
        <w:rPr>
          <w:rFonts w:ascii="Arial" w:hAnsi="Arial" w:cs="Arial"/>
        </w:rPr>
        <w:t xml:space="preserve"> D, </w:t>
      </w:r>
      <w:proofErr w:type="spellStart"/>
      <w:r w:rsidRPr="00D97DA5">
        <w:rPr>
          <w:rFonts w:ascii="Arial" w:hAnsi="Arial" w:cs="Arial"/>
        </w:rPr>
        <w:t>Vowles</w:t>
      </w:r>
      <w:proofErr w:type="spellEnd"/>
      <w:r w:rsidR="00BB1CED" w:rsidRPr="00D97DA5">
        <w:rPr>
          <w:rFonts w:ascii="Arial" w:hAnsi="Arial" w:cs="Arial"/>
        </w:rPr>
        <w:t>,</w:t>
      </w:r>
      <w:r w:rsidRPr="00D97DA5">
        <w:rPr>
          <w:rFonts w:ascii="Arial" w:hAnsi="Arial" w:cs="Arial"/>
        </w:rPr>
        <w:t xml:space="preserve"> P, Cohen</w:t>
      </w:r>
      <w:r w:rsidR="00BB1CED" w:rsidRPr="00D97DA5">
        <w:rPr>
          <w:rFonts w:ascii="Arial" w:hAnsi="Arial" w:cs="Arial"/>
        </w:rPr>
        <w:t>,</w:t>
      </w:r>
      <w:r w:rsidRPr="00D97DA5">
        <w:rPr>
          <w:rFonts w:ascii="Arial" w:hAnsi="Arial" w:cs="Arial"/>
        </w:rPr>
        <w:t xml:space="preserve"> DD, </w:t>
      </w:r>
      <w:proofErr w:type="spellStart"/>
      <w:r w:rsidRPr="00D97DA5">
        <w:rPr>
          <w:rFonts w:ascii="Arial" w:hAnsi="Arial" w:cs="Arial"/>
        </w:rPr>
        <w:t>Stelcer</w:t>
      </w:r>
      <w:proofErr w:type="spellEnd"/>
      <w:r w:rsidR="00BB1CED" w:rsidRPr="00D97DA5">
        <w:rPr>
          <w:rFonts w:ascii="Arial" w:hAnsi="Arial" w:cs="Arial"/>
        </w:rPr>
        <w:t>,</w:t>
      </w:r>
      <w:r w:rsidRPr="00D97DA5">
        <w:rPr>
          <w:rFonts w:ascii="Arial" w:hAnsi="Arial" w:cs="Arial"/>
        </w:rPr>
        <w:t xml:space="preserve"> E, Simpson</w:t>
      </w:r>
      <w:r w:rsidR="00BB1CED" w:rsidRPr="00D97DA5">
        <w:rPr>
          <w:rFonts w:ascii="Arial" w:hAnsi="Arial" w:cs="Arial"/>
        </w:rPr>
        <w:t>,</w:t>
      </w:r>
      <w:r w:rsidRPr="00D97DA5">
        <w:rPr>
          <w:rFonts w:ascii="Arial" w:hAnsi="Arial" w:cs="Arial"/>
        </w:rPr>
        <w:t xml:space="preserve"> R, Golding</w:t>
      </w:r>
      <w:r w:rsidR="00BB1CED" w:rsidRPr="00D97DA5">
        <w:rPr>
          <w:rFonts w:ascii="Arial" w:hAnsi="Arial" w:cs="Arial"/>
        </w:rPr>
        <w:t>,</w:t>
      </w:r>
      <w:r w:rsidRPr="00D97DA5">
        <w:rPr>
          <w:rFonts w:ascii="Arial" w:hAnsi="Arial" w:cs="Arial"/>
        </w:rPr>
        <w:t xml:space="preserve"> G and Christensen</w:t>
      </w:r>
      <w:r w:rsidR="00BB1CED" w:rsidRPr="00D97DA5">
        <w:rPr>
          <w:rFonts w:ascii="Arial" w:hAnsi="Arial" w:cs="Arial"/>
        </w:rPr>
        <w:t>,</w:t>
      </w:r>
      <w:r w:rsidRPr="00D97DA5">
        <w:rPr>
          <w:rFonts w:ascii="Arial" w:hAnsi="Arial" w:cs="Arial"/>
        </w:rPr>
        <w:t xml:space="preserve"> E (2011</w:t>
      </w:r>
      <w:r w:rsidR="00FE0361" w:rsidRPr="00D97DA5">
        <w:rPr>
          <w:rFonts w:ascii="Arial" w:hAnsi="Arial" w:cs="Arial"/>
        </w:rPr>
        <w:t>),</w:t>
      </w:r>
      <w:r w:rsidRPr="00D97DA5">
        <w:rPr>
          <w:rFonts w:ascii="Arial" w:hAnsi="Arial" w:cs="Arial"/>
        </w:rPr>
        <w:t xml:space="preserve"> </w:t>
      </w:r>
      <w:r w:rsidR="00BB1CED" w:rsidRPr="00D97DA5">
        <w:rPr>
          <w:rFonts w:ascii="Arial" w:hAnsi="Arial" w:cs="Arial"/>
        </w:rPr>
        <w:t>‘</w:t>
      </w:r>
      <w:r w:rsidRPr="00D97DA5">
        <w:rPr>
          <w:rFonts w:ascii="Arial" w:hAnsi="Arial" w:cs="Arial"/>
        </w:rPr>
        <w:t>Using multiple type composition data and wind data in PMF analysis to apportion and locate sources of air pollutants</w:t>
      </w:r>
      <w:r w:rsidR="00BB1CED" w:rsidRPr="00D97DA5">
        <w:rPr>
          <w:rFonts w:ascii="Arial" w:hAnsi="Arial" w:cs="Arial"/>
        </w:rPr>
        <w:t>’</w:t>
      </w:r>
      <w:r w:rsidR="00881CDB" w:rsidRPr="00D97DA5">
        <w:rPr>
          <w:rFonts w:ascii="Arial" w:hAnsi="Arial" w:cs="Arial"/>
        </w:rPr>
        <w:t>,</w:t>
      </w:r>
      <w:r w:rsidRPr="00D97DA5">
        <w:rPr>
          <w:rFonts w:ascii="Arial" w:hAnsi="Arial" w:cs="Arial"/>
        </w:rPr>
        <w:t xml:space="preserve"> </w:t>
      </w:r>
      <w:r w:rsidRPr="00D97DA5">
        <w:rPr>
          <w:rFonts w:ascii="Arial" w:hAnsi="Arial" w:cs="Arial"/>
          <w:i/>
        </w:rPr>
        <w:t>Atmospheric Environment</w:t>
      </w:r>
      <w:r w:rsidRPr="00D97DA5">
        <w:rPr>
          <w:rFonts w:ascii="Arial" w:hAnsi="Arial" w:cs="Arial"/>
        </w:rPr>
        <w:t xml:space="preserve">, </w:t>
      </w:r>
      <w:r w:rsidR="00BB1CED" w:rsidRPr="00D97DA5">
        <w:rPr>
          <w:rFonts w:ascii="Arial" w:hAnsi="Arial" w:cs="Arial"/>
        </w:rPr>
        <w:t>v</w:t>
      </w:r>
      <w:r w:rsidRPr="00D97DA5">
        <w:rPr>
          <w:rFonts w:ascii="Arial" w:hAnsi="Arial" w:cs="Arial"/>
        </w:rPr>
        <w:t>ol. 45</w:t>
      </w:r>
      <w:r w:rsidR="00BB1CED" w:rsidRPr="00D97DA5">
        <w:rPr>
          <w:rFonts w:ascii="Arial" w:hAnsi="Arial" w:cs="Arial"/>
        </w:rPr>
        <w:t>(2)</w:t>
      </w:r>
      <w:r w:rsidRPr="00D97DA5">
        <w:rPr>
          <w:rFonts w:ascii="Arial" w:hAnsi="Arial" w:cs="Arial"/>
        </w:rPr>
        <w:t>, pp. 439–449.</w:t>
      </w:r>
    </w:p>
    <w:p w:rsidR="00FE0361" w:rsidRPr="00D97DA5" w:rsidRDefault="00C12A1F" w:rsidP="00FE0361">
      <w:pPr>
        <w:keepLines/>
        <w:rPr>
          <w:rFonts w:ascii="Arial" w:hAnsi="Arial" w:cs="Arial"/>
        </w:rPr>
      </w:pPr>
      <w:proofErr w:type="spellStart"/>
      <w:r w:rsidRPr="00D97DA5">
        <w:rPr>
          <w:rFonts w:ascii="Arial" w:hAnsi="Arial" w:cs="Arial"/>
        </w:rPr>
        <w:t>C</w:t>
      </w:r>
      <w:r w:rsidR="00443F5C" w:rsidRPr="00D97DA5">
        <w:rPr>
          <w:rFonts w:ascii="Arial" w:hAnsi="Arial" w:cs="Arial"/>
        </w:rPr>
        <w:t>h</w:t>
      </w:r>
      <w:r w:rsidRPr="00D97DA5">
        <w:rPr>
          <w:rFonts w:ascii="Arial" w:hAnsi="Arial" w:cs="Arial"/>
        </w:rPr>
        <w:t>arron</w:t>
      </w:r>
      <w:proofErr w:type="spellEnd"/>
      <w:r w:rsidR="00BB1CED" w:rsidRPr="00D97DA5">
        <w:rPr>
          <w:rFonts w:ascii="Arial" w:hAnsi="Arial" w:cs="Arial"/>
        </w:rPr>
        <w:t>,</w:t>
      </w:r>
      <w:r w:rsidRPr="00D97DA5">
        <w:rPr>
          <w:rFonts w:ascii="Arial" w:hAnsi="Arial" w:cs="Arial"/>
        </w:rPr>
        <w:t xml:space="preserve"> A, Harrison</w:t>
      </w:r>
      <w:r w:rsidR="00BB1CED" w:rsidRPr="00D97DA5">
        <w:rPr>
          <w:rFonts w:ascii="Arial" w:hAnsi="Arial" w:cs="Arial"/>
        </w:rPr>
        <w:t>,</w:t>
      </w:r>
      <w:r w:rsidRPr="00D97DA5">
        <w:rPr>
          <w:rFonts w:ascii="Arial" w:hAnsi="Arial" w:cs="Arial"/>
        </w:rPr>
        <w:t xml:space="preserve"> RM, Moorcroft</w:t>
      </w:r>
      <w:r w:rsidR="00BB1CED" w:rsidRPr="00D97DA5">
        <w:rPr>
          <w:rFonts w:ascii="Arial" w:hAnsi="Arial" w:cs="Arial"/>
        </w:rPr>
        <w:t>,</w:t>
      </w:r>
      <w:r w:rsidRPr="00D97DA5">
        <w:rPr>
          <w:rFonts w:ascii="Arial" w:hAnsi="Arial" w:cs="Arial"/>
        </w:rPr>
        <w:t xml:space="preserve"> S and Booker</w:t>
      </w:r>
      <w:r w:rsidR="00BB1CED" w:rsidRPr="00D97DA5">
        <w:rPr>
          <w:rFonts w:ascii="Arial" w:hAnsi="Arial" w:cs="Arial"/>
        </w:rPr>
        <w:t>,</w:t>
      </w:r>
      <w:r w:rsidRPr="00D97DA5">
        <w:rPr>
          <w:rFonts w:ascii="Arial" w:hAnsi="Arial" w:cs="Arial"/>
        </w:rPr>
        <w:t xml:space="preserve"> J (2004</w:t>
      </w:r>
      <w:r w:rsidR="00FE0361" w:rsidRPr="00D97DA5">
        <w:rPr>
          <w:rFonts w:ascii="Arial" w:hAnsi="Arial" w:cs="Arial"/>
        </w:rPr>
        <w:t>),</w:t>
      </w:r>
      <w:r w:rsidRPr="00D97DA5">
        <w:rPr>
          <w:rFonts w:ascii="Arial" w:hAnsi="Arial" w:cs="Arial"/>
        </w:rPr>
        <w:t xml:space="preserve"> </w:t>
      </w:r>
      <w:r w:rsidR="00BB1CED" w:rsidRPr="00D97DA5">
        <w:rPr>
          <w:rFonts w:ascii="Arial" w:hAnsi="Arial" w:cs="Arial"/>
        </w:rPr>
        <w:t>‘</w:t>
      </w:r>
      <w:r w:rsidRPr="00D97DA5">
        <w:rPr>
          <w:rFonts w:ascii="Arial" w:hAnsi="Arial" w:cs="Arial"/>
        </w:rPr>
        <w:t>Quantitative interpretation of divergence between PM</w:t>
      </w:r>
      <w:r w:rsidRPr="00D97DA5">
        <w:rPr>
          <w:rFonts w:ascii="Arial" w:hAnsi="Arial" w:cs="Arial"/>
          <w:vertAlign w:val="subscript"/>
        </w:rPr>
        <w:t>10</w:t>
      </w:r>
      <w:r w:rsidRPr="00D97DA5">
        <w:rPr>
          <w:rFonts w:ascii="Arial" w:hAnsi="Arial" w:cs="Arial"/>
        </w:rPr>
        <w:t xml:space="preserve"> and PM</w:t>
      </w:r>
      <w:r w:rsidRPr="00D97DA5">
        <w:rPr>
          <w:rFonts w:ascii="Arial" w:hAnsi="Arial" w:cs="Arial"/>
          <w:vertAlign w:val="subscript"/>
        </w:rPr>
        <w:t>2.5</w:t>
      </w:r>
      <w:r w:rsidRPr="00D97DA5">
        <w:rPr>
          <w:rFonts w:ascii="Arial" w:hAnsi="Arial" w:cs="Arial"/>
        </w:rPr>
        <w:t xml:space="preserve"> mass measurements by TEOM and gravimetric (</w:t>
      </w:r>
      <w:proofErr w:type="spellStart"/>
      <w:r w:rsidRPr="00D97DA5">
        <w:rPr>
          <w:rFonts w:ascii="Arial" w:hAnsi="Arial" w:cs="Arial"/>
        </w:rPr>
        <w:t>Partisol</w:t>
      </w:r>
      <w:proofErr w:type="spellEnd"/>
      <w:r w:rsidRPr="00D97DA5">
        <w:rPr>
          <w:rFonts w:ascii="Arial" w:hAnsi="Arial" w:cs="Arial"/>
        </w:rPr>
        <w:t>) instruments</w:t>
      </w:r>
      <w:r w:rsidR="00BB1CED" w:rsidRPr="00D97DA5">
        <w:rPr>
          <w:rFonts w:ascii="Arial" w:hAnsi="Arial" w:cs="Arial"/>
        </w:rPr>
        <w:t>’</w:t>
      </w:r>
      <w:r w:rsidR="00881CDB" w:rsidRPr="00D97DA5">
        <w:rPr>
          <w:rFonts w:ascii="Arial" w:hAnsi="Arial" w:cs="Arial"/>
        </w:rPr>
        <w:t>,</w:t>
      </w:r>
      <w:r w:rsidRPr="00D97DA5">
        <w:rPr>
          <w:rFonts w:ascii="Arial" w:hAnsi="Arial" w:cs="Arial"/>
        </w:rPr>
        <w:t xml:space="preserve"> </w:t>
      </w:r>
      <w:r w:rsidRPr="00D97DA5">
        <w:rPr>
          <w:rFonts w:ascii="Arial" w:hAnsi="Arial" w:cs="Arial"/>
          <w:i/>
        </w:rPr>
        <w:t>Atmospheric Environment,</w:t>
      </w:r>
      <w:r w:rsidRPr="00D97DA5">
        <w:rPr>
          <w:rFonts w:ascii="Arial" w:hAnsi="Arial" w:cs="Arial"/>
        </w:rPr>
        <w:t xml:space="preserve"> </w:t>
      </w:r>
      <w:r w:rsidR="00BB1CED" w:rsidRPr="00D97DA5">
        <w:rPr>
          <w:rFonts w:ascii="Arial" w:hAnsi="Arial" w:cs="Arial"/>
        </w:rPr>
        <w:t>v</w:t>
      </w:r>
      <w:r w:rsidRPr="00D97DA5">
        <w:rPr>
          <w:rFonts w:ascii="Arial" w:hAnsi="Arial" w:cs="Arial"/>
        </w:rPr>
        <w:t>ol. 38, pp. 415</w:t>
      </w:r>
      <w:r w:rsidR="00BB1CED" w:rsidRPr="00D97DA5">
        <w:rPr>
          <w:rFonts w:ascii="Arial" w:hAnsi="Arial" w:cs="Arial"/>
        </w:rPr>
        <w:t>–</w:t>
      </w:r>
      <w:r w:rsidRPr="00D97DA5">
        <w:rPr>
          <w:rFonts w:ascii="Arial" w:hAnsi="Arial" w:cs="Arial"/>
        </w:rPr>
        <w:t>423.</w:t>
      </w:r>
    </w:p>
    <w:p w:rsidR="00FE0361" w:rsidRPr="00D97DA5" w:rsidRDefault="00F91F63" w:rsidP="00FE0361">
      <w:pPr>
        <w:keepLines/>
        <w:rPr>
          <w:rFonts w:ascii="Arial" w:hAnsi="Arial" w:cs="Arial"/>
        </w:rPr>
      </w:pPr>
      <w:r w:rsidRPr="00D97DA5">
        <w:rPr>
          <w:rFonts w:ascii="Arial" w:hAnsi="Arial" w:cs="Arial"/>
        </w:rPr>
        <w:t>COAG (2007</w:t>
      </w:r>
      <w:r w:rsidR="00FE0361" w:rsidRPr="00D97DA5">
        <w:rPr>
          <w:rFonts w:ascii="Arial" w:hAnsi="Arial" w:cs="Arial"/>
        </w:rPr>
        <w:t>),</w:t>
      </w:r>
      <w:r w:rsidRPr="00D97DA5">
        <w:rPr>
          <w:rFonts w:ascii="Arial" w:hAnsi="Arial" w:cs="Arial"/>
        </w:rPr>
        <w:t xml:space="preserve"> </w:t>
      </w:r>
      <w:r w:rsidRPr="00D97DA5">
        <w:rPr>
          <w:rFonts w:ascii="Arial" w:hAnsi="Arial" w:cs="Arial"/>
          <w:i/>
        </w:rPr>
        <w:t>Best Practice Regulation – A Guide for Ministerial Councils and National Standard-Setting Bodies</w:t>
      </w:r>
      <w:r w:rsidR="00881CDB" w:rsidRPr="00D97DA5">
        <w:rPr>
          <w:rFonts w:ascii="Arial" w:hAnsi="Arial" w:cs="Arial"/>
        </w:rPr>
        <w:t>,</w:t>
      </w:r>
      <w:r w:rsidRPr="00D97DA5">
        <w:rPr>
          <w:rFonts w:ascii="Arial" w:hAnsi="Arial" w:cs="Arial"/>
        </w:rPr>
        <w:t xml:space="preserve"> Council of Australian Governments, Canberra</w:t>
      </w:r>
      <w:r w:rsidR="00BB1CED" w:rsidRPr="00D97DA5">
        <w:rPr>
          <w:rFonts w:ascii="Arial" w:hAnsi="Arial" w:cs="Arial"/>
        </w:rPr>
        <w:t>, ACT</w:t>
      </w:r>
      <w:r w:rsidRPr="00D97DA5">
        <w:rPr>
          <w:rFonts w:ascii="Arial" w:hAnsi="Arial" w:cs="Arial"/>
        </w:rPr>
        <w:t>.</w:t>
      </w:r>
    </w:p>
    <w:p w:rsidR="00FE0361" w:rsidRPr="00D97DA5" w:rsidRDefault="003C450D" w:rsidP="00FE0361">
      <w:pPr>
        <w:keepLines/>
        <w:rPr>
          <w:rFonts w:ascii="Arial" w:hAnsi="Arial" w:cs="Arial"/>
        </w:rPr>
      </w:pPr>
      <w:r w:rsidRPr="00D97DA5">
        <w:rPr>
          <w:rFonts w:ascii="Arial" w:hAnsi="Arial" w:cs="Arial"/>
        </w:rPr>
        <w:t>COAG (2012</w:t>
      </w:r>
      <w:r w:rsidR="00FE0361" w:rsidRPr="00D97DA5">
        <w:rPr>
          <w:rFonts w:ascii="Arial" w:hAnsi="Arial" w:cs="Arial"/>
        </w:rPr>
        <w:t>),</w:t>
      </w:r>
      <w:r w:rsidRPr="00D97DA5">
        <w:rPr>
          <w:rFonts w:ascii="Arial" w:hAnsi="Arial" w:cs="Arial"/>
        </w:rPr>
        <w:t xml:space="preserve"> </w:t>
      </w:r>
      <w:r w:rsidRPr="00D97DA5">
        <w:rPr>
          <w:rFonts w:ascii="Arial" w:hAnsi="Arial" w:cs="Arial"/>
          <w:i/>
        </w:rPr>
        <w:t>Public statement on the development of the National Plan for Clean Air</w:t>
      </w:r>
      <w:r w:rsidR="00881CDB" w:rsidRPr="00D97DA5">
        <w:rPr>
          <w:rFonts w:ascii="Arial" w:hAnsi="Arial" w:cs="Arial"/>
        </w:rPr>
        <w:t>,</w:t>
      </w:r>
      <w:r w:rsidRPr="00D97DA5">
        <w:rPr>
          <w:rFonts w:ascii="Arial" w:hAnsi="Arial" w:cs="Arial"/>
        </w:rPr>
        <w:t xml:space="preserve"> Council of Australian Governments Standing Council on Environment and Water, </w:t>
      </w:r>
      <w:r w:rsidR="00BB1CED" w:rsidRPr="00D97DA5">
        <w:rPr>
          <w:rFonts w:ascii="Arial" w:hAnsi="Arial" w:cs="Arial"/>
        </w:rPr>
        <w:t xml:space="preserve">Canberra, ACT, </w:t>
      </w:r>
      <w:r w:rsidRPr="00D97DA5">
        <w:rPr>
          <w:rFonts w:ascii="Arial" w:hAnsi="Arial" w:cs="Arial"/>
        </w:rPr>
        <w:t>31 May 2012</w:t>
      </w:r>
      <w:r w:rsidR="00881CDB" w:rsidRPr="00D97DA5">
        <w:rPr>
          <w:rFonts w:ascii="Arial" w:hAnsi="Arial" w:cs="Arial"/>
        </w:rPr>
        <w:t>,</w:t>
      </w:r>
      <w:r w:rsidRPr="00D97DA5">
        <w:rPr>
          <w:rFonts w:ascii="Arial" w:hAnsi="Arial" w:cs="Arial"/>
        </w:rPr>
        <w:t xml:space="preserve"> </w:t>
      </w:r>
      <w:hyperlink r:id="rId140" w:history="1">
        <w:r w:rsidR="00BB1CED" w:rsidRPr="00D97DA5">
          <w:rPr>
            <w:rFonts w:ascii="Arial" w:hAnsi="Arial" w:cs="Arial"/>
            <w:color w:val="0070C0"/>
          </w:rPr>
          <w:t>www.scew.gov.au/strategic-priorities/national-plan-for-clean-air.html</w:t>
        </w:r>
      </w:hyperlink>
    </w:p>
    <w:p w:rsidR="00FE0361" w:rsidRPr="00D97DA5" w:rsidRDefault="00DE2E06" w:rsidP="00FE0361">
      <w:pPr>
        <w:keepLines/>
        <w:rPr>
          <w:rFonts w:ascii="Arial" w:hAnsi="Arial" w:cs="Arial"/>
        </w:rPr>
      </w:pPr>
      <w:r w:rsidRPr="00D97DA5">
        <w:rPr>
          <w:rFonts w:ascii="Arial" w:hAnsi="Arial" w:cs="Arial"/>
        </w:rPr>
        <w:t>Cohen</w:t>
      </w:r>
      <w:r w:rsidR="00BB1CED" w:rsidRPr="00D97DA5">
        <w:rPr>
          <w:rFonts w:ascii="Arial" w:hAnsi="Arial" w:cs="Arial"/>
        </w:rPr>
        <w:t>,</w:t>
      </w:r>
      <w:r w:rsidRPr="00D97DA5">
        <w:rPr>
          <w:rFonts w:ascii="Arial" w:hAnsi="Arial" w:cs="Arial"/>
        </w:rPr>
        <w:t xml:space="preserve"> DD, Crawford</w:t>
      </w:r>
      <w:r w:rsidR="00BB1CED" w:rsidRPr="00D97DA5">
        <w:rPr>
          <w:rFonts w:ascii="Arial" w:hAnsi="Arial" w:cs="Arial"/>
        </w:rPr>
        <w:t>,</w:t>
      </w:r>
      <w:r w:rsidRPr="00D97DA5">
        <w:rPr>
          <w:rFonts w:ascii="Arial" w:hAnsi="Arial" w:cs="Arial"/>
        </w:rPr>
        <w:t xml:space="preserve"> J, </w:t>
      </w:r>
      <w:proofErr w:type="spellStart"/>
      <w:r w:rsidRPr="00D97DA5">
        <w:rPr>
          <w:rFonts w:ascii="Arial" w:hAnsi="Arial" w:cs="Arial"/>
        </w:rPr>
        <w:t>Stelcer</w:t>
      </w:r>
      <w:proofErr w:type="spellEnd"/>
      <w:r w:rsidR="00BB1CED" w:rsidRPr="00D97DA5">
        <w:rPr>
          <w:rFonts w:ascii="Arial" w:hAnsi="Arial" w:cs="Arial"/>
        </w:rPr>
        <w:t>,</w:t>
      </w:r>
      <w:r w:rsidRPr="00D97DA5">
        <w:rPr>
          <w:rFonts w:ascii="Arial" w:hAnsi="Arial" w:cs="Arial"/>
        </w:rPr>
        <w:t xml:space="preserve"> E and </w:t>
      </w:r>
      <w:proofErr w:type="spellStart"/>
      <w:r w:rsidRPr="00D97DA5">
        <w:rPr>
          <w:rFonts w:ascii="Arial" w:hAnsi="Arial" w:cs="Arial"/>
        </w:rPr>
        <w:t>Atanacio</w:t>
      </w:r>
      <w:proofErr w:type="spellEnd"/>
      <w:r w:rsidR="00BB1CED" w:rsidRPr="00D97DA5">
        <w:rPr>
          <w:rFonts w:ascii="Arial" w:hAnsi="Arial" w:cs="Arial"/>
        </w:rPr>
        <w:t>,</w:t>
      </w:r>
      <w:r w:rsidRPr="00D97DA5">
        <w:rPr>
          <w:rFonts w:ascii="Arial" w:hAnsi="Arial" w:cs="Arial"/>
        </w:rPr>
        <w:t xml:space="preserve"> A (2012</w:t>
      </w:r>
      <w:r w:rsidR="00FE0361" w:rsidRPr="00D97DA5">
        <w:rPr>
          <w:rFonts w:ascii="Arial" w:hAnsi="Arial" w:cs="Arial"/>
        </w:rPr>
        <w:t>),</w:t>
      </w:r>
      <w:r w:rsidRPr="00D97DA5">
        <w:rPr>
          <w:rFonts w:ascii="Arial" w:hAnsi="Arial" w:cs="Arial"/>
        </w:rPr>
        <w:t xml:space="preserve"> </w:t>
      </w:r>
      <w:r w:rsidR="00BB1CED" w:rsidRPr="00D97DA5">
        <w:rPr>
          <w:rFonts w:ascii="Arial" w:hAnsi="Arial" w:cs="Arial"/>
        </w:rPr>
        <w:t>‘</w:t>
      </w:r>
      <w:r w:rsidRPr="00D97DA5">
        <w:rPr>
          <w:rFonts w:ascii="Arial" w:hAnsi="Arial" w:cs="Arial"/>
        </w:rPr>
        <w:t>Application of positive matrix factorization, multi-linear engine and back trajectory techniques to the quantification of coal-fired power station pollution in metropolitan Sydney</w:t>
      </w:r>
      <w:r w:rsidR="00BB1CED" w:rsidRPr="00D97DA5">
        <w:rPr>
          <w:rFonts w:ascii="Arial" w:hAnsi="Arial" w:cs="Arial"/>
        </w:rPr>
        <w:t>’</w:t>
      </w:r>
      <w:r w:rsidR="00881CDB" w:rsidRPr="00D97DA5">
        <w:rPr>
          <w:rFonts w:ascii="Arial" w:hAnsi="Arial" w:cs="Arial"/>
        </w:rPr>
        <w:t>,</w:t>
      </w:r>
      <w:r w:rsidRPr="00D97DA5">
        <w:rPr>
          <w:rFonts w:ascii="Arial" w:hAnsi="Arial" w:cs="Arial"/>
        </w:rPr>
        <w:t xml:space="preserve"> </w:t>
      </w:r>
      <w:r w:rsidRPr="00D97DA5">
        <w:rPr>
          <w:rFonts w:ascii="Arial" w:hAnsi="Arial" w:cs="Arial"/>
          <w:i/>
        </w:rPr>
        <w:t>Atmospheric Environment</w:t>
      </w:r>
      <w:r w:rsidRPr="00D97DA5">
        <w:rPr>
          <w:rFonts w:ascii="Arial" w:hAnsi="Arial" w:cs="Arial"/>
        </w:rPr>
        <w:t xml:space="preserve">, </w:t>
      </w:r>
      <w:r w:rsidR="00BB1CED" w:rsidRPr="00D97DA5">
        <w:rPr>
          <w:rFonts w:ascii="Arial" w:hAnsi="Arial" w:cs="Arial"/>
        </w:rPr>
        <w:t>v</w:t>
      </w:r>
      <w:r w:rsidRPr="00D97DA5">
        <w:rPr>
          <w:rFonts w:ascii="Arial" w:hAnsi="Arial" w:cs="Arial"/>
        </w:rPr>
        <w:t>ol. 61, pp. 204</w:t>
      </w:r>
      <w:r w:rsidR="00BB1CED" w:rsidRPr="00D97DA5">
        <w:rPr>
          <w:rFonts w:ascii="Arial" w:hAnsi="Arial" w:cs="Arial"/>
        </w:rPr>
        <w:t>–</w:t>
      </w:r>
      <w:r w:rsidRPr="00D97DA5">
        <w:rPr>
          <w:rFonts w:ascii="Arial" w:hAnsi="Arial" w:cs="Arial"/>
        </w:rPr>
        <w:t>211.</w:t>
      </w:r>
    </w:p>
    <w:p w:rsidR="00FE0361" w:rsidRPr="00D97DA5" w:rsidRDefault="00F70C54" w:rsidP="00FE0361">
      <w:pPr>
        <w:keepLines/>
        <w:rPr>
          <w:rFonts w:ascii="Arial" w:hAnsi="Arial" w:cs="Arial"/>
        </w:rPr>
      </w:pPr>
      <w:r w:rsidRPr="00D97DA5">
        <w:rPr>
          <w:rFonts w:ascii="Arial" w:hAnsi="Arial" w:cs="Arial"/>
        </w:rPr>
        <w:t>COMEAP (2009</w:t>
      </w:r>
      <w:r w:rsidR="00FE0361" w:rsidRPr="00D97DA5">
        <w:rPr>
          <w:rFonts w:ascii="Arial" w:hAnsi="Arial" w:cs="Arial"/>
        </w:rPr>
        <w:t>),</w:t>
      </w:r>
      <w:r w:rsidRPr="00D97DA5">
        <w:rPr>
          <w:rFonts w:ascii="Arial" w:hAnsi="Arial" w:cs="Arial"/>
        </w:rPr>
        <w:t xml:space="preserve"> </w:t>
      </w:r>
      <w:r w:rsidRPr="00D97DA5">
        <w:rPr>
          <w:rFonts w:ascii="Arial" w:hAnsi="Arial" w:cs="Arial"/>
          <w:i/>
        </w:rPr>
        <w:t>Long-term exposure to air pollution: effect on mortality</w:t>
      </w:r>
      <w:r w:rsidR="00881CDB" w:rsidRPr="00D97DA5">
        <w:rPr>
          <w:rFonts w:ascii="Arial" w:hAnsi="Arial" w:cs="Arial"/>
        </w:rPr>
        <w:t>,</w:t>
      </w:r>
      <w:r w:rsidRPr="00D97DA5">
        <w:rPr>
          <w:rFonts w:ascii="Arial" w:hAnsi="Arial" w:cs="Arial"/>
        </w:rPr>
        <w:t xml:space="preserve"> report by the Committee on the Medical Eff</w:t>
      </w:r>
      <w:r w:rsidR="00B54267" w:rsidRPr="00D97DA5">
        <w:rPr>
          <w:rFonts w:ascii="Arial" w:hAnsi="Arial" w:cs="Arial"/>
        </w:rPr>
        <w:t>ects of Air Pollutants</w:t>
      </w:r>
      <w:r w:rsidR="00881CDB" w:rsidRPr="00D97DA5">
        <w:rPr>
          <w:rFonts w:ascii="Arial" w:hAnsi="Arial" w:cs="Arial"/>
        </w:rPr>
        <w:t>,</w:t>
      </w:r>
      <w:r w:rsidR="00B54267" w:rsidRPr="00D97DA5">
        <w:rPr>
          <w:rFonts w:ascii="Arial" w:hAnsi="Arial" w:cs="Arial"/>
        </w:rPr>
        <w:t xml:space="preserve"> </w:t>
      </w:r>
      <w:r w:rsidRPr="00D97DA5">
        <w:rPr>
          <w:rFonts w:ascii="Arial" w:hAnsi="Arial" w:cs="Arial"/>
        </w:rPr>
        <w:t>Depa</w:t>
      </w:r>
      <w:r w:rsidR="00B54267" w:rsidRPr="00D97DA5">
        <w:rPr>
          <w:rFonts w:ascii="Arial" w:hAnsi="Arial" w:cs="Arial"/>
        </w:rPr>
        <w:t>rtment of Health, London</w:t>
      </w:r>
      <w:r w:rsidR="00BB1CED" w:rsidRPr="00D97DA5">
        <w:rPr>
          <w:rFonts w:ascii="Arial" w:hAnsi="Arial" w:cs="Arial"/>
        </w:rPr>
        <w:t>, UK</w:t>
      </w:r>
      <w:r w:rsidRPr="00D97DA5">
        <w:rPr>
          <w:rFonts w:ascii="Arial" w:hAnsi="Arial" w:cs="Arial"/>
        </w:rPr>
        <w:t>.</w:t>
      </w:r>
    </w:p>
    <w:p w:rsidR="00FE0361" w:rsidRPr="00D97DA5" w:rsidRDefault="00B54267" w:rsidP="00DD0B7A">
      <w:pPr>
        <w:keepLines/>
        <w:spacing w:after="220"/>
        <w:rPr>
          <w:rFonts w:ascii="Arial" w:hAnsi="Arial" w:cs="Arial"/>
        </w:rPr>
      </w:pPr>
      <w:r w:rsidRPr="00D97DA5">
        <w:rPr>
          <w:rFonts w:ascii="Arial" w:hAnsi="Arial" w:cs="Arial"/>
        </w:rPr>
        <w:t>COMEAP (2010</w:t>
      </w:r>
      <w:r w:rsidR="00FE0361" w:rsidRPr="00D97DA5">
        <w:rPr>
          <w:rFonts w:ascii="Arial" w:hAnsi="Arial" w:cs="Arial"/>
        </w:rPr>
        <w:t>),</w:t>
      </w:r>
      <w:r w:rsidRPr="00D97DA5">
        <w:rPr>
          <w:rFonts w:ascii="Arial" w:hAnsi="Arial" w:cs="Arial"/>
        </w:rPr>
        <w:t xml:space="preserve"> </w:t>
      </w:r>
      <w:r w:rsidRPr="00D97DA5">
        <w:rPr>
          <w:rFonts w:ascii="Arial" w:hAnsi="Arial" w:cs="Arial"/>
          <w:i/>
        </w:rPr>
        <w:t>The Mortality Effects of Long-Term Exposure to Particulate Air Pollution in the United Kingdom</w:t>
      </w:r>
      <w:r w:rsidR="00881CDB" w:rsidRPr="00D97DA5">
        <w:rPr>
          <w:rFonts w:ascii="Arial" w:hAnsi="Arial" w:cs="Arial"/>
        </w:rPr>
        <w:t>,</w:t>
      </w:r>
      <w:r w:rsidRPr="00D97DA5">
        <w:rPr>
          <w:rFonts w:ascii="Arial" w:hAnsi="Arial" w:cs="Arial"/>
        </w:rPr>
        <w:t xml:space="preserve"> Committee on the Medical Effects of Air Pollutants</w:t>
      </w:r>
      <w:r w:rsidR="00881CDB" w:rsidRPr="00D97DA5">
        <w:rPr>
          <w:rFonts w:ascii="Arial" w:hAnsi="Arial" w:cs="Arial"/>
        </w:rPr>
        <w:t>,</w:t>
      </w:r>
      <w:r w:rsidRPr="00D97DA5">
        <w:rPr>
          <w:rFonts w:ascii="Arial" w:hAnsi="Arial" w:cs="Arial"/>
        </w:rPr>
        <w:t xml:space="preserve"> Department of Health, London</w:t>
      </w:r>
      <w:r w:rsidR="00BB1CED" w:rsidRPr="00D97DA5">
        <w:rPr>
          <w:rFonts w:ascii="Arial" w:hAnsi="Arial" w:cs="Arial"/>
        </w:rPr>
        <w:t>, UK</w:t>
      </w:r>
      <w:r w:rsidRPr="00D97DA5">
        <w:rPr>
          <w:rFonts w:ascii="Arial" w:hAnsi="Arial" w:cs="Arial"/>
        </w:rPr>
        <w:t>.</w:t>
      </w:r>
    </w:p>
    <w:p w:rsidR="00FE0361" w:rsidRPr="00D97DA5" w:rsidRDefault="003C450D" w:rsidP="00FE0361">
      <w:pPr>
        <w:keepLines/>
        <w:rPr>
          <w:rFonts w:ascii="Arial" w:hAnsi="Arial" w:cs="Arial"/>
        </w:rPr>
      </w:pPr>
      <w:r w:rsidRPr="00D97DA5">
        <w:rPr>
          <w:rFonts w:ascii="Arial" w:hAnsi="Arial" w:cs="Arial"/>
        </w:rPr>
        <w:t>Cope</w:t>
      </w:r>
      <w:r w:rsidR="00BB1CED" w:rsidRPr="00D97DA5">
        <w:rPr>
          <w:rFonts w:ascii="Arial" w:hAnsi="Arial" w:cs="Arial"/>
        </w:rPr>
        <w:t>,</w:t>
      </w:r>
      <w:r w:rsidRPr="00D97DA5">
        <w:rPr>
          <w:rFonts w:ascii="Arial" w:hAnsi="Arial" w:cs="Arial"/>
        </w:rPr>
        <w:t xml:space="preserve"> M (2012</w:t>
      </w:r>
      <w:r w:rsidR="00FE0361" w:rsidRPr="00D97DA5">
        <w:rPr>
          <w:rFonts w:ascii="Arial" w:hAnsi="Arial" w:cs="Arial"/>
        </w:rPr>
        <w:t>),</w:t>
      </w:r>
      <w:r w:rsidRPr="00D97DA5">
        <w:rPr>
          <w:rFonts w:ascii="Arial" w:hAnsi="Arial" w:cs="Arial"/>
        </w:rPr>
        <w:t xml:space="preserve"> </w:t>
      </w:r>
      <w:r w:rsidR="00BB1CED" w:rsidRPr="00D97DA5">
        <w:rPr>
          <w:rFonts w:ascii="Arial" w:hAnsi="Arial" w:cs="Arial"/>
        </w:rPr>
        <w:t>‘</w:t>
      </w:r>
      <w:r w:rsidRPr="00D97DA5">
        <w:rPr>
          <w:rFonts w:ascii="Arial" w:hAnsi="Arial" w:cs="Arial"/>
        </w:rPr>
        <w:t>Reflections on Domestic Wood Smoke Emissions – Effects, Concerns, Progress and Opportunities</w:t>
      </w:r>
      <w:r w:rsidR="00BB1CED" w:rsidRPr="00D97DA5">
        <w:rPr>
          <w:rFonts w:ascii="Arial" w:hAnsi="Arial" w:cs="Arial"/>
        </w:rPr>
        <w:t>’</w:t>
      </w:r>
      <w:r w:rsidR="00881CDB" w:rsidRPr="00D97DA5">
        <w:rPr>
          <w:rFonts w:ascii="Arial" w:hAnsi="Arial" w:cs="Arial"/>
        </w:rPr>
        <w:t>,</w:t>
      </w:r>
      <w:r w:rsidRPr="00D97DA5">
        <w:rPr>
          <w:rFonts w:ascii="Arial" w:hAnsi="Arial" w:cs="Arial"/>
        </w:rPr>
        <w:t xml:space="preserve"> </w:t>
      </w:r>
      <w:r w:rsidR="00697254" w:rsidRPr="00D97DA5">
        <w:rPr>
          <w:rFonts w:ascii="Arial" w:hAnsi="Arial" w:cs="Arial"/>
        </w:rPr>
        <w:t>p</w:t>
      </w:r>
      <w:r w:rsidRPr="00D97DA5">
        <w:rPr>
          <w:rFonts w:ascii="Arial" w:hAnsi="Arial" w:cs="Arial"/>
        </w:rPr>
        <w:t>resentation to NSW/ACT Branch Technical Meeting, Monday, 10 September 2012, Macquarie University.</w:t>
      </w:r>
    </w:p>
    <w:p w:rsidR="00FE0361" w:rsidRPr="00D97DA5" w:rsidRDefault="000C0C72" w:rsidP="00DD0B7A">
      <w:pPr>
        <w:keepLines/>
        <w:spacing w:after="220"/>
        <w:rPr>
          <w:rFonts w:ascii="Arial" w:hAnsi="Arial" w:cs="Arial"/>
          <w:color w:val="0070C0"/>
        </w:rPr>
      </w:pPr>
      <w:r w:rsidRPr="00D97DA5">
        <w:rPr>
          <w:rFonts w:ascii="Arial" w:hAnsi="Arial" w:cs="Arial"/>
        </w:rPr>
        <w:lastRenderedPageBreak/>
        <w:t>Crouse</w:t>
      </w:r>
      <w:r w:rsidR="00BB1CED" w:rsidRPr="00D97DA5">
        <w:rPr>
          <w:rFonts w:ascii="Arial" w:hAnsi="Arial" w:cs="Arial"/>
        </w:rPr>
        <w:t>,</w:t>
      </w:r>
      <w:r w:rsidRPr="00D97DA5">
        <w:rPr>
          <w:rFonts w:ascii="Arial" w:hAnsi="Arial" w:cs="Arial"/>
        </w:rPr>
        <w:t xml:space="preserve"> DL, Peters</w:t>
      </w:r>
      <w:r w:rsidR="00BB1CED" w:rsidRPr="00D97DA5">
        <w:rPr>
          <w:rFonts w:ascii="Arial" w:hAnsi="Arial" w:cs="Arial"/>
        </w:rPr>
        <w:t>,</w:t>
      </w:r>
      <w:r w:rsidRPr="00D97DA5">
        <w:rPr>
          <w:rFonts w:ascii="Arial" w:hAnsi="Arial" w:cs="Arial"/>
        </w:rPr>
        <w:t xml:space="preserve"> PA, van </w:t>
      </w:r>
      <w:proofErr w:type="spellStart"/>
      <w:r w:rsidRPr="00D97DA5">
        <w:rPr>
          <w:rFonts w:ascii="Arial" w:hAnsi="Arial" w:cs="Arial"/>
        </w:rPr>
        <w:t>Donkelaar</w:t>
      </w:r>
      <w:proofErr w:type="spellEnd"/>
      <w:r w:rsidR="00BB1CED" w:rsidRPr="00D97DA5">
        <w:rPr>
          <w:rFonts w:ascii="Arial" w:hAnsi="Arial" w:cs="Arial"/>
        </w:rPr>
        <w:t>,</w:t>
      </w:r>
      <w:r w:rsidRPr="00D97DA5">
        <w:rPr>
          <w:rFonts w:ascii="Arial" w:hAnsi="Arial" w:cs="Arial"/>
        </w:rPr>
        <w:t xml:space="preserve"> A, Goldberg</w:t>
      </w:r>
      <w:r w:rsidR="00BB1CED" w:rsidRPr="00D97DA5">
        <w:rPr>
          <w:rFonts w:ascii="Arial" w:hAnsi="Arial" w:cs="Arial"/>
        </w:rPr>
        <w:t>,</w:t>
      </w:r>
      <w:r w:rsidRPr="00D97DA5">
        <w:rPr>
          <w:rFonts w:ascii="Arial" w:hAnsi="Arial" w:cs="Arial"/>
        </w:rPr>
        <w:t xml:space="preserve"> MS, Villeneuve</w:t>
      </w:r>
      <w:r w:rsidR="00BB1CED" w:rsidRPr="00D97DA5">
        <w:rPr>
          <w:rFonts w:ascii="Arial" w:hAnsi="Arial" w:cs="Arial"/>
        </w:rPr>
        <w:t>,</w:t>
      </w:r>
      <w:r w:rsidRPr="00D97DA5">
        <w:rPr>
          <w:rFonts w:ascii="Arial" w:hAnsi="Arial" w:cs="Arial"/>
        </w:rPr>
        <w:t xml:space="preserve"> PJ, </w:t>
      </w:r>
      <w:proofErr w:type="spellStart"/>
      <w:r w:rsidRPr="00D97DA5">
        <w:rPr>
          <w:rFonts w:ascii="Arial" w:hAnsi="Arial" w:cs="Arial"/>
        </w:rPr>
        <w:t>Brion</w:t>
      </w:r>
      <w:proofErr w:type="spellEnd"/>
      <w:r w:rsidR="00BB1CED" w:rsidRPr="00D97DA5">
        <w:rPr>
          <w:rFonts w:ascii="Arial" w:hAnsi="Arial" w:cs="Arial"/>
        </w:rPr>
        <w:t>,</w:t>
      </w:r>
      <w:r w:rsidRPr="00D97DA5">
        <w:rPr>
          <w:rFonts w:ascii="Arial" w:hAnsi="Arial" w:cs="Arial"/>
        </w:rPr>
        <w:t xml:space="preserve"> O</w:t>
      </w:r>
      <w:r w:rsidR="00EE785C" w:rsidRPr="00D97DA5">
        <w:rPr>
          <w:rFonts w:ascii="Arial" w:hAnsi="Arial" w:cs="Arial"/>
        </w:rPr>
        <w:t>,</w:t>
      </w:r>
      <w:r w:rsidRPr="00D97DA5">
        <w:rPr>
          <w:rFonts w:ascii="Arial" w:hAnsi="Arial" w:cs="Arial"/>
        </w:rPr>
        <w:t xml:space="preserve"> Khan</w:t>
      </w:r>
      <w:r w:rsidR="00BB1CED" w:rsidRPr="00D97DA5">
        <w:rPr>
          <w:rFonts w:ascii="Arial" w:hAnsi="Arial" w:cs="Arial"/>
        </w:rPr>
        <w:t>,</w:t>
      </w:r>
      <w:r w:rsidRPr="00D97DA5">
        <w:rPr>
          <w:rFonts w:ascii="Arial" w:hAnsi="Arial" w:cs="Arial"/>
        </w:rPr>
        <w:t xml:space="preserve"> S, </w:t>
      </w:r>
      <w:proofErr w:type="spellStart"/>
      <w:r w:rsidRPr="00D97DA5">
        <w:rPr>
          <w:rFonts w:ascii="Arial" w:hAnsi="Arial" w:cs="Arial"/>
        </w:rPr>
        <w:t>Odwa</w:t>
      </w:r>
      <w:proofErr w:type="spellEnd"/>
      <w:r w:rsidRPr="00D97DA5">
        <w:rPr>
          <w:rFonts w:ascii="Arial" w:hAnsi="Arial" w:cs="Arial"/>
        </w:rPr>
        <w:t xml:space="preserve"> Atari</w:t>
      </w:r>
      <w:r w:rsidR="00BB1CED" w:rsidRPr="00D97DA5">
        <w:rPr>
          <w:rFonts w:ascii="Arial" w:hAnsi="Arial" w:cs="Arial"/>
        </w:rPr>
        <w:t>,</w:t>
      </w:r>
      <w:r w:rsidRPr="00D97DA5">
        <w:rPr>
          <w:rFonts w:ascii="Arial" w:hAnsi="Arial" w:cs="Arial"/>
        </w:rPr>
        <w:t xml:space="preserve"> D, </w:t>
      </w:r>
      <w:proofErr w:type="spellStart"/>
      <w:r w:rsidRPr="00D97DA5">
        <w:rPr>
          <w:rFonts w:ascii="Arial" w:hAnsi="Arial" w:cs="Arial"/>
        </w:rPr>
        <w:t>Jerrett</w:t>
      </w:r>
      <w:proofErr w:type="spellEnd"/>
      <w:r w:rsidR="00BB1CED" w:rsidRPr="00D97DA5">
        <w:rPr>
          <w:rFonts w:ascii="Arial" w:hAnsi="Arial" w:cs="Arial"/>
        </w:rPr>
        <w:t>,</w:t>
      </w:r>
      <w:r w:rsidRPr="00D97DA5">
        <w:rPr>
          <w:rFonts w:ascii="Arial" w:hAnsi="Arial" w:cs="Arial"/>
        </w:rPr>
        <w:t xml:space="preserve"> M</w:t>
      </w:r>
      <w:r w:rsidR="00EE785C" w:rsidRPr="00D97DA5">
        <w:rPr>
          <w:rFonts w:ascii="Arial" w:hAnsi="Arial" w:cs="Arial"/>
        </w:rPr>
        <w:t xml:space="preserve">, </w:t>
      </w:r>
      <w:r w:rsidRPr="00D97DA5">
        <w:rPr>
          <w:rFonts w:ascii="Arial" w:hAnsi="Arial" w:cs="Arial"/>
        </w:rPr>
        <w:t>Arden Pope III</w:t>
      </w:r>
      <w:r w:rsidR="00BB1CED" w:rsidRPr="00D97DA5">
        <w:rPr>
          <w:rFonts w:ascii="Arial" w:hAnsi="Arial" w:cs="Arial"/>
        </w:rPr>
        <w:t>,</w:t>
      </w:r>
      <w:r w:rsidR="00EE785C" w:rsidRPr="00D97DA5">
        <w:rPr>
          <w:rFonts w:ascii="Arial" w:hAnsi="Arial" w:cs="Arial"/>
        </w:rPr>
        <w:t xml:space="preserve"> C, </w:t>
      </w:r>
      <w:proofErr w:type="spellStart"/>
      <w:r w:rsidRPr="00D97DA5">
        <w:rPr>
          <w:rFonts w:ascii="Arial" w:hAnsi="Arial" w:cs="Arial"/>
        </w:rPr>
        <w:t>Brauer</w:t>
      </w:r>
      <w:proofErr w:type="spellEnd"/>
      <w:r w:rsidR="00BB1CED" w:rsidRPr="00D97DA5">
        <w:rPr>
          <w:rFonts w:ascii="Arial" w:hAnsi="Arial" w:cs="Arial"/>
        </w:rPr>
        <w:t>,</w:t>
      </w:r>
      <w:r w:rsidR="00EE785C" w:rsidRPr="00D97DA5">
        <w:rPr>
          <w:rFonts w:ascii="Arial" w:hAnsi="Arial" w:cs="Arial"/>
        </w:rPr>
        <w:t xml:space="preserve"> M, </w:t>
      </w:r>
      <w:r w:rsidRPr="00D97DA5">
        <w:rPr>
          <w:rFonts w:ascii="Arial" w:hAnsi="Arial" w:cs="Arial"/>
        </w:rPr>
        <w:t>Brook</w:t>
      </w:r>
      <w:r w:rsidR="00BB1CED" w:rsidRPr="00D97DA5">
        <w:rPr>
          <w:rFonts w:ascii="Arial" w:hAnsi="Arial" w:cs="Arial"/>
        </w:rPr>
        <w:t>,</w:t>
      </w:r>
      <w:r w:rsidR="00EE785C" w:rsidRPr="00D97DA5">
        <w:rPr>
          <w:rFonts w:ascii="Arial" w:hAnsi="Arial" w:cs="Arial"/>
        </w:rPr>
        <w:t xml:space="preserve"> JR, </w:t>
      </w:r>
      <w:r w:rsidRPr="00D97DA5">
        <w:rPr>
          <w:rFonts w:ascii="Arial" w:hAnsi="Arial" w:cs="Arial"/>
        </w:rPr>
        <w:t>Martin</w:t>
      </w:r>
      <w:r w:rsidR="00BB1CED" w:rsidRPr="00D97DA5">
        <w:rPr>
          <w:rFonts w:ascii="Arial" w:hAnsi="Arial" w:cs="Arial"/>
        </w:rPr>
        <w:t>,</w:t>
      </w:r>
      <w:r w:rsidR="00EE785C" w:rsidRPr="00D97DA5">
        <w:rPr>
          <w:rFonts w:ascii="Arial" w:hAnsi="Arial" w:cs="Arial"/>
        </w:rPr>
        <w:t xml:space="preserve"> RV, </w:t>
      </w:r>
      <w:proofErr w:type="spellStart"/>
      <w:r w:rsidR="00EE785C" w:rsidRPr="00D97DA5">
        <w:rPr>
          <w:rFonts w:ascii="Arial" w:hAnsi="Arial" w:cs="Arial"/>
        </w:rPr>
        <w:t>Stieb</w:t>
      </w:r>
      <w:proofErr w:type="spellEnd"/>
      <w:r w:rsidR="00BB1CED" w:rsidRPr="00D97DA5">
        <w:rPr>
          <w:rFonts w:ascii="Arial" w:hAnsi="Arial" w:cs="Arial"/>
        </w:rPr>
        <w:t>,</w:t>
      </w:r>
      <w:r w:rsidR="00EE785C" w:rsidRPr="00D97DA5">
        <w:rPr>
          <w:rFonts w:ascii="Arial" w:hAnsi="Arial" w:cs="Arial"/>
        </w:rPr>
        <w:t xml:space="preserve"> D and Burnett</w:t>
      </w:r>
      <w:r w:rsidR="00BB1CED" w:rsidRPr="00D97DA5">
        <w:rPr>
          <w:rFonts w:ascii="Arial" w:hAnsi="Arial" w:cs="Arial"/>
        </w:rPr>
        <w:t>,</w:t>
      </w:r>
      <w:r w:rsidR="00EE785C" w:rsidRPr="00D97DA5">
        <w:rPr>
          <w:rFonts w:ascii="Arial" w:hAnsi="Arial" w:cs="Arial"/>
        </w:rPr>
        <w:t xml:space="preserve"> RT (2012</w:t>
      </w:r>
      <w:r w:rsidR="00FE0361" w:rsidRPr="00D97DA5">
        <w:rPr>
          <w:rFonts w:ascii="Arial" w:hAnsi="Arial" w:cs="Arial"/>
        </w:rPr>
        <w:t>),</w:t>
      </w:r>
      <w:r w:rsidR="00EE785C" w:rsidRPr="00D97DA5">
        <w:rPr>
          <w:rFonts w:ascii="Arial" w:hAnsi="Arial" w:cs="Arial"/>
        </w:rPr>
        <w:t xml:space="preserve"> </w:t>
      </w:r>
      <w:r w:rsidR="00BB1CED" w:rsidRPr="00D97DA5">
        <w:rPr>
          <w:rFonts w:ascii="Arial" w:hAnsi="Arial" w:cs="Arial"/>
        </w:rPr>
        <w:t>‘</w:t>
      </w:r>
      <w:r w:rsidR="00EE785C" w:rsidRPr="00D97DA5">
        <w:rPr>
          <w:rFonts w:ascii="Arial" w:hAnsi="Arial" w:cs="Arial"/>
        </w:rPr>
        <w:t xml:space="preserve">Risk of </w:t>
      </w:r>
      <w:proofErr w:type="spellStart"/>
      <w:r w:rsidR="00EE785C" w:rsidRPr="00D97DA5">
        <w:rPr>
          <w:rFonts w:ascii="Arial" w:hAnsi="Arial" w:cs="Arial"/>
        </w:rPr>
        <w:t>Nonaccidental</w:t>
      </w:r>
      <w:proofErr w:type="spellEnd"/>
      <w:r w:rsidR="00EE785C" w:rsidRPr="00D97DA5">
        <w:rPr>
          <w:rFonts w:ascii="Arial" w:hAnsi="Arial" w:cs="Arial"/>
        </w:rPr>
        <w:t xml:space="preserve"> and Cardiovascular Mortality in Relation to Long-term Exposure to Low Concentrations of Fine Particulate Matter: A Canadian National-Level Cohort Study</w:t>
      </w:r>
      <w:r w:rsidR="00BB1CED" w:rsidRPr="00D97DA5">
        <w:rPr>
          <w:rFonts w:ascii="Arial" w:hAnsi="Arial" w:cs="Arial"/>
        </w:rPr>
        <w:t>’</w:t>
      </w:r>
      <w:r w:rsidR="00881CDB" w:rsidRPr="00D97DA5">
        <w:rPr>
          <w:rFonts w:ascii="Arial" w:hAnsi="Arial" w:cs="Arial"/>
        </w:rPr>
        <w:t>,</w:t>
      </w:r>
      <w:r w:rsidR="00EE785C" w:rsidRPr="00D97DA5">
        <w:rPr>
          <w:rFonts w:ascii="Arial" w:hAnsi="Arial" w:cs="Arial"/>
        </w:rPr>
        <w:t xml:space="preserve"> </w:t>
      </w:r>
      <w:r w:rsidR="00EE785C" w:rsidRPr="00D97DA5">
        <w:rPr>
          <w:rFonts w:ascii="Arial" w:hAnsi="Arial" w:cs="Arial"/>
          <w:i/>
        </w:rPr>
        <w:t>Environmental Health Perspectives</w:t>
      </w:r>
      <w:r w:rsidR="00EE785C" w:rsidRPr="00D97DA5">
        <w:rPr>
          <w:rFonts w:ascii="Arial" w:hAnsi="Arial" w:cs="Arial"/>
        </w:rPr>
        <w:t xml:space="preserve">, </w:t>
      </w:r>
      <w:r w:rsidR="00BB1CED" w:rsidRPr="00D97DA5">
        <w:rPr>
          <w:rFonts w:ascii="Arial" w:hAnsi="Arial" w:cs="Arial"/>
        </w:rPr>
        <w:t>v</w:t>
      </w:r>
      <w:r w:rsidR="00EE785C" w:rsidRPr="00D97DA5">
        <w:rPr>
          <w:rFonts w:ascii="Arial" w:hAnsi="Arial" w:cs="Arial"/>
        </w:rPr>
        <w:t>ol. 120</w:t>
      </w:r>
      <w:r w:rsidR="00D70DB9" w:rsidRPr="00D97DA5">
        <w:rPr>
          <w:rFonts w:ascii="Arial" w:hAnsi="Arial" w:cs="Arial"/>
        </w:rPr>
        <w:t>(5), pp. 708</w:t>
      </w:r>
      <w:r w:rsidR="00BB1CED" w:rsidRPr="00D97DA5">
        <w:rPr>
          <w:rFonts w:ascii="Arial" w:hAnsi="Arial" w:cs="Arial"/>
        </w:rPr>
        <w:t>–</w:t>
      </w:r>
      <w:r w:rsidR="00D70DB9" w:rsidRPr="00D97DA5">
        <w:rPr>
          <w:rFonts w:ascii="Arial" w:hAnsi="Arial" w:cs="Arial"/>
        </w:rPr>
        <w:t>714</w:t>
      </w:r>
      <w:r w:rsidR="00881CDB" w:rsidRPr="00D97DA5">
        <w:rPr>
          <w:rFonts w:ascii="Arial" w:hAnsi="Arial" w:cs="Arial"/>
        </w:rPr>
        <w:t>,</w:t>
      </w:r>
      <w:r w:rsidR="00FE0361" w:rsidRPr="00D97DA5">
        <w:rPr>
          <w:rFonts w:ascii="Arial" w:hAnsi="Arial" w:cs="Arial"/>
        </w:rPr>
        <w:t xml:space="preserve"> </w:t>
      </w:r>
      <w:r w:rsidR="00BB1CED" w:rsidRPr="00D97DA5">
        <w:rPr>
          <w:rFonts w:ascii="Arial" w:hAnsi="Arial" w:cs="Arial"/>
        </w:rPr>
        <w:br/>
      </w:r>
      <w:r w:rsidR="00EE785C" w:rsidRPr="00D97DA5">
        <w:rPr>
          <w:rFonts w:ascii="Arial" w:hAnsi="Arial" w:cs="Arial"/>
          <w:color w:val="0070C0"/>
        </w:rPr>
        <w:t>http://ehp.niehs.nih.gov/wp-content/uploads/120/5/ehp.1104049.pdf</w:t>
      </w:r>
    </w:p>
    <w:p w:rsidR="00FE0361" w:rsidRPr="00D97DA5" w:rsidRDefault="00225A92" w:rsidP="00DD0B7A">
      <w:pPr>
        <w:keepLines/>
        <w:spacing w:after="220"/>
        <w:rPr>
          <w:rFonts w:ascii="Arial" w:hAnsi="Arial" w:cs="Arial"/>
          <w:color w:val="0070C0"/>
        </w:rPr>
      </w:pPr>
      <w:r w:rsidRPr="00D97DA5">
        <w:rPr>
          <w:rFonts w:ascii="Arial" w:hAnsi="Arial" w:cs="Arial"/>
        </w:rPr>
        <w:t>Defra (2007</w:t>
      </w:r>
      <w:r w:rsidR="00FE0361" w:rsidRPr="00D97DA5">
        <w:rPr>
          <w:rFonts w:ascii="Arial" w:hAnsi="Arial" w:cs="Arial"/>
        </w:rPr>
        <w:t>),</w:t>
      </w:r>
      <w:r w:rsidRPr="00D97DA5">
        <w:rPr>
          <w:rFonts w:ascii="Arial" w:hAnsi="Arial" w:cs="Arial"/>
        </w:rPr>
        <w:t xml:space="preserve"> </w:t>
      </w:r>
      <w:r w:rsidRPr="00D97DA5">
        <w:rPr>
          <w:rFonts w:ascii="Arial" w:hAnsi="Arial" w:cs="Arial"/>
          <w:i/>
        </w:rPr>
        <w:t>The</w:t>
      </w:r>
      <w:r w:rsidR="002E2699" w:rsidRPr="00D97DA5">
        <w:rPr>
          <w:rFonts w:ascii="Arial" w:hAnsi="Arial" w:cs="Arial"/>
          <w:i/>
        </w:rPr>
        <w:t xml:space="preserve"> Air Quality S</w:t>
      </w:r>
      <w:r w:rsidRPr="00D97DA5">
        <w:rPr>
          <w:rFonts w:ascii="Arial" w:hAnsi="Arial" w:cs="Arial"/>
          <w:i/>
        </w:rPr>
        <w:t>trategy for England, Scotland, Wales and Northern Ireland</w:t>
      </w:r>
      <w:r w:rsidR="00881CDB" w:rsidRPr="00D97DA5">
        <w:rPr>
          <w:rFonts w:ascii="Arial" w:hAnsi="Arial" w:cs="Arial"/>
        </w:rPr>
        <w:t>,</w:t>
      </w:r>
      <w:r w:rsidR="002E2699" w:rsidRPr="00D97DA5">
        <w:rPr>
          <w:rFonts w:ascii="Arial" w:hAnsi="Arial" w:cs="Arial"/>
        </w:rPr>
        <w:t xml:space="preserve"> Department for Environment, Food and Rural Affairs</w:t>
      </w:r>
      <w:r w:rsidRPr="00D97DA5">
        <w:rPr>
          <w:rFonts w:ascii="Arial" w:hAnsi="Arial" w:cs="Arial"/>
        </w:rPr>
        <w:t>, London</w:t>
      </w:r>
      <w:r w:rsidR="00881CDB" w:rsidRPr="00D97DA5">
        <w:rPr>
          <w:rFonts w:ascii="Arial" w:hAnsi="Arial" w:cs="Arial"/>
        </w:rPr>
        <w:t>,</w:t>
      </w:r>
      <w:r w:rsidRPr="00D97DA5">
        <w:rPr>
          <w:rFonts w:ascii="Arial" w:hAnsi="Arial" w:cs="Arial"/>
        </w:rPr>
        <w:t xml:space="preserve"> </w:t>
      </w:r>
      <w:r w:rsidR="00BB1CED" w:rsidRPr="00D97DA5">
        <w:rPr>
          <w:rFonts w:ascii="Arial" w:hAnsi="Arial" w:cs="Arial"/>
        </w:rPr>
        <w:t xml:space="preserve">UK, </w:t>
      </w:r>
      <w:r w:rsidR="00BB1CED" w:rsidRPr="00D97DA5">
        <w:rPr>
          <w:rFonts w:ascii="Arial" w:hAnsi="Arial" w:cs="Arial"/>
          <w:color w:val="0070C0"/>
        </w:rPr>
        <w:t>http://archive.defra.gov.uk/environment/quality/air/airquality/strategy/documents/air-qualitystrategy-vol1.pdf</w:t>
      </w:r>
    </w:p>
    <w:p w:rsidR="00FE0361" w:rsidRPr="00D97DA5" w:rsidRDefault="00982F29" w:rsidP="00DD0B7A">
      <w:pPr>
        <w:keepLines/>
        <w:spacing w:after="220"/>
        <w:rPr>
          <w:rFonts w:ascii="Arial" w:hAnsi="Arial" w:cs="Arial"/>
        </w:rPr>
      </w:pPr>
      <w:r w:rsidRPr="00D97DA5">
        <w:rPr>
          <w:rFonts w:ascii="Arial" w:hAnsi="Arial" w:cs="Arial"/>
        </w:rPr>
        <w:t>Defra (2009</w:t>
      </w:r>
      <w:r w:rsidR="00FE0361" w:rsidRPr="00D97DA5">
        <w:rPr>
          <w:rFonts w:ascii="Arial" w:hAnsi="Arial" w:cs="Arial"/>
        </w:rPr>
        <w:t>),</w:t>
      </w:r>
      <w:r w:rsidR="002E2699" w:rsidRPr="00D97DA5">
        <w:rPr>
          <w:rFonts w:ascii="Arial" w:hAnsi="Arial" w:cs="Arial"/>
        </w:rPr>
        <w:t xml:space="preserve"> </w:t>
      </w:r>
      <w:r w:rsidR="002E2699" w:rsidRPr="00D97DA5">
        <w:rPr>
          <w:rFonts w:ascii="Arial" w:hAnsi="Arial" w:cs="Arial"/>
          <w:i/>
        </w:rPr>
        <w:t>Local Air Quality Management Technical Guidance</w:t>
      </w:r>
      <w:r w:rsidRPr="00D97DA5">
        <w:rPr>
          <w:rFonts w:ascii="Arial" w:hAnsi="Arial" w:cs="Arial"/>
          <w:i/>
        </w:rPr>
        <w:t xml:space="preserve"> LAQM</w:t>
      </w:r>
      <w:proofErr w:type="gramStart"/>
      <w:r w:rsidR="00881CDB" w:rsidRPr="00D97DA5">
        <w:rPr>
          <w:rFonts w:ascii="Arial" w:hAnsi="Arial" w:cs="Arial"/>
        </w:rPr>
        <w:t>,</w:t>
      </w:r>
      <w:r w:rsidRPr="00D97DA5">
        <w:rPr>
          <w:rFonts w:ascii="Arial" w:hAnsi="Arial" w:cs="Arial"/>
        </w:rPr>
        <w:t>TG</w:t>
      </w:r>
      <w:proofErr w:type="gramEnd"/>
      <w:r w:rsidRPr="00D97DA5">
        <w:rPr>
          <w:rFonts w:ascii="Arial" w:hAnsi="Arial" w:cs="Arial"/>
        </w:rPr>
        <w:t>(09</w:t>
      </w:r>
      <w:r w:rsidR="00FE0361" w:rsidRPr="00D97DA5">
        <w:rPr>
          <w:rFonts w:ascii="Arial" w:hAnsi="Arial" w:cs="Arial"/>
        </w:rPr>
        <w:t>),</w:t>
      </w:r>
      <w:r w:rsidRPr="00D97DA5">
        <w:rPr>
          <w:rFonts w:ascii="Arial" w:hAnsi="Arial" w:cs="Arial"/>
        </w:rPr>
        <w:t xml:space="preserve"> Department for Environment, Food and Rural Affairs, The Scottish Executive, Welsh Assembly Government and The Department of the Environ</w:t>
      </w:r>
      <w:r w:rsidR="002E2699" w:rsidRPr="00D97DA5">
        <w:rPr>
          <w:rFonts w:ascii="Arial" w:hAnsi="Arial" w:cs="Arial"/>
        </w:rPr>
        <w:t>ment for Northern Ireland</w:t>
      </w:r>
      <w:r w:rsidR="00F73565" w:rsidRPr="00D97DA5">
        <w:rPr>
          <w:rFonts w:ascii="Arial" w:hAnsi="Arial" w:cs="Arial"/>
        </w:rPr>
        <w:t>, UK</w:t>
      </w:r>
      <w:r w:rsidRPr="00D97DA5">
        <w:rPr>
          <w:rFonts w:ascii="Arial" w:hAnsi="Arial" w:cs="Arial"/>
        </w:rPr>
        <w:t>.</w:t>
      </w:r>
    </w:p>
    <w:p w:rsidR="00FE0361" w:rsidRPr="00D97DA5" w:rsidRDefault="003D74F9" w:rsidP="00DD0B7A">
      <w:pPr>
        <w:keepLines/>
        <w:spacing w:after="220"/>
        <w:rPr>
          <w:rFonts w:ascii="Arial" w:hAnsi="Arial" w:cs="Arial"/>
          <w:color w:val="0070C0"/>
        </w:rPr>
      </w:pPr>
      <w:r w:rsidRPr="00D97DA5">
        <w:rPr>
          <w:rFonts w:ascii="Arial" w:hAnsi="Arial" w:cs="Arial"/>
        </w:rPr>
        <w:t>DEWHA (2009</w:t>
      </w:r>
      <w:r w:rsidR="00FE0361" w:rsidRPr="00D97DA5">
        <w:rPr>
          <w:rFonts w:ascii="Arial" w:hAnsi="Arial" w:cs="Arial"/>
        </w:rPr>
        <w:t>),</w:t>
      </w:r>
      <w:r w:rsidRPr="00D97DA5">
        <w:rPr>
          <w:rFonts w:ascii="Arial" w:hAnsi="Arial" w:cs="Arial"/>
        </w:rPr>
        <w:t xml:space="preserve"> </w:t>
      </w:r>
      <w:r w:rsidRPr="00D97DA5">
        <w:rPr>
          <w:rFonts w:ascii="Arial" w:hAnsi="Arial" w:cs="Arial"/>
          <w:i/>
        </w:rPr>
        <w:t>National Pollutant Inventory, 2006</w:t>
      </w:r>
      <w:r w:rsidR="00F73565" w:rsidRPr="00D97DA5">
        <w:rPr>
          <w:rFonts w:ascii="Arial" w:hAnsi="Arial" w:cs="Arial"/>
          <w:i/>
        </w:rPr>
        <w:t>–</w:t>
      </w:r>
      <w:r w:rsidRPr="00D97DA5">
        <w:rPr>
          <w:rFonts w:ascii="Arial" w:hAnsi="Arial" w:cs="Arial"/>
          <w:i/>
        </w:rPr>
        <w:t>07 Summary Report</w:t>
      </w:r>
      <w:r w:rsidRPr="00D97DA5">
        <w:rPr>
          <w:rFonts w:ascii="Arial" w:hAnsi="Arial" w:cs="Arial"/>
        </w:rPr>
        <w:t>, Department of the Environment, Water, Herit</w:t>
      </w:r>
      <w:r w:rsidR="002E2699" w:rsidRPr="00D97DA5">
        <w:rPr>
          <w:rFonts w:ascii="Arial" w:hAnsi="Arial" w:cs="Arial"/>
        </w:rPr>
        <w:t>age and the Arts, Canberra, ACT</w:t>
      </w:r>
      <w:r w:rsidR="00881CDB" w:rsidRPr="00D97DA5">
        <w:rPr>
          <w:rFonts w:ascii="Arial" w:hAnsi="Arial" w:cs="Arial"/>
        </w:rPr>
        <w:t>,</w:t>
      </w:r>
      <w:r w:rsidR="00FE0361" w:rsidRPr="00D97DA5">
        <w:rPr>
          <w:rFonts w:ascii="Arial" w:hAnsi="Arial" w:cs="Arial"/>
        </w:rPr>
        <w:t xml:space="preserve"> </w:t>
      </w:r>
      <w:hyperlink r:id="rId141" w:history="1">
        <w:r w:rsidR="00F73565" w:rsidRPr="00D97DA5">
          <w:rPr>
            <w:rFonts w:ascii="Arial" w:hAnsi="Arial" w:cs="Arial"/>
            <w:color w:val="0070C0"/>
          </w:rPr>
          <w:t>www.npi.gov.au/system/files/resources/e0e7acda-fe12-9204-8134-6dd236ea134e/files/year9summaryreport.pdf</w:t>
        </w:r>
      </w:hyperlink>
    </w:p>
    <w:p w:rsidR="00FE0361" w:rsidRPr="00D97DA5" w:rsidRDefault="00E25DC2" w:rsidP="00DD0B7A">
      <w:pPr>
        <w:keepLines/>
        <w:spacing w:after="220"/>
        <w:rPr>
          <w:rFonts w:ascii="Arial" w:hAnsi="Arial" w:cs="Arial"/>
        </w:rPr>
      </w:pPr>
      <w:r w:rsidRPr="00D97DA5">
        <w:rPr>
          <w:rFonts w:ascii="Arial" w:hAnsi="Arial" w:cs="Arial"/>
        </w:rPr>
        <w:t>DSEWPC (2011</w:t>
      </w:r>
      <w:r w:rsidR="00FE0361" w:rsidRPr="00D97DA5">
        <w:rPr>
          <w:rFonts w:ascii="Arial" w:hAnsi="Arial" w:cs="Arial"/>
        </w:rPr>
        <w:t>),</w:t>
      </w:r>
      <w:r w:rsidRPr="00D97DA5">
        <w:rPr>
          <w:rFonts w:ascii="Arial" w:hAnsi="Arial" w:cs="Arial"/>
        </w:rPr>
        <w:t xml:space="preserve"> </w:t>
      </w:r>
      <w:r w:rsidRPr="00D97DA5">
        <w:rPr>
          <w:rFonts w:ascii="Arial" w:hAnsi="Arial" w:cs="Arial"/>
          <w:i/>
        </w:rPr>
        <w:t>State of the air in Australia 1999–2008</w:t>
      </w:r>
      <w:r w:rsidR="00881CDB" w:rsidRPr="00D97DA5">
        <w:rPr>
          <w:rFonts w:ascii="Arial" w:hAnsi="Arial" w:cs="Arial"/>
        </w:rPr>
        <w:t>,</w:t>
      </w:r>
      <w:r w:rsidRPr="00D97DA5">
        <w:rPr>
          <w:rFonts w:ascii="Arial" w:hAnsi="Arial" w:cs="Arial"/>
        </w:rPr>
        <w:t xml:space="preserve"> Australian Department of Sustainability, Environment, Water, Population and Communities, Canberra</w:t>
      </w:r>
      <w:r w:rsidR="00F73565" w:rsidRPr="00D97DA5">
        <w:rPr>
          <w:rFonts w:ascii="Arial" w:hAnsi="Arial" w:cs="Arial"/>
        </w:rPr>
        <w:t>, ACT</w:t>
      </w:r>
      <w:r w:rsidRPr="00D97DA5">
        <w:rPr>
          <w:rFonts w:ascii="Arial" w:hAnsi="Arial" w:cs="Arial"/>
        </w:rPr>
        <w:t>.</w:t>
      </w:r>
    </w:p>
    <w:p w:rsidR="00FE0361" w:rsidRPr="00D97DA5" w:rsidRDefault="005F37D9" w:rsidP="00DD0B7A">
      <w:pPr>
        <w:keepLines/>
        <w:spacing w:after="220"/>
        <w:rPr>
          <w:rFonts w:ascii="Arial" w:hAnsi="Arial" w:cs="Arial"/>
        </w:rPr>
      </w:pPr>
      <w:r w:rsidRPr="00D97DA5">
        <w:rPr>
          <w:rFonts w:ascii="Arial" w:hAnsi="Arial" w:cs="Arial"/>
        </w:rPr>
        <w:t>EC (20</w:t>
      </w:r>
      <w:r w:rsidR="002D2B0C" w:rsidRPr="00D97DA5">
        <w:rPr>
          <w:rFonts w:ascii="Arial" w:hAnsi="Arial" w:cs="Arial"/>
        </w:rPr>
        <w:t>1</w:t>
      </w:r>
      <w:r w:rsidRPr="00D97DA5">
        <w:rPr>
          <w:rFonts w:ascii="Arial" w:hAnsi="Arial" w:cs="Arial"/>
        </w:rPr>
        <w:t>1</w:t>
      </w:r>
      <w:r w:rsidR="00FE0361" w:rsidRPr="00D97DA5">
        <w:rPr>
          <w:rFonts w:ascii="Arial" w:hAnsi="Arial" w:cs="Arial"/>
        </w:rPr>
        <w:t>),</w:t>
      </w:r>
      <w:r w:rsidRPr="00D97DA5">
        <w:rPr>
          <w:rFonts w:ascii="Arial" w:hAnsi="Arial" w:cs="Arial"/>
        </w:rPr>
        <w:t xml:space="preserve"> </w:t>
      </w:r>
      <w:r w:rsidR="00F73565" w:rsidRPr="00D97DA5">
        <w:rPr>
          <w:rFonts w:ascii="Arial" w:hAnsi="Arial" w:cs="Arial"/>
        </w:rPr>
        <w:t>‘</w:t>
      </w:r>
      <w:r w:rsidRPr="00D97DA5">
        <w:rPr>
          <w:rFonts w:ascii="Arial" w:hAnsi="Arial" w:cs="Arial"/>
        </w:rPr>
        <w:t xml:space="preserve">Commission Staff Working Paper 6771/11 establishing guidelines for demonstration and subtraction of exceedances attributable to natural sources under the Directive 2008/50/EC on ambient air quality and cleaner air </w:t>
      </w:r>
      <w:r w:rsidR="002E2699" w:rsidRPr="00D97DA5">
        <w:rPr>
          <w:rFonts w:ascii="Arial" w:hAnsi="Arial" w:cs="Arial"/>
        </w:rPr>
        <w:t>for Europe</w:t>
      </w:r>
      <w:r w:rsidR="00F73565" w:rsidRPr="00D97DA5">
        <w:rPr>
          <w:rFonts w:ascii="Arial" w:hAnsi="Arial" w:cs="Arial"/>
        </w:rPr>
        <w:t>’</w:t>
      </w:r>
      <w:r w:rsidR="002E2699" w:rsidRPr="00D97DA5">
        <w:rPr>
          <w:rFonts w:ascii="Arial" w:hAnsi="Arial" w:cs="Arial"/>
        </w:rPr>
        <w:t>, European Commission, Brussels</w:t>
      </w:r>
      <w:r w:rsidR="00881CDB" w:rsidRPr="00D97DA5">
        <w:rPr>
          <w:rFonts w:ascii="Arial" w:hAnsi="Arial" w:cs="Arial"/>
        </w:rPr>
        <w:t>,</w:t>
      </w:r>
      <w:r w:rsidR="00FE0361" w:rsidRPr="00D97DA5">
        <w:rPr>
          <w:rFonts w:ascii="Arial" w:hAnsi="Arial" w:cs="Arial"/>
        </w:rPr>
        <w:t xml:space="preserve"> </w:t>
      </w:r>
      <w:r w:rsidR="00F73565" w:rsidRPr="00D97DA5">
        <w:rPr>
          <w:rFonts w:ascii="Arial" w:hAnsi="Arial" w:cs="Arial"/>
        </w:rPr>
        <w:t xml:space="preserve">Belgium, </w:t>
      </w:r>
      <w:r w:rsidRPr="00D97DA5">
        <w:rPr>
          <w:rFonts w:ascii="Arial" w:hAnsi="Arial" w:cs="Arial"/>
          <w:color w:val="0070C0"/>
        </w:rPr>
        <w:t>http://register.consilium.europa.eu/pdf/en/11/st06/st06771.en11.pdf</w:t>
      </w:r>
    </w:p>
    <w:p w:rsidR="00FE0361" w:rsidRPr="00D97DA5" w:rsidRDefault="00B5008F" w:rsidP="00DD0B7A">
      <w:pPr>
        <w:keepLines/>
        <w:spacing w:after="220"/>
        <w:rPr>
          <w:rFonts w:ascii="Arial" w:hAnsi="Arial" w:cs="Arial"/>
        </w:rPr>
      </w:pPr>
      <w:r w:rsidRPr="00D97DA5">
        <w:rPr>
          <w:rFonts w:ascii="Arial" w:hAnsi="Arial" w:cs="Arial"/>
        </w:rPr>
        <w:t>EEA (2012</w:t>
      </w:r>
      <w:r w:rsidR="00FE0361" w:rsidRPr="00D97DA5">
        <w:rPr>
          <w:rFonts w:ascii="Arial" w:hAnsi="Arial" w:cs="Arial"/>
        </w:rPr>
        <w:t>),</w:t>
      </w:r>
      <w:r w:rsidRPr="00D97DA5">
        <w:rPr>
          <w:rFonts w:ascii="Arial" w:hAnsi="Arial" w:cs="Arial"/>
        </w:rPr>
        <w:t xml:space="preserve"> </w:t>
      </w:r>
      <w:r w:rsidRPr="00D97DA5">
        <w:rPr>
          <w:rFonts w:ascii="Arial" w:hAnsi="Arial" w:cs="Arial"/>
          <w:i/>
        </w:rPr>
        <w:t>Particulate matter from natural sources and related reporting under the EU Air Quality Directive in 2008 and 2009</w:t>
      </w:r>
      <w:r w:rsidR="00881CDB" w:rsidRPr="00D97DA5">
        <w:rPr>
          <w:rFonts w:ascii="Arial" w:hAnsi="Arial" w:cs="Arial"/>
        </w:rPr>
        <w:t>,</w:t>
      </w:r>
      <w:r w:rsidRPr="00D97DA5">
        <w:rPr>
          <w:rFonts w:ascii="Arial" w:hAnsi="Arial" w:cs="Arial"/>
        </w:rPr>
        <w:t xml:space="preserve"> Technical report No 10/2012</w:t>
      </w:r>
      <w:r w:rsidR="00881CDB" w:rsidRPr="00D97DA5">
        <w:rPr>
          <w:rFonts w:ascii="Arial" w:hAnsi="Arial" w:cs="Arial"/>
        </w:rPr>
        <w:t>,</w:t>
      </w:r>
      <w:r w:rsidRPr="00D97DA5">
        <w:rPr>
          <w:rFonts w:ascii="Arial" w:hAnsi="Arial" w:cs="Arial"/>
        </w:rPr>
        <w:t xml:space="preserve"> European Environment Agency, Copenhagen</w:t>
      </w:r>
      <w:r w:rsidR="00F73565" w:rsidRPr="00D97DA5">
        <w:rPr>
          <w:rFonts w:ascii="Arial" w:hAnsi="Arial" w:cs="Arial"/>
        </w:rPr>
        <w:t>, Denmark</w:t>
      </w:r>
      <w:r w:rsidRPr="00D97DA5">
        <w:rPr>
          <w:rFonts w:ascii="Arial" w:hAnsi="Arial" w:cs="Arial"/>
        </w:rPr>
        <w:t>.</w:t>
      </w:r>
    </w:p>
    <w:p w:rsidR="00FE0361" w:rsidRPr="00D97DA5" w:rsidRDefault="00DF2FAF" w:rsidP="00DD0B7A">
      <w:pPr>
        <w:keepLines/>
        <w:spacing w:after="220"/>
        <w:rPr>
          <w:rFonts w:ascii="Arial" w:hAnsi="Arial" w:cs="Arial"/>
        </w:rPr>
      </w:pPr>
      <w:r w:rsidRPr="00D97DA5">
        <w:rPr>
          <w:rFonts w:ascii="Arial" w:hAnsi="Arial" w:cs="Arial"/>
        </w:rPr>
        <w:t>EPA Victoria (2013</w:t>
      </w:r>
      <w:r w:rsidR="00FE0361" w:rsidRPr="00D97DA5">
        <w:rPr>
          <w:rFonts w:ascii="Arial" w:hAnsi="Arial" w:cs="Arial"/>
        </w:rPr>
        <w:t>),</w:t>
      </w:r>
      <w:r w:rsidRPr="00D97DA5">
        <w:rPr>
          <w:rFonts w:ascii="Arial" w:hAnsi="Arial" w:cs="Arial"/>
        </w:rPr>
        <w:t xml:space="preserve"> </w:t>
      </w:r>
      <w:r w:rsidRPr="00D97DA5">
        <w:rPr>
          <w:rFonts w:ascii="Arial" w:hAnsi="Arial" w:cs="Arial"/>
          <w:i/>
        </w:rPr>
        <w:t>Legislation: Air legislation</w:t>
      </w:r>
      <w:r w:rsidRPr="00D97DA5">
        <w:rPr>
          <w:rFonts w:ascii="Arial" w:hAnsi="Arial" w:cs="Arial"/>
        </w:rPr>
        <w:t xml:space="preserve">, EPA Victoria, Carlton, VIC, viewed November 2013, </w:t>
      </w:r>
      <w:hyperlink r:id="rId142" w:history="1">
        <w:r w:rsidRPr="00D97DA5">
          <w:rPr>
            <w:rFonts w:ascii="Arial" w:hAnsi="Arial" w:cs="Arial"/>
            <w:color w:val="0070C0"/>
          </w:rPr>
          <w:t>www.epa.vic.gov.au/about-us/legislation/air-legislation</w:t>
        </w:r>
      </w:hyperlink>
    </w:p>
    <w:p w:rsidR="00FE0361" w:rsidRPr="00D97DA5" w:rsidRDefault="00BD1830" w:rsidP="00DD0B7A">
      <w:pPr>
        <w:keepLines/>
        <w:spacing w:after="220"/>
        <w:rPr>
          <w:rFonts w:ascii="Arial" w:hAnsi="Arial" w:cs="Arial"/>
          <w:color w:val="0070C0"/>
        </w:rPr>
      </w:pPr>
      <w:r w:rsidRPr="00D97DA5">
        <w:rPr>
          <w:rFonts w:ascii="Arial" w:hAnsi="Arial" w:cs="Arial"/>
        </w:rPr>
        <w:t>EPHC (2010</w:t>
      </w:r>
      <w:r w:rsidR="00FE0361" w:rsidRPr="00D97DA5">
        <w:rPr>
          <w:rFonts w:ascii="Arial" w:hAnsi="Arial" w:cs="Arial"/>
        </w:rPr>
        <w:t>),</w:t>
      </w:r>
      <w:r w:rsidRPr="00D97DA5">
        <w:rPr>
          <w:rFonts w:ascii="Arial" w:hAnsi="Arial" w:cs="Arial"/>
        </w:rPr>
        <w:t xml:space="preserve"> </w:t>
      </w:r>
      <w:r w:rsidRPr="00D97DA5">
        <w:rPr>
          <w:rFonts w:ascii="Arial" w:hAnsi="Arial" w:cs="Arial"/>
          <w:i/>
        </w:rPr>
        <w:t>Expansion of the multi-city mortality and morbidity study – Final Report</w:t>
      </w:r>
      <w:r w:rsidR="00881CDB" w:rsidRPr="00D97DA5">
        <w:rPr>
          <w:rFonts w:ascii="Arial" w:hAnsi="Arial" w:cs="Arial"/>
        </w:rPr>
        <w:t>,</w:t>
      </w:r>
      <w:r w:rsidRPr="00D97DA5">
        <w:rPr>
          <w:rFonts w:ascii="Arial" w:hAnsi="Arial" w:cs="Arial"/>
        </w:rPr>
        <w:t xml:space="preserve"> Environment Protection and Heritage Council, </w:t>
      </w:r>
      <w:r w:rsidR="00F73565" w:rsidRPr="00D97DA5">
        <w:rPr>
          <w:rFonts w:ascii="Arial" w:hAnsi="Arial" w:cs="Arial"/>
        </w:rPr>
        <w:t xml:space="preserve">Canberra, ACT, </w:t>
      </w:r>
      <w:r w:rsidRPr="00D97DA5">
        <w:rPr>
          <w:rFonts w:ascii="Arial" w:hAnsi="Arial" w:cs="Arial"/>
        </w:rPr>
        <w:t>September 2010</w:t>
      </w:r>
      <w:r w:rsidR="00881CDB" w:rsidRPr="00D97DA5">
        <w:rPr>
          <w:rFonts w:ascii="Arial" w:hAnsi="Arial" w:cs="Arial"/>
        </w:rPr>
        <w:t>,</w:t>
      </w:r>
      <w:r w:rsidR="00FE0361" w:rsidRPr="00D97DA5">
        <w:rPr>
          <w:rFonts w:ascii="Arial" w:hAnsi="Arial" w:cs="Arial"/>
        </w:rPr>
        <w:t xml:space="preserve"> </w:t>
      </w:r>
      <w:hyperlink r:id="rId143" w:history="1">
        <w:r w:rsidR="00F73565" w:rsidRPr="00D97DA5">
          <w:rPr>
            <w:rFonts w:ascii="Arial" w:hAnsi="Arial" w:cs="Arial"/>
            <w:color w:val="0070C0"/>
          </w:rPr>
          <w:t>www.scew.gov.au/sites/www.scew.gov.au/files/resources/220add0d-0265-9004-1d22-0c312998402c/files/aq-rsch-multi-city-mm-executive-summary-sept-final-201009.pdf</w:t>
        </w:r>
      </w:hyperlink>
    </w:p>
    <w:p w:rsidR="00FE0361" w:rsidRPr="00D97DA5" w:rsidRDefault="00837E20" w:rsidP="00DD0B7A">
      <w:pPr>
        <w:keepLines/>
        <w:spacing w:after="200"/>
        <w:rPr>
          <w:rFonts w:ascii="Arial" w:hAnsi="Arial" w:cs="Arial"/>
        </w:rPr>
      </w:pPr>
      <w:proofErr w:type="spellStart"/>
      <w:r w:rsidRPr="00D97DA5">
        <w:rPr>
          <w:rFonts w:ascii="Arial" w:hAnsi="Arial" w:cs="Arial"/>
        </w:rPr>
        <w:t>Frangos</w:t>
      </w:r>
      <w:proofErr w:type="spellEnd"/>
      <w:r w:rsidR="00F73565" w:rsidRPr="00D97DA5">
        <w:rPr>
          <w:rFonts w:ascii="Arial" w:hAnsi="Arial" w:cs="Arial"/>
        </w:rPr>
        <w:t>,</w:t>
      </w:r>
      <w:r w:rsidR="007A07B8" w:rsidRPr="00D97DA5">
        <w:rPr>
          <w:rFonts w:ascii="Arial" w:hAnsi="Arial" w:cs="Arial"/>
        </w:rPr>
        <w:t xml:space="preserve"> J and </w:t>
      </w:r>
      <w:proofErr w:type="spellStart"/>
      <w:r w:rsidR="007A07B8" w:rsidRPr="00D97DA5">
        <w:rPr>
          <w:rFonts w:ascii="Arial" w:hAnsi="Arial" w:cs="Arial"/>
        </w:rPr>
        <w:t>DiMarco</w:t>
      </w:r>
      <w:proofErr w:type="spellEnd"/>
      <w:r w:rsidR="00F73565" w:rsidRPr="00D97DA5">
        <w:rPr>
          <w:rFonts w:ascii="Arial" w:hAnsi="Arial" w:cs="Arial"/>
        </w:rPr>
        <w:t>,</w:t>
      </w:r>
      <w:r w:rsidR="007A07B8" w:rsidRPr="00D97DA5">
        <w:rPr>
          <w:rFonts w:ascii="Arial" w:hAnsi="Arial" w:cs="Arial"/>
        </w:rPr>
        <w:t xml:space="preserve"> P (2013</w:t>
      </w:r>
      <w:r w:rsidR="00FE0361" w:rsidRPr="00D97DA5">
        <w:rPr>
          <w:rFonts w:ascii="Arial" w:hAnsi="Arial" w:cs="Arial"/>
        </w:rPr>
        <w:t>),</w:t>
      </w:r>
      <w:r w:rsidR="007A07B8" w:rsidRPr="00D97DA5">
        <w:rPr>
          <w:rFonts w:ascii="Arial" w:hAnsi="Arial" w:cs="Arial"/>
        </w:rPr>
        <w:t xml:space="preserve"> </w:t>
      </w:r>
      <w:r w:rsidR="00F73565" w:rsidRPr="00D97DA5">
        <w:rPr>
          <w:rFonts w:ascii="Arial" w:hAnsi="Arial" w:cs="Arial"/>
        </w:rPr>
        <w:t>‘</w:t>
      </w:r>
      <w:r w:rsidR="007A07B8" w:rsidRPr="00D97DA5">
        <w:rPr>
          <w:rFonts w:ascii="Arial" w:hAnsi="Arial" w:cs="Arial"/>
          <w:i/>
        </w:rPr>
        <w:t>E</w:t>
      </w:r>
      <w:r w:rsidRPr="00D97DA5">
        <w:rPr>
          <w:rFonts w:ascii="Arial" w:hAnsi="Arial" w:cs="Arial"/>
          <w:i/>
        </w:rPr>
        <w:t>xposure assessment and risk characterisation to inform recommendations for updating ambient air quality standards for PM</w:t>
      </w:r>
      <w:r w:rsidRPr="00D97DA5">
        <w:rPr>
          <w:rFonts w:ascii="Arial" w:hAnsi="Arial" w:cs="Arial"/>
          <w:i/>
          <w:vertAlign w:val="subscript"/>
        </w:rPr>
        <w:t>2.5</w:t>
      </w:r>
      <w:r w:rsidRPr="00D97DA5">
        <w:rPr>
          <w:rFonts w:ascii="Arial" w:hAnsi="Arial" w:cs="Arial"/>
          <w:i/>
        </w:rPr>
        <w:t>, PM</w:t>
      </w:r>
      <w:r w:rsidRPr="00D97DA5">
        <w:rPr>
          <w:rFonts w:ascii="Arial" w:hAnsi="Arial" w:cs="Arial"/>
          <w:i/>
          <w:vertAlign w:val="subscript"/>
        </w:rPr>
        <w:t>10</w:t>
      </w:r>
      <w:r w:rsidRPr="00D97DA5">
        <w:rPr>
          <w:rFonts w:ascii="Arial" w:hAnsi="Arial" w:cs="Arial"/>
          <w:i/>
        </w:rPr>
        <w:t>, O</w:t>
      </w:r>
      <w:r w:rsidRPr="00D97DA5">
        <w:rPr>
          <w:rFonts w:ascii="Arial" w:hAnsi="Arial" w:cs="Arial"/>
          <w:i/>
          <w:vertAlign w:val="subscript"/>
        </w:rPr>
        <w:t>3</w:t>
      </w:r>
      <w:r w:rsidRPr="00D97DA5">
        <w:rPr>
          <w:rFonts w:ascii="Arial" w:hAnsi="Arial" w:cs="Arial"/>
          <w:i/>
        </w:rPr>
        <w:t>, NO</w:t>
      </w:r>
      <w:r w:rsidRPr="00D97DA5">
        <w:rPr>
          <w:rFonts w:ascii="Arial" w:hAnsi="Arial" w:cs="Arial"/>
          <w:i/>
          <w:vertAlign w:val="subscript"/>
        </w:rPr>
        <w:t>2</w:t>
      </w:r>
      <w:r w:rsidRPr="00D97DA5">
        <w:rPr>
          <w:rFonts w:ascii="Arial" w:hAnsi="Arial" w:cs="Arial"/>
          <w:i/>
        </w:rPr>
        <w:t>, SO</w:t>
      </w:r>
      <w:r w:rsidRPr="00D97DA5">
        <w:rPr>
          <w:rFonts w:ascii="Arial" w:hAnsi="Arial" w:cs="Arial"/>
          <w:i/>
          <w:vertAlign w:val="subscript"/>
        </w:rPr>
        <w:t>2</w:t>
      </w:r>
      <w:r w:rsidR="00F73565" w:rsidRPr="00D97DA5">
        <w:rPr>
          <w:rFonts w:ascii="Arial" w:hAnsi="Arial" w:cs="Arial"/>
          <w:i/>
          <w:vertAlign w:val="subscript"/>
        </w:rPr>
        <w:t>’</w:t>
      </w:r>
      <w:r w:rsidR="00881CDB" w:rsidRPr="00D97DA5">
        <w:rPr>
          <w:rFonts w:ascii="Arial" w:hAnsi="Arial" w:cs="Arial"/>
        </w:rPr>
        <w:t>,</w:t>
      </w:r>
      <w:r w:rsidRPr="00D97DA5">
        <w:rPr>
          <w:rFonts w:ascii="Arial" w:hAnsi="Arial" w:cs="Arial"/>
        </w:rPr>
        <w:t xml:space="preserve"> Report number 127643066-001-R-RevA</w:t>
      </w:r>
      <w:r w:rsidR="00881CDB" w:rsidRPr="00D97DA5">
        <w:rPr>
          <w:rFonts w:ascii="Arial" w:hAnsi="Arial" w:cs="Arial"/>
        </w:rPr>
        <w:t>,</w:t>
      </w:r>
      <w:r w:rsidRPr="00D97DA5">
        <w:rPr>
          <w:rFonts w:ascii="Arial" w:hAnsi="Arial" w:cs="Arial"/>
        </w:rPr>
        <w:t xml:space="preserve"> </w:t>
      </w:r>
      <w:proofErr w:type="spellStart"/>
      <w:r w:rsidRPr="00D97DA5">
        <w:rPr>
          <w:rFonts w:ascii="Arial" w:hAnsi="Arial" w:cs="Arial"/>
        </w:rPr>
        <w:t>Golder</w:t>
      </w:r>
      <w:proofErr w:type="spellEnd"/>
      <w:r w:rsidRPr="00D97DA5">
        <w:rPr>
          <w:rFonts w:ascii="Arial" w:hAnsi="Arial" w:cs="Arial"/>
        </w:rPr>
        <w:t xml:space="preserve"> Associates, Richmond, </w:t>
      </w:r>
      <w:r w:rsidR="00F73565" w:rsidRPr="00D97DA5">
        <w:rPr>
          <w:rFonts w:ascii="Arial" w:hAnsi="Arial" w:cs="Arial"/>
        </w:rPr>
        <w:t xml:space="preserve">VIC </w:t>
      </w:r>
      <w:r w:rsidR="007A07B8" w:rsidRPr="00D97DA5">
        <w:rPr>
          <w:rFonts w:ascii="Arial" w:hAnsi="Arial" w:cs="Arial"/>
        </w:rPr>
        <w:t>(unpublished)</w:t>
      </w:r>
      <w:r w:rsidRPr="00D97DA5">
        <w:rPr>
          <w:rFonts w:ascii="Arial" w:hAnsi="Arial" w:cs="Arial"/>
        </w:rPr>
        <w:t>.</w:t>
      </w:r>
    </w:p>
    <w:p w:rsidR="00FE0361" w:rsidRPr="00D97DA5" w:rsidRDefault="00E81231" w:rsidP="00DD0B7A">
      <w:pPr>
        <w:keepLines/>
        <w:spacing w:after="200"/>
        <w:rPr>
          <w:rFonts w:ascii="Arial" w:hAnsi="Arial" w:cs="Arial"/>
        </w:rPr>
      </w:pPr>
      <w:r w:rsidRPr="00D97DA5">
        <w:rPr>
          <w:rFonts w:ascii="Arial" w:hAnsi="Arial" w:cs="Arial"/>
        </w:rPr>
        <w:t>Friend</w:t>
      </w:r>
      <w:r w:rsidR="00F73565" w:rsidRPr="00D97DA5">
        <w:rPr>
          <w:rFonts w:ascii="Arial" w:hAnsi="Arial" w:cs="Arial"/>
        </w:rPr>
        <w:t>,</w:t>
      </w:r>
      <w:r w:rsidRPr="00D97DA5">
        <w:rPr>
          <w:rFonts w:ascii="Arial" w:hAnsi="Arial" w:cs="Arial"/>
        </w:rPr>
        <w:t xml:space="preserve"> AJ, </w:t>
      </w:r>
      <w:proofErr w:type="spellStart"/>
      <w:r w:rsidRPr="00D97DA5">
        <w:rPr>
          <w:rFonts w:ascii="Arial" w:hAnsi="Arial" w:cs="Arial"/>
        </w:rPr>
        <w:t>Ayoko</w:t>
      </w:r>
      <w:proofErr w:type="spellEnd"/>
      <w:r w:rsidR="00F73565" w:rsidRPr="00D97DA5">
        <w:rPr>
          <w:rFonts w:ascii="Arial" w:hAnsi="Arial" w:cs="Arial"/>
        </w:rPr>
        <w:t>,</w:t>
      </w:r>
      <w:r w:rsidRPr="00D97DA5">
        <w:rPr>
          <w:rFonts w:ascii="Arial" w:hAnsi="Arial" w:cs="Arial"/>
        </w:rPr>
        <w:t xml:space="preserve"> GA and </w:t>
      </w:r>
      <w:proofErr w:type="spellStart"/>
      <w:r w:rsidRPr="00D97DA5">
        <w:rPr>
          <w:rFonts w:ascii="Arial" w:hAnsi="Arial" w:cs="Arial"/>
        </w:rPr>
        <w:t>Elbagir</w:t>
      </w:r>
      <w:proofErr w:type="spellEnd"/>
      <w:r w:rsidR="00F73565" w:rsidRPr="00D97DA5">
        <w:rPr>
          <w:rFonts w:ascii="Arial" w:hAnsi="Arial" w:cs="Arial"/>
        </w:rPr>
        <w:t>,</w:t>
      </w:r>
      <w:r w:rsidRPr="00D97DA5">
        <w:rPr>
          <w:rFonts w:ascii="Arial" w:hAnsi="Arial" w:cs="Arial"/>
        </w:rPr>
        <w:t xml:space="preserve"> S (2011a</w:t>
      </w:r>
      <w:r w:rsidR="00FE0361" w:rsidRPr="00D97DA5">
        <w:rPr>
          <w:rFonts w:ascii="Arial" w:hAnsi="Arial" w:cs="Arial"/>
        </w:rPr>
        <w:t>),</w:t>
      </w:r>
      <w:r w:rsidRPr="00D97DA5">
        <w:rPr>
          <w:rFonts w:ascii="Arial" w:hAnsi="Arial" w:cs="Arial"/>
        </w:rPr>
        <w:t xml:space="preserve"> </w:t>
      </w:r>
      <w:r w:rsidR="00F73565" w:rsidRPr="00D97DA5">
        <w:rPr>
          <w:rFonts w:ascii="Arial" w:hAnsi="Arial" w:cs="Arial"/>
        </w:rPr>
        <w:t>‘</w:t>
      </w:r>
      <w:r w:rsidRPr="00D97DA5">
        <w:rPr>
          <w:rFonts w:ascii="Arial" w:hAnsi="Arial" w:cs="Arial"/>
        </w:rPr>
        <w:t>Source apportionment of fine particles at a suburban site in Queensland, Australia</w:t>
      </w:r>
      <w:r w:rsidR="00F73565" w:rsidRPr="00D97DA5">
        <w:rPr>
          <w:rFonts w:ascii="Arial" w:hAnsi="Arial" w:cs="Arial"/>
        </w:rPr>
        <w:t>’</w:t>
      </w:r>
      <w:r w:rsidR="00881CDB" w:rsidRPr="00D97DA5">
        <w:rPr>
          <w:rFonts w:ascii="Arial" w:hAnsi="Arial" w:cs="Arial"/>
        </w:rPr>
        <w:t>,</w:t>
      </w:r>
      <w:r w:rsidRPr="00D97DA5">
        <w:rPr>
          <w:rFonts w:ascii="Arial" w:hAnsi="Arial" w:cs="Arial"/>
        </w:rPr>
        <w:t xml:space="preserve"> </w:t>
      </w:r>
      <w:r w:rsidRPr="00D97DA5">
        <w:rPr>
          <w:rFonts w:ascii="Arial" w:hAnsi="Arial" w:cs="Arial"/>
          <w:i/>
        </w:rPr>
        <w:t>Environmental Chemistry</w:t>
      </w:r>
      <w:r w:rsidRPr="00D97DA5">
        <w:rPr>
          <w:rFonts w:ascii="Arial" w:hAnsi="Arial" w:cs="Arial"/>
        </w:rPr>
        <w:t xml:space="preserve">, </w:t>
      </w:r>
      <w:r w:rsidR="00F73565" w:rsidRPr="00D97DA5">
        <w:rPr>
          <w:rFonts w:ascii="Arial" w:hAnsi="Arial" w:cs="Arial"/>
        </w:rPr>
        <w:t>v</w:t>
      </w:r>
      <w:r w:rsidRPr="00D97DA5">
        <w:rPr>
          <w:rFonts w:ascii="Arial" w:hAnsi="Arial" w:cs="Arial"/>
        </w:rPr>
        <w:t>ol. 8(2), pp. 163</w:t>
      </w:r>
      <w:r w:rsidR="00F73565" w:rsidRPr="00D97DA5">
        <w:rPr>
          <w:rFonts w:ascii="Arial" w:hAnsi="Arial" w:cs="Arial"/>
        </w:rPr>
        <w:t>–</w:t>
      </w:r>
      <w:r w:rsidRPr="00D97DA5">
        <w:rPr>
          <w:rFonts w:ascii="Arial" w:hAnsi="Arial" w:cs="Arial"/>
        </w:rPr>
        <w:t>173.</w:t>
      </w:r>
    </w:p>
    <w:p w:rsidR="00FE0361" w:rsidRPr="00D97DA5" w:rsidRDefault="000D1A2F" w:rsidP="00DD0B7A">
      <w:pPr>
        <w:keepLines/>
        <w:spacing w:after="200"/>
        <w:rPr>
          <w:rFonts w:ascii="Arial" w:hAnsi="Arial" w:cs="Arial"/>
        </w:rPr>
      </w:pPr>
      <w:r w:rsidRPr="00D97DA5">
        <w:rPr>
          <w:rFonts w:ascii="Arial" w:hAnsi="Arial" w:cs="Arial"/>
        </w:rPr>
        <w:t xml:space="preserve">Friend </w:t>
      </w:r>
      <w:proofErr w:type="gramStart"/>
      <w:r w:rsidRPr="00D97DA5">
        <w:rPr>
          <w:rFonts w:ascii="Arial" w:hAnsi="Arial" w:cs="Arial"/>
        </w:rPr>
        <w:t>A</w:t>
      </w:r>
      <w:proofErr w:type="gramEnd"/>
      <w:r w:rsidRPr="00D97DA5">
        <w:rPr>
          <w:rFonts w:ascii="Arial" w:hAnsi="Arial" w:cs="Arial"/>
        </w:rPr>
        <w:t xml:space="preserve"> J, </w:t>
      </w:r>
      <w:proofErr w:type="spellStart"/>
      <w:r w:rsidRPr="00D97DA5">
        <w:rPr>
          <w:rFonts w:ascii="Arial" w:hAnsi="Arial" w:cs="Arial"/>
        </w:rPr>
        <w:t>Ayoko</w:t>
      </w:r>
      <w:proofErr w:type="spellEnd"/>
      <w:r w:rsidRPr="00D97DA5">
        <w:rPr>
          <w:rFonts w:ascii="Arial" w:hAnsi="Arial" w:cs="Arial"/>
        </w:rPr>
        <w:t xml:space="preserve"> G A, </w:t>
      </w:r>
      <w:proofErr w:type="spellStart"/>
      <w:r w:rsidRPr="00D97DA5">
        <w:rPr>
          <w:rFonts w:ascii="Arial" w:hAnsi="Arial" w:cs="Arial"/>
        </w:rPr>
        <w:t>Stelcer</w:t>
      </w:r>
      <w:proofErr w:type="spellEnd"/>
      <w:r w:rsidRPr="00D97DA5">
        <w:rPr>
          <w:rFonts w:ascii="Arial" w:hAnsi="Arial" w:cs="Arial"/>
        </w:rPr>
        <w:t xml:space="preserve"> E and Cohen D (2011</w:t>
      </w:r>
      <w:r w:rsidR="00E81231" w:rsidRPr="00D97DA5">
        <w:rPr>
          <w:rFonts w:ascii="Arial" w:hAnsi="Arial" w:cs="Arial"/>
        </w:rPr>
        <w:t>b</w:t>
      </w:r>
      <w:r w:rsidR="00FE0361" w:rsidRPr="00D97DA5">
        <w:rPr>
          <w:rFonts w:ascii="Arial" w:hAnsi="Arial" w:cs="Arial"/>
        </w:rPr>
        <w:t>),</w:t>
      </w:r>
      <w:r w:rsidRPr="00D97DA5">
        <w:rPr>
          <w:rFonts w:ascii="Arial" w:hAnsi="Arial" w:cs="Arial"/>
        </w:rPr>
        <w:t xml:space="preserve"> Source apportionment of PM</w:t>
      </w:r>
      <w:r w:rsidRPr="00D97DA5">
        <w:rPr>
          <w:rFonts w:ascii="Arial" w:hAnsi="Arial" w:cs="Arial"/>
          <w:vertAlign w:val="subscript"/>
        </w:rPr>
        <w:t>2.5</w:t>
      </w:r>
      <w:r w:rsidRPr="00D97DA5">
        <w:rPr>
          <w:rFonts w:ascii="Arial" w:hAnsi="Arial" w:cs="Arial"/>
        </w:rPr>
        <w:t xml:space="preserve"> at two receptor sites in Brisbane, Australia. </w:t>
      </w:r>
      <w:r w:rsidRPr="00D97DA5">
        <w:rPr>
          <w:rFonts w:ascii="Arial" w:hAnsi="Arial" w:cs="Arial"/>
          <w:i/>
        </w:rPr>
        <w:t>Environ. Chem</w:t>
      </w:r>
      <w:r w:rsidRPr="00D97DA5">
        <w:rPr>
          <w:rFonts w:ascii="Arial" w:hAnsi="Arial" w:cs="Arial"/>
        </w:rPr>
        <w:t>., Vol. 8, pp. 569–580.</w:t>
      </w:r>
    </w:p>
    <w:p w:rsidR="00081251" w:rsidRPr="00D97DA5" w:rsidRDefault="00081251" w:rsidP="00DD0B7A">
      <w:pPr>
        <w:keepLines/>
        <w:spacing w:after="200"/>
        <w:rPr>
          <w:rFonts w:ascii="Arial" w:hAnsi="Arial" w:cs="Arial"/>
        </w:rPr>
      </w:pPr>
      <w:r w:rsidRPr="00D97DA5">
        <w:rPr>
          <w:rFonts w:ascii="Arial" w:hAnsi="Arial" w:cs="Arial"/>
        </w:rPr>
        <w:t>Friend</w:t>
      </w:r>
      <w:r w:rsidR="00F73565" w:rsidRPr="00D97DA5">
        <w:rPr>
          <w:rFonts w:ascii="Arial" w:hAnsi="Arial" w:cs="Arial"/>
        </w:rPr>
        <w:t>,</w:t>
      </w:r>
      <w:r w:rsidRPr="00D97DA5">
        <w:rPr>
          <w:rFonts w:ascii="Arial" w:hAnsi="Arial" w:cs="Arial"/>
        </w:rPr>
        <w:t xml:space="preserve"> AJ, </w:t>
      </w:r>
      <w:proofErr w:type="spellStart"/>
      <w:r w:rsidRPr="00D97DA5">
        <w:rPr>
          <w:rFonts w:ascii="Arial" w:hAnsi="Arial" w:cs="Arial"/>
        </w:rPr>
        <w:t>Ayoko</w:t>
      </w:r>
      <w:proofErr w:type="spellEnd"/>
      <w:r w:rsidR="00F73565" w:rsidRPr="00D97DA5">
        <w:rPr>
          <w:rFonts w:ascii="Arial" w:hAnsi="Arial" w:cs="Arial"/>
        </w:rPr>
        <w:t>,</w:t>
      </w:r>
      <w:r w:rsidRPr="00D97DA5">
        <w:rPr>
          <w:rFonts w:ascii="Arial" w:hAnsi="Arial" w:cs="Arial"/>
        </w:rPr>
        <w:t xml:space="preserve"> GA and </w:t>
      </w:r>
      <w:proofErr w:type="spellStart"/>
      <w:r w:rsidRPr="00D97DA5">
        <w:rPr>
          <w:rFonts w:ascii="Arial" w:hAnsi="Arial" w:cs="Arial"/>
        </w:rPr>
        <w:t>Kokot</w:t>
      </w:r>
      <w:proofErr w:type="spellEnd"/>
      <w:r w:rsidR="00F73565" w:rsidRPr="00D97DA5">
        <w:rPr>
          <w:rFonts w:ascii="Arial" w:hAnsi="Arial" w:cs="Arial"/>
        </w:rPr>
        <w:t>,</w:t>
      </w:r>
      <w:r w:rsidRPr="00D97DA5">
        <w:rPr>
          <w:rFonts w:ascii="Arial" w:hAnsi="Arial" w:cs="Arial"/>
        </w:rPr>
        <w:t xml:space="preserve"> S (2013</w:t>
      </w:r>
      <w:r w:rsidR="00FE0361" w:rsidRPr="00D97DA5">
        <w:rPr>
          <w:rFonts w:ascii="Arial" w:hAnsi="Arial" w:cs="Arial"/>
        </w:rPr>
        <w:t>),</w:t>
      </w:r>
      <w:r w:rsidRPr="00D97DA5">
        <w:rPr>
          <w:rFonts w:ascii="Arial" w:hAnsi="Arial" w:cs="Arial"/>
        </w:rPr>
        <w:t xml:space="preserve"> </w:t>
      </w:r>
      <w:r w:rsidR="00F73565" w:rsidRPr="00D97DA5">
        <w:rPr>
          <w:rFonts w:ascii="Arial" w:hAnsi="Arial" w:cs="Arial"/>
        </w:rPr>
        <w:t>‘</w:t>
      </w:r>
      <w:r w:rsidRPr="00D97DA5">
        <w:rPr>
          <w:rFonts w:ascii="Arial" w:hAnsi="Arial" w:cs="Arial"/>
        </w:rPr>
        <w:t>Source apportionment of airborne particulate matter: An overview of Australian and New Zealand studies</w:t>
      </w:r>
      <w:r w:rsidR="00F73565" w:rsidRPr="00D97DA5">
        <w:rPr>
          <w:rFonts w:ascii="Arial" w:hAnsi="Arial" w:cs="Arial"/>
        </w:rPr>
        <w:t>’</w:t>
      </w:r>
      <w:r w:rsidR="00881CDB" w:rsidRPr="00D97DA5">
        <w:rPr>
          <w:rFonts w:ascii="Arial" w:hAnsi="Arial" w:cs="Arial"/>
        </w:rPr>
        <w:t>,</w:t>
      </w:r>
      <w:r w:rsidRPr="00D97DA5">
        <w:rPr>
          <w:rFonts w:ascii="Arial" w:hAnsi="Arial" w:cs="Arial"/>
        </w:rPr>
        <w:t xml:space="preserve"> </w:t>
      </w:r>
      <w:r w:rsidRPr="00D97DA5">
        <w:rPr>
          <w:rFonts w:ascii="Arial" w:hAnsi="Arial" w:cs="Arial"/>
          <w:i/>
        </w:rPr>
        <w:t>Air Quality and Climate Change</w:t>
      </w:r>
      <w:r w:rsidRPr="00D97DA5">
        <w:rPr>
          <w:rFonts w:ascii="Arial" w:hAnsi="Arial" w:cs="Arial"/>
        </w:rPr>
        <w:t xml:space="preserve">, </w:t>
      </w:r>
      <w:r w:rsidR="00F73565" w:rsidRPr="00D97DA5">
        <w:rPr>
          <w:rFonts w:ascii="Arial" w:hAnsi="Arial" w:cs="Arial"/>
        </w:rPr>
        <w:t>v</w:t>
      </w:r>
      <w:r w:rsidRPr="00D97DA5">
        <w:rPr>
          <w:rFonts w:ascii="Arial" w:hAnsi="Arial" w:cs="Arial"/>
        </w:rPr>
        <w:t>ol. 47(2), pp. 13</w:t>
      </w:r>
      <w:r w:rsidR="00F73565" w:rsidRPr="00D97DA5">
        <w:rPr>
          <w:rFonts w:ascii="Arial" w:hAnsi="Arial" w:cs="Arial"/>
        </w:rPr>
        <w:t>–</w:t>
      </w:r>
      <w:r w:rsidRPr="00D97DA5">
        <w:rPr>
          <w:rFonts w:ascii="Arial" w:hAnsi="Arial" w:cs="Arial"/>
        </w:rPr>
        <w:t>19.</w:t>
      </w:r>
    </w:p>
    <w:p w:rsidR="00FE0361" w:rsidRPr="00D97DA5" w:rsidRDefault="009965D6" w:rsidP="00DD0B7A">
      <w:pPr>
        <w:keepLines/>
        <w:spacing w:after="220"/>
        <w:rPr>
          <w:rFonts w:ascii="Arial" w:hAnsi="Arial" w:cs="Arial"/>
        </w:rPr>
      </w:pPr>
      <w:proofErr w:type="spellStart"/>
      <w:r w:rsidRPr="00D97DA5">
        <w:rPr>
          <w:rFonts w:ascii="Arial" w:hAnsi="Arial" w:cs="Arial"/>
        </w:rPr>
        <w:t>Gelencsér</w:t>
      </w:r>
      <w:proofErr w:type="spellEnd"/>
      <w:r w:rsidR="00F73565" w:rsidRPr="00D97DA5">
        <w:rPr>
          <w:rFonts w:ascii="Arial" w:hAnsi="Arial" w:cs="Arial"/>
        </w:rPr>
        <w:t>,</w:t>
      </w:r>
      <w:r w:rsidRPr="00D97DA5">
        <w:rPr>
          <w:rFonts w:ascii="Arial" w:hAnsi="Arial" w:cs="Arial"/>
        </w:rPr>
        <w:t xml:space="preserve"> A, May</w:t>
      </w:r>
      <w:r w:rsidR="00F73565" w:rsidRPr="00D97DA5">
        <w:rPr>
          <w:rFonts w:ascii="Arial" w:hAnsi="Arial" w:cs="Arial"/>
        </w:rPr>
        <w:t>,</w:t>
      </w:r>
      <w:r w:rsidRPr="00D97DA5">
        <w:rPr>
          <w:rFonts w:ascii="Arial" w:hAnsi="Arial" w:cs="Arial"/>
        </w:rPr>
        <w:t xml:space="preserve"> B, Simpson</w:t>
      </w:r>
      <w:r w:rsidR="00F73565" w:rsidRPr="00D97DA5">
        <w:rPr>
          <w:rFonts w:ascii="Arial" w:hAnsi="Arial" w:cs="Arial"/>
        </w:rPr>
        <w:t>,</w:t>
      </w:r>
      <w:r w:rsidRPr="00D97DA5">
        <w:rPr>
          <w:rFonts w:ascii="Arial" w:hAnsi="Arial" w:cs="Arial"/>
        </w:rPr>
        <w:t xml:space="preserve"> D, </w:t>
      </w:r>
      <w:proofErr w:type="spellStart"/>
      <w:r w:rsidRPr="00D97DA5">
        <w:rPr>
          <w:rFonts w:ascii="Arial" w:hAnsi="Arial" w:cs="Arial"/>
        </w:rPr>
        <w:t>Sánchez</w:t>
      </w:r>
      <w:proofErr w:type="spellEnd"/>
      <w:r w:rsidRPr="00D97DA5">
        <w:rPr>
          <w:rFonts w:ascii="Arial" w:hAnsi="Arial" w:cs="Arial"/>
        </w:rPr>
        <w:t>-Ochoa</w:t>
      </w:r>
      <w:r w:rsidR="00F73565" w:rsidRPr="00D97DA5">
        <w:rPr>
          <w:rFonts w:ascii="Arial" w:hAnsi="Arial" w:cs="Arial"/>
        </w:rPr>
        <w:t>,</w:t>
      </w:r>
      <w:r w:rsidRPr="00D97DA5">
        <w:rPr>
          <w:rFonts w:ascii="Arial" w:hAnsi="Arial" w:cs="Arial"/>
        </w:rPr>
        <w:t xml:space="preserve"> A, Kasper-</w:t>
      </w:r>
      <w:proofErr w:type="spellStart"/>
      <w:r w:rsidRPr="00D97DA5">
        <w:rPr>
          <w:rFonts w:ascii="Arial" w:hAnsi="Arial" w:cs="Arial"/>
        </w:rPr>
        <w:t>Giebl</w:t>
      </w:r>
      <w:proofErr w:type="spellEnd"/>
      <w:r w:rsidR="00F73565" w:rsidRPr="00D97DA5">
        <w:rPr>
          <w:rFonts w:ascii="Arial" w:hAnsi="Arial" w:cs="Arial"/>
        </w:rPr>
        <w:t>,</w:t>
      </w:r>
      <w:r w:rsidRPr="00D97DA5">
        <w:rPr>
          <w:rFonts w:ascii="Arial" w:hAnsi="Arial" w:cs="Arial"/>
        </w:rPr>
        <w:t xml:space="preserve"> A, </w:t>
      </w:r>
      <w:proofErr w:type="spellStart"/>
      <w:r w:rsidRPr="00D97DA5">
        <w:rPr>
          <w:rFonts w:ascii="Arial" w:hAnsi="Arial" w:cs="Arial"/>
        </w:rPr>
        <w:t>Puxbaum</w:t>
      </w:r>
      <w:proofErr w:type="spellEnd"/>
      <w:r w:rsidR="00F73565" w:rsidRPr="00D97DA5">
        <w:rPr>
          <w:rFonts w:ascii="Arial" w:hAnsi="Arial" w:cs="Arial"/>
        </w:rPr>
        <w:t>,</w:t>
      </w:r>
      <w:r w:rsidRPr="00D97DA5">
        <w:rPr>
          <w:rFonts w:ascii="Arial" w:hAnsi="Arial" w:cs="Arial"/>
        </w:rPr>
        <w:t xml:space="preserve"> H, </w:t>
      </w:r>
      <w:proofErr w:type="spellStart"/>
      <w:r w:rsidRPr="00D97DA5">
        <w:rPr>
          <w:rFonts w:ascii="Arial" w:hAnsi="Arial" w:cs="Arial"/>
        </w:rPr>
        <w:t>Caseiro</w:t>
      </w:r>
      <w:proofErr w:type="spellEnd"/>
      <w:r w:rsidR="00F73565" w:rsidRPr="00D97DA5">
        <w:rPr>
          <w:rFonts w:ascii="Arial" w:hAnsi="Arial" w:cs="Arial"/>
        </w:rPr>
        <w:t>,</w:t>
      </w:r>
      <w:r w:rsidRPr="00D97DA5">
        <w:rPr>
          <w:rFonts w:ascii="Arial" w:hAnsi="Arial" w:cs="Arial"/>
        </w:rPr>
        <w:t xml:space="preserve"> A, </w:t>
      </w:r>
      <w:proofErr w:type="spellStart"/>
      <w:r w:rsidRPr="00D97DA5">
        <w:rPr>
          <w:rFonts w:ascii="Arial" w:hAnsi="Arial" w:cs="Arial"/>
        </w:rPr>
        <w:t>Pio</w:t>
      </w:r>
      <w:proofErr w:type="spellEnd"/>
      <w:r w:rsidR="00F73565" w:rsidRPr="00D97DA5">
        <w:rPr>
          <w:rFonts w:ascii="Arial" w:hAnsi="Arial" w:cs="Arial"/>
        </w:rPr>
        <w:t>,</w:t>
      </w:r>
      <w:r w:rsidRPr="00D97DA5">
        <w:rPr>
          <w:rFonts w:ascii="Arial" w:hAnsi="Arial" w:cs="Arial"/>
        </w:rPr>
        <w:t xml:space="preserve"> C and Legrand</w:t>
      </w:r>
      <w:r w:rsidR="00F73565" w:rsidRPr="00D97DA5">
        <w:rPr>
          <w:rFonts w:ascii="Arial" w:hAnsi="Arial" w:cs="Arial"/>
        </w:rPr>
        <w:t>,</w:t>
      </w:r>
      <w:r w:rsidRPr="00D97DA5">
        <w:rPr>
          <w:rFonts w:ascii="Arial" w:hAnsi="Arial" w:cs="Arial"/>
        </w:rPr>
        <w:t xml:space="preserve"> M (2007</w:t>
      </w:r>
      <w:r w:rsidR="00FE0361" w:rsidRPr="00D97DA5">
        <w:rPr>
          <w:rFonts w:ascii="Arial" w:hAnsi="Arial" w:cs="Arial"/>
        </w:rPr>
        <w:t>),</w:t>
      </w:r>
      <w:r w:rsidRPr="00D97DA5">
        <w:rPr>
          <w:rFonts w:ascii="Arial" w:hAnsi="Arial" w:cs="Arial"/>
        </w:rPr>
        <w:t xml:space="preserve"> </w:t>
      </w:r>
      <w:r w:rsidR="00F73565" w:rsidRPr="00D97DA5">
        <w:rPr>
          <w:rFonts w:ascii="Arial" w:hAnsi="Arial" w:cs="Arial"/>
        </w:rPr>
        <w:t>‘</w:t>
      </w:r>
      <w:r w:rsidRPr="00D97DA5">
        <w:rPr>
          <w:rFonts w:ascii="Arial" w:hAnsi="Arial" w:cs="Arial"/>
        </w:rPr>
        <w:t>Source apportionment of PM</w:t>
      </w:r>
      <w:r w:rsidRPr="00D97DA5">
        <w:rPr>
          <w:rFonts w:ascii="Arial" w:hAnsi="Arial" w:cs="Arial"/>
          <w:vertAlign w:val="subscript"/>
        </w:rPr>
        <w:t>2.5</w:t>
      </w:r>
      <w:r w:rsidRPr="00D97DA5">
        <w:rPr>
          <w:rFonts w:ascii="Arial" w:hAnsi="Arial" w:cs="Arial"/>
        </w:rPr>
        <w:t xml:space="preserve"> organic aerosol over Europe: Primary/secondary, natural/anthropogenic, and fossil/biogenic origin</w:t>
      </w:r>
      <w:r w:rsidR="00F73565" w:rsidRPr="00D97DA5">
        <w:rPr>
          <w:rFonts w:ascii="Arial" w:hAnsi="Arial" w:cs="Arial"/>
        </w:rPr>
        <w:t>’</w:t>
      </w:r>
      <w:r w:rsidR="00881CDB" w:rsidRPr="00D97DA5">
        <w:rPr>
          <w:rFonts w:ascii="Arial" w:hAnsi="Arial" w:cs="Arial"/>
        </w:rPr>
        <w:t>,</w:t>
      </w:r>
      <w:r w:rsidRPr="00D97DA5">
        <w:rPr>
          <w:rFonts w:ascii="Arial" w:hAnsi="Arial" w:cs="Arial"/>
        </w:rPr>
        <w:t xml:space="preserve"> </w:t>
      </w:r>
      <w:r w:rsidRPr="00D97DA5">
        <w:rPr>
          <w:rFonts w:ascii="Arial" w:hAnsi="Arial" w:cs="Arial"/>
          <w:i/>
        </w:rPr>
        <w:t>Journal of Geophysical Research</w:t>
      </w:r>
      <w:r w:rsidRPr="00D97DA5">
        <w:rPr>
          <w:rFonts w:ascii="Arial" w:hAnsi="Arial" w:cs="Arial"/>
        </w:rPr>
        <w:t xml:space="preserve">, </w:t>
      </w:r>
      <w:r w:rsidR="00F73565" w:rsidRPr="00D97DA5">
        <w:rPr>
          <w:rFonts w:ascii="Arial" w:hAnsi="Arial" w:cs="Arial"/>
        </w:rPr>
        <w:t>v</w:t>
      </w:r>
      <w:r w:rsidRPr="00D97DA5">
        <w:rPr>
          <w:rFonts w:ascii="Arial" w:hAnsi="Arial" w:cs="Arial"/>
        </w:rPr>
        <w:t>ol. 112, D23S04</w:t>
      </w:r>
      <w:r w:rsidR="00975991" w:rsidRPr="00D97DA5">
        <w:rPr>
          <w:rFonts w:ascii="Arial" w:hAnsi="Arial" w:cs="Arial"/>
        </w:rPr>
        <w:t>, doi</w:t>
      </w:r>
      <w:proofErr w:type="gramStart"/>
      <w:r w:rsidR="00975991" w:rsidRPr="00D97DA5">
        <w:rPr>
          <w:rFonts w:ascii="Arial" w:hAnsi="Arial" w:cs="Arial"/>
        </w:rPr>
        <w:t>:10.1029</w:t>
      </w:r>
      <w:proofErr w:type="gramEnd"/>
      <w:r w:rsidR="00975991" w:rsidRPr="00D97DA5">
        <w:rPr>
          <w:rFonts w:ascii="Arial" w:hAnsi="Arial" w:cs="Arial"/>
        </w:rPr>
        <w:t>/2006JD008094</w:t>
      </w:r>
      <w:r w:rsidRPr="00D97DA5">
        <w:rPr>
          <w:rFonts w:ascii="Arial" w:hAnsi="Arial" w:cs="Arial"/>
        </w:rPr>
        <w:t>.</w:t>
      </w:r>
    </w:p>
    <w:p w:rsidR="001C34C3" w:rsidRPr="00D97DA5" w:rsidRDefault="001C34C3" w:rsidP="00DD0B7A">
      <w:pPr>
        <w:keepLines/>
        <w:spacing w:after="220"/>
        <w:rPr>
          <w:rFonts w:ascii="Arial" w:hAnsi="Arial" w:cs="Arial"/>
        </w:rPr>
      </w:pPr>
      <w:r w:rsidRPr="00D97DA5">
        <w:rPr>
          <w:rFonts w:ascii="Arial" w:hAnsi="Arial" w:cs="Arial"/>
        </w:rPr>
        <w:t>Gras</w:t>
      </w:r>
      <w:r w:rsidR="00F73565" w:rsidRPr="00D97DA5">
        <w:rPr>
          <w:rFonts w:ascii="Arial" w:hAnsi="Arial" w:cs="Arial"/>
        </w:rPr>
        <w:t>,</w:t>
      </w:r>
      <w:r w:rsidRPr="00D97DA5">
        <w:rPr>
          <w:rFonts w:ascii="Arial" w:hAnsi="Arial" w:cs="Arial"/>
        </w:rPr>
        <w:t xml:space="preserve"> JG, </w:t>
      </w:r>
      <w:proofErr w:type="spellStart"/>
      <w:r w:rsidRPr="00D97DA5">
        <w:rPr>
          <w:rFonts w:ascii="Arial" w:hAnsi="Arial" w:cs="Arial"/>
        </w:rPr>
        <w:t>Gillet</w:t>
      </w:r>
      <w:proofErr w:type="spellEnd"/>
      <w:r w:rsidR="00F73565" w:rsidRPr="00D97DA5">
        <w:rPr>
          <w:rFonts w:ascii="Arial" w:hAnsi="Arial" w:cs="Arial"/>
        </w:rPr>
        <w:t>,</w:t>
      </w:r>
      <w:r w:rsidRPr="00D97DA5">
        <w:rPr>
          <w:rFonts w:ascii="Arial" w:hAnsi="Arial" w:cs="Arial"/>
        </w:rPr>
        <w:t xml:space="preserve"> RW, Bentley</w:t>
      </w:r>
      <w:r w:rsidR="00F73565" w:rsidRPr="00D97DA5">
        <w:rPr>
          <w:rFonts w:ascii="Arial" w:hAnsi="Arial" w:cs="Arial"/>
        </w:rPr>
        <w:t>,</w:t>
      </w:r>
      <w:r w:rsidRPr="00D97DA5">
        <w:rPr>
          <w:rFonts w:ascii="Arial" w:hAnsi="Arial" w:cs="Arial"/>
        </w:rPr>
        <w:t xml:space="preserve"> ST, Ayers</w:t>
      </w:r>
      <w:r w:rsidR="00F73565" w:rsidRPr="00D97DA5">
        <w:rPr>
          <w:rFonts w:ascii="Arial" w:hAnsi="Arial" w:cs="Arial"/>
        </w:rPr>
        <w:t>,</w:t>
      </w:r>
      <w:r w:rsidRPr="00D97DA5">
        <w:rPr>
          <w:rFonts w:ascii="Arial" w:hAnsi="Arial" w:cs="Arial"/>
        </w:rPr>
        <w:t xml:space="preserve"> GP and Firestone</w:t>
      </w:r>
      <w:r w:rsidR="00F73565" w:rsidRPr="00D97DA5">
        <w:rPr>
          <w:rFonts w:ascii="Arial" w:hAnsi="Arial" w:cs="Arial"/>
        </w:rPr>
        <w:t>,</w:t>
      </w:r>
      <w:r w:rsidRPr="00D97DA5">
        <w:rPr>
          <w:rFonts w:ascii="Arial" w:hAnsi="Arial" w:cs="Arial"/>
        </w:rPr>
        <w:t xml:space="preserve"> T (1992</w:t>
      </w:r>
      <w:r w:rsidR="00FE0361" w:rsidRPr="00D97DA5">
        <w:rPr>
          <w:rFonts w:ascii="Arial" w:hAnsi="Arial" w:cs="Arial"/>
        </w:rPr>
        <w:t>),</w:t>
      </w:r>
      <w:r w:rsidRPr="00D97DA5">
        <w:rPr>
          <w:rFonts w:ascii="Arial" w:hAnsi="Arial" w:cs="Arial"/>
        </w:rPr>
        <w:t xml:space="preserve"> </w:t>
      </w:r>
      <w:r w:rsidR="00F73565" w:rsidRPr="00D97DA5">
        <w:rPr>
          <w:rFonts w:ascii="Arial" w:hAnsi="Arial" w:cs="Arial"/>
        </w:rPr>
        <w:t>‘</w:t>
      </w:r>
      <w:r w:rsidRPr="00D97DA5">
        <w:rPr>
          <w:rFonts w:ascii="Arial" w:hAnsi="Arial" w:cs="Arial"/>
        </w:rPr>
        <w:t>CSIRO–EPA Melbourne Aerosol Study: Final Report</w:t>
      </w:r>
      <w:r w:rsidR="00F73565" w:rsidRPr="00D97DA5">
        <w:rPr>
          <w:rFonts w:ascii="Arial" w:hAnsi="Arial" w:cs="Arial"/>
        </w:rPr>
        <w:t>’</w:t>
      </w:r>
      <w:r w:rsidR="00881CDB" w:rsidRPr="00D97DA5">
        <w:rPr>
          <w:rFonts w:ascii="Arial" w:hAnsi="Arial" w:cs="Arial"/>
        </w:rPr>
        <w:t>,</w:t>
      </w:r>
      <w:r w:rsidRPr="00D97DA5">
        <w:rPr>
          <w:rFonts w:ascii="Arial" w:hAnsi="Arial" w:cs="Arial"/>
        </w:rPr>
        <w:t xml:space="preserve"> CSIRO Atmospheric Research, Melbourne</w:t>
      </w:r>
      <w:r w:rsidR="00881CDB" w:rsidRPr="00D97DA5">
        <w:rPr>
          <w:rFonts w:ascii="Arial" w:hAnsi="Arial" w:cs="Arial"/>
        </w:rPr>
        <w:t>,</w:t>
      </w:r>
      <w:r w:rsidRPr="00D97DA5">
        <w:rPr>
          <w:rFonts w:ascii="Arial" w:hAnsi="Arial" w:cs="Arial"/>
        </w:rPr>
        <w:t xml:space="preserve"> </w:t>
      </w:r>
      <w:r w:rsidR="00F73565" w:rsidRPr="00D97DA5">
        <w:rPr>
          <w:rFonts w:ascii="Arial" w:hAnsi="Arial" w:cs="Arial"/>
        </w:rPr>
        <w:t>VIC, c</w:t>
      </w:r>
      <w:r w:rsidRPr="00D97DA5">
        <w:rPr>
          <w:rFonts w:ascii="Arial" w:hAnsi="Arial" w:cs="Arial"/>
        </w:rPr>
        <w:t xml:space="preserve">ited in </w:t>
      </w:r>
      <w:proofErr w:type="spellStart"/>
      <w:r w:rsidRPr="00D97DA5">
        <w:rPr>
          <w:rFonts w:ascii="Arial" w:hAnsi="Arial" w:cs="Arial"/>
        </w:rPr>
        <w:t>Keywood</w:t>
      </w:r>
      <w:proofErr w:type="spellEnd"/>
      <w:r w:rsidRPr="00D97DA5">
        <w:rPr>
          <w:rFonts w:ascii="Arial" w:hAnsi="Arial" w:cs="Arial"/>
        </w:rPr>
        <w:t xml:space="preserve"> </w:t>
      </w:r>
      <w:r w:rsidR="009334F4" w:rsidRPr="00D97DA5">
        <w:rPr>
          <w:rFonts w:ascii="Arial" w:hAnsi="Arial" w:cs="Arial"/>
        </w:rPr>
        <w:t>et al.</w:t>
      </w:r>
      <w:r w:rsidRPr="00D97DA5">
        <w:rPr>
          <w:rFonts w:ascii="Arial" w:hAnsi="Arial" w:cs="Arial"/>
        </w:rPr>
        <w:t xml:space="preserve"> (2011).</w:t>
      </w:r>
    </w:p>
    <w:p w:rsidR="001C34C3" w:rsidRPr="00D97DA5" w:rsidRDefault="001C34C3" w:rsidP="00DD0B7A">
      <w:pPr>
        <w:keepLines/>
        <w:spacing w:after="220"/>
        <w:rPr>
          <w:rFonts w:ascii="Arial" w:hAnsi="Arial" w:cs="Arial"/>
        </w:rPr>
      </w:pPr>
      <w:r w:rsidRPr="00D97DA5">
        <w:rPr>
          <w:rFonts w:ascii="Arial" w:hAnsi="Arial" w:cs="Arial"/>
        </w:rPr>
        <w:lastRenderedPageBreak/>
        <w:t>Gras</w:t>
      </w:r>
      <w:r w:rsidR="00F73565" w:rsidRPr="00D97DA5">
        <w:rPr>
          <w:rFonts w:ascii="Arial" w:hAnsi="Arial" w:cs="Arial"/>
        </w:rPr>
        <w:t>,</w:t>
      </w:r>
      <w:r w:rsidRPr="00D97DA5">
        <w:rPr>
          <w:rFonts w:ascii="Arial" w:hAnsi="Arial" w:cs="Arial"/>
        </w:rPr>
        <w:t xml:space="preserve"> JG (1996</w:t>
      </w:r>
      <w:r w:rsidR="00FE0361" w:rsidRPr="00D97DA5">
        <w:rPr>
          <w:rFonts w:ascii="Arial" w:hAnsi="Arial" w:cs="Arial"/>
        </w:rPr>
        <w:t>),</w:t>
      </w:r>
      <w:r w:rsidRPr="00D97DA5">
        <w:rPr>
          <w:rFonts w:ascii="Arial" w:hAnsi="Arial" w:cs="Arial"/>
        </w:rPr>
        <w:t xml:space="preserve"> </w:t>
      </w:r>
      <w:r w:rsidR="00F73565" w:rsidRPr="00D97DA5">
        <w:rPr>
          <w:rFonts w:ascii="Arial" w:hAnsi="Arial" w:cs="Arial"/>
        </w:rPr>
        <w:t>‘</w:t>
      </w:r>
      <w:r w:rsidRPr="00D97DA5">
        <w:rPr>
          <w:rFonts w:ascii="Arial" w:hAnsi="Arial" w:cs="Arial"/>
        </w:rPr>
        <w:t>The Perth Haze Study: a report to the Department of Environmental Protection of Western Australia on fine-particle haze in Perth</w:t>
      </w:r>
      <w:r w:rsidR="00F73565" w:rsidRPr="00D97DA5">
        <w:rPr>
          <w:rFonts w:ascii="Arial" w:hAnsi="Arial" w:cs="Arial"/>
        </w:rPr>
        <w:t>’</w:t>
      </w:r>
      <w:r w:rsidR="00881CDB" w:rsidRPr="00D97DA5">
        <w:rPr>
          <w:rFonts w:ascii="Arial" w:hAnsi="Arial" w:cs="Arial"/>
        </w:rPr>
        <w:t>,</w:t>
      </w:r>
      <w:r w:rsidRPr="00D97DA5">
        <w:rPr>
          <w:rFonts w:ascii="Arial" w:hAnsi="Arial" w:cs="Arial"/>
        </w:rPr>
        <w:t xml:space="preserve"> CSIRO Atmospheric Research, Melbourne</w:t>
      </w:r>
      <w:r w:rsidR="00881CDB" w:rsidRPr="00D97DA5">
        <w:rPr>
          <w:rFonts w:ascii="Arial" w:hAnsi="Arial" w:cs="Arial"/>
        </w:rPr>
        <w:t>,</w:t>
      </w:r>
      <w:r w:rsidRPr="00D97DA5">
        <w:rPr>
          <w:rFonts w:ascii="Arial" w:hAnsi="Arial" w:cs="Arial"/>
        </w:rPr>
        <w:t xml:space="preserve"> </w:t>
      </w:r>
      <w:r w:rsidR="00F73565" w:rsidRPr="00D97DA5">
        <w:rPr>
          <w:rFonts w:ascii="Arial" w:hAnsi="Arial" w:cs="Arial"/>
        </w:rPr>
        <w:t>VIC, c</w:t>
      </w:r>
      <w:r w:rsidRPr="00D97DA5">
        <w:rPr>
          <w:rFonts w:ascii="Arial" w:hAnsi="Arial" w:cs="Arial"/>
        </w:rPr>
        <w:t xml:space="preserve">ited in </w:t>
      </w:r>
      <w:proofErr w:type="spellStart"/>
      <w:r w:rsidRPr="00D97DA5">
        <w:rPr>
          <w:rFonts w:ascii="Arial" w:hAnsi="Arial" w:cs="Arial"/>
        </w:rPr>
        <w:t>Keywood</w:t>
      </w:r>
      <w:proofErr w:type="spellEnd"/>
      <w:r w:rsidRPr="00D97DA5">
        <w:rPr>
          <w:rFonts w:ascii="Arial" w:hAnsi="Arial" w:cs="Arial"/>
        </w:rPr>
        <w:t xml:space="preserve"> </w:t>
      </w:r>
      <w:r w:rsidR="009334F4" w:rsidRPr="00D97DA5">
        <w:rPr>
          <w:rFonts w:ascii="Arial" w:hAnsi="Arial" w:cs="Arial"/>
        </w:rPr>
        <w:t>et al.</w:t>
      </w:r>
      <w:r w:rsidRPr="00D97DA5">
        <w:rPr>
          <w:rFonts w:ascii="Arial" w:hAnsi="Arial" w:cs="Arial"/>
        </w:rPr>
        <w:t xml:space="preserve"> (2011).</w:t>
      </w:r>
    </w:p>
    <w:p w:rsidR="00001830" w:rsidRPr="00D97DA5" w:rsidRDefault="00001830" w:rsidP="00DD0B7A">
      <w:pPr>
        <w:keepLines/>
        <w:spacing w:after="220"/>
        <w:rPr>
          <w:rFonts w:ascii="Arial" w:hAnsi="Arial" w:cs="Arial"/>
        </w:rPr>
      </w:pPr>
      <w:r w:rsidRPr="00D97DA5">
        <w:rPr>
          <w:rFonts w:ascii="Arial" w:hAnsi="Arial" w:cs="Arial"/>
        </w:rPr>
        <w:t>Grover</w:t>
      </w:r>
      <w:r w:rsidR="00F73565" w:rsidRPr="00D97DA5">
        <w:rPr>
          <w:rFonts w:ascii="Arial" w:hAnsi="Arial" w:cs="Arial"/>
        </w:rPr>
        <w:t>,</w:t>
      </w:r>
      <w:r w:rsidRPr="00D97DA5">
        <w:rPr>
          <w:rFonts w:ascii="Arial" w:hAnsi="Arial" w:cs="Arial"/>
        </w:rPr>
        <w:t xml:space="preserve"> BD, </w:t>
      </w:r>
      <w:proofErr w:type="spellStart"/>
      <w:r w:rsidRPr="00D97DA5">
        <w:rPr>
          <w:rFonts w:ascii="Arial" w:hAnsi="Arial" w:cs="Arial"/>
        </w:rPr>
        <w:t>Kleinman</w:t>
      </w:r>
      <w:proofErr w:type="spellEnd"/>
      <w:r w:rsidR="00F73565" w:rsidRPr="00D97DA5">
        <w:rPr>
          <w:rFonts w:ascii="Arial" w:hAnsi="Arial" w:cs="Arial"/>
        </w:rPr>
        <w:t>,</w:t>
      </w:r>
      <w:r w:rsidRPr="00D97DA5">
        <w:rPr>
          <w:rFonts w:ascii="Arial" w:hAnsi="Arial" w:cs="Arial"/>
        </w:rPr>
        <w:t xml:space="preserve"> M, </w:t>
      </w:r>
      <w:proofErr w:type="spellStart"/>
      <w:r w:rsidRPr="00D97DA5">
        <w:rPr>
          <w:rFonts w:ascii="Arial" w:hAnsi="Arial" w:cs="Arial"/>
        </w:rPr>
        <w:t>Eatough</w:t>
      </w:r>
      <w:proofErr w:type="spellEnd"/>
      <w:r w:rsidR="00F73565" w:rsidRPr="00D97DA5">
        <w:rPr>
          <w:rFonts w:ascii="Arial" w:hAnsi="Arial" w:cs="Arial"/>
        </w:rPr>
        <w:t>,</w:t>
      </w:r>
      <w:r w:rsidRPr="00D97DA5">
        <w:rPr>
          <w:rFonts w:ascii="Arial" w:hAnsi="Arial" w:cs="Arial"/>
        </w:rPr>
        <w:t xml:space="preserve"> NL, </w:t>
      </w:r>
      <w:proofErr w:type="spellStart"/>
      <w:r w:rsidRPr="00D97DA5">
        <w:rPr>
          <w:rFonts w:ascii="Arial" w:hAnsi="Arial" w:cs="Arial"/>
        </w:rPr>
        <w:t>Eatough</w:t>
      </w:r>
      <w:proofErr w:type="spellEnd"/>
      <w:r w:rsidR="00F73565" w:rsidRPr="00D97DA5">
        <w:rPr>
          <w:rFonts w:ascii="Arial" w:hAnsi="Arial" w:cs="Arial"/>
        </w:rPr>
        <w:t>,</w:t>
      </w:r>
      <w:r w:rsidRPr="00D97DA5">
        <w:rPr>
          <w:rFonts w:ascii="Arial" w:hAnsi="Arial" w:cs="Arial"/>
        </w:rPr>
        <w:t xml:space="preserve"> DJ, </w:t>
      </w:r>
      <w:proofErr w:type="spellStart"/>
      <w:r w:rsidRPr="00D97DA5">
        <w:rPr>
          <w:rFonts w:ascii="Arial" w:hAnsi="Arial" w:cs="Arial"/>
        </w:rPr>
        <w:t>Hopke</w:t>
      </w:r>
      <w:proofErr w:type="spellEnd"/>
      <w:r w:rsidR="00F73565" w:rsidRPr="00D97DA5">
        <w:rPr>
          <w:rFonts w:ascii="Arial" w:hAnsi="Arial" w:cs="Arial"/>
        </w:rPr>
        <w:t>,</w:t>
      </w:r>
      <w:r w:rsidRPr="00D97DA5">
        <w:rPr>
          <w:rFonts w:ascii="Arial" w:hAnsi="Arial" w:cs="Arial"/>
        </w:rPr>
        <w:t xml:space="preserve"> PK, Long</w:t>
      </w:r>
      <w:r w:rsidR="00F73565" w:rsidRPr="00D97DA5">
        <w:rPr>
          <w:rFonts w:ascii="Arial" w:hAnsi="Arial" w:cs="Arial"/>
        </w:rPr>
        <w:t>,</w:t>
      </w:r>
      <w:r w:rsidRPr="00D97DA5">
        <w:rPr>
          <w:rFonts w:ascii="Arial" w:hAnsi="Arial" w:cs="Arial"/>
        </w:rPr>
        <w:t xml:space="preserve"> RW, Wilson</w:t>
      </w:r>
      <w:r w:rsidR="00F73565" w:rsidRPr="00D97DA5">
        <w:rPr>
          <w:rFonts w:ascii="Arial" w:hAnsi="Arial" w:cs="Arial"/>
        </w:rPr>
        <w:t>,</w:t>
      </w:r>
      <w:r w:rsidRPr="00D97DA5">
        <w:rPr>
          <w:rFonts w:ascii="Arial" w:hAnsi="Arial" w:cs="Arial"/>
        </w:rPr>
        <w:t xml:space="preserve"> WE, Meyer</w:t>
      </w:r>
      <w:r w:rsidR="00F73565" w:rsidRPr="00D97DA5">
        <w:rPr>
          <w:rFonts w:ascii="Arial" w:hAnsi="Arial" w:cs="Arial"/>
        </w:rPr>
        <w:t>,</w:t>
      </w:r>
      <w:r w:rsidRPr="00D97DA5">
        <w:rPr>
          <w:rFonts w:ascii="Arial" w:hAnsi="Arial" w:cs="Arial"/>
        </w:rPr>
        <w:t xml:space="preserve"> MB and </w:t>
      </w:r>
      <w:proofErr w:type="spellStart"/>
      <w:r w:rsidRPr="00D97DA5">
        <w:rPr>
          <w:rFonts w:ascii="Arial" w:hAnsi="Arial" w:cs="Arial"/>
        </w:rPr>
        <w:t>Ambs</w:t>
      </w:r>
      <w:proofErr w:type="spellEnd"/>
      <w:r w:rsidR="00F73565" w:rsidRPr="00D97DA5">
        <w:rPr>
          <w:rFonts w:ascii="Arial" w:hAnsi="Arial" w:cs="Arial"/>
        </w:rPr>
        <w:t>,</w:t>
      </w:r>
      <w:r w:rsidRPr="00D97DA5">
        <w:rPr>
          <w:rFonts w:ascii="Arial" w:hAnsi="Arial" w:cs="Arial"/>
        </w:rPr>
        <w:t xml:space="preserve"> JL (2005</w:t>
      </w:r>
      <w:r w:rsidR="00FE0361" w:rsidRPr="00D97DA5">
        <w:rPr>
          <w:rFonts w:ascii="Arial" w:hAnsi="Arial" w:cs="Arial"/>
        </w:rPr>
        <w:t>),</w:t>
      </w:r>
      <w:r w:rsidRPr="00D97DA5">
        <w:rPr>
          <w:rFonts w:ascii="Arial" w:hAnsi="Arial" w:cs="Arial"/>
        </w:rPr>
        <w:t xml:space="preserve"> </w:t>
      </w:r>
      <w:r w:rsidR="00D75997" w:rsidRPr="00D97DA5">
        <w:rPr>
          <w:rFonts w:ascii="Arial" w:hAnsi="Arial" w:cs="Arial"/>
        </w:rPr>
        <w:t>‘</w:t>
      </w:r>
      <w:r w:rsidRPr="00D97DA5">
        <w:rPr>
          <w:rFonts w:ascii="Arial" w:hAnsi="Arial" w:cs="Arial"/>
        </w:rPr>
        <w:t>Measurement of total PM</w:t>
      </w:r>
      <w:r w:rsidRPr="00D97DA5">
        <w:rPr>
          <w:rFonts w:ascii="Arial" w:hAnsi="Arial" w:cs="Arial"/>
          <w:vertAlign w:val="subscript"/>
        </w:rPr>
        <w:t>2.5</w:t>
      </w:r>
      <w:r w:rsidRPr="00D97DA5">
        <w:rPr>
          <w:rFonts w:ascii="Arial" w:hAnsi="Arial" w:cs="Arial"/>
        </w:rPr>
        <w:t xml:space="preserve"> mass (</w:t>
      </w:r>
      <w:proofErr w:type="spellStart"/>
      <w:r w:rsidRPr="00D97DA5">
        <w:rPr>
          <w:rFonts w:ascii="Arial" w:hAnsi="Arial" w:cs="Arial"/>
        </w:rPr>
        <w:t>nonvolatile</w:t>
      </w:r>
      <w:proofErr w:type="spellEnd"/>
      <w:r w:rsidRPr="00D97DA5">
        <w:rPr>
          <w:rFonts w:ascii="Arial" w:hAnsi="Arial" w:cs="Arial"/>
        </w:rPr>
        <w:t xml:space="preserve"> plus </w:t>
      </w:r>
      <w:proofErr w:type="spellStart"/>
      <w:r w:rsidRPr="00D97DA5">
        <w:rPr>
          <w:rFonts w:ascii="Arial" w:hAnsi="Arial" w:cs="Arial"/>
        </w:rPr>
        <w:t>semivolatile</w:t>
      </w:r>
      <w:proofErr w:type="spellEnd"/>
      <w:r w:rsidRPr="00D97DA5">
        <w:rPr>
          <w:rFonts w:ascii="Arial" w:hAnsi="Arial" w:cs="Arial"/>
        </w:rPr>
        <w:t>) with the Filter Dynamic Measurement System tapered element oscillating microbalance monitor</w:t>
      </w:r>
      <w:r w:rsidR="00D75997" w:rsidRPr="00D97DA5">
        <w:rPr>
          <w:rFonts w:ascii="Arial" w:hAnsi="Arial" w:cs="Arial"/>
        </w:rPr>
        <w:t>’</w:t>
      </w:r>
      <w:r w:rsidRPr="00D97DA5">
        <w:rPr>
          <w:rFonts w:ascii="Arial" w:hAnsi="Arial" w:cs="Arial"/>
        </w:rPr>
        <w:t xml:space="preserve">, </w:t>
      </w:r>
      <w:r w:rsidRPr="00D97DA5">
        <w:rPr>
          <w:rFonts w:ascii="Arial" w:hAnsi="Arial" w:cs="Arial"/>
          <w:i/>
        </w:rPr>
        <w:t>Journal of Geophysical Research</w:t>
      </w:r>
      <w:r w:rsidRPr="00D97DA5">
        <w:rPr>
          <w:rFonts w:ascii="Arial" w:hAnsi="Arial" w:cs="Arial"/>
        </w:rPr>
        <w:t xml:space="preserve">, </w:t>
      </w:r>
      <w:r w:rsidR="00D75997" w:rsidRPr="00D97DA5">
        <w:rPr>
          <w:rFonts w:ascii="Arial" w:hAnsi="Arial" w:cs="Arial"/>
        </w:rPr>
        <w:t xml:space="preserve">vol. </w:t>
      </w:r>
      <w:r w:rsidRPr="00D97DA5">
        <w:rPr>
          <w:rFonts w:ascii="Arial" w:hAnsi="Arial" w:cs="Arial"/>
        </w:rPr>
        <w:t>110, D07S03, doi:10.1029/2004JD004995.</w:t>
      </w:r>
    </w:p>
    <w:p w:rsidR="005871E2" w:rsidRPr="00D97DA5" w:rsidRDefault="005871E2" w:rsidP="002A2116">
      <w:pPr>
        <w:keepLines/>
        <w:spacing w:after="220"/>
        <w:rPr>
          <w:rFonts w:ascii="Arial" w:hAnsi="Arial" w:cs="Arial"/>
        </w:rPr>
      </w:pPr>
      <w:r w:rsidRPr="00D97DA5">
        <w:rPr>
          <w:rFonts w:ascii="Arial" w:hAnsi="Arial" w:cs="Arial"/>
        </w:rPr>
        <w:t>Harrison</w:t>
      </w:r>
      <w:r w:rsidR="00D75997" w:rsidRPr="00D97DA5">
        <w:rPr>
          <w:rFonts w:ascii="Arial" w:hAnsi="Arial" w:cs="Arial"/>
        </w:rPr>
        <w:t>,</w:t>
      </w:r>
      <w:r w:rsidRPr="00D97DA5">
        <w:rPr>
          <w:rFonts w:ascii="Arial" w:hAnsi="Arial" w:cs="Arial"/>
        </w:rPr>
        <w:t xml:space="preserve"> RM, </w:t>
      </w:r>
      <w:proofErr w:type="spellStart"/>
      <w:r w:rsidRPr="00D97DA5">
        <w:rPr>
          <w:rFonts w:ascii="Arial" w:hAnsi="Arial" w:cs="Arial"/>
        </w:rPr>
        <w:t>Giorio</w:t>
      </w:r>
      <w:proofErr w:type="spellEnd"/>
      <w:r w:rsidR="00D75997" w:rsidRPr="00D97DA5">
        <w:rPr>
          <w:rFonts w:ascii="Arial" w:hAnsi="Arial" w:cs="Arial"/>
        </w:rPr>
        <w:t>,</w:t>
      </w:r>
      <w:r w:rsidRPr="00D97DA5">
        <w:rPr>
          <w:rFonts w:ascii="Arial" w:hAnsi="Arial" w:cs="Arial"/>
        </w:rPr>
        <w:t xml:space="preserve"> C, </w:t>
      </w:r>
      <w:proofErr w:type="spellStart"/>
      <w:r w:rsidRPr="00D97DA5">
        <w:rPr>
          <w:rFonts w:ascii="Arial" w:hAnsi="Arial" w:cs="Arial"/>
        </w:rPr>
        <w:t>Beddows</w:t>
      </w:r>
      <w:proofErr w:type="spellEnd"/>
      <w:r w:rsidR="00D75997" w:rsidRPr="00D97DA5">
        <w:rPr>
          <w:rFonts w:ascii="Arial" w:hAnsi="Arial" w:cs="Arial"/>
        </w:rPr>
        <w:t>,</w:t>
      </w:r>
      <w:r w:rsidRPr="00D97DA5">
        <w:rPr>
          <w:rFonts w:ascii="Arial" w:hAnsi="Arial" w:cs="Arial"/>
        </w:rPr>
        <w:t xml:space="preserve"> DC and </w:t>
      </w:r>
      <w:proofErr w:type="spellStart"/>
      <w:r w:rsidRPr="00D97DA5">
        <w:rPr>
          <w:rFonts w:ascii="Arial" w:hAnsi="Arial" w:cs="Arial"/>
        </w:rPr>
        <w:t>Dall’Osto</w:t>
      </w:r>
      <w:proofErr w:type="spellEnd"/>
      <w:r w:rsidR="00D75997" w:rsidRPr="00D97DA5">
        <w:rPr>
          <w:rFonts w:ascii="Arial" w:hAnsi="Arial" w:cs="Arial"/>
        </w:rPr>
        <w:t>,</w:t>
      </w:r>
      <w:r w:rsidRPr="00D97DA5">
        <w:rPr>
          <w:rFonts w:ascii="Arial" w:hAnsi="Arial" w:cs="Arial"/>
        </w:rPr>
        <w:t xml:space="preserve"> M (2010</w:t>
      </w:r>
      <w:r w:rsidR="00FE0361" w:rsidRPr="00D97DA5">
        <w:rPr>
          <w:rFonts w:ascii="Arial" w:hAnsi="Arial" w:cs="Arial"/>
        </w:rPr>
        <w:t>),</w:t>
      </w:r>
      <w:r w:rsidRPr="00D97DA5">
        <w:rPr>
          <w:rFonts w:ascii="Arial" w:hAnsi="Arial" w:cs="Arial"/>
        </w:rPr>
        <w:t xml:space="preserve"> </w:t>
      </w:r>
      <w:r w:rsidR="00D75997" w:rsidRPr="00D97DA5">
        <w:rPr>
          <w:rFonts w:ascii="Arial" w:hAnsi="Arial" w:cs="Arial"/>
        </w:rPr>
        <w:t>‘</w:t>
      </w:r>
      <w:r w:rsidRPr="00D97DA5">
        <w:rPr>
          <w:rFonts w:ascii="Arial" w:hAnsi="Arial" w:cs="Arial"/>
        </w:rPr>
        <w:t>Size distribution of airborne</w:t>
      </w:r>
      <w:r w:rsidR="00FE0361" w:rsidRPr="00D97DA5">
        <w:rPr>
          <w:rFonts w:ascii="Arial" w:hAnsi="Arial" w:cs="Arial"/>
        </w:rPr>
        <w:t xml:space="preserve"> </w:t>
      </w:r>
      <w:r w:rsidRPr="00D97DA5">
        <w:rPr>
          <w:rFonts w:ascii="Arial" w:hAnsi="Arial" w:cs="Arial"/>
        </w:rPr>
        <w:t>particles controls outcomes of epidemiological studies</w:t>
      </w:r>
      <w:r w:rsidR="00D75997" w:rsidRPr="00D97DA5">
        <w:rPr>
          <w:rFonts w:ascii="Arial" w:hAnsi="Arial" w:cs="Arial"/>
        </w:rPr>
        <w:t>’</w:t>
      </w:r>
      <w:r w:rsidR="00881CDB" w:rsidRPr="00D97DA5">
        <w:rPr>
          <w:rFonts w:ascii="Arial" w:hAnsi="Arial" w:cs="Arial"/>
        </w:rPr>
        <w:t>,</w:t>
      </w:r>
      <w:r w:rsidRPr="00D97DA5">
        <w:rPr>
          <w:rFonts w:ascii="Arial" w:hAnsi="Arial" w:cs="Arial"/>
        </w:rPr>
        <w:t xml:space="preserve"> </w:t>
      </w:r>
      <w:r w:rsidRPr="009A0717">
        <w:rPr>
          <w:rFonts w:ascii="Arial" w:hAnsi="Arial" w:cs="Arial"/>
          <w:i/>
        </w:rPr>
        <w:t>Sci. Total Environ</w:t>
      </w:r>
      <w:r w:rsidRPr="00D97DA5">
        <w:rPr>
          <w:rFonts w:ascii="Arial" w:hAnsi="Arial" w:cs="Arial"/>
        </w:rPr>
        <w:t xml:space="preserve">., </w:t>
      </w:r>
      <w:r w:rsidR="00D75997" w:rsidRPr="00D97DA5">
        <w:rPr>
          <w:rFonts w:ascii="Arial" w:hAnsi="Arial" w:cs="Arial"/>
        </w:rPr>
        <w:t>v</w:t>
      </w:r>
      <w:r w:rsidR="00975991" w:rsidRPr="00D97DA5">
        <w:rPr>
          <w:rFonts w:ascii="Arial" w:hAnsi="Arial" w:cs="Arial"/>
        </w:rPr>
        <w:t xml:space="preserve">ol. </w:t>
      </w:r>
      <w:r w:rsidRPr="00D97DA5">
        <w:rPr>
          <w:rFonts w:ascii="Arial" w:hAnsi="Arial" w:cs="Arial"/>
        </w:rPr>
        <w:t xml:space="preserve">409, </w:t>
      </w:r>
      <w:r w:rsidR="00975991" w:rsidRPr="00D97DA5">
        <w:rPr>
          <w:rFonts w:ascii="Arial" w:hAnsi="Arial" w:cs="Arial"/>
        </w:rPr>
        <w:t xml:space="preserve">pp. </w:t>
      </w:r>
      <w:r w:rsidRPr="00D97DA5">
        <w:rPr>
          <w:rFonts w:ascii="Arial" w:hAnsi="Arial" w:cs="Arial"/>
        </w:rPr>
        <w:t>289</w:t>
      </w:r>
      <w:r w:rsidR="00D75997" w:rsidRPr="00D97DA5">
        <w:rPr>
          <w:rFonts w:ascii="Arial" w:hAnsi="Arial" w:cs="Arial"/>
        </w:rPr>
        <w:t>–</w:t>
      </w:r>
      <w:r w:rsidRPr="00D97DA5">
        <w:rPr>
          <w:rFonts w:ascii="Arial" w:hAnsi="Arial" w:cs="Arial"/>
        </w:rPr>
        <w:t>293.</w:t>
      </w:r>
    </w:p>
    <w:p w:rsidR="003C3971" w:rsidRPr="00D97DA5" w:rsidRDefault="003C3971" w:rsidP="00DD0B7A">
      <w:pPr>
        <w:keepLines/>
        <w:spacing w:after="220"/>
        <w:rPr>
          <w:rFonts w:ascii="Arial" w:hAnsi="Arial" w:cs="Arial"/>
        </w:rPr>
      </w:pPr>
      <w:proofErr w:type="spellStart"/>
      <w:r w:rsidRPr="00D97DA5">
        <w:rPr>
          <w:rFonts w:ascii="Arial" w:hAnsi="Arial" w:cs="Arial"/>
        </w:rPr>
        <w:t>Hibberd</w:t>
      </w:r>
      <w:proofErr w:type="spellEnd"/>
      <w:r w:rsidR="00D75997" w:rsidRPr="00D97DA5">
        <w:rPr>
          <w:rFonts w:ascii="Arial" w:hAnsi="Arial" w:cs="Arial"/>
        </w:rPr>
        <w:t>,</w:t>
      </w:r>
      <w:r w:rsidRPr="00D97DA5">
        <w:rPr>
          <w:rFonts w:ascii="Arial" w:hAnsi="Arial" w:cs="Arial"/>
        </w:rPr>
        <w:t xml:space="preserve"> MF, </w:t>
      </w:r>
      <w:proofErr w:type="spellStart"/>
      <w:r w:rsidRPr="00D97DA5">
        <w:rPr>
          <w:rFonts w:ascii="Arial" w:hAnsi="Arial" w:cs="Arial"/>
        </w:rPr>
        <w:t>Selleck</w:t>
      </w:r>
      <w:proofErr w:type="spellEnd"/>
      <w:r w:rsidR="00D75997" w:rsidRPr="00D97DA5">
        <w:rPr>
          <w:rFonts w:ascii="Arial" w:hAnsi="Arial" w:cs="Arial"/>
        </w:rPr>
        <w:t>,</w:t>
      </w:r>
      <w:r w:rsidRPr="00D97DA5">
        <w:rPr>
          <w:rFonts w:ascii="Arial" w:hAnsi="Arial" w:cs="Arial"/>
        </w:rPr>
        <w:t xml:space="preserve"> PW, </w:t>
      </w:r>
      <w:proofErr w:type="spellStart"/>
      <w:r w:rsidRPr="00D97DA5">
        <w:rPr>
          <w:rFonts w:ascii="Arial" w:hAnsi="Arial" w:cs="Arial"/>
        </w:rPr>
        <w:t>Keywood</w:t>
      </w:r>
      <w:proofErr w:type="spellEnd"/>
      <w:r w:rsidR="00D75997" w:rsidRPr="00D97DA5">
        <w:rPr>
          <w:rFonts w:ascii="Arial" w:hAnsi="Arial" w:cs="Arial"/>
        </w:rPr>
        <w:t>,</w:t>
      </w:r>
      <w:r w:rsidRPr="00D97DA5">
        <w:rPr>
          <w:rFonts w:ascii="Arial" w:hAnsi="Arial" w:cs="Arial"/>
        </w:rPr>
        <w:t xml:space="preserve"> MD, Cohen</w:t>
      </w:r>
      <w:r w:rsidR="00D75997" w:rsidRPr="00D97DA5">
        <w:rPr>
          <w:rFonts w:ascii="Arial" w:hAnsi="Arial" w:cs="Arial"/>
        </w:rPr>
        <w:t>,</w:t>
      </w:r>
      <w:r w:rsidRPr="00D97DA5">
        <w:rPr>
          <w:rFonts w:ascii="Arial" w:hAnsi="Arial" w:cs="Arial"/>
        </w:rPr>
        <w:t xml:space="preserve"> DD, </w:t>
      </w:r>
      <w:proofErr w:type="spellStart"/>
      <w:r w:rsidRPr="00D97DA5">
        <w:rPr>
          <w:rFonts w:ascii="Arial" w:hAnsi="Arial" w:cs="Arial"/>
        </w:rPr>
        <w:t>Stelcer</w:t>
      </w:r>
      <w:proofErr w:type="spellEnd"/>
      <w:r w:rsidR="00D75997" w:rsidRPr="00D97DA5">
        <w:rPr>
          <w:rFonts w:ascii="Arial" w:hAnsi="Arial" w:cs="Arial"/>
        </w:rPr>
        <w:t>,</w:t>
      </w:r>
      <w:r w:rsidRPr="00D97DA5">
        <w:rPr>
          <w:rFonts w:ascii="Arial" w:hAnsi="Arial" w:cs="Arial"/>
        </w:rPr>
        <w:t xml:space="preserve"> E and </w:t>
      </w:r>
      <w:proofErr w:type="spellStart"/>
      <w:r w:rsidRPr="00D97DA5">
        <w:rPr>
          <w:rFonts w:ascii="Arial" w:hAnsi="Arial" w:cs="Arial"/>
        </w:rPr>
        <w:t>Atanacio</w:t>
      </w:r>
      <w:proofErr w:type="spellEnd"/>
      <w:r w:rsidR="00D75997" w:rsidRPr="00D97DA5">
        <w:rPr>
          <w:rFonts w:ascii="Arial" w:hAnsi="Arial" w:cs="Arial"/>
        </w:rPr>
        <w:t>,</w:t>
      </w:r>
      <w:r w:rsidRPr="00D97DA5">
        <w:rPr>
          <w:rFonts w:ascii="Arial" w:hAnsi="Arial" w:cs="Arial"/>
        </w:rPr>
        <w:t xml:space="preserve"> AJ (2013</w:t>
      </w:r>
      <w:r w:rsidR="00FE0361" w:rsidRPr="00D97DA5">
        <w:rPr>
          <w:rFonts w:ascii="Arial" w:hAnsi="Arial" w:cs="Arial"/>
        </w:rPr>
        <w:t>),</w:t>
      </w:r>
      <w:r w:rsidRPr="00D97DA5">
        <w:rPr>
          <w:rFonts w:ascii="Arial" w:hAnsi="Arial" w:cs="Arial"/>
        </w:rPr>
        <w:t xml:space="preserve"> </w:t>
      </w:r>
      <w:r w:rsidRPr="009A0717">
        <w:rPr>
          <w:rFonts w:ascii="Arial" w:hAnsi="Arial" w:cs="Arial"/>
          <w:i/>
        </w:rPr>
        <w:t>Upper Hunter Particle Characterisation Study</w:t>
      </w:r>
      <w:r w:rsidR="00881CDB" w:rsidRPr="00D97DA5">
        <w:rPr>
          <w:rFonts w:ascii="Arial" w:hAnsi="Arial" w:cs="Arial"/>
        </w:rPr>
        <w:t>,</w:t>
      </w:r>
      <w:r w:rsidRPr="00D97DA5">
        <w:rPr>
          <w:rFonts w:ascii="Arial" w:hAnsi="Arial" w:cs="Arial"/>
        </w:rPr>
        <w:t xml:space="preserve"> CSIRO, Australia.</w:t>
      </w:r>
    </w:p>
    <w:p w:rsidR="000607F2" w:rsidRPr="00D97DA5" w:rsidRDefault="000607F2" w:rsidP="00DD0B7A">
      <w:pPr>
        <w:keepLines/>
        <w:spacing w:after="220"/>
        <w:rPr>
          <w:rFonts w:ascii="Arial" w:hAnsi="Arial" w:cs="Arial"/>
        </w:rPr>
      </w:pPr>
      <w:r w:rsidRPr="00D97DA5">
        <w:rPr>
          <w:rFonts w:ascii="Arial" w:hAnsi="Arial" w:cs="Arial"/>
        </w:rPr>
        <w:t>IARC (2012</w:t>
      </w:r>
      <w:r w:rsidR="00FE0361" w:rsidRPr="00D97DA5">
        <w:rPr>
          <w:rFonts w:ascii="Arial" w:hAnsi="Arial" w:cs="Arial"/>
        </w:rPr>
        <w:t>),</w:t>
      </w:r>
      <w:r w:rsidRPr="00D97DA5">
        <w:rPr>
          <w:rFonts w:ascii="Arial" w:hAnsi="Arial" w:cs="Arial"/>
        </w:rPr>
        <w:t xml:space="preserve"> IARC WHO Press Release No. 213, </w:t>
      </w:r>
      <w:r w:rsidR="00D75997" w:rsidRPr="00D97DA5">
        <w:rPr>
          <w:rFonts w:ascii="Arial" w:hAnsi="Arial" w:cs="Arial"/>
        </w:rPr>
        <w:t>‘</w:t>
      </w:r>
      <w:r w:rsidRPr="00D97DA5">
        <w:rPr>
          <w:rFonts w:ascii="Arial" w:hAnsi="Arial" w:cs="Arial"/>
        </w:rPr>
        <w:t>IARC: Diesel Engine Exhaust Carcinogenic</w:t>
      </w:r>
      <w:r w:rsidR="00D75997" w:rsidRPr="00D97DA5">
        <w:rPr>
          <w:rFonts w:ascii="Arial" w:hAnsi="Arial" w:cs="Arial"/>
        </w:rPr>
        <w:t>’</w:t>
      </w:r>
      <w:r w:rsidRPr="00D97DA5">
        <w:rPr>
          <w:rFonts w:ascii="Arial" w:hAnsi="Arial" w:cs="Arial"/>
        </w:rPr>
        <w:t>, 12 June 2012</w:t>
      </w:r>
      <w:r w:rsidR="00881CDB" w:rsidRPr="00D97DA5">
        <w:rPr>
          <w:rFonts w:ascii="Arial" w:hAnsi="Arial" w:cs="Arial"/>
        </w:rPr>
        <w:t>,</w:t>
      </w:r>
      <w:r w:rsidRPr="00D97DA5">
        <w:rPr>
          <w:rFonts w:ascii="Arial" w:hAnsi="Arial" w:cs="Arial"/>
        </w:rPr>
        <w:t xml:space="preserve"> World Health Organisation, International Agency for Research on Cancer, Lyon, France</w:t>
      </w:r>
      <w:r w:rsidR="00881CDB" w:rsidRPr="00D97DA5">
        <w:rPr>
          <w:rFonts w:ascii="Arial" w:hAnsi="Arial" w:cs="Arial"/>
        </w:rPr>
        <w:t>,</w:t>
      </w:r>
      <w:r w:rsidRPr="00D97DA5">
        <w:rPr>
          <w:rFonts w:ascii="Arial" w:hAnsi="Arial" w:cs="Arial"/>
        </w:rPr>
        <w:t xml:space="preserve"> </w:t>
      </w:r>
      <w:hyperlink r:id="rId144" w:history="1">
        <w:r w:rsidR="00F73565" w:rsidRPr="00D97DA5">
          <w:rPr>
            <w:rFonts w:ascii="Arial" w:hAnsi="Arial" w:cs="Arial"/>
            <w:color w:val="0070C0"/>
          </w:rPr>
          <w:t>www.iarc.fr/en/media-centre/pr/2012/pdfs/pr213_E.pdf</w:t>
        </w:r>
      </w:hyperlink>
    </w:p>
    <w:p w:rsidR="000607F2" w:rsidRPr="00D97DA5" w:rsidRDefault="000607F2" w:rsidP="00DD0B7A">
      <w:pPr>
        <w:keepLines/>
        <w:spacing w:after="220"/>
        <w:rPr>
          <w:rFonts w:ascii="Arial" w:hAnsi="Arial" w:cs="Arial"/>
          <w:color w:val="0070C0"/>
        </w:rPr>
      </w:pPr>
      <w:r w:rsidRPr="00D97DA5">
        <w:rPr>
          <w:rFonts w:ascii="Arial" w:hAnsi="Arial" w:cs="Arial"/>
        </w:rPr>
        <w:t>IARC (2013</w:t>
      </w:r>
      <w:r w:rsidR="00FE0361" w:rsidRPr="00D97DA5">
        <w:rPr>
          <w:rFonts w:ascii="Arial" w:hAnsi="Arial" w:cs="Arial"/>
        </w:rPr>
        <w:t>),</w:t>
      </w:r>
      <w:r w:rsidRPr="00D97DA5">
        <w:rPr>
          <w:rFonts w:ascii="Arial" w:hAnsi="Arial" w:cs="Arial"/>
        </w:rPr>
        <w:t xml:space="preserve"> </w:t>
      </w:r>
      <w:r w:rsidRPr="009A0717">
        <w:rPr>
          <w:rFonts w:ascii="Arial" w:hAnsi="Arial" w:cs="Arial"/>
          <w:i/>
        </w:rPr>
        <w:t xml:space="preserve">IARC WHO Press Release No. </w:t>
      </w:r>
      <w:r w:rsidR="00D75997" w:rsidRPr="009A0717">
        <w:rPr>
          <w:rFonts w:ascii="Arial" w:hAnsi="Arial" w:cs="Arial"/>
          <w:i/>
        </w:rPr>
        <w:t>221</w:t>
      </w:r>
      <w:r w:rsidRPr="00D97DA5">
        <w:rPr>
          <w:rFonts w:ascii="Arial" w:hAnsi="Arial" w:cs="Arial"/>
        </w:rPr>
        <w:t xml:space="preserve">, </w:t>
      </w:r>
      <w:r w:rsidR="00D75997" w:rsidRPr="00D97DA5">
        <w:rPr>
          <w:rFonts w:ascii="Arial" w:hAnsi="Arial" w:cs="Arial"/>
        </w:rPr>
        <w:t>‘</w:t>
      </w:r>
      <w:r w:rsidRPr="00D97DA5">
        <w:rPr>
          <w:rFonts w:ascii="Arial" w:hAnsi="Arial" w:cs="Arial"/>
        </w:rPr>
        <w:t>Outdoor air pollution a leading environmental cause of cancer deaths</w:t>
      </w:r>
      <w:r w:rsidR="00D75997" w:rsidRPr="00D97DA5">
        <w:rPr>
          <w:rFonts w:ascii="Arial" w:hAnsi="Arial" w:cs="Arial"/>
        </w:rPr>
        <w:t>’</w:t>
      </w:r>
      <w:r w:rsidRPr="00D97DA5">
        <w:rPr>
          <w:rFonts w:ascii="Arial" w:hAnsi="Arial" w:cs="Arial"/>
        </w:rPr>
        <w:t>, 17 October 2013</w:t>
      </w:r>
      <w:r w:rsidR="00881CDB" w:rsidRPr="00D97DA5">
        <w:rPr>
          <w:rFonts w:ascii="Arial" w:hAnsi="Arial" w:cs="Arial"/>
        </w:rPr>
        <w:t>,</w:t>
      </w:r>
      <w:r w:rsidRPr="00D97DA5">
        <w:rPr>
          <w:rFonts w:ascii="Arial" w:hAnsi="Arial" w:cs="Arial"/>
        </w:rPr>
        <w:t xml:space="preserve"> World Health Organisation, International Agency for Research on Cancer, Lyon, France</w:t>
      </w:r>
      <w:r w:rsidR="00881CDB" w:rsidRPr="00D97DA5">
        <w:rPr>
          <w:rFonts w:ascii="Arial" w:hAnsi="Arial" w:cs="Arial"/>
        </w:rPr>
        <w:t>,</w:t>
      </w:r>
      <w:r w:rsidR="00FE0361" w:rsidRPr="00D97DA5">
        <w:rPr>
          <w:rFonts w:ascii="Arial" w:hAnsi="Arial" w:cs="Arial"/>
        </w:rPr>
        <w:t xml:space="preserve"> </w:t>
      </w:r>
      <w:hyperlink r:id="rId145" w:history="1">
        <w:r w:rsidR="00F73565" w:rsidRPr="00D97DA5">
          <w:rPr>
            <w:rFonts w:ascii="Arial" w:hAnsi="Arial" w:cs="Arial"/>
            <w:color w:val="0070C0"/>
          </w:rPr>
          <w:t>www.iarc.fr/en/media-centre/pr/2013/pdfs/pr221_E.pdf</w:t>
        </w:r>
      </w:hyperlink>
    </w:p>
    <w:p w:rsidR="00E41D3C" w:rsidRPr="00D97DA5" w:rsidRDefault="00E41D3C" w:rsidP="00DD0B7A">
      <w:pPr>
        <w:keepLines/>
        <w:spacing w:after="220"/>
        <w:rPr>
          <w:rFonts w:ascii="Arial" w:hAnsi="Arial" w:cs="Arial"/>
        </w:rPr>
      </w:pPr>
      <w:proofErr w:type="spellStart"/>
      <w:r w:rsidRPr="00D97DA5">
        <w:rPr>
          <w:rFonts w:ascii="Arial" w:hAnsi="Arial" w:cs="Arial"/>
        </w:rPr>
        <w:t>Jalaludin</w:t>
      </w:r>
      <w:proofErr w:type="spellEnd"/>
      <w:r w:rsidR="00C920E3" w:rsidRPr="00D97DA5">
        <w:rPr>
          <w:rFonts w:ascii="Arial" w:hAnsi="Arial" w:cs="Arial"/>
        </w:rPr>
        <w:t>,</w:t>
      </w:r>
      <w:r w:rsidRPr="00D97DA5">
        <w:rPr>
          <w:rFonts w:ascii="Arial" w:hAnsi="Arial" w:cs="Arial"/>
        </w:rPr>
        <w:t xml:space="preserve"> B, Morgan</w:t>
      </w:r>
      <w:r w:rsidR="00C920E3" w:rsidRPr="00D97DA5">
        <w:rPr>
          <w:rFonts w:ascii="Arial" w:hAnsi="Arial" w:cs="Arial"/>
        </w:rPr>
        <w:t>,</w:t>
      </w:r>
      <w:r w:rsidRPr="00D97DA5">
        <w:rPr>
          <w:rFonts w:ascii="Arial" w:hAnsi="Arial" w:cs="Arial"/>
        </w:rPr>
        <w:t xml:space="preserve"> G, </w:t>
      </w:r>
      <w:proofErr w:type="spellStart"/>
      <w:r w:rsidRPr="00D97DA5">
        <w:rPr>
          <w:rFonts w:ascii="Arial" w:hAnsi="Arial" w:cs="Arial"/>
        </w:rPr>
        <w:t>Salkeld</w:t>
      </w:r>
      <w:proofErr w:type="spellEnd"/>
      <w:r w:rsidR="00C920E3" w:rsidRPr="00D97DA5">
        <w:rPr>
          <w:rFonts w:ascii="Arial" w:hAnsi="Arial" w:cs="Arial"/>
        </w:rPr>
        <w:t>,</w:t>
      </w:r>
      <w:r w:rsidRPr="00D97DA5">
        <w:rPr>
          <w:rFonts w:ascii="Arial" w:hAnsi="Arial" w:cs="Arial"/>
        </w:rPr>
        <w:t xml:space="preserve"> G and Gaskin</w:t>
      </w:r>
      <w:r w:rsidR="00C920E3" w:rsidRPr="00D97DA5">
        <w:rPr>
          <w:rFonts w:ascii="Arial" w:hAnsi="Arial" w:cs="Arial"/>
        </w:rPr>
        <w:t>,</w:t>
      </w:r>
      <w:r w:rsidRPr="00D97DA5">
        <w:rPr>
          <w:rFonts w:ascii="Arial" w:hAnsi="Arial" w:cs="Arial"/>
        </w:rPr>
        <w:t xml:space="preserve"> C (2011</w:t>
      </w:r>
      <w:r w:rsidR="00FE0361" w:rsidRPr="00D97DA5">
        <w:rPr>
          <w:rFonts w:ascii="Arial" w:hAnsi="Arial" w:cs="Arial"/>
        </w:rPr>
        <w:t>),</w:t>
      </w:r>
      <w:r w:rsidRPr="00D97DA5">
        <w:rPr>
          <w:rFonts w:ascii="Arial" w:hAnsi="Arial" w:cs="Arial"/>
        </w:rPr>
        <w:t xml:space="preserve"> </w:t>
      </w:r>
      <w:r w:rsidR="00C920E3" w:rsidRPr="009A0717">
        <w:rPr>
          <w:rFonts w:ascii="Arial" w:hAnsi="Arial" w:cs="Arial"/>
        </w:rPr>
        <w:t>‘</w:t>
      </w:r>
      <w:r w:rsidRPr="009A0717">
        <w:rPr>
          <w:rFonts w:ascii="Arial" w:hAnsi="Arial" w:cs="Arial"/>
        </w:rPr>
        <w:t>Health benefits of reducing ambient air pollution levels in the Greater Metropolitan Region</w:t>
      </w:r>
      <w:r w:rsidR="00C920E3" w:rsidRPr="009A0717">
        <w:rPr>
          <w:rFonts w:ascii="Arial" w:hAnsi="Arial" w:cs="Arial"/>
        </w:rPr>
        <w:t>’</w:t>
      </w:r>
      <w:r w:rsidR="00881CDB" w:rsidRPr="009A0717">
        <w:rPr>
          <w:rFonts w:ascii="Arial" w:hAnsi="Arial" w:cs="Arial"/>
        </w:rPr>
        <w:t>,</w:t>
      </w:r>
      <w:r w:rsidRPr="009A0717">
        <w:rPr>
          <w:rFonts w:ascii="Arial" w:hAnsi="Arial" w:cs="Arial"/>
        </w:rPr>
        <w:t xml:space="preserve"> </w:t>
      </w:r>
      <w:r w:rsidR="00697254" w:rsidRPr="009A0717">
        <w:rPr>
          <w:rFonts w:ascii="Arial" w:hAnsi="Arial" w:cs="Arial"/>
        </w:rPr>
        <w:t>r</w:t>
      </w:r>
      <w:r w:rsidRPr="009A0717">
        <w:rPr>
          <w:rFonts w:ascii="Arial" w:hAnsi="Arial" w:cs="Arial"/>
        </w:rPr>
        <w:t>eport for the NSW Ministry</w:t>
      </w:r>
      <w:r w:rsidRPr="00D97DA5">
        <w:rPr>
          <w:rFonts w:ascii="Arial" w:hAnsi="Arial" w:cs="Arial"/>
        </w:rPr>
        <w:t xml:space="preserve"> of Health and the NSW Office of Environment and Heritage (unpublished</w:t>
      </w:r>
      <w:r w:rsidR="00FE0361" w:rsidRPr="00D97DA5">
        <w:rPr>
          <w:rFonts w:ascii="Arial" w:hAnsi="Arial" w:cs="Arial"/>
        </w:rPr>
        <w:t>),</w:t>
      </w:r>
      <w:r w:rsidRPr="00D97DA5">
        <w:rPr>
          <w:rFonts w:ascii="Arial" w:hAnsi="Arial" w:cs="Arial"/>
        </w:rPr>
        <w:t xml:space="preserve"> December 2011.</w:t>
      </w:r>
    </w:p>
    <w:p w:rsidR="000D1A2F" w:rsidRPr="00D97DA5" w:rsidRDefault="00CE16F4" w:rsidP="00DD0B7A">
      <w:pPr>
        <w:keepLines/>
        <w:spacing w:after="220"/>
        <w:rPr>
          <w:rFonts w:ascii="Arial" w:hAnsi="Arial" w:cs="Arial"/>
        </w:rPr>
      </w:pPr>
      <w:proofErr w:type="spellStart"/>
      <w:r w:rsidRPr="00D97DA5">
        <w:rPr>
          <w:rFonts w:ascii="Arial" w:hAnsi="Arial" w:cs="Arial"/>
        </w:rPr>
        <w:t>Jalaludin</w:t>
      </w:r>
      <w:proofErr w:type="spellEnd"/>
      <w:r w:rsidR="00C920E3" w:rsidRPr="00D97DA5">
        <w:rPr>
          <w:rFonts w:ascii="Arial" w:hAnsi="Arial" w:cs="Arial"/>
        </w:rPr>
        <w:t>,</w:t>
      </w:r>
      <w:r w:rsidRPr="00D97DA5">
        <w:rPr>
          <w:rFonts w:ascii="Arial" w:hAnsi="Arial" w:cs="Arial"/>
        </w:rPr>
        <w:t xml:space="preserve"> B and </w:t>
      </w:r>
      <w:proofErr w:type="spellStart"/>
      <w:r w:rsidRPr="00D97DA5">
        <w:rPr>
          <w:rFonts w:ascii="Arial" w:hAnsi="Arial" w:cs="Arial"/>
        </w:rPr>
        <w:t>Cowie</w:t>
      </w:r>
      <w:proofErr w:type="spellEnd"/>
      <w:r w:rsidR="00C920E3" w:rsidRPr="00D97DA5">
        <w:rPr>
          <w:rFonts w:ascii="Arial" w:hAnsi="Arial" w:cs="Arial"/>
        </w:rPr>
        <w:t>,</w:t>
      </w:r>
      <w:r w:rsidRPr="00D97DA5">
        <w:rPr>
          <w:rFonts w:ascii="Arial" w:hAnsi="Arial" w:cs="Arial"/>
        </w:rPr>
        <w:t xml:space="preserve"> C (2012</w:t>
      </w:r>
      <w:r w:rsidR="00FE0361" w:rsidRPr="00D97DA5">
        <w:rPr>
          <w:rFonts w:ascii="Arial" w:hAnsi="Arial" w:cs="Arial"/>
        </w:rPr>
        <w:t>),</w:t>
      </w:r>
      <w:r w:rsidRPr="00D97DA5">
        <w:rPr>
          <w:rFonts w:ascii="Arial" w:hAnsi="Arial" w:cs="Arial"/>
        </w:rPr>
        <w:t xml:space="preserve"> </w:t>
      </w:r>
      <w:r w:rsidRPr="009A0717">
        <w:rPr>
          <w:rFonts w:ascii="Arial" w:hAnsi="Arial" w:cs="Arial"/>
          <w:i/>
        </w:rPr>
        <w:t>Health Risk Assessment – Preliminary Work to Identify Concentration-Response Functions for Selected Ambient Air Pollutants</w:t>
      </w:r>
      <w:r w:rsidR="00881CDB" w:rsidRPr="00D97DA5">
        <w:rPr>
          <w:rFonts w:ascii="Arial" w:hAnsi="Arial" w:cs="Arial"/>
        </w:rPr>
        <w:t>,</w:t>
      </w:r>
      <w:r w:rsidRPr="00D97DA5">
        <w:rPr>
          <w:rFonts w:ascii="Arial" w:hAnsi="Arial" w:cs="Arial"/>
        </w:rPr>
        <w:t xml:space="preserve"> </w:t>
      </w:r>
      <w:r w:rsidR="00697254" w:rsidRPr="00D97DA5">
        <w:rPr>
          <w:rFonts w:ascii="Arial" w:hAnsi="Arial" w:cs="Arial"/>
        </w:rPr>
        <w:t>r</w:t>
      </w:r>
      <w:r w:rsidRPr="00D97DA5">
        <w:rPr>
          <w:rFonts w:ascii="Arial" w:hAnsi="Arial" w:cs="Arial"/>
        </w:rPr>
        <w:t>eport prepared for EPA Victoria</w:t>
      </w:r>
      <w:r w:rsidR="00881CDB" w:rsidRPr="00D97DA5">
        <w:rPr>
          <w:rFonts w:ascii="Arial" w:hAnsi="Arial" w:cs="Arial"/>
        </w:rPr>
        <w:t>,</w:t>
      </w:r>
      <w:r w:rsidRPr="00D97DA5">
        <w:rPr>
          <w:rFonts w:ascii="Arial" w:hAnsi="Arial" w:cs="Arial"/>
        </w:rPr>
        <w:t xml:space="preserve"> Respiratory and Environmental Epidemiology, </w:t>
      </w:r>
      <w:proofErr w:type="spellStart"/>
      <w:r w:rsidRPr="00D97DA5">
        <w:rPr>
          <w:rFonts w:ascii="Arial" w:hAnsi="Arial" w:cs="Arial"/>
        </w:rPr>
        <w:t>Woolcock</w:t>
      </w:r>
      <w:proofErr w:type="spellEnd"/>
      <w:r w:rsidRPr="00D97DA5">
        <w:rPr>
          <w:rFonts w:ascii="Arial" w:hAnsi="Arial" w:cs="Arial"/>
        </w:rPr>
        <w:t xml:space="preserve"> Institute of Medical Research</w:t>
      </w:r>
      <w:r w:rsidR="00881CDB" w:rsidRPr="00D97DA5">
        <w:rPr>
          <w:rFonts w:ascii="Arial" w:hAnsi="Arial" w:cs="Arial"/>
        </w:rPr>
        <w:t>,</w:t>
      </w:r>
      <w:r w:rsidRPr="00D97DA5">
        <w:rPr>
          <w:rFonts w:ascii="Arial" w:hAnsi="Arial" w:cs="Arial"/>
        </w:rPr>
        <w:t xml:space="preserve"> </w:t>
      </w:r>
      <w:r w:rsidR="00C920E3" w:rsidRPr="00D97DA5">
        <w:rPr>
          <w:rFonts w:ascii="Arial" w:hAnsi="Arial" w:cs="Arial"/>
        </w:rPr>
        <w:t xml:space="preserve">Glebe, NSW, </w:t>
      </w:r>
      <w:r w:rsidRPr="00D97DA5">
        <w:rPr>
          <w:rFonts w:ascii="Arial" w:hAnsi="Arial" w:cs="Arial"/>
        </w:rPr>
        <w:t>30 June 2012.</w:t>
      </w:r>
    </w:p>
    <w:p w:rsidR="000D1A2F" w:rsidRPr="00D97DA5" w:rsidRDefault="000D1A2F" w:rsidP="00DD0B7A">
      <w:pPr>
        <w:keepLines/>
        <w:spacing w:after="220"/>
        <w:rPr>
          <w:rFonts w:ascii="Arial" w:hAnsi="Arial" w:cs="Arial"/>
        </w:rPr>
      </w:pPr>
      <w:proofErr w:type="spellStart"/>
      <w:r w:rsidRPr="00D97DA5">
        <w:rPr>
          <w:rFonts w:ascii="Arial" w:hAnsi="Arial" w:cs="Arial"/>
        </w:rPr>
        <w:t>Keywood</w:t>
      </w:r>
      <w:proofErr w:type="spellEnd"/>
      <w:r w:rsidR="00C920E3" w:rsidRPr="00D97DA5">
        <w:rPr>
          <w:rFonts w:ascii="Arial" w:hAnsi="Arial" w:cs="Arial"/>
        </w:rPr>
        <w:t>,</w:t>
      </w:r>
      <w:r w:rsidRPr="00D97DA5">
        <w:rPr>
          <w:rFonts w:ascii="Arial" w:hAnsi="Arial" w:cs="Arial"/>
        </w:rPr>
        <w:t xml:space="preserve"> M, </w:t>
      </w:r>
      <w:proofErr w:type="spellStart"/>
      <w:r w:rsidRPr="00D97DA5">
        <w:rPr>
          <w:rFonts w:ascii="Arial" w:hAnsi="Arial" w:cs="Arial"/>
        </w:rPr>
        <w:t>Guyes</w:t>
      </w:r>
      <w:proofErr w:type="spellEnd"/>
      <w:r w:rsidR="00C920E3" w:rsidRPr="00D97DA5">
        <w:rPr>
          <w:rFonts w:ascii="Arial" w:hAnsi="Arial" w:cs="Arial"/>
        </w:rPr>
        <w:t>,</w:t>
      </w:r>
      <w:r w:rsidRPr="00D97DA5">
        <w:rPr>
          <w:rFonts w:ascii="Arial" w:hAnsi="Arial" w:cs="Arial"/>
        </w:rPr>
        <w:t xml:space="preserve"> H, </w:t>
      </w:r>
      <w:proofErr w:type="spellStart"/>
      <w:r w:rsidRPr="00D97DA5">
        <w:rPr>
          <w:rFonts w:ascii="Arial" w:hAnsi="Arial" w:cs="Arial"/>
        </w:rPr>
        <w:t>Selleck</w:t>
      </w:r>
      <w:proofErr w:type="spellEnd"/>
      <w:r w:rsidR="00C920E3" w:rsidRPr="00D97DA5">
        <w:rPr>
          <w:rFonts w:ascii="Arial" w:hAnsi="Arial" w:cs="Arial"/>
        </w:rPr>
        <w:t>,</w:t>
      </w:r>
      <w:r w:rsidRPr="00D97DA5">
        <w:rPr>
          <w:rFonts w:ascii="Arial" w:hAnsi="Arial" w:cs="Arial"/>
        </w:rPr>
        <w:t xml:space="preserve"> P and Gillett</w:t>
      </w:r>
      <w:r w:rsidR="00C920E3" w:rsidRPr="00D97DA5">
        <w:rPr>
          <w:rFonts w:ascii="Arial" w:hAnsi="Arial" w:cs="Arial"/>
        </w:rPr>
        <w:t>,</w:t>
      </w:r>
      <w:r w:rsidRPr="00D97DA5">
        <w:rPr>
          <w:rFonts w:ascii="Arial" w:hAnsi="Arial" w:cs="Arial"/>
        </w:rPr>
        <w:t xml:space="preserve"> R (2011</w:t>
      </w:r>
      <w:r w:rsidR="00FE0361" w:rsidRPr="00D97DA5">
        <w:rPr>
          <w:rFonts w:ascii="Arial" w:hAnsi="Arial" w:cs="Arial"/>
        </w:rPr>
        <w:t>),</w:t>
      </w:r>
      <w:r w:rsidRPr="00D97DA5">
        <w:rPr>
          <w:rFonts w:ascii="Arial" w:hAnsi="Arial" w:cs="Arial"/>
        </w:rPr>
        <w:t xml:space="preserve"> </w:t>
      </w:r>
      <w:r w:rsidR="00C920E3" w:rsidRPr="00D97DA5">
        <w:rPr>
          <w:rFonts w:ascii="Arial" w:hAnsi="Arial" w:cs="Arial"/>
        </w:rPr>
        <w:t>‘</w:t>
      </w:r>
      <w:r w:rsidRPr="00D97DA5">
        <w:rPr>
          <w:rFonts w:ascii="Arial" w:hAnsi="Arial" w:cs="Arial"/>
        </w:rPr>
        <w:t>Quantification of secondary organic aerosol in an Australian urban location</w:t>
      </w:r>
      <w:r w:rsidR="00C920E3" w:rsidRPr="00D97DA5">
        <w:rPr>
          <w:rFonts w:ascii="Arial" w:hAnsi="Arial" w:cs="Arial"/>
        </w:rPr>
        <w:t>’</w:t>
      </w:r>
      <w:r w:rsidR="00881CDB" w:rsidRPr="00D97DA5">
        <w:rPr>
          <w:rFonts w:ascii="Arial" w:hAnsi="Arial" w:cs="Arial"/>
        </w:rPr>
        <w:t>,</w:t>
      </w:r>
      <w:r w:rsidRPr="00D97DA5">
        <w:rPr>
          <w:rFonts w:ascii="Arial" w:hAnsi="Arial" w:cs="Arial"/>
        </w:rPr>
        <w:t xml:space="preserve"> </w:t>
      </w:r>
      <w:r w:rsidRPr="009A0717">
        <w:rPr>
          <w:rFonts w:ascii="Arial" w:hAnsi="Arial" w:cs="Arial"/>
          <w:i/>
        </w:rPr>
        <w:t>Environ. Chem</w:t>
      </w:r>
      <w:r w:rsidRPr="00D97DA5">
        <w:rPr>
          <w:rFonts w:ascii="Arial" w:hAnsi="Arial" w:cs="Arial"/>
        </w:rPr>
        <w:t xml:space="preserve">. </w:t>
      </w:r>
      <w:r w:rsidR="00C920E3" w:rsidRPr="00D97DA5">
        <w:rPr>
          <w:rFonts w:ascii="Arial" w:hAnsi="Arial" w:cs="Arial"/>
        </w:rPr>
        <w:t>v</w:t>
      </w:r>
      <w:r w:rsidRPr="00D97DA5">
        <w:rPr>
          <w:rFonts w:ascii="Arial" w:hAnsi="Arial" w:cs="Arial"/>
        </w:rPr>
        <w:t>ol. 8, pp. 115–126.</w:t>
      </w:r>
    </w:p>
    <w:p w:rsidR="003D0E88" w:rsidRPr="00D97DA5" w:rsidRDefault="003D0E88" w:rsidP="00DD0B7A">
      <w:pPr>
        <w:keepLines/>
        <w:spacing w:after="220"/>
        <w:rPr>
          <w:rFonts w:ascii="Arial" w:hAnsi="Arial" w:cs="Arial"/>
        </w:rPr>
      </w:pPr>
      <w:r w:rsidRPr="00D97DA5">
        <w:rPr>
          <w:rFonts w:ascii="Arial" w:hAnsi="Arial" w:cs="Arial"/>
        </w:rPr>
        <w:t>Kroll</w:t>
      </w:r>
      <w:r w:rsidR="00C920E3" w:rsidRPr="00D97DA5">
        <w:rPr>
          <w:rFonts w:ascii="Arial" w:hAnsi="Arial" w:cs="Arial"/>
        </w:rPr>
        <w:t>,</w:t>
      </w:r>
      <w:r w:rsidRPr="00D97DA5">
        <w:rPr>
          <w:rFonts w:ascii="Arial" w:hAnsi="Arial" w:cs="Arial"/>
        </w:rPr>
        <w:t xml:space="preserve"> JH and Seinfeld</w:t>
      </w:r>
      <w:r w:rsidR="00C920E3" w:rsidRPr="00D97DA5">
        <w:rPr>
          <w:rFonts w:ascii="Arial" w:hAnsi="Arial" w:cs="Arial"/>
        </w:rPr>
        <w:t>,</w:t>
      </w:r>
      <w:r w:rsidRPr="00D97DA5">
        <w:rPr>
          <w:rFonts w:ascii="Arial" w:hAnsi="Arial" w:cs="Arial"/>
        </w:rPr>
        <w:t xml:space="preserve"> JH (2008</w:t>
      </w:r>
      <w:r w:rsidR="00FE0361" w:rsidRPr="00D97DA5">
        <w:rPr>
          <w:rFonts w:ascii="Arial" w:hAnsi="Arial" w:cs="Arial"/>
        </w:rPr>
        <w:t>),</w:t>
      </w:r>
      <w:r w:rsidRPr="00D97DA5">
        <w:rPr>
          <w:rFonts w:ascii="Arial" w:hAnsi="Arial" w:cs="Arial"/>
        </w:rPr>
        <w:t xml:space="preserve"> </w:t>
      </w:r>
      <w:r w:rsidR="00C920E3" w:rsidRPr="00D97DA5">
        <w:rPr>
          <w:rFonts w:ascii="Arial" w:hAnsi="Arial" w:cs="Arial"/>
        </w:rPr>
        <w:t>‘</w:t>
      </w:r>
      <w:r w:rsidRPr="00D97DA5">
        <w:rPr>
          <w:rFonts w:ascii="Arial" w:hAnsi="Arial" w:cs="Arial"/>
        </w:rPr>
        <w:t>Chemistry of secondary organic aerosol: Formation and evolution of low-volatility organics in the atmosphere</w:t>
      </w:r>
      <w:r w:rsidR="00C920E3" w:rsidRPr="00D97DA5">
        <w:rPr>
          <w:rFonts w:ascii="Arial" w:hAnsi="Arial" w:cs="Arial"/>
        </w:rPr>
        <w:t>’</w:t>
      </w:r>
      <w:r w:rsidR="00881CDB" w:rsidRPr="00D97DA5">
        <w:rPr>
          <w:rFonts w:ascii="Arial" w:hAnsi="Arial" w:cs="Arial"/>
        </w:rPr>
        <w:t>,</w:t>
      </w:r>
      <w:r w:rsidRPr="00D97DA5">
        <w:rPr>
          <w:rFonts w:ascii="Arial" w:hAnsi="Arial" w:cs="Arial"/>
        </w:rPr>
        <w:t xml:space="preserve"> </w:t>
      </w:r>
      <w:r w:rsidRPr="009A0717">
        <w:rPr>
          <w:rFonts w:ascii="Arial" w:hAnsi="Arial" w:cs="Arial"/>
          <w:i/>
        </w:rPr>
        <w:t>Atmospheric Environment</w:t>
      </w:r>
      <w:r w:rsidRPr="00D97DA5">
        <w:rPr>
          <w:rFonts w:ascii="Arial" w:hAnsi="Arial" w:cs="Arial"/>
        </w:rPr>
        <w:t xml:space="preserve">, </w:t>
      </w:r>
      <w:r w:rsidR="00C920E3" w:rsidRPr="00D97DA5">
        <w:rPr>
          <w:rFonts w:ascii="Arial" w:hAnsi="Arial" w:cs="Arial"/>
        </w:rPr>
        <w:t>v</w:t>
      </w:r>
      <w:r w:rsidRPr="00D97DA5">
        <w:rPr>
          <w:rFonts w:ascii="Arial" w:hAnsi="Arial" w:cs="Arial"/>
        </w:rPr>
        <w:t>ol. 42, pp. 3593</w:t>
      </w:r>
      <w:r w:rsidR="00C920E3" w:rsidRPr="00D97DA5">
        <w:rPr>
          <w:rFonts w:ascii="Arial" w:hAnsi="Arial" w:cs="Arial"/>
        </w:rPr>
        <w:t>–</w:t>
      </w:r>
      <w:r w:rsidRPr="00D97DA5">
        <w:rPr>
          <w:rFonts w:ascii="Arial" w:hAnsi="Arial" w:cs="Arial"/>
        </w:rPr>
        <w:t>3624.</w:t>
      </w:r>
    </w:p>
    <w:p w:rsidR="003D0E88" w:rsidRPr="00D97DA5" w:rsidRDefault="003D0E88" w:rsidP="00DD0B7A">
      <w:pPr>
        <w:keepLines/>
        <w:spacing w:after="220"/>
        <w:rPr>
          <w:rFonts w:ascii="Arial" w:hAnsi="Arial" w:cs="Arial"/>
        </w:rPr>
      </w:pPr>
      <w:proofErr w:type="spellStart"/>
      <w:r w:rsidRPr="00D97DA5">
        <w:rPr>
          <w:rFonts w:ascii="Arial" w:hAnsi="Arial" w:cs="Arial"/>
        </w:rPr>
        <w:t>Laxen</w:t>
      </w:r>
      <w:proofErr w:type="spellEnd"/>
      <w:r w:rsidR="00C920E3" w:rsidRPr="00D97DA5">
        <w:rPr>
          <w:rFonts w:ascii="Arial" w:hAnsi="Arial" w:cs="Arial"/>
        </w:rPr>
        <w:t>,</w:t>
      </w:r>
      <w:r w:rsidRPr="00D97DA5">
        <w:rPr>
          <w:rFonts w:ascii="Arial" w:hAnsi="Arial" w:cs="Arial"/>
        </w:rPr>
        <w:t xml:space="preserve"> D, Moorcroft</w:t>
      </w:r>
      <w:r w:rsidR="00C920E3" w:rsidRPr="00D97DA5">
        <w:rPr>
          <w:rFonts w:ascii="Arial" w:hAnsi="Arial" w:cs="Arial"/>
        </w:rPr>
        <w:t>,</w:t>
      </w:r>
      <w:r w:rsidRPr="00D97DA5">
        <w:rPr>
          <w:rFonts w:ascii="Arial" w:hAnsi="Arial" w:cs="Arial"/>
        </w:rPr>
        <w:t xml:space="preserve"> S, </w:t>
      </w:r>
      <w:proofErr w:type="spellStart"/>
      <w:r w:rsidRPr="00D97DA5">
        <w:rPr>
          <w:rFonts w:ascii="Arial" w:hAnsi="Arial" w:cs="Arial"/>
        </w:rPr>
        <w:t>Marner</w:t>
      </w:r>
      <w:proofErr w:type="spellEnd"/>
      <w:r w:rsidR="00C920E3" w:rsidRPr="00D97DA5">
        <w:rPr>
          <w:rFonts w:ascii="Arial" w:hAnsi="Arial" w:cs="Arial"/>
        </w:rPr>
        <w:t>,</w:t>
      </w:r>
      <w:r w:rsidRPr="00D97DA5">
        <w:rPr>
          <w:rFonts w:ascii="Arial" w:hAnsi="Arial" w:cs="Arial"/>
        </w:rPr>
        <w:t xml:space="preserve"> B, </w:t>
      </w:r>
      <w:proofErr w:type="spellStart"/>
      <w:r w:rsidRPr="00D97DA5">
        <w:rPr>
          <w:rFonts w:ascii="Arial" w:hAnsi="Arial" w:cs="Arial"/>
        </w:rPr>
        <w:t>Laxen</w:t>
      </w:r>
      <w:proofErr w:type="spellEnd"/>
      <w:r w:rsidR="00C920E3" w:rsidRPr="00D97DA5">
        <w:rPr>
          <w:rFonts w:ascii="Arial" w:hAnsi="Arial" w:cs="Arial"/>
        </w:rPr>
        <w:t>,</w:t>
      </w:r>
      <w:r w:rsidRPr="00D97DA5">
        <w:rPr>
          <w:rFonts w:ascii="Arial" w:hAnsi="Arial" w:cs="Arial"/>
        </w:rPr>
        <w:t xml:space="preserve"> K, Boulter</w:t>
      </w:r>
      <w:r w:rsidR="00C920E3" w:rsidRPr="00D97DA5">
        <w:rPr>
          <w:rFonts w:ascii="Arial" w:hAnsi="Arial" w:cs="Arial"/>
        </w:rPr>
        <w:t>,</w:t>
      </w:r>
      <w:r w:rsidRPr="00D97DA5">
        <w:rPr>
          <w:rFonts w:ascii="Arial" w:hAnsi="Arial" w:cs="Arial"/>
        </w:rPr>
        <w:t xml:space="preserve"> P, Barlow</w:t>
      </w:r>
      <w:r w:rsidR="00C920E3" w:rsidRPr="00D97DA5">
        <w:rPr>
          <w:rFonts w:ascii="Arial" w:hAnsi="Arial" w:cs="Arial"/>
        </w:rPr>
        <w:t>,</w:t>
      </w:r>
      <w:r w:rsidRPr="00D97DA5">
        <w:rPr>
          <w:rFonts w:ascii="Arial" w:hAnsi="Arial" w:cs="Arial"/>
        </w:rPr>
        <w:t xml:space="preserve"> T, Harrison</w:t>
      </w:r>
      <w:r w:rsidR="00C920E3" w:rsidRPr="00D97DA5">
        <w:rPr>
          <w:rFonts w:ascii="Arial" w:hAnsi="Arial" w:cs="Arial"/>
        </w:rPr>
        <w:t>,</w:t>
      </w:r>
      <w:r w:rsidRPr="00D97DA5">
        <w:rPr>
          <w:rFonts w:ascii="Arial" w:hAnsi="Arial" w:cs="Arial"/>
        </w:rPr>
        <w:t xml:space="preserve"> R and Heal</w:t>
      </w:r>
      <w:r w:rsidR="00C920E3" w:rsidRPr="00D97DA5">
        <w:rPr>
          <w:rFonts w:ascii="Arial" w:hAnsi="Arial" w:cs="Arial"/>
        </w:rPr>
        <w:t>,</w:t>
      </w:r>
      <w:r w:rsidRPr="00D97DA5">
        <w:rPr>
          <w:rFonts w:ascii="Arial" w:hAnsi="Arial" w:cs="Arial"/>
        </w:rPr>
        <w:t xml:space="preserve"> M (2010</w:t>
      </w:r>
      <w:r w:rsidR="00FE0361" w:rsidRPr="00D97DA5">
        <w:rPr>
          <w:rFonts w:ascii="Arial" w:hAnsi="Arial" w:cs="Arial"/>
        </w:rPr>
        <w:t>),</w:t>
      </w:r>
      <w:r w:rsidRPr="00D97DA5">
        <w:rPr>
          <w:rFonts w:ascii="Arial" w:hAnsi="Arial" w:cs="Arial"/>
        </w:rPr>
        <w:t xml:space="preserve"> PM</w:t>
      </w:r>
      <w:r w:rsidRPr="00D97DA5">
        <w:rPr>
          <w:rFonts w:ascii="Arial" w:hAnsi="Arial" w:cs="Arial"/>
          <w:vertAlign w:val="subscript"/>
        </w:rPr>
        <w:t>2.5</w:t>
      </w:r>
      <w:r w:rsidRPr="00D97DA5">
        <w:rPr>
          <w:rFonts w:ascii="Arial" w:hAnsi="Arial" w:cs="Arial"/>
        </w:rPr>
        <w:t xml:space="preserve"> in the UK: Enhancing the general understanding of the issues relating to the regulation of fine particulate matter</w:t>
      </w:r>
      <w:r w:rsidR="00881CDB" w:rsidRPr="00D97DA5">
        <w:rPr>
          <w:rFonts w:ascii="Arial" w:hAnsi="Arial" w:cs="Arial"/>
        </w:rPr>
        <w:t>,</w:t>
      </w:r>
      <w:r w:rsidRPr="00D97DA5">
        <w:rPr>
          <w:rFonts w:ascii="Arial" w:hAnsi="Arial" w:cs="Arial"/>
        </w:rPr>
        <w:t xml:space="preserve"> </w:t>
      </w:r>
      <w:r w:rsidR="00C920E3" w:rsidRPr="00D97DA5">
        <w:rPr>
          <w:rFonts w:ascii="Arial" w:hAnsi="Arial" w:cs="Arial"/>
        </w:rPr>
        <w:t>p</w:t>
      </w:r>
      <w:r w:rsidRPr="00D97DA5">
        <w:rPr>
          <w:rFonts w:ascii="Arial" w:hAnsi="Arial" w:cs="Arial"/>
        </w:rPr>
        <w:t>ublished by the Scotland and Northern Ireland Forum for E</w:t>
      </w:r>
      <w:r w:rsidR="00975991" w:rsidRPr="00D97DA5">
        <w:rPr>
          <w:rFonts w:ascii="Arial" w:hAnsi="Arial" w:cs="Arial"/>
        </w:rPr>
        <w:t>nvironmental Research (SNIFFER</w:t>
      </w:r>
      <w:r w:rsidR="00FE0361" w:rsidRPr="00D97DA5">
        <w:rPr>
          <w:rFonts w:ascii="Arial" w:hAnsi="Arial" w:cs="Arial"/>
        </w:rPr>
        <w:t>),</w:t>
      </w:r>
      <w:r w:rsidRPr="00D97DA5">
        <w:rPr>
          <w:rFonts w:ascii="Arial" w:hAnsi="Arial" w:cs="Arial"/>
        </w:rPr>
        <w:t xml:space="preserve"> Edinburgh</w:t>
      </w:r>
      <w:r w:rsidR="00C920E3" w:rsidRPr="00D97DA5">
        <w:rPr>
          <w:rFonts w:ascii="Arial" w:hAnsi="Arial" w:cs="Arial"/>
        </w:rPr>
        <w:t>, UK</w:t>
      </w:r>
      <w:r w:rsidRPr="00D97DA5">
        <w:rPr>
          <w:rFonts w:ascii="Arial" w:hAnsi="Arial" w:cs="Arial"/>
        </w:rPr>
        <w:t>.</w:t>
      </w:r>
      <w:r w:rsidRPr="00D97DA5">
        <w:rPr>
          <w:rFonts w:ascii="Arial" w:hAnsi="Arial" w:cs="Arial"/>
          <w:color w:val="0070C0"/>
        </w:rPr>
        <w:t xml:space="preserve"> </w:t>
      </w:r>
    </w:p>
    <w:p w:rsidR="003D0E88" w:rsidRPr="00D97DA5" w:rsidRDefault="00975991" w:rsidP="00DD0B7A">
      <w:pPr>
        <w:keepLines/>
        <w:spacing w:after="220"/>
        <w:rPr>
          <w:rFonts w:ascii="Arial" w:hAnsi="Arial" w:cs="Arial"/>
        </w:rPr>
      </w:pPr>
      <w:proofErr w:type="spellStart"/>
      <w:r w:rsidRPr="00D97DA5">
        <w:rPr>
          <w:rFonts w:ascii="Arial" w:hAnsi="Arial" w:cs="Arial"/>
        </w:rPr>
        <w:t>Matthijsen</w:t>
      </w:r>
      <w:proofErr w:type="spellEnd"/>
      <w:r w:rsidR="00C920E3" w:rsidRPr="00D97DA5">
        <w:rPr>
          <w:rFonts w:ascii="Arial" w:hAnsi="Arial" w:cs="Arial"/>
        </w:rPr>
        <w:t>,</w:t>
      </w:r>
      <w:r w:rsidRPr="00D97DA5">
        <w:rPr>
          <w:rFonts w:ascii="Arial" w:hAnsi="Arial" w:cs="Arial"/>
        </w:rPr>
        <w:t xml:space="preserve"> J and ten Brink</w:t>
      </w:r>
      <w:r w:rsidR="00C920E3" w:rsidRPr="00D97DA5">
        <w:rPr>
          <w:rFonts w:ascii="Arial" w:hAnsi="Arial" w:cs="Arial"/>
        </w:rPr>
        <w:t>,</w:t>
      </w:r>
      <w:r w:rsidRPr="00D97DA5">
        <w:rPr>
          <w:rFonts w:ascii="Arial" w:hAnsi="Arial" w:cs="Arial"/>
        </w:rPr>
        <w:t xml:space="preserve"> HM</w:t>
      </w:r>
      <w:r w:rsidR="003D0E88" w:rsidRPr="00D97DA5">
        <w:rPr>
          <w:rFonts w:ascii="Arial" w:hAnsi="Arial" w:cs="Arial"/>
        </w:rPr>
        <w:t xml:space="preserve"> (2007</w:t>
      </w:r>
      <w:r w:rsidR="00FE0361" w:rsidRPr="00D97DA5">
        <w:rPr>
          <w:rFonts w:ascii="Arial" w:hAnsi="Arial" w:cs="Arial"/>
        </w:rPr>
        <w:t>),</w:t>
      </w:r>
      <w:r w:rsidR="003D0E88" w:rsidRPr="00D97DA5">
        <w:rPr>
          <w:rFonts w:ascii="Arial" w:hAnsi="Arial" w:cs="Arial"/>
        </w:rPr>
        <w:t xml:space="preserve"> </w:t>
      </w:r>
      <w:r w:rsidR="003D0E88" w:rsidRPr="009A0717">
        <w:rPr>
          <w:rFonts w:ascii="Arial" w:hAnsi="Arial" w:cs="Arial"/>
          <w:i/>
        </w:rPr>
        <w:t>PM</w:t>
      </w:r>
      <w:r w:rsidR="003D0E88" w:rsidRPr="009A0717">
        <w:rPr>
          <w:rFonts w:ascii="Arial" w:hAnsi="Arial" w:cs="Arial"/>
          <w:i/>
          <w:vertAlign w:val="subscript"/>
        </w:rPr>
        <w:t>2.5</w:t>
      </w:r>
      <w:r w:rsidR="003D0E88" w:rsidRPr="009A0717">
        <w:rPr>
          <w:rFonts w:ascii="Arial" w:hAnsi="Arial" w:cs="Arial"/>
          <w:i/>
        </w:rPr>
        <w:t xml:space="preserve"> in the Netherlands </w:t>
      </w:r>
      <w:r w:rsidR="00C920E3" w:rsidRPr="009A0717">
        <w:rPr>
          <w:rFonts w:ascii="Arial" w:hAnsi="Arial" w:cs="Arial"/>
          <w:i/>
        </w:rPr>
        <w:t>–</w:t>
      </w:r>
      <w:r w:rsidR="003D0E88" w:rsidRPr="009A0717">
        <w:rPr>
          <w:rFonts w:ascii="Arial" w:hAnsi="Arial" w:cs="Arial"/>
          <w:i/>
        </w:rPr>
        <w:t xml:space="preserve"> consequences of the new European air quality standards</w:t>
      </w:r>
      <w:r w:rsidR="00881CDB" w:rsidRPr="00D97DA5">
        <w:rPr>
          <w:rFonts w:ascii="Arial" w:hAnsi="Arial" w:cs="Arial"/>
        </w:rPr>
        <w:t>,</w:t>
      </w:r>
      <w:r w:rsidR="003D0E88" w:rsidRPr="00D97DA5">
        <w:rPr>
          <w:rFonts w:ascii="Arial" w:hAnsi="Arial" w:cs="Arial"/>
        </w:rPr>
        <w:t xml:space="preserve"> MNP Report 500099001/2007</w:t>
      </w:r>
      <w:r w:rsidR="00881CDB" w:rsidRPr="00D97DA5">
        <w:rPr>
          <w:rFonts w:ascii="Arial" w:hAnsi="Arial" w:cs="Arial"/>
        </w:rPr>
        <w:t>,</w:t>
      </w:r>
      <w:r w:rsidR="003D0E88" w:rsidRPr="00D97DA5">
        <w:rPr>
          <w:rFonts w:ascii="Arial" w:hAnsi="Arial" w:cs="Arial"/>
        </w:rPr>
        <w:t xml:space="preserve"> The Netherlands Environmental Assessment Agency (MNP), </w:t>
      </w:r>
      <w:proofErr w:type="spellStart"/>
      <w:r w:rsidR="003D0E88" w:rsidRPr="00D97DA5">
        <w:rPr>
          <w:rFonts w:ascii="Arial" w:hAnsi="Arial" w:cs="Arial"/>
        </w:rPr>
        <w:t>Bilthoven</w:t>
      </w:r>
      <w:proofErr w:type="spellEnd"/>
      <w:r w:rsidR="003D0E88" w:rsidRPr="00D97DA5">
        <w:rPr>
          <w:rFonts w:ascii="Arial" w:hAnsi="Arial" w:cs="Arial"/>
        </w:rPr>
        <w:t>, The Netherlands.</w:t>
      </w:r>
    </w:p>
    <w:p w:rsidR="009F51C5" w:rsidRPr="00D97DA5" w:rsidRDefault="000C7A3B" w:rsidP="00DD0B7A">
      <w:pPr>
        <w:keepLines/>
        <w:spacing w:after="220"/>
        <w:rPr>
          <w:rFonts w:ascii="Arial" w:hAnsi="Arial" w:cs="Arial"/>
        </w:rPr>
      </w:pPr>
      <w:r w:rsidRPr="00D97DA5">
        <w:rPr>
          <w:rFonts w:ascii="Arial" w:hAnsi="Arial" w:cs="Arial"/>
        </w:rPr>
        <w:t>Morgan</w:t>
      </w:r>
      <w:r w:rsidR="00C920E3" w:rsidRPr="00D97DA5">
        <w:rPr>
          <w:rFonts w:ascii="Arial" w:hAnsi="Arial" w:cs="Arial"/>
        </w:rPr>
        <w:t>,</w:t>
      </w:r>
      <w:r w:rsidRPr="00D97DA5">
        <w:rPr>
          <w:rFonts w:ascii="Arial" w:hAnsi="Arial" w:cs="Arial"/>
        </w:rPr>
        <w:t xml:space="preserve"> G, </w:t>
      </w:r>
      <w:r w:rsidR="009F51C5" w:rsidRPr="00D97DA5">
        <w:rPr>
          <w:rFonts w:ascii="Arial" w:hAnsi="Arial" w:cs="Arial"/>
        </w:rPr>
        <w:t>Broome</w:t>
      </w:r>
      <w:r w:rsidR="00C920E3" w:rsidRPr="00D97DA5">
        <w:rPr>
          <w:rFonts w:ascii="Arial" w:hAnsi="Arial" w:cs="Arial"/>
        </w:rPr>
        <w:t>,</w:t>
      </w:r>
      <w:r w:rsidR="009F51C5" w:rsidRPr="00D97DA5">
        <w:rPr>
          <w:rFonts w:ascii="Arial" w:hAnsi="Arial" w:cs="Arial"/>
        </w:rPr>
        <w:t xml:space="preserve"> R and </w:t>
      </w:r>
      <w:proofErr w:type="spellStart"/>
      <w:r w:rsidR="009F51C5" w:rsidRPr="00D97DA5">
        <w:rPr>
          <w:rFonts w:ascii="Arial" w:hAnsi="Arial" w:cs="Arial"/>
        </w:rPr>
        <w:t>Jalaludin</w:t>
      </w:r>
      <w:proofErr w:type="spellEnd"/>
      <w:r w:rsidR="00C920E3" w:rsidRPr="00D97DA5">
        <w:rPr>
          <w:rFonts w:ascii="Arial" w:hAnsi="Arial" w:cs="Arial"/>
        </w:rPr>
        <w:t>,</w:t>
      </w:r>
      <w:r w:rsidR="009F51C5" w:rsidRPr="00D97DA5">
        <w:rPr>
          <w:rFonts w:ascii="Arial" w:hAnsi="Arial" w:cs="Arial"/>
        </w:rPr>
        <w:t xml:space="preserve"> B </w:t>
      </w:r>
      <w:r w:rsidRPr="00D97DA5">
        <w:rPr>
          <w:rFonts w:ascii="Arial" w:hAnsi="Arial" w:cs="Arial"/>
        </w:rPr>
        <w:t>(2013</w:t>
      </w:r>
      <w:r w:rsidR="00FE0361" w:rsidRPr="00D97DA5">
        <w:rPr>
          <w:rFonts w:ascii="Arial" w:hAnsi="Arial" w:cs="Arial"/>
        </w:rPr>
        <w:t>),</w:t>
      </w:r>
      <w:r w:rsidR="004B4989" w:rsidRPr="00D97DA5">
        <w:rPr>
          <w:rFonts w:ascii="Arial" w:hAnsi="Arial" w:cs="Arial"/>
        </w:rPr>
        <w:t xml:space="preserve"> </w:t>
      </w:r>
      <w:r w:rsidR="009F51C5" w:rsidRPr="009A0717">
        <w:rPr>
          <w:rFonts w:ascii="Arial" w:hAnsi="Arial" w:cs="Arial"/>
          <w:i/>
        </w:rPr>
        <w:t>Summary for Policy Makers of the Health Risk Assessment on Air Pollution in Australia</w:t>
      </w:r>
      <w:r w:rsidR="00881CDB" w:rsidRPr="00D97DA5">
        <w:rPr>
          <w:rFonts w:ascii="Arial" w:hAnsi="Arial" w:cs="Arial"/>
        </w:rPr>
        <w:t>,</w:t>
      </w:r>
      <w:r w:rsidR="009F51C5" w:rsidRPr="00D97DA5">
        <w:rPr>
          <w:rFonts w:ascii="Arial" w:hAnsi="Arial" w:cs="Arial"/>
        </w:rPr>
        <w:t xml:space="preserve"> National Environment Protection Council Service Corporation, Canberra.</w:t>
      </w:r>
    </w:p>
    <w:p w:rsidR="006A0EEF" w:rsidRPr="00D97DA5" w:rsidRDefault="006A0EEF" w:rsidP="00DD0B7A">
      <w:pPr>
        <w:keepLines/>
        <w:spacing w:after="220"/>
        <w:rPr>
          <w:rFonts w:ascii="Arial" w:hAnsi="Arial" w:cs="Arial"/>
        </w:rPr>
      </w:pPr>
      <w:r w:rsidRPr="00D97DA5">
        <w:rPr>
          <w:rFonts w:ascii="Arial" w:hAnsi="Arial" w:cs="Arial"/>
        </w:rPr>
        <w:t>NEPC (1998</w:t>
      </w:r>
      <w:r w:rsidR="00FE0361" w:rsidRPr="00D97DA5">
        <w:rPr>
          <w:rFonts w:ascii="Arial" w:hAnsi="Arial" w:cs="Arial"/>
        </w:rPr>
        <w:t>),</w:t>
      </w:r>
      <w:r w:rsidRPr="00D97DA5">
        <w:rPr>
          <w:rFonts w:ascii="Arial" w:hAnsi="Arial" w:cs="Arial"/>
        </w:rPr>
        <w:t xml:space="preserve"> </w:t>
      </w:r>
      <w:r w:rsidRPr="009A0717">
        <w:rPr>
          <w:rFonts w:ascii="Arial" w:hAnsi="Arial" w:cs="Arial"/>
          <w:i/>
        </w:rPr>
        <w:t>National Environment Protection (Ambient Air Quality) Measure – Revised Impact Statement</w:t>
      </w:r>
      <w:r w:rsidR="00881CDB" w:rsidRPr="00D97DA5">
        <w:rPr>
          <w:rFonts w:ascii="Arial" w:hAnsi="Arial" w:cs="Arial"/>
        </w:rPr>
        <w:t>,</w:t>
      </w:r>
      <w:r w:rsidRPr="00D97DA5">
        <w:rPr>
          <w:rFonts w:ascii="Arial" w:hAnsi="Arial" w:cs="Arial"/>
        </w:rPr>
        <w:t xml:space="preserve"> National Environmental Protection Council, Adelaide</w:t>
      </w:r>
      <w:r w:rsidR="00C920E3" w:rsidRPr="00D97DA5">
        <w:rPr>
          <w:rFonts w:ascii="Arial" w:hAnsi="Arial" w:cs="Arial"/>
        </w:rPr>
        <w:t>, SA</w:t>
      </w:r>
      <w:r w:rsidRPr="00D97DA5">
        <w:rPr>
          <w:rFonts w:ascii="Arial" w:hAnsi="Arial" w:cs="Arial"/>
        </w:rPr>
        <w:t>.</w:t>
      </w:r>
    </w:p>
    <w:p w:rsidR="00C02979" w:rsidRPr="00D97DA5" w:rsidRDefault="00C02979" w:rsidP="00FE0361">
      <w:pPr>
        <w:keepLines/>
        <w:rPr>
          <w:rFonts w:ascii="Arial" w:hAnsi="Arial" w:cs="Arial"/>
        </w:rPr>
      </w:pPr>
      <w:r w:rsidRPr="00D97DA5">
        <w:rPr>
          <w:rFonts w:ascii="Arial" w:hAnsi="Arial" w:cs="Arial"/>
        </w:rPr>
        <w:t>NEPC (2002</w:t>
      </w:r>
      <w:r w:rsidR="00FE0361" w:rsidRPr="00D97DA5">
        <w:rPr>
          <w:rFonts w:ascii="Arial" w:hAnsi="Arial" w:cs="Arial"/>
        </w:rPr>
        <w:t>),</w:t>
      </w:r>
      <w:r w:rsidRPr="00D97DA5">
        <w:rPr>
          <w:rFonts w:ascii="Arial" w:hAnsi="Arial" w:cs="Arial"/>
        </w:rPr>
        <w:t xml:space="preserve"> </w:t>
      </w:r>
      <w:r w:rsidRPr="009A0717">
        <w:rPr>
          <w:rFonts w:ascii="Arial" w:hAnsi="Arial" w:cs="Arial"/>
          <w:i/>
        </w:rPr>
        <w:t>Impact statement for PM</w:t>
      </w:r>
      <w:r w:rsidRPr="009A0717">
        <w:rPr>
          <w:rFonts w:ascii="Arial" w:hAnsi="Arial" w:cs="Arial"/>
          <w:i/>
          <w:vertAlign w:val="subscript"/>
        </w:rPr>
        <w:t>2.5</w:t>
      </w:r>
      <w:r w:rsidRPr="009A0717">
        <w:rPr>
          <w:rFonts w:ascii="Arial" w:hAnsi="Arial" w:cs="Arial"/>
          <w:i/>
        </w:rPr>
        <w:t xml:space="preserve"> Variation – Setting a PM</w:t>
      </w:r>
      <w:r w:rsidRPr="009A0717">
        <w:rPr>
          <w:rFonts w:ascii="Arial" w:hAnsi="Arial" w:cs="Arial"/>
          <w:i/>
          <w:vertAlign w:val="subscript"/>
        </w:rPr>
        <w:t>2.5</w:t>
      </w:r>
      <w:r w:rsidRPr="009A0717">
        <w:rPr>
          <w:rFonts w:ascii="Arial" w:hAnsi="Arial" w:cs="Arial"/>
          <w:i/>
        </w:rPr>
        <w:t xml:space="preserve"> standard in Australia</w:t>
      </w:r>
      <w:r w:rsidR="00881CDB" w:rsidRPr="00D97DA5">
        <w:rPr>
          <w:rFonts w:ascii="Arial" w:hAnsi="Arial" w:cs="Arial"/>
        </w:rPr>
        <w:t>,</w:t>
      </w:r>
      <w:r w:rsidRPr="00D97DA5">
        <w:rPr>
          <w:rFonts w:ascii="Arial" w:hAnsi="Arial" w:cs="Arial"/>
        </w:rPr>
        <w:t xml:space="preserve"> National Environmental Protection Council, Adelaide</w:t>
      </w:r>
      <w:r w:rsidR="00C920E3" w:rsidRPr="00D97DA5">
        <w:rPr>
          <w:rFonts w:ascii="Arial" w:hAnsi="Arial" w:cs="Arial"/>
        </w:rPr>
        <w:t>, SA</w:t>
      </w:r>
      <w:r w:rsidRPr="00D97DA5">
        <w:rPr>
          <w:rFonts w:ascii="Arial" w:hAnsi="Arial" w:cs="Arial"/>
        </w:rPr>
        <w:t>.</w:t>
      </w:r>
    </w:p>
    <w:p w:rsidR="003C450D" w:rsidRPr="00D97DA5" w:rsidRDefault="003C450D" w:rsidP="00FE0361">
      <w:pPr>
        <w:keepLines/>
        <w:rPr>
          <w:rFonts w:ascii="Arial" w:hAnsi="Arial" w:cs="Arial"/>
        </w:rPr>
      </w:pPr>
      <w:r w:rsidRPr="00D97DA5">
        <w:rPr>
          <w:rFonts w:ascii="Arial" w:hAnsi="Arial" w:cs="Arial"/>
        </w:rPr>
        <w:t>NEPC (2011a</w:t>
      </w:r>
      <w:r w:rsidR="00FE0361" w:rsidRPr="00D97DA5">
        <w:rPr>
          <w:rFonts w:ascii="Arial" w:hAnsi="Arial" w:cs="Arial"/>
        </w:rPr>
        <w:t>),</w:t>
      </w:r>
      <w:r w:rsidRPr="00D97DA5">
        <w:rPr>
          <w:rFonts w:ascii="Arial" w:hAnsi="Arial" w:cs="Arial"/>
        </w:rPr>
        <w:t xml:space="preserve"> </w:t>
      </w:r>
      <w:r w:rsidRPr="009A0717">
        <w:rPr>
          <w:rFonts w:ascii="Arial" w:hAnsi="Arial" w:cs="Arial"/>
          <w:i/>
        </w:rPr>
        <w:t>National Environment Protection (Ambient Air Quality) Measure Review</w:t>
      </w:r>
      <w:r w:rsidR="00881CDB" w:rsidRPr="00D97DA5">
        <w:rPr>
          <w:rFonts w:ascii="Arial" w:hAnsi="Arial" w:cs="Arial"/>
        </w:rPr>
        <w:t>,</w:t>
      </w:r>
      <w:r w:rsidRPr="00D97DA5">
        <w:rPr>
          <w:rFonts w:ascii="Arial" w:hAnsi="Arial" w:cs="Arial"/>
        </w:rPr>
        <w:t xml:space="preserve"> National Environment Protection Council Service Corporation, </w:t>
      </w:r>
      <w:r w:rsidR="00047EEE" w:rsidRPr="00D97DA5">
        <w:rPr>
          <w:rFonts w:ascii="Arial" w:hAnsi="Arial" w:cs="Arial"/>
        </w:rPr>
        <w:t xml:space="preserve">Adelaide, </w:t>
      </w:r>
      <w:r w:rsidR="00C920E3" w:rsidRPr="00D97DA5">
        <w:rPr>
          <w:rFonts w:ascii="Arial" w:hAnsi="Arial" w:cs="Arial"/>
        </w:rPr>
        <w:t>SA</w:t>
      </w:r>
      <w:r w:rsidR="00881CDB" w:rsidRPr="00D97DA5">
        <w:rPr>
          <w:rFonts w:ascii="Arial" w:hAnsi="Arial" w:cs="Arial"/>
        </w:rPr>
        <w:t>,</w:t>
      </w:r>
      <w:r w:rsidR="00047EEE" w:rsidRPr="00D97DA5">
        <w:rPr>
          <w:rFonts w:ascii="Arial" w:hAnsi="Arial" w:cs="Arial"/>
        </w:rPr>
        <w:t xml:space="preserve"> </w:t>
      </w:r>
      <w:r w:rsidR="00C920E3" w:rsidRPr="00D97DA5">
        <w:rPr>
          <w:rFonts w:ascii="Arial" w:hAnsi="Arial" w:cs="Arial"/>
          <w:color w:val="0070C0"/>
        </w:rPr>
        <w:t>http://www.scew.gov.au/system/files/resources/3405e986-afe9-bdb4-5d2c-383f3ea1e911/files/aaq-review-report-2011.pdf</w:t>
      </w:r>
      <w:r w:rsidR="00C920E3" w:rsidRPr="00D97DA5" w:rsidDel="00C920E3">
        <w:rPr>
          <w:rFonts w:ascii="Arial" w:hAnsi="Arial" w:cs="Arial"/>
          <w:color w:val="0070C0"/>
        </w:rPr>
        <w:t xml:space="preserve"> </w:t>
      </w:r>
    </w:p>
    <w:p w:rsidR="00FE0361" w:rsidRPr="00D97DA5" w:rsidRDefault="003C450D" w:rsidP="00FE0361">
      <w:pPr>
        <w:keepLines/>
        <w:rPr>
          <w:rFonts w:ascii="Arial" w:hAnsi="Arial" w:cs="Arial"/>
        </w:rPr>
      </w:pPr>
      <w:r w:rsidRPr="00D97DA5">
        <w:rPr>
          <w:rFonts w:ascii="Arial" w:hAnsi="Arial" w:cs="Arial"/>
        </w:rPr>
        <w:lastRenderedPageBreak/>
        <w:t>NEPC (2011b</w:t>
      </w:r>
      <w:r w:rsidR="00FE0361" w:rsidRPr="00D97DA5">
        <w:rPr>
          <w:rFonts w:ascii="Arial" w:hAnsi="Arial" w:cs="Arial"/>
        </w:rPr>
        <w:t>),</w:t>
      </w:r>
      <w:r w:rsidRPr="00D97DA5">
        <w:rPr>
          <w:rFonts w:ascii="Arial" w:hAnsi="Arial" w:cs="Arial"/>
        </w:rPr>
        <w:t xml:space="preserve"> </w:t>
      </w:r>
      <w:r w:rsidRPr="009A0717">
        <w:rPr>
          <w:rFonts w:ascii="Arial" w:hAnsi="Arial" w:cs="Arial"/>
          <w:i/>
        </w:rPr>
        <w:t>Methodology for Setting Air Quality Standards in Australia</w:t>
      </w:r>
      <w:r w:rsidRPr="00D97DA5">
        <w:rPr>
          <w:rFonts w:ascii="Arial" w:hAnsi="Arial" w:cs="Arial"/>
        </w:rPr>
        <w:t>, Part A, February 2011</w:t>
      </w:r>
      <w:r w:rsidR="00881CDB" w:rsidRPr="00D97DA5">
        <w:rPr>
          <w:rFonts w:ascii="Arial" w:hAnsi="Arial" w:cs="Arial"/>
        </w:rPr>
        <w:t>,</w:t>
      </w:r>
      <w:r w:rsidRPr="00D97DA5">
        <w:rPr>
          <w:rFonts w:ascii="Arial" w:hAnsi="Arial" w:cs="Arial"/>
        </w:rPr>
        <w:t xml:space="preserve"> National Environment Protection Council, Canberra</w:t>
      </w:r>
      <w:r w:rsidR="00086A5A" w:rsidRPr="00D97DA5">
        <w:rPr>
          <w:rFonts w:ascii="Arial" w:hAnsi="Arial" w:cs="Arial"/>
        </w:rPr>
        <w:t>, ACT</w:t>
      </w:r>
      <w:r w:rsidRPr="00D97DA5">
        <w:rPr>
          <w:rFonts w:ascii="Arial" w:hAnsi="Arial" w:cs="Arial"/>
        </w:rPr>
        <w:t>.</w:t>
      </w:r>
    </w:p>
    <w:p w:rsidR="00FE0361" w:rsidRPr="00D97DA5" w:rsidRDefault="00BE35F5" w:rsidP="00FE0361">
      <w:pPr>
        <w:keepLines/>
        <w:rPr>
          <w:rFonts w:ascii="Arial" w:hAnsi="Arial" w:cs="Arial"/>
        </w:rPr>
      </w:pPr>
      <w:r w:rsidRPr="00D97DA5">
        <w:rPr>
          <w:rFonts w:ascii="Arial" w:hAnsi="Arial" w:cs="Arial"/>
        </w:rPr>
        <w:t>NEPC (2012</w:t>
      </w:r>
      <w:r w:rsidR="00FE0361" w:rsidRPr="00D97DA5">
        <w:rPr>
          <w:rFonts w:ascii="Arial" w:hAnsi="Arial" w:cs="Arial"/>
        </w:rPr>
        <w:t>),</w:t>
      </w:r>
      <w:r w:rsidRPr="00D97DA5">
        <w:rPr>
          <w:rFonts w:ascii="Arial" w:hAnsi="Arial" w:cs="Arial"/>
        </w:rPr>
        <w:t xml:space="preserve"> </w:t>
      </w:r>
      <w:r w:rsidRPr="009A0717">
        <w:rPr>
          <w:rFonts w:ascii="Arial" w:hAnsi="Arial" w:cs="Arial"/>
          <w:i/>
        </w:rPr>
        <w:t>Annual Report 2011</w:t>
      </w:r>
      <w:r w:rsidR="00086A5A" w:rsidRPr="009A0717">
        <w:rPr>
          <w:rFonts w:ascii="Arial" w:hAnsi="Arial" w:cs="Arial"/>
          <w:i/>
        </w:rPr>
        <w:t>–</w:t>
      </w:r>
      <w:r w:rsidRPr="009A0717">
        <w:rPr>
          <w:rFonts w:ascii="Arial" w:hAnsi="Arial" w:cs="Arial"/>
          <w:i/>
        </w:rPr>
        <w:t>2012</w:t>
      </w:r>
      <w:r w:rsidR="00881CDB" w:rsidRPr="009A0717">
        <w:rPr>
          <w:rFonts w:ascii="Arial" w:hAnsi="Arial" w:cs="Arial"/>
          <w:i/>
        </w:rPr>
        <w:t>,</w:t>
      </w:r>
      <w:r w:rsidRPr="00D97DA5">
        <w:rPr>
          <w:rFonts w:ascii="Arial" w:hAnsi="Arial" w:cs="Arial"/>
        </w:rPr>
        <w:t xml:space="preserve"> National Environment Protection Council, Canberra</w:t>
      </w:r>
      <w:r w:rsidR="00086A5A" w:rsidRPr="00D97DA5">
        <w:rPr>
          <w:rFonts w:ascii="Arial" w:hAnsi="Arial" w:cs="Arial"/>
        </w:rPr>
        <w:t>, ACT</w:t>
      </w:r>
      <w:r w:rsidRPr="00D97DA5">
        <w:rPr>
          <w:rFonts w:ascii="Arial" w:hAnsi="Arial" w:cs="Arial"/>
        </w:rPr>
        <w:t>.</w:t>
      </w:r>
    </w:p>
    <w:p w:rsidR="00412807" w:rsidRPr="00D97DA5" w:rsidRDefault="00412807" w:rsidP="00FE0361">
      <w:pPr>
        <w:keepLines/>
        <w:rPr>
          <w:rFonts w:ascii="Arial" w:hAnsi="Arial" w:cs="Arial"/>
        </w:rPr>
      </w:pPr>
      <w:r w:rsidRPr="00D97DA5">
        <w:rPr>
          <w:rFonts w:ascii="Arial" w:hAnsi="Arial" w:cs="Arial"/>
        </w:rPr>
        <w:t>NSW DEC (2005a</w:t>
      </w:r>
      <w:r w:rsidR="00FE0361" w:rsidRPr="00D97DA5">
        <w:rPr>
          <w:rFonts w:ascii="Arial" w:hAnsi="Arial" w:cs="Arial"/>
        </w:rPr>
        <w:t>),</w:t>
      </w:r>
      <w:r w:rsidRPr="00D97DA5">
        <w:rPr>
          <w:rFonts w:ascii="Arial" w:hAnsi="Arial" w:cs="Arial"/>
        </w:rPr>
        <w:t xml:space="preserve"> </w:t>
      </w:r>
      <w:r w:rsidRPr="009A0717">
        <w:rPr>
          <w:rFonts w:ascii="Arial" w:hAnsi="Arial" w:cs="Arial"/>
          <w:i/>
        </w:rPr>
        <w:t>Approved Methods for the Modelling and Assessment of Air Pollutants in NSW</w:t>
      </w:r>
      <w:r w:rsidR="00881CDB" w:rsidRPr="00D97DA5">
        <w:rPr>
          <w:rFonts w:ascii="Arial" w:hAnsi="Arial" w:cs="Arial"/>
        </w:rPr>
        <w:t>,</w:t>
      </w:r>
      <w:r w:rsidRPr="00D97DA5">
        <w:rPr>
          <w:rFonts w:ascii="Arial" w:hAnsi="Arial" w:cs="Arial"/>
        </w:rPr>
        <w:t xml:space="preserve"> NSW Department of Environment and Conservation, Sydney</w:t>
      </w:r>
      <w:r w:rsidR="00086A5A" w:rsidRPr="00D97DA5">
        <w:rPr>
          <w:rFonts w:ascii="Arial" w:hAnsi="Arial" w:cs="Arial"/>
        </w:rPr>
        <w:t>, NSW</w:t>
      </w:r>
      <w:r w:rsidRPr="00D97DA5">
        <w:rPr>
          <w:rFonts w:ascii="Arial" w:hAnsi="Arial" w:cs="Arial"/>
        </w:rPr>
        <w:t>.</w:t>
      </w:r>
    </w:p>
    <w:p w:rsidR="00FE0361" w:rsidRPr="00D97DA5" w:rsidRDefault="00E41D3C" w:rsidP="00FE0361">
      <w:pPr>
        <w:keepLines/>
        <w:rPr>
          <w:rFonts w:ascii="Arial" w:hAnsi="Arial" w:cs="Arial"/>
          <w:color w:val="0070C0"/>
        </w:rPr>
      </w:pPr>
      <w:r w:rsidRPr="00D97DA5">
        <w:rPr>
          <w:rFonts w:ascii="Arial" w:hAnsi="Arial" w:cs="Arial"/>
        </w:rPr>
        <w:t>NSW DEC (2005</w:t>
      </w:r>
      <w:r w:rsidR="00412807" w:rsidRPr="00D97DA5">
        <w:rPr>
          <w:rFonts w:ascii="Arial" w:hAnsi="Arial" w:cs="Arial"/>
        </w:rPr>
        <w:t>b</w:t>
      </w:r>
      <w:r w:rsidR="00FE0361" w:rsidRPr="00D97DA5">
        <w:rPr>
          <w:rFonts w:ascii="Arial" w:hAnsi="Arial" w:cs="Arial"/>
        </w:rPr>
        <w:t>),</w:t>
      </w:r>
      <w:r w:rsidRPr="00D97DA5">
        <w:rPr>
          <w:rFonts w:ascii="Arial" w:hAnsi="Arial" w:cs="Arial"/>
        </w:rPr>
        <w:t xml:space="preserve"> </w:t>
      </w:r>
      <w:r w:rsidRPr="009A0717">
        <w:rPr>
          <w:rFonts w:ascii="Arial" w:hAnsi="Arial" w:cs="Arial"/>
          <w:i/>
        </w:rPr>
        <w:t>Air Pollution Economics - Health Costs of Air Pollution in the Greater Sydney Metropolitan Region</w:t>
      </w:r>
      <w:r w:rsidRPr="00D97DA5">
        <w:rPr>
          <w:rFonts w:ascii="Arial" w:hAnsi="Arial" w:cs="Arial"/>
        </w:rPr>
        <w:t>, NSW Department of Environment and Conservation, Sydney</w:t>
      </w:r>
      <w:r w:rsidR="00086A5A" w:rsidRPr="00D97DA5">
        <w:rPr>
          <w:rFonts w:ascii="Arial" w:hAnsi="Arial" w:cs="Arial"/>
        </w:rPr>
        <w:t>, NSW,</w:t>
      </w:r>
      <w:r w:rsidR="00FE0361" w:rsidRPr="00D97DA5">
        <w:rPr>
          <w:rFonts w:ascii="Arial" w:hAnsi="Arial" w:cs="Arial"/>
        </w:rPr>
        <w:t xml:space="preserve"> </w:t>
      </w:r>
      <w:hyperlink r:id="rId146" w:history="1">
        <w:r w:rsidR="00F73565" w:rsidRPr="00D97DA5">
          <w:rPr>
            <w:rFonts w:ascii="Arial" w:hAnsi="Arial" w:cs="Arial"/>
            <w:color w:val="0070C0"/>
          </w:rPr>
          <w:t>www.environment.nsw.gov.au/resources/air/airpollution05623.pdf</w:t>
        </w:r>
      </w:hyperlink>
    </w:p>
    <w:p w:rsidR="00FE0361" w:rsidRPr="00D97DA5" w:rsidRDefault="00DC5EBC" w:rsidP="00FE0361">
      <w:pPr>
        <w:keepLines/>
        <w:rPr>
          <w:rFonts w:ascii="Arial" w:hAnsi="Arial" w:cs="Arial"/>
        </w:rPr>
      </w:pPr>
      <w:r w:rsidRPr="00D97DA5">
        <w:rPr>
          <w:rFonts w:ascii="Arial" w:hAnsi="Arial" w:cs="Arial"/>
        </w:rPr>
        <w:t>NSW EPA (2012</w:t>
      </w:r>
      <w:r w:rsidR="00FE0361" w:rsidRPr="00D97DA5">
        <w:rPr>
          <w:rFonts w:ascii="Arial" w:hAnsi="Arial" w:cs="Arial"/>
        </w:rPr>
        <w:t>),</w:t>
      </w:r>
      <w:r w:rsidRPr="00D97DA5">
        <w:rPr>
          <w:rFonts w:ascii="Arial" w:hAnsi="Arial" w:cs="Arial"/>
        </w:rPr>
        <w:t xml:space="preserve"> </w:t>
      </w:r>
      <w:r w:rsidRPr="009A0717">
        <w:rPr>
          <w:rFonts w:ascii="Arial" w:hAnsi="Arial" w:cs="Arial"/>
          <w:i/>
        </w:rPr>
        <w:t>Air Emissions Inventory for the Greater Metropolitan Region in New South Wales - 2008 Calendar Year</w:t>
      </w:r>
      <w:r w:rsidR="00881CDB" w:rsidRPr="009A0717">
        <w:rPr>
          <w:rFonts w:ascii="Arial" w:hAnsi="Arial" w:cs="Arial"/>
          <w:i/>
        </w:rPr>
        <w:t>,</w:t>
      </w:r>
      <w:r w:rsidRPr="009A0717">
        <w:rPr>
          <w:rFonts w:ascii="Arial" w:hAnsi="Arial" w:cs="Arial"/>
          <w:i/>
        </w:rPr>
        <w:t xml:space="preserve"> Technical Report No. 1 </w:t>
      </w:r>
      <w:r w:rsidR="00086A5A" w:rsidRPr="009A0717">
        <w:rPr>
          <w:rFonts w:ascii="Arial" w:hAnsi="Arial" w:cs="Arial"/>
          <w:i/>
        </w:rPr>
        <w:t>–</w:t>
      </w:r>
      <w:r w:rsidRPr="009A0717">
        <w:rPr>
          <w:rFonts w:ascii="Arial" w:hAnsi="Arial" w:cs="Arial"/>
          <w:i/>
        </w:rPr>
        <w:t xml:space="preserve"> Consolidated Natural and Human-Made Emissions: Results</w:t>
      </w:r>
      <w:r w:rsidR="00881CDB" w:rsidRPr="00D97DA5">
        <w:rPr>
          <w:rFonts w:ascii="Arial" w:hAnsi="Arial" w:cs="Arial"/>
        </w:rPr>
        <w:t>,</w:t>
      </w:r>
      <w:r w:rsidRPr="00D97DA5">
        <w:rPr>
          <w:rFonts w:ascii="Arial" w:hAnsi="Arial" w:cs="Arial"/>
        </w:rPr>
        <w:t xml:space="preserve"> NSW Environment Protection Authority, Sydney South</w:t>
      </w:r>
      <w:r w:rsidR="00086A5A" w:rsidRPr="00D97DA5">
        <w:rPr>
          <w:rFonts w:ascii="Arial" w:hAnsi="Arial" w:cs="Arial"/>
        </w:rPr>
        <w:t>, NSW</w:t>
      </w:r>
      <w:r w:rsidRPr="00D97DA5">
        <w:rPr>
          <w:rFonts w:ascii="Arial" w:hAnsi="Arial" w:cs="Arial"/>
        </w:rPr>
        <w:t>.</w:t>
      </w:r>
    </w:p>
    <w:p w:rsidR="00FE0361" w:rsidRPr="00D97DA5" w:rsidRDefault="00F70C54" w:rsidP="00FE0361">
      <w:pPr>
        <w:keepLines/>
        <w:rPr>
          <w:rFonts w:ascii="Arial" w:hAnsi="Arial" w:cs="Arial"/>
        </w:rPr>
      </w:pPr>
      <w:r w:rsidRPr="00D97DA5">
        <w:rPr>
          <w:rFonts w:ascii="Arial" w:hAnsi="Arial" w:cs="Arial"/>
        </w:rPr>
        <w:t>Pope</w:t>
      </w:r>
      <w:r w:rsidR="00086A5A" w:rsidRPr="00D97DA5">
        <w:rPr>
          <w:rFonts w:ascii="Arial" w:hAnsi="Arial" w:cs="Arial"/>
        </w:rPr>
        <w:t>,</w:t>
      </w:r>
      <w:r w:rsidRPr="00D97DA5">
        <w:rPr>
          <w:rFonts w:ascii="Arial" w:hAnsi="Arial" w:cs="Arial"/>
        </w:rPr>
        <w:t xml:space="preserve"> CA III and Dockery</w:t>
      </w:r>
      <w:r w:rsidR="00086A5A" w:rsidRPr="00D97DA5">
        <w:rPr>
          <w:rFonts w:ascii="Arial" w:hAnsi="Arial" w:cs="Arial"/>
        </w:rPr>
        <w:t>,</w:t>
      </w:r>
      <w:r w:rsidRPr="00D97DA5">
        <w:rPr>
          <w:rFonts w:ascii="Arial" w:hAnsi="Arial" w:cs="Arial"/>
        </w:rPr>
        <w:t xml:space="preserve"> DW (2006</w:t>
      </w:r>
      <w:r w:rsidR="00FE0361" w:rsidRPr="00D97DA5">
        <w:rPr>
          <w:rFonts w:ascii="Arial" w:hAnsi="Arial" w:cs="Arial"/>
        </w:rPr>
        <w:t>),</w:t>
      </w:r>
      <w:r w:rsidRPr="00D97DA5">
        <w:rPr>
          <w:rFonts w:ascii="Arial" w:hAnsi="Arial" w:cs="Arial"/>
        </w:rPr>
        <w:t xml:space="preserve"> </w:t>
      </w:r>
      <w:r w:rsidR="00086A5A" w:rsidRPr="00D97DA5">
        <w:rPr>
          <w:rFonts w:ascii="Arial" w:hAnsi="Arial" w:cs="Arial"/>
        </w:rPr>
        <w:t>‘</w:t>
      </w:r>
      <w:r w:rsidRPr="00D97DA5">
        <w:rPr>
          <w:rFonts w:ascii="Arial" w:hAnsi="Arial" w:cs="Arial"/>
        </w:rPr>
        <w:t>Health effects of fine particulate air pollution: lines that connect</w:t>
      </w:r>
      <w:r w:rsidR="00086A5A" w:rsidRPr="00D97DA5">
        <w:rPr>
          <w:rFonts w:ascii="Arial" w:hAnsi="Arial" w:cs="Arial"/>
        </w:rPr>
        <w:t>’</w:t>
      </w:r>
      <w:r w:rsidR="00881CDB" w:rsidRPr="00D97DA5">
        <w:rPr>
          <w:rFonts w:ascii="Arial" w:hAnsi="Arial" w:cs="Arial"/>
        </w:rPr>
        <w:t>,</w:t>
      </w:r>
      <w:r w:rsidRPr="00D97DA5">
        <w:rPr>
          <w:rFonts w:ascii="Arial" w:hAnsi="Arial" w:cs="Arial"/>
        </w:rPr>
        <w:t xml:space="preserve"> J</w:t>
      </w:r>
      <w:r w:rsidR="00975991" w:rsidRPr="00D97DA5">
        <w:rPr>
          <w:rFonts w:ascii="Arial" w:hAnsi="Arial" w:cs="Arial"/>
        </w:rPr>
        <w:t>.</w:t>
      </w:r>
      <w:r w:rsidR="00F7098D" w:rsidRPr="00D97DA5">
        <w:rPr>
          <w:rFonts w:ascii="Arial" w:hAnsi="Arial" w:cs="Arial"/>
        </w:rPr>
        <w:t xml:space="preserve"> </w:t>
      </w:r>
      <w:r w:rsidR="00F7098D" w:rsidRPr="009A0717">
        <w:rPr>
          <w:rFonts w:ascii="Arial" w:hAnsi="Arial" w:cs="Arial"/>
          <w:i/>
        </w:rPr>
        <w:t>Air Waste Manag</w:t>
      </w:r>
      <w:r w:rsidR="00086A5A" w:rsidRPr="009A0717">
        <w:rPr>
          <w:rFonts w:ascii="Arial" w:hAnsi="Arial" w:cs="Arial"/>
          <w:i/>
        </w:rPr>
        <w:t>ement</w:t>
      </w:r>
      <w:r w:rsidR="00F7098D" w:rsidRPr="009A0717">
        <w:rPr>
          <w:rFonts w:ascii="Arial" w:hAnsi="Arial" w:cs="Arial"/>
          <w:i/>
        </w:rPr>
        <w:t xml:space="preserve"> Assoc</w:t>
      </w:r>
      <w:r w:rsidR="00975991" w:rsidRPr="009A0717">
        <w:rPr>
          <w:rFonts w:ascii="Arial" w:hAnsi="Arial" w:cs="Arial"/>
          <w:i/>
        </w:rPr>
        <w:t>.</w:t>
      </w:r>
      <w:r w:rsidR="00975991" w:rsidRPr="00D97DA5">
        <w:rPr>
          <w:rFonts w:ascii="Arial" w:hAnsi="Arial" w:cs="Arial"/>
        </w:rPr>
        <w:t>,</w:t>
      </w:r>
      <w:r w:rsidR="00F7098D" w:rsidRPr="00D97DA5">
        <w:rPr>
          <w:rFonts w:ascii="Arial" w:hAnsi="Arial" w:cs="Arial"/>
        </w:rPr>
        <w:t xml:space="preserve"> </w:t>
      </w:r>
      <w:r w:rsidR="00086A5A" w:rsidRPr="00D97DA5">
        <w:rPr>
          <w:rFonts w:ascii="Arial" w:hAnsi="Arial" w:cs="Arial"/>
        </w:rPr>
        <w:t>v</w:t>
      </w:r>
      <w:r w:rsidR="00975991" w:rsidRPr="00D97DA5">
        <w:rPr>
          <w:rFonts w:ascii="Arial" w:hAnsi="Arial" w:cs="Arial"/>
        </w:rPr>
        <w:t xml:space="preserve">ol. </w:t>
      </w:r>
      <w:r w:rsidR="00F7098D" w:rsidRPr="00D97DA5">
        <w:rPr>
          <w:rFonts w:ascii="Arial" w:hAnsi="Arial" w:cs="Arial"/>
        </w:rPr>
        <w:t xml:space="preserve">56, pp. </w:t>
      </w:r>
      <w:r w:rsidRPr="00D97DA5">
        <w:rPr>
          <w:rFonts w:ascii="Arial" w:hAnsi="Arial" w:cs="Arial"/>
        </w:rPr>
        <w:t>709</w:t>
      </w:r>
      <w:r w:rsidR="00086A5A" w:rsidRPr="00D97DA5">
        <w:rPr>
          <w:rFonts w:ascii="Arial" w:hAnsi="Arial" w:cs="Arial"/>
        </w:rPr>
        <w:t>–</w:t>
      </w:r>
      <w:r w:rsidRPr="00D97DA5">
        <w:rPr>
          <w:rFonts w:ascii="Arial" w:hAnsi="Arial" w:cs="Arial"/>
        </w:rPr>
        <w:t>742.</w:t>
      </w:r>
    </w:p>
    <w:p w:rsidR="00FE4263" w:rsidRPr="00D97DA5" w:rsidRDefault="00FE4263" w:rsidP="00FE0361">
      <w:pPr>
        <w:keepLines/>
        <w:rPr>
          <w:rFonts w:ascii="Arial" w:hAnsi="Arial" w:cs="Arial"/>
        </w:rPr>
      </w:pPr>
      <w:r w:rsidRPr="00D97DA5">
        <w:rPr>
          <w:rFonts w:ascii="Arial" w:hAnsi="Arial" w:cs="Arial"/>
        </w:rPr>
        <w:t>PRC (2001</w:t>
      </w:r>
      <w:r w:rsidR="0025673F" w:rsidRPr="00D97DA5">
        <w:rPr>
          <w:rFonts w:ascii="Arial" w:hAnsi="Arial" w:cs="Arial"/>
        </w:rPr>
        <w:t>a</w:t>
      </w:r>
      <w:r w:rsidR="00FE0361" w:rsidRPr="00D97DA5">
        <w:rPr>
          <w:rFonts w:ascii="Arial" w:hAnsi="Arial" w:cs="Arial"/>
        </w:rPr>
        <w:t>),</w:t>
      </w:r>
      <w:r w:rsidRPr="00D97DA5">
        <w:rPr>
          <w:rFonts w:ascii="Arial" w:hAnsi="Arial" w:cs="Arial"/>
        </w:rPr>
        <w:t xml:space="preserve"> </w:t>
      </w:r>
      <w:r w:rsidRPr="009A0717">
        <w:rPr>
          <w:rFonts w:ascii="Arial" w:hAnsi="Arial" w:cs="Arial"/>
          <w:i/>
        </w:rPr>
        <w:t>National Environment Protection (Ambient Air Quality) Measure – Technical Paper No. 3 – Monitoring Strategy</w:t>
      </w:r>
      <w:r w:rsidRPr="00D97DA5">
        <w:rPr>
          <w:rFonts w:ascii="Arial" w:hAnsi="Arial" w:cs="Arial"/>
        </w:rPr>
        <w:t xml:space="preserve">, </w:t>
      </w:r>
      <w:r w:rsidR="00086A5A" w:rsidRPr="00D97DA5">
        <w:rPr>
          <w:rFonts w:ascii="Arial" w:hAnsi="Arial" w:cs="Arial"/>
        </w:rPr>
        <w:t>p</w:t>
      </w:r>
      <w:r w:rsidRPr="00D97DA5">
        <w:rPr>
          <w:rFonts w:ascii="Arial" w:hAnsi="Arial" w:cs="Arial"/>
        </w:rPr>
        <w:t>repared by the Peer Review Committee (PRC) for the National Environment Protection Council (NEPC)</w:t>
      </w:r>
      <w:r w:rsidR="00086A5A" w:rsidRPr="00D97DA5">
        <w:rPr>
          <w:rFonts w:ascii="Arial" w:hAnsi="Arial" w:cs="Arial"/>
        </w:rPr>
        <w:t>, Canberra, ACT</w:t>
      </w:r>
      <w:r w:rsidRPr="00D97DA5">
        <w:rPr>
          <w:rFonts w:ascii="Arial" w:hAnsi="Arial" w:cs="Arial"/>
        </w:rPr>
        <w:t>.</w:t>
      </w:r>
    </w:p>
    <w:p w:rsidR="00640540" w:rsidRPr="00D97DA5" w:rsidRDefault="00640540" w:rsidP="002A2116">
      <w:pPr>
        <w:keepLines/>
        <w:rPr>
          <w:rFonts w:ascii="Arial" w:hAnsi="Arial" w:cs="Arial"/>
        </w:rPr>
      </w:pPr>
      <w:r w:rsidRPr="00D97DA5">
        <w:rPr>
          <w:rFonts w:ascii="Arial" w:hAnsi="Arial" w:cs="Arial"/>
        </w:rPr>
        <w:t>PRC (2001b</w:t>
      </w:r>
      <w:r w:rsidRPr="009A0717">
        <w:rPr>
          <w:rFonts w:ascii="Arial" w:hAnsi="Arial" w:cs="Arial"/>
          <w:i/>
        </w:rPr>
        <w:t>), National Environment Protection (Ambient Air Quality) Measure – Technical Paper No. 5 – Data Collection and Handling</w:t>
      </w:r>
      <w:r w:rsidRPr="00D97DA5">
        <w:rPr>
          <w:rFonts w:ascii="Arial" w:hAnsi="Arial" w:cs="Arial"/>
        </w:rPr>
        <w:t>, prepared by the Peer Review Committee (PRC) for the National Environment Protection Council (NEPC), Canberra, ACT.</w:t>
      </w:r>
    </w:p>
    <w:p w:rsidR="00FE0361" w:rsidRPr="00D97DA5" w:rsidRDefault="00FE4263" w:rsidP="00FE0361">
      <w:pPr>
        <w:keepLines/>
        <w:rPr>
          <w:rFonts w:ascii="Arial" w:hAnsi="Arial" w:cs="Arial"/>
        </w:rPr>
      </w:pPr>
      <w:r w:rsidRPr="00D97DA5">
        <w:rPr>
          <w:rFonts w:ascii="Arial" w:hAnsi="Arial" w:cs="Arial"/>
        </w:rPr>
        <w:t>PRC (2001</w:t>
      </w:r>
      <w:r w:rsidR="00A172BE" w:rsidRPr="00D97DA5">
        <w:rPr>
          <w:rFonts w:ascii="Arial" w:hAnsi="Arial" w:cs="Arial"/>
        </w:rPr>
        <w:t>c</w:t>
      </w:r>
      <w:r w:rsidR="00FE0361" w:rsidRPr="00D97DA5">
        <w:rPr>
          <w:rFonts w:ascii="Arial" w:hAnsi="Arial" w:cs="Arial"/>
        </w:rPr>
        <w:t>),</w:t>
      </w:r>
      <w:r w:rsidRPr="00D97DA5">
        <w:rPr>
          <w:rFonts w:ascii="Arial" w:hAnsi="Arial" w:cs="Arial"/>
        </w:rPr>
        <w:t xml:space="preserve"> </w:t>
      </w:r>
      <w:r w:rsidRPr="009A0717">
        <w:rPr>
          <w:rFonts w:ascii="Arial" w:hAnsi="Arial" w:cs="Arial"/>
          <w:i/>
        </w:rPr>
        <w:t>National Environment Protection (Ambient Air Quality) Measure – Technical Paper No. 10 –Collection and Reporting of TEOM PM</w:t>
      </w:r>
      <w:r w:rsidRPr="009A0717">
        <w:rPr>
          <w:rFonts w:ascii="Arial" w:hAnsi="Arial" w:cs="Arial"/>
          <w:i/>
          <w:vertAlign w:val="subscript"/>
        </w:rPr>
        <w:t>10</w:t>
      </w:r>
      <w:r w:rsidRPr="009A0717">
        <w:rPr>
          <w:rFonts w:ascii="Arial" w:hAnsi="Arial" w:cs="Arial"/>
          <w:i/>
        </w:rPr>
        <w:t xml:space="preserve"> Data</w:t>
      </w:r>
      <w:r w:rsidRPr="00D97DA5">
        <w:rPr>
          <w:rFonts w:ascii="Arial" w:hAnsi="Arial" w:cs="Arial"/>
        </w:rPr>
        <w:t xml:space="preserve">, </w:t>
      </w:r>
      <w:r w:rsidR="00086A5A" w:rsidRPr="00D97DA5">
        <w:rPr>
          <w:rFonts w:ascii="Arial" w:hAnsi="Arial" w:cs="Arial"/>
        </w:rPr>
        <w:t>p</w:t>
      </w:r>
      <w:r w:rsidRPr="00D97DA5">
        <w:rPr>
          <w:rFonts w:ascii="Arial" w:hAnsi="Arial" w:cs="Arial"/>
        </w:rPr>
        <w:t>repared by the Peer Review Committee (PRC) for the National Environment Protection Council (NEPC</w:t>
      </w:r>
      <w:r w:rsidR="00086A5A" w:rsidRPr="00D97DA5">
        <w:rPr>
          <w:rFonts w:ascii="Arial" w:hAnsi="Arial" w:cs="Arial"/>
        </w:rPr>
        <w:t>), Canberra, ACT</w:t>
      </w:r>
      <w:r w:rsidRPr="00D97DA5">
        <w:rPr>
          <w:rFonts w:ascii="Arial" w:hAnsi="Arial" w:cs="Arial"/>
        </w:rPr>
        <w:t>.</w:t>
      </w:r>
    </w:p>
    <w:p w:rsidR="00FE0361" w:rsidRPr="00D97DA5" w:rsidRDefault="00617975" w:rsidP="00FE0361">
      <w:pPr>
        <w:keepLines/>
        <w:rPr>
          <w:rFonts w:ascii="Arial" w:hAnsi="Arial" w:cs="Arial"/>
        </w:rPr>
      </w:pPr>
      <w:r w:rsidRPr="00D97DA5">
        <w:rPr>
          <w:rFonts w:ascii="Arial" w:hAnsi="Arial" w:cs="Arial"/>
        </w:rPr>
        <w:t>Queensland Department of Environment and Resource Management (2010</w:t>
      </w:r>
      <w:r w:rsidR="00FE0361" w:rsidRPr="00D97DA5">
        <w:rPr>
          <w:rFonts w:ascii="Arial" w:hAnsi="Arial" w:cs="Arial"/>
        </w:rPr>
        <w:t>),</w:t>
      </w:r>
      <w:r w:rsidRPr="00D97DA5">
        <w:rPr>
          <w:rFonts w:ascii="Arial" w:hAnsi="Arial" w:cs="Arial"/>
        </w:rPr>
        <w:t xml:space="preserve"> </w:t>
      </w:r>
      <w:r w:rsidRPr="009A0717">
        <w:rPr>
          <w:rFonts w:ascii="Arial" w:hAnsi="Arial" w:cs="Arial"/>
          <w:i/>
        </w:rPr>
        <w:t>State planning policy 5/10: air, noise and hazardous materials</w:t>
      </w:r>
      <w:r w:rsidRPr="00D97DA5">
        <w:rPr>
          <w:rFonts w:ascii="Arial" w:hAnsi="Arial" w:cs="Arial"/>
        </w:rPr>
        <w:t xml:space="preserve">, Department of Environment and Resource Management, Brisbane, QLD, available at </w:t>
      </w:r>
      <w:hyperlink r:id="rId147" w:history="1">
        <w:r w:rsidRPr="00D97DA5">
          <w:rPr>
            <w:rFonts w:ascii="Arial" w:hAnsi="Arial" w:cs="Arial"/>
            <w:color w:val="0070C0"/>
          </w:rPr>
          <w:t>www.cabinet.qld.gov.au/documents/2010/oct/spp%20air-noise%20and%20hazardous%20materials/Attachments/air-noise-hazard-policy%5B1%5D.pdf</w:t>
        </w:r>
      </w:hyperlink>
      <w:r w:rsidRPr="00D97DA5">
        <w:rPr>
          <w:rFonts w:ascii="Arial" w:hAnsi="Arial" w:cs="Arial"/>
        </w:rPr>
        <w:t>.</w:t>
      </w:r>
    </w:p>
    <w:p w:rsidR="00FE0361" w:rsidRPr="00D97DA5" w:rsidRDefault="00DF2FAF" w:rsidP="00FE0361">
      <w:pPr>
        <w:keepLines/>
        <w:rPr>
          <w:rFonts w:ascii="Arial" w:hAnsi="Arial" w:cs="Arial"/>
        </w:rPr>
      </w:pPr>
      <w:r w:rsidRPr="00D97DA5">
        <w:rPr>
          <w:rFonts w:ascii="Arial" w:hAnsi="Arial" w:cs="Arial"/>
        </w:rPr>
        <w:t>Queensland Government (2012</w:t>
      </w:r>
      <w:r w:rsidR="00FE0361" w:rsidRPr="00D97DA5">
        <w:rPr>
          <w:rFonts w:ascii="Arial" w:hAnsi="Arial" w:cs="Arial"/>
        </w:rPr>
        <w:t>),</w:t>
      </w:r>
      <w:r w:rsidRPr="00D97DA5">
        <w:rPr>
          <w:rFonts w:ascii="Arial" w:hAnsi="Arial" w:cs="Arial"/>
        </w:rPr>
        <w:t xml:space="preserve"> </w:t>
      </w:r>
      <w:r w:rsidRPr="009A0717">
        <w:rPr>
          <w:rFonts w:ascii="Arial" w:hAnsi="Arial" w:cs="Arial"/>
          <w:i/>
        </w:rPr>
        <w:t>Environmental Protection (Air) Policy 2008</w:t>
      </w:r>
      <w:r w:rsidRPr="00D97DA5">
        <w:rPr>
          <w:rFonts w:ascii="Arial" w:hAnsi="Arial" w:cs="Arial"/>
        </w:rPr>
        <w:t xml:space="preserve">, current as at 9 November 2012, Queensland Government, Brisbane, QLD, viewed November 2013, </w:t>
      </w:r>
      <w:hyperlink r:id="rId148" w:history="1">
        <w:r w:rsidRPr="00D97DA5">
          <w:rPr>
            <w:rFonts w:ascii="Arial" w:hAnsi="Arial" w:cs="Arial"/>
            <w:color w:val="0070C0"/>
          </w:rPr>
          <w:t>www.legislation.qld.gov.au/LEGISLTN/CURRENT/E/EnvProtAirPo08.pdf</w:t>
        </w:r>
      </w:hyperlink>
      <w:r w:rsidRPr="00D97DA5">
        <w:rPr>
          <w:rFonts w:ascii="Arial" w:hAnsi="Arial" w:cs="Arial"/>
        </w:rPr>
        <w:t>.</w:t>
      </w:r>
    </w:p>
    <w:p w:rsidR="00FE0361" w:rsidRPr="00D97DA5" w:rsidRDefault="001C34C3" w:rsidP="00FE0361">
      <w:pPr>
        <w:keepLines/>
        <w:rPr>
          <w:rFonts w:ascii="Arial" w:hAnsi="Arial" w:cs="Arial"/>
        </w:rPr>
      </w:pPr>
      <w:proofErr w:type="spellStart"/>
      <w:r w:rsidRPr="00D97DA5">
        <w:rPr>
          <w:rFonts w:ascii="Arial" w:hAnsi="Arial" w:cs="Arial"/>
        </w:rPr>
        <w:t>Reisen</w:t>
      </w:r>
      <w:proofErr w:type="spellEnd"/>
      <w:r w:rsidR="00086A5A" w:rsidRPr="00D97DA5">
        <w:rPr>
          <w:rFonts w:ascii="Arial" w:hAnsi="Arial" w:cs="Arial"/>
        </w:rPr>
        <w:t>,</w:t>
      </w:r>
      <w:r w:rsidRPr="00D97DA5">
        <w:rPr>
          <w:rFonts w:ascii="Arial" w:hAnsi="Arial" w:cs="Arial"/>
        </w:rPr>
        <w:t xml:space="preserve"> F, Meyer</w:t>
      </w:r>
      <w:r w:rsidR="00086A5A" w:rsidRPr="00D97DA5">
        <w:rPr>
          <w:rFonts w:ascii="Arial" w:hAnsi="Arial" w:cs="Arial"/>
        </w:rPr>
        <w:t>,</w:t>
      </w:r>
      <w:r w:rsidRPr="00D97DA5">
        <w:rPr>
          <w:rFonts w:ascii="Arial" w:hAnsi="Arial" w:cs="Arial"/>
        </w:rPr>
        <w:t xml:space="preserve"> CP, McCaw</w:t>
      </w:r>
      <w:r w:rsidR="00086A5A" w:rsidRPr="00D97DA5">
        <w:rPr>
          <w:rFonts w:ascii="Arial" w:hAnsi="Arial" w:cs="Arial"/>
        </w:rPr>
        <w:t>,</w:t>
      </w:r>
      <w:r w:rsidRPr="00D97DA5">
        <w:rPr>
          <w:rFonts w:ascii="Arial" w:hAnsi="Arial" w:cs="Arial"/>
        </w:rPr>
        <w:t xml:space="preserve"> L, Powell</w:t>
      </w:r>
      <w:r w:rsidR="00086A5A" w:rsidRPr="00D97DA5">
        <w:rPr>
          <w:rFonts w:ascii="Arial" w:hAnsi="Arial" w:cs="Arial"/>
        </w:rPr>
        <w:t>,</w:t>
      </w:r>
      <w:r w:rsidRPr="00D97DA5">
        <w:rPr>
          <w:rFonts w:ascii="Arial" w:hAnsi="Arial" w:cs="Arial"/>
        </w:rPr>
        <w:t xml:space="preserve"> JC, </w:t>
      </w:r>
      <w:proofErr w:type="spellStart"/>
      <w:r w:rsidRPr="00D97DA5">
        <w:rPr>
          <w:rFonts w:ascii="Arial" w:hAnsi="Arial" w:cs="Arial"/>
        </w:rPr>
        <w:t>Tolhurst</w:t>
      </w:r>
      <w:proofErr w:type="spellEnd"/>
      <w:r w:rsidR="00086A5A" w:rsidRPr="00D97DA5">
        <w:rPr>
          <w:rFonts w:ascii="Arial" w:hAnsi="Arial" w:cs="Arial"/>
        </w:rPr>
        <w:t>,</w:t>
      </w:r>
      <w:r w:rsidRPr="00D97DA5">
        <w:rPr>
          <w:rFonts w:ascii="Arial" w:hAnsi="Arial" w:cs="Arial"/>
        </w:rPr>
        <w:t xml:space="preserve"> K, </w:t>
      </w:r>
      <w:proofErr w:type="spellStart"/>
      <w:r w:rsidRPr="00D97DA5">
        <w:rPr>
          <w:rFonts w:ascii="Arial" w:hAnsi="Arial" w:cs="Arial"/>
        </w:rPr>
        <w:t>Keywood</w:t>
      </w:r>
      <w:proofErr w:type="spellEnd"/>
      <w:r w:rsidR="00086A5A" w:rsidRPr="00D97DA5">
        <w:rPr>
          <w:rFonts w:ascii="Arial" w:hAnsi="Arial" w:cs="Arial"/>
        </w:rPr>
        <w:t>,</w:t>
      </w:r>
      <w:r w:rsidRPr="00D97DA5">
        <w:rPr>
          <w:rFonts w:ascii="Arial" w:hAnsi="Arial" w:cs="Arial"/>
        </w:rPr>
        <w:t xml:space="preserve"> MD and Gras</w:t>
      </w:r>
      <w:r w:rsidR="00086A5A" w:rsidRPr="00D97DA5">
        <w:rPr>
          <w:rFonts w:ascii="Arial" w:hAnsi="Arial" w:cs="Arial"/>
        </w:rPr>
        <w:t>,</w:t>
      </w:r>
      <w:r w:rsidRPr="00D97DA5">
        <w:rPr>
          <w:rFonts w:ascii="Arial" w:hAnsi="Arial" w:cs="Arial"/>
        </w:rPr>
        <w:t xml:space="preserve"> JL (2011</w:t>
      </w:r>
      <w:r w:rsidR="00FE0361" w:rsidRPr="00D97DA5">
        <w:rPr>
          <w:rFonts w:ascii="Arial" w:hAnsi="Arial" w:cs="Arial"/>
        </w:rPr>
        <w:t>),</w:t>
      </w:r>
      <w:r w:rsidRPr="00D97DA5">
        <w:rPr>
          <w:rFonts w:ascii="Arial" w:hAnsi="Arial" w:cs="Arial"/>
        </w:rPr>
        <w:t xml:space="preserve"> </w:t>
      </w:r>
      <w:r w:rsidR="00086A5A" w:rsidRPr="00D97DA5">
        <w:rPr>
          <w:rFonts w:ascii="Arial" w:hAnsi="Arial" w:cs="Arial"/>
        </w:rPr>
        <w:t>‘</w:t>
      </w:r>
      <w:r w:rsidRPr="00D97DA5">
        <w:rPr>
          <w:rFonts w:ascii="Arial" w:hAnsi="Arial" w:cs="Arial"/>
        </w:rPr>
        <w:t>Impact of smoke from biomass burning on air quality in rural communities in southern Australia</w:t>
      </w:r>
      <w:r w:rsidR="00086A5A" w:rsidRPr="00D97DA5">
        <w:rPr>
          <w:rFonts w:ascii="Arial" w:hAnsi="Arial" w:cs="Arial"/>
        </w:rPr>
        <w:t>’</w:t>
      </w:r>
      <w:r w:rsidR="00881CDB" w:rsidRPr="00D97DA5">
        <w:rPr>
          <w:rFonts w:ascii="Arial" w:hAnsi="Arial" w:cs="Arial"/>
        </w:rPr>
        <w:t>,</w:t>
      </w:r>
      <w:r w:rsidRPr="00D97DA5">
        <w:rPr>
          <w:rFonts w:ascii="Arial" w:hAnsi="Arial" w:cs="Arial"/>
        </w:rPr>
        <w:t xml:space="preserve"> </w:t>
      </w:r>
      <w:r w:rsidRPr="009A0717">
        <w:rPr>
          <w:rFonts w:ascii="Arial" w:hAnsi="Arial" w:cs="Arial"/>
          <w:i/>
        </w:rPr>
        <w:t>Atmospheric Environment</w:t>
      </w:r>
      <w:r w:rsidRPr="00D97DA5">
        <w:rPr>
          <w:rFonts w:ascii="Arial" w:hAnsi="Arial" w:cs="Arial"/>
        </w:rPr>
        <w:t xml:space="preserve">, </w:t>
      </w:r>
      <w:r w:rsidR="00086A5A" w:rsidRPr="00D97DA5">
        <w:rPr>
          <w:rFonts w:ascii="Arial" w:hAnsi="Arial" w:cs="Arial"/>
        </w:rPr>
        <w:t>v</w:t>
      </w:r>
      <w:r w:rsidRPr="00D97DA5">
        <w:rPr>
          <w:rFonts w:ascii="Arial" w:hAnsi="Arial" w:cs="Arial"/>
        </w:rPr>
        <w:t>ol. 45, pp. 3944</w:t>
      </w:r>
      <w:r w:rsidR="00086A5A" w:rsidRPr="00D97DA5">
        <w:rPr>
          <w:rFonts w:ascii="Arial" w:hAnsi="Arial" w:cs="Arial"/>
        </w:rPr>
        <w:t>–</w:t>
      </w:r>
      <w:r w:rsidRPr="00D97DA5">
        <w:rPr>
          <w:rFonts w:ascii="Arial" w:hAnsi="Arial" w:cs="Arial"/>
        </w:rPr>
        <w:t>3953.</w:t>
      </w:r>
    </w:p>
    <w:p w:rsidR="00FE0361" w:rsidRPr="00D97DA5" w:rsidRDefault="00FC3D42" w:rsidP="00FE0361">
      <w:pPr>
        <w:keepLines/>
        <w:rPr>
          <w:rFonts w:ascii="Arial" w:hAnsi="Arial" w:cs="Arial"/>
        </w:rPr>
      </w:pPr>
      <w:r w:rsidRPr="00D97DA5">
        <w:rPr>
          <w:rFonts w:ascii="Arial" w:hAnsi="Arial" w:cs="Arial"/>
        </w:rPr>
        <w:t>SEC (2011</w:t>
      </w:r>
      <w:r w:rsidR="00FE0361" w:rsidRPr="00D97DA5">
        <w:rPr>
          <w:rFonts w:ascii="Arial" w:hAnsi="Arial" w:cs="Arial"/>
        </w:rPr>
        <w:t>),</w:t>
      </w:r>
      <w:r w:rsidRPr="00D97DA5">
        <w:rPr>
          <w:rFonts w:ascii="Arial" w:hAnsi="Arial" w:cs="Arial"/>
        </w:rPr>
        <w:t xml:space="preserve"> </w:t>
      </w:r>
      <w:r w:rsidRPr="009A0717">
        <w:rPr>
          <w:rFonts w:ascii="Arial" w:hAnsi="Arial" w:cs="Arial"/>
          <w:i/>
        </w:rPr>
        <w:t>Australia state of the environment 2011</w:t>
      </w:r>
      <w:r w:rsidR="00881CDB" w:rsidRPr="00D97DA5">
        <w:rPr>
          <w:rFonts w:ascii="Arial" w:hAnsi="Arial" w:cs="Arial"/>
        </w:rPr>
        <w:t>,</w:t>
      </w:r>
      <w:r w:rsidRPr="00D97DA5">
        <w:rPr>
          <w:rFonts w:ascii="Arial" w:hAnsi="Arial" w:cs="Arial"/>
        </w:rPr>
        <w:t xml:space="preserve"> </w:t>
      </w:r>
      <w:r w:rsidR="00086A5A" w:rsidRPr="00D97DA5">
        <w:rPr>
          <w:rFonts w:ascii="Arial" w:hAnsi="Arial" w:cs="Arial"/>
        </w:rPr>
        <w:t>i</w:t>
      </w:r>
      <w:r w:rsidRPr="00D97DA5">
        <w:rPr>
          <w:rFonts w:ascii="Arial" w:hAnsi="Arial" w:cs="Arial"/>
        </w:rPr>
        <w:t>ndependent report by the State of the Environment 2011 Committee to the Australian Government Minister for Sustainability, Environment, Water, Population and Communities</w:t>
      </w:r>
      <w:r w:rsidR="00881CDB" w:rsidRPr="00D97DA5">
        <w:rPr>
          <w:rFonts w:ascii="Arial" w:hAnsi="Arial" w:cs="Arial"/>
        </w:rPr>
        <w:t>,</w:t>
      </w:r>
      <w:r w:rsidRPr="00D97DA5">
        <w:rPr>
          <w:rFonts w:ascii="Arial" w:hAnsi="Arial" w:cs="Arial"/>
        </w:rPr>
        <w:t xml:space="preserve"> Canberra</w:t>
      </w:r>
      <w:r w:rsidR="00086A5A" w:rsidRPr="00D97DA5">
        <w:rPr>
          <w:rFonts w:ascii="Arial" w:hAnsi="Arial" w:cs="Arial"/>
        </w:rPr>
        <w:t>, ACT</w:t>
      </w:r>
      <w:r w:rsidRPr="00D97DA5">
        <w:rPr>
          <w:rFonts w:ascii="Arial" w:hAnsi="Arial" w:cs="Arial"/>
        </w:rPr>
        <w:t>.</w:t>
      </w:r>
    </w:p>
    <w:p w:rsidR="00FE0361" w:rsidRPr="00D97DA5" w:rsidRDefault="00DB5D5F" w:rsidP="00FE0361">
      <w:pPr>
        <w:keepLines/>
        <w:rPr>
          <w:rFonts w:ascii="Arial" w:hAnsi="Arial" w:cs="Arial"/>
        </w:rPr>
      </w:pPr>
      <w:r w:rsidRPr="00D97DA5">
        <w:rPr>
          <w:rFonts w:ascii="Arial" w:hAnsi="Arial" w:cs="Arial"/>
        </w:rPr>
        <w:t>UNECE (1979</w:t>
      </w:r>
      <w:r w:rsidR="00FE0361" w:rsidRPr="00D97DA5">
        <w:rPr>
          <w:rFonts w:ascii="Arial" w:hAnsi="Arial" w:cs="Arial"/>
        </w:rPr>
        <w:t>),</w:t>
      </w:r>
      <w:r w:rsidRPr="00D97DA5">
        <w:rPr>
          <w:rFonts w:ascii="Arial" w:hAnsi="Arial" w:cs="Arial"/>
        </w:rPr>
        <w:t xml:space="preserve"> </w:t>
      </w:r>
      <w:r w:rsidRPr="009A0717">
        <w:rPr>
          <w:rFonts w:ascii="Arial" w:hAnsi="Arial" w:cs="Arial"/>
          <w:i/>
        </w:rPr>
        <w:t>Convention on Long-ran</w:t>
      </w:r>
      <w:r w:rsidR="00047EEE" w:rsidRPr="009A0717">
        <w:rPr>
          <w:rFonts w:ascii="Arial" w:hAnsi="Arial" w:cs="Arial"/>
          <w:i/>
        </w:rPr>
        <w:t xml:space="preserve">ge </w:t>
      </w:r>
      <w:proofErr w:type="spellStart"/>
      <w:r w:rsidR="00047EEE" w:rsidRPr="009A0717">
        <w:rPr>
          <w:rFonts w:ascii="Arial" w:hAnsi="Arial" w:cs="Arial"/>
          <w:i/>
        </w:rPr>
        <w:t>Transboundary</w:t>
      </w:r>
      <w:proofErr w:type="spellEnd"/>
      <w:r w:rsidR="00047EEE" w:rsidRPr="009A0717">
        <w:rPr>
          <w:rFonts w:ascii="Arial" w:hAnsi="Arial" w:cs="Arial"/>
          <w:i/>
        </w:rPr>
        <w:t xml:space="preserve"> Air Pollution</w:t>
      </w:r>
      <w:r w:rsidR="00881CDB" w:rsidRPr="00D97DA5">
        <w:rPr>
          <w:rFonts w:ascii="Arial" w:hAnsi="Arial" w:cs="Arial"/>
        </w:rPr>
        <w:t>,</w:t>
      </w:r>
      <w:r w:rsidRPr="00D97DA5">
        <w:rPr>
          <w:rFonts w:ascii="Arial" w:hAnsi="Arial" w:cs="Arial"/>
        </w:rPr>
        <w:t xml:space="preserve"> </w:t>
      </w:r>
      <w:r w:rsidR="00086A5A" w:rsidRPr="00D97DA5">
        <w:rPr>
          <w:rFonts w:ascii="Arial" w:hAnsi="Arial" w:cs="Arial"/>
        </w:rPr>
        <w:t xml:space="preserve">United Nations Economic Commission for Europe, Geneva, Switzerland, </w:t>
      </w:r>
      <w:hyperlink r:id="rId149" w:history="1">
        <w:r w:rsidR="00F73565" w:rsidRPr="00D97DA5">
          <w:rPr>
            <w:rFonts w:ascii="Arial" w:hAnsi="Arial" w:cs="Arial"/>
            <w:color w:val="0070C0"/>
          </w:rPr>
          <w:t>www.unece.org/env/lrtap/lrtap_h1.html</w:t>
        </w:r>
      </w:hyperlink>
    </w:p>
    <w:p w:rsidR="00FE0361" w:rsidRPr="00D97DA5" w:rsidRDefault="00DB5D5F" w:rsidP="00FE0361">
      <w:pPr>
        <w:keepLines/>
        <w:rPr>
          <w:rFonts w:ascii="Arial" w:hAnsi="Arial" w:cs="Arial"/>
        </w:rPr>
      </w:pPr>
      <w:r w:rsidRPr="00D97DA5">
        <w:rPr>
          <w:rFonts w:ascii="Arial" w:hAnsi="Arial" w:cs="Arial"/>
        </w:rPr>
        <w:t>UNECE (2005</w:t>
      </w:r>
      <w:r w:rsidR="00FE0361" w:rsidRPr="00D97DA5">
        <w:rPr>
          <w:rFonts w:ascii="Arial" w:hAnsi="Arial" w:cs="Arial"/>
        </w:rPr>
        <w:t>),</w:t>
      </w:r>
      <w:r w:rsidRPr="00D97DA5">
        <w:rPr>
          <w:rFonts w:ascii="Arial" w:hAnsi="Arial" w:cs="Arial"/>
        </w:rPr>
        <w:t xml:space="preserve"> </w:t>
      </w:r>
      <w:r w:rsidRPr="009A0717">
        <w:rPr>
          <w:rFonts w:ascii="Arial" w:hAnsi="Arial" w:cs="Arial"/>
          <w:i/>
        </w:rPr>
        <w:t xml:space="preserve">Protocol to the 1979 Convention on Long-range </w:t>
      </w:r>
      <w:proofErr w:type="spellStart"/>
      <w:r w:rsidRPr="009A0717">
        <w:rPr>
          <w:rFonts w:ascii="Arial" w:hAnsi="Arial" w:cs="Arial"/>
          <w:i/>
        </w:rPr>
        <w:t>Transboundary</w:t>
      </w:r>
      <w:proofErr w:type="spellEnd"/>
      <w:r w:rsidRPr="009A0717">
        <w:rPr>
          <w:rFonts w:ascii="Arial" w:hAnsi="Arial" w:cs="Arial"/>
          <w:i/>
        </w:rPr>
        <w:t xml:space="preserve"> Air Pollution to Aba</w:t>
      </w:r>
      <w:r w:rsidR="00975991" w:rsidRPr="009A0717">
        <w:rPr>
          <w:rFonts w:ascii="Arial" w:hAnsi="Arial" w:cs="Arial"/>
          <w:i/>
        </w:rPr>
        <w:t>te Acidification</w:t>
      </w:r>
      <w:r w:rsidRPr="009A0717">
        <w:rPr>
          <w:rFonts w:ascii="Arial" w:hAnsi="Arial" w:cs="Arial"/>
          <w:i/>
        </w:rPr>
        <w:t>, Eutrophication and Ground-Level Ozone</w:t>
      </w:r>
      <w:r w:rsidR="00881CDB" w:rsidRPr="00D97DA5">
        <w:rPr>
          <w:rFonts w:ascii="Arial" w:hAnsi="Arial" w:cs="Arial"/>
        </w:rPr>
        <w:t>,</w:t>
      </w:r>
      <w:r w:rsidR="00086A5A" w:rsidRPr="00D97DA5">
        <w:rPr>
          <w:rFonts w:ascii="Arial" w:hAnsi="Arial" w:cs="Arial"/>
        </w:rPr>
        <w:t xml:space="preserve"> United Nations Economic Commission for Europe, Geneva, Switzerland,</w:t>
      </w:r>
      <w:r w:rsidRPr="00D97DA5">
        <w:rPr>
          <w:rFonts w:ascii="Arial" w:hAnsi="Arial" w:cs="Arial"/>
        </w:rPr>
        <w:t xml:space="preserve"> </w:t>
      </w:r>
      <w:hyperlink r:id="rId150" w:history="1">
        <w:r w:rsidR="00F73565" w:rsidRPr="00D97DA5">
          <w:rPr>
            <w:rFonts w:ascii="Arial" w:hAnsi="Arial" w:cs="Arial"/>
            <w:color w:val="0070C0"/>
          </w:rPr>
          <w:t>www.unece.org/env/lrtap/multi_h1.html</w:t>
        </w:r>
      </w:hyperlink>
    </w:p>
    <w:p w:rsidR="00FE0361" w:rsidRPr="00D97DA5" w:rsidRDefault="009965D6" w:rsidP="00FE0361">
      <w:pPr>
        <w:keepLines/>
        <w:rPr>
          <w:rFonts w:ascii="Arial" w:hAnsi="Arial" w:cs="Arial"/>
        </w:rPr>
      </w:pPr>
      <w:r w:rsidRPr="00D97DA5">
        <w:rPr>
          <w:rFonts w:ascii="Arial" w:hAnsi="Arial" w:cs="Arial"/>
        </w:rPr>
        <w:t>USEPA (2009</w:t>
      </w:r>
      <w:r w:rsidR="00FE0361" w:rsidRPr="00D97DA5">
        <w:rPr>
          <w:rFonts w:ascii="Arial" w:hAnsi="Arial" w:cs="Arial"/>
        </w:rPr>
        <w:t>),</w:t>
      </w:r>
      <w:r w:rsidRPr="00D97DA5">
        <w:rPr>
          <w:rFonts w:ascii="Arial" w:hAnsi="Arial" w:cs="Arial"/>
        </w:rPr>
        <w:t xml:space="preserve"> </w:t>
      </w:r>
      <w:r w:rsidRPr="009A0717">
        <w:rPr>
          <w:rFonts w:ascii="Arial" w:hAnsi="Arial" w:cs="Arial"/>
          <w:i/>
        </w:rPr>
        <w:t>Integrated Science Assessment for Particulate Matter</w:t>
      </w:r>
      <w:r w:rsidR="00881CDB" w:rsidRPr="00D97DA5">
        <w:rPr>
          <w:rFonts w:ascii="Arial" w:hAnsi="Arial" w:cs="Arial"/>
        </w:rPr>
        <w:t>,</w:t>
      </w:r>
      <w:r w:rsidRPr="00D97DA5">
        <w:rPr>
          <w:rFonts w:ascii="Arial" w:hAnsi="Arial" w:cs="Arial"/>
        </w:rPr>
        <w:t xml:space="preserve"> EPA/600/R-08/139F</w:t>
      </w:r>
      <w:r w:rsidR="00881CDB" w:rsidRPr="00D97DA5">
        <w:rPr>
          <w:rFonts w:ascii="Arial" w:hAnsi="Arial" w:cs="Arial"/>
        </w:rPr>
        <w:t>,</w:t>
      </w:r>
      <w:r w:rsidRPr="00D97DA5">
        <w:rPr>
          <w:rFonts w:ascii="Arial" w:hAnsi="Arial" w:cs="Arial"/>
        </w:rPr>
        <w:t xml:space="preserve"> United States Environmental Protection Agency, Research Triangle Park, NC</w:t>
      </w:r>
      <w:r w:rsidR="00881CDB" w:rsidRPr="00D97DA5">
        <w:rPr>
          <w:rFonts w:ascii="Arial" w:hAnsi="Arial" w:cs="Arial"/>
        </w:rPr>
        <w:t>,</w:t>
      </w:r>
      <w:r w:rsidRPr="00D97DA5">
        <w:rPr>
          <w:rFonts w:ascii="Arial" w:hAnsi="Arial" w:cs="Arial"/>
        </w:rPr>
        <w:t xml:space="preserve"> </w:t>
      </w:r>
      <w:r w:rsidR="00086A5A" w:rsidRPr="00D97DA5">
        <w:rPr>
          <w:rFonts w:ascii="Arial" w:hAnsi="Arial" w:cs="Arial"/>
        </w:rPr>
        <w:t xml:space="preserve">USA, </w:t>
      </w:r>
      <w:r w:rsidRPr="00D97DA5">
        <w:rPr>
          <w:rFonts w:ascii="Arial" w:hAnsi="Arial" w:cs="Arial"/>
          <w:color w:val="0070C0"/>
        </w:rPr>
        <w:t>http://cfpub.epa.gov/ncea/cfm/recordisplay.cfm?deid=216546</w:t>
      </w:r>
    </w:p>
    <w:p w:rsidR="00FE0361" w:rsidRPr="00D97DA5" w:rsidRDefault="006F2547" w:rsidP="00FE0361">
      <w:pPr>
        <w:keepLines/>
        <w:rPr>
          <w:rStyle w:val="Hyperlink"/>
          <w:rFonts w:ascii="Arial" w:hAnsi="Arial" w:cs="Arial"/>
          <w:color w:val="0070C0"/>
        </w:rPr>
      </w:pPr>
      <w:r w:rsidRPr="00D97DA5">
        <w:rPr>
          <w:rStyle w:val="Hyperlink"/>
          <w:rFonts w:ascii="Arial" w:hAnsi="Arial" w:cs="Arial"/>
        </w:rPr>
        <w:lastRenderedPageBreak/>
        <w:t>USEPA (2010</w:t>
      </w:r>
      <w:r w:rsidR="00FE0361" w:rsidRPr="00D97DA5">
        <w:rPr>
          <w:rStyle w:val="Hyperlink"/>
          <w:rFonts w:ascii="Arial" w:hAnsi="Arial" w:cs="Arial"/>
        </w:rPr>
        <w:t>),</w:t>
      </w:r>
      <w:r w:rsidRPr="00D97DA5">
        <w:rPr>
          <w:rStyle w:val="Hyperlink"/>
          <w:rFonts w:ascii="Arial" w:hAnsi="Arial" w:cs="Arial"/>
        </w:rPr>
        <w:t xml:space="preserve"> </w:t>
      </w:r>
      <w:r w:rsidR="003E79C1" w:rsidRPr="009A0717">
        <w:rPr>
          <w:rStyle w:val="Hyperlink"/>
          <w:rFonts w:ascii="Arial" w:hAnsi="Arial" w:cs="Arial"/>
          <w:i/>
        </w:rPr>
        <w:t xml:space="preserve">Quantitative Health Risk Assessment for Particulate Matter </w:t>
      </w:r>
      <w:r w:rsidR="00086A5A" w:rsidRPr="009A0717">
        <w:rPr>
          <w:rStyle w:val="Hyperlink"/>
          <w:rFonts w:ascii="Arial" w:hAnsi="Arial" w:cs="Arial"/>
          <w:i/>
        </w:rPr>
        <w:t>–</w:t>
      </w:r>
      <w:r w:rsidR="003E79C1" w:rsidRPr="009A0717">
        <w:rPr>
          <w:rStyle w:val="Hyperlink"/>
          <w:rFonts w:ascii="Arial" w:hAnsi="Arial" w:cs="Arial"/>
          <w:i/>
        </w:rPr>
        <w:t xml:space="preserve"> Final Report</w:t>
      </w:r>
      <w:r w:rsidR="00881CDB" w:rsidRPr="00D97DA5">
        <w:rPr>
          <w:rStyle w:val="Hyperlink"/>
          <w:rFonts w:ascii="Arial" w:hAnsi="Arial" w:cs="Arial"/>
        </w:rPr>
        <w:t>,</w:t>
      </w:r>
      <w:r w:rsidR="003E79C1" w:rsidRPr="00D97DA5">
        <w:rPr>
          <w:rStyle w:val="Hyperlink"/>
          <w:rFonts w:ascii="Arial" w:hAnsi="Arial" w:cs="Arial"/>
        </w:rPr>
        <w:t xml:space="preserve"> Office of Air Quality Planning and Standards, US Environmental Protection Agency, Research Triangle Park, NC</w:t>
      </w:r>
      <w:r w:rsidR="00881CDB" w:rsidRPr="00D97DA5">
        <w:rPr>
          <w:rStyle w:val="Hyperlink"/>
          <w:rFonts w:ascii="Arial" w:hAnsi="Arial" w:cs="Arial"/>
        </w:rPr>
        <w:t>,</w:t>
      </w:r>
      <w:r w:rsidR="00FE0361" w:rsidRPr="00D97DA5">
        <w:rPr>
          <w:rFonts w:ascii="Arial" w:hAnsi="Arial" w:cs="Arial"/>
        </w:rPr>
        <w:t xml:space="preserve"> </w:t>
      </w:r>
      <w:r w:rsidR="00086A5A" w:rsidRPr="00D97DA5">
        <w:rPr>
          <w:rFonts w:ascii="Arial" w:hAnsi="Arial" w:cs="Arial"/>
        </w:rPr>
        <w:t xml:space="preserve">USA, </w:t>
      </w:r>
      <w:hyperlink r:id="rId151" w:history="1">
        <w:r w:rsidR="00F73565" w:rsidRPr="00D97DA5">
          <w:rPr>
            <w:rFonts w:ascii="Arial" w:hAnsi="Arial" w:cs="Arial"/>
            <w:color w:val="0070C0"/>
          </w:rPr>
          <w:t>www.epa.gov/ttn/naaqs/standards/pm/s_pm_2007_risk.html</w:t>
        </w:r>
      </w:hyperlink>
    </w:p>
    <w:p w:rsidR="00FE0361" w:rsidRPr="00D97DA5" w:rsidRDefault="00AE4268" w:rsidP="00FE0361">
      <w:pPr>
        <w:keepLines/>
        <w:ind w:right="-2"/>
        <w:rPr>
          <w:rStyle w:val="Hyperlink"/>
          <w:rFonts w:ascii="Arial" w:hAnsi="Arial" w:cs="Arial"/>
        </w:rPr>
      </w:pPr>
      <w:r w:rsidRPr="00D97DA5">
        <w:rPr>
          <w:rStyle w:val="Hyperlink"/>
          <w:rFonts w:ascii="Arial" w:hAnsi="Arial" w:cs="Arial"/>
        </w:rPr>
        <w:t>USEPA (2011</w:t>
      </w:r>
      <w:r w:rsidR="00FE0361" w:rsidRPr="00D97DA5">
        <w:rPr>
          <w:rStyle w:val="Hyperlink"/>
          <w:rFonts w:ascii="Arial" w:hAnsi="Arial" w:cs="Arial"/>
        </w:rPr>
        <w:t>),</w:t>
      </w:r>
      <w:r w:rsidRPr="00D97DA5">
        <w:rPr>
          <w:rStyle w:val="Hyperlink"/>
          <w:rFonts w:ascii="Arial" w:hAnsi="Arial" w:cs="Arial"/>
        </w:rPr>
        <w:t xml:space="preserve"> </w:t>
      </w:r>
      <w:r w:rsidRPr="009A0717">
        <w:rPr>
          <w:rStyle w:val="Hyperlink"/>
          <w:rFonts w:ascii="Arial" w:hAnsi="Arial" w:cs="Arial"/>
          <w:i/>
        </w:rPr>
        <w:t>Policy Assessment for the Review of the Particulate Matter National Ambient Air Quality Standards</w:t>
      </w:r>
      <w:r w:rsidR="00881CDB" w:rsidRPr="00D97DA5">
        <w:rPr>
          <w:rStyle w:val="Hyperlink"/>
          <w:rFonts w:ascii="Arial" w:hAnsi="Arial" w:cs="Arial"/>
        </w:rPr>
        <w:t>,</w:t>
      </w:r>
      <w:r w:rsidRPr="00D97DA5">
        <w:rPr>
          <w:rStyle w:val="Hyperlink"/>
          <w:rFonts w:ascii="Arial" w:hAnsi="Arial" w:cs="Arial"/>
        </w:rPr>
        <w:t xml:space="preserve"> EPA 452/R-11-003</w:t>
      </w:r>
      <w:r w:rsidR="00881CDB" w:rsidRPr="00D97DA5">
        <w:rPr>
          <w:rStyle w:val="Hyperlink"/>
          <w:rFonts w:ascii="Arial" w:hAnsi="Arial" w:cs="Arial"/>
        </w:rPr>
        <w:t>,</w:t>
      </w:r>
      <w:r w:rsidRPr="00D97DA5">
        <w:rPr>
          <w:rStyle w:val="Hyperlink"/>
          <w:rFonts w:ascii="Arial" w:hAnsi="Arial" w:cs="Arial"/>
        </w:rPr>
        <w:t xml:space="preserve"> </w:t>
      </w:r>
      <w:r w:rsidRPr="00D97DA5">
        <w:rPr>
          <w:rFonts w:ascii="Arial" w:hAnsi="Arial" w:cs="Arial"/>
        </w:rPr>
        <w:t>United States Environmental Protection Agency, Research Triangle Park, NC</w:t>
      </w:r>
      <w:r w:rsidR="00F73565" w:rsidRPr="00D97DA5">
        <w:rPr>
          <w:rFonts w:ascii="Arial" w:hAnsi="Arial" w:cs="Arial"/>
        </w:rPr>
        <w:t>, USA,</w:t>
      </w:r>
      <w:r w:rsidRPr="00D97DA5">
        <w:rPr>
          <w:rStyle w:val="Hyperlink"/>
          <w:rFonts w:ascii="Arial" w:hAnsi="Arial" w:cs="Arial"/>
          <w:color w:val="0070C0"/>
        </w:rPr>
        <w:t xml:space="preserve"> </w:t>
      </w:r>
      <w:hyperlink r:id="rId152" w:history="1">
        <w:r w:rsidR="00F73565" w:rsidRPr="00D97DA5">
          <w:rPr>
            <w:rFonts w:ascii="Arial" w:hAnsi="Arial" w:cs="Arial"/>
            <w:color w:val="0070C0"/>
          </w:rPr>
          <w:t>www.epa.gov/ttn/naaqs/standards/pm/data/20110419pmpafinal.pdf</w:t>
        </w:r>
      </w:hyperlink>
    </w:p>
    <w:p w:rsidR="00FE0361" w:rsidRPr="00D97DA5" w:rsidRDefault="00BF7695" w:rsidP="00FE0361">
      <w:pPr>
        <w:keepLines/>
        <w:ind w:right="-2"/>
        <w:rPr>
          <w:rFonts w:ascii="Arial" w:hAnsi="Arial" w:cs="Arial"/>
        </w:rPr>
      </w:pPr>
      <w:r w:rsidRPr="00D97DA5">
        <w:rPr>
          <w:rStyle w:val="Hyperlink"/>
          <w:rFonts w:ascii="Arial" w:hAnsi="Arial" w:cs="Arial"/>
        </w:rPr>
        <w:t>USEPA (2013</w:t>
      </w:r>
      <w:r w:rsidR="00FE0361" w:rsidRPr="00D97DA5">
        <w:rPr>
          <w:rStyle w:val="Hyperlink"/>
          <w:rFonts w:ascii="Arial" w:hAnsi="Arial" w:cs="Arial"/>
        </w:rPr>
        <w:t>),</w:t>
      </w:r>
      <w:r w:rsidRPr="00D97DA5">
        <w:rPr>
          <w:rStyle w:val="Hyperlink"/>
          <w:rFonts w:ascii="Arial" w:hAnsi="Arial" w:cs="Arial"/>
        </w:rPr>
        <w:t xml:space="preserve"> Federal Register, </w:t>
      </w:r>
      <w:r w:rsidR="00086A5A" w:rsidRPr="00D97DA5">
        <w:rPr>
          <w:rStyle w:val="Hyperlink"/>
          <w:rFonts w:ascii="Arial" w:hAnsi="Arial" w:cs="Arial"/>
        </w:rPr>
        <w:t>v</w:t>
      </w:r>
      <w:r w:rsidRPr="00D97DA5">
        <w:rPr>
          <w:rStyle w:val="Hyperlink"/>
          <w:rFonts w:ascii="Arial" w:hAnsi="Arial" w:cs="Arial"/>
        </w:rPr>
        <w:t xml:space="preserve">ol. 78, </w:t>
      </w:r>
      <w:r w:rsidR="00086A5A" w:rsidRPr="00D97DA5">
        <w:rPr>
          <w:rStyle w:val="Hyperlink"/>
          <w:rFonts w:ascii="Arial" w:hAnsi="Arial" w:cs="Arial"/>
        </w:rPr>
        <w:t>n</w:t>
      </w:r>
      <w:r w:rsidRPr="00D97DA5">
        <w:rPr>
          <w:rStyle w:val="Hyperlink"/>
          <w:rFonts w:ascii="Arial" w:hAnsi="Arial" w:cs="Arial"/>
        </w:rPr>
        <w:t>o. 10 January 15, 2013 – Part II – Environmental Protection Agency – 40 CFR Parts 50, 51,52 et al</w:t>
      </w:r>
      <w:r w:rsidR="00086A5A" w:rsidRPr="00D97DA5">
        <w:rPr>
          <w:rStyle w:val="Hyperlink"/>
          <w:rFonts w:ascii="Arial" w:hAnsi="Arial" w:cs="Arial"/>
        </w:rPr>
        <w:t>.</w:t>
      </w:r>
      <w:r w:rsidR="00881CDB" w:rsidRPr="00D97DA5">
        <w:rPr>
          <w:rStyle w:val="Hyperlink"/>
          <w:rFonts w:ascii="Arial" w:hAnsi="Arial" w:cs="Arial"/>
        </w:rPr>
        <w:t>,</w:t>
      </w:r>
      <w:r w:rsidRPr="00D97DA5">
        <w:rPr>
          <w:rStyle w:val="Hyperlink"/>
          <w:rFonts w:ascii="Arial" w:hAnsi="Arial" w:cs="Arial"/>
        </w:rPr>
        <w:t xml:space="preserve"> National Ambient Air Quality Standards for Particulate Matter; Final Rule</w:t>
      </w:r>
      <w:r w:rsidR="00881CDB" w:rsidRPr="00D97DA5">
        <w:rPr>
          <w:rStyle w:val="Hyperlink"/>
          <w:rFonts w:ascii="Arial" w:hAnsi="Arial" w:cs="Arial"/>
        </w:rPr>
        <w:t>,</w:t>
      </w:r>
      <w:r w:rsidRPr="00D97DA5">
        <w:rPr>
          <w:rFonts w:ascii="Arial" w:hAnsi="Arial" w:cs="Arial"/>
        </w:rPr>
        <w:t xml:space="preserve"> United States Environmental Protection Agency, Research Triangle Park, NC</w:t>
      </w:r>
      <w:r w:rsidR="00086A5A" w:rsidRPr="00D97DA5">
        <w:rPr>
          <w:rFonts w:ascii="Arial" w:hAnsi="Arial" w:cs="Arial"/>
        </w:rPr>
        <w:t>, USA</w:t>
      </w:r>
      <w:r w:rsidRPr="00D97DA5">
        <w:rPr>
          <w:rFonts w:ascii="Arial" w:hAnsi="Arial" w:cs="Arial"/>
        </w:rPr>
        <w:t>.</w:t>
      </w:r>
      <w:r w:rsidR="006272D9" w:rsidRPr="00D97DA5">
        <w:rPr>
          <w:rFonts w:ascii="Arial" w:hAnsi="Arial" w:cs="Arial"/>
        </w:rPr>
        <w:t xml:space="preserve"> </w:t>
      </w:r>
    </w:p>
    <w:p w:rsidR="00FE0361" w:rsidRPr="00D97DA5" w:rsidRDefault="001C34C3" w:rsidP="00FE0361">
      <w:pPr>
        <w:keepLines/>
        <w:rPr>
          <w:rFonts w:ascii="Arial" w:hAnsi="Arial" w:cs="Arial"/>
        </w:rPr>
      </w:pPr>
      <w:proofErr w:type="spellStart"/>
      <w:r w:rsidRPr="00D97DA5">
        <w:rPr>
          <w:rFonts w:ascii="Arial" w:hAnsi="Arial" w:cs="Arial"/>
        </w:rPr>
        <w:t>Watkiss</w:t>
      </w:r>
      <w:proofErr w:type="spellEnd"/>
      <w:r w:rsidR="00086A5A" w:rsidRPr="00D97DA5">
        <w:rPr>
          <w:rFonts w:ascii="Arial" w:hAnsi="Arial" w:cs="Arial"/>
        </w:rPr>
        <w:t>,</w:t>
      </w:r>
      <w:r w:rsidRPr="00D97DA5">
        <w:rPr>
          <w:rFonts w:ascii="Arial" w:hAnsi="Arial" w:cs="Arial"/>
        </w:rPr>
        <w:t xml:space="preserve"> P (2002</w:t>
      </w:r>
      <w:r w:rsidR="00FE0361" w:rsidRPr="00D97DA5">
        <w:rPr>
          <w:rFonts w:ascii="Arial" w:hAnsi="Arial" w:cs="Arial"/>
        </w:rPr>
        <w:t>),</w:t>
      </w:r>
      <w:r w:rsidRPr="00D97DA5">
        <w:rPr>
          <w:rFonts w:ascii="Arial" w:hAnsi="Arial" w:cs="Arial"/>
        </w:rPr>
        <w:t xml:space="preserve"> </w:t>
      </w:r>
      <w:r w:rsidRPr="009A0717">
        <w:rPr>
          <w:rFonts w:ascii="Arial" w:hAnsi="Arial" w:cs="Arial"/>
          <w:i/>
        </w:rPr>
        <w:t>Fuel Taxation Inquiry: the Air Pollution Costs of Transport in Australia</w:t>
      </w:r>
      <w:r w:rsidRPr="00D97DA5">
        <w:rPr>
          <w:rFonts w:ascii="Arial" w:hAnsi="Arial" w:cs="Arial"/>
        </w:rPr>
        <w:t>, Report No. ED44525 to Commonwealth of Australia, AEA</w:t>
      </w:r>
      <w:r w:rsidR="00086A5A" w:rsidRPr="00D97DA5">
        <w:rPr>
          <w:rFonts w:ascii="Arial" w:hAnsi="Arial" w:cs="Arial"/>
        </w:rPr>
        <w:t xml:space="preserve"> Technology Environment</w:t>
      </w:r>
      <w:r w:rsidRPr="00D97DA5">
        <w:rPr>
          <w:rFonts w:ascii="Arial" w:hAnsi="Arial" w:cs="Arial"/>
        </w:rPr>
        <w:t>.</w:t>
      </w:r>
    </w:p>
    <w:p w:rsidR="00FE0361" w:rsidRPr="00D97DA5" w:rsidRDefault="00E62830" w:rsidP="00FE0361">
      <w:pPr>
        <w:keepLines/>
        <w:rPr>
          <w:rFonts w:ascii="Arial" w:hAnsi="Arial" w:cs="Arial"/>
        </w:rPr>
      </w:pPr>
      <w:r w:rsidRPr="00D97DA5">
        <w:rPr>
          <w:rFonts w:ascii="Arial" w:hAnsi="Arial" w:cs="Arial"/>
        </w:rPr>
        <w:t>Wendt</w:t>
      </w:r>
      <w:r w:rsidR="00086A5A" w:rsidRPr="00D97DA5">
        <w:rPr>
          <w:rFonts w:ascii="Arial" w:hAnsi="Arial" w:cs="Arial"/>
        </w:rPr>
        <w:t>,</w:t>
      </w:r>
      <w:r w:rsidRPr="00D97DA5">
        <w:rPr>
          <w:rFonts w:ascii="Arial" w:hAnsi="Arial" w:cs="Arial"/>
        </w:rPr>
        <w:t xml:space="preserve"> C and Walsh</w:t>
      </w:r>
      <w:r w:rsidR="00086A5A" w:rsidRPr="00D97DA5">
        <w:rPr>
          <w:rFonts w:ascii="Arial" w:hAnsi="Arial" w:cs="Arial"/>
        </w:rPr>
        <w:t>,</w:t>
      </w:r>
      <w:r w:rsidRPr="00D97DA5">
        <w:rPr>
          <w:rFonts w:ascii="Arial" w:hAnsi="Arial" w:cs="Arial"/>
        </w:rPr>
        <w:t xml:space="preserve"> SF (2007</w:t>
      </w:r>
      <w:r w:rsidR="00FE0361" w:rsidRPr="00D97DA5">
        <w:rPr>
          <w:rFonts w:ascii="Arial" w:hAnsi="Arial" w:cs="Arial"/>
        </w:rPr>
        <w:t>),</w:t>
      </w:r>
      <w:r w:rsidRPr="00D97DA5">
        <w:rPr>
          <w:rFonts w:ascii="Arial" w:hAnsi="Arial" w:cs="Arial"/>
        </w:rPr>
        <w:t xml:space="preserve"> </w:t>
      </w:r>
      <w:r w:rsidR="00086A5A" w:rsidRPr="00D97DA5">
        <w:rPr>
          <w:rFonts w:ascii="Arial" w:hAnsi="Arial" w:cs="Arial"/>
        </w:rPr>
        <w:t>‘</w:t>
      </w:r>
      <w:r w:rsidRPr="00D97DA5">
        <w:rPr>
          <w:rFonts w:ascii="Arial" w:hAnsi="Arial" w:cs="Arial"/>
        </w:rPr>
        <w:t xml:space="preserve">Use of </w:t>
      </w:r>
      <w:proofErr w:type="spellStart"/>
      <w:r w:rsidRPr="00D97DA5">
        <w:rPr>
          <w:rFonts w:ascii="Arial" w:hAnsi="Arial" w:cs="Arial"/>
        </w:rPr>
        <w:t>Nephelometry</w:t>
      </w:r>
      <w:proofErr w:type="spellEnd"/>
      <w:r w:rsidRPr="00D97DA5">
        <w:rPr>
          <w:rFonts w:ascii="Arial" w:hAnsi="Arial" w:cs="Arial"/>
        </w:rPr>
        <w:t xml:space="preserve"> as a long term measure of particle pollution</w:t>
      </w:r>
      <w:r w:rsidR="00086A5A" w:rsidRPr="00D97DA5">
        <w:rPr>
          <w:rFonts w:ascii="Arial" w:hAnsi="Arial" w:cs="Arial"/>
        </w:rPr>
        <w:t>’</w:t>
      </w:r>
      <w:r w:rsidR="00881CDB" w:rsidRPr="00D97DA5">
        <w:rPr>
          <w:rFonts w:ascii="Arial" w:hAnsi="Arial" w:cs="Arial"/>
        </w:rPr>
        <w:t>,</w:t>
      </w:r>
      <w:r w:rsidRPr="00D97DA5">
        <w:rPr>
          <w:rFonts w:ascii="Arial" w:hAnsi="Arial" w:cs="Arial"/>
        </w:rPr>
        <w:t xml:space="preserve"> </w:t>
      </w:r>
      <w:r w:rsidR="00086A5A" w:rsidRPr="00D97DA5">
        <w:rPr>
          <w:rFonts w:ascii="Arial" w:hAnsi="Arial" w:cs="Arial"/>
        </w:rPr>
        <w:t>p</w:t>
      </w:r>
      <w:r w:rsidRPr="00D97DA5">
        <w:rPr>
          <w:rFonts w:ascii="Arial" w:hAnsi="Arial" w:cs="Arial"/>
        </w:rPr>
        <w:t>aper presented at 14</w:t>
      </w:r>
      <w:r w:rsidRPr="00D97DA5">
        <w:rPr>
          <w:rFonts w:ascii="Arial" w:hAnsi="Arial" w:cs="Arial"/>
          <w:vertAlign w:val="superscript"/>
        </w:rPr>
        <w:t>th</w:t>
      </w:r>
      <w:r w:rsidRPr="00D97DA5">
        <w:rPr>
          <w:rFonts w:ascii="Arial" w:hAnsi="Arial" w:cs="Arial"/>
        </w:rPr>
        <w:t xml:space="preserve"> IUAPPA Word Congress, Brisbane</w:t>
      </w:r>
      <w:r w:rsidR="00086A5A" w:rsidRPr="00D97DA5">
        <w:rPr>
          <w:rFonts w:ascii="Arial" w:hAnsi="Arial" w:cs="Arial"/>
        </w:rPr>
        <w:t xml:space="preserve">, </w:t>
      </w:r>
      <w:proofErr w:type="gramStart"/>
      <w:r w:rsidR="00086A5A" w:rsidRPr="00D97DA5">
        <w:rPr>
          <w:rFonts w:ascii="Arial" w:hAnsi="Arial" w:cs="Arial"/>
        </w:rPr>
        <w:t>QLD</w:t>
      </w:r>
      <w:proofErr w:type="gramEnd"/>
      <w:r w:rsidRPr="00D97DA5">
        <w:rPr>
          <w:rFonts w:ascii="Arial" w:hAnsi="Arial" w:cs="Arial"/>
        </w:rPr>
        <w:t>.</w:t>
      </w:r>
    </w:p>
    <w:p w:rsidR="00FE0361" w:rsidRPr="00D97DA5" w:rsidRDefault="00393D69" w:rsidP="00FE0361">
      <w:pPr>
        <w:keepLines/>
        <w:rPr>
          <w:rFonts w:ascii="Arial" w:hAnsi="Arial" w:cs="Arial"/>
        </w:rPr>
      </w:pPr>
      <w:r w:rsidRPr="00D97DA5">
        <w:rPr>
          <w:rFonts w:ascii="Arial" w:hAnsi="Arial" w:cs="Arial"/>
        </w:rPr>
        <w:t>WHO Regional Office for Europe (2006</w:t>
      </w:r>
      <w:r w:rsidR="00FE0361" w:rsidRPr="00D97DA5">
        <w:rPr>
          <w:rFonts w:ascii="Arial" w:hAnsi="Arial" w:cs="Arial"/>
        </w:rPr>
        <w:t>),</w:t>
      </w:r>
      <w:r w:rsidRPr="00D97DA5">
        <w:rPr>
          <w:rFonts w:ascii="Arial" w:hAnsi="Arial" w:cs="Arial"/>
        </w:rPr>
        <w:t xml:space="preserve"> </w:t>
      </w:r>
      <w:r w:rsidRPr="009A0717">
        <w:rPr>
          <w:rFonts w:ascii="Arial" w:hAnsi="Arial" w:cs="Arial"/>
          <w:i/>
        </w:rPr>
        <w:t xml:space="preserve">Air quality guidelines </w:t>
      </w:r>
      <w:r w:rsidR="000C7700" w:rsidRPr="009A0717">
        <w:rPr>
          <w:rFonts w:ascii="Arial" w:hAnsi="Arial" w:cs="Arial"/>
          <w:i/>
        </w:rPr>
        <w:t>–</w:t>
      </w:r>
      <w:r w:rsidRPr="009A0717">
        <w:rPr>
          <w:rFonts w:ascii="Arial" w:hAnsi="Arial" w:cs="Arial"/>
          <w:i/>
        </w:rPr>
        <w:t xml:space="preserve"> global</w:t>
      </w:r>
      <w:r w:rsidR="005E09D0" w:rsidRPr="009A0717">
        <w:rPr>
          <w:rFonts w:ascii="Arial" w:hAnsi="Arial" w:cs="Arial"/>
          <w:i/>
        </w:rPr>
        <w:t xml:space="preserve"> </w:t>
      </w:r>
      <w:r w:rsidRPr="009A0717">
        <w:rPr>
          <w:rFonts w:ascii="Arial" w:hAnsi="Arial" w:cs="Arial"/>
          <w:i/>
        </w:rPr>
        <w:t>update 2005</w:t>
      </w:r>
      <w:r w:rsidR="00881CDB" w:rsidRPr="00D97DA5">
        <w:rPr>
          <w:rFonts w:ascii="Arial" w:hAnsi="Arial" w:cs="Arial"/>
        </w:rPr>
        <w:t>,</w:t>
      </w:r>
      <w:r w:rsidRPr="00D97DA5">
        <w:rPr>
          <w:rFonts w:ascii="Arial" w:hAnsi="Arial" w:cs="Arial"/>
        </w:rPr>
        <w:t xml:space="preserve"> WHO Regional Office for Europe, Copenhagen, Denmark.</w:t>
      </w:r>
    </w:p>
    <w:p w:rsidR="00FE0361" w:rsidRPr="00D97DA5" w:rsidRDefault="005D439F" w:rsidP="00FE0361">
      <w:pPr>
        <w:keepLines/>
        <w:rPr>
          <w:rFonts w:ascii="Arial" w:hAnsi="Arial" w:cs="Arial"/>
        </w:rPr>
      </w:pPr>
      <w:r w:rsidRPr="00D97DA5">
        <w:rPr>
          <w:rFonts w:ascii="Arial" w:hAnsi="Arial" w:cs="Arial"/>
        </w:rPr>
        <w:t>WHO Regional Office for Europe (2013</w:t>
      </w:r>
      <w:r w:rsidR="00FE0361" w:rsidRPr="00D97DA5">
        <w:rPr>
          <w:rFonts w:ascii="Arial" w:hAnsi="Arial" w:cs="Arial"/>
        </w:rPr>
        <w:t>),</w:t>
      </w:r>
      <w:r w:rsidRPr="00D97DA5">
        <w:rPr>
          <w:rFonts w:ascii="Arial" w:hAnsi="Arial" w:cs="Arial"/>
        </w:rPr>
        <w:t xml:space="preserve"> </w:t>
      </w:r>
      <w:r w:rsidRPr="009A0717">
        <w:rPr>
          <w:rFonts w:ascii="Arial" w:hAnsi="Arial" w:cs="Arial"/>
          <w:i/>
        </w:rPr>
        <w:t xml:space="preserve">Review of evidence on health aspects of air pollution </w:t>
      </w:r>
      <w:r w:rsidR="000C7700" w:rsidRPr="009A0717">
        <w:rPr>
          <w:rFonts w:ascii="Arial" w:hAnsi="Arial" w:cs="Arial"/>
          <w:i/>
        </w:rPr>
        <w:t>–</w:t>
      </w:r>
      <w:r w:rsidRPr="009A0717">
        <w:rPr>
          <w:rFonts w:ascii="Arial" w:hAnsi="Arial" w:cs="Arial"/>
          <w:i/>
        </w:rPr>
        <w:t xml:space="preserve"> REVIHAAP Project</w:t>
      </w:r>
      <w:r w:rsidR="00881CDB" w:rsidRPr="00D97DA5">
        <w:rPr>
          <w:rFonts w:ascii="Arial" w:hAnsi="Arial" w:cs="Arial"/>
        </w:rPr>
        <w:t>,</w:t>
      </w:r>
      <w:r w:rsidRPr="00D97DA5">
        <w:rPr>
          <w:rFonts w:ascii="Arial" w:hAnsi="Arial" w:cs="Arial"/>
        </w:rPr>
        <w:t xml:space="preserve"> Technical Report</w:t>
      </w:r>
      <w:r w:rsidR="00881CDB" w:rsidRPr="00D97DA5">
        <w:rPr>
          <w:rFonts w:ascii="Arial" w:hAnsi="Arial" w:cs="Arial"/>
        </w:rPr>
        <w:t>,</w:t>
      </w:r>
      <w:r w:rsidRPr="00D97DA5">
        <w:rPr>
          <w:rFonts w:ascii="Arial" w:hAnsi="Arial" w:cs="Arial"/>
        </w:rPr>
        <w:t xml:space="preserve"> WHO Regional Office for Europe, Copenhagen, Denmark.</w:t>
      </w:r>
    </w:p>
    <w:p w:rsidR="00B051BB" w:rsidRPr="00D97DA5" w:rsidRDefault="00B051BB" w:rsidP="00FE0361">
      <w:pPr>
        <w:keepLines/>
        <w:rPr>
          <w:rFonts w:ascii="Arial" w:hAnsi="Arial" w:cs="Arial"/>
        </w:rPr>
      </w:pPr>
      <w:r w:rsidRPr="00D97DA5">
        <w:rPr>
          <w:rFonts w:ascii="Arial" w:hAnsi="Arial" w:cs="Arial"/>
        </w:rPr>
        <w:t>Wilton</w:t>
      </w:r>
      <w:r w:rsidR="00086A5A" w:rsidRPr="00D97DA5">
        <w:rPr>
          <w:rFonts w:ascii="Arial" w:hAnsi="Arial" w:cs="Arial"/>
        </w:rPr>
        <w:t>,</w:t>
      </w:r>
      <w:r w:rsidRPr="00D97DA5">
        <w:rPr>
          <w:rFonts w:ascii="Arial" w:hAnsi="Arial" w:cs="Arial"/>
        </w:rPr>
        <w:t xml:space="preserve"> E, Smith</w:t>
      </w:r>
      <w:r w:rsidR="00086A5A" w:rsidRPr="00D97DA5">
        <w:rPr>
          <w:rFonts w:ascii="Arial" w:hAnsi="Arial" w:cs="Arial"/>
        </w:rPr>
        <w:t>,</w:t>
      </w:r>
      <w:r w:rsidRPr="00D97DA5">
        <w:rPr>
          <w:rFonts w:ascii="Arial" w:hAnsi="Arial" w:cs="Arial"/>
        </w:rPr>
        <w:t xml:space="preserve"> J, </w:t>
      </w:r>
      <w:proofErr w:type="spellStart"/>
      <w:r w:rsidRPr="00D97DA5">
        <w:rPr>
          <w:rFonts w:ascii="Arial" w:hAnsi="Arial" w:cs="Arial"/>
        </w:rPr>
        <w:t>Gimson</w:t>
      </w:r>
      <w:proofErr w:type="spellEnd"/>
      <w:r w:rsidR="00086A5A" w:rsidRPr="00D97DA5">
        <w:rPr>
          <w:rFonts w:ascii="Arial" w:hAnsi="Arial" w:cs="Arial"/>
        </w:rPr>
        <w:t>,</w:t>
      </w:r>
      <w:r w:rsidRPr="00D97DA5">
        <w:rPr>
          <w:rFonts w:ascii="Arial" w:hAnsi="Arial" w:cs="Arial"/>
        </w:rPr>
        <w:t xml:space="preserve"> N and Phillips</w:t>
      </w:r>
      <w:r w:rsidR="00086A5A" w:rsidRPr="00D97DA5">
        <w:rPr>
          <w:rFonts w:ascii="Arial" w:hAnsi="Arial" w:cs="Arial"/>
        </w:rPr>
        <w:t>,</w:t>
      </w:r>
      <w:r w:rsidRPr="00D97DA5">
        <w:rPr>
          <w:rFonts w:ascii="Arial" w:hAnsi="Arial" w:cs="Arial"/>
        </w:rPr>
        <w:t xml:space="preserve"> J (2009</w:t>
      </w:r>
      <w:r w:rsidR="00FE0361" w:rsidRPr="00D97DA5">
        <w:rPr>
          <w:rFonts w:ascii="Arial" w:hAnsi="Arial" w:cs="Arial"/>
        </w:rPr>
        <w:t>),</w:t>
      </w:r>
      <w:r w:rsidRPr="00D97DA5">
        <w:rPr>
          <w:rFonts w:ascii="Arial" w:hAnsi="Arial" w:cs="Arial"/>
        </w:rPr>
        <w:t xml:space="preserve"> </w:t>
      </w:r>
      <w:r w:rsidR="00086A5A" w:rsidRPr="00D97DA5">
        <w:rPr>
          <w:rFonts w:ascii="Arial" w:hAnsi="Arial" w:cs="Arial"/>
        </w:rPr>
        <w:t>‘</w:t>
      </w:r>
      <w:r w:rsidRPr="00D97DA5">
        <w:rPr>
          <w:rFonts w:ascii="Arial" w:hAnsi="Arial" w:cs="Arial"/>
        </w:rPr>
        <w:t>Source apportionment and modelling of PM</w:t>
      </w:r>
      <w:r w:rsidRPr="00D97DA5">
        <w:rPr>
          <w:rFonts w:ascii="Arial" w:hAnsi="Arial" w:cs="Arial"/>
          <w:vertAlign w:val="subscript"/>
        </w:rPr>
        <w:t>10</w:t>
      </w:r>
      <w:r w:rsidRPr="00D97DA5">
        <w:rPr>
          <w:rFonts w:ascii="Arial" w:hAnsi="Arial" w:cs="Arial"/>
        </w:rPr>
        <w:t xml:space="preserve"> in Hastings, New Zealand</w:t>
      </w:r>
      <w:r w:rsidR="00086A5A" w:rsidRPr="00D97DA5">
        <w:rPr>
          <w:rFonts w:ascii="Arial" w:hAnsi="Arial" w:cs="Arial"/>
        </w:rPr>
        <w:t>’</w:t>
      </w:r>
      <w:r w:rsidR="00881CDB" w:rsidRPr="00D97DA5">
        <w:rPr>
          <w:rFonts w:ascii="Arial" w:hAnsi="Arial" w:cs="Arial"/>
        </w:rPr>
        <w:t>,</w:t>
      </w:r>
      <w:r w:rsidRPr="00D97DA5">
        <w:rPr>
          <w:rFonts w:ascii="Arial" w:hAnsi="Arial" w:cs="Arial"/>
        </w:rPr>
        <w:t xml:space="preserve"> </w:t>
      </w:r>
      <w:r w:rsidRPr="009A0717">
        <w:rPr>
          <w:rFonts w:ascii="Arial" w:hAnsi="Arial" w:cs="Arial"/>
          <w:i/>
        </w:rPr>
        <w:t>Air Quality and Climate Change</w:t>
      </w:r>
      <w:r w:rsidRPr="00D97DA5">
        <w:rPr>
          <w:rFonts w:ascii="Arial" w:hAnsi="Arial" w:cs="Arial"/>
        </w:rPr>
        <w:t xml:space="preserve">, </w:t>
      </w:r>
      <w:r w:rsidR="00086A5A" w:rsidRPr="00D97DA5">
        <w:rPr>
          <w:rFonts w:ascii="Arial" w:hAnsi="Arial" w:cs="Arial"/>
        </w:rPr>
        <w:t>v</w:t>
      </w:r>
      <w:r w:rsidRPr="00D97DA5">
        <w:rPr>
          <w:rFonts w:ascii="Arial" w:hAnsi="Arial" w:cs="Arial"/>
        </w:rPr>
        <w:t>ol. 43(2), pp. 31</w:t>
      </w:r>
      <w:r w:rsidR="00086A5A" w:rsidRPr="00D97DA5">
        <w:rPr>
          <w:rFonts w:ascii="Arial" w:hAnsi="Arial" w:cs="Arial"/>
        </w:rPr>
        <w:t>–</w:t>
      </w:r>
      <w:r w:rsidRPr="00D97DA5">
        <w:rPr>
          <w:rFonts w:ascii="Arial" w:hAnsi="Arial" w:cs="Arial"/>
        </w:rPr>
        <w:t>39.</w:t>
      </w:r>
    </w:p>
    <w:p w:rsidR="00CD2AEC" w:rsidRPr="00D97DA5" w:rsidRDefault="00CD2AEC" w:rsidP="00A22C06">
      <w:pPr>
        <w:rPr>
          <w:rFonts w:ascii="Arial" w:hAnsi="Arial" w:cs="Arial"/>
          <w:color w:val="00B050"/>
          <w:sz w:val="17"/>
          <w:szCs w:val="17"/>
          <w:lang w:eastAsia="en-US"/>
        </w:rPr>
      </w:pPr>
    </w:p>
    <w:p w:rsidR="00CD2AEC" w:rsidRPr="006574FD" w:rsidRDefault="00CD2AEC" w:rsidP="00CD2AEC">
      <w:pPr>
        <w:rPr>
          <w:rFonts w:ascii="Arial" w:hAnsi="Arial" w:cs="Arial"/>
          <w:i/>
        </w:rPr>
        <w:sectPr w:rsidR="00CD2AEC" w:rsidRPr="006574FD" w:rsidSect="006A5626">
          <w:footerReference w:type="default" r:id="rId153"/>
          <w:headerReference w:type="first" r:id="rId154"/>
          <w:pgSz w:w="11906" w:h="16838" w:code="9"/>
          <w:pgMar w:top="1440" w:right="1440" w:bottom="1440" w:left="1440" w:header="284" w:footer="170" w:gutter="0"/>
          <w:cols w:space="255"/>
          <w:docGrid w:linePitch="360"/>
        </w:sectPr>
      </w:pPr>
    </w:p>
    <w:p w:rsidR="00CD2AEC" w:rsidRPr="006F1D04" w:rsidRDefault="00CD2AEC" w:rsidP="00916BBC">
      <w:pPr>
        <w:pStyle w:val="Heading6"/>
        <w:ind w:left="1232" w:hanging="1232"/>
        <w:rPr>
          <w:rFonts w:ascii="Arial" w:hAnsi="Arial" w:cs="Arial"/>
        </w:rPr>
        <w:sectPr w:rsidR="00CD2AEC" w:rsidRPr="006F1D04" w:rsidSect="006A5626">
          <w:headerReference w:type="even" r:id="rId155"/>
          <w:footerReference w:type="default" r:id="rId156"/>
          <w:headerReference w:type="first" r:id="rId157"/>
          <w:pgSz w:w="11906" w:h="16838" w:code="9"/>
          <w:pgMar w:top="1440" w:right="1440" w:bottom="1440" w:left="1440" w:header="284" w:footer="170" w:gutter="0"/>
          <w:cols w:space="255"/>
          <w:vAlign w:val="center"/>
          <w:docGrid w:linePitch="360"/>
        </w:sectPr>
      </w:pPr>
      <w:r w:rsidRPr="006574FD">
        <w:rPr>
          <w:rStyle w:val="Strong"/>
          <w:rFonts w:ascii="Arial" w:hAnsi="Arial" w:cs="Arial"/>
          <w:b/>
          <w:bCs/>
          <w:i/>
        </w:rPr>
        <w:lastRenderedPageBreak/>
        <w:tab/>
      </w:r>
      <w:bookmarkStart w:id="221" w:name="_Toc394011166"/>
      <w:r w:rsidR="00D76611" w:rsidRPr="006F1D04">
        <w:rPr>
          <w:rStyle w:val="Strong"/>
          <w:rFonts w:ascii="Arial" w:hAnsi="Arial" w:cs="Arial"/>
          <w:b/>
          <w:bCs/>
        </w:rPr>
        <w:t>Recommendations</w:t>
      </w:r>
      <w:r w:rsidRPr="006F1D04">
        <w:rPr>
          <w:rStyle w:val="Strong"/>
          <w:rFonts w:ascii="Arial" w:hAnsi="Arial" w:cs="Arial"/>
          <w:b/>
          <w:bCs/>
        </w:rPr>
        <w:t xml:space="preserve"> from the </w:t>
      </w:r>
      <w:r w:rsidR="008B59F8" w:rsidRPr="006F1D04">
        <w:rPr>
          <w:rStyle w:val="Strong"/>
          <w:rFonts w:ascii="Arial" w:hAnsi="Arial" w:cs="Arial"/>
          <w:b/>
          <w:bCs/>
        </w:rPr>
        <w:t xml:space="preserve">2011 </w:t>
      </w:r>
      <w:r w:rsidR="00EF24F8" w:rsidRPr="006F1D04">
        <w:rPr>
          <w:rStyle w:val="Strong"/>
          <w:rFonts w:ascii="Arial" w:hAnsi="Arial" w:cs="Arial"/>
          <w:b/>
          <w:bCs/>
        </w:rPr>
        <w:t>AAQ NEPM</w:t>
      </w:r>
      <w:r w:rsidRPr="006F1D04">
        <w:rPr>
          <w:rStyle w:val="Strong"/>
          <w:rFonts w:ascii="Arial" w:hAnsi="Arial" w:cs="Arial"/>
          <w:b/>
          <w:bCs/>
        </w:rPr>
        <w:t xml:space="preserve"> review</w:t>
      </w:r>
      <w:bookmarkEnd w:id="221"/>
    </w:p>
    <w:p w:rsidR="00CD2AEC" w:rsidRPr="006F1D04" w:rsidRDefault="00CD2AEC" w:rsidP="002058ED">
      <w:pPr>
        <w:pStyle w:val="Caption"/>
        <w:spacing w:before="0" w:after="240" w:line="240" w:lineRule="auto"/>
        <w:ind w:right="0"/>
        <w:rPr>
          <w:rFonts w:ascii="Arial" w:hAnsi="Arial" w:cs="Arial"/>
        </w:rPr>
      </w:pPr>
      <w:r w:rsidRPr="006F1D04">
        <w:rPr>
          <w:rFonts w:ascii="Arial" w:hAnsi="Arial" w:cs="Arial"/>
        </w:rPr>
        <w:lastRenderedPageBreak/>
        <w:t xml:space="preserve">Table </w:t>
      </w:r>
      <w:r w:rsidR="00BF6019" w:rsidRPr="006F1D04">
        <w:rPr>
          <w:rFonts w:ascii="Arial" w:hAnsi="Arial" w:cs="Arial"/>
        </w:rPr>
        <w:fldChar w:fldCharType="begin"/>
      </w:r>
      <w:r w:rsidRPr="006F1D04">
        <w:rPr>
          <w:rFonts w:ascii="Arial" w:hAnsi="Arial" w:cs="Arial"/>
        </w:rPr>
        <w:instrText xml:space="preserve"> STYLEREF 6 \s </w:instrText>
      </w:r>
      <w:r w:rsidR="00BF6019" w:rsidRPr="006F1D04">
        <w:rPr>
          <w:rFonts w:ascii="Arial" w:hAnsi="Arial" w:cs="Arial"/>
        </w:rPr>
        <w:fldChar w:fldCharType="separate"/>
      </w:r>
      <w:r w:rsidR="0085182E">
        <w:rPr>
          <w:rFonts w:ascii="Arial" w:hAnsi="Arial" w:cs="Arial"/>
          <w:noProof/>
        </w:rPr>
        <w:t>A</w:t>
      </w:r>
      <w:r w:rsidR="00BF6019" w:rsidRPr="006F1D04">
        <w:rPr>
          <w:rFonts w:ascii="Arial" w:hAnsi="Arial" w:cs="Arial"/>
        </w:rPr>
        <w:fldChar w:fldCharType="end"/>
      </w:r>
      <w:r w:rsidRPr="006F1D04">
        <w:rPr>
          <w:rFonts w:ascii="Arial" w:hAnsi="Arial" w:cs="Arial"/>
        </w:rPr>
        <w:t>.</w:t>
      </w:r>
      <w:r w:rsidR="00BF6019" w:rsidRPr="006F1D04">
        <w:rPr>
          <w:rFonts w:ascii="Arial" w:hAnsi="Arial" w:cs="Arial"/>
        </w:rPr>
        <w:fldChar w:fldCharType="begin"/>
      </w:r>
      <w:r w:rsidRPr="006F1D04">
        <w:rPr>
          <w:rFonts w:ascii="Arial" w:hAnsi="Arial" w:cs="Arial"/>
        </w:rPr>
        <w:instrText xml:space="preserve"> SEQ Table_Apx \* ARABIC \s 6 </w:instrText>
      </w:r>
      <w:r w:rsidR="00BF6019" w:rsidRPr="006F1D04">
        <w:rPr>
          <w:rFonts w:ascii="Arial" w:hAnsi="Arial" w:cs="Arial"/>
        </w:rPr>
        <w:fldChar w:fldCharType="separate"/>
      </w:r>
      <w:r w:rsidR="0085182E">
        <w:rPr>
          <w:rFonts w:ascii="Arial" w:hAnsi="Arial" w:cs="Arial"/>
          <w:noProof/>
        </w:rPr>
        <w:t>1</w:t>
      </w:r>
      <w:r w:rsidR="00BF6019" w:rsidRPr="006F1D04">
        <w:rPr>
          <w:rFonts w:ascii="Arial" w:hAnsi="Arial" w:cs="Arial"/>
        </w:rPr>
        <w:fldChar w:fldCharType="end"/>
      </w:r>
      <w:r w:rsidR="007A07B8" w:rsidRPr="006F1D04">
        <w:rPr>
          <w:rFonts w:ascii="Arial" w:hAnsi="Arial" w:cs="Arial"/>
        </w:rPr>
        <w:t>: Recommendations</w:t>
      </w:r>
      <w:r w:rsidR="008B59F8" w:rsidRPr="006F1D04">
        <w:rPr>
          <w:rFonts w:ascii="Arial" w:hAnsi="Arial" w:cs="Arial"/>
        </w:rPr>
        <w:t xml:space="preserve"> from </w:t>
      </w:r>
      <w:r w:rsidR="00EF24F8" w:rsidRPr="006F1D04">
        <w:rPr>
          <w:rFonts w:ascii="Arial" w:hAnsi="Arial" w:cs="Arial"/>
        </w:rPr>
        <w:t>AAQ NEPM</w:t>
      </w:r>
      <w:r w:rsidR="008B59F8" w:rsidRPr="006F1D04">
        <w:rPr>
          <w:rFonts w:ascii="Arial" w:hAnsi="Arial" w:cs="Arial"/>
        </w:rPr>
        <w:t xml:space="preserve"> review</w:t>
      </w:r>
      <w:r w:rsidR="00F41392" w:rsidRPr="006F1D04">
        <w:rPr>
          <w:rFonts w:ascii="Arial" w:hAnsi="Arial" w:cs="Arial"/>
        </w:rPr>
        <w:t xml:space="preserve">, and treatment in </w:t>
      </w:r>
      <w:r w:rsidR="005B38F9" w:rsidRPr="006F1D04">
        <w:rPr>
          <w:rFonts w:ascii="Arial" w:hAnsi="Arial"/>
        </w:rPr>
        <w:t>Impact Statement</w:t>
      </w:r>
    </w:p>
    <w:tbl>
      <w:tblPr>
        <w:tblpPr w:leftFromText="180" w:rightFromText="180" w:vertAnchor="text" w:tblpX="108" w:tblpY="1"/>
        <w:tblOverlap w:val="never"/>
        <w:tblW w:w="4844" w:type="pct"/>
        <w:tblBorders>
          <w:top w:val="single" w:sz="4" w:space="0" w:color="0076C0"/>
          <w:left w:val="single" w:sz="4" w:space="0" w:color="0076C0"/>
          <w:bottom w:val="single" w:sz="4" w:space="0" w:color="0076C0"/>
          <w:right w:val="single" w:sz="4" w:space="0" w:color="0076C0"/>
          <w:insideH w:val="single" w:sz="4" w:space="0" w:color="0076C0"/>
          <w:insideV w:val="single" w:sz="4" w:space="0" w:color="0076C0"/>
        </w:tblBorders>
        <w:tblLayout w:type="fixed"/>
        <w:tblLook w:val="0000"/>
      </w:tblPr>
      <w:tblGrid>
        <w:gridCol w:w="1276"/>
        <w:gridCol w:w="1277"/>
        <w:gridCol w:w="4110"/>
        <w:gridCol w:w="2268"/>
      </w:tblGrid>
      <w:tr w:rsidR="00ED1EA2" w:rsidRPr="006F1D04" w:rsidTr="00ED1EA2">
        <w:trPr>
          <w:cantSplit/>
          <w:tblHeader/>
        </w:trPr>
        <w:tc>
          <w:tcPr>
            <w:tcW w:w="714" w:type="pct"/>
            <w:tcBorders>
              <w:bottom w:val="single" w:sz="4" w:space="0" w:color="0076C0"/>
            </w:tcBorders>
            <w:shd w:val="clear" w:color="auto" w:fill="0076C0"/>
          </w:tcPr>
          <w:p w:rsidR="00ED1EA2" w:rsidRPr="006F1D04" w:rsidRDefault="00ED1EA2" w:rsidP="000D027B">
            <w:pPr>
              <w:pStyle w:val="PELTableHeader"/>
              <w:spacing w:before="120" w:after="120" w:line="240" w:lineRule="auto"/>
              <w:jc w:val="left"/>
              <w:rPr>
                <w:rFonts w:ascii="Arial" w:hAnsi="Arial" w:cs="Arial"/>
                <w:sz w:val="15"/>
                <w:szCs w:val="15"/>
              </w:rPr>
            </w:pPr>
            <w:r w:rsidRPr="006F1D04">
              <w:rPr>
                <w:rFonts w:ascii="Arial" w:hAnsi="Arial" w:cs="Arial"/>
                <w:sz w:val="15"/>
                <w:szCs w:val="15"/>
              </w:rPr>
              <w:t>Number in AAQ NEPM review</w:t>
            </w:r>
          </w:p>
        </w:tc>
        <w:tc>
          <w:tcPr>
            <w:tcW w:w="715" w:type="pct"/>
            <w:tcBorders>
              <w:bottom w:val="single" w:sz="4" w:space="0" w:color="0076C0"/>
            </w:tcBorders>
            <w:shd w:val="clear" w:color="auto" w:fill="0076C0"/>
            <w:tcMar>
              <w:left w:w="85" w:type="dxa"/>
              <w:right w:w="85" w:type="dxa"/>
            </w:tcMar>
            <w:vAlign w:val="center"/>
          </w:tcPr>
          <w:p w:rsidR="00ED1EA2" w:rsidRPr="006F1D04" w:rsidRDefault="00ED1EA2" w:rsidP="000D027B">
            <w:pPr>
              <w:pStyle w:val="PELTableHeader"/>
              <w:spacing w:before="120" w:after="120" w:line="240" w:lineRule="auto"/>
              <w:jc w:val="left"/>
              <w:rPr>
                <w:rFonts w:ascii="Arial" w:hAnsi="Arial" w:cs="Arial"/>
                <w:sz w:val="15"/>
                <w:szCs w:val="15"/>
              </w:rPr>
            </w:pPr>
            <w:r w:rsidRPr="006F1D04">
              <w:rPr>
                <w:rFonts w:ascii="Arial" w:hAnsi="Arial" w:cs="Arial"/>
                <w:sz w:val="15"/>
                <w:szCs w:val="15"/>
              </w:rPr>
              <w:t>Aspect of AAQ NEPM</w:t>
            </w:r>
          </w:p>
        </w:tc>
        <w:tc>
          <w:tcPr>
            <w:tcW w:w="2301" w:type="pct"/>
            <w:tcBorders>
              <w:bottom w:val="single" w:sz="4" w:space="0" w:color="0076C0"/>
            </w:tcBorders>
            <w:shd w:val="clear" w:color="auto" w:fill="0076C0"/>
            <w:tcMar>
              <w:left w:w="85" w:type="dxa"/>
              <w:right w:w="85" w:type="dxa"/>
            </w:tcMar>
            <w:vAlign w:val="center"/>
          </w:tcPr>
          <w:p w:rsidR="00ED1EA2" w:rsidRPr="006F1D04" w:rsidRDefault="00ED1EA2" w:rsidP="000D027B">
            <w:pPr>
              <w:pStyle w:val="PELTableHeader"/>
              <w:spacing w:before="120" w:after="120" w:line="240" w:lineRule="auto"/>
              <w:jc w:val="left"/>
              <w:rPr>
                <w:rFonts w:ascii="Arial" w:hAnsi="Arial" w:cs="Arial"/>
                <w:sz w:val="15"/>
                <w:szCs w:val="15"/>
              </w:rPr>
            </w:pPr>
            <w:r w:rsidRPr="006F1D04">
              <w:rPr>
                <w:rFonts w:ascii="Arial" w:hAnsi="Arial" w:cs="Arial"/>
                <w:sz w:val="15"/>
                <w:szCs w:val="15"/>
              </w:rPr>
              <w:t>Review recommendation</w:t>
            </w:r>
          </w:p>
        </w:tc>
        <w:tc>
          <w:tcPr>
            <w:tcW w:w="1270" w:type="pct"/>
            <w:tcBorders>
              <w:bottom w:val="single" w:sz="4" w:space="0" w:color="0076C0"/>
            </w:tcBorders>
            <w:shd w:val="clear" w:color="auto" w:fill="0076C0"/>
            <w:tcMar>
              <w:left w:w="85" w:type="dxa"/>
              <w:right w:w="85" w:type="dxa"/>
            </w:tcMar>
            <w:vAlign w:val="center"/>
          </w:tcPr>
          <w:p w:rsidR="00ED1EA2" w:rsidRPr="006F1D04" w:rsidRDefault="00ED1EA2" w:rsidP="000D027B">
            <w:pPr>
              <w:pStyle w:val="PELTableHeader"/>
              <w:spacing w:line="240" w:lineRule="auto"/>
              <w:jc w:val="left"/>
              <w:rPr>
                <w:rFonts w:ascii="Arial" w:hAnsi="Arial" w:cs="Arial"/>
                <w:sz w:val="15"/>
                <w:szCs w:val="15"/>
              </w:rPr>
            </w:pPr>
            <w:r w:rsidRPr="006F1D04">
              <w:rPr>
                <w:rFonts w:ascii="Arial" w:hAnsi="Arial" w:cs="Arial"/>
                <w:sz w:val="15"/>
                <w:szCs w:val="15"/>
              </w:rPr>
              <w:t xml:space="preserve">Included in Information </w:t>
            </w:r>
            <w:r w:rsidRPr="006F1D04">
              <w:rPr>
                <w:rFonts w:ascii="Arial" w:hAnsi="Arial"/>
              </w:rPr>
              <w:t>Impact Statement</w:t>
            </w:r>
            <w:r w:rsidRPr="006F1D04">
              <w:rPr>
                <w:rFonts w:ascii="Arial" w:hAnsi="Arial" w:cs="Arial"/>
                <w:sz w:val="15"/>
                <w:szCs w:val="15"/>
              </w:rPr>
              <w:t>?</w:t>
            </w:r>
          </w:p>
        </w:tc>
      </w:tr>
      <w:tr w:rsidR="00ED1EA2" w:rsidRPr="006F1D04" w:rsidTr="00ED1EA2">
        <w:trPr>
          <w:cantSplit/>
        </w:trPr>
        <w:tc>
          <w:tcPr>
            <w:tcW w:w="714" w:type="pct"/>
            <w:shd w:val="clear" w:color="auto" w:fill="F2F2F2"/>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1</w:t>
            </w:r>
          </w:p>
        </w:tc>
        <w:tc>
          <w:tcPr>
            <w:tcW w:w="715" w:type="pct"/>
            <w:tcBorders>
              <w:bottom w:val="nil"/>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AAQ NEPM goal</w:t>
            </w:r>
          </w:p>
        </w:tc>
        <w:tc>
          <w:tcPr>
            <w:tcW w:w="2301" w:type="pct"/>
            <w:shd w:val="clear" w:color="auto" w:fill="F2F2F2"/>
            <w:tcMar>
              <w:left w:w="85" w:type="dxa"/>
              <w:right w:w="85" w:type="dxa"/>
            </w:tcMar>
          </w:tcPr>
          <w:p w:rsidR="00ED1EA2" w:rsidRPr="006F1D04" w:rsidRDefault="00ED1EA2" w:rsidP="000D027B">
            <w:pPr>
              <w:pStyle w:val="PELTableText"/>
              <w:spacing w:before="120" w:after="120" w:line="240" w:lineRule="auto"/>
              <w:ind w:right="142"/>
              <w:rPr>
                <w:rFonts w:ascii="Arial" w:hAnsi="Arial" w:cs="Arial"/>
                <w:sz w:val="15"/>
                <w:szCs w:val="15"/>
              </w:rPr>
            </w:pPr>
            <w:r w:rsidRPr="006F1D04">
              <w:rPr>
                <w:rFonts w:ascii="Arial" w:hAnsi="Arial" w:cs="Arial"/>
                <w:sz w:val="15"/>
                <w:szCs w:val="15"/>
              </w:rPr>
              <w:t>The (ambiguous) concept of ‘adequate protection’ does not address the health risks associated with exposure to air pollution. The desired outcome of the AAQ NEPM should be to ‘minimise the risk from adverse health impacts from exposure to air pollution for all people wherever they may live’.</w:t>
            </w:r>
          </w:p>
        </w:tc>
        <w:tc>
          <w:tcPr>
            <w:tcW w:w="1270" w:type="pct"/>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b/>
                <w:sz w:val="15"/>
                <w:szCs w:val="15"/>
              </w:rPr>
              <w:t>No.</w:t>
            </w:r>
            <w:r w:rsidRPr="006F1D04">
              <w:rPr>
                <w:rFonts w:ascii="Arial" w:hAnsi="Arial" w:cs="Arial"/>
                <w:sz w:val="15"/>
                <w:szCs w:val="15"/>
              </w:rPr>
              <w:t xml:space="preserve"> This is an overarching consideration for the AAQ NEPM.</w:t>
            </w:r>
          </w:p>
        </w:tc>
      </w:tr>
      <w:tr w:rsidR="00ED1EA2" w:rsidRPr="006F1D04" w:rsidTr="00ED1EA2">
        <w:trPr>
          <w:cantSplit/>
        </w:trPr>
        <w:tc>
          <w:tcPr>
            <w:tcW w:w="714" w:type="pct"/>
            <w:shd w:val="clear" w:color="auto" w:fill="F2F2F2"/>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2</w:t>
            </w:r>
          </w:p>
        </w:tc>
        <w:tc>
          <w:tcPr>
            <w:tcW w:w="715" w:type="pct"/>
            <w:tcBorders>
              <w:top w:val="nil"/>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p>
        </w:tc>
        <w:tc>
          <w:tcPr>
            <w:tcW w:w="2301" w:type="pct"/>
            <w:shd w:val="clear" w:color="auto" w:fill="F2F2F2"/>
            <w:tcMar>
              <w:left w:w="85" w:type="dxa"/>
              <w:right w:w="85" w:type="dxa"/>
            </w:tcMar>
          </w:tcPr>
          <w:p w:rsidR="00ED1EA2" w:rsidRPr="006F1D04" w:rsidRDefault="00ED1EA2" w:rsidP="000D027B">
            <w:pPr>
              <w:pStyle w:val="Default"/>
              <w:spacing w:before="120" w:after="120"/>
              <w:rPr>
                <w:rFonts w:ascii="Arial" w:hAnsi="Arial" w:cs="Arial"/>
                <w:sz w:val="15"/>
                <w:szCs w:val="15"/>
              </w:rPr>
            </w:pPr>
            <w:r w:rsidRPr="006F1D04">
              <w:rPr>
                <w:rFonts w:ascii="Arial" w:hAnsi="Arial" w:cs="Arial"/>
                <w:sz w:val="15"/>
                <w:szCs w:val="15"/>
              </w:rPr>
              <w:t xml:space="preserve">Revise the desired environmental goal to make reference to the air quality standards and incorporation of exposure-reduction targets for priority pollutants. </w:t>
            </w:r>
          </w:p>
        </w:tc>
        <w:tc>
          <w:tcPr>
            <w:tcW w:w="1270" w:type="pct"/>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b/>
                <w:sz w:val="15"/>
                <w:szCs w:val="15"/>
              </w:rPr>
              <w:t xml:space="preserve">No. </w:t>
            </w:r>
            <w:r w:rsidRPr="006F1D04">
              <w:rPr>
                <w:rFonts w:ascii="Arial" w:hAnsi="Arial" w:cs="Arial"/>
                <w:sz w:val="15"/>
                <w:szCs w:val="15"/>
              </w:rPr>
              <w:t>This is an overarching consideration for the AAQ NEPM.</w:t>
            </w:r>
          </w:p>
        </w:tc>
      </w:tr>
      <w:tr w:rsidR="00ED1EA2" w:rsidRPr="006F1D04" w:rsidTr="00ED1EA2">
        <w:trPr>
          <w:cantSplit/>
        </w:trPr>
        <w:tc>
          <w:tcPr>
            <w:tcW w:w="714" w:type="pct"/>
            <w:shd w:val="clear" w:color="auto" w:fill="F2F2F2"/>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3</w:t>
            </w:r>
          </w:p>
        </w:tc>
        <w:tc>
          <w:tcPr>
            <w:tcW w:w="715" w:type="pct"/>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Lead standard</w:t>
            </w:r>
          </w:p>
        </w:tc>
        <w:tc>
          <w:tcPr>
            <w:tcW w:w="2301" w:type="pct"/>
            <w:shd w:val="clear" w:color="auto" w:fill="F2F2F2"/>
            <w:tcMar>
              <w:left w:w="85" w:type="dxa"/>
              <w:right w:w="85" w:type="dxa"/>
            </w:tcMar>
          </w:tcPr>
          <w:p w:rsidR="00ED1EA2" w:rsidRPr="006F1D04" w:rsidRDefault="00ED1EA2" w:rsidP="000D027B">
            <w:pPr>
              <w:pStyle w:val="PELTableText"/>
              <w:tabs>
                <w:tab w:val="left" w:pos="7657"/>
              </w:tabs>
              <w:spacing w:before="120" w:after="120" w:line="240" w:lineRule="auto"/>
              <w:rPr>
                <w:rFonts w:ascii="Arial" w:hAnsi="Arial" w:cs="Arial"/>
                <w:sz w:val="15"/>
                <w:szCs w:val="15"/>
              </w:rPr>
            </w:pPr>
            <w:r w:rsidRPr="006F1D04">
              <w:rPr>
                <w:rFonts w:ascii="Arial" w:hAnsi="Arial" w:cs="Arial"/>
                <w:sz w:val="15"/>
                <w:szCs w:val="15"/>
              </w:rPr>
              <w:t>Remove lead from the AAQ NEPM and include in the Air Toxics NEPM during the scheduled Air Toxics NEPM review of 2012.</w:t>
            </w:r>
          </w:p>
        </w:tc>
        <w:tc>
          <w:tcPr>
            <w:tcW w:w="1270" w:type="pct"/>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b/>
                <w:sz w:val="15"/>
                <w:szCs w:val="15"/>
              </w:rPr>
              <w:t>No.</w:t>
            </w:r>
            <w:r w:rsidRPr="006F1D04">
              <w:rPr>
                <w:rFonts w:ascii="Arial" w:hAnsi="Arial" w:cs="Arial"/>
              </w:rPr>
              <w:t xml:space="preserve"> </w:t>
            </w:r>
            <w:r w:rsidRPr="006F1D04">
              <w:rPr>
                <w:rFonts w:ascii="Arial" w:hAnsi="Arial" w:cs="Arial"/>
                <w:sz w:val="15"/>
                <w:szCs w:val="15"/>
              </w:rPr>
              <w:t>Not relevant to PM standard-setting.</w:t>
            </w:r>
          </w:p>
        </w:tc>
      </w:tr>
      <w:tr w:rsidR="00ED1EA2" w:rsidRPr="006F1D04" w:rsidTr="00ED1EA2">
        <w:trPr>
          <w:cantSplit/>
        </w:trPr>
        <w:tc>
          <w:tcPr>
            <w:tcW w:w="714" w:type="pct"/>
            <w:tcBorders>
              <w:bottom w:val="single" w:sz="4" w:space="0" w:color="0076C0"/>
            </w:tcBorders>
            <w:shd w:val="clear" w:color="auto" w:fill="F2F2F2"/>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6</w:t>
            </w:r>
          </w:p>
        </w:tc>
        <w:tc>
          <w:tcPr>
            <w:tcW w:w="715" w:type="pct"/>
            <w:tcBorders>
              <w:bottom w:val="single" w:sz="4" w:space="0" w:color="0076C0"/>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Ozone standard</w:t>
            </w:r>
          </w:p>
        </w:tc>
        <w:tc>
          <w:tcPr>
            <w:tcW w:w="2301" w:type="pct"/>
            <w:tcBorders>
              <w:bottom w:val="single" w:sz="4" w:space="0" w:color="0076C0"/>
            </w:tcBorders>
            <w:shd w:val="clear" w:color="auto" w:fill="F2F2F2"/>
            <w:tcMar>
              <w:left w:w="85" w:type="dxa"/>
              <w:right w:w="85" w:type="dxa"/>
            </w:tcMar>
          </w:tcPr>
          <w:p w:rsidR="00ED1EA2" w:rsidRPr="006F1D04" w:rsidRDefault="00ED1EA2" w:rsidP="000D027B">
            <w:pPr>
              <w:pStyle w:val="PELTableText"/>
              <w:tabs>
                <w:tab w:val="left" w:pos="7657"/>
              </w:tabs>
              <w:spacing w:before="120" w:after="120" w:line="240" w:lineRule="auto"/>
              <w:rPr>
                <w:rFonts w:ascii="Arial" w:hAnsi="Arial" w:cs="Arial"/>
                <w:sz w:val="15"/>
                <w:szCs w:val="15"/>
              </w:rPr>
            </w:pPr>
            <w:r w:rsidRPr="006F1D04">
              <w:rPr>
                <w:rFonts w:ascii="Arial" w:hAnsi="Arial" w:cs="Arial"/>
                <w:sz w:val="15"/>
                <w:szCs w:val="15"/>
              </w:rPr>
              <w:t>Introduce an 8-hour standard for ozone.</w:t>
            </w:r>
          </w:p>
        </w:tc>
        <w:tc>
          <w:tcPr>
            <w:tcW w:w="1270" w:type="pct"/>
            <w:tcBorders>
              <w:bottom w:val="single" w:sz="4" w:space="0" w:color="0076C0"/>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b/>
                <w:sz w:val="15"/>
                <w:szCs w:val="15"/>
              </w:rPr>
              <w:t>No.</w:t>
            </w:r>
            <w:r w:rsidRPr="006F1D04">
              <w:rPr>
                <w:rFonts w:ascii="Arial" w:hAnsi="Arial" w:cs="Arial"/>
              </w:rPr>
              <w:t xml:space="preserve"> </w:t>
            </w:r>
            <w:r w:rsidRPr="006F1D04">
              <w:rPr>
                <w:rFonts w:ascii="Arial" w:hAnsi="Arial" w:cs="Arial"/>
                <w:sz w:val="15"/>
                <w:szCs w:val="15"/>
              </w:rPr>
              <w:t>Not relevant to PM standard-setting.</w:t>
            </w:r>
          </w:p>
        </w:tc>
      </w:tr>
      <w:tr w:rsidR="00ED1EA2" w:rsidRPr="006F1D04" w:rsidTr="00ED1EA2">
        <w:trPr>
          <w:cantSplit/>
        </w:trPr>
        <w:tc>
          <w:tcPr>
            <w:tcW w:w="714" w:type="pct"/>
            <w:shd w:val="clear" w:color="auto" w:fill="EAF1DD"/>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4</w:t>
            </w:r>
          </w:p>
        </w:tc>
        <w:tc>
          <w:tcPr>
            <w:tcW w:w="715" w:type="pct"/>
            <w:vMerge w:val="restart"/>
            <w:shd w:val="clear" w:color="auto" w:fill="EAF1DD"/>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PM standards</w:t>
            </w:r>
          </w:p>
        </w:tc>
        <w:tc>
          <w:tcPr>
            <w:tcW w:w="2301" w:type="pct"/>
            <w:shd w:val="clear" w:color="auto" w:fill="EAF1DD"/>
            <w:tcMar>
              <w:left w:w="85" w:type="dxa"/>
              <w:right w:w="85" w:type="dxa"/>
            </w:tcMar>
          </w:tcPr>
          <w:p w:rsidR="00ED1EA2" w:rsidRPr="006F1D04" w:rsidRDefault="00ED1EA2" w:rsidP="000D027B">
            <w:pPr>
              <w:pStyle w:val="PELTableText"/>
              <w:tabs>
                <w:tab w:val="left" w:pos="7657"/>
              </w:tabs>
              <w:spacing w:before="120" w:after="120" w:line="240" w:lineRule="auto"/>
              <w:rPr>
                <w:rFonts w:ascii="Arial" w:hAnsi="Arial" w:cs="Arial"/>
                <w:sz w:val="15"/>
                <w:szCs w:val="15"/>
              </w:rPr>
            </w:pPr>
            <w:r w:rsidRPr="006F1D04">
              <w:rPr>
                <w:rFonts w:ascii="Arial" w:hAnsi="Arial" w:cs="Arial"/>
                <w:sz w:val="15"/>
                <w:szCs w:val="15"/>
              </w:rPr>
              <w:t>The AAQ NEPM standards should be revised to take into account new evidence concerning the health effects of air pollution. There are significant health effects at the current levels of air pollution in Australian cities, indicating that the standards are not meeting the requirement for adequate protection of health.</w:t>
            </w:r>
          </w:p>
        </w:tc>
        <w:tc>
          <w:tcPr>
            <w:tcW w:w="1270" w:type="pct"/>
            <w:shd w:val="clear" w:color="auto" w:fill="EAF1DD"/>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b/>
                <w:sz w:val="15"/>
                <w:szCs w:val="15"/>
              </w:rPr>
              <w:t>Yes.</w:t>
            </w:r>
            <w:r w:rsidRPr="006F1D04">
              <w:rPr>
                <w:rFonts w:ascii="Arial" w:hAnsi="Arial" w:cs="Arial"/>
                <w:sz w:val="15"/>
                <w:szCs w:val="15"/>
              </w:rPr>
              <w:t xml:space="preserve"> Health evidence reviewed in detail (Section </w:t>
            </w:r>
            <w:fldSimple w:instr=" REF _Ref367373270 \n \h  \* MERGEFORMAT ">
              <w:r w:rsidR="0085182E">
                <w:rPr>
                  <w:rFonts w:ascii="Arial" w:hAnsi="Arial" w:cs="Arial"/>
                  <w:sz w:val="15"/>
                  <w:szCs w:val="15"/>
                </w:rPr>
                <w:t>3.1</w:t>
              </w:r>
            </w:fldSimple>
            <w:r w:rsidRPr="006F1D04">
              <w:rPr>
                <w:rFonts w:ascii="Arial" w:hAnsi="Arial" w:cs="Arial"/>
                <w:sz w:val="15"/>
                <w:szCs w:val="15"/>
              </w:rPr>
              <w:t>)</w:t>
            </w:r>
          </w:p>
        </w:tc>
      </w:tr>
      <w:tr w:rsidR="00ED1EA2" w:rsidRPr="006F1D04" w:rsidTr="00ED1EA2">
        <w:trPr>
          <w:cantSplit/>
        </w:trPr>
        <w:tc>
          <w:tcPr>
            <w:tcW w:w="714" w:type="pct"/>
            <w:shd w:val="clear" w:color="auto" w:fill="EAF1DD"/>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5</w:t>
            </w:r>
          </w:p>
        </w:tc>
        <w:tc>
          <w:tcPr>
            <w:tcW w:w="715" w:type="pct"/>
            <w:vMerge/>
            <w:shd w:val="clear" w:color="auto" w:fill="EAF1DD"/>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p>
        </w:tc>
        <w:tc>
          <w:tcPr>
            <w:tcW w:w="2301" w:type="pct"/>
            <w:shd w:val="clear" w:color="auto" w:fill="EAF1DD"/>
            <w:tcMar>
              <w:left w:w="85" w:type="dxa"/>
              <w:right w:w="85" w:type="dxa"/>
            </w:tcMar>
          </w:tcPr>
          <w:p w:rsidR="00ED1EA2" w:rsidRPr="006F1D04" w:rsidRDefault="00ED1EA2" w:rsidP="000D027B">
            <w:pPr>
              <w:pStyle w:val="PELTableText"/>
              <w:tabs>
                <w:tab w:val="left" w:pos="7657"/>
              </w:tabs>
              <w:spacing w:before="120" w:after="120" w:line="240" w:lineRule="auto"/>
              <w:rPr>
                <w:rFonts w:ascii="Arial" w:hAnsi="Arial" w:cs="Arial"/>
                <w:sz w:val="15"/>
                <w:szCs w:val="15"/>
              </w:rPr>
            </w:pPr>
            <w:r w:rsidRPr="006F1D04">
              <w:rPr>
                <w:rFonts w:ascii="Arial" w:hAnsi="Arial" w:cs="Arial"/>
                <w:sz w:val="15"/>
                <w:szCs w:val="15"/>
              </w:rPr>
              <w:t>Compliance standards for PM</w:t>
            </w:r>
            <w:r w:rsidRPr="006F1D04">
              <w:rPr>
                <w:rFonts w:ascii="Arial" w:hAnsi="Arial" w:cs="Arial"/>
                <w:sz w:val="15"/>
                <w:szCs w:val="15"/>
                <w:vertAlign w:val="subscript"/>
              </w:rPr>
              <w:t>2.5</w:t>
            </w:r>
            <w:r w:rsidRPr="006F1D04">
              <w:rPr>
                <w:rFonts w:ascii="Arial" w:hAnsi="Arial" w:cs="Arial"/>
                <w:sz w:val="15"/>
                <w:szCs w:val="15"/>
              </w:rPr>
              <w:t xml:space="preserve"> should be introduced. The initial introduction of advisory reporting standards (rather than compliance standards) was due to a lack of monitoring data. All jurisdictions have since been monitoring PM</w:t>
            </w:r>
            <w:r w:rsidRPr="006F1D04">
              <w:rPr>
                <w:rFonts w:ascii="Arial" w:hAnsi="Arial" w:cs="Arial"/>
                <w:sz w:val="15"/>
                <w:szCs w:val="15"/>
                <w:vertAlign w:val="subscript"/>
              </w:rPr>
              <w:t>2.5</w:t>
            </w:r>
            <w:r w:rsidRPr="006F1D04">
              <w:rPr>
                <w:rFonts w:ascii="Arial" w:hAnsi="Arial" w:cs="Arial"/>
                <w:sz w:val="15"/>
                <w:szCs w:val="15"/>
              </w:rPr>
              <w:t xml:space="preserve"> and there are now sufficient data to develop compliance standards.</w:t>
            </w:r>
          </w:p>
        </w:tc>
        <w:tc>
          <w:tcPr>
            <w:tcW w:w="1270" w:type="pct"/>
            <w:shd w:val="clear" w:color="auto" w:fill="EAF1DD"/>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b/>
                <w:sz w:val="15"/>
                <w:szCs w:val="15"/>
              </w:rPr>
              <w:t>Yes.</w:t>
            </w:r>
            <w:r w:rsidRPr="006F1D04">
              <w:rPr>
                <w:rFonts w:ascii="Arial" w:hAnsi="Arial" w:cs="Arial"/>
                <w:sz w:val="15"/>
                <w:szCs w:val="15"/>
              </w:rPr>
              <w:t xml:space="preserve"> Review of health evidence and monitoring data has led to same conclusion (Section </w:t>
            </w:r>
            <w:fldSimple w:instr=" REF _Ref367373270 \n \h  \* MERGEFORMAT ">
              <w:r w:rsidR="0085182E">
                <w:rPr>
                  <w:rFonts w:ascii="Arial" w:hAnsi="Arial" w:cs="Arial"/>
                  <w:sz w:val="15"/>
                  <w:szCs w:val="15"/>
                </w:rPr>
                <w:t>3.1</w:t>
              </w:r>
            </w:fldSimple>
            <w:r w:rsidRPr="006F1D04">
              <w:rPr>
                <w:rFonts w:ascii="Arial" w:hAnsi="Arial" w:cs="Arial"/>
                <w:sz w:val="15"/>
                <w:szCs w:val="15"/>
              </w:rPr>
              <w:t xml:space="preserve"> and Section </w:t>
            </w:r>
            <w:fldSimple w:instr=" REF _Ref367373490 \n \h  \* MERGEFORMAT ">
              <w:r w:rsidR="0085182E">
                <w:rPr>
                  <w:rFonts w:ascii="Arial" w:hAnsi="Arial" w:cs="Arial"/>
                  <w:sz w:val="15"/>
                  <w:szCs w:val="15"/>
                </w:rPr>
                <w:t>5.3</w:t>
              </w:r>
            </w:fldSimple>
            <w:r w:rsidRPr="006F1D04">
              <w:rPr>
                <w:rFonts w:ascii="Arial" w:hAnsi="Arial" w:cs="Arial"/>
                <w:sz w:val="15"/>
                <w:szCs w:val="15"/>
              </w:rPr>
              <w:t>)</w:t>
            </w:r>
          </w:p>
        </w:tc>
      </w:tr>
      <w:tr w:rsidR="00ED1EA2" w:rsidRPr="006F1D04" w:rsidTr="00ED1EA2">
        <w:trPr>
          <w:cantSplit/>
        </w:trPr>
        <w:tc>
          <w:tcPr>
            <w:tcW w:w="714" w:type="pct"/>
            <w:shd w:val="clear" w:color="auto" w:fill="EAF1DD"/>
          </w:tcPr>
          <w:p w:rsidR="00ED1EA2" w:rsidRPr="006F1D04" w:rsidRDefault="00ED1EA2" w:rsidP="000D027B">
            <w:pPr>
              <w:pStyle w:val="PELTableText"/>
              <w:spacing w:before="120" w:after="120" w:line="240" w:lineRule="auto"/>
              <w:rPr>
                <w:rFonts w:ascii="Arial" w:hAnsi="Arial" w:cs="Arial"/>
                <w:sz w:val="15"/>
                <w:szCs w:val="15"/>
              </w:rPr>
            </w:pPr>
          </w:p>
        </w:tc>
        <w:tc>
          <w:tcPr>
            <w:tcW w:w="715" w:type="pct"/>
            <w:vMerge/>
            <w:shd w:val="clear" w:color="auto" w:fill="EAF1DD"/>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p>
        </w:tc>
        <w:tc>
          <w:tcPr>
            <w:tcW w:w="2301" w:type="pct"/>
            <w:shd w:val="clear" w:color="auto" w:fill="EAF1DD"/>
            <w:tcMar>
              <w:left w:w="85" w:type="dxa"/>
              <w:right w:w="85" w:type="dxa"/>
            </w:tcMar>
          </w:tcPr>
          <w:p w:rsidR="00ED1EA2" w:rsidRPr="006F1D04" w:rsidRDefault="00ED1EA2" w:rsidP="000D027B">
            <w:pPr>
              <w:pStyle w:val="PELTableText"/>
              <w:tabs>
                <w:tab w:val="left" w:pos="7657"/>
              </w:tabs>
              <w:spacing w:before="120" w:after="120" w:line="240" w:lineRule="auto"/>
              <w:rPr>
                <w:rFonts w:ascii="Arial" w:hAnsi="Arial" w:cs="Arial"/>
                <w:sz w:val="15"/>
                <w:szCs w:val="15"/>
              </w:rPr>
            </w:pPr>
            <w:r w:rsidRPr="006F1D04">
              <w:rPr>
                <w:rFonts w:ascii="Arial" w:hAnsi="Arial" w:cs="Arial"/>
                <w:sz w:val="15"/>
                <w:szCs w:val="15"/>
              </w:rPr>
              <w:t>For PM</w:t>
            </w:r>
            <w:r w:rsidRPr="006F1D04">
              <w:rPr>
                <w:rFonts w:ascii="Arial" w:hAnsi="Arial" w:cs="Arial"/>
                <w:sz w:val="15"/>
                <w:szCs w:val="15"/>
                <w:vertAlign w:val="subscript"/>
              </w:rPr>
              <w:t>2.5</w:t>
            </w:r>
            <w:r w:rsidRPr="006F1D04">
              <w:rPr>
                <w:rFonts w:ascii="Arial" w:hAnsi="Arial" w:cs="Arial"/>
                <w:sz w:val="15"/>
                <w:szCs w:val="15"/>
              </w:rPr>
              <w:t xml:space="preserve"> the current averaging periods are appropriate and should be retained. </w:t>
            </w:r>
          </w:p>
        </w:tc>
        <w:tc>
          <w:tcPr>
            <w:tcW w:w="1270" w:type="pct"/>
            <w:shd w:val="clear" w:color="auto" w:fill="EAF1DD"/>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b/>
                <w:sz w:val="15"/>
                <w:szCs w:val="15"/>
              </w:rPr>
              <w:t>Yes.</w:t>
            </w:r>
            <w:r w:rsidRPr="006F1D04">
              <w:rPr>
                <w:rFonts w:ascii="Arial" w:hAnsi="Arial" w:cs="Arial"/>
                <w:sz w:val="15"/>
                <w:szCs w:val="15"/>
              </w:rPr>
              <w:t xml:space="preserve"> Review of health evidence has led to same conclusion (Section </w:t>
            </w:r>
            <w:fldSimple w:instr=" REF _Ref367373270 \n \h  \* MERGEFORMAT ">
              <w:r w:rsidR="0085182E">
                <w:rPr>
                  <w:rFonts w:ascii="Arial" w:hAnsi="Arial" w:cs="Arial"/>
                  <w:sz w:val="15"/>
                  <w:szCs w:val="15"/>
                </w:rPr>
                <w:t>3.1</w:t>
              </w:r>
            </w:fldSimple>
            <w:r w:rsidRPr="006F1D04">
              <w:rPr>
                <w:rFonts w:ascii="Arial" w:hAnsi="Arial" w:cs="Arial"/>
                <w:sz w:val="15"/>
                <w:szCs w:val="15"/>
              </w:rPr>
              <w:t>)</w:t>
            </w:r>
          </w:p>
        </w:tc>
      </w:tr>
      <w:tr w:rsidR="00ED1EA2" w:rsidRPr="006F1D04" w:rsidTr="00ED1EA2">
        <w:trPr>
          <w:cantSplit/>
        </w:trPr>
        <w:tc>
          <w:tcPr>
            <w:tcW w:w="714" w:type="pct"/>
            <w:shd w:val="clear" w:color="auto" w:fill="EAF1DD"/>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7</w:t>
            </w:r>
          </w:p>
        </w:tc>
        <w:tc>
          <w:tcPr>
            <w:tcW w:w="715" w:type="pct"/>
            <w:vMerge/>
            <w:shd w:val="clear" w:color="auto" w:fill="EAF1DD"/>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p>
        </w:tc>
        <w:tc>
          <w:tcPr>
            <w:tcW w:w="2301" w:type="pct"/>
            <w:shd w:val="clear" w:color="auto" w:fill="EAF1DD"/>
            <w:tcMar>
              <w:left w:w="85" w:type="dxa"/>
              <w:right w:w="85" w:type="dxa"/>
            </w:tcMar>
          </w:tcPr>
          <w:p w:rsidR="00ED1EA2" w:rsidRPr="006F1D04" w:rsidRDefault="00ED1EA2" w:rsidP="000D027B">
            <w:pPr>
              <w:pStyle w:val="PELTableText"/>
              <w:tabs>
                <w:tab w:val="left" w:pos="7657"/>
              </w:tabs>
              <w:spacing w:before="120" w:after="120" w:line="240" w:lineRule="auto"/>
              <w:rPr>
                <w:rFonts w:ascii="Arial" w:hAnsi="Arial" w:cs="Arial"/>
                <w:sz w:val="15"/>
                <w:szCs w:val="15"/>
              </w:rPr>
            </w:pPr>
            <w:r w:rsidRPr="006F1D04">
              <w:rPr>
                <w:rFonts w:ascii="Arial" w:hAnsi="Arial" w:cs="Arial"/>
                <w:sz w:val="15"/>
                <w:szCs w:val="15"/>
              </w:rPr>
              <w:t>The current PM</w:t>
            </w:r>
            <w:r w:rsidRPr="006F1D04">
              <w:rPr>
                <w:rFonts w:ascii="Arial" w:hAnsi="Arial" w:cs="Arial"/>
                <w:sz w:val="15"/>
                <w:szCs w:val="15"/>
                <w:vertAlign w:val="subscript"/>
              </w:rPr>
              <w:t>10</w:t>
            </w:r>
            <w:r w:rsidRPr="006F1D04">
              <w:rPr>
                <w:rFonts w:ascii="Arial" w:hAnsi="Arial" w:cs="Arial"/>
                <w:sz w:val="15"/>
                <w:szCs w:val="15"/>
              </w:rPr>
              <w:t xml:space="preserve"> standard addresses short-term effects, and an annual average standard for PM</w:t>
            </w:r>
            <w:r w:rsidRPr="006F1D04">
              <w:rPr>
                <w:rFonts w:ascii="Arial" w:hAnsi="Arial" w:cs="Arial"/>
                <w:sz w:val="15"/>
                <w:szCs w:val="15"/>
                <w:vertAlign w:val="subscript"/>
              </w:rPr>
              <w:t>10</w:t>
            </w:r>
            <w:r w:rsidRPr="006F1D04">
              <w:rPr>
                <w:rFonts w:ascii="Arial" w:hAnsi="Arial" w:cs="Arial"/>
                <w:sz w:val="15"/>
                <w:szCs w:val="15"/>
              </w:rPr>
              <w:t xml:space="preserve"> should also be included in the AAQ NEPM.</w:t>
            </w:r>
          </w:p>
        </w:tc>
        <w:tc>
          <w:tcPr>
            <w:tcW w:w="1270" w:type="pct"/>
            <w:shd w:val="clear" w:color="auto" w:fill="EAF1DD"/>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b/>
                <w:sz w:val="15"/>
                <w:szCs w:val="15"/>
              </w:rPr>
              <w:t>Yes.</w:t>
            </w:r>
            <w:r w:rsidRPr="006F1D04">
              <w:rPr>
                <w:rFonts w:ascii="Arial" w:hAnsi="Arial" w:cs="Arial"/>
                <w:sz w:val="15"/>
                <w:szCs w:val="15"/>
              </w:rPr>
              <w:t xml:space="preserve"> Review of health evidence has led to same conclusion (Section </w:t>
            </w:r>
            <w:fldSimple w:instr=" REF _Ref367373270 \n \h  \* MERGEFORMAT ">
              <w:r w:rsidR="0085182E">
                <w:rPr>
                  <w:rFonts w:ascii="Arial" w:hAnsi="Arial" w:cs="Arial"/>
                  <w:sz w:val="15"/>
                  <w:szCs w:val="15"/>
                </w:rPr>
                <w:t>3.1</w:t>
              </w:r>
            </w:fldSimple>
            <w:r w:rsidRPr="006F1D04">
              <w:rPr>
                <w:rFonts w:ascii="Arial" w:hAnsi="Arial" w:cs="Arial"/>
                <w:sz w:val="15"/>
                <w:szCs w:val="15"/>
              </w:rPr>
              <w:t>)</w:t>
            </w:r>
          </w:p>
        </w:tc>
      </w:tr>
      <w:tr w:rsidR="00ED1EA2" w:rsidRPr="006F1D04" w:rsidTr="00ED1EA2">
        <w:trPr>
          <w:cantSplit/>
        </w:trPr>
        <w:tc>
          <w:tcPr>
            <w:tcW w:w="714" w:type="pct"/>
            <w:tcBorders>
              <w:bottom w:val="single" w:sz="4" w:space="0" w:color="0070C0"/>
            </w:tcBorders>
            <w:shd w:val="clear" w:color="auto" w:fill="EAF1DD"/>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9</w:t>
            </w:r>
          </w:p>
        </w:tc>
        <w:tc>
          <w:tcPr>
            <w:tcW w:w="715" w:type="pct"/>
            <w:vMerge/>
            <w:tcBorders>
              <w:bottom w:val="single" w:sz="4" w:space="0" w:color="0076C0"/>
            </w:tcBorders>
            <w:shd w:val="clear" w:color="auto" w:fill="EAF1DD"/>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p>
        </w:tc>
        <w:tc>
          <w:tcPr>
            <w:tcW w:w="2301" w:type="pct"/>
            <w:shd w:val="clear" w:color="auto" w:fill="EAF1DD"/>
            <w:tcMar>
              <w:left w:w="85" w:type="dxa"/>
              <w:right w:w="85" w:type="dxa"/>
            </w:tcMar>
          </w:tcPr>
          <w:p w:rsidR="00ED1EA2" w:rsidRPr="006F1D04" w:rsidRDefault="00ED1EA2" w:rsidP="000D027B">
            <w:pPr>
              <w:pStyle w:val="PELTableText"/>
              <w:tabs>
                <w:tab w:val="left" w:pos="7657"/>
              </w:tabs>
              <w:spacing w:before="120" w:after="120" w:line="240" w:lineRule="auto"/>
              <w:rPr>
                <w:rFonts w:ascii="Arial" w:hAnsi="Arial" w:cs="Arial"/>
                <w:sz w:val="15"/>
                <w:szCs w:val="15"/>
              </w:rPr>
            </w:pPr>
            <w:r w:rsidRPr="006F1D04">
              <w:rPr>
                <w:rFonts w:ascii="Arial" w:hAnsi="Arial" w:cs="Arial"/>
                <w:sz w:val="15"/>
                <w:szCs w:val="15"/>
              </w:rPr>
              <w:t>Allowable exceedances should be removed from the AAQ NEPM and a natural events rule should be introduced to account for major natural events, including the definition of these events and criteria for assessment and reporting.</w:t>
            </w:r>
          </w:p>
        </w:tc>
        <w:tc>
          <w:tcPr>
            <w:tcW w:w="1270" w:type="pct"/>
            <w:shd w:val="clear" w:color="auto" w:fill="EAF1DD"/>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b/>
                <w:sz w:val="15"/>
                <w:szCs w:val="15"/>
              </w:rPr>
              <w:t>Yes.</w:t>
            </w:r>
            <w:r w:rsidRPr="006F1D04">
              <w:rPr>
                <w:rFonts w:ascii="Arial" w:hAnsi="Arial" w:cs="Arial"/>
                <w:sz w:val="15"/>
                <w:szCs w:val="15"/>
              </w:rPr>
              <w:t xml:space="preserve"> Discussed in Section </w:t>
            </w:r>
            <w:fldSimple w:instr=" REF _Ref367373619 \n \h  \* MERGEFORMAT ">
              <w:r w:rsidR="0085182E">
                <w:rPr>
                  <w:rFonts w:ascii="Arial" w:hAnsi="Arial" w:cs="Arial"/>
                  <w:sz w:val="15"/>
                  <w:szCs w:val="15"/>
                </w:rPr>
                <w:t>7.5</w:t>
              </w:r>
            </w:fldSimple>
            <w:r w:rsidRPr="006F1D04">
              <w:rPr>
                <w:rFonts w:ascii="Arial" w:hAnsi="Arial" w:cs="Arial"/>
                <w:sz w:val="15"/>
                <w:szCs w:val="15"/>
              </w:rPr>
              <w:t>. Options are considered, but no conclusion is drawn at this stage. To be considered following consultation.</w:t>
            </w:r>
          </w:p>
        </w:tc>
      </w:tr>
      <w:tr w:rsidR="00ED1EA2" w:rsidRPr="006F1D04" w:rsidTr="0095212E">
        <w:trPr>
          <w:cantSplit/>
        </w:trPr>
        <w:tc>
          <w:tcPr>
            <w:tcW w:w="714" w:type="pct"/>
            <w:tcBorders>
              <w:top w:val="single" w:sz="4" w:space="0" w:color="0070C0"/>
              <w:bottom w:val="single" w:sz="4" w:space="0" w:color="0070C0"/>
            </w:tcBorders>
            <w:shd w:val="clear" w:color="auto" w:fill="EAF1DD"/>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8</w:t>
            </w:r>
          </w:p>
        </w:tc>
        <w:tc>
          <w:tcPr>
            <w:tcW w:w="715" w:type="pct"/>
            <w:tcBorders>
              <w:bottom w:val="single" w:sz="4" w:space="0" w:color="0076C0"/>
            </w:tcBorders>
            <w:shd w:val="clear" w:color="auto" w:fill="EAF1DD"/>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Exposure reduction</w:t>
            </w:r>
          </w:p>
        </w:tc>
        <w:tc>
          <w:tcPr>
            <w:tcW w:w="2301" w:type="pct"/>
            <w:tcBorders>
              <w:bottom w:val="single" w:sz="4" w:space="0" w:color="0070C0"/>
            </w:tcBorders>
            <w:shd w:val="clear" w:color="auto" w:fill="EAF1DD"/>
            <w:tcMar>
              <w:left w:w="85" w:type="dxa"/>
              <w:right w:w="85" w:type="dxa"/>
            </w:tcMar>
          </w:tcPr>
          <w:p w:rsidR="00ED1EA2" w:rsidRPr="006F1D04" w:rsidRDefault="00ED1EA2" w:rsidP="000D027B">
            <w:pPr>
              <w:pStyle w:val="PELTableText"/>
              <w:tabs>
                <w:tab w:val="left" w:pos="7657"/>
              </w:tabs>
              <w:spacing w:before="120" w:after="120" w:line="240" w:lineRule="auto"/>
              <w:rPr>
                <w:rFonts w:ascii="Arial" w:hAnsi="Arial" w:cs="Arial"/>
                <w:sz w:val="15"/>
                <w:szCs w:val="15"/>
              </w:rPr>
            </w:pPr>
            <w:r w:rsidRPr="006F1D04">
              <w:rPr>
                <w:rFonts w:ascii="Arial" w:hAnsi="Arial" w:cs="Arial"/>
                <w:sz w:val="15"/>
                <w:szCs w:val="15"/>
              </w:rPr>
              <w:t xml:space="preserve">The current air quality standards do not provide sufficient protection for human health, and the implementation of a risk-based exposure-reduction framework should improve the AAQ NEPM’s effectiveness. This would also align Australian air quality management policy with international best practice. </w:t>
            </w:r>
          </w:p>
        </w:tc>
        <w:tc>
          <w:tcPr>
            <w:tcW w:w="1270" w:type="pct"/>
            <w:tcBorders>
              <w:bottom w:val="single" w:sz="4" w:space="0" w:color="0070C0"/>
            </w:tcBorders>
            <w:shd w:val="clear" w:color="auto" w:fill="EAF1DD"/>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b/>
                <w:sz w:val="15"/>
                <w:szCs w:val="15"/>
              </w:rPr>
              <w:t>Yes.</w:t>
            </w:r>
            <w:r w:rsidRPr="006F1D04">
              <w:rPr>
                <w:rFonts w:ascii="Arial" w:hAnsi="Arial" w:cs="Arial"/>
                <w:sz w:val="15"/>
                <w:szCs w:val="15"/>
              </w:rPr>
              <w:t xml:space="preserve"> Sections 4.2.2 and 7.7.</w:t>
            </w:r>
          </w:p>
        </w:tc>
      </w:tr>
      <w:tr w:rsidR="00ED1EA2" w:rsidRPr="006F1D04" w:rsidTr="0095212E">
        <w:trPr>
          <w:cantSplit/>
        </w:trPr>
        <w:tc>
          <w:tcPr>
            <w:tcW w:w="714" w:type="pct"/>
            <w:tcBorders>
              <w:top w:val="single" w:sz="4" w:space="0" w:color="0070C0"/>
              <w:bottom w:val="single" w:sz="4" w:space="0" w:color="0076C0"/>
            </w:tcBorders>
            <w:shd w:val="clear" w:color="auto" w:fill="F2F2F2"/>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14</w:t>
            </w:r>
          </w:p>
        </w:tc>
        <w:tc>
          <w:tcPr>
            <w:tcW w:w="715" w:type="pct"/>
            <w:tcBorders>
              <w:top w:val="single" w:sz="4" w:space="0" w:color="0076C0"/>
              <w:bottom w:val="single" w:sz="4" w:space="0" w:color="0076C0"/>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p>
        </w:tc>
        <w:tc>
          <w:tcPr>
            <w:tcW w:w="2301" w:type="pct"/>
            <w:tcBorders>
              <w:top w:val="single" w:sz="4" w:space="0" w:color="0070C0"/>
              <w:bottom w:val="single" w:sz="4" w:space="0" w:color="0076C0"/>
            </w:tcBorders>
            <w:shd w:val="clear" w:color="auto" w:fill="F2F2F2"/>
            <w:tcMar>
              <w:left w:w="85" w:type="dxa"/>
              <w:right w:w="85" w:type="dxa"/>
            </w:tcMar>
          </w:tcPr>
          <w:p w:rsidR="00ED1EA2" w:rsidRPr="006F1D04" w:rsidRDefault="00ED1EA2" w:rsidP="000D027B">
            <w:pPr>
              <w:pStyle w:val="PELTableText"/>
              <w:tabs>
                <w:tab w:val="left" w:pos="7657"/>
              </w:tabs>
              <w:spacing w:before="120" w:after="120" w:line="240" w:lineRule="auto"/>
              <w:rPr>
                <w:rFonts w:ascii="Arial" w:hAnsi="Arial" w:cs="Arial"/>
                <w:sz w:val="15"/>
                <w:szCs w:val="15"/>
              </w:rPr>
            </w:pPr>
            <w:r w:rsidRPr="006F1D04">
              <w:rPr>
                <w:rFonts w:ascii="Arial" w:hAnsi="Arial" w:cs="Arial"/>
                <w:sz w:val="15"/>
                <w:szCs w:val="15"/>
              </w:rPr>
              <w:t>The development of nationally consistent approaches to emissions inventory compilation, modelling and estimating population exposure would be beneficial. In addition, protocols would be required for applying exposure-reduction targets and reporting on progress towards meeting them, including what should happen if they are not met.</w:t>
            </w:r>
          </w:p>
        </w:tc>
        <w:tc>
          <w:tcPr>
            <w:tcW w:w="1270" w:type="pct"/>
            <w:tcBorders>
              <w:top w:val="single" w:sz="4" w:space="0" w:color="0070C0"/>
              <w:bottom w:val="single" w:sz="4" w:space="0" w:color="0076C0"/>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b/>
                <w:sz w:val="15"/>
                <w:szCs w:val="15"/>
              </w:rPr>
              <w:t>No.</w:t>
            </w:r>
            <w:r w:rsidRPr="006F1D04">
              <w:rPr>
                <w:rFonts w:ascii="Arial" w:hAnsi="Arial" w:cs="Arial"/>
                <w:sz w:val="15"/>
                <w:szCs w:val="15"/>
              </w:rPr>
              <w:t xml:space="preserve"> Considered to be outside the scope of </w:t>
            </w:r>
            <w:r w:rsidRPr="006F1D04">
              <w:rPr>
                <w:rFonts w:ascii="Arial" w:hAnsi="Arial"/>
              </w:rPr>
              <w:t>Impact Statement</w:t>
            </w:r>
            <w:r w:rsidRPr="006F1D04">
              <w:rPr>
                <w:rFonts w:ascii="Arial" w:hAnsi="Arial" w:cs="Arial"/>
                <w:sz w:val="15"/>
                <w:szCs w:val="15"/>
              </w:rPr>
              <w:t>.</w:t>
            </w:r>
          </w:p>
        </w:tc>
      </w:tr>
    </w:tbl>
    <w:p w:rsidR="00ED1EA2" w:rsidRDefault="00ED1EA2" w:rsidP="00CD2AEC">
      <w:pPr>
        <w:rPr>
          <w:rFonts w:ascii="Arial" w:hAnsi="Arial" w:cs="Arial"/>
        </w:rPr>
      </w:pPr>
    </w:p>
    <w:p w:rsidR="00ED1EA2" w:rsidRDefault="00ED1EA2" w:rsidP="00ED1EA2">
      <w:r>
        <w:br w:type="page"/>
      </w:r>
    </w:p>
    <w:tbl>
      <w:tblPr>
        <w:tblpPr w:leftFromText="180" w:rightFromText="180" w:vertAnchor="text" w:tblpX="108" w:tblpY="1"/>
        <w:tblOverlap w:val="never"/>
        <w:tblW w:w="4844" w:type="pct"/>
        <w:tblBorders>
          <w:top w:val="single" w:sz="4" w:space="0" w:color="0076C0"/>
          <w:left w:val="single" w:sz="4" w:space="0" w:color="0076C0"/>
          <w:bottom w:val="single" w:sz="4" w:space="0" w:color="0076C0"/>
          <w:right w:val="single" w:sz="4" w:space="0" w:color="0076C0"/>
          <w:insideH w:val="single" w:sz="4" w:space="0" w:color="0076C0"/>
          <w:insideV w:val="single" w:sz="4" w:space="0" w:color="0076C0"/>
        </w:tblBorders>
        <w:tblLayout w:type="fixed"/>
        <w:tblLook w:val="0000"/>
      </w:tblPr>
      <w:tblGrid>
        <w:gridCol w:w="1276"/>
        <w:gridCol w:w="1277"/>
        <w:gridCol w:w="4110"/>
        <w:gridCol w:w="2268"/>
      </w:tblGrid>
      <w:tr w:rsidR="00ED1EA2" w:rsidRPr="006F1D04" w:rsidTr="00ED1EA2">
        <w:trPr>
          <w:cantSplit/>
          <w:tblHeader/>
        </w:trPr>
        <w:tc>
          <w:tcPr>
            <w:tcW w:w="714" w:type="pct"/>
            <w:tcBorders>
              <w:bottom w:val="single" w:sz="4" w:space="0" w:color="0076C0"/>
            </w:tcBorders>
            <w:shd w:val="clear" w:color="auto" w:fill="0076C0"/>
          </w:tcPr>
          <w:p w:rsidR="00ED1EA2" w:rsidRPr="006F1D04" w:rsidRDefault="00ED1EA2" w:rsidP="000D027B">
            <w:pPr>
              <w:pStyle w:val="PELTableHeader"/>
              <w:spacing w:before="120" w:after="120" w:line="240" w:lineRule="auto"/>
              <w:jc w:val="left"/>
              <w:rPr>
                <w:rFonts w:ascii="Arial" w:hAnsi="Arial" w:cs="Arial"/>
                <w:sz w:val="15"/>
                <w:szCs w:val="15"/>
              </w:rPr>
            </w:pPr>
            <w:r w:rsidRPr="006F1D04">
              <w:rPr>
                <w:rFonts w:ascii="Arial" w:hAnsi="Arial" w:cs="Arial"/>
                <w:sz w:val="15"/>
                <w:szCs w:val="15"/>
              </w:rPr>
              <w:lastRenderedPageBreak/>
              <w:t>Number in AAQ NEPM review</w:t>
            </w:r>
          </w:p>
        </w:tc>
        <w:tc>
          <w:tcPr>
            <w:tcW w:w="715" w:type="pct"/>
            <w:tcBorders>
              <w:bottom w:val="single" w:sz="4" w:space="0" w:color="0076C0"/>
            </w:tcBorders>
            <w:shd w:val="clear" w:color="auto" w:fill="0076C0"/>
            <w:tcMar>
              <w:left w:w="85" w:type="dxa"/>
              <w:right w:w="85" w:type="dxa"/>
            </w:tcMar>
            <w:vAlign w:val="center"/>
          </w:tcPr>
          <w:p w:rsidR="00ED1EA2" w:rsidRPr="006F1D04" w:rsidRDefault="00ED1EA2" w:rsidP="000D027B">
            <w:pPr>
              <w:pStyle w:val="PELTableHeader"/>
              <w:spacing w:before="120" w:after="120" w:line="240" w:lineRule="auto"/>
              <w:jc w:val="left"/>
              <w:rPr>
                <w:rFonts w:ascii="Arial" w:hAnsi="Arial" w:cs="Arial"/>
                <w:sz w:val="15"/>
                <w:szCs w:val="15"/>
              </w:rPr>
            </w:pPr>
            <w:r w:rsidRPr="006F1D04">
              <w:rPr>
                <w:rFonts w:ascii="Arial" w:hAnsi="Arial" w:cs="Arial"/>
                <w:sz w:val="15"/>
                <w:szCs w:val="15"/>
              </w:rPr>
              <w:t>Aspect of AAQ NEPM</w:t>
            </w:r>
          </w:p>
        </w:tc>
        <w:tc>
          <w:tcPr>
            <w:tcW w:w="2301" w:type="pct"/>
            <w:tcBorders>
              <w:bottom w:val="single" w:sz="4" w:space="0" w:color="0076C0"/>
            </w:tcBorders>
            <w:shd w:val="clear" w:color="auto" w:fill="0076C0"/>
            <w:tcMar>
              <w:left w:w="85" w:type="dxa"/>
              <w:right w:w="85" w:type="dxa"/>
            </w:tcMar>
            <w:vAlign w:val="center"/>
          </w:tcPr>
          <w:p w:rsidR="00ED1EA2" w:rsidRPr="006F1D04" w:rsidRDefault="00ED1EA2" w:rsidP="000D027B">
            <w:pPr>
              <w:pStyle w:val="PELTableHeader"/>
              <w:spacing w:before="120" w:after="120" w:line="240" w:lineRule="auto"/>
              <w:jc w:val="left"/>
              <w:rPr>
                <w:rFonts w:ascii="Arial" w:hAnsi="Arial" w:cs="Arial"/>
                <w:sz w:val="15"/>
                <w:szCs w:val="15"/>
              </w:rPr>
            </w:pPr>
            <w:r w:rsidRPr="006F1D04">
              <w:rPr>
                <w:rFonts w:ascii="Arial" w:hAnsi="Arial" w:cs="Arial"/>
                <w:sz w:val="15"/>
                <w:szCs w:val="15"/>
              </w:rPr>
              <w:t>Review recommendation</w:t>
            </w:r>
          </w:p>
        </w:tc>
        <w:tc>
          <w:tcPr>
            <w:tcW w:w="1270" w:type="pct"/>
            <w:tcBorders>
              <w:bottom w:val="single" w:sz="4" w:space="0" w:color="0076C0"/>
            </w:tcBorders>
            <w:shd w:val="clear" w:color="auto" w:fill="0076C0"/>
            <w:tcMar>
              <w:left w:w="85" w:type="dxa"/>
              <w:right w:w="85" w:type="dxa"/>
            </w:tcMar>
            <w:vAlign w:val="center"/>
          </w:tcPr>
          <w:p w:rsidR="00ED1EA2" w:rsidRPr="006F1D04" w:rsidRDefault="00ED1EA2" w:rsidP="000D027B">
            <w:pPr>
              <w:pStyle w:val="PELTableHeader"/>
              <w:spacing w:line="240" w:lineRule="auto"/>
              <w:jc w:val="left"/>
              <w:rPr>
                <w:rFonts w:ascii="Arial" w:hAnsi="Arial" w:cs="Arial"/>
                <w:sz w:val="15"/>
                <w:szCs w:val="15"/>
              </w:rPr>
            </w:pPr>
            <w:r w:rsidRPr="006F1D04">
              <w:rPr>
                <w:rFonts w:ascii="Arial" w:hAnsi="Arial" w:cs="Arial"/>
                <w:sz w:val="15"/>
                <w:szCs w:val="15"/>
              </w:rPr>
              <w:t xml:space="preserve">Included in Information </w:t>
            </w:r>
            <w:r w:rsidRPr="006F1D04">
              <w:rPr>
                <w:rFonts w:ascii="Arial" w:hAnsi="Arial"/>
              </w:rPr>
              <w:t>Impact Statement</w:t>
            </w:r>
            <w:r w:rsidRPr="006F1D04">
              <w:rPr>
                <w:rFonts w:ascii="Arial" w:hAnsi="Arial" w:cs="Arial"/>
                <w:sz w:val="15"/>
                <w:szCs w:val="15"/>
              </w:rPr>
              <w:t>?</w:t>
            </w:r>
          </w:p>
        </w:tc>
      </w:tr>
      <w:tr w:rsidR="00ED1EA2" w:rsidRPr="006F1D04" w:rsidTr="00026145">
        <w:trPr>
          <w:cantSplit/>
        </w:trPr>
        <w:tc>
          <w:tcPr>
            <w:tcW w:w="714" w:type="pct"/>
            <w:tcBorders>
              <w:bottom w:val="nil"/>
            </w:tcBorders>
            <w:shd w:val="clear" w:color="auto" w:fill="F2F2F2"/>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10</w:t>
            </w:r>
          </w:p>
        </w:tc>
        <w:tc>
          <w:tcPr>
            <w:tcW w:w="715" w:type="pct"/>
            <w:vMerge w:val="restart"/>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Performance monitoring stations</w:t>
            </w:r>
          </w:p>
        </w:tc>
        <w:tc>
          <w:tcPr>
            <w:tcW w:w="2301" w:type="pct"/>
            <w:tcBorders>
              <w:bottom w:val="single" w:sz="4" w:space="0" w:color="0070C0"/>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Siting: the GRUB concept does not fit well with current population exposure approaches. There has been confusion around the definition of GRUB stations, and this has led to inconsistencies between jurisdictions. The recommendations were to discontinue the GRUB concept and to redesign the monitoring networks to represent population exposure on a pollutant-by-pollutant basis without compromising data collection for long-term trend analysis.</w:t>
            </w:r>
          </w:p>
        </w:tc>
        <w:tc>
          <w:tcPr>
            <w:tcW w:w="1270" w:type="pct"/>
            <w:tcBorders>
              <w:bottom w:val="single" w:sz="4" w:space="0" w:color="0070C0"/>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b/>
                <w:sz w:val="15"/>
                <w:szCs w:val="15"/>
              </w:rPr>
              <w:t>No.</w:t>
            </w:r>
            <w:r w:rsidRPr="006F1D04">
              <w:rPr>
                <w:rFonts w:ascii="Arial" w:hAnsi="Arial" w:cs="Arial"/>
                <w:sz w:val="15"/>
                <w:szCs w:val="15"/>
              </w:rPr>
              <w:t xml:space="preserve"> A detailed treatment of this was outside the scope of the </w:t>
            </w:r>
            <w:r w:rsidRPr="006F1D04">
              <w:rPr>
                <w:rFonts w:ascii="Arial" w:hAnsi="Arial"/>
                <w:sz w:val="15"/>
                <w:szCs w:val="15"/>
              </w:rPr>
              <w:t>Impact Statement</w:t>
            </w:r>
            <w:r w:rsidRPr="006F1D04">
              <w:rPr>
                <w:rFonts w:ascii="Arial" w:hAnsi="Arial" w:cs="Arial"/>
                <w:sz w:val="15"/>
                <w:szCs w:val="15"/>
              </w:rPr>
              <w:t>.</w:t>
            </w:r>
          </w:p>
        </w:tc>
      </w:tr>
      <w:tr w:rsidR="00ED1EA2" w:rsidRPr="006F1D04" w:rsidTr="00026145">
        <w:trPr>
          <w:cantSplit/>
        </w:trPr>
        <w:tc>
          <w:tcPr>
            <w:tcW w:w="714" w:type="pct"/>
            <w:tcBorders>
              <w:top w:val="nil"/>
              <w:bottom w:val="single" w:sz="4" w:space="0" w:color="0076C0"/>
            </w:tcBorders>
            <w:shd w:val="clear" w:color="auto" w:fill="F2F2F2"/>
          </w:tcPr>
          <w:p w:rsidR="00ED1EA2" w:rsidRPr="006F1D04" w:rsidRDefault="00ED1EA2" w:rsidP="000D027B">
            <w:pPr>
              <w:pStyle w:val="PELTableText"/>
              <w:spacing w:before="120" w:after="120" w:line="240" w:lineRule="auto"/>
              <w:rPr>
                <w:rFonts w:ascii="Arial" w:hAnsi="Arial" w:cs="Arial"/>
                <w:sz w:val="15"/>
                <w:szCs w:val="15"/>
              </w:rPr>
            </w:pPr>
          </w:p>
        </w:tc>
        <w:tc>
          <w:tcPr>
            <w:tcW w:w="715" w:type="pct"/>
            <w:vMerge/>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p>
        </w:tc>
        <w:tc>
          <w:tcPr>
            <w:tcW w:w="2301" w:type="pct"/>
            <w:tcBorders>
              <w:top w:val="single" w:sz="4" w:space="0" w:color="0070C0"/>
              <w:bottom w:val="single" w:sz="4" w:space="0" w:color="0076C0"/>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The ‘other means’ of evaluating performance (such as dispersion modelling) do not appear to have been used widely by the jurisdictions. These could be especially valuable for assessing exposure reduction.</w:t>
            </w:r>
          </w:p>
        </w:tc>
        <w:tc>
          <w:tcPr>
            <w:tcW w:w="1270" w:type="pct"/>
            <w:tcBorders>
              <w:top w:val="single" w:sz="4" w:space="0" w:color="0070C0"/>
              <w:bottom w:val="single" w:sz="4" w:space="0" w:color="0076C0"/>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b/>
                <w:sz w:val="15"/>
                <w:szCs w:val="15"/>
              </w:rPr>
              <w:t>No.</w:t>
            </w:r>
            <w:r w:rsidRPr="006F1D04">
              <w:rPr>
                <w:rFonts w:ascii="Arial" w:hAnsi="Arial" w:cs="Arial"/>
                <w:sz w:val="15"/>
                <w:szCs w:val="15"/>
              </w:rPr>
              <w:t xml:space="preserve"> A detailed treatment of this was outside the scope of the </w:t>
            </w:r>
            <w:r w:rsidRPr="006F1D04">
              <w:rPr>
                <w:rFonts w:ascii="Arial" w:hAnsi="Arial"/>
                <w:sz w:val="15"/>
                <w:szCs w:val="15"/>
              </w:rPr>
              <w:t>Impact Statement</w:t>
            </w:r>
            <w:r w:rsidRPr="006F1D04">
              <w:rPr>
                <w:rFonts w:ascii="Arial" w:hAnsi="Arial" w:cs="Arial"/>
                <w:sz w:val="15"/>
                <w:szCs w:val="15"/>
              </w:rPr>
              <w:t>.</w:t>
            </w:r>
          </w:p>
        </w:tc>
      </w:tr>
      <w:tr w:rsidR="00ED1EA2" w:rsidRPr="006F1D04" w:rsidTr="00ED1EA2">
        <w:trPr>
          <w:cantSplit/>
        </w:trPr>
        <w:tc>
          <w:tcPr>
            <w:tcW w:w="714" w:type="pct"/>
            <w:tcBorders>
              <w:bottom w:val="single" w:sz="4" w:space="0" w:color="0076C0"/>
            </w:tcBorders>
            <w:shd w:val="clear" w:color="auto" w:fill="F2F2F2"/>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11</w:t>
            </w:r>
          </w:p>
        </w:tc>
        <w:tc>
          <w:tcPr>
            <w:tcW w:w="715" w:type="pct"/>
            <w:vMerge/>
            <w:tcBorders>
              <w:bottom w:val="single" w:sz="4" w:space="0" w:color="0076C0"/>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p>
        </w:tc>
        <w:tc>
          <w:tcPr>
            <w:tcW w:w="2301" w:type="pct"/>
            <w:tcBorders>
              <w:bottom w:val="single" w:sz="4" w:space="0" w:color="0076C0"/>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The population threshold and formula should be removed to enable monitoring on potential population risk basis rather than on population size. The population formula is seen as an impediment to effective monitoring and therefore to adequate protection of populations, particularly those in small regional centres that characterise populations in several jurisdictions. The procedure to determine the location and number of sites could be based on those used in Europe and the United States.</w:t>
            </w:r>
          </w:p>
        </w:tc>
        <w:tc>
          <w:tcPr>
            <w:tcW w:w="1270" w:type="pct"/>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b/>
                <w:sz w:val="15"/>
                <w:szCs w:val="15"/>
              </w:rPr>
              <w:t xml:space="preserve">No. </w:t>
            </w:r>
            <w:r w:rsidRPr="006F1D04">
              <w:rPr>
                <w:rFonts w:ascii="Arial" w:hAnsi="Arial" w:cs="Arial"/>
                <w:sz w:val="15"/>
                <w:szCs w:val="15"/>
              </w:rPr>
              <w:t>Being considered by inter-jurisdictional technical working groups.</w:t>
            </w:r>
          </w:p>
        </w:tc>
      </w:tr>
      <w:tr w:rsidR="00ED1EA2" w:rsidRPr="006F1D04" w:rsidTr="00ED1EA2">
        <w:trPr>
          <w:cantSplit/>
        </w:trPr>
        <w:tc>
          <w:tcPr>
            <w:tcW w:w="714" w:type="pct"/>
            <w:tcBorders>
              <w:bottom w:val="single" w:sz="4" w:space="0" w:color="0076C0"/>
            </w:tcBorders>
            <w:shd w:val="clear" w:color="auto" w:fill="F2F2F2"/>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w:t>
            </w:r>
          </w:p>
        </w:tc>
        <w:tc>
          <w:tcPr>
            <w:tcW w:w="715" w:type="pct"/>
            <w:tcBorders>
              <w:bottom w:val="single" w:sz="4" w:space="0" w:color="0076C0"/>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Trend monitoring stations</w:t>
            </w:r>
          </w:p>
        </w:tc>
        <w:tc>
          <w:tcPr>
            <w:tcW w:w="2301" w:type="pct"/>
            <w:tcBorders>
              <w:bottom w:val="single" w:sz="4" w:space="0" w:color="0076C0"/>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The AAQ NEPM review did not explicitly address the topic of trend stations, but did mention that all existing monitoring stations should be used to inform long-term trends in air quality.</w:t>
            </w:r>
          </w:p>
        </w:tc>
        <w:tc>
          <w:tcPr>
            <w:tcW w:w="1270" w:type="pct"/>
            <w:tcBorders>
              <w:bottom w:val="single" w:sz="4" w:space="0" w:color="0076C0"/>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b/>
                <w:sz w:val="15"/>
                <w:szCs w:val="15"/>
              </w:rPr>
              <w:t xml:space="preserve">No. </w:t>
            </w:r>
            <w:r w:rsidRPr="006F1D04">
              <w:rPr>
                <w:rFonts w:ascii="Arial" w:hAnsi="Arial" w:cs="Arial"/>
                <w:sz w:val="15"/>
                <w:szCs w:val="15"/>
              </w:rPr>
              <w:t>Being considered by inter-jurisdictional technical working groups.</w:t>
            </w:r>
          </w:p>
        </w:tc>
      </w:tr>
      <w:tr w:rsidR="00ED1EA2" w:rsidRPr="006F1D04" w:rsidTr="00ED1EA2">
        <w:trPr>
          <w:cantSplit/>
        </w:trPr>
        <w:tc>
          <w:tcPr>
            <w:tcW w:w="714" w:type="pct"/>
            <w:shd w:val="clear" w:color="auto" w:fill="F2F2F2"/>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12</w:t>
            </w:r>
          </w:p>
        </w:tc>
        <w:tc>
          <w:tcPr>
            <w:tcW w:w="715" w:type="pct"/>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Monitoring methods – PM</w:t>
            </w:r>
            <w:r w:rsidRPr="006F1D04">
              <w:rPr>
                <w:rFonts w:ascii="Arial" w:hAnsi="Arial" w:cs="Arial"/>
                <w:sz w:val="15"/>
                <w:szCs w:val="15"/>
                <w:vertAlign w:val="subscript"/>
              </w:rPr>
              <w:t>10</w:t>
            </w:r>
          </w:p>
        </w:tc>
        <w:tc>
          <w:tcPr>
            <w:tcW w:w="2301" w:type="pct"/>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The development of Australian standards for monitoring air pollution takes several years, but instrumentation for the measurement of particles (both PM</w:t>
            </w:r>
            <w:r w:rsidRPr="006F1D04">
              <w:rPr>
                <w:rFonts w:ascii="Arial" w:hAnsi="Arial" w:cs="Arial"/>
                <w:sz w:val="15"/>
                <w:szCs w:val="15"/>
                <w:vertAlign w:val="subscript"/>
              </w:rPr>
              <w:t>10</w:t>
            </w:r>
            <w:r w:rsidRPr="006F1D04">
              <w:rPr>
                <w:rFonts w:ascii="Arial" w:hAnsi="Arial" w:cs="Arial"/>
                <w:sz w:val="15"/>
                <w:szCs w:val="15"/>
              </w:rPr>
              <w:t xml:space="preserve"> and PM</w:t>
            </w:r>
            <w:r w:rsidRPr="006F1D04">
              <w:rPr>
                <w:rFonts w:ascii="Arial" w:hAnsi="Arial" w:cs="Arial"/>
                <w:sz w:val="15"/>
                <w:szCs w:val="15"/>
                <w:vertAlign w:val="subscript"/>
              </w:rPr>
              <w:t>2.5</w:t>
            </w:r>
            <w:r w:rsidRPr="006F1D04">
              <w:rPr>
                <w:rFonts w:ascii="Arial" w:hAnsi="Arial" w:cs="Arial"/>
                <w:sz w:val="15"/>
                <w:szCs w:val="15"/>
              </w:rPr>
              <w:t>) is continually evolving. The requirement for an Australian standard monitoring method therefore results in a significant time lag in terms of the introduction of new and potentially superior methods for measuring particles. The review concluded that some flexibility needs to be built into the AAQ NEPM framework to enable a faster response to technological advances in instrumentation. It was recommended that the AAQ NEPM should allow the use of any methods that have been tested and approved by the USEPA or the EU as reference or equivalence methods for monitoring ambient air quality.</w:t>
            </w:r>
          </w:p>
        </w:tc>
        <w:tc>
          <w:tcPr>
            <w:tcW w:w="1270" w:type="pct"/>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b/>
                <w:sz w:val="15"/>
                <w:szCs w:val="15"/>
              </w:rPr>
              <w:t>Not addressed in detail</w:t>
            </w:r>
            <w:r w:rsidRPr="006F1D04">
              <w:rPr>
                <w:rFonts w:ascii="Arial" w:hAnsi="Arial" w:cs="Arial"/>
                <w:sz w:val="15"/>
                <w:szCs w:val="15"/>
              </w:rPr>
              <w:t>. Being considered by inter-jurisdictional technical working groups.</w:t>
            </w:r>
          </w:p>
        </w:tc>
      </w:tr>
      <w:tr w:rsidR="00ED1EA2" w:rsidRPr="006F1D04" w:rsidTr="00ED1EA2">
        <w:trPr>
          <w:cantSplit/>
        </w:trPr>
        <w:tc>
          <w:tcPr>
            <w:tcW w:w="714" w:type="pct"/>
            <w:tcBorders>
              <w:bottom w:val="single" w:sz="4" w:space="0" w:color="0076C0"/>
            </w:tcBorders>
            <w:shd w:val="clear" w:color="auto" w:fill="F2F2F2"/>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13</w:t>
            </w:r>
          </w:p>
        </w:tc>
        <w:tc>
          <w:tcPr>
            <w:tcW w:w="715" w:type="pct"/>
            <w:tcBorders>
              <w:bottom w:val="single" w:sz="4" w:space="0" w:color="0076C0"/>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Monitoring methods – PM</w:t>
            </w:r>
            <w:r w:rsidRPr="006F1D04">
              <w:rPr>
                <w:rFonts w:ascii="Arial" w:hAnsi="Arial" w:cs="Arial"/>
                <w:sz w:val="15"/>
                <w:szCs w:val="15"/>
                <w:vertAlign w:val="subscript"/>
              </w:rPr>
              <w:t>2.5</w:t>
            </w:r>
          </w:p>
        </w:tc>
        <w:tc>
          <w:tcPr>
            <w:tcW w:w="2301" w:type="pct"/>
            <w:tcBorders>
              <w:bottom w:val="single" w:sz="4" w:space="0" w:color="0076C0"/>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According to the AAQ NEPM review, one of the difficulties arising from the PM</w:t>
            </w:r>
            <w:r w:rsidRPr="006F1D04">
              <w:rPr>
                <w:rFonts w:ascii="Arial" w:hAnsi="Arial" w:cs="Arial"/>
                <w:sz w:val="15"/>
                <w:szCs w:val="15"/>
                <w:vertAlign w:val="subscript"/>
              </w:rPr>
              <w:t>2.5</w:t>
            </w:r>
            <w:r w:rsidRPr="006F1D04">
              <w:rPr>
                <w:rFonts w:ascii="Arial" w:hAnsi="Arial" w:cs="Arial"/>
                <w:sz w:val="15"/>
                <w:szCs w:val="15"/>
              </w:rPr>
              <w:t xml:space="preserve"> equivalence program was the lack of shared understanding about what it was trying to achieve; whether equivalency means generating the same number on two instruments, or whether it means that the instrumentation measures the same physical characteristics of the particles. The latter is referring to the fact that as instruments used to monitor particles (e.g. gravimetric versus optical and light scattering instruments) measure particles differently, determining equivalency is not straightforward and may be impossible in some cases. The review recommended that the findings of the PM</w:t>
            </w:r>
            <w:r w:rsidRPr="006F1D04">
              <w:rPr>
                <w:rFonts w:ascii="Arial" w:hAnsi="Arial" w:cs="Arial"/>
                <w:sz w:val="15"/>
                <w:szCs w:val="15"/>
                <w:vertAlign w:val="subscript"/>
              </w:rPr>
              <w:t>2.5</w:t>
            </w:r>
            <w:r w:rsidRPr="006F1D04">
              <w:rPr>
                <w:rFonts w:ascii="Arial" w:hAnsi="Arial" w:cs="Arial"/>
                <w:sz w:val="15"/>
                <w:szCs w:val="15"/>
              </w:rPr>
              <w:t xml:space="preserve"> equivalence program should also be taken into account in any variation of the AAQ NEPM. The AAQ NEPM review also recommended the removal of Schedule 5 (equivalence program) from the AAQ NEPM.</w:t>
            </w:r>
          </w:p>
        </w:tc>
        <w:tc>
          <w:tcPr>
            <w:tcW w:w="1270" w:type="pct"/>
            <w:tcBorders>
              <w:bottom w:val="single" w:sz="4" w:space="0" w:color="0076C0"/>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b/>
                <w:sz w:val="15"/>
                <w:szCs w:val="15"/>
              </w:rPr>
              <w:t>Not addressed in detail</w:t>
            </w:r>
            <w:r w:rsidRPr="006F1D04">
              <w:rPr>
                <w:rFonts w:ascii="Arial" w:hAnsi="Arial" w:cs="Arial"/>
                <w:sz w:val="15"/>
                <w:szCs w:val="15"/>
              </w:rPr>
              <w:t>. Being considered by inter-jurisdictional technical working groups.</w:t>
            </w:r>
          </w:p>
        </w:tc>
      </w:tr>
    </w:tbl>
    <w:p w:rsidR="00ED1EA2" w:rsidRDefault="00ED1EA2" w:rsidP="00CD2AEC">
      <w:pPr>
        <w:rPr>
          <w:rFonts w:ascii="Arial" w:hAnsi="Arial" w:cs="Arial"/>
        </w:rPr>
      </w:pPr>
    </w:p>
    <w:p w:rsidR="00ED1EA2" w:rsidRDefault="00ED1EA2" w:rsidP="00ED1EA2">
      <w:r>
        <w:br w:type="page"/>
      </w:r>
    </w:p>
    <w:tbl>
      <w:tblPr>
        <w:tblpPr w:leftFromText="180" w:rightFromText="180" w:vertAnchor="text" w:tblpX="108" w:tblpY="1"/>
        <w:tblOverlap w:val="never"/>
        <w:tblW w:w="4844" w:type="pct"/>
        <w:tblBorders>
          <w:top w:val="single" w:sz="4" w:space="0" w:color="0076C0"/>
          <w:left w:val="single" w:sz="4" w:space="0" w:color="0076C0"/>
          <w:bottom w:val="single" w:sz="4" w:space="0" w:color="0076C0"/>
          <w:right w:val="single" w:sz="4" w:space="0" w:color="0076C0"/>
          <w:insideH w:val="single" w:sz="4" w:space="0" w:color="0076C0"/>
          <w:insideV w:val="single" w:sz="4" w:space="0" w:color="0076C0"/>
        </w:tblBorders>
        <w:tblLayout w:type="fixed"/>
        <w:tblLook w:val="0000"/>
      </w:tblPr>
      <w:tblGrid>
        <w:gridCol w:w="1276"/>
        <w:gridCol w:w="1277"/>
        <w:gridCol w:w="4110"/>
        <w:gridCol w:w="2268"/>
      </w:tblGrid>
      <w:tr w:rsidR="00ED1EA2" w:rsidRPr="006F1D04" w:rsidTr="000D027B">
        <w:trPr>
          <w:cantSplit/>
          <w:tblHeader/>
        </w:trPr>
        <w:tc>
          <w:tcPr>
            <w:tcW w:w="714" w:type="pct"/>
            <w:tcBorders>
              <w:bottom w:val="single" w:sz="4" w:space="0" w:color="0076C0"/>
            </w:tcBorders>
            <w:shd w:val="clear" w:color="auto" w:fill="0076C0"/>
          </w:tcPr>
          <w:p w:rsidR="00ED1EA2" w:rsidRPr="006F1D04" w:rsidRDefault="00ED1EA2" w:rsidP="000D027B">
            <w:pPr>
              <w:pStyle w:val="PELTableHeader"/>
              <w:spacing w:before="120" w:after="120" w:line="240" w:lineRule="auto"/>
              <w:jc w:val="left"/>
              <w:rPr>
                <w:rFonts w:ascii="Arial" w:hAnsi="Arial" w:cs="Arial"/>
                <w:sz w:val="15"/>
                <w:szCs w:val="15"/>
              </w:rPr>
            </w:pPr>
            <w:r w:rsidRPr="006F1D04">
              <w:rPr>
                <w:rFonts w:ascii="Arial" w:hAnsi="Arial" w:cs="Arial"/>
                <w:sz w:val="15"/>
                <w:szCs w:val="15"/>
              </w:rPr>
              <w:lastRenderedPageBreak/>
              <w:t>Number in AAQ NEPM review</w:t>
            </w:r>
          </w:p>
        </w:tc>
        <w:tc>
          <w:tcPr>
            <w:tcW w:w="715" w:type="pct"/>
            <w:tcBorders>
              <w:bottom w:val="single" w:sz="4" w:space="0" w:color="0076C0"/>
            </w:tcBorders>
            <w:shd w:val="clear" w:color="auto" w:fill="0076C0"/>
            <w:tcMar>
              <w:left w:w="85" w:type="dxa"/>
              <w:right w:w="85" w:type="dxa"/>
            </w:tcMar>
            <w:vAlign w:val="center"/>
          </w:tcPr>
          <w:p w:rsidR="00ED1EA2" w:rsidRPr="006F1D04" w:rsidRDefault="00ED1EA2" w:rsidP="000D027B">
            <w:pPr>
              <w:pStyle w:val="PELTableHeader"/>
              <w:spacing w:before="120" w:after="120" w:line="240" w:lineRule="auto"/>
              <w:jc w:val="left"/>
              <w:rPr>
                <w:rFonts w:ascii="Arial" w:hAnsi="Arial" w:cs="Arial"/>
                <w:sz w:val="15"/>
                <w:szCs w:val="15"/>
              </w:rPr>
            </w:pPr>
            <w:r w:rsidRPr="006F1D04">
              <w:rPr>
                <w:rFonts w:ascii="Arial" w:hAnsi="Arial" w:cs="Arial"/>
                <w:sz w:val="15"/>
                <w:szCs w:val="15"/>
              </w:rPr>
              <w:t>Aspect of AAQ NEPM</w:t>
            </w:r>
          </w:p>
        </w:tc>
        <w:tc>
          <w:tcPr>
            <w:tcW w:w="2301" w:type="pct"/>
            <w:tcBorders>
              <w:bottom w:val="single" w:sz="4" w:space="0" w:color="0076C0"/>
            </w:tcBorders>
            <w:shd w:val="clear" w:color="auto" w:fill="0076C0"/>
            <w:tcMar>
              <w:left w:w="85" w:type="dxa"/>
              <w:right w:w="85" w:type="dxa"/>
            </w:tcMar>
            <w:vAlign w:val="center"/>
          </w:tcPr>
          <w:p w:rsidR="00ED1EA2" w:rsidRPr="006F1D04" w:rsidRDefault="00ED1EA2" w:rsidP="000D027B">
            <w:pPr>
              <w:pStyle w:val="PELTableHeader"/>
              <w:spacing w:before="120" w:after="120" w:line="240" w:lineRule="auto"/>
              <w:jc w:val="left"/>
              <w:rPr>
                <w:rFonts w:ascii="Arial" w:hAnsi="Arial" w:cs="Arial"/>
                <w:sz w:val="15"/>
                <w:szCs w:val="15"/>
              </w:rPr>
            </w:pPr>
            <w:r w:rsidRPr="006F1D04">
              <w:rPr>
                <w:rFonts w:ascii="Arial" w:hAnsi="Arial" w:cs="Arial"/>
                <w:sz w:val="15"/>
                <w:szCs w:val="15"/>
              </w:rPr>
              <w:t>Review recommendation</w:t>
            </w:r>
          </w:p>
        </w:tc>
        <w:tc>
          <w:tcPr>
            <w:tcW w:w="1270" w:type="pct"/>
            <w:tcBorders>
              <w:bottom w:val="single" w:sz="4" w:space="0" w:color="0076C0"/>
            </w:tcBorders>
            <w:shd w:val="clear" w:color="auto" w:fill="0076C0"/>
            <w:tcMar>
              <w:left w:w="85" w:type="dxa"/>
              <w:right w:w="85" w:type="dxa"/>
            </w:tcMar>
            <w:vAlign w:val="center"/>
          </w:tcPr>
          <w:p w:rsidR="00ED1EA2" w:rsidRPr="006F1D04" w:rsidRDefault="00ED1EA2" w:rsidP="000D027B">
            <w:pPr>
              <w:pStyle w:val="PELTableHeader"/>
              <w:spacing w:line="240" w:lineRule="auto"/>
              <w:jc w:val="left"/>
              <w:rPr>
                <w:rFonts w:ascii="Arial" w:hAnsi="Arial" w:cs="Arial"/>
                <w:sz w:val="15"/>
                <w:szCs w:val="15"/>
              </w:rPr>
            </w:pPr>
            <w:r w:rsidRPr="006F1D04">
              <w:rPr>
                <w:rFonts w:ascii="Arial" w:hAnsi="Arial" w:cs="Arial"/>
                <w:sz w:val="15"/>
                <w:szCs w:val="15"/>
              </w:rPr>
              <w:t xml:space="preserve">Included in Information </w:t>
            </w:r>
            <w:r w:rsidRPr="006F1D04">
              <w:rPr>
                <w:rFonts w:ascii="Arial" w:hAnsi="Arial"/>
              </w:rPr>
              <w:t>Impact Statement</w:t>
            </w:r>
            <w:r w:rsidRPr="006F1D04">
              <w:rPr>
                <w:rFonts w:ascii="Arial" w:hAnsi="Arial" w:cs="Arial"/>
                <w:sz w:val="15"/>
                <w:szCs w:val="15"/>
              </w:rPr>
              <w:t>?</w:t>
            </w:r>
          </w:p>
        </w:tc>
      </w:tr>
      <w:tr w:rsidR="00ED1EA2" w:rsidRPr="006F1D04" w:rsidTr="000D027B">
        <w:trPr>
          <w:cantSplit/>
        </w:trPr>
        <w:tc>
          <w:tcPr>
            <w:tcW w:w="714" w:type="pct"/>
            <w:tcBorders>
              <w:bottom w:val="single" w:sz="4" w:space="0" w:color="0070C0"/>
            </w:tcBorders>
            <w:shd w:val="clear" w:color="auto" w:fill="F2F2F2"/>
          </w:tcPr>
          <w:p w:rsidR="00ED1EA2" w:rsidRPr="006F1D04" w:rsidRDefault="00026145" w:rsidP="000D027B">
            <w:pPr>
              <w:pStyle w:val="PELTableText"/>
              <w:spacing w:before="120" w:after="120" w:line="240" w:lineRule="auto"/>
              <w:rPr>
                <w:rFonts w:ascii="Arial" w:hAnsi="Arial" w:cs="Arial"/>
                <w:sz w:val="15"/>
                <w:szCs w:val="15"/>
              </w:rPr>
            </w:pPr>
            <w:r>
              <w:rPr>
                <w:rFonts w:ascii="Arial" w:hAnsi="Arial" w:cs="Arial"/>
                <w:sz w:val="15"/>
                <w:szCs w:val="15"/>
              </w:rPr>
              <w:t>–</w:t>
            </w:r>
          </w:p>
        </w:tc>
        <w:tc>
          <w:tcPr>
            <w:tcW w:w="715" w:type="pct"/>
            <w:tcBorders>
              <w:bottom w:val="single" w:sz="4" w:space="0" w:color="0070C0"/>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Evaluation of performance against standards and goal</w:t>
            </w:r>
          </w:p>
        </w:tc>
        <w:tc>
          <w:tcPr>
            <w:tcW w:w="2301" w:type="pct"/>
            <w:tcBorders>
              <w:bottom w:val="single" w:sz="4" w:space="0" w:color="0070C0"/>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 xml:space="preserve">The AAQ NEPM review concluded that the protocols for evaluating and reporting performance should be tightened. In particular, the general approach to date has been to report performance in terms of the number of exceedances of the standards, referenced against the goals for the respective pollutants (i.e. the number of allowed exceedances). The review considered that the number of exceedances alone is of little real value. This number may incorporate events where concentrations are just over the numerical standard, or where concentrations are considerably higher than the standard, and therefore says little about the impacts on communities, or about the effectiveness of air quality management programs. </w:t>
            </w:r>
          </w:p>
        </w:tc>
        <w:tc>
          <w:tcPr>
            <w:tcW w:w="1270" w:type="pct"/>
            <w:tcBorders>
              <w:bottom w:val="single" w:sz="4" w:space="0" w:color="0070C0"/>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b/>
                <w:sz w:val="15"/>
                <w:szCs w:val="15"/>
              </w:rPr>
            </w:pPr>
            <w:r w:rsidRPr="006F1D04">
              <w:rPr>
                <w:rFonts w:ascii="Arial" w:hAnsi="Arial" w:cs="Arial"/>
                <w:b/>
                <w:sz w:val="15"/>
                <w:szCs w:val="15"/>
              </w:rPr>
              <w:t xml:space="preserve">Not addressed in detail. </w:t>
            </w:r>
            <w:r w:rsidRPr="006F1D04">
              <w:rPr>
                <w:rFonts w:ascii="Arial" w:hAnsi="Arial" w:cs="Arial"/>
                <w:sz w:val="15"/>
                <w:szCs w:val="15"/>
              </w:rPr>
              <w:t>Some analysis Section 8.2</w:t>
            </w:r>
          </w:p>
        </w:tc>
      </w:tr>
      <w:tr w:rsidR="00ED1EA2" w:rsidRPr="006F1D04" w:rsidTr="000D027B">
        <w:trPr>
          <w:cantSplit/>
        </w:trPr>
        <w:tc>
          <w:tcPr>
            <w:tcW w:w="714" w:type="pct"/>
            <w:tcBorders>
              <w:top w:val="single" w:sz="4" w:space="0" w:color="0070C0"/>
              <w:bottom w:val="single" w:sz="4" w:space="0" w:color="0076C0"/>
            </w:tcBorders>
            <w:shd w:val="clear" w:color="auto" w:fill="F2F2F2"/>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15</w:t>
            </w:r>
          </w:p>
        </w:tc>
        <w:tc>
          <w:tcPr>
            <w:tcW w:w="715" w:type="pct"/>
            <w:tcBorders>
              <w:top w:val="single" w:sz="4" w:space="0" w:color="0070C0"/>
              <w:bottom w:val="single" w:sz="4" w:space="0" w:color="0076C0"/>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Severity of exceedances</w:t>
            </w:r>
          </w:p>
        </w:tc>
        <w:tc>
          <w:tcPr>
            <w:tcW w:w="2301" w:type="pct"/>
            <w:tcBorders>
              <w:top w:val="single" w:sz="4" w:space="0" w:color="0070C0"/>
              <w:bottom w:val="single" w:sz="4" w:space="0" w:color="0076C0"/>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Clause 17 of the AAQ NEPM should therefore be modified to incorporate a measure of ’severity of exceedance’. The review also recommended that the requirement to express performance as ‘met’, ‘not met’, or ‘not demonstrated’ should be removed from the AAQ NEPM, as no guidance is provided on what factors need to be considered.</w:t>
            </w:r>
          </w:p>
        </w:tc>
        <w:tc>
          <w:tcPr>
            <w:tcW w:w="1270" w:type="pct"/>
            <w:tcBorders>
              <w:top w:val="single" w:sz="4" w:space="0" w:color="0070C0"/>
              <w:bottom w:val="single" w:sz="4" w:space="0" w:color="0076C0"/>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b/>
                <w:sz w:val="15"/>
                <w:szCs w:val="15"/>
              </w:rPr>
              <w:t>No.</w:t>
            </w:r>
            <w:r w:rsidRPr="006F1D04">
              <w:rPr>
                <w:rFonts w:ascii="Arial" w:hAnsi="Arial" w:cs="Arial"/>
                <w:sz w:val="15"/>
                <w:szCs w:val="15"/>
              </w:rPr>
              <w:t xml:space="preserve"> Considered to be outside the scope of </w:t>
            </w:r>
            <w:r w:rsidRPr="006F1D04">
              <w:rPr>
                <w:rFonts w:ascii="Arial" w:hAnsi="Arial"/>
                <w:sz w:val="15"/>
                <w:szCs w:val="15"/>
              </w:rPr>
              <w:t>Impact Statement</w:t>
            </w:r>
            <w:r w:rsidRPr="006F1D04">
              <w:rPr>
                <w:rFonts w:ascii="Arial" w:hAnsi="Arial" w:cs="Arial"/>
                <w:sz w:val="15"/>
                <w:szCs w:val="15"/>
              </w:rPr>
              <w:t>.</w:t>
            </w:r>
          </w:p>
        </w:tc>
      </w:tr>
      <w:tr w:rsidR="00ED1EA2" w:rsidRPr="006F1D04" w:rsidTr="000D027B">
        <w:trPr>
          <w:cantSplit/>
        </w:trPr>
        <w:tc>
          <w:tcPr>
            <w:tcW w:w="714" w:type="pct"/>
            <w:tcBorders>
              <w:bottom w:val="single" w:sz="4" w:space="0" w:color="0076C0"/>
            </w:tcBorders>
            <w:shd w:val="clear" w:color="auto" w:fill="F2F2F2"/>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16</w:t>
            </w:r>
          </w:p>
        </w:tc>
        <w:tc>
          <w:tcPr>
            <w:tcW w:w="715" w:type="pct"/>
            <w:tcBorders>
              <w:bottom w:val="nil"/>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Reporting</w:t>
            </w:r>
          </w:p>
        </w:tc>
        <w:tc>
          <w:tcPr>
            <w:tcW w:w="2301" w:type="pct"/>
            <w:tcBorders>
              <w:bottom w:val="single" w:sz="4" w:space="0" w:color="0076C0"/>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 xml:space="preserve">In relation to reporting the AAQ NEPM review focused largely on the clear interpretation of air quality data (rather than just reporting compliance) and the communication of air quality data to the community. </w:t>
            </w:r>
          </w:p>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Revise guidance documents and templates associated with assessment and reporting to accommodate presentation of clear messages, to allow for better communication and more accessible air quality reports.</w:t>
            </w:r>
          </w:p>
        </w:tc>
        <w:tc>
          <w:tcPr>
            <w:tcW w:w="1270" w:type="pct"/>
            <w:tcBorders>
              <w:bottom w:val="single" w:sz="4" w:space="0" w:color="0076C0"/>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b/>
                <w:sz w:val="15"/>
                <w:szCs w:val="15"/>
              </w:rPr>
              <w:t>No.</w:t>
            </w:r>
            <w:r w:rsidRPr="006F1D04">
              <w:rPr>
                <w:rFonts w:ascii="Arial" w:hAnsi="Arial" w:cs="Arial"/>
                <w:sz w:val="15"/>
                <w:szCs w:val="15"/>
              </w:rPr>
              <w:t xml:space="preserve"> Considered to be outside the scope of </w:t>
            </w:r>
            <w:r w:rsidRPr="006F1D04">
              <w:rPr>
                <w:rFonts w:ascii="Arial" w:hAnsi="Arial"/>
                <w:sz w:val="15"/>
                <w:szCs w:val="15"/>
              </w:rPr>
              <w:t>Impact Statement</w:t>
            </w:r>
            <w:r w:rsidRPr="006F1D04">
              <w:rPr>
                <w:rFonts w:ascii="Arial" w:hAnsi="Arial" w:cs="Arial"/>
                <w:sz w:val="15"/>
                <w:szCs w:val="15"/>
              </w:rPr>
              <w:t>.</w:t>
            </w:r>
          </w:p>
        </w:tc>
      </w:tr>
      <w:tr w:rsidR="00ED1EA2" w:rsidRPr="006F1D04" w:rsidTr="000D027B">
        <w:trPr>
          <w:cantSplit/>
        </w:trPr>
        <w:tc>
          <w:tcPr>
            <w:tcW w:w="714" w:type="pct"/>
            <w:tcBorders>
              <w:bottom w:val="single" w:sz="4" w:space="0" w:color="0070C0"/>
            </w:tcBorders>
            <w:shd w:val="clear" w:color="auto" w:fill="F2F2F2"/>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18</w:t>
            </w:r>
          </w:p>
        </w:tc>
        <w:tc>
          <w:tcPr>
            <w:tcW w:w="715" w:type="pct"/>
            <w:tcBorders>
              <w:top w:val="nil"/>
              <w:bottom w:val="single" w:sz="4" w:space="0" w:color="0070C0"/>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p>
        </w:tc>
        <w:tc>
          <w:tcPr>
            <w:tcW w:w="2301" w:type="pct"/>
            <w:tcBorders>
              <w:bottom w:val="single" w:sz="4" w:space="0" w:color="0070C0"/>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Require timely reporting of all exceedances, with jurisdictions publicly releasing the analysis of these events on their respective websites within 3 months of the event</w:t>
            </w:r>
          </w:p>
        </w:tc>
        <w:tc>
          <w:tcPr>
            <w:tcW w:w="1270" w:type="pct"/>
            <w:tcBorders>
              <w:bottom w:val="single" w:sz="4" w:space="0" w:color="0070C0"/>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b/>
                <w:sz w:val="15"/>
                <w:szCs w:val="15"/>
              </w:rPr>
              <w:t>No.</w:t>
            </w:r>
            <w:r w:rsidRPr="006F1D04">
              <w:rPr>
                <w:rFonts w:ascii="Arial" w:hAnsi="Arial" w:cs="Arial"/>
                <w:sz w:val="15"/>
                <w:szCs w:val="15"/>
              </w:rPr>
              <w:t xml:space="preserve"> Considered to be outside the scope of </w:t>
            </w:r>
            <w:r w:rsidRPr="006F1D04">
              <w:rPr>
                <w:rFonts w:ascii="Arial" w:hAnsi="Arial"/>
                <w:sz w:val="15"/>
                <w:szCs w:val="15"/>
              </w:rPr>
              <w:t>Impact Statement</w:t>
            </w:r>
            <w:r w:rsidRPr="006F1D04">
              <w:rPr>
                <w:rFonts w:ascii="Arial" w:hAnsi="Arial" w:cs="Arial"/>
                <w:sz w:val="15"/>
                <w:szCs w:val="15"/>
              </w:rPr>
              <w:t>.</w:t>
            </w:r>
          </w:p>
        </w:tc>
      </w:tr>
      <w:tr w:rsidR="00ED1EA2" w:rsidRPr="006F1D04" w:rsidTr="000D027B">
        <w:trPr>
          <w:cantSplit/>
        </w:trPr>
        <w:tc>
          <w:tcPr>
            <w:tcW w:w="714" w:type="pct"/>
            <w:tcBorders>
              <w:top w:val="single" w:sz="4" w:space="0" w:color="0070C0"/>
              <w:bottom w:val="single" w:sz="4" w:space="0" w:color="0070C0"/>
            </w:tcBorders>
            <w:shd w:val="clear" w:color="auto" w:fill="F2F2F2"/>
          </w:tcPr>
          <w:p w:rsidR="00ED1EA2" w:rsidRPr="006F1D04" w:rsidRDefault="00026145" w:rsidP="000D027B">
            <w:pPr>
              <w:pStyle w:val="PELTableText"/>
              <w:spacing w:before="120" w:after="120" w:line="240" w:lineRule="auto"/>
              <w:rPr>
                <w:rFonts w:ascii="Arial" w:hAnsi="Arial" w:cs="Arial"/>
                <w:sz w:val="15"/>
                <w:szCs w:val="15"/>
              </w:rPr>
            </w:pPr>
            <w:r>
              <w:rPr>
                <w:rFonts w:ascii="Arial" w:hAnsi="Arial" w:cs="Arial"/>
                <w:sz w:val="15"/>
                <w:szCs w:val="15"/>
              </w:rPr>
              <w:t>–</w:t>
            </w:r>
          </w:p>
        </w:tc>
        <w:tc>
          <w:tcPr>
            <w:tcW w:w="715" w:type="pct"/>
            <w:tcBorders>
              <w:top w:val="single" w:sz="4" w:space="0" w:color="0070C0"/>
              <w:bottom w:val="single" w:sz="4" w:space="0" w:color="0070C0"/>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Accountability</w:t>
            </w:r>
          </w:p>
        </w:tc>
        <w:tc>
          <w:tcPr>
            <w:tcW w:w="2301" w:type="pct"/>
            <w:tcBorders>
              <w:top w:val="single" w:sz="4" w:space="0" w:color="0070C0"/>
              <w:bottom w:val="single" w:sz="4" w:space="0" w:color="0070C0"/>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 xml:space="preserve">The issue was raised as to whether jurisdictions should be made more accountable for implementation of the AAQ NEPM and compliance with the standards. Increased accountability and transparency could be achieved by jurisdictions through improvements in the reporting protocol. Reports should attribute all exceedances and provide information on management actions being undertaken to deal with non-compliance with the standards. The latter should include trend analysis to demonstrate the effectiveness of management strategies over time. Exceedances are only of limited utility in describing impacts of air pollution on population health, so further descriptors of the underlying distribution of air quality data need to be developed and included in reports. </w:t>
            </w:r>
          </w:p>
        </w:tc>
        <w:tc>
          <w:tcPr>
            <w:tcW w:w="1270" w:type="pct"/>
            <w:tcBorders>
              <w:top w:val="single" w:sz="4" w:space="0" w:color="0070C0"/>
              <w:bottom w:val="single" w:sz="4" w:space="0" w:color="0070C0"/>
            </w:tcBorders>
            <w:shd w:val="clear" w:color="auto" w:fill="F2F2F2"/>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b/>
                <w:sz w:val="15"/>
                <w:szCs w:val="15"/>
              </w:rPr>
              <w:t>No.</w:t>
            </w:r>
            <w:r w:rsidRPr="006F1D04">
              <w:rPr>
                <w:rFonts w:ascii="Arial" w:hAnsi="Arial" w:cs="Arial"/>
                <w:sz w:val="15"/>
                <w:szCs w:val="15"/>
              </w:rPr>
              <w:t xml:space="preserve"> Considered to be outside the scope of </w:t>
            </w:r>
            <w:r w:rsidRPr="006F1D04">
              <w:rPr>
                <w:rFonts w:ascii="Arial" w:hAnsi="Arial"/>
                <w:sz w:val="15"/>
                <w:szCs w:val="15"/>
              </w:rPr>
              <w:t>Impact Statement</w:t>
            </w:r>
            <w:r w:rsidRPr="006F1D04">
              <w:rPr>
                <w:rFonts w:ascii="Arial" w:hAnsi="Arial" w:cs="Arial"/>
                <w:sz w:val="15"/>
                <w:szCs w:val="15"/>
              </w:rPr>
              <w:t>.</w:t>
            </w:r>
          </w:p>
        </w:tc>
      </w:tr>
      <w:tr w:rsidR="00ED1EA2" w:rsidRPr="006F1D04" w:rsidTr="000D027B">
        <w:trPr>
          <w:cantSplit/>
        </w:trPr>
        <w:tc>
          <w:tcPr>
            <w:tcW w:w="714" w:type="pct"/>
            <w:tcBorders>
              <w:top w:val="single" w:sz="4" w:space="0" w:color="0070C0"/>
              <w:bottom w:val="single" w:sz="4" w:space="0" w:color="0070C0"/>
            </w:tcBorders>
            <w:shd w:val="clear" w:color="auto" w:fill="EAF1DD"/>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17</w:t>
            </w:r>
          </w:p>
        </w:tc>
        <w:tc>
          <w:tcPr>
            <w:tcW w:w="715" w:type="pct"/>
            <w:tcBorders>
              <w:top w:val="single" w:sz="4" w:space="0" w:color="0070C0"/>
              <w:bottom w:val="single" w:sz="4" w:space="0" w:color="0070C0"/>
            </w:tcBorders>
            <w:shd w:val="clear" w:color="auto" w:fill="EAF1DD"/>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Form of standards</w:t>
            </w:r>
          </w:p>
        </w:tc>
        <w:tc>
          <w:tcPr>
            <w:tcW w:w="2301" w:type="pct"/>
            <w:tcBorders>
              <w:top w:val="single" w:sz="4" w:space="0" w:color="0070C0"/>
              <w:bottom w:val="single" w:sz="4" w:space="0" w:color="0070C0"/>
            </w:tcBorders>
            <w:shd w:val="clear" w:color="auto" w:fill="EAF1DD"/>
            <w:tcMar>
              <w:left w:w="85" w:type="dxa"/>
              <w:right w:w="85" w:type="dxa"/>
            </w:tcMar>
          </w:tcPr>
          <w:p w:rsidR="00ED1EA2" w:rsidRPr="006F1D04" w:rsidRDefault="00ED1EA2" w:rsidP="000D027B">
            <w:pPr>
              <w:pStyle w:val="PELTableText"/>
              <w:spacing w:before="120" w:after="120" w:line="240" w:lineRule="auto"/>
              <w:rPr>
                <w:rFonts w:ascii="Arial" w:hAnsi="Arial" w:cs="Arial"/>
                <w:sz w:val="15"/>
                <w:szCs w:val="15"/>
              </w:rPr>
            </w:pPr>
            <w:r w:rsidRPr="006F1D04">
              <w:rPr>
                <w:rFonts w:ascii="Arial" w:hAnsi="Arial" w:cs="Arial"/>
                <w:sz w:val="15"/>
                <w:szCs w:val="15"/>
              </w:rPr>
              <w:t>The review considered that inclusion of a natural events rule would enable identification of issues that impact on air quality to be separated into ‘natural’ events that are not easily managed and ‘anthropogenic’ impacts that are manageable through the implementation of air quality management strategies. Strict guidance would need to be provided to identify what constitutes a ‘natural’ event (similar to the guidance developed by the USEPA). The justification and analysis would need to be included in the annual reporting to NEPC.</w:t>
            </w:r>
          </w:p>
        </w:tc>
        <w:tc>
          <w:tcPr>
            <w:tcW w:w="1270" w:type="pct"/>
            <w:tcBorders>
              <w:top w:val="single" w:sz="4" w:space="0" w:color="0070C0"/>
              <w:bottom w:val="single" w:sz="4" w:space="0" w:color="0070C0"/>
            </w:tcBorders>
            <w:shd w:val="clear" w:color="auto" w:fill="EAF1DD"/>
            <w:tcMar>
              <w:left w:w="85" w:type="dxa"/>
              <w:right w:w="85" w:type="dxa"/>
            </w:tcMar>
          </w:tcPr>
          <w:p w:rsidR="00ED1EA2" w:rsidRPr="006F1D04" w:rsidRDefault="00ED1EA2" w:rsidP="000D027B">
            <w:pPr>
              <w:pStyle w:val="PELTableText"/>
              <w:spacing w:before="120" w:after="120" w:line="240" w:lineRule="auto"/>
              <w:rPr>
                <w:rFonts w:ascii="Arial" w:hAnsi="Arial" w:cs="Arial"/>
                <w:b/>
                <w:sz w:val="15"/>
                <w:szCs w:val="15"/>
              </w:rPr>
            </w:pPr>
            <w:r w:rsidRPr="006F1D04">
              <w:rPr>
                <w:rFonts w:ascii="Arial" w:hAnsi="Arial" w:cs="Arial"/>
                <w:b/>
                <w:sz w:val="15"/>
                <w:szCs w:val="15"/>
              </w:rPr>
              <w:t xml:space="preserve">Yes. </w:t>
            </w:r>
            <w:r w:rsidRPr="006F1D04">
              <w:rPr>
                <w:rFonts w:ascii="Arial" w:hAnsi="Arial" w:cs="Arial"/>
                <w:sz w:val="15"/>
                <w:szCs w:val="15"/>
              </w:rPr>
              <w:t>Sections 7.5.2 and 8.2.5.</w:t>
            </w:r>
          </w:p>
        </w:tc>
      </w:tr>
    </w:tbl>
    <w:p w:rsidR="000D027B" w:rsidRDefault="000D027B" w:rsidP="00CD2AEC">
      <w:pPr>
        <w:rPr>
          <w:rFonts w:ascii="Arial" w:hAnsi="Arial" w:cs="Arial"/>
        </w:rPr>
      </w:pPr>
    </w:p>
    <w:p w:rsidR="000D027B" w:rsidRDefault="000D027B" w:rsidP="000D027B">
      <w:r>
        <w:br w:type="page"/>
      </w:r>
    </w:p>
    <w:tbl>
      <w:tblPr>
        <w:tblpPr w:leftFromText="180" w:rightFromText="180" w:vertAnchor="text" w:tblpX="108" w:tblpY="1"/>
        <w:tblOverlap w:val="never"/>
        <w:tblW w:w="4844" w:type="pct"/>
        <w:tblBorders>
          <w:top w:val="single" w:sz="4" w:space="0" w:color="0076C0"/>
          <w:left w:val="single" w:sz="4" w:space="0" w:color="0076C0"/>
          <w:bottom w:val="single" w:sz="4" w:space="0" w:color="0076C0"/>
          <w:right w:val="single" w:sz="4" w:space="0" w:color="0076C0"/>
          <w:insideH w:val="single" w:sz="4" w:space="0" w:color="0076C0"/>
          <w:insideV w:val="single" w:sz="4" w:space="0" w:color="0076C0"/>
        </w:tblBorders>
        <w:tblLayout w:type="fixed"/>
        <w:tblLook w:val="0000"/>
      </w:tblPr>
      <w:tblGrid>
        <w:gridCol w:w="1276"/>
        <w:gridCol w:w="1277"/>
        <w:gridCol w:w="4110"/>
        <w:gridCol w:w="2268"/>
      </w:tblGrid>
      <w:tr w:rsidR="000D027B" w:rsidRPr="006F1D04" w:rsidTr="000D027B">
        <w:trPr>
          <w:cantSplit/>
          <w:tblHeader/>
        </w:trPr>
        <w:tc>
          <w:tcPr>
            <w:tcW w:w="714" w:type="pct"/>
            <w:tcBorders>
              <w:bottom w:val="single" w:sz="4" w:space="0" w:color="0076C0"/>
            </w:tcBorders>
            <w:shd w:val="clear" w:color="auto" w:fill="0076C0"/>
          </w:tcPr>
          <w:p w:rsidR="000D027B" w:rsidRPr="006F1D04" w:rsidRDefault="000D027B" w:rsidP="000D027B">
            <w:pPr>
              <w:pStyle w:val="PELTableHeader"/>
              <w:spacing w:before="120" w:after="120" w:line="240" w:lineRule="auto"/>
              <w:jc w:val="left"/>
              <w:rPr>
                <w:rFonts w:ascii="Arial" w:hAnsi="Arial" w:cs="Arial"/>
                <w:sz w:val="15"/>
                <w:szCs w:val="15"/>
              </w:rPr>
            </w:pPr>
            <w:r w:rsidRPr="006F1D04">
              <w:rPr>
                <w:rFonts w:ascii="Arial" w:hAnsi="Arial" w:cs="Arial"/>
                <w:sz w:val="15"/>
                <w:szCs w:val="15"/>
              </w:rPr>
              <w:lastRenderedPageBreak/>
              <w:t>Number in AAQ NEPM review</w:t>
            </w:r>
          </w:p>
        </w:tc>
        <w:tc>
          <w:tcPr>
            <w:tcW w:w="715" w:type="pct"/>
            <w:tcBorders>
              <w:bottom w:val="single" w:sz="4" w:space="0" w:color="0076C0"/>
            </w:tcBorders>
            <w:shd w:val="clear" w:color="auto" w:fill="0076C0"/>
            <w:tcMar>
              <w:left w:w="85" w:type="dxa"/>
              <w:right w:w="85" w:type="dxa"/>
            </w:tcMar>
            <w:vAlign w:val="center"/>
          </w:tcPr>
          <w:p w:rsidR="000D027B" w:rsidRPr="006F1D04" w:rsidRDefault="000D027B" w:rsidP="000D027B">
            <w:pPr>
              <w:pStyle w:val="PELTableHeader"/>
              <w:spacing w:before="120" w:after="120" w:line="240" w:lineRule="auto"/>
              <w:jc w:val="left"/>
              <w:rPr>
                <w:rFonts w:ascii="Arial" w:hAnsi="Arial" w:cs="Arial"/>
                <w:sz w:val="15"/>
                <w:szCs w:val="15"/>
              </w:rPr>
            </w:pPr>
            <w:r w:rsidRPr="006F1D04">
              <w:rPr>
                <w:rFonts w:ascii="Arial" w:hAnsi="Arial" w:cs="Arial"/>
                <w:sz w:val="15"/>
                <w:szCs w:val="15"/>
              </w:rPr>
              <w:t>Aspect of AAQ NEPM</w:t>
            </w:r>
          </w:p>
        </w:tc>
        <w:tc>
          <w:tcPr>
            <w:tcW w:w="2301" w:type="pct"/>
            <w:tcBorders>
              <w:bottom w:val="single" w:sz="4" w:space="0" w:color="0076C0"/>
            </w:tcBorders>
            <w:shd w:val="clear" w:color="auto" w:fill="0076C0"/>
            <w:tcMar>
              <w:left w:w="85" w:type="dxa"/>
              <w:right w:w="85" w:type="dxa"/>
            </w:tcMar>
            <w:vAlign w:val="center"/>
          </w:tcPr>
          <w:p w:rsidR="000D027B" w:rsidRPr="006F1D04" w:rsidRDefault="000D027B" w:rsidP="000D027B">
            <w:pPr>
              <w:pStyle w:val="PELTableHeader"/>
              <w:spacing w:before="120" w:after="120" w:line="240" w:lineRule="auto"/>
              <w:jc w:val="left"/>
              <w:rPr>
                <w:rFonts w:ascii="Arial" w:hAnsi="Arial" w:cs="Arial"/>
                <w:sz w:val="15"/>
                <w:szCs w:val="15"/>
              </w:rPr>
            </w:pPr>
            <w:r w:rsidRPr="006F1D04">
              <w:rPr>
                <w:rFonts w:ascii="Arial" w:hAnsi="Arial" w:cs="Arial"/>
                <w:sz w:val="15"/>
                <w:szCs w:val="15"/>
              </w:rPr>
              <w:t>Review recommendation</w:t>
            </w:r>
          </w:p>
        </w:tc>
        <w:tc>
          <w:tcPr>
            <w:tcW w:w="1270" w:type="pct"/>
            <w:tcBorders>
              <w:bottom w:val="single" w:sz="4" w:space="0" w:color="0076C0"/>
            </w:tcBorders>
            <w:shd w:val="clear" w:color="auto" w:fill="0076C0"/>
            <w:tcMar>
              <w:left w:w="85" w:type="dxa"/>
              <w:right w:w="85" w:type="dxa"/>
            </w:tcMar>
            <w:vAlign w:val="center"/>
          </w:tcPr>
          <w:p w:rsidR="000D027B" w:rsidRPr="006F1D04" w:rsidRDefault="000D027B" w:rsidP="000D027B">
            <w:pPr>
              <w:pStyle w:val="PELTableHeader"/>
              <w:spacing w:line="240" w:lineRule="auto"/>
              <w:jc w:val="left"/>
              <w:rPr>
                <w:rFonts w:ascii="Arial" w:hAnsi="Arial" w:cs="Arial"/>
                <w:sz w:val="15"/>
                <w:szCs w:val="15"/>
              </w:rPr>
            </w:pPr>
            <w:r w:rsidRPr="006F1D04">
              <w:rPr>
                <w:rFonts w:ascii="Arial" w:hAnsi="Arial" w:cs="Arial"/>
                <w:sz w:val="15"/>
                <w:szCs w:val="15"/>
              </w:rPr>
              <w:t xml:space="preserve">Included in Information </w:t>
            </w:r>
            <w:r w:rsidRPr="006F1D04">
              <w:rPr>
                <w:rFonts w:ascii="Arial" w:hAnsi="Arial"/>
              </w:rPr>
              <w:t>Impact Statement</w:t>
            </w:r>
            <w:r w:rsidRPr="006F1D04">
              <w:rPr>
                <w:rFonts w:ascii="Arial" w:hAnsi="Arial" w:cs="Arial"/>
                <w:sz w:val="15"/>
                <w:szCs w:val="15"/>
              </w:rPr>
              <w:t>?</w:t>
            </w:r>
          </w:p>
        </w:tc>
      </w:tr>
      <w:tr w:rsidR="000D027B" w:rsidRPr="006F1D04" w:rsidTr="000D027B">
        <w:trPr>
          <w:cantSplit/>
        </w:trPr>
        <w:tc>
          <w:tcPr>
            <w:tcW w:w="714" w:type="pct"/>
            <w:tcBorders>
              <w:top w:val="single" w:sz="4" w:space="0" w:color="0070C0"/>
              <w:bottom w:val="single" w:sz="4" w:space="0" w:color="0070C0"/>
            </w:tcBorders>
            <w:shd w:val="clear" w:color="auto" w:fill="F2F2F2"/>
          </w:tcPr>
          <w:p w:rsidR="000D027B" w:rsidRPr="006F1D04" w:rsidRDefault="000D027B" w:rsidP="000D027B">
            <w:pPr>
              <w:pStyle w:val="PELTableText"/>
              <w:spacing w:before="120" w:after="120" w:line="240" w:lineRule="auto"/>
              <w:rPr>
                <w:rFonts w:ascii="Arial" w:hAnsi="Arial" w:cs="Arial"/>
                <w:sz w:val="15"/>
                <w:szCs w:val="15"/>
              </w:rPr>
            </w:pPr>
            <w:r w:rsidRPr="006F1D04">
              <w:rPr>
                <w:rFonts w:ascii="Arial" w:hAnsi="Arial" w:cs="Arial"/>
                <w:sz w:val="15"/>
                <w:szCs w:val="15"/>
              </w:rPr>
              <w:t>19</w:t>
            </w:r>
          </w:p>
        </w:tc>
        <w:tc>
          <w:tcPr>
            <w:tcW w:w="715" w:type="pct"/>
            <w:tcBorders>
              <w:top w:val="single" w:sz="4" w:space="0" w:color="0070C0"/>
              <w:bottom w:val="single" w:sz="4" w:space="0" w:color="0070C0"/>
            </w:tcBorders>
            <w:shd w:val="clear" w:color="auto" w:fill="F2F2F2"/>
            <w:tcMar>
              <w:left w:w="85" w:type="dxa"/>
              <w:right w:w="85" w:type="dxa"/>
            </w:tcMar>
          </w:tcPr>
          <w:p w:rsidR="000D027B" w:rsidRPr="006F1D04" w:rsidRDefault="000D027B" w:rsidP="000D027B">
            <w:pPr>
              <w:pStyle w:val="PELTableText"/>
              <w:spacing w:before="120" w:after="120" w:line="240" w:lineRule="auto"/>
              <w:rPr>
                <w:rFonts w:ascii="Arial" w:hAnsi="Arial" w:cs="Arial"/>
                <w:sz w:val="15"/>
                <w:szCs w:val="15"/>
              </w:rPr>
            </w:pPr>
            <w:r w:rsidRPr="006F1D04">
              <w:rPr>
                <w:rFonts w:ascii="Arial" w:hAnsi="Arial" w:cs="Arial"/>
                <w:sz w:val="15"/>
                <w:szCs w:val="15"/>
              </w:rPr>
              <w:t>PRC</w:t>
            </w:r>
          </w:p>
        </w:tc>
        <w:tc>
          <w:tcPr>
            <w:tcW w:w="2301" w:type="pct"/>
            <w:tcBorders>
              <w:top w:val="single" w:sz="4" w:space="0" w:color="0070C0"/>
              <w:bottom w:val="single" w:sz="4" w:space="0" w:color="0070C0"/>
            </w:tcBorders>
            <w:shd w:val="clear" w:color="auto" w:fill="F2F2F2"/>
            <w:tcMar>
              <w:left w:w="85" w:type="dxa"/>
              <w:right w:w="85" w:type="dxa"/>
            </w:tcMar>
          </w:tcPr>
          <w:p w:rsidR="000D027B" w:rsidRPr="006F1D04" w:rsidRDefault="000D027B" w:rsidP="000D027B">
            <w:pPr>
              <w:pStyle w:val="PELTableText"/>
              <w:spacing w:before="120" w:after="120" w:line="240" w:lineRule="auto"/>
              <w:rPr>
                <w:rFonts w:ascii="Arial" w:hAnsi="Arial" w:cs="Arial"/>
                <w:sz w:val="15"/>
                <w:szCs w:val="15"/>
              </w:rPr>
            </w:pPr>
            <w:r w:rsidRPr="006F1D04">
              <w:rPr>
                <w:rFonts w:ascii="Arial" w:hAnsi="Arial" w:cs="Arial"/>
                <w:sz w:val="15"/>
                <w:szCs w:val="15"/>
              </w:rPr>
              <w:t>Disband the existing PRC and replace with a specialist working group or groups with a broader range of expertise to assist with scientific and technical matters.</w:t>
            </w:r>
          </w:p>
        </w:tc>
        <w:tc>
          <w:tcPr>
            <w:tcW w:w="1270" w:type="pct"/>
            <w:tcBorders>
              <w:top w:val="single" w:sz="4" w:space="0" w:color="0070C0"/>
              <w:bottom w:val="single" w:sz="4" w:space="0" w:color="0070C0"/>
            </w:tcBorders>
            <w:shd w:val="clear" w:color="auto" w:fill="F2F2F2"/>
            <w:tcMar>
              <w:left w:w="85" w:type="dxa"/>
              <w:right w:w="85" w:type="dxa"/>
            </w:tcMar>
          </w:tcPr>
          <w:p w:rsidR="000D027B" w:rsidRPr="006F1D04" w:rsidRDefault="000D027B" w:rsidP="000D027B">
            <w:pPr>
              <w:pStyle w:val="PELTableText"/>
              <w:spacing w:before="120" w:after="120" w:line="240" w:lineRule="auto"/>
              <w:rPr>
                <w:rFonts w:ascii="Arial" w:hAnsi="Arial" w:cs="Arial"/>
                <w:sz w:val="15"/>
                <w:szCs w:val="15"/>
              </w:rPr>
            </w:pPr>
            <w:r w:rsidRPr="006F1D04">
              <w:rPr>
                <w:rFonts w:ascii="Arial" w:hAnsi="Arial" w:cs="Arial"/>
                <w:b/>
                <w:sz w:val="15"/>
                <w:szCs w:val="15"/>
              </w:rPr>
              <w:t>No.</w:t>
            </w:r>
            <w:r w:rsidRPr="006F1D04">
              <w:rPr>
                <w:rFonts w:ascii="Arial" w:hAnsi="Arial" w:cs="Arial"/>
              </w:rPr>
              <w:t xml:space="preserve"> </w:t>
            </w:r>
            <w:r w:rsidRPr="006F1D04">
              <w:rPr>
                <w:rFonts w:ascii="Arial" w:hAnsi="Arial" w:cs="Arial"/>
                <w:sz w:val="15"/>
                <w:szCs w:val="15"/>
              </w:rPr>
              <w:t>Not relevant to PM standard-setting.</w:t>
            </w:r>
          </w:p>
        </w:tc>
      </w:tr>
      <w:tr w:rsidR="000D027B" w:rsidRPr="006F1D04" w:rsidTr="000D027B">
        <w:trPr>
          <w:cantSplit/>
        </w:trPr>
        <w:tc>
          <w:tcPr>
            <w:tcW w:w="714" w:type="pct"/>
            <w:tcBorders>
              <w:top w:val="single" w:sz="4" w:space="0" w:color="0070C0"/>
              <w:bottom w:val="single" w:sz="4" w:space="0" w:color="0070C0"/>
            </w:tcBorders>
            <w:shd w:val="clear" w:color="auto" w:fill="F2F2F2"/>
          </w:tcPr>
          <w:p w:rsidR="000D027B" w:rsidRPr="006F1D04" w:rsidRDefault="000D027B" w:rsidP="000D027B">
            <w:pPr>
              <w:pStyle w:val="PELTableText"/>
              <w:spacing w:before="120" w:after="120" w:line="240" w:lineRule="auto"/>
              <w:rPr>
                <w:rFonts w:ascii="Arial" w:hAnsi="Arial" w:cs="Arial"/>
                <w:sz w:val="15"/>
                <w:szCs w:val="15"/>
              </w:rPr>
            </w:pPr>
            <w:r w:rsidRPr="006F1D04">
              <w:rPr>
                <w:rFonts w:ascii="Arial" w:hAnsi="Arial" w:cs="Arial"/>
                <w:sz w:val="15"/>
                <w:szCs w:val="15"/>
              </w:rPr>
              <w:t>20</w:t>
            </w:r>
          </w:p>
        </w:tc>
        <w:tc>
          <w:tcPr>
            <w:tcW w:w="715" w:type="pct"/>
            <w:tcBorders>
              <w:top w:val="single" w:sz="4" w:space="0" w:color="0070C0"/>
              <w:bottom w:val="nil"/>
            </w:tcBorders>
            <w:shd w:val="clear" w:color="auto" w:fill="F2F2F2"/>
            <w:tcMar>
              <w:left w:w="85" w:type="dxa"/>
              <w:right w:w="85" w:type="dxa"/>
            </w:tcMar>
          </w:tcPr>
          <w:p w:rsidR="000D027B" w:rsidRPr="006F1D04" w:rsidRDefault="000D027B" w:rsidP="000D027B">
            <w:pPr>
              <w:pStyle w:val="PELTableText"/>
              <w:spacing w:before="120" w:after="120" w:line="240" w:lineRule="auto"/>
              <w:rPr>
                <w:rFonts w:ascii="Arial" w:hAnsi="Arial" w:cs="Arial"/>
                <w:sz w:val="15"/>
                <w:szCs w:val="15"/>
              </w:rPr>
            </w:pPr>
            <w:r w:rsidRPr="006F1D04">
              <w:rPr>
                <w:rFonts w:ascii="Arial" w:hAnsi="Arial" w:cs="Arial"/>
                <w:sz w:val="15"/>
                <w:szCs w:val="15"/>
              </w:rPr>
              <w:t>Secondary pollutant precursors</w:t>
            </w:r>
          </w:p>
        </w:tc>
        <w:tc>
          <w:tcPr>
            <w:tcW w:w="2301" w:type="pct"/>
            <w:tcBorders>
              <w:top w:val="single" w:sz="4" w:space="0" w:color="0070C0"/>
              <w:bottom w:val="single" w:sz="4" w:space="0" w:color="0070C0"/>
            </w:tcBorders>
            <w:shd w:val="clear" w:color="auto" w:fill="F2F2F2"/>
            <w:tcMar>
              <w:left w:w="85" w:type="dxa"/>
              <w:right w:w="85" w:type="dxa"/>
            </w:tcMar>
          </w:tcPr>
          <w:p w:rsidR="000D027B" w:rsidRPr="006F1D04" w:rsidRDefault="000D027B" w:rsidP="000D027B">
            <w:pPr>
              <w:pStyle w:val="PELTableText"/>
              <w:spacing w:before="120" w:after="120" w:line="240" w:lineRule="auto"/>
              <w:rPr>
                <w:rFonts w:ascii="Arial" w:hAnsi="Arial" w:cs="Arial"/>
                <w:sz w:val="15"/>
                <w:szCs w:val="15"/>
              </w:rPr>
            </w:pPr>
            <w:r w:rsidRPr="006F1D04">
              <w:rPr>
                <w:rFonts w:ascii="Arial" w:hAnsi="Arial" w:cs="Arial"/>
                <w:sz w:val="15"/>
                <w:szCs w:val="15"/>
              </w:rPr>
              <w:t>Evaluate the options to assess ozone and secondary particle precursors.</w:t>
            </w:r>
          </w:p>
        </w:tc>
        <w:tc>
          <w:tcPr>
            <w:tcW w:w="1270" w:type="pct"/>
            <w:tcBorders>
              <w:top w:val="single" w:sz="4" w:space="0" w:color="0070C0"/>
              <w:bottom w:val="single" w:sz="4" w:space="0" w:color="0070C0"/>
            </w:tcBorders>
            <w:shd w:val="clear" w:color="auto" w:fill="F2F2F2"/>
            <w:tcMar>
              <w:left w:w="85" w:type="dxa"/>
              <w:right w:w="85" w:type="dxa"/>
            </w:tcMar>
          </w:tcPr>
          <w:p w:rsidR="000D027B" w:rsidRPr="006F1D04" w:rsidRDefault="000D027B" w:rsidP="000D027B">
            <w:pPr>
              <w:pStyle w:val="PELTableText"/>
              <w:spacing w:before="120" w:after="120" w:line="240" w:lineRule="auto"/>
              <w:rPr>
                <w:rFonts w:ascii="Arial" w:hAnsi="Arial" w:cs="Arial"/>
                <w:sz w:val="15"/>
                <w:szCs w:val="15"/>
              </w:rPr>
            </w:pPr>
            <w:r w:rsidRPr="006F1D04">
              <w:rPr>
                <w:rFonts w:ascii="Arial" w:hAnsi="Arial" w:cs="Arial"/>
                <w:b/>
                <w:sz w:val="15"/>
                <w:szCs w:val="15"/>
              </w:rPr>
              <w:t>No.</w:t>
            </w:r>
            <w:r w:rsidRPr="006F1D04">
              <w:rPr>
                <w:rFonts w:ascii="Arial" w:hAnsi="Arial" w:cs="Arial"/>
                <w:sz w:val="15"/>
                <w:szCs w:val="15"/>
              </w:rPr>
              <w:t xml:space="preserve"> Considered to be outside the scope of </w:t>
            </w:r>
            <w:r w:rsidRPr="006F1D04">
              <w:rPr>
                <w:rFonts w:ascii="Arial" w:hAnsi="Arial"/>
                <w:sz w:val="15"/>
                <w:szCs w:val="15"/>
              </w:rPr>
              <w:t>Impact Statement</w:t>
            </w:r>
            <w:r w:rsidRPr="006F1D04">
              <w:rPr>
                <w:rFonts w:ascii="Arial" w:hAnsi="Arial" w:cs="Arial"/>
                <w:sz w:val="15"/>
                <w:szCs w:val="15"/>
              </w:rPr>
              <w:t>.</w:t>
            </w:r>
          </w:p>
        </w:tc>
      </w:tr>
      <w:tr w:rsidR="000D027B" w:rsidRPr="006F1D04" w:rsidTr="000D027B">
        <w:trPr>
          <w:cantSplit/>
        </w:trPr>
        <w:tc>
          <w:tcPr>
            <w:tcW w:w="714" w:type="pct"/>
            <w:tcBorders>
              <w:top w:val="single" w:sz="4" w:space="0" w:color="0070C0"/>
              <w:bottom w:val="single" w:sz="4" w:space="0" w:color="0070C0"/>
            </w:tcBorders>
            <w:shd w:val="clear" w:color="auto" w:fill="F2F2F2"/>
          </w:tcPr>
          <w:p w:rsidR="000D027B" w:rsidRPr="006F1D04" w:rsidRDefault="000D027B" w:rsidP="000D027B">
            <w:pPr>
              <w:pStyle w:val="PELTableText"/>
              <w:spacing w:before="120" w:after="120" w:line="240" w:lineRule="auto"/>
              <w:rPr>
                <w:rFonts w:ascii="Arial" w:hAnsi="Arial" w:cs="Arial"/>
                <w:sz w:val="15"/>
                <w:szCs w:val="15"/>
              </w:rPr>
            </w:pPr>
            <w:r w:rsidRPr="006F1D04">
              <w:rPr>
                <w:rFonts w:ascii="Arial" w:hAnsi="Arial" w:cs="Arial"/>
                <w:sz w:val="15"/>
                <w:szCs w:val="15"/>
              </w:rPr>
              <w:t>21</w:t>
            </w:r>
          </w:p>
        </w:tc>
        <w:tc>
          <w:tcPr>
            <w:tcW w:w="715" w:type="pct"/>
            <w:tcBorders>
              <w:top w:val="single" w:sz="4" w:space="0" w:color="0070C0"/>
              <w:bottom w:val="nil"/>
            </w:tcBorders>
            <w:shd w:val="clear" w:color="auto" w:fill="F2F2F2"/>
            <w:tcMar>
              <w:left w:w="85" w:type="dxa"/>
              <w:right w:w="85" w:type="dxa"/>
            </w:tcMar>
          </w:tcPr>
          <w:p w:rsidR="000D027B" w:rsidRPr="006F1D04" w:rsidRDefault="000D027B" w:rsidP="000D027B">
            <w:pPr>
              <w:pStyle w:val="PELTableText"/>
              <w:spacing w:before="120" w:after="120" w:line="240" w:lineRule="auto"/>
              <w:rPr>
                <w:rFonts w:ascii="Arial" w:hAnsi="Arial" w:cs="Arial"/>
                <w:sz w:val="15"/>
                <w:szCs w:val="15"/>
              </w:rPr>
            </w:pPr>
            <w:r w:rsidRPr="006F1D04">
              <w:rPr>
                <w:rFonts w:ascii="Arial" w:hAnsi="Arial" w:cs="Arial"/>
                <w:sz w:val="15"/>
                <w:szCs w:val="15"/>
              </w:rPr>
              <w:t>Future work</w:t>
            </w:r>
          </w:p>
        </w:tc>
        <w:tc>
          <w:tcPr>
            <w:tcW w:w="2301" w:type="pct"/>
            <w:tcBorders>
              <w:top w:val="single" w:sz="4" w:space="0" w:color="0070C0"/>
              <w:bottom w:val="single" w:sz="4" w:space="0" w:color="0070C0"/>
            </w:tcBorders>
            <w:shd w:val="clear" w:color="auto" w:fill="F2F2F2"/>
            <w:tcMar>
              <w:left w:w="85" w:type="dxa"/>
              <w:right w:w="85" w:type="dxa"/>
            </w:tcMar>
          </w:tcPr>
          <w:p w:rsidR="000D027B" w:rsidRPr="006F1D04" w:rsidRDefault="000D027B" w:rsidP="000D027B">
            <w:pPr>
              <w:pStyle w:val="PELTableText"/>
              <w:spacing w:before="120" w:after="120" w:line="240" w:lineRule="auto"/>
              <w:rPr>
                <w:rFonts w:ascii="Arial" w:hAnsi="Arial" w:cs="Arial"/>
                <w:sz w:val="15"/>
                <w:szCs w:val="15"/>
              </w:rPr>
            </w:pPr>
            <w:r w:rsidRPr="006F1D04">
              <w:rPr>
                <w:rFonts w:ascii="Arial" w:hAnsi="Arial" w:cs="Arial"/>
                <w:sz w:val="15"/>
                <w:szCs w:val="15"/>
              </w:rPr>
              <w:t>Initiate research into the composition of particles in Australia and associated health impacts.</w:t>
            </w:r>
          </w:p>
        </w:tc>
        <w:tc>
          <w:tcPr>
            <w:tcW w:w="1270" w:type="pct"/>
            <w:tcBorders>
              <w:top w:val="single" w:sz="4" w:space="0" w:color="0070C0"/>
              <w:bottom w:val="single" w:sz="4" w:space="0" w:color="0070C0"/>
            </w:tcBorders>
            <w:shd w:val="clear" w:color="auto" w:fill="F2F2F2"/>
            <w:tcMar>
              <w:left w:w="85" w:type="dxa"/>
              <w:right w:w="85" w:type="dxa"/>
            </w:tcMar>
          </w:tcPr>
          <w:p w:rsidR="000D027B" w:rsidRPr="006F1D04" w:rsidRDefault="000D027B" w:rsidP="000D027B">
            <w:pPr>
              <w:pStyle w:val="PELTableText"/>
              <w:spacing w:before="120" w:after="120" w:line="240" w:lineRule="auto"/>
              <w:rPr>
                <w:rFonts w:ascii="Arial" w:hAnsi="Arial" w:cs="Arial"/>
                <w:sz w:val="15"/>
                <w:szCs w:val="15"/>
              </w:rPr>
            </w:pPr>
            <w:r w:rsidRPr="006F1D04">
              <w:rPr>
                <w:rFonts w:ascii="Arial" w:hAnsi="Arial" w:cs="Arial"/>
                <w:b/>
                <w:sz w:val="15"/>
                <w:szCs w:val="15"/>
              </w:rPr>
              <w:t>No.</w:t>
            </w:r>
            <w:r w:rsidRPr="006F1D04">
              <w:rPr>
                <w:rFonts w:ascii="Arial" w:hAnsi="Arial" w:cs="Arial"/>
                <w:sz w:val="15"/>
                <w:szCs w:val="15"/>
              </w:rPr>
              <w:t xml:space="preserve"> Considered to be outside the scope of </w:t>
            </w:r>
            <w:r w:rsidRPr="006F1D04">
              <w:rPr>
                <w:rFonts w:ascii="Arial" w:hAnsi="Arial"/>
                <w:sz w:val="15"/>
                <w:szCs w:val="15"/>
              </w:rPr>
              <w:t>Impact Statement</w:t>
            </w:r>
            <w:r w:rsidRPr="006F1D04">
              <w:rPr>
                <w:rFonts w:ascii="Arial" w:hAnsi="Arial" w:cs="Arial"/>
                <w:sz w:val="15"/>
                <w:szCs w:val="15"/>
              </w:rPr>
              <w:t>.</w:t>
            </w:r>
          </w:p>
        </w:tc>
      </w:tr>
      <w:tr w:rsidR="000D027B" w:rsidRPr="006F1D04" w:rsidTr="000D027B">
        <w:trPr>
          <w:cantSplit/>
        </w:trPr>
        <w:tc>
          <w:tcPr>
            <w:tcW w:w="714" w:type="pct"/>
            <w:tcBorders>
              <w:top w:val="single" w:sz="4" w:space="0" w:color="0070C0"/>
              <w:bottom w:val="single" w:sz="4" w:space="0" w:color="0070C0"/>
            </w:tcBorders>
            <w:shd w:val="clear" w:color="auto" w:fill="F2F2F2"/>
          </w:tcPr>
          <w:p w:rsidR="000D027B" w:rsidRPr="006F1D04" w:rsidRDefault="000D027B" w:rsidP="000D027B">
            <w:pPr>
              <w:pStyle w:val="PELTableText"/>
              <w:spacing w:before="120" w:after="120" w:line="240" w:lineRule="auto"/>
              <w:rPr>
                <w:rFonts w:ascii="Arial" w:hAnsi="Arial" w:cs="Arial"/>
                <w:sz w:val="15"/>
                <w:szCs w:val="15"/>
              </w:rPr>
            </w:pPr>
            <w:r w:rsidRPr="006F1D04">
              <w:rPr>
                <w:rFonts w:ascii="Arial" w:hAnsi="Arial" w:cs="Arial"/>
                <w:sz w:val="15"/>
                <w:szCs w:val="15"/>
              </w:rPr>
              <w:t>22</w:t>
            </w:r>
          </w:p>
        </w:tc>
        <w:tc>
          <w:tcPr>
            <w:tcW w:w="715" w:type="pct"/>
            <w:tcBorders>
              <w:top w:val="nil"/>
              <w:bottom w:val="nil"/>
            </w:tcBorders>
            <w:shd w:val="clear" w:color="auto" w:fill="F2F2F2"/>
            <w:tcMar>
              <w:left w:w="85" w:type="dxa"/>
              <w:right w:w="85" w:type="dxa"/>
            </w:tcMar>
          </w:tcPr>
          <w:p w:rsidR="000D027B" w:rsidRPr="006F1D04" w:rsidRDefault="000D027B" w:rsidP="000D027B">
            <w:pPr>
              <w:pStyle w:val="PELTableText"/>
              <w:spacing w:before="120" w:after="120" w:line="240" w:lineRule="auto"/>
              <w:rPr>
                <w:rFonts w:ascii="Arial" w:hAnsi="Arial" w:cs="Arial"/>
                <w:sz w:val="15"/>
                <w:szCs w:val="15"/>
              </w:rPr>
            </w:pPr>
          </w:p>
        </w:tc>
        <w:tc>
          <w:tcPr>
            <w:tcW w:w="2301" w:type="pct"/>
            <w:tcBorders>
              <w:top w:val="single" w:sz="4" w:space="0" w:color="0070C0"/>
              <w:bottom w:val="single" w:sz="4" w:space="0" w:color="0070C0"/>
            </w:tcBorders>
            <w:shd w:val="clear" w:color="auto" w:fill="F2F2F2"/>
            <w:tcMar>
              <w:left w:w="85" w:type="dxa"/>
              <w:right w:w="85" w:type="dxa"/>
            </w:tcMar>
          </w:tcPr>
          <w:p w:rsidR="000D027B" w:rsidRPr="006F1D04" w:rsidRDefault="000D027B" w:rsidP="000D027B">
            <w:pPr>
              <w:pStyle w:val="PELTableText"/>
              <w:spacing w:before="120" w:after="120" w:line="240" w:lineRule="auto"/>
              <w:rPr>
                <w:rFonts w:ascii="Arial" w:hAnsi="Arial" w:cs="Arial"/>
                <w:sz w:val="15"/>
                <w:szCs w:val="15"/>
              </w:rPr>
            </w:pPr>
            <w:r w:rsidRPr="006F1D04">
              <w:rPr>
                <w:rFonts w:ascii="Arial" w:hAnsi="Arial" w:cs="Arial"/>
                <w:sz w:val="15"/>
                <w:szCs w:val="15"/>
              </w:rPr>
              <w:t>Initiate health research on the impact of air pollution (in particular, particles) in regional areas.</w:t>
            </w:r>
          </w:p>
        </w:tc>
        <w:tc>
          <w:tcPr>
            <w:tcW w:w="1270" w:type="pct"/>
            <w:tcBorders>
              <w:top w:val="single" w:sz="4" w:space="0" w:color="0070C0"/>
              <w:bottom w:val="single" w:sz="4" w:space="0" w:color="0070C0"/>
            </w:tcBorders>
            <w:shd w:val="clear" w:color="auto" w:fill="F2F2F2"/>
            <w:tcMar>
              <w:left w:w="85" w:type="dxa"/>
              <w:right w:w="85" w:type="dxa"/>
            </w:tcMar>
          </w:tcPr>
          <w:p w:rsidR="000D027B" w:rsidRPr="006F1D04" w:rsidRDefault="000D027B" w:rsidP="000D027B">
            <w:pPr>
              <w:pStyle w:val="PELTableText"/>
              <w:spacing w:before="120" w:after="120" w:line="240" w:lineRule="auto"/>
              <w:rPr>
                <w:rFonts w:ascii="Arial" w:hAnsi="Arial" w:cs="Arial"/>
                <w:sz w:val="15"/>
                <w:szCs w:val="15"/>
              </w:rPr>
            </w:pPr>
            <w:r w:rsidRPr="006F1D04">
              <w:rPr>
                <w:rFonts w:ascii="Arial" w:hAnsi="Arial" w:cs="Arial"/>
                <w:b/>
                <w:sz w:val="15"/>
                <w:szCs w:val="15"/>
              </w:rPr>
              <w:t>No.</w:t>
            </w:r>
            <w:r w:rsidRPr="006F1D04">
              <w:rPr>
                <w:rFonts w:ascii="Arial" w:hAnsi="Arial" w:cs="Arial"/>
                <w:sz w:val="15"/>
                <w:szCs w:val="15"/>
              </w:rPr>
              <w:t xml:space="preserve"> Considered to be outside the scope of </w:t>
            </w:r>
            <w:r w:rsidRPr="006F1D04">
              <w:rPr>
                <w:rFonts w:ascii="Arial" w:hAnsi="Arial"/>
                <w:sz w:val="15"/>
                <w:szCs w:val="15"/>
              </w:rPr>
              <w:t>Impact Statement</w:t>
            </w:r>
            <w:r w:rsidRPr="006F1D04">
              <w:rPr>
                <w:rFonts w:ascii="Arial" w:hAnsi="Arial" w:cs="Arial"/>
                <w:sz w:val="15"/>
                <w:szCs w:val="15"/>
              </w:rPr>
              <w:t>.</w:t>
            </w:r>
          </w:p>
        </w:tc>
      </w:tr>
      <w:tr w:rsidR="000D027B" w:rsidRPr="006F1D04" w:rsidTr="000D027B">
        <w:trPr>
          <w:cantSplit/>
        </w:trPr>
        <w:tc>
          <w:tcPr>
            <w:tcW w:w="714" w:type="pct"/>
            <w:tcBorders>
              <w:top w:val="single" w:sz="4" w:space="0" w:color="0070C0"/>
            </w:tcBorders>
            <w:shd w:val="clear" w:color="auto" w:fill="F2F2F2"/>
          </w:tcPr>
          <w:p w:rsidR="000D027B" w:rsidRPr="006F1D04" w:rsidRDefault="000D027B" w:rsidP="000D027B">
            <w:pPr>
              <w:pStyle w:val="PELTableText"/>
              <w:spacing w:before="120" w:after="120" w:line="240" w:lineRule="auto"/>
              <w:rPr>
                <w:rFonts w:ascii="Arial" w:hAnsi="Arial" w:cs="Arial"/>
                <w:sz w:val="15"/>
                <w:szCs w:val="15"/>
              </w:rPr>
            </w:pPr>
            <w:r w:rsidRPr="006F1D04">
              <w:rPr>
                <w:rFonts w:ascii="Arial" w:hAnsi="Arial" w:cs="Arial"/>
                <w:sz w:val="15"/>
                <w:szCs w:val="15"/>
              </w:rPr>
              <w:t>23</w:t>
            </w:r>
          </w:p>
        </w:tc>
        <w:tc>
          <w:tcPr>
            <w:tcW w:w="715" w:type="pct"/>
            <w:tcBorders>
              <w:top w:val="nil"/>
            </w:tcBorders>
            <w:shd w:val="clear" w:color="auto" w:fill="F2F2F2"/>
            <w:tcMar>
              <w:left w:w="85" w:type="dxa"/>
              <w:right w:w="85" w:type="dxa"/>
            </w:tcMar>
          </w:tcPr>
          <w:p w:rsidR="000D027B" w:rsidRPr="006F1D04" w:rsidRDefault="000D027B" w:rsidP="000D027B">
            <w:pPr>
              <w:pStyle w:val="PELTableText"/>
              <w:spacing w:before="120" w:after="120" w:line="240" w:lineRule="auto"/>
              <w:rPr>
                <w:rFonts w:ascii="Arial" w:hAnsi="Arial" w:cs="Arial"/>
                <w:sz w:val="15"/>
                <w:szCs w:val="15"/>
              </w:rPr>
            </w:pPr>
          </w:p>
        </w:tc>
        <w:tc>
          <w:tcPr>
            <w:tcW w:w="2301" w:type="pct"/>
            <w:tcBorders>
              <w:top w:val="single" w:sz="4" w:space="0" w:color="0070C0"/>
            </w:tcBorders>
            <w:shd w:val="clear" w:color="auto" w:fill="F2F2F2"/>
            <w:tcMar>
              <w:left w:w="85" w:type="dxa"/>
              <w:right w:w="85" w:type="dxa"/>
            </w:tcMar>
          </w:tcPr>
          <w:p w:rsidR="000D027B" w:rsidRPr="006F1D04" w:rsidRDefault="000D027B" w:rsidP="000D027B">
            <w:pPr>
              <w:pStyle w:val="PELTableText"/>
              <w:spacing w:before="120" w:after="120" w:line="240" w:lineRule="auto"/>
              <w:rPr>
                <w:rFonts w:ascii="Arial" w:hAnsi="Arial" w:cs="Arial"/>
                <w:sz w:val="15"/>
                <w:szCs w:val="15"/>
              </w:rPr>
            </w:pPr>
            <w:r w:rsidRPr="006F1D04">
              <w:rPr>
                <w:rFonts w:ascii="Arial" w:hAnsi="Arial" w:cs="Arial"/>
                <w:sz w:val="15"/>
                <w:szCs w:val="15"/>
              </w:rPr>
              <w:t>Monitor and report coarse particle fraction.</w:t>
            </w:r>
          </w:p>
        </w:tc>
        <w:tc>
          <w:tcPr>
            <w:tcW w:w="1270" w:type="pct"/>
            <w:tcBorders>
              <w:top w:val="single" w:sz="4" w:space="0" w:color="0070C0"/>
            </w:tcBorders>
            <w:shd w:val="clear" w:color="auto" w:fill="F2F2F2"/>
            <w:tcMar>
              <w:left w:w="85" w:type="dxa"/>
              <w:right w:w="85" w:type="dxa"/>
            </w:tcMar>
          </w:tcPr>
          <w:p w:rsidR="000D027B" w:rsidRPr="006F1D04" w:rsidRDefault="000D027B" w:rsidP="000D027B">
            <w:pPr>
              <w:pStyle w:val="PELTableText"/>
              <w:spacing w:before="120" w:after="120" w:line="240" w:lineRule="auto"/>
              <w:rPr>
                <w:rFonts w:ascii="Arial" w:hAnsi="Arial" w:cs="Arial"/>
                <w:sz w:val="15"/>
                <w:szCs w:val="15"/>
              </w:rPr>
            </w:pPr>
            <w:r w:rsidRPr="006F1D04">
              <w:rPr>
                <w:rFonts w:ascii="Arial" w:hAnsi="Arial" w:cs="Arial"/>
                <w:b/>
                <w:sz w:val="15"/>
                <w:szCs w:val="15"/>
              </w:rPr>
              <w:t>No.</w:t>
            </w:r>
            <w:r w:rsidRPr="006F1D04">
              <w:rPr>
                <w:rFonts w:ascii="Arial" w:hAnsi="Arial" w:cs="Arial"/>
                <w:sz w:val="15"/>
                <w:szCs w:val="15"/>
              </w:rPr>
              <w:t xml:space="preserve"> Considered to be outside the scope of </w:t>
            </w:r>
            <w:r w:rsidRPr="006F1D04">
              <w:rPr>
                <w:rFonts w:ascii="Arial" w:hAnsi="Arial"/>
                <w:sz w:val="15"/>
                <w:szCs w:val="15"/>
              </w:rPr>
              <w:t>Impact Statement</w:t>
            </w:r>
            <w:r w:rsidRPr="006F1D04">
              <w:rPr>
                <w:rFonts w:ascii="Arial" w:hAnsi="Arial" w:cs="Arial"/>
                <w:sz w:val="15"/>
                <w:szCs w:val="15"/>
              </w:rPr>
              <w:t>.</w:t>
            </w:r>
          </w:p>
        </w:tc>
      </w:tr>
    </w:tbl>
    <w:p w:rsidR="00ED1EA2" w:rsidRPr="006F1D04" w:rsidRDefault="00ED1EA2" w:rsidP="00CD2AEC">
      <w:pPr>
        <w:rPr>
          <w:rFonts w:ascii="Arial" w:hAnsi="Arial" w:cs="Arial"/>
        </w:rPr>
      </w:pPr>
    </w:p>
    <w:p w:rsidR="00292CEB" w:rsidRPr="006F1D04" w:rsidRDefault="00292CEB" w:rsidP="00292CEB">
      <w:pPr>
        <w:rPr>
          <w:rFonts w:ascii="Arial" w:hAnsi="Arial" w:cs="Arial"/>
          <w:color w:val="00B050"/>
          <w:sz w:val="17"/>
          <w:szCs w:val="17"/>
          <w:lang w:eastAsia="en-US"/>
        </w:rPr>
      </w:pPr>
    </w:p>
    <w:p w:rsidR="00292CEB" w:rsidRPr="006F1D04" w:rsidRDefault="00292CEB" w:rsidP="00A22C06">
      <w:pPr>
        <w:rPr>
          <w:rFonts w:ascii="Arial" w:hAnsi="Arial" w:cs="Arial"/>
          <w:color w:val="00B050"/>
          <w:sz w:val="17"/>
          <w:szCs w:val="17"/>
          <w:lang w:eastAsia="en-US"/>
        </w:rPr>
      </w:pPr>
    </w:p>
    <w:p w:rsidR="00236133" w:rsidRPr="006F1D04" w:rsidRDefault="00236133" w:rsidP="00236133">
      <w:pPr>
        <w:rPr>
          <w:rFonts w:ascii="Arial" w:hAnsi="Arial" w:cs="Arial"/>
          <w:color w:val="00B050"/>
        </w:rPr>
        <w:sectPr w:rsidR="00236133" w:rsidRPr="006F1D04" w:rsidSect="006A5626">
          <w:pgSz w:w="11906" w:h="16838" w:code="9"/>
          <w:pgMar w:top="1440" w:right="1440" w:bottom="1440" w:left="1440" w:header="284" w:footer="170" w:gutter="0"/>
          <w:cols w:space="255"/>
          <w:docGrid w:linePitch="360"/>
        </w:sectPr>
      </w:pPr>
    </w:p>
    <w:p w:rsidR="00692A6D" w:rsidRPr="006F1D04" w:rsidRDefault="00236133" w:rsidP="00236133">
      <w:pPr>
        <w:pStyle w:val="Heading6"/>
        <w:rPr>
          <w:rStyle w:val="Strong"/>
          <w:rFonts w:ascii="Arial" w:hAnsi="Arial" w:cs="Arial"/>
          <w:b/>
          <w:bCs/>
          <w:vertAlign w:val="subscript"/>
        </w:rPr>
      </w:pPr>
      <w:r w:rsidRPr="006F1D04">
        <w:rPr>
          <w:rStyle w:val="Strong"/>
          <w:rFonts w:ascii="Arial" w:hAnsi="Arial" w:cs="Arial"/>
          <w:b/>
          <w:bCs/>
        </w:rPr>
        <w:lastRenderedPageBreak/>
        <w:tab/>
      </w:r>
      <w:r w:rsidRPr="006F1D04">
        <w:rPr>
          <w:rStyle w:val="Strong"/>
          <w:rFonts w:ascii="Arial" w:hAnsi="Arial" w:cs="Arial"/>
          <w:b/>
          <w:bCs/>
        </w:rPr>
        <w:tab/>
      </w:r>
      <w:bookmarkStart w:id="222" w:name="_Toc394011167"/>
      <w:r w:rsidRPr="006F1D04">
        <w:rPr>
          <w:rStyle w:val="Strong"/>
          <w:rFonts w:ascii="Arial" w:hAnsi="Arial" w:cs="Arial"/>
          <w:b/>
          <w:bCs/>
        </w:rPr>
        <w:t>Monitoring methods for PM</w:t>
      </w:r>
      <w:r w:rsidRPr="006F1D04">
        <w:rPr>
          <w:rStyle w:val="Strong"/>
          <w:rFonts w:ascii="Arial" w:hAnsi="Arial" w:cs="Arial"/>
          <w:b/>
          <w:bCs/>
          <w:vertAlign w:val="subscript"/>
        </w:rPr>
        <w:t>10</w:t>
      </w:r>
      <w:r w:rsidRPr="006F1D04">
        <w:rPr>
          <w:rStyle w:val="Strong"/>
          <w:rFonts w:ascii="Arial" w:hAnsi="Arial" w:cs="Arial"/>
          <w:b/>
          <w:bCs/>
        </w:rPr>
        <w:t xml:space="preserve"> and PM</w:t>
      </w:r>
      <w:r w:rsidRPr="006F1D04">
        <w:rPr>
          <w:rStyle w:val="Strong"/>
          <w:rFonts w:ascii="Arial" w:hAnsi="Arial" w:cs="Arial"/>
          <w:b/>
          <w:bCs/>
          <w:vertAlign w:val="subscript"/>
        </w:rPr>
        <w:t>2.5</w:t>
      </w:r>
      <w:bookmarkEnd w:id="222"/>
    </w:p>
    <w:p w:rsidR="00236133" w:rsidRPr="006F1D04" w:rsidRDefault="00236133" w:rsidP="00236133">
      <w:pPr>
        <w:pStyle w:val="Heading6"/>
        <w:rPr>
          <w:rFonts w:ascii="Arial" w:hAnsi="Arial" w:cs="Arial"/>
        </w:rPr>
        <w:sectPr w:rsidR="00236133" w:rsidRPr="006F1D04" w:rsidSect="006A5626">
          <w:pgSz w:w="11906" w:h="16838" w:code="9"/>
          <w:pgMar w:top="1440" w:right="1440" w:bottom="1440" w:left="1440" w:header="284" w:footer="170" w:gutter="0"/>
          <w:cols w:space="255"/>
          <w:vAlign w:val="center"/>
          <w:docGrid w:linePitch="360"/>
        </w:sectPr>
      </w:pPr>
    </w:p>
    <w:p w:rsidR="00236133" w:rsidRPr="006F1D04" w:rsidRDefault="00236133" w:rsidP="00236133">
      <w:pPr>
        <w:pStyle w:val="Heading7"/>
        <w:rPr>
          <w:rFonts w:ascii="Arial" w:hAnsi="Arial"/>
        </w:rPr>
      </w:pPr>
      <w:bookmarkStart w:id="223" w:name="_Ref365628874"/>
      <w:bookmarkStart w:id="224" w:name="_Toc394011168"/>
      <w:r w:rsidRPr="006F1D04">
        <w:rPr>
          <w:rFonts w:ascii="Arial" w:hAnsi="Arial"/>
        </w:rPr>
        <w:lastRenderedPageBreak/>
        <w:t>Reference methods</w:t>
      </w:r>
      <w:bookmarkEnd w:id="223"/>
      <w:bookmarkEnd w:id="224"/>
    </w:p>
    <w:p w:rsidR="00236133" w:rsidRPr="006F1D04" w:rsidRDefault="00236133" w:rsidP="00236133">
      <w:pPr>
        <w:spacing w:after="180"/>
        <w:rPr>
          <w:rFonts w:ascii="Arial" w:hAnsi="Arial" w:cs="Arial"/>
          <w:lang w:eastAsia="en-US"/>
        </w:rPr>
      </w:pPr>
      <w:r w:rsidRPr="006F1D04">
        <w:rPr>
          <w:rFonts w:ascii="Arial" w:hAnsi="Arial" w:cs="Arial"/>
        </w:rPr>
        <w:t>The reference method for monitoring PM</w:t>
      </w:r>
      <w:r w:rsidRPr="006F1D04">
        <w:rPr>
          <w:rFonts w:ascii="Arial" w:hAnsi="Arial" w:cs="Arial"/>
          <w:vertAlign w:val="subscript"/>
        </w:rPr>
        <w:t>10</w:t>
      </w:r>
      <w:r w:rsidRPr="006F1D04">
        <w:rPr>
          <w:rFonts w:ascii="Arial" w:hAnsi="Arial" w:cs="Arial"/>
        </w:rPr>
        <w:t xml:space="preserve"> and PM</w:t>
      </w:r>
      <w:r w:rsidRPr="006F1D04">
        <w:rPr>
          <w:rFonts w:ascii="Arial" w:hAnsi="Arial" w:cs="Arial"/>
          <w:vertAlign w:val="subscript"/>
        </w:rPr>
        <w:t>2.5</w:t>
      </w:r>
      <w:r w:rsidRPr="006F1D04">
        <w:rPr>
          <w:rFonts w:ascii="Arial" w:hAnsi="Arial" w:cs="Arial"/>
        </w:rPr>
        <w:t xml:space="preserve"> in Australia is the manual gravimetric method. The method is a non-continuous (batch), one-day-in-three technique </w:t>
      </w:r>
      <w:r w:rsidRPr="006F1D04">
        <w:rPr>
          <w:rFonts w:ascii="Arial" w:hAnsi="Arial" w:cs="Arial"/>
          <w:lang w:eastAsia="en-US"/>
        </w:rPr>
        <w:t>in which PM is sampled by drawing air at ambient temperature and pressure through a filter. The filter is</w:t>
      </w:r>
      <w:r w:rsidRPr="006F1D04">
        <w:rPr>
          <w:rFonts w:ascii="Arial" w:hAnsi="Arial" w:cs="Arial"/>
        </w:rPr>
        <w:t xml:space="preserve"> weighed before and after sampling </w:t>
      </w:r>
      <w:r w:rsidRPr="006F1D04">
        <w:rPr>
          <w:rFonts w:ascii="Arial" w:hAnsi="Arial" w:cs="Arial"/>
          <w:lang w:eastAsia="en-US"/>
        </w:rPr>
        <w:t xml:space="preserve">to determine the PM mass. </w:t>
      </w:r>
      <w:r w:rsidRPr="006F1D04">
        <w:rPr>
          <w:rFonts w:ascii="Arial" w:hAnsi="Arial" w:cs="Arial"/>
        </w:rPr>
        <w:t>T</w:t>
      </w:r>
      <w:r w:rsidRPr="006F1D04">
        <w:rPr>
          <w:rFonts w:ascii="Arial" w:hAnsi="Arial" w:cs="Arial"/>
          <w:lang w:eastAsia="en-US"/>
        </w:rPr>
        <w:t>he Australian/New Zealand Standards for measuring PM</w:t>
      </w:r>
      <w:r w:rsidRPr="006F1D04">
        <w:rPr>
          <w:rFonts w:ascii="Arial" w:hAnsi="Arial" w:cs="Arial"/>
          <w:vertAlign w:val="subscript"/>
          <w:lang w:eastAsia="en-US"/>
        </w:rPr>
        <w:t>10</w:t>
      </w:r>
      <w:r w:rsidRPr="006F1D04">
        <w:rPr>
          <w:rFonts w:ascii="Arial" w:hAnsi="Arial" w:cs="Arial"/>
          <w:lang w:eastAsia="en-US"/>
        </w:rPr>
        <w:t xml:space="preserve"> and PM</w:t>
      </w:r>
      <w:r w:rsidRPr="006F1D04">
        <w:rPr>
          <w:rFonts w:ascii="Arial" w:hAnsi="Arial" w:cs="Arial"/>
          <w:vertAlign w:val="subscript"/>
          <w:lang w:eastAsia="en-US"/>
        </w:rPr>
        <w:t>2.5</w:t>
      </w:r>
      <w:r w:rsidRPr="006F1D04">
        <w:rPr>
          <w:rFonts w:ascii="Arial" w:hAnsi="Arial" w:cs="Arial"/>
          <w:lang w:eastAsia="en-US"/>
        </w:rPr>
        <w:t xml:space="preserve"> are:</w:t>
      </w:r>
    </w:p>
    <w:p w:rsidR="00236133" w:rsidRPr="006F1D04" w:rsidRDefault="00236133" w:rsidP="00236133">
      <w:pPr>
        <w:pStyle w:val="BulletArrows"/>
        <w:rPr>
          <w:rFonts w:ascii="Arial" w:hAnsi="Arial"/>
        </w:rPr>
      </w:pPr>
      <w:r w:rsidRPr="006F1D04">
        <w:rPr>
          <w:rFonts w:ascii="Arial" w:hAnsi="Arial"/>
        </w:rPr>
        <w:t>AS/NZS 3580.9.6-2003: Methods for sampling and analysis of ambient air - Determination of suspended particulate matter - PM</w:t>
      </w:r>
      <w:r w:rsidRPr="006F1D04">
        <w:rPr>
          <w:rFonts w:ascii="Arial" w:hAnsi="Arial"/>
          <w:vertAlign w:val="subscript"/>
        </w:rPr>
        <w:t>10</w:t>
      </w:r>
      <w:r w:rsidRPr="006F1D04">
        <w:rPr>
          <w:rFonts w:ascii="Arial" w:hAnsi="Arial"/>
        </w:rPr>
        <w:t xml:space="preserve"> high volume sampler with size selective inlet - Gravimetric method.</w:t>
      </w:r>
    </w:p>
    <w:p w:rsidR="00236133" w:rsidRPr="006F1D04" w:rsidRDefault="00236133" w:rsidP="00236133">
      <w:pPr>
        <w:pStyle w:val="BulletArrows"/>
        <w:rPr>
          <w:rFonts w:ascii="Arial" w:hAnsi="Arial"/>
        </w:rPr>
      </w:pPr>
      <w:r w:rsidRPr="006F1D04">
        <w:rPr>
          <w:rFonts w:ascii="Arial" w:eastAsia="ArialMT" w:hAnsi="Arial"/>
        </w:rPr>
        <w:t xml:space="preserve">AS/NZS 3580.9.10-2006: Reference method for the </w:t>
      </w:r>
      <w:r w:rsidRPr="006F1D04">
        <w:rPr>
          <w:rFonts w:ascii="Arial" w:hAnsi="Arial"/>
        </w:rPr>
        <w:t>determination of fine</w:t>
      </w:r>
      <w:r w:rsidRPr="006F1D04">
        <w:rPr>
          <w:rFonts w:ascii="Arial" w:eastAsia="ArialMT" w:hAnsi="Arial"/>
        </w:rPr>
        <w:t xml:space="preserve"> particulate matter as PM</w:t>
      </w:r>
      <w:r w:rsidRPr="006F1D04">
        <w:rPr>
          <w:rFonts w:ascii="Arial" w:eastAsia="ArialMT" w:hAnsi="Arial"/>
          <w:vertAlign w:val="subscript"/>
        </w:rPr>
        <w:t>2.5</w:t>
      </w:r>
      <w:r w:rsidRPr="006F1D04">
        <w:rPr>
          <w:rFonts w:ascii="Arial" w:eastAsia="ArialMT" w:hAnsi="Arial"/>
        </w:rPr>
        <w:t xml:space="preserve"> in the </w:t>
      </w:r>
      <w:r w:rsidRPr="006F1D04">
        <w:rPr>
          <w:rFonts w:ascii="Arial" w:hAnsi="Arial"/>
        </w:rPr>
        <w:t>atmosphere.</w:t>
      </w:r>
    </w:p>
    <w:p w:rsidR="00236133" w:rsidRPr="006F1D04" w:rsidRDefault="00236133" w:rsidP="00236133">
      <w:pPr>
        <w:rPr>
          <w:rFonts w:ascii="Arial" w:hAnsi="Arial" w:cs="Arial"/>
          <w:lang w:eastAsia="en-US"/>
        </w:rPr>
      </w:pPr>
      <w:r w:rsidRPr="006F1D04">
        <w:rPr>
          <w:rFonts w:ascii="Arial" w:hAnsi="Arial" w:cs="Arial"/>
          <w:lang w:eastAsia="en-US"/>
        </w:rPr>
        <w:t xml:space="preserve">These reference methods are similar to those employed in the United States and Europe. It has long been known that the reference methods are subject to sampling artefacts, including particle bounce on heavily-loaded filters and the loss of semi-volatile components of PM </w:t>
      </w:r>
      <w:r w:rsidRPr="006F1D04">
        <w:rPr>
          <w:rFonts w:ascii="Arial" w:hAnsi="Arial" w:cs="Arial"/>
          <w:b/>
          <w:lang w:eastAsia="en-US"/>
        </w:rPr>
        <w:t>(USEPA, 2009)</w:t>
      </w:r>
      <w:r w:rsidRPr="006F1D04">
        <w:rPr>
          <w:rFonts w:ascii="Arial" w:hAnsi="Arial" w:cs="Arial"/>
          <w:lang w:eastAsia="en-US"/>
        </w:rPr>
        <w:t>.</w:t>
      </w:r>
    </w:p>
    <w:p w:rsidR="00236133" w:rsidRPr="006F1D04" w:rsidRDefault="00236133" w:rsidP="00236133">
      <w:pPr>
        <w:pStyle w:val="Heading7"/>
        <w:rPr>
          <w:rFonts w:ascii="Arial" w:hAnsi="Arial"/>
          <w:lang w:eastAsia="en-US"/>
        </w:rPr>
      </w:pPr>
      <w:bookmarkStart w:id="225" w:name="_Toc394011169"/>
      <w:r w:rsidRPr="006F1D04">
        <w:rPr>
          <w:rFonts w:ascii="Arial" w:hAnsi="Arial"/>
          <w:lang w:eastAsia="en-US"/>
        </w:rPr>
        <w:t>Alternative methods</w:t>
      </w:r>
      <w:bookmarkEnd w:id="225"/>
    </w:p>
    <w:p w:rsidR="00236133" w:rsidRPr="006F1D04" w:rsidRDefault="00236133" w:rsidP="00236133">
      <w:pPr>
        <w:rPr>
          <w:rFonts w:ascii="Arial" w:hAnsi="Arial" w:cs="Arial"/>
          <w:color w:val="FF0000"/>
          <w:lang w:eastAsia="en-US"/>
        </w:rPr>
      </w:pPr>
      <w:r w:rsidRPr="006F1D04">
        <w:rPr>
          <w:rFonts w:ascii="Arial" w:hAnsi="Arial" w:cs="Arial"/>
        </w:rPr>
        <w:t>For a variety of practical reasons, the reference methods have not been widely adopted in Australia and elsewhere (</w:t>
      </w:r>
      <w:r w:rsidR="009334F4" w:rsidRPr="006F1D04">
        <w:rPr>
          <w:rFonts w:ascii="Arial" w:hAnsi="Arial" w:cs="Arial"/>
        </w:rPr>
        <w:t>e.g.</w:t>
      </w:r>
      <w:r w:rsidRPr="006F1D04">
        <w:rPr>
          <w:rFonts w:ascii="Arial" w:hAnsi="Arial" w:cs="Arial"/>
        </w:rPr>
        <w:t xml:space="preserve"> the UK).</w:t>
      </w:r>
      <w:r w:rsidRPr="006F1D04">
        <w:rPr>
          <w:rFonts w:ascii="Arial" w:hAnsi="Arial" w:cs="Arial"/>
          <w:lang w:eastAsia="en-US"/>
        </w:rPr>
        <w:t xml:space="preserve"> The operation of a gravimetric sampler and the manual weighing of filters is labour-intensive, and only provides 24-hour mean PM concentrations. </w:t>
      </w:r>
      <w:r w:rsidRPr="006F1D04">
        <w:rPr>
          <w:rFonts w:ascii="Arial" w:hAnsi="Arial" w:cs="Arial"/>
        </w:rPr>
        <w:t>The manual nature of the reference method also introduces a significant time delay in data acquisition,</w:t>
      </w:r>
      <w:r w:rsidRPr="006F1D04">
        <w:rPr>
          <w:rFonts w:ascii="Arial" w:hAnsi="Arial" w:cs="Arial"/>
          <w:color w:val="FF0000"/>
          <w:lang w:eastAsia="en-US"/>
        </w:rPr>
        <w:t xml:space="preserve"> </w:t>
      </w:r>
      <w:r w:rsidRPr="006F1D04">
        <w:rPr>
          <w:rFonts w:ascii="Arial" w:hAnsi="Arial" w:cs="Arial"/>
          <w:lang w:eastAsia="en-US"/>
        </w:rPr>
        <w:t xml:space="preserve">rendering it unsuitable for </w:t>
      </w:r>
      <w:r w:rsidRPr="006F1D04">
        <w:rPr>
          <w:rFonts w:ascii="Arial" w:hAnsi="Arial" w:cs="Arial"/>
        </w:rPr>
        <w:t xml:space="preserve">real-time data production. </w:t>
      </w:r>
      <w:r w:rsidR="00342A0E" w:rsidRPr="006F1D04">
        <w:rPr>
          <w:rFonts w:ascii="Arial" w:hAnsi="Arial" w:cs="Arial"/>
          <w:lang w:eastAsia="en-US"/>
        </w:rPr>
        <w:t xml:space="preserve">Where </w:t>
      </w:r>
      <w:r w:rsidRPr="006F1D04">
        <w:rPr>
          <w:rFonts w:ascii="Arial" w:hAnsi="Arial" w:cs="Arial"/>
          <w:lang w:eastAsia="en-US"/>
        </w:rPr>
        <w:t xml:space="preserve">data are not collected every day the concentration-response relationship in air pollution health studies cannot be fully evaluated in terms of lags between ambient concentration and health outcomes </w:t>
      </w:r>
      <w:r w:rsidRPr="006F1D04">
        <w:rPr>
          <w:rFonts w:ascii="Arial" w:hAnsi="Arial" w:cs="Arial"/>
          <w:b/>
          <w:lang w:eastAsia="en-US"/>
        </w:rPr>
        <w:t>(USEPA, 2009)</w:t>
      </w:r>
      <w:r w:rsidRPr="006F1D04">
        <w:rPr>
          <w:rFonts w:ascii="Arial" w:hAnsi="Arial" w:cs="Arial"/>
          <w:lang w:eastAsia="en-US"/>
        </w:rPr>
        <w:t>.</w:t>
      </w:r>
    </w:p>
    <w:p w:rsidR="00236133" w:rsidRPr="006F1D04" w:rsidRDefault="00236133" w:rsidP="00236133">
      <w:pPr>
        <w:rPr>
          <w:rFonts w:ascii="Arial" w:hAnsi="Arial" w:cs="Arial"/>
        </w:rPr>
      </w:pPr>
      <w:r w:rsidRPr="006F1D04">
        <w:rPr>
          <w:rFonts w:ascii="Arial" w:hAnsi="Arial" w:cs="Arial"/>
          <w:lang w:eastAsia="en-US"/>
        </w:rPr>
        <w:t xml:space="preserve">Fortunately, some automated and continuous methods can be used as alternatives to the reference methods, but not all these methods are recognised as being equivalent to the reference methods for </w:t>
      </w:r>
      <w:r w:rsidR="00EF24F8" w:rsidRPr="006F1D04">
        <w:rPr>
          <w:rFonts w:ascii="Arial" w:hAnsi="Arial" w:cs="Arial"/>
          <w:lang w:eastAsia="en-US"/>
        </w:rPr>
        <w:t>AAQ NEPM</w:t>
      </w:r>
      <w:r w:rsidRPr="006F1D04">
        <w:rPr>
          <w:rFonts w:ascii="Arial" w:hAnsi="Arial" w:cs="Arial"/>
          <w:lang w:eastAsia="en-US"/>
        </w:rPr>
        <w:t xml:space="preserve"> purposes. Automated methods can be less expensive for routine air quality monitoring, and can provide data over much shorter time intervals (</w:t>
      </w:r>
      <w:r w:rsidR="009334F4" w:rsidRPr="006F1D04">
        <w:rPr>
          <w:rFonts w:ascii="Arial" w:hAnsi="Arial" w:cs="Arial"/>
          <w:lang w:eastAsia="en-US"/>
        </w:rPr>
        <w:t>e.g.</w:t>
      </w:r>
      <w:r w:rsidRPr="006F1D04">
        <w:rPr>
          <w:rFonts w:ascii="Arial" w:hAnsi="Arial" w:cs="Arial"/>
          <w:lang w:eastAsia="en-US"/>
        </w:rPr>
        <w:t xml:space="preserve"> hourly).</w:t>
      </w:r>
      <w:r w:rsidRPr="006F1D04">
        <w:rPr>
          <w:rFonts w:ascii="Arial" w:hAnsi="Arial" w:cs="Arial"/>
        </w:rPr>
        <w:t xml:space="preserve"> However, because of the different measurement techniques employed the data from the various alternative methods are not directly comparable. </w:t>
      </w:r>
      <w:r w:rsidRPr="006F1D04">
        <w:rPr>
          <w:rFonts w:ascii="Arial" w:hAnsi="Arial" w:cs="Arial"/>
          <w:lang w:eastAsia="en-US"/>
        </w:rPr>
        <w:t>The main alternative methods used in Australia are summarised below.</w:t>
      </w:r>
    </w:p>
    <w:p w:rsidR="00236133" w:rsidRPr="006F1D04" w:rsidRDefault="00236133" w:rsidP="00236133">
      <w:pPr>
        <w:pStyle w:val="Heading8"/>
        <w:rPr>
          <w:rFonts w:ascii="Arial" w:hAnsi="Arial"/>
          <w:lang w:eastAsia="en-US"/>
        </w:rPr>
      </w:pPr>
      <w:bookmarkStart w:id="226" w:name="_Ref369168433"/>
      <w:bookmarkStart w:id="227" w:name="_Toc394011170"/>
      <w:r w:rsidRPr="006F1D04">
        <w:rPr>
          <w:rFonts w:ascii="Arial" w:hAnsi="Arial"/>
          <w:lang w:eastAsia="en-US"/>
        </w:rPr>
        <w:t>TEOM</w:t>
      </w:r>
      <w:bookmarkEnd w:id="226"/>
      <w:bookmarkEnd w:id="227"/>
    </w:p>
    <w:p w:rsidR="00236133" w:rsidRPr="006F1D04" w:rsidRDefault="00236133" w:rsidP="00236133">
      <w:pPr>
        <w:rPr>
          <w:rFonts w:ascii="Arial" w:hAnsi="Arial" w:cs="Arial"/>
          <w:lang w:eastAsia="en-US"/>
        </w:rPr>
      </w:pPr>
      <w:r w:rsidRPr="006F1D04">
        <w:rPr>
          <w:rFonts w:ascii="Arial" w:hAnsi="Arial" w:cs="Arial"/>
        </w:rPr>
        <w:t xml:space="preserve">The </w:t>
      </w:r>
      <w:r w:rsidRPr="006F1D04">
        <w:rPr>
          <w:rFonts w:ascii="Arial" w:hAnsi="Arial" w:cs="Arial"/>
          <w:lang w:eastAsia="en-US"/>
        </w:rPr>
        <w:t>Tapered Element Oscillating Microbalance</w:t>
      </w:r>
      <w:r w:rsidRPr="006F1D04">
        <w:rPr>
          <w:rFonts w:ascii="Arial" w:hAnsi="Arial" w:cs="Arial"/>
        </w:rPr>
        <w:t xml:space="preserve"> (TEOM) is the most common automatic method for measuring and reporting PM</w:t>
      </w:r>
      <w:r w:rsidRPr="006F1D04">
        <w:rPr>
          <w:rFonts w:ascii="Arial" w:hAnsi="Arial" w:cs="Arial"/>
          <w:vertAlign w:val="subscript"/>
        </w:rPr>
        <w:t>10</w:t>
      </w:r>
      <w:r w:rsidRPr="006F1D04">
        <w:rPr>
          <w:rFonts w:ascii="Arial" w:hAnsi="Arial" w:cs="Arial"/>
        </w:rPr>
        <w:t xml:space="preserve"> and PM</w:t>
      </w:r>
      <w:r w:rsidRPr="006F1D04">
        <w:rPr>
          <w:rFonts w:ascii="Arial" w:hAnsi="Arial" w:cs="Arial"/>
          <w:vertAlign w:val="subscript"/>
        </w:rPr>
        <w:t>2.5</w:t>
      </w:r>
      <w:r w:rsidRPr="006F1D04">
        <w:rPr>
          <w:rFonts w:ascii="Arial" w:hAnsi="Arial" w:cs="Arial"/>
        </w:rPr>
        <w:t xml:space="preserve"> concentrations in Australia; </w:t>
      </w:r>
      <w:r w:rsidRPr="006F1D04">
        <w:rPr>
          <w:rFonts w:ascii="Arial" w:hAnsi="Arial" w:cs="Arial"/>
          <w:lang w:eastAsia="en-US"/>
        </w:rPr>
        <w:t>TEOM samplers have almost universally been adopted by the Australian jurisdictions to measure PM</w:t>
      </w:r>
      <w:r w:rsidRPr="006F1D04">
        <w:rPr>
          <w:rFonts w:ascii="Arial" w:hAnsi="Arial" w:cs="Arial"/>
          <w:vertAlign w:val="subscript"/>
          <w:lang w:eastAsia="en-US"/>
        </w:rPr>
        <w:t>10</w:t>
      </w:r>
      <w:r w:rsidRPr="006F1D04">
        <w:rPr>
          <w:rFonts w:ascii="Arial" w:hAnsi="Arial" w:cs="Arial"/>
          <w:lang w:eastAsia="en-US"/>
        </w:rPr>
        <w:t xml:space="preserve">. The TEOM draws air through a hollow, tapered glass tube (the element). The wide end of the tube is fixed, whereas the narrow end can oscillate in response to an applied electric field. Particles are collected on the filter attached to the narrow end of the tube. The frequency of oscillation is proportional to the accumulated mass, and therefore small changes in PM mass can be quantified by accurately measuring the tube’s resonant frequency. To minimise the contribution of liquid water to the measured PM mass, the TEOM conditions the incoming sample aerosol to 50°C prior to and during its measurement. </w:t>
      </w:r>
      <w:r w:rsidRPr="006F1D04">
        <w:rPr>
          <w:rFonts w:ascii="Arial" w:hAnsi="Arial" w:cs="Arial"/>
        </w:rPr>
        <w:t xml:space="preserve">The main advantage of the TEOM is that concentrations are reported on a continuous basis. However, it is known that the operational temperature of the TEOM results in the loss of semi-volatile SOA and ammonium nitrate </w:t>
      </w:r>
      <w:r w:rsidRPr="006F1D04">
        <w:rPr>
          <w:rFonts w:ascii="Arial" w:hAnsi="Arial" w:cs="Arial"/>
          <w:b/>
        </w:rPr>
        <w:t xml:space="preserve">(Grover </w:t>
      </w:r>
      <w:r w:rsidR="009334F4" w:rsidRPr="006F1D04">
        <w:rPr>
          <w:rFonts w:ascii="Arial" w:hAnsi="Arial" w:cs="Arial"/>
          <w:b/>
        </w:rPr>
        <w:t>et al</w:t>
      </w:r>
      <w:r w:rsidRPr="006F1D04">
        <w:rPr>
          <w:rFonts w:ascii="Arial" w:hAnsi="Arial" w:cs="Arial"/>
          <w:b/>
        </w:rPr>
        <w:t>., 2005)</w:t>
      </w:r>
      <w:r w:rsidRPr="006F1D04">
        <w:rPr>
          <w:rFonts w:ascii="Arial" w:hAnsi="Arial" w:cs="Arial"/>
        </w:rPr>
        <w:t xml:space="preserve">. It was shown by </w:t>
      </w:r>
      <w:proofErr w:type="spellStart"/>
      <w:r w:rsidRPr="006F1D04">
        <w:rPr>
          <w:rFonts w:ascii="Arial" w:hAnsi="Arial" w:cs="Arial"/>
          <w:b/>
        </w:rPr>
        <w:t>Charron</w:t>
      </w:r>
      <w:proofErr w:type="spellEnd"/>
      <w:r w:rsidRPr="006F1D04">
        <w:rPr>
          <w:rFonts w:ascii="Arial" w:hAnsi="Arial" w:cs="Arial"/>
          <w:b/>
        </w:rPr>
        <w:t xml:space="preserve"> </w:t>
      </w:r>
      <w:r w:rsidR="009334F4" w:rsidRPr="006F1D04">
        <w:rPr>
          <w:rFonts w:ascii="Arial" w:hAnsi="Arial" w:cs="Arial"/>
          <w:b/>
        </w:rPr>
        <w:t>et al.</w:t>
      </w:r>
      <w:r w:rsidRPr="006F1D04">
        <w:rPr>
          <w:rFonts w:ascii="Arial" w:hAnsi="Arial" w:cs="Arial"/>
          <w:b/>
        </w:rPr>
        <w:t xml:space="preserve"> (2004)</w:t>
      </w:r>
      <w:r w:rsidRPr="006F1D04">
        <w:rPr>
          <w:rFonts w:ascii="Arial" w:hAnsi="Arial" w:cs="Arial"/>
        </w:rPr>
        <w:t xml:space="preserve"> that most of the PM</w:t>
      </w:r>
      <w:r w:rsidRPr="006F1D04">
        <w:rPr>
          <w:rFonts w:ascii="Arial" w:hAnsi="Arial" w:cs="Arial"/>
          <w:vertAlign w:val="subscript"/>
        </w:rPr>
        <w:t>10</w:t>
      </w:r>
      <w:r w:rsidRPr="006F1D04">
        <w:rPr>
          <w:rFonts w:ascii="Arial" w:hAnsi="Arial" w:cs="Arial"/>
        </w:rPr>
        <w:t xml:space="preserve"> mass not measured by the TEOM belongs to the PM</w:t>
      </w:r>
      <w:r w:rsidRPr="006F1D04">
        <w:rPr>
          <w:rFonts w:ascii="Arial" w:hAnsi="Arial" w:cs="Arial"/>
          <w:vertAlign w:val="subscript"/>
        </w:rPr>
        <w:t>2.5</w:t>
      </w:r>
      <w:r w:rsidRPr="006F1D04">
        <w:rPr>
          <w:rFonts w:ascii="Arial" w:hAnsi="Arial" w:cs="Arial"/>
        </w:rPr>
        <w:t xml:space="preserve"> fraction.</w:t>
      </w:r>
      <w:r w:rsidRPr="006F1D04">
        <w:rPr>
          <w:rFonts w:ascii="Arial" w:hAnsi="Arial" w:cs="Arial"/>
          <w:lang w:eastAsia="en-US"/>
        </w:rPr>
        <w:t xml:space="preserve"> The TEOM therefore has therefore been shown to produce PM concentrations that are significantly different from those data produced by the reference method, in particular when the ambient temperature is low during autumn and winter. The TEOM appears to provide a good measurement of PM</w:t>
      </w:r>
      <w:r w:rsidRPr="006F1D04">
        <w:rPr>
          <w:rFonts w:ascii="Arial" w:hAnsi="Arial" w:cs="Arial"/>
          <w:vertAlign w:val="subscript"/>
          <w:lang w:eastAsia="en-US"/>
        </w:rPr>
        <w:t>10</w:t>
      </w:r>
      <w:r w:rsidRPr="006F1D04">
        <w:rPr>
          <w:rFonts w:ascii="Arial" w:hAnsi="Arial" w:cs="Arial"/>
          <w:lang w:eastAsia="en-US"/>
        </w:rPr>
        <w:t xml:space="preserve"> during the warmer spring and summer months, or when the aerosol is less volatile </w:t>
      </w:r>
      <w:r w:rsidR="00A172BE" w:rsidRPr="006F1D04">
        <w:rPr>
          <w:rFonts w:ascii="Arial" w:hAnsi="Arial" w:cs="Arial"/>
          <w:b/>
          <w:lang w:eastAsia="en-US"/>
        </w:rPr>
        <w:t>(PRC, 2001c</w:t>
      </w:r>
      <w:r w:rsidRPr="006F1D04">
        <w:rPr>
          <w:rFonts w:ascii="Arial" w:hAnsi="Arial" w:cs="Arial"/>
          <w:b/>
          <w:lang w:eastAsia="en-US"/>
        </w:rPr>
        <w:t>)</w:t>
      </w:r>
      <w:r w:rsidRPr="006F1D04">
        <w:rPr>
          <w:rFonts w:ascii="Arial" w:hAnsi="Arial" w:cs="Arial"/>
          <w:lang w:eastAsia="en-US"/>
        </w:rPr>
        <w:t>.</w:t>
      </w:r>
    </w:p>
    <w:p w:rsidR="00236133" w:rsidRPr="006F1D04" w:rsidRDefault="00236133" w:rsidP="00236133">
      <w:pPr>
        <w:spacing w:after="120"/>
        <w:rPr>
          <w:rFonts w:ascii="Arial" w:hAnsi="Arial" w:cs="Arial"/>
        </w:rPr>
      </w:pPr>
      <w:r w:rsidRPr="006F1D04">
        <w:rPr>
          <w:rFonts w:ascii="Arial" w:hAnsi="Arial" w:cs="Arial"/>
        </w:rPr>
        <w:t>In Australia there are two ways in which the TEOM data are adjusted:</w:t>
      </w:r>
    </w:p>
    <w:p w:rsidR="00236133" w:rsidRPr="006F1D04" w:rsidRDefault="00236133" w:rsidP="00236133">
      <w:pPr>
        <w:pStyle w:val="BulletArrows"/>
        <w:rPr>
          <w:rFonts w:ascii="Arial" w:hAnsi="Arial"/>
        </w:rPr>
      </w:pPr>
      <w:r w:rsidRPr="006F1D04">
        <w:rPr>
          <w:rFonts w:ascii="Arial" w:hAnsi="Arial"/>
        </w:rPr>
        <w:t>Firstly, in the case of PM</w:t>
      </w:r>
      <w:r w:rsidRPr="006F1D04">
        <w:rPr>
          <w:rFonts w:ascii="Arial" w:hAnsi="Arial"/>
          <w:vertAlign w:val="subscript"/>
        </w:rPr>
        <w:t>10</w:t>
      </w:r>
      <w:r w:rsidRPr="006F1D04">
        <w:rPr>
          <w:rFonts w:ascii="Arial" w:hAnsi="Arial"/>
        </w:rPr>
        <w:t xml:space="preserve"> there is an internal manufacturer’s correction. This correction was introduced to account for the measurement differences between the TEOM sampler and the high-volume reference method in </w:t>
      </w:r>
      <w:r w:rsidRPr="006F1D04">
        <w:rPr>
          <w:rFonts w:ascii="Arial" w:hAnsi="Arial"/>
        </w:rPr>
        <w:lastRenderedPageBreak/>
        <w:t>the United States. This internal factor is incorporated into all TEOM PM</w:t>
      </w:r>
      <w:r w:rsidRPr="006F1D04">
        <w:rPr>
          <w:rFonts w:ascii="Arial" w:hAnsi="Arial"/>
          <w:vertAlign w:val="subscript"/>
        </w:rPr>
        <w:t>10</w:t>
      </w:r>
      <w:r w:rsidRPr="006F1D04">
        <w:rPr>
          <w:rFonts w:ascii="Arial" w:hAnsi="Arial"/>
        </w:rPr>
        <w:t xml:space="preserve"> analysers sold in Australia</w:t>
      </w:r>
      <w:r w:rsidRPr="006F1D04">
        <w:rPr>
          <w:rStyle w:val="FootnoteReference"/>
          <w:rFonts w:ascii="Arial" w:hAnsi="Arial"/>
          <w:szCs w:val="18"/>
        </w:rPr>
        <w:footnoteReference w:id="36"/>
      </w:r>
      <w:r w:rsidRPr="006F1D04">
        <w:rPr>
          <w:rFonts w:ascii="Arial" w:hAnsi="Arial"/>
        </w:rPr>
        <w:t xml:space="preserve">, and is given by </w:t>
      </w:r>
      <w:proofErr w:type="spellStart"/>
      <w:r w:rsidRPr="006F1D04">
        <w:rPr>
          <w:rFonts w:ascii="Arial" w:hAnsi="Arial"/>
        </w:rPr>
        <w:t>TEOM</w:t>
      </w:r>
      <w:r w:rsidRPr="006F1D04">
        <w:rPr>
          <w:rFonts w:ascii="Arial" w:hAnsi="Arial"/>
          <w:vertAlign w:val="subscript"/>
        </w:rPr>
        <w:t>raw</w:t>
      </w:r>
      <w:proofErr w:type="spellEnd"/>
      <w:r w:rsidRPr="006F1D04">
        <w:rPr>
          <w:rFonts w:ascii="Arial" w:hAnsi="Arial"/>
        </w:rPr>
        <w:t xml:space="preserve"> * 1.03 + 3 </w:t>
      </w:r>
      <w:proofErr w:type="spellStart"/>
      <w:r w:rsidRPr="006F1D04">
        <w:rPr>
          <w:rFonts w:ascii="Arial" w:hAnsi="Arial"/>
        </w:rPr>
        <w:t>μg</w:t>
      </w:r>
      <w:proofErr w:type="spellEnd"/>
      <w:r w:rsidRPr="006F1D04">
        <w:rPr>
          <w:rFonts w:ascii="Arial" w:hAnsi="Arial"/>
        </w:rPr>
        <w:t>/m</w:t>
      </w:r>
      <w:r w:rsidRPr="006F1D04">
        <w:rPr>
          <w:rFonts w:ascii="Arial" w:hAnsi="Arial"/>
          <w:vertAlign w:val="superscript"/>
        </w:rPr>
        <w:t>3</w:t>
      </w:r>
      <w:r w:rsidRPr="006F1D04">
        <w:rPr>
          <w:rFonts w:ascii="Arial" w:hAnsi="Arial"/>
        </w:rPr>
        <w:t>. However, there are some concerns that the empiric</w:t>
      </w:r>
      <w:r w:rsidR="005F5551" w:rsidRPr="006F1D04">
        <w:rPr>
          <w:rFonts w:ascii="Arial" w:hAnsi="Arial"/>
        </w:rPr>
        <w:t xml:space="preserve">al factors developed for </w:t>
      </w:r>
      <w:r w:rsidRPr="006F1D04">
        <w:rPr>
          <w:rFonts w:ascii="Arial" w:hAnsi="Arial"/>
        </w:rPr>
        <w:t xml:space="preserve">conditions </w:t>
      </w:r>
      <w:r w:rsidR="005F5551" w:rsidRPr="006F1D04">
        <w:rPr>
          <w:rFonts w:ascii="Arial" w:hAnsi="Arial"/>
        </w:rPr>
        <w:t xml:space="preserve">in the United States </w:t>
      </w:r>
      <w:r w:rsidRPr="006F1D04">
        <w:rPr>
          <w:rFonts w:ascii="Arial" w:hAnsi="Arial"/>
        </w:rPr>
        <w:t>may not apply to Australian conditions.</w:t>
      </w:r>
    </w:p>
    <w:p w:rsidR="00236133" w:rsidRPr="006F1D04" w:rsidRDefault="00236133" w:rsidP="00236133">
      <w:pPr>
        <w:pStyle w:val="BulletArrows"/>
        <w:spacing w:after="240"/>
        <w:rPr>
          <w:rFonts w:ascii="Arial" w:hAnsi="Arial"/>
        </w:rPr>
      </w:pPr>
      <w:r w:rsidRPr="006F1D04">
        <w:rPr>
          <w:rFonts w:ascii="Arial" w:hAnsi="Arial"/>
        </w:rPr>
        <w:t xml:space="preserve">Secondly, </w:t>
      </w:r>
      <w:r w:rsidR="00EF24F8" w:rsidRPr="006F1D04">
        <w:rPr>
          <w:rFonts w:ascii="Arial" w:hAnsi="Arial"/>
        </w:rPr>
        <w:t>AAQ NEPM</w:t>
      </w:r>
      <w:r w:rsidRPr="006F1D04">
        <w:rPr>
          <w:rFonts w:ascii="Arial" w:hAnsi="Arial"/>
        </w:rPr>
        <w:t xml:space="preserve"> PRC Technical Paper No. 10 provides a basis for the removal of bias due to the loss of volatile components in TEOM PM</w:t>
      </w:r>
      <w:r w:rsidRPr="006F1D04">
        <w:rPr>
          <w:rFonts w:ascii="Arial" w:hAnsi="Arial"/>
          <w:vertAlign w:val="subscript"/>
        </w:rPr>
        <w:t>10</w:t>
      </w:r>
      <w:r w:rsidRPr="006F1D04">
        <w:rPr>
          <w:rFonts w:ascii="Arial" w:hAnsi="Arial"/>
        </w:rPr>
        <w:t xml:space="preserve"> measureme</w:t>
      </w:r>
      <w:r w:rsidRPr="006F1D04">
        <w:rPr>
          <w:rFonts w:ascii="Arial" w:hAnsi="Arial"/>
          <w:color w:val="auto"/>
        </w:rPr>
        <w:t>nts</w:t>
      </w:r>
      <w:r w:rsidR="00A172BE" w:rsidRPr="006F1D04">
        <w:rPr>
          <w:rFonts w:ascii="Arial" w:hAnsi="Arial"/>
          <w:b/>
          <w:color w:val="auto"/>
        </w:rPr>
        <w:t xml:space="preserve"> (PRC, 2001c</w:t>
      </w:r>
      <w:r w:rsidRPr="006F1D04">
        <w:rPr>
          <w:rFonts w:ascii="Arial" w:hAnsi="Arial"/>
          <w:b/>
          <w:color w:val="auto"/>
        </w:rPr>
        <w:t>)</w:t>
      </w:r>
      <w:r w:rsidRPr="006F1D04">
        <w:rPr>
          <w:rFonts w:ascii="Arial" w:hAnsi="Arial"/>
          <w:color w:val="auto"/>
        </w:rPr>
        <w:t>. Und</w:t>
      </w:r>
      <w:r w:rsidRPr="006F1D04">
        <w:rPr>
          <w:rFonts w:ascii="Arial" w:hAnsi="Arial"/>
        </w:rPr>
        <w:t>er this protocol the PM</w:t>
      </w:r>
      <w:r w:rsidRPr="006F1D04">
        <w:rPr>
          <w:rFonts w:ascii="Arial" w:hAnsi="Arial"/>
          <w:vertAlign w:val="subscript"/>
        </w:rPr>
        <w:t>10</w:t>
      </w:r>
      <w:r w:rsidRPr="006F1D04">
        <w:rPr>
          <w:rFonts w:ascii="Arial" w:hAnsi="Arial"/>
        </w:rPr>
        <w:t xml:space="preserve"> daily average data are multiplied by a factor which varies linearly from 1.4 at daily mean temperatures less than or equal to 5°C, to 1.0 at temperatures equal to or greater than 15°C. The protocol resulted from a study by CSIRO, and was intended as a first step towards a nationally-consistent means for removing the TEOM bias.</w:t>
      </w:r>
    </w:p>
    <w:p w:rsidR="00236133" w:rsidRPr="006F1D04" w:rsidRDefault="00A172BE" w:rsidP="00236133">
      <w:pPr>
        <w:rPr>
          <w:rFonts w:ascii="Arial" w:hAnsi="Arial" w:cs="Arial"/>
          <w:color w:val="FF0000"/>
          <w:lang w:eastAsia="en-US"/>
        </w:rPr>
      </w:pPr>
      <w:r w:rsidRPr="006F1D04">
        <w:rPr>
          <w:rFonts w:ascii="Arial" w:hAnsi="Arial" w:cs="Arial"/>
          <w:b/>
        </w:rPr>
        <w:t>PRC (2001c</w:t>
      </w:r>
      <w:r w:rsidR="00236133" w:rsidRPr="006F1D04">
        <w:rPr>
          <w:rFonts w:ascii="Arial" w:hAnsi="Arial" w:cs="Arial"/>
          <w:b/>
        </w:rPr>
        <w:t>)</w:t>
      </w:r>
      <w:r w:rsidR="00236133" w:rsidRPr="006F1D04">
        <w:rPr>
          <w:rFonts w:ascii="Arial" w:hAnsi="Arial" w:cs="Arial"/>
        </w:rPr>
        <w:t xml:space="preserve"> recommend that, wherever possible, TEOM PM</w:t>
      </w:r>
      <w:r w:rsidR="00236133" w:rsidRPr="006F1D04">
        <w:rPr>
          <w:rFonts w:ascii="Arial" w:hAnsi="Arial" w:cs="Arial"/>
          <w:vertAlign w:val="subscript"/>
        </w:rPr>
        <w:t>10</w:t>
      </w:r>
      <w:r w:rsidR="00236133" w:rsidRPr="006F1D04">
        <w:rPr>
          <w:rFonts w:ascii="Arial" w:hAnsi="Arial" w:cs="Arial"/>
        </w:rPr>
        <w:t xml:space="preserve"> data should be adjusted through the application of a site-specific method based on co-located TEOM and reference measurements. When a site-specific adjustment is not available, and the TEOM site is known to experience a significant contribution from volatiles, the TEOM data should be adjusted using the CSIRO temperature method.</w:t>
      </w:r>
      <w:r w:rsidR="00236133" w:rsidRPr="006F1D04">
        <w:rPr>
          <w:rFonts w:ascii="Arial" w:hAnsi="Arial" w:cs="Arial"/>
          <w:lang w:eastAsia="en-US"/>
        </w:rPr>
        <w:t xml:space="preserve"> The national temperature adjustment is not required in regions where volatiles do not contribute significantly to the particle measurements. </w:t>
      </w:r>
      <w:r w:rsidR="00236133" w:rsidRPr="006F1D04">
        <w:rPr>
          <w:rFonts w:ascii="Arial" w:hAnsi="Arial" w:cs="Arial"/>
        </w:rPr>
        <w:t>It is worth noting that the CSIRO method is not applied consistently across jurisdictions. For example, it is applied to the PM</w:t>
      </w:r>
      <w:r w:rsidR="00236133" w:rsidRPr="006F1D04">
        <w:rPr>
          <w:rFonts w:ascii="Arial" w:hAnsi="Arial" w:cs="Arial"/>
          <w:vertAlign w:val="subscript"/>
        </w:rPr>
        <w:t>10</w:t>
      </w:r>
      <w:r w:rsidR="00236133" w:rsidRPr="006F1D04">
        <w:rPr>
          <w:rFonts w:ascii="Arial" w:hAnsi="Arial" w:cs="Arial"/>
        </w:rPr>
        <w:t xml:space="preserve"> data from TEOMs in Victoria, but not in NSW.</w:t>
      </w:r>
    </w:p>
    <w:p w:rsidR="00236133" w:rsidRPr="006F1D04" w:rsidRDefault="00236133" w:rsidP="00236133">
      <w:pPr>
        <w:pStyle w:val="Heading8"/>
        <w:rPr>
          <w:rFonts w:ascii="Arial" w:hAnsi="Arial"/>
          <w:lang w:eastAsia="en-US"/>
        </w:rPr>
      </w:pPr>
      <w:bookmarkStart w:id="228" w:name="_Toc394011171"/>
      <w:r w:rsidRPr="006F1D04">
        <w:rPr>
          <w:rFonts w:ascii="Arial" w:hAnsi="Arial"/>
          <w:lang w:eastAsia="en-US"/>
        </w:rPr>
        <w:t>Filter Dynamic Measurement System (FDMS)</w:t>
      </w:r>
      <w:bookmarkEnd w:id="228"/>
    </w:p>
    <w:p w:rsidR="00236133" w:rsidRPr="006F1D04" w:rsidRDefault="00236133" w:rsidP="00236133">
      <w:pPr>
        <w:rPr>
          <w:rFonts w:ascii="Arial" w:hAnsi="Arial" w:cs="Arial"/>
          <w:lang w:eastAsia="en-US"/>
        </w:rPr>
      </w:pPr>
      <w:r w:rsidRPr="006F1D04">
        <w:rPr>
          <w:rFonts w:ascii="Arial" w:hAnsi="Arial" w:cs="Arial"/>
          <w:lang w:eastAsia="en-US"/>
        </w:rPr>
        <w:t>The FDMS is a refinement of the TEOM that retains the semi-volatile PM component that is not measured by earlier TEOM models. It is now widely deployed in the UK to measure both PM</w:t>
      </w:r>
      <w:r w:rsidRPr="006F1D04">
        <w:rPr>
          <w:rFonts w:ascii="Arial" w:hAnsi="Arial" w:cs="Arial"/>
          <w:vertAlign w:val="subscript"/>
          <w:lang w:eastAsia="en-US"/>
        </w:rPr>
        <w:t>10</w:t>
      </w:r>
      <w:r w:rsidRPr="006F1D04">
        <w:rPr>
          <w:rFonts w:ascii="Arial" w:hAnsi="Arial" w:cs="Arial"/>
          <w:lang w:eastAsia="en-US"/>
        </w:rPr>
        <w:t xml:space="preserve"> and PM</w:t>
      </w:r>
      <w:r w:rsidRPr="006F1D04">
        <w:rPr>
          <w:rFonts w:ascii="Arial" w:hAnsi="Arial" w:cs="Arial"/>
          <w:vertAlign w:val="subscript"/>
          <w:lang w:eastAsia="en-US"/>
        </w:rPr>
        <w:t>2.5</w:t>
      </w:r>
      <w:r w:rsidRPr="006F1D04">
        <w:rPr>
          <w:rFonts w:ascii="Arial" w:hAnsi="Arial" w:cs="Arial"/>
          <w:lang w:eastAsia="en-US"/>
        </w:rPr>
        <w:t xml:space="preserve"> concentrations </w:t>
      </w:r>
      <w:r w:rsidRPr="006F1D04">
        <w:rPr>
          <w:rFonts w:ascii="Arial" w:hAnsi="Arial" w:cs="Arial"/>
          <w:b/>
          <w:lang w:eastAsia="en-US"/>
        </w:rPr>
        <w:t>(</w:t>
      </w:r>
      <w:proofErr w:type="spellStart"/>
      <w:r w:rsidRPr="006F1D04">
        <w:rPr>
          <w:rFonts w:ascii="Arial" w:hAnsi="Arial" w:cs="Arial"/>
          <w:b/>
          <w:lang w:eastAsia="en-US"/>
        </w:rPr>
        <w:t>Laxen</w:t>
      </w:r>
      <w:proofErr w:type="spellEnd"/>
      <w:r w:rsidRPr="006F1D04">
        <w:rPr>
          <w:rFonts w:ascii="Arial" w:hAnsi="Arial" w:cs="Arial"/>
          <w:b/>
          <w:lang w:eastAsia="en-US"/>
        </w:rPr>
        <w:t xml:space="preserve"> </w:t>
      </w:r>
      <w:r w:rsidR="009334F4" w:rsidRPr="006F1D04">
        <w:rPr>
          <w:rFonts w:ascii="Arial" w:hAnsi="Arial" w:cs="Arial"/>
          <w:b/>
          <w:lang w:eastAsia="en-US"/>
        </w:rPr>
        <w:t>et al</w:t>
      </w:r>
      <w:r w:rsidRPr="006F1D04">
        <w:rPr>
          <w:rFonts w:ascii="Arial" w:hAnsi="Arial" w:cs="Arial"/>
          <w:b/>
          <w:lang w:eastAsia="en-US"/>
        </w:rPr>
        <w:t>., 2010)</w:t>
      </w:r>
      <w:r w:rsidRPr="006F1D04">
        <w:rPr>
          <w:rFonts w:ascii="Arial" w:hAnsi="Arial" w:cs="Arial"/>
          <w:lang w:eastAsia="en-US"/>
        </w:rPr>
        <w:t xml:space="preserve">, but is used in few Australian jurisdictions at present. </w:t>
      </w:r>
    </w:p>
    <w:p w:rsidR="00236133" w:rsidRPr="006F1D04" w:rsidRDefault="00236133" w:rsidP="00236133">
      <w:pPr>
        <w:rPr>
          <w:rFonts w:ascii="Arial" w:hAnsi="Arial" w:cs="Arial"/>
          <w:color w:val="FF0000"/>
          <w:lang w:eastAsia="en-US"/>
        </w:rPr>
      </w:pPr>
      <w:r w:rsidRPr="006F1D04">
        <w:rPr>
          <w:rFonts w:ascii="Arial" w:hAnsi="Arial" w:cs="Arial"/>
          <w:lang w:eastAsia="en-US"/>
        </w:rPr>
        <w:t>The FDMS calculates the total PM mass concentration based upon independent measurements of the non-volatile and volatile components.</w:t>
      </w:r>
      <w:r w:rsidRPr="006F1D04">
        <w:rPr>
          <w:rFonts w:ascii="Arial" w:hAnsi="Arial" w:cs="Arial"/>
          <w:color w:val="FF0000"/>
          <w:lang w:eastAsia="en-US"/>
        </w:rPr>
        <w:t xml:space="preserve"> </w:t>
      </w:r>
      <w:r w:rsidRPr="006F1D04">
        <w:rPr>
          <w:rFonts w:ascii="Arial" w:hAnsi="Arial" w:cs="Arial"/>
          <w:lang w:eastAsia="en-US"/>
        </w:rPr>
        <w:t>The air that is drawn into the analyser passes through a drier to remove water, before entering the sensor unit where the PM is collected and weighed on a filter held at 30°C (compared with the TEOM, which operates at 50°C). The analyser samples in this ‘base cycle’ mode (measuring non-volatile particles) for six minutes, during which time there will be loss of volatile particles. The sample flow is then switched so that it passes through a chamber cooled to 4°C, and then through a filter</w:t>
      </w:r>
      <w:r w:rsidRPr="006F1D04">
        <w:rPr>
          <w:rStyle w:val="FootnoteReference"/>
          <w:rFonts w:ascii="Arial" w:hAnsi="Arial" w:cs="Arial"/>
          <w:lang w:eastAsia="en-US"/>
        </w:rPr>
        <w:footnoteReference w:id="37"/>
      </w:r>
      <w:r w:rsidRPr="006F1D04">
        <w:rPr>
          <w:rFonts w:ascii="Arial" w:hAnsi="Arial" w:cs="Arial"/>
          <w:lang w:eastAsia="en-US"/>
        </w:rPr>
        <w:t xml:space="preserve"> which removes all the PM in the airstream. This cooled, scrubbed air is then returned to the sensor unit, where it is sampled normally. This ‘reference’ or ‘purge’ cycle (which also runs for six minutes) provides an estimate of the volatile PM component that is being lost, which can then be added to the base component to give an overall PM mass concentration. </w:t>
      </w:r>
    </w:p>
    <w:p w:rsidR="00236133" w:rsidRPr="006F1D04" w:rsidRDefault="00236133" w:rsidP="00236133">
      <w:pPr>
        <w:rPr>
          <w:rFonts w:ascii="Arial" w:hAnsi="Arial" w:cs="Arial"/>
          <w:lang w:eastAsia="en-US"/>
        </w:rPr>
      </w:pPr>
      <w:r w:rsidRPr="006F1D04">
        <w:rPr>
          <w:rFonts w:ascii="Arial" w:hAnsi="Arial" w:cs="Arial"/>
          <w:lang w:eastAsia="en-US"/>
        </w:rPr>
        <w:t xml:space="preserve">The loss of volatile particles occurs relatively slowly, and so the loss during a particular cycle will include volatile material collected during previous cycles. This is apparent as a time shift of a few hours in the purge concentration. This can affect the interpretation of PM changes happening over a timescale of a few hours, although daily average concentrations will not be significantly affected. </w:t>
      </w:r>
    </w:p>
    <w:p w:rsidR="00236133" w:rsidRPr="006F1D04" w:rsidRDefault="00C53905" w:rsidP="00236133">
      <w:pPr>
        <w:pStyle w:val="Heading8"/>
        <w:rPr>
          <w:rFonts w:ascii="Arial" w:hAnsi="Arial"/>
          <w:color w:val="0070C0"/>
          <w:lang w:eastAsia="en-US"/>
        </w:rPr>
      </w:pPr>
      <w:bookmarkStart w:id="229" w:name="_Toc394011172"/>
      <w:r w:rsidRPr="006F1D04">
        <w:rPr>
          <w:rFonts w:ascii="Arial" w:hAnsi="Arial"/>
          <w:color w:val="0070C0"/>
        </w:rPr>
        <w:t>Beta-Attenuation M</w:t>
      </w:r>
      <w:r w:rsidR="00236133" w:rsidRPr="006F1D04">
        <w:rPr>
          <w:rFonts w:ascii="Arial" w:hAnsi="Arial"/>
          <w:color w:val="0070C0"/>
        </w:rPr>
        <w:t>onitor (BAM)</w:t>
      </w:r>
      <w:bookmarkEnd w:id="229"/>
    </w:p>
    <w:p w:rsidR="00236133" w:rsidRPr="006F1D04" w:rsidRDefault="00C53905" w:rsidP="00236133">
      <w:pPr>
        <w:rPr>
          <w:rFonts w:ascii="Arial" w:hAnsi="Arial" w:cs="Arial"/>
        </w:rPr>
      </w:pPr>
      <w:r w:rsidRPr="006F1D04">
        <w:rPr>
          <w:rFonts w:ascii="Arial" w:hAnsi="Arial" w:cs="Arial"/>
        </w:rPr>
        <w:t>The Beta-Attenuation M</w:t>
      </w:r>
      <w:r w:rsidR="00236133" w:rsidRPr="006F1D04">
        <w:rPr>
          <w:rFonts w:ascii="Arial" w:hAnsi="Arial" w:cs="Arial"/>
        </w:rPr>
        <w:t>onitor can be used for continuous automatic measurement of PM</w:t>
      </w:r>
      <w:r w:rsidR="00236133" w:rsidRPr="006F1D04">
        <w:rPr>
          <w:rFonts w:ascii="Arial" w:hAnsi="Arial" w:cs="Arial"/>
          <w:vertAlign w:val="subscript"/>
        </w:rPr>
        <w:t>10</w:t>
      </w:r>
      <w:r w:rsidR="00236133" w:rsidRPr="006F1D04">
        <w:rPr>
          <w:rFonts w:ascii="Arial" w:hAnsi="Arial" w:cs="Arial"/>
        </w:rPr>
        <w:t xml:space="preserve"> or PM</w:t>
      </w:r>
      <w:r w:rsidR="00236133" w:rsidRPr="006F1D04">
        <w:rPr>
          <w:rFonts w:ascii="Arial" w:hAnsi="Arial" w:cs="Arial"/>
          <w:vertAlign w:val="subscript"/>
        </w:rPr>
        <w:t>2.5</w:t>
      </w:r>
      <w:r w:rsidR="00236133" w:rsidRPr="006F1D04">
        <w:rPr>
          <w:rFonts w:ascii="Arial" w:hAnsi="Arial" w:cs="Arial"/>
        </w:rPr>
        <w:t xml:space="preserve">. The instrument determines the extent to which PM absorbs beta particles emitted by a weak beta-source (typically </w:t>
      </w:r>
      <w:r w:rsidR="00236133" w:rsidRPr="006F1D04">
        <w:rPr>
          <w:rFonts w:ascii="Arial" w:hAnsi="Arial" w:cs="Arial"/>
          <w:vertAlign w:val="superscript"/>
        </w:rPr>
        <w:t>14</w:t>
      </w:r>
      <w:r w:rsidR="00236133" w:rsidRPr="006F1D04">
        <w:rPr>
          <w:rFonts w:ascii="Arial" w:hAnsi="Arial" w:cs="Arial"/>
        </w:rPr>
        <w:t xml:space="preserve">C). Air is drawn at a constant flow rate through a section of paper tape, on which particles are collected. </w:t>
      </w:r>
      <w:r w:rsidR="00236133" w:rsidRPr="006F1D04">
        <w:rPr>
          <w:rFonts w:ascii="Arial" w:hAnsi="Arial" w:cs="Arial"/>
          <w:lang w:eastAsia="en-US"/>
        </w:rPr>
        <w:t>The tape is mechanically advanced past the sampling inlet, and t</w:t>
      </w:r>
      <w:r w:rsidR="00236133" w:rsidRPr="006F1D04">
        <w:rPr>
          <w:rFonts w:ascii="Arial" w:hAnsi="Arial" w:cs="Arial"/>
        </w:rPr>
        <w:t>he transmission of beta particles through the tape is measured at the beginning and at the end of the sampling period (one to 24 hours). The increase in the amount of PM collected on the tape causes a lower beta particle measurement. The difference between the two measurements is used to determine the PM concentration. BAMs are available with both heated and non-heated sample inlets, and this has implications for equivalence and adjustment.</w:t>
      </w:r>
    </w:p>
    <w:p w:rsidR="00236133" w:rsidRPr="006F1D04" w:rsidRDefault="00236133" w:rsidP="00236133">
      <w:pPr>
        <w:rPr>
          <w:rFonts w:ascii="Arial" w:hAnsi="Arial" w:cs="Arial"/>
          <w:lang w:eastAsia="en-US"/>
        </w:rPr>
      </w:pPr>
      <w:r w:rsidRPr="006F1D04">
        <w:rPr>
          <w:rFonts w:ascii="Arial" w:hAnsi="Arial" w:cs="Arial"/>
        </w:rPr>
        <w:t>A common example of this type of sampler is t</w:t>
      </w:r>
      <w:r w:rsidRPr="006F1D04">
        <w:rPr>
          <w:rFonts w:ascii="Arial" w:hAnsi="Arial" w:cs="Arial"/>
          <w:lang w:eastAsia="en-US"/>
        </w:rPr>
        <w:t>he Met One Instruments Model BAM-1020, which is d</w:t>
      </w:r>
      <w:r w:rsidRPr="006F1D04">
        <w:rPr>
          <w:rFonts w:ascii="Arial" w:hAnsi="Arial" w:cs="Arial"/>
        </w:rPr>
        <w:t xml:space="preserve">esigned for continuous operation at a </w:t>
      </w:r>
      <w:r w:rsidRPr="006F1D04">
        <w:rPr>
          <w:rFonts w:ascii="Arial" w:hAnsi="Arial" w:cs="Arial"/>
          <w:lang w:eastAsia="en-US"/>
        </w:rPr>
        <w:t>fixed site.</w:t>
      </w:r>
      <w:r w:rsidRPr="006F1D04">
        <w:rPr>
          <w:rFonts w:ascii="Arial" w:hAnsi="Arial" w:cs="Arial"/>
        </w:rPr>
        <w:t xml:space="preserve"> The instrument has a heated inlet, and when an internal sensor detects an inlet relative humidity content of more than 55%, the inlet heater will activate. Heat is applied to maintain the inlet </w:t>
      </w:r>
      <w:r w:rsidRPr="006F1D04">
        <w:rPr>
          <w:rFonts w:ascii="Arial" w:hAnsi="Arial" w:cs="Arial"/>
        </w:rPr>
        <w:lastRenderedPageBreak/>
        <w:t>temperature around 3-5</w:t>
      </w:r>
      <w:r w:rsidRPr="006F1D04">
        <w:rPr>
          <w:rFonts w:ascii="Arial" w:hAnsi="Arial" w:cs="Arial"/>
          <w:vertAlign w:val="superscript"/>
        </w:rPr>
        <w:t>o</w:t>
      </w:r>
      <w:r w:rsidRPr="006F1D04">
        <w:rPr>
          <w:rFonts w:ascii="Arial" w:hAnsi="Arial" w:cs="Arial"/>
        </w:rPr>
        <w:t xml:space="preserve">C above the ambient air temperature, thus preventing the condensation of water on the filter tape. </w:t>
      </w:r>
      <w:r w:rsidRPr="006F1D04">
        <w:rPr>
          <w:rFonts w:ascii="Arial" w:hAnsi="Arial" w:cs="Arial"/>
          <w:lang w:eastAsia="en-US"/>
        </w:rPr>
        <w:t>Evidence from the UK shows that the BAM measures significantly higher PM</w:t>
      </w:r>
      <w:r w:rsidRPr="006F1D04">
        <w:rPr>
          <w:rFonts w:ascii="Arial" w:hAnsi="Arial" w:cs="Arial"/>
          <w:vertAlign w:val="subscript"/>
          <w:lang w:eastAsia="en-US"/>
        </w:rPr>
        <w:t>10</w:t>
      </w:r>
      <w:r w:rsidRPr="006F1D04">
        <w:rPr>
          <w:rFonts w:ascii="Arial" w:hAnsi="Arial" w:cs="Arial"/>
          <w:lang w:eastAsia="en-US"/>
        </w:rPr>
        <w:t xml:space="preserve"> concentrations than the reference sampler or the TEOM</w:t>
      </w:r>
      <w:r w:rsidRPr="006F1D04">
        <w:rPr>
          <w:rStyle w:val="FootnoteReference"/>
          <w:rFonts w:ascii="Arial" w:hAnsi="Arial" w:cs="Arial"/>
          <w:lang w:eastAsia="en-US"/>
        </w:rPr>
        <w:footnoteReference w:id="38"/>
      </w:r>
      <w:r w:rsidRPr="006F1D04">
        <w:rPr>
          <w:rFonts w:ascii="Arial" w:hAnsi="Arial" w:cs="Arial"/>
          <w:lang w:eastAsia="en-US"/>
        </w:rPr>
        <w:t xml:space="preserve"> </w:t>
      </w:r>
      <w:r w:rsidRPr="006F1D04">
        <w:rPr>
          <w:rFonts w:ascii="Arial" w:hAnsi="Arial" w:cs="Arial"/>
          <w:b/>
          <w:lang w:eastAsia="en-US"/>
        </w:rPr>
        <w:t>(AQEG, 2005)</w:t>
      </w:r>
      <w:r w:rsidRPr="006F1D04">
        <w:rPr>
          <w:rFonts w:ascii="Arial" w:hAnsi="Arial" w:cs="Arial"/>
          <w:lang w:eastAsia="en-US"/>
        </w:rPr>
        <w:t>.</w:t>
      </w:r>
    </w:p>
    <w:p w:rsidR="00236133" w:rsidRPr="006F1D04" w:rsidRDefault="00236133" w:rsidP="00236133">
      <w:pPr>
        <w:pStyle w:val="Heading8"/>
        <w:rPr>
          <w:rFonts w:ascii="Arial" w:hAnsi="Arial"/>
          <w:lang w:eastAsia="en-US"/>
        </w:rPr>
      </w:pPr>
      <w:bookmarkStart w:id="230" w:name="_Toc394011173"/>
      <w:proofErr w:type="spellStart"/>
      <w:r w:rsidRPr="006F1D04">
        <w:rPr>
          <w:rFonts w:ascii="Arial" w:hAnsi="Arial"/>
          <w:lang w:eastAsia="en-US"/>
        </w:rPr>
        <w:t>Partisol</w:t>
      </w:r>
      <w:bookmarkEnd w:id="230"/>
      <w:proofErr w:type="spellEnd"/>
    </w:p>
    <w:p w:rsidR="00236133" w:rsidRPr="006F1D04" w:rsidRDefault="00236133" w:rsidP="00236133">
      <w:pPr>
        <w:rPr>
          <w:rFonts w:ascii="Arial" w:hAnsi="Arial" w:cs="Arial"/>
        </w:rPr>
      </w:pPr>
      <w:r w:rsidRPr="006F1D04">
        <w:rPr>
          <w:rFonts w:ascii="Arial" w:hAnsi="Arial" w:cs="Arial"/>
          <w:color w:val="000000"/>
        </w:rPr>
        <w:t xml:space="preserve">The </w:t>
      </w:r>
      <w:proofErr w:type="spellStart"/>
      <w:r w:rsidRPr="006F1D04">
        <w:rPr>
          <w:rFonts w:ascii="Arial" w:hAnsi="Arial" w:cs="Arial"/>
          <w:color w:val="000000"/>
        </w:rPr>
        <w:t>Partisol</w:t>
      </w:r>
      <w:proofErr w:type="spellEnd"/>
      <w:r w:rsidRPr="006F1D04">
        <w:rPr>
          <w:rFonts w:ascii="Arial" w:hAnsi="Arial" w:cs="Arial"/>
          <w:color w:val="000000"/>
        </w:rPr>
        <w:t xml:space="preserve"> is a non-reference gravimetric sampler that is used in some Australian jurisdictions. </w:t>
      </w:r>
      <w:r w:rsidRPr="006F1D04">
        <w:rPr>
          <w:rFonts w:ascii="Arial" w:hAnsi="Arial" w:cs="Arial"/>
          <w:color w:val="000000"/>
          <w:lang w:eastAsia="en-US"/>
        </w:rPr>
        <w:t xml:space="preserve">The </w:t>
      </w:r>
      <w:proofErr w:type="spellStart"/>
      <w:r w:rsidRPr="006F1D04">
        <w:rPr>
          <w:rFonts w:ascii="Arial" w:hAnsi="Arial" w:cs="Arial"/>
          <w:color w:val="000000"/>
          <w:lang w:eastAsia="en-US"/>
        </w:rPr>
        <w:t>Partisol</w:t>
      </w:r>
      <w:proofErr w:type="spellEnd"/>
      <w:r w:rsidRPr="006F1D04">
        <w:rPr>
          <w:rFonts w:ascii="Arial" w:hAnsi="Arial" w:cs="Arial"/>
          <w:color w:val="000000"/>
          <w:lang w:eastAsia="en-US"/>
        </w:rPr>
        <w:t xml:space="preserve"> 2025 system employs a sequential system of filters that enables several 24-hour period samples to be collected automatically. The </w:t>
      </w:r>
      <w:proofErr w:type="spellStart"/>
      <w:r w:rsidRPr="006F1D04">
        <w:rPr>
          <w:rFonts w:ascii="Arial" w:hAnsi="Arial" w:cs="Arial"/>
          <w:color w:val="000000"/>
          <w:lang w:eastAsia="en-US"/>
        </w:rPr>
        <w:t>Partisol</w:t>
      </w:r>
      <w:proofErr w:type="spellEnd"/>
      <w:r w:rsidRPr="006F1D04">
        <w:rPr>
          <w:rFonts w:ascii="Arial" w:hAnsi="Arial" w:cs="Arial"/>
          <w:color w:val="000000"/>
          <w:lang w:eastAsia="en-US"/>
        </w:rPr>
        <w:t xml:space="preserve"> has a lower sa</w:t>
      </w:r>
      <w:r w:rsidRPr="006F1D04">
        <w:rPr>
          <w:rFonts w:ascii="Arial" w:hAnsi="Arial" w:cs="Arial"/>
          <w:lang w:eastAsia="en-US"/>
        </w:rPr>
        <w:t xml:space="preserve">mpling flow than the reference method, but requires the same pre- and post-exposure conditioning and weighing of filters </w:t>
      </w:r>
      <w:r w:rsidRPr="006F1D04">
        <w:rPr>
          <w:rFonts w:ascii="Arial" w:hAnsi="Arial" w:cs="Arial"/>
          <w:b/>
          <w:lang w:eastAsia="en-US"/>
        </w:rPr>
        <w:t>(AQEG, 2012)</w:t>
      </w:r>
      <w:r w:rsidRPr="006F1D04">
        <w:rPr>
          <w:rFonts w:ascii="Arial" w:hAnsi="Arial" w:cs="Arial"/>
          <w:lang w:eastAsia="en-US"/>
        </w:rPr>
        <w:t>.</w:t>
      </w:r>
    </w:p>
    <w:p w:rsidR="00236133" w:rsidRPr="006F1D04" w:rsidRDefault="00236133" w:rsidP="00236133">
      <w:pPr>
        <w:pStyle w:val="Heading8"/>
        <w:rPr>
          <w:rFonts w:ascii="Arial" w:hAnsi="Arial"/>
        </w:rPr>
      </w:pPr>
      <w:bookmarkStart w:id="231" w:name="_Toc394011174"/>
      <w:r w:rsidRPr="006F1D04">
        <w:rPr>
          <w:rFonts w:ascii="Arial" w:hAnsi="Arial"/>
        </w:rPr>
        <w:t>Optical monitors</w:t>
      </w:r>
      <w:bookmarkEnd w:id="231"/>
    </w:p>
    <w:p w:rsidR="00236133" w:rsidRPr="006F1D04" w:rsidRDefault="00236133" w:rsidP="00236133">
      <w:pPr>
        <w:rPr>
          <w:rFonts w:ascii="Arial" w:hAnsi="Arial" w:cs="Arial"/>
        </w:rPr>
      </w:pPr>
      <w:r w:rsidRPr="006F1D04">
        <w:rPr>
          <w:rFonts w:ascii="Arial" w:hAnsi="Arial" w:cs="Arial"/>
        </w:rPr>
        <w:t xml:space="preserve">Optical monitors are employed by some jurisdictions to assess the impacts of airborne particles on visibility. One type of optical instrument - the </w:t>
      </w:r>
      <w:proofErr w:type="spellStart"/>
      <w:r w:rsidRPr="006F1D04">
        <w:rPr>
          <w:rFonts w:ascii="Arial" w:hAnsi="Arial" w:cs="Arial"/>
        </w:rPr>
        <w:t>nephelometer</w:t>
      </w:r>
      <w:proofErr w:type="spellEnd"/>
      <w:r w:rsidRPr="006F1D04">
        <w:rPr>
          <w:rFonts w:ascii="Arial" w:hAnsi="Arial" w:cs="Arial"/>
        </w:rPr>
        <w:t xml:space="preserve"> - measures the scattering of an incident beam of light by airborne particles. Australian studies have shown that </w:t>
      </w:r>
      <w:proofErr w:type="spellStart"/>
      <w:r w:rsidRPr="006F1D04">
        <w:rPr>
          <w:rFonts w:ascii="Arial" w:hAnsi="Arial" w:cs="Arial"/>
        </w:rPr>
        <w:t>nephelometers</w:t>
      </w:r>
      <w:proofErr w:type="spellEnd"/>
      <w:r w:rsidRPr="006F1D04">
        <w:rPr>
          <w:rFonts w:ascii="Arial" w:hAnsi="Arial" w:cs="Arial"/>
        </w:rPr>
        <w:t xml:space="preserve"> (especially those with appropriate humidity control) provide good correlations with PM</w:t>
      </w:r>
      <w:r w:rsidRPr="006F1D04">
        <w:rPr>
          <w:rFonts w:ascii="Arial" w:hAnsi="Arial" w:cs="Arial"/>
          <w:vertAlign w:val="subscript"/>
        </w:rPr>
        <w:t>2.5</w:t>
      </w:r>
      <w:r w:rsidRPr="006F1D04">
        <w:rPr>
          <w:rFonts w:ascii="Arial" w:hAnsi="Arial" w:cs="Arial"/>
        </w:rPr>
        <w:t xml:space="preserve"> concentrations, as determined by gravimetric methods </w:t>
      </w:r>
      <w:r w:rsidRPr="006F1D04">
        <w:rPr>
          <w:rFonts w:ascii="Arial" w:hAnsi="Arial" w:cs="Arial"/>
          <w:b/>
        </w:rPr>
        <w:t xml:space="preserve">(Wendt </w:t>
      </w:r>
      <w:r w:rsidR="00FE0361" w:rsidRPr="006F1D04">
        <w:rPr>
          <w:rFonts w:ascii="Arial" w:hAnsi="Arial" w:cs="Arial"/>
          <w:b/>
        </w:rPr>
        <w:t xml:space="preserve">&amp; </w:t>
      </w:r>
      <w:r w:rsidRPr="006F1D04">
        <w:rPr>
          <w:rFonts w:ascii="Arial" w:hAnsi="Arial" w:cs="Arial"/>
          <w:b/>
        </w:rPr>
        <w:t>Walsh 2007).</w:t>
      </w:r>
      <w:r w:rsidRPr="006F1D04">
        <w:rPr>
          <w:rFonts w:ascii="Arial" w:hAnsi="Arial" w:cs="Arial"/>
        </w:rPr>
        <w:t xml:space="preserve"> More advanced </w:t>
      </w:r>
      <w:proofErr w:type="spellStart"/>
      <w:r w:rsidRPr="006F1D04">
        <w:rPr>
          <w:rFonts w:ascii="Arial" w:hAnsi="Arial" w:cs="Arial"/>
        </w:rPr>
        <w:t>nephelometers</w:t>
      </w:r>
      <w:proofErr w:type="spellEnd"/>
      <w:r w:rsidRPr="006F1D04">
        <w:rPr>
          <w:rFonts w:ascii="Arial" w:hAnsi="Arial" w:cs="Arial"/>
        </w:rPr>
        <w:t xml:space="preserve"> also exist, including tri-band systems (which use three different wavelengths of light), giving even better correlations. There are also other types of optical instruments which use lasers to count particles and estimate their size – these instruments can provide useful information on PM</w:t>
      </w:r>
      <w:r w:rsidRPr="006F1D04">
        <w:rPr>
          <w:rFonts w:ascii="Arial" w:hAnsi="Arial" w:cs="Arial"/>
          <w:vertAlign w:val="subscript"/>
        </w:rPr>
        <w:t>10</w:t>
      </w:r>
      <w:r w:rsidRPr="006F1D04">
        <w:rPr>
          <w:rFonts w:ascii="Arial" w:hAnsi="Arial" w:cs="Arial"/>
        </w:rPr>
        <w:t>, PM</w:t>
      </w:r>
      <w:r w:rsidRPr="006F1D04">
        <w:rPr>
          <w:rFonts w:ascii="Arial" w:hAnsi="Arial" w:cs="Arial"/>
          <w:vertAlign w:val="subscript"/>
        </w:rPr>
        <w:t>2.5</w:t>
      </w:r>
      <w:r w:rsidRPr="006F1D04">
        <w:rPr>
          <w:rFonts w:ascii="Arial" w:hAnsi="Arial" w:cs="Arial"/>
        </w:rPr>
        <w:t xml:space="preserve"> and PM</w:t>
      </w:r>
      <w:r w:rsidRPr="006F1D04">
        <w:rPr>
          <w:rFonts w:ascii="Arial" w:hAnsi="Arial" w:cs="Arial"/>
          <w:vertAlign w:val="subscript"/>
        </w:rPr>
        <w:t>1</w:t>
      </w:r>
      <w:r w:rsidRPr="006F1D04">
        <w:rPr>
          <w:rFonts w:ascii="Arial" w:hAnsi="Arial" w:cs="Arial"/>
        </w:rPr>
        <w:t xml:space="preserve">, but they rely on assumptions about particle density and other characteristics. Co-location of optical instruments and gravimetric methods can allow ‘calibration’ of optical methods for many applications </w:t>
      </w:r>
      <w:r w:rsidRPr="006F1D04">
        <w:rPr>
          <w:rFonts w:ascii="Arial" w:hAnsi="Arial" w:cs="Arial"/>
          <w:b/>
        </w:rPr>
        <w:t>(AQEG, 2005)</w:t>
      </w:r>
      <w:r w:rsidRPr="006F1D04">
        <w:rPr>
          <w:rFonts w:ascii="Arial" w:hAnsi="Arial" w:cs="Arial"/>
        </w:rPr>
        <w:t>.</w:t>
      </w:r>
    </w:p>
    <w:p w:rsidR="00236133" w:rsidRPr="006F1D04" w:rsidRDefault="00236133" w:rsidP="00236133">
      <w:pPr>
        <w:pStyle w:val="Heading7"/>
        <w:rPr>
          <w:rFonts w:ascii="Arial" w:hAnsi="Arial"/>
        </w:rPr>
      </w:pPr>
      <w:bookmarkStart w:id="232" w:name="_Toc394011175"/>
      <w:r w:rsidRPr="006F1D04">
        <w:rPr>
          <w:rFonts w:ascii="Arial" w:hAnsi="Arial"/>
        </w:rPr>
        <w:t>Equivalence and adjustment</w:t>
      </w:r>
      <w:bookmarkEnd w:id="232"/>
    </w:p>
    <w:p w:rsidR="00236133" w:rsidRPr="006F1D04" w:rsidRDefault="00236133" w:rsidP="00236133">
      <w:pPr>
        <w:rPr>
          <w:rFonts w:ascii="Arial" w:hAnsi="Arial" w:cs="Arial"/>
        </w:rPr>
      </w:pPr>
      <w:r w:rsidRPr="006F1D04">
        <w:rPr>
          <w:rFonts w:ascii="Arial" w:hAnsi="Arial" w:cs="Arial"/>
        </w:rPr>
        <w:t>All of the alternative instruments give different results from the reference method to varying degrees under differing circumstances, and have many variants. Considerable emphasis is therefore placed on establishing equivalence between the alternative methods and the reference method</w:t>
      </w:r>
      <w:r w:rsidRPr="006F1D04">
        <w:rPr>
          <w:rFonts w:ascii="Arial" w:hAnsi="Arial" w:cs="Arial"/>
          <w:lang w:eastAsia="en-US"/>
        </w:rPr>
        <w:t xml:space="preserve"> </w:t>
      </w:r>
      <w:r w:rsidRPr="006F1D04">
        <w:rPr>
          <w:rFonts w:ascii="Arial" w:hAnsi="Arial" w:cs="Arial"/>
          <w:b/>
          <w:lang w:eastAsia="en-US"/>
        </w:rPr>
        <w:t>(NEPC, 2011a)</w:t>
      </w:r>
      <w:r w:rsidRPr="006F1D04">
        <w:rPr>
          <w:rFonts w:ascii="Arial" w:hAnsi="Arial" w:cs="Arial"/>
          <w:lang w:eastAsia="en-US"/>
        </w:rPr>
        <w:t>.</w:t>
      </w:r>
    </w:p>
    <w:p w:rsidR="00236133" w:rsidRPr="006F1D04" w:rsidRDefault="00236133" w:rsidP="00236133">
      <w:pPr>
        <w:rPr>
          <w:rFonts w:ascii="Arial" w:hAnsi="Arial" w:cs="Arial"/>
          <w:color w:val="FF0000"/>
          <w:lang w:eastAsia="en-US"/>
        </w:rPr>
      </w:pPr>
      <w:r w:rsidRPr="006F1D04">
        <w:rPr>
          <w:rFonts w:ascii="Arial" w:hAnsi="Arial" w:cs="Arial"/>
          <w:lang w:eastAsia="en-US"/>
        </w:rPr>
        <w:t xml:space="preserve">Various equivalence </w:t>
      </w:r>
      <w:r w:rsidR="009938C5" w:rsidRPr="006F1D04">
        <w:rPr>
          <w:rFonts w:ascii="Arial" w:hAnsi="Arial" w:cs="Arial"/>
          <w:lang w:eastAsia="en-US"/>
        </w:rPr>
        <w:t>programs</w:t>
      </w:r>
      <w:r w:rsidRPr="006F1D04">
        <w:rPr>
          <w:rFonts w:ascii="Arial" w:hAnsi="Arial" w:cs="Arial"/>
          <w:lang w:eastAsia="en-US"/>
        </w:rPr>
        <w:t xml:space="preserve"> have been undertaken in the U</w:t>
      </w:r>
      <w:r w:rsidR="005F5551" w:rsidRPr="006F1D04">
        <w:rPr>
          <w:rFonts w:ascii="Arial" w:hAnsi="Arial" w:cs="Arial"/>
          <w:lang w:eastAsia="en-US"/>
        </w:rPr>
        <w:t xml:space="preserve">nited </w:t>
      </w:r>
      <w:r w:rsidRPr="006F1D04">
        <w:rPr>
          <w:rFonts w:ascii="Arial" w:hAnsi="Arial" w:cs="Arial"/>
          <w:lang w:eastAsia="en-US"/>
        </w:rPr>
        <w:t>S</w:t>
      </w:r>
      <w:r w:rsidR="005F5551" w:rsidRPr="006F1D04">
        <w:rPr>
          <w:rFonts w:ascii="Arial" w:hAnsi="Arial" w:cs="Arial"/>
          <w:lang w:eastAsia="en-US"/>
        </w:rPr>
        <w:t>tates</w:t>
      </w:r>
      <w:r w:rsidRPr="006F1D04">
        <w:rPr>
          <w:rFonts w:ascii="Arial" w:hAnsi="Arial" w:cs="Arial"/>
          <w:lang w:eastAsia="en-US"/>
        </w:rPr>
        <w:t xml:space="preserve"> and Europe, involving an assessment of the accuracy and precision of each type of instrument. For example, in the U</w:t>
      </w:r>
      <w:r w:rsidR="005F5551" w:rsidRPr="006F1D04">
        <w:rPr>
          <w:rFonts w:ascii="Arial" w:hAnsi="Arial" w:cs="Arial"/>
          <w:lang w:eastAsia="en-US"/>
        </w:rPr>
        <w:t xml:space="preserve">nited </w:t>
      </w:r>
      <w:r w:rsidRPr="006F1D04">
        <w:rPr>
          <w:rFonts w:ascii="Arial" w:hAnsi="Arial" w:cs="Arial"/>
          <w:lang w:eastAsia="en-US"/>
        </w:rPr>
        <w:t>S</w:t>
      </w:r>
      <w:r w:rsidR="005F5551" w:rsidRPr="006F1D04">
        <w:rPr>
          <w:rFonts w:ascii="Arial" w:hAnsi="Arial" w:cs="Arial"/>
          <w:lang w:eastAsia="en-US"/>
        </w:rPr>
        <w:t>tates</w:t>
      </w:r>
      <w:r w:rsidRPr="006F1D04">
        <w:rPr>
          <w:rFonts w:ascii="Arial" w:hAnsi="Arial" w:cs="Arial"/>
          <w:lang w:eastAsia="en-US"/>
        </w:rPr>
        <w:t xml:space="preserve"> the comparability of alternative particle monitoring methods is measured relative to the reference method using high-volume samplers, and a set of criteria is prescribed for determining equivalence. The USEPA also publishes a list of designated reference and equivalent methods</w:t>
      </w:r>
      <w:r w:rsidRPr="006F1D04">
        <w:rPr>
          <w:rStyle w:val="FootnoteReference"/>
          <w:rFonts w:ascii="Arial" w:hAnsi="Arial" w:cs="Arial"/>
          <w:lang w:eastAsia="en-US"/>
        </w:rPr>
        <w:footnoteReference w:id="39"/>
      </w:r>
      <w:r w:rsidRPr="006F1D04">
        <w:rPr>
          <w:rFonts w:ascii="Arial" w:hAnsi="Arial" w:cs="Arial"/>
          <w:lang w:eastAsia="en-US"/>
        </w:rPr>
        <w:t xml:space="preserve"> for PM</w:t>
      </w:r>
      <w:r w:rsidRPr="006F1D04">
        <w:rPr>
          <w:rFonts w:ascii="Arial" w:hAnsi="Arial" w:cs="Arial"/>
          <w:vertAlign w:val="subscript"/>
          <w:lang w:eastAsia="en-US"/>
        </w:rPr>
        <w:t>10</w:t>
      </w:r>
      <w:r w:rsidRPr="006F1D04">
        <w:rPr>
          <w:rFonts w:ascii="Arial" w:hAnsi="Arial" w:cs="Arial"/>
          <w:lang w:eastAsia="en-US"/>
        </w:rPr>
        <w:t xml:space="preserve"> and PM</w:t>
      </w:r>
      <w:r w:rsidRPr="006F1D04">
        <w:rPr>
          <w:rFonts w:ascii="Arial" w:hAnsi="Arial" w:cs="Arial"/>
          <w:vertAlign w:val="subscript"/>
          <w:lang w:eastAsia="en-US"/>
        </w:rPr>
        <w:t>2.5</w:t>
      </w:r>
      <w:r w:rsidRPr="006F1D04">
        <w:rPr>
          <w:rFonts w:ascii="Arial" w:hAnsi="Arial" w:cs="Arial"/>
          <w:lang w:eastAsia="en-US"/>
        </w:rPr>
        <w:t>. The TEOM 1400A/B is a U</w:t>
      </w:r>
      <w:r w:rsidR="005F5551" w:rsidRPr="006F1D04">
        <w:rPr>
          <w:rFonts w:ascii="Arial" w:hAnsi="Arial" w:cs="Arial"/>
          <w:lang w:eastAsia="en-US"/>
        </w:rPr>
        <w:t xml:space="preserve">nited </w:t>
      </w:r>
      <w:r w:rsidRPr="006F1D04">
        <w:rPr>
          <w:rFonts w:ascii="Arial" w:hAnsi="Arial" w:cs="Arial"/>
          <w:lang w:eastAsia="en-US"/>
        </w:rPr>
        <w:t>S</w:t>
      </w:r>
      <w:r w:rsidR="005F5551" w:rsidRPr="006F1D04">
        <w:rPr>
          <w:rFonts w:ascii="Arial" w:hAnsi="Arial" w:cs="Arial"/>
          <w:lang w:eastAsia="en-US"/>
        </w:rPr>
        <w:t>tates</w:t>
      </w:r>
      <w:r w:rsidRPr="006F1D04">
        <w:rPr>
          <w:rFonts w:ascii="Arial" w:hAnsi="Arial" w:cs="Arial"/>
          <w:lang w:eastAsia="en-US"/>
        </w:rPr>
        <w:t xml:space="preserve"> equivalent method for PM</w:t>
      </w:r>
      <w:r w:rsidRPr="006F1D04">
        <w:rPr>
          <w:rFonts w:ascii="Arial" w:hAnsi="Arial" w:cs="Arial"/>
          <w:vertAlign w:val="subscript"/>
          <w:lang w:eastAsia="en-US"/>
        </w:rPr>
        <w:t>10</w:t>
      </w:r>
      <w:r w:rsidRPr="006F1D04">
        <w:rPr>
          <w:rFonts w:ascii="Arial" w:hAnsi="Arial" w:cs="Arial"/>
          <w:lang w:eastAsia="en-US"/>
        </w:rPr>
        <w:t>, but not for PM</w:t>
      </w:r>
      <w:r w:rsidRPr="006F1D04">
        <w:rPr>
          <w:rFonts w:ascii="Arial" w:hAnsi="Arial" w:cs="Arial"/>
          <w:vertAlign w:val="subscript"/>
          <w:lang w:eastAsia="en-US"/>
        </w:rPr>
        <w:t>2.5</w:t>
      </w:r>
      <w:r w:rsidRPr="006F1D04">
        <w:rPr>
          <w:rFonts w:ascii="Arial" w:hAnsi="Arial" w:cs="Arial"/>
          <w:lang w:eastAsia="en-US"/>
        </w:rPr>
        <w:t>.</w:t>
      </w:r>
      <w:r w:rsidRPr="006F1D04">
        <w:rPr>
          <w:rFonts w:ascii="Arial" w:hAnsi="Arial" w:cs="Arial"/>
        </w:rPr>
        <w:t xml:space="preserve"> T</w:t>
      </w:r>
      <w:r w:rsidRPr="006F1D04">
        <w:rPr>
          <w:rFonts w:ascii="Arial" w:hAnsi="Arial" w:cs="Arial"/>
          <w:lang w:eastAsia="en-US"/>
        </w:rPr>
        <w:t xml:space="preserve">he </w:t>
      </w:r>
      <w:proofErr w:type="spellStart"/>
      <w:r w:rsidRPr="006F1D04">
        <w:rPr>
          <w:rFonts w:ascii="Arial" w:hAnsi="Arial" w:cs="Arial"/>
          <w:lang w:eastAsia="en-US"/>
        </w:rPr>
        <w:t>Partisol</w:t>
      </w:r>
      <w:proofErr w:type="spellEnd"/>
      <w:r w:rsidRPr="006F1D04">
        <w:rPr>
          <w:rFonts w:ascii="Arial" w:hAnsi="Arial" w:cs="Arial"/>
          <w:lang w:eastAsia="en-US"/>
        </w:rPr>
        <w:t xml:space="preserve"> 2025 and the Met One BAM-1020 are equivalent methods for both PM</w:t>
      </w:r>
      <w:r w:rsidRPr="006F1D04">
        <w:rPr>
          <w:rFonts w:ascii="Arial" w:hAnsi="Arial" w:cs="Arial"/>
          <w:vertAlign w:val="subscript"/>
          <w:lang w:eastAsia="en-US"/>
        </w:rPr>
        <w:t>10</w:t>
      </w:r>
      <w:r w:rsidRPr="006F1D04">
        <w:rPr>
          <w:rFonts w:ascii="Arial" w:hAnsi="Arial" w:cs="Arial"/>
          <w:lang w:eastAsia="en-US"/>
        </w:rPr>
        <w:t xml:space="preserve"> and PM</w:t>
      </w:r>
      <w:r w:rsidRPr="006F1D04">
        <w:rPr>
          <w:rFonts w:ascii="Arial" w:hAnsi="Arial" w:cs="Arial"/>
          <w:vertAlign w:val="subscript"/>
          <w:lang w:eastAsia="en-US"/>
        </w:rPr>
        <w:t>2.5</w:t>
      </w:r>
      <w:r w:rsidRPr="006F1D04">
        <w:rPr>
          <w:rFonts w:ascii="Arial" w:hAnsi="Arial" w:cs="Arial"/>
          <w:lang w:eastAsia="en-US"/>
        </w:rPr>
        <w:t>.</w:t>
      </w:r>
    </w:p>
    <w:p w:rsidR="00236133" w:rsidRPr="006F1D04" w:rsidRDefault="00236133" w:rsidP="00634C04">
      <w:pPr>
        <w:rPr>
          <w:rFonts w:ascii="Arial" w:hAnsi="Arial" w:cs="Arial"/>
        </w:rPr>
      </w:pPr>
      <w:r w:rsidRPr="006F1D04">
        <w:rPr>
          <w:rFonts w:ascii="Arial" w:hAnsi="Arial" w:cs="Arial"/>
        </w:rPr>
        <w:t xml:space="preserve">In the UK Defra carried out extensive equivalence trials between 2004 and 2006. These trials found that measurements made using </w:t>
      </w:r>
      <w:proofErr w:type="spellStart"/>
      <w:r w:rsidRPr="006F1D04">
        <w:rPr>
          <w:rFonts w:ascii="Arial" w:hAnsi="Arial" w:cs="Arial"/>
        </w:rPr>
        <w:t>Partisol</w:t>
      </w:r>
      <w:proofErr w:type="spellEnd"/>
      <w:r w:rsidRPr="006F1D04">
        <w:rPr>
          <w:rFonts w:ascii="Arial" w:hAnsi="Arial" w:cs="Arial"/>
        </w:rPr>
        <w:t>, FDMS and BAM instruments were shown to be equivalent to the PM</w:t>
      </w:r>
      <w:r w:rsidRPr="006F1D04">
        <w:rPr>
          <w:rFonts w:ascii="Arial" w:hAnsi="Arial" w:cs="Arial"/>
          <w:vertAlign w:val="subscript"/>
        </w:rPr>
        <w:t>10</w:t>
      </w:r>
      <w:r w:rsidRPr="006F1D04">
        <w:rPr>
          <w:rFonts w:ascii="Arial" w:hAnsi="Arial" w:cs="Arial"/>
        </w:rPr>
        <w:t xml:space="preserve"> reference method. However, correction factors needed to be applied to measurements from the BAM. The TEOM was demonstrated as not being equivalent to the reference method due to the loss of volatile PM. A so-called Volatile Correction Model (VCM) was developed to allow measurements of PM</w:t>
      </w:r>
      <w:r w:rsidRPr="006F1D04">
        <w:rPr>
          <w:rFonts w:ascii="Arial" w:hAnsi="Arial" w:cs="Arial"/>
          <w:vertAlign w:val="subscript"/>
        </w:rPr>
        <w:t>10</w:t>
      </w:r>
      <w:r w:rsidRPr="006F1D04">
        <w:rPr>
          <w:rFonts w:ascii="Arial" w:hAnsi="Arial" w:cs="Arial"/>
        </w:rPr>
        <w:t xml:space="preserve"> from TEOM instruments to be converted to reference equivalent; it uses the measurements of volatile PM made using nearby FDMS instruments to correct the measurements made by the TEOM. It passed the equivalence testing and became the recommended method for correcting TEOM measurements </w:t>
      </w:r>
      <w:r w:rsidRPr="006F1D04">
        <w:rPr>
          <w:rFonts w:ascii="Arial" w:hAnsi="Arial" w:cs="Arial"/>
          <w:b/>
        </w:rPr>
        <w:t>(Defra 2009)</w:t>
      </w:r>
      <w:r w:rsidRPr="006F1D04">
        <w:rPr>
          <w:rFonts w:ascii="Arial" w:hAnsi="Arial" w:cs="Arial"/>
        </w:rPr>
        <w:t>. The VCM does not appear to have been tested in Australia.</w:t>
      </w:r>
    </w:p>
    <w:p w:rsidR="00634C04" w:rsidRPr="006F1D04" w:rsidRDefault="00634C04" w:rsidP="00634C04">
      <w:pPr>
        <w:pStyle w:val="Heading7"/>
        <w:rPr>
          <w:rFonts w:ascii="Arial" w:hAnsi="Arial"/>
        </w:rPr>
      </w:pPr>
      <w:bookmarkStart w:id="233" w:name="_Toc394011176"/>
      <w:r w:rsidRPr="006F1D04">
        <w:rPr>
          <w:rFonts w:ascii="Arial" w:hAnsi="Arial"/>
        </w:rPr>
        <w:t>Implications for Australia</w:t>
      </w:r>
      <w:bookmarkEnd w:id="233"/>
    </w:p>
    <w:p w:rsidR="00236133" w:rsidRPr="006F1D04" w:rsidRDefault="00634C04" w:rsidP="00236133">
      <w:pPr>
        <w:rPr>
          <w:rFonts w:ascii="Arial" w:hAnsi="Arial" w:cs="Arial"/>
        </w:rPr>
      </w:pPr>
      <w:r w:rsidRPr="006F1D04">
        <w:rPr>
          <w:rFonts w:ascii="Arial" w:hAnsi="Arial" w:cs="Arial"/>
        </w:rPr>
        <w:t xml:space="preserve">In the UK, </w:t>
      </w:r>
      <w:r w:rsidRPr="006F1D04">
        <w:rPr>
          <w:rFonts w:ascii="Arial" w:hAnsi="Arial" w:cs="Arial"/>
          <w:b/>
        </w:rPr>
        <w:t>AQEG (2012)</w:t>
      </w:r>
      <w:r w:rsidRPr="006F1D04">
        <w:rPr>
          <w:rFonts w:ascii="Arial" w:hAnsi="Arial" w:cs="Arial"/>
        </w:rPr>
        <w:t xml:space="preserve"> recently challenged the robustness of the evidence for making future policy decisions concerning PM</w:t>
      </w:r>
      <w:r w:rsidRPr="006F1D04">
        <w:rPr>
          <w:rFonts w:ascii="Arial" w:hAnsi="Arial" w:cs="Arial"/>
          <w:vertAlign w:val="subscript"/>
        </w:rPr>
        <w:t>2.5</w:t>
      </w:r>
      <w:r w:rsidRPr="006F1D04">
        <w:rPr>
          <w:rFonts w:ascii="Arial" w:hAnsi="Arial" w:cs="Arial"/>
        </w:rPr>
        <w:t>. Policy decisions rely upon the ability to measure PM</w:t>
      </w:r>
      <w:r w:rsidRPr="006F1D04">
        <w:rPr>
          <w:rFonts w:ascii="Arial" w:hAnsi="Arial" w:cs="Arial"/>
          <w:vertAlign w:val="subscript"/>
        </w:rPr>
        <w:t>2.5</w:t>
      </w:r>
      <w:r w:rsidRPr="006F1D04">
        <w:rPr>
          <w:rFonts w:ascii="Arial" w:hAnsi="Arial" w:cs="Arial"/>
        </w:rPr>
        <w:t xml:space="preserve"> in an accurate, reproducible and reliable way, with the establishment of long-term and consistent records. Currently there are significant </w:t>
      </w:r>
      <w:r w:rsidRPr="006F1D04">
        <w:rPr>
          <w:rFonts w:ascii="Arial" w:hAnsi="Arial" w:cs="Arial"/>
        </w:rPr>
        <w:lastRenderedPageBreak/>
        <w:t>challenges associated with the reliable and reproducible measurement of PM</w:t>
      </w:r>
      <w:r w:rsidRPr="006F1D04">
        <w:rPr>
          <w:rFonts w:ascii="Arial" w:hAnsi="Arial" w:cs="Arial"/>
          <w:vertAlign w:val="subscript"/>
        </w:rPr>
        <w:t>2.5</w:t>
      </w:r>
      <w:r w:rsidRPr="006F1D04">
        <w:rPr>
          <w:rFonts w:ascii="Arial" w:hAnsi="Arial" w:cs="Arial"/>
        </w:rPr>
        <w:t xml:space="preserve"> and measurement methods are still evolving. In Europe the reference method is currently being revised. The measurement uncertainty is currently at the limit of being meaningful for interpretation by models and </w:t>
      </w:r>
      <w:r w:rsidRPr="006F1D04">
        <w:rPr>
          <w:rFonts w:ascii="Arial" w:hAnsi="Arial" w:cs="Arial"/>
          <w:iCs/>
        </w:rPr>
        <w:t>vice versa</w:t>
      </w:r>
      <w:r w:rsidRPr="006F1D04">
        <w:rPr>
          <w:rFonts w:ascii="Arial" w:hAnsi="Arial" w:cs="Arial"/>
        </w:rPr>
        <w:t>. A similar situation exists in Australia, and measurement issues will be even more important because of the lower PM concentrations involved. There is currently some inconsistency in the ways in which PM</w:t>
      </w:r>
      <w:r w:rsidRPr="006F1D04">
        <w:rPr>
          <w:rFonts w:ascii="Arial" w:hAnsi="Arial" w:cs="Arial"/>
          <w:vertAlign w:val="subscript"/>
        </w:rPr>
        <w:t>10</w:t>
      </w:r>
      <w:r w:rsidRPr="006F1D04">
        <w:rPr>
          <w:rFonts w:ascii="Arial" w:hAnsi="Arial" w:cs="Arial"/>
        </w:rPr>
        <w:t xml:space="preserve"> and PM</w:t>
      </w:r>
      <w:r w:rsidRPr="006F1D04">
        <w:rPr>
          <w:rFonts w:ascii="Arial" w:hAnsi="Arial" w:cs="Arial"/>
          <w:vertAlign w:val="subscript"/>
        </w:rPr>
        <w:t>2.5</w:t>
      </w:r>
      <w:r w:rsidRPr="006F1D04">
        <w:rPr>
          <w:rFonts w:ascii="Arial" w:hAnsi="Arial" w:cs="Arial"/>
        </w:rPr>
        <w:t xml:space="preserve"> are measured in the different jurisdictions. This needs to be addressed, and a more consistent national approach to monitoring should be developed. Consideration should be given to developments in other countries. For example, in the UK there has been a large-scale switch from TEOM analysers to FDMS analysers, and the UK experience could valuably inform the Australian approach. In the UK the long-term reliability of the FDMS instrument has not yet been determined. The costs of establishing a consistent national monitoring network should be determined.</w:t>
      </w:r>
    </w:p>
    <w:p w:rsidR="00634C04" w:rsidRPr="006F1D04" w:rsidRDefault="00634C04" w:rsidP="00634C04">
      <w:pPr>
        <w:rPr>
          <w:rFonts w:ascii="Arial" w:hAnsi="Arial" w:cs="Arial"/>
        </w:rPr>
      </w:pPr>
      <w:r w:rsidRPr="006F1D04">
        <w:rPr>
          <w:rFonts w:ascii="Arial" w:hAnsi="Arial" w:cs="Arial"/>
        </w:rPr>
        <w:t xml:space="preserve">The model of exposure reduction has been based upon the assumption that no safe lower concentration threshold exists for particulate matter, and any reduction in concentration would lead to public health benefits. This model has understandably been designed in the context of reducing ambient concentrations in densely populated urban areas. </w:t>
      </w:r>
      <w:r w:rsidR="00E62830" w:rsidRPr="006F1D04">
        <w:rPr>
          <w:rFonts w:ascii="Arial" w:hAnsi="Arial" w:cs="Arial"/>
        </w:rPr>
        <w:t xml:space="preserve">However, there is </w:t>
      </w:r>
      <w:r w:rsidRPr="006F1D04">
        <w:rPr>
          <w:rFonts w:ascii="Arial" w:hAnsi="Arial" w:cs="Arial"/>
        </w:rPr>
        <w:t>a threshold below which data become unreliable for use in a policy setting framework because effects ca</w:t>
      </w:r>
      <w:r w:rsidR="00E62830" w:rsidRPr="006F1D04">
        <w:rPr>
          <w:rFonts w:ascii="Arial" w:hAnsi="Arial" w:cs="Arial"/>
        </w:rPr>
        <w:t>nnot be clearly distinguished.</w:t>
      </w:r>
    </w:p>
    <w:p w:rsidR="00634C04" w:rsidRPr="006F1D04" w:rsidRDefault="00634C04" w:rsidP="00634C04">
      <w:pPr>
        <w:rPr>
          <w:rFonts w:ascii="Arial" w:hAnsi="Arial" w:cs="Arial"/>
        </w:rPr>
      </w:pPr>
      <w:r w:rsidRPr="006F1D04">
        <w:rPr>
          <w:rFonts w:ascii="Arial" w:hAnsi="Arial" w:cs="Arial"/>
        </w:rPr>
        <w:t>Another critical requirement identified by AQEG, and one which again applies to Australia, concerns the availability and quality of chemically-</w:t>
      </w:r>
      <w:proofErr w:type="spellStart"/>
      <w:r w:rsidRPr="006F1D04">
        <w:rPr>
          <w:rFonts w:ascii="Arial" w:hAnsi="Arial" w:cs="Arial"/>
        </w:rPr>
        <w:t>speciated</w:t>
      </w:r>
      <w:proofErr w:type="spellEnd"/>
      <w:r w:rsidRPr="006F1D04">
        <w:rPr>
          <w:rFonts w:ascii="Arial" w:hAnsi="Arial" w:cs="Arial"/>
        </w:rPr>
        <w:t xml:space="preserve"> PM measurements. These are essential to the development of effective mitigation policy via source apportionment, as they allow the delineation of source–receptor relationships. </w:t>
      </w:r>
      <w:proofErr w:type="spellStart"/>
      <w:r w:rsidRPr="006F1D04">
        <w:rPr>
          <w:rFonts w:ascii="Arial" w:hAnsi="Arial" w:cs="Arial"/>
        </w:rPr>
        <w:t>Speciated</w:t>
      </w:r>
      <w:proofErr w:type="spellEnd"/>
      <w:r w:rsidRPr="006F1D04">
        <w:rPr>
          <w:rFonts w:ascii="Arial" w:hAnsi="Arial" w:cs="Arial"/>
        </w:rPr>
        <w:t xml:space="preserve"> measurements could also be used in epidemiological studies to strengthen the knowledge of health impacts.</w:t>
      </w:r>
    </w:p>
    <w:p w:rsidR="00634C04" w:rsidRPr="006F1D04" w:rsidRDefault="00634C04" w:rsidP="00236133">
      <w:pPr>
        <w:rPr>
          <w:rFonts w:ascii="Arial" w:hAnsi="Arial" w:cs="Arial"/>
          <w:color w:val="00B050"/>
          <w:sz w:val="17"/>
          <w:szCs w:val="17"/>
          <w:lang w:eastAsia="en-US"/>
        </w:rPr>
      </w:pPr>
    </w:p>
    <w:p w:rsidR="00236133" w:rsidRPr="006F1D04" w:rsidRDefault="00236133" w:rsidP="00A22C06">
      <w:pPr>
        <w:rPr>
          <w:rFonts w:ascii="Arial" w:hAnsi="Arial" w:cs="Arial"/>
          <w:color w:val="00B050"/>
          <w:sz w:val="17"/>
          <w:szCs w:val="17"/>
          <w:lang w:eastAsia="en-US"/>
        </w:rPr>
      </w:pPr>
    </w:p>
    <w:p w:rsidR="00236133" w:rsidRPr="006F1D04" w:rsidRDefault="00236133" w:rsidP="00A22C06">
      <w:pPr>
        <w:rPr>
          <w:rFonts w:ascii="Arial" w:hAnsi="Arial" w:cs="Arial"/>
          <w:color w:val="00B050"/>
          <w:sz w:val="17"/>
          <w:szCs w:val="17"/>
          <w:lang w:eastAsia="en-US"/>
        </w:rPr>
      </w:pPr>
    </w:p>
    <w:p w:rsidR="00236133" w:rsidRPr="006F1D04" w:rsidRDefault="00236133" w:rsidP="00A22C06">
      <w:pPr>
        <w:rPr>
          <w:rFonts w:ascii="Arial" w:hAnsi="Arial" w:cs="Arial"/>
          <w:color w:val="00B050"/>
          <w:sz w:val="17"/>
          <w:szCs w:val="17"/>
          <w:lang w:eastAsia="en-US"/>
        </w:rPr>
      </w:pPr>
    </w:p>
    <w:p w:rsidR="00236133" w:rsidRPr="006F1D04" w:rsidRDefault="00236133" w:rsidP="00A22C06">
      <w:pPr>
        <w:rPr>
          <w:rFonts w:ascii="Arial" w:hAnsi="Arial" w:cs="Arial"/>
          <w:color w:val="00B050"/>
          <w:sz w:val="17"/>
          <w:szCs w:val="17"/>
          <w:lang w:eastAsia="en-US"/>
        </w:rPr>
      </w:pPr>
    </w:p>
    <w:p w:rsidR="00292CEB" w:rsidRPr="006F1D04" w:rsidRDefault="00292CEB" w:rsidP="00A22C06">
      <w:pPr>
        <w:rPr>
          <w:rFonts w:ascii="Arial" w:hAnsi="Arial" w:cs="Arial"/>
          <w:color w:val="00B050"/>
          <w:sz w:val="17"/>
          <w:szCs w:val="17"/>
          <w:lang w:eastAsia="en-US"/>
        </w:rPr>
      </w:pPr>
    </w:p>
    <w:p w:rsidR="00CD2AEC" w:rsidRPr="006F1D04" w:rsidRDefault="00CD2AEC" w:rsidP="00A22C06">
      <w:pPr>
        <w:rPr>
          <w:rFonts w:ascii="Arial" w:hAnsi="Arial" w:cs="Arial"/>
          <w:color w:val="00B050"/>
        </w:rPr>
      </w:pPr>
    </w:p>
    <w:p w:rsidR="00292CEB" w:rsidRPr="006F1D04" w:rsidRDefault="00292CEB" w:rsidP="00292CEB">
      <w:pPr>
        <w:rPr>
          <w:rFonts w:ascii="Arial" w:hAnsi="Arial" w:cs="Arial"/>
          <w:color w:val="00B050"/>
        </w:rPr>
        <w:sectPr w:rsidR="00292CEB" w:rsidRPr="006F1D04" w:rsidSect="006A5626">
          <w:footerReference w:type="default" r:id="rId158"/>
          <w:headerReference w:type="first" r:id="rId159"/>
          <w:pgSz w:w="11906" w:h="16838" w:code="9"/>
          <w:pgMar w:top="1440" w:right="1440" w:bottom="1440" w:left="1440" w:header="284" w:footer="170" w:gutter="0"/>
          <w:cols w:space="255"/>
          <w:docGrid w:linePitch="360"/>
        </w:sectPr>
      </w:pPr>
    </w:p>
    <w:p w:rsidR="00292CEB" w:rsidRPr="006F1D04" w:rsidRDefault="00292CEB" w:rsidP="00292CEB">
      <w:pPr>
        <w:pStyle w:val="Heading6"/>
        <w:rPr>
          <w:rFonts w:ascii="Arial" w:hAnsi="Arial" w:cs="Arial"/>
        </w:rPr>
        <w:sectPr w:rsidR="00292CEB" w:rsidRPr="006F1D04" w:rsidSect="006A5626">
          <w:headerReference w:type="even" r:id="rId160"/>
          <w:footerReference w:type="default" r:id="rId161"/>
          <w:headerReference w:type="first" r:id="rId162"/>
          <w:pgSz w:w="11906" w:h="16838" w:code="9"/>
          <w:pgMar w:top="1440" w:right="1440" w:bottom="1440" w:left="1440" w:header="284" w:footer="170" w:gutter="0"/>
          <w:cols w:space="255"/>
          <w:vAlign w:val="center"/>
          <w:docGrid w:linePitch="360"/>
        </w:sectPr>
      </w:pPr>
      <w:r w:rsidRPr="006F1D04">
        <w:rPr>
          <w:rStyle w:val="Strong"/>
          <w:rFonts w:ascii="Arial" w:hAnsi="Arial" w:cs="Arial"/>
          <w:b/>
          <w:bCs/>
        </w:rPr>
        <w:lastRenderedPageBreak/>
        <w:tab/>
      </w:r>
      <w:r w:rsidRPr="006F1D04">
        <w:rPr>
          <w:rStyle w:val="Strong"/>
          <w:rFonts w:ascii="Arial" w:hAnsi="Arial" w:cs="Arial"/>
          <w:b/>
          <w:bCs/>
        </w:rPr>
        <w:tab/>
      </w:r>
      <w:bookmarkStart w:id="234" w:name="_Toc394011177"/>
      <w:r w:rsidRPr="006F1D04">
        <w:rPr>
          <w:rStyle w:val="Strong"/>
          <w:rFonts w:ascii="Arial" w:hAnsi="Arial" w:cs="Arial"/>
          <w:b/>
          <w:bCs/>
        </w:rPr>
        <w:t>enHealth recommendations</w:t>
      </w:r>
      <w:bookmarkEnd w:id="234"/>
    </w:p>
    <w:p w:rsidR="00292CEB" w:rsidRPr="006574FD" w:rsidRDefault="006D7F17" w:rsidP="00292CEB">
      <w:pPr>
        <w:jc w:val="center"/>
        <w:rPr>
          <w:rFonts w:ascii="Arial" w:hAnsi="Arial" w:cs="Arial"/>
          <w:i/>
          <w:color w:val="00B050"/>
        </w:rPr>
      </w:pPr>
      <w:r w:rsidRPr="006574FD">
        <w:rPr>
          <w:rFonts w:ascii="Arial" w:hAnsi="Arial" w:cs="Arial"/>
          <w:i/>
          <w:noProof/>
          <w:color w:val="00B050"/>
        </w:rPr>
        <w:lastRenderedPageBreak/>
        <w:drawing>
          <wp:inline distT="0" distB="0" distL="0" distR="0">
            <wp:extent cx="5544185" cy="8731885"/>
            <wp:effectExtent l="0" t="0" r="0" b="0"/>
            <wp:docPr id="6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7" t="934" r="1382" b="1077"/>
                    <a:stretch>
                      <a:fillRect/>
                    </a:stretch>
                  </pic:blipFill>
                  <pic:spPr bwMode="auto">
                    <a:xfrm>
                      <a:off x="0" y="0"/>
                      <a:ext cx="5544185" cy="8731885"/>
                    </a:xfrm>
                    <a:prstGeom prst="rect">
                      <a:avLst/>
                    </a:prstGeom>
                    <a:noFill/>
                  </pic:spPr>
                </pic:pic>
              </a:graphicData>
            </a:graphic>
          </wp:inline>
        </w:drawing>
      </w:r>
    </w:p>
    <w:p w:rsidR="00292CEB" w:rsidRPr="006574FD" w:rsidRDefault="00292CEB" w:rsidP="00A22C06">
      <w:pPr>
        <w:rPr>
          <w:rFonts w:ascii="Arial" w:hAnsi="Arial" w:cs="Arial"/>
          <w:i/>
          <w:color w:val="00B050"/>
        </w:rPr>
      </w:pPr>
    </w:p>
    <w:p w:rsidR="00292CEB" w:rsidRPr="006574FD" w:rsidRDefault="006D7F17" w:rsidP="00292CEB">
      <w:pPr>
        <w:jc w:val="center"/>
        <w:rPr>
          <w:rFonts w:ascii="Arial" w:hAnsi="Arial" w:cs="Arial"/>
          <w:i/>
          <w:color w:val="00B050"/>
        </w:rPr>
      </w:pPr>
      <w:r w:rsidRPr="006574FD">
        <w:rPr>
          <w:rFonts w:ascii="Arial" w:hAnsi="Arial" w:cs="Arial"/>
          <w:i/>
          <w:noProof/>
          <w:color w:val="00B050"/>
        </w:rPr>
        <w:drawing>
          <wp:inline distT="0" distB="0" distL="0" distR="0">
            <wp:extent cx="5076190" cy="7844155"/>
            <wp:effectExtent l="0" t="0" r="0" b="4445"/>
            <wp:docPr id="6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76" t="1210" r="1514" b="2460"/>
                    <a:stretch>
                      <a:fillRect/>
                    </a:stretch>
                  </pic:blipFill>
                  <pic:spPr bwMode="auto">
                    <a:xfrm>
                      <a:off x="0" y="0"/>
                      <a:ext cx="5076190" cy="7844155"/>
                    </a:xfrm>
                    <a:prstGeom prst="rect">
                      <a:avLst/>
                    </a:prstGeom>
                    <a:noFill/>
                  </pic:spPr>
                </pic:pic>
              </a:graphicData>
            </a:graphic>
          </wp:inline>
        </w:drawing>
      </w:r>
    </w:p>
    <w:p w:rsidR="00292CEB" w:rsidRPr="006574FD" w:rsidRDefault="00292CEB" w:rsidP="00A22C06">
      <w:pPr>
        <w:rPr>
          <w:rFonts w:ascii="Arial" w:hAnsi="Arial" w:cs="Arial"/>
          <w:i/>
          <w:color w:val="00B050"/>
        </w:rPr>
      </w:pPr>
    </w:p>
    <w:p w:rsidR="00292CEB" w:rsidRPr="006574FD" w:rsidRDefault="00292CEB" w:rsidP="00236133">
      <w:pPr>
        <w:rPr>
          <w:rFonts w:ascii="Arial" w:hAnsi="Arial" w:cs="Arial"/>
          <w:i/>
          <w:color w:val="002060"/>
        </w:rPr>
      </w:pPr>
    </w:p>
    <w:p w:rsidR="00292CEB" w:rsidRPr="006574FD" w:rsidRDefault="006D7F17" w:rsidP="00A22C06">
      <w:pPr>
        <w:rPr>
          <w:rFonts w:ascii="Arial" w:hAnsi="Arial" w:cs="Arial"/>
          <w:i/>
        </w:rPr>
      </w:pPr>
      <w:r w:rsidRPr="006574FD">
        <w:rPr>
          <w:rFonts w:ascii="Arial" w:hAnsi="Arial" w:cs="Arial"/>
          <w:i/>
          <w:noProof/>
        </w:rPr>
        <w:lastRenderedPageBreak/>
        <w:drawing>
          <wp:inline distT="0" distB="0" distL="0" distR="0">
            <wp:extent cx="5613400" cy="3220085"/>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3400" cy="3220085"/>
                    </a:xfrm>
                    <a:prstGeom prst="rect">
                      <a:avLst/>
                    </a:prstGeom>
                    <a:noFill/>
                    <a:ln>
                      <a:noFill/>
                    </a:ln>
                  </pic:spPr>
                </pic:pic>
              </a:graphicData>
            </a:graphic>
          </wp:inline>
        </w:drawing>
      </w:r>
    </w:p>
    <w:p w:rsidR="00292CEB" w:rsidRPr="006574FD" w:rsidRDefault="00292CEB" w:rsidP="00A22C06">
      <w:pPr>
        <w:rPr>
          <w:rFonts w:ascii="Arial" w:hAnsi="Arial" w:cs="Arial"/>
          <w:i/>
        </w:rPr>
      </w:pPr>
    </w:p>
    <w:p w:rsidR="00292CEB" w:rsidRPr="006574FD" w:rsidRDefault="00292CEB" w:rsidP="00A22C06">
      <w:pPr>
        <w:rPr>
          <w:rFonts w:ascii="Arial" w:hAnsi="Arial" w:cs="Arial"/>
          <w:i/>
        </w:rPr>
      </w:pPr>
    </w:p>
    <w:p w:rsidR="00292CEB" w:rsidRPr="006574FD" w:rsidRDefault="00292CEB" w:rsidP="00A22C06">
      <w:pPr>
        <w:rPr>
          <w:rFonts w:ascii="Arial" w:hAnsi="Arial" w:cs="Arial"/>
          <w:i/>
        </w:rPr>
      </w:pPr>
    </w:p>
    <w:p w:rsidR="00292CEB" w:rsidRPr="006574FD" w:rsidRDefault="00292CEB" w:rsidP="00A22C06">
      <w:pPr>
        <w:rPr>
          <w:rFonts w:ascii="Arial" w:hAnsi="Arial" w:cs="Arial"/>
          <w:i/>
          <w:color w:val="00B050"/>
        </w:rPr>
      </w:pPr>
    </w:p>
    <w:p w:rsidR="00292CEB" w:rsidRPr="006574FD" w:rsidRDefault="00292CEB" w:rsidP="00A22C06">
      <w:pPr>
        <w:rPr>
          <w:rFonts w:ascii="Arial" w:hAnsi="Arial" w:cs="Arial"/>
          <w:i/>
          <w:color w:val="00B050"/>
        </w:rPr>
      </w:pPr>
    </w:p>
    <w:p w:rsidR="00292CEB" w:rsidRPr="006574FD" w:rsidRDefault="00292CEB" w:rsidP="00A22C06">
      <w:pPr>
        <w:rPr>
          <w:rFonts w:ascii="Arial" w:hAnsi="Arial" w:cs="Arial"/>
          <w:i/>
          <w:color w:val="00B050"/>
        </w:rPr>
        <w:sectPr w:rsidR="00292CEB" w:rsidRPr="006574FD" w:rsidSect="006A5626">
          <w:pgSz w:w="11906" w:h="16838" w:code="9"/>
          <w:pgMar w:top="1440" w:right="1440" w:bottom="1440" w:left="1440" w:header="284" w:footer="170" w:gutter="0"/>
          <w:cols w:space="255"/>
          <w:docGrid w:linePitch="360"/>
        </w:sectPr>
      </w:pPr>
    </w:p>
    <w:p w:rsidR="00417710" w:rsidRPr="006F1D04" w:rsidRDefault="00DA11F7" w:rsidP="00DA11F7">
      <w:pPr>
        <w:pStyle w:val="Heading6"/>
        <w:rPr>
          <w:rFonts w:ascii="Arial" w:hAnsi="Arial" w:cs="Arial"/>
        </w:rPr>
        <w:sectPr w:rsidR="00417710" w:rsidRPr="006F1D04" w:rsidSect="006A5626">
          <w:headerReference w:type="even" r:id="rId166"/>
          <w:footerReference w:type="default" r:id="rId167"/>
          <w:headerReference w:type="first" r:id="rId168"/>
          <w:pgSz w:w="11906" w:h="16838" w:code="9"/>
          <w:pgMar w:top="1440" w:right="1440" w:bottom="1440" w:left="1440" w:header="284" w:footer="170" w:gutter="0"/>
          <w:cols w:space="255"/>
          <w:vAlign w:val="center"/>
          <w:docGrid w:linePitch="360"/>
        </w:sectPr>
      </w:pPr>
      <w:bookmarkStart w:id="235" w:name="_Toc340058276"/>
      <w:r w:rsidRPr="006574FD">
        <w:rPr>
          <w:rStyle w:val="Strong"/>
          <w:rFonts w:ascii="Arial" w:hAnsi="Arial" w:cs="Arial"/>
          <w:b/>
          <w:bCs/>
          <w:i/>
        </w:rPr>
        <w:lastRenderedPageBreak/>
        <w:tab/>
      </w:r>
      <w:bookmarkEnd w:id="235"/>
      <w:r w:rsidR="00CD2AEC" w:rsidRPr="006574FD">
        <w:rPr>
          <w:rStyle w:val="Strong"/>
          <w:rFonts w:ascii="Arial" w:hAnsi="Arial" w:cs="Arial"/>
          <w:b/>
          <w:bCs/>
          <w:i/>
        </w:rPr>
        <w:tab/>
      </w:r>
      <w:bookmarkStart w:id="236" w:name="_Toc394011178"/>
      <w:r w:rsidR="00CF0CA5" w:rsidRPr="006F1D04">
        <w:rPr>
          <w:rStyle w:val="Strong"/>
          <w:rFonts w:ascii="Arial" w:hAnsi="Arial" w:cs="Arial"/>
          <w:b/>
          <w:bCs/>
        </w:rPr>
        <w:t>PM</w:t>
      </w:r>
      <w:r w:rsidR="00CF0CA5" w:rsidRPr="006F1D04">
        <w:rPr>
          <w:rStyle w:val="Strong"/>
          <w:rFonts w:ascii="Arial" w:hAnsi="Arial" w:cs="Arial"/>
          <w:b/>
          <w:bCs/>
          <w:vertAlign w:val="subscript"/>
        </w:rPr>
        <w:t>10</w:t>
      </w:r>
      <w:r w:rsidR="00CF0CA5" w:rsidRPr="006F1D04">
        <w:rPr>
          <w:rStyle w:val="Strong"/>
          <w:rFonts w:ascii="Arial" w:hAnsi="Arial" w:cs="Arial"/>
          <w:b/>
          <w:bCs/>
        </w:rPr>
        <w:t xml:space="preserve"> and PM</w:t>
      </w:r>
      <w:r w:rsidR="00CF0CA5" w:rsidRPr="006F1D04">
        <w:rPr>
          <w:rStyle w:val="Strong"/>
          <w:rFonts w:ascii="Arial" w:hAnsi="Arial" w:cs="Arial"/>
          <w:b/>
          <w:bCs/>
          <w:vertAlign w:val="subscript"/>
        </w:rPr>
        <w:t>2.5</w:t>
      </w:r>
      <w:r w:rsidR="00CF0CA5" w:rsidRPr="006F1D04">
        <w:rPr>
          <w:rStyle w:val="Strong"/>
          <w:rFonts w:ascii="Arial" w:hAnsi="Arial" w:cs="Arial"/>
          <w:b/>
          <w:bCs/>
        </w:rPr>
        <w:t xml:space="preserve"> monitoring sites in australia</w:t>
      </w:r>
      <w:bookmarkEnd w:id="236"/>
    </w:p>
    <w:p w:rsidR="0052102C" w:rsidRPr="006F1D04" w:rsidRDefault="0072215E" w:rsidP="00E62830">
      <w:pPr>
        <w:rPr>
          <w:rFonts w:ascii="Arial" w:hAnsi="Arial" w:cs="Arial"/>
        </w:rPr>
      </w:pPr>
      <w:bookmarkStart w:id="237" w:name="_Toc205107153"/>
      <w:bookmarkStart w:id="238" w:name="_Toc280954289"/>
      <w:bookmarkStart w:id="239" w:name="_Ref289762470"/>
      <w:bookmarkStart w:id="240" w:name="_Toc289764539"/>
      <w:bookmarkEnd w:id="6"/>
      <w:r w:rsidRPr="006F1D04">
        <w:rPr>
          <w:rFonts w:ascii="Arial" w:hAnsi="Arial" w:cs="Arial"/>
        </w:rPr>
        <w:lastRenderedPageBreak/>
        <w:t xml:space="preserve">The monitoring stations included in the analysis </w:t>
      </w:r>
      <w:r w:rsidR="002861CF" w:rsidRPr="006F1D04">
        <w:rPr>
          <w:rFonts w:ascii="Arial" w:hAnsi="Arial" w:cs="Arial"/>
        </w:rPr>
        <w:t xml:space="preserve">were those for which data were supplied by the jurisdictions. The sites </w:t>
      </w:r>
      <w:r w:rsidRPr="006F1D04">
        <w:rPr>
          <w:rFonts w:ascii="Arial" w:hAnsi="Arial" w:cs="Arial"/>
        </w:rPr>
        <w:t xml:space="preserve">are summarised in </w:t>
      </w:r>
      <w:r w:rsidR="00292CEB" w:rsidRPr="006F1D04">
        <w:rPr>
          <w:rFonts w:ascii="Arial" w:hAnsi="Arial" w:cs="Arial"/>
          <w:b/>
        </w:rPr>
        <w:t xml:space="preserve">Tables </w:t>
      </w:r>
      <w:r w:rsidR="00236133" w:rsidRPr="006F1D04">
        <w:rPr>
          <w:rFonts w:ascii="Arial" w:hAnsi="Arial" w:cs="Arial"/>
          <w:b/>
        </w:rPr>
        <w:t>D.</w:t>
      </w:r>
      <w:r w:rsidRPr="006F1D04">
        <w:rPr>
          <w:rFonts w:ascii="Arial" w:hAnsi="Arial" w:cs="Arial"/>
          <w:b/>
        </w:rPr>
        <w:t>1</w:t>
      </w:r>
      <w:r w:rsidRPr="006F1D04">
        <w:rPr>
          <w:rFonts w:ascii="Arial" w:hAnsi="Arial" w:cs="Arial"/>
        </w:rPr>
        <w:t xml:space="preserve"> to </w:t>
      </w:r>
      <w:r w:rsidR="00236133" w:rsidRPr="006F1D04">
        <w:rPr>
          <w:rFonts w:ascii="Arial" w:hAnsi="Arial" w:cs="Arial"/>
          <w:b/>
        </w:rPr>
        <w:t>D.</w:t>
      </w:r>
      <w:r w:rsidRPr="006F1D04">
        <w:rPr>
          <w:rFonts w:ascii="Arial" w:hAnsi="Arial" w:cs="Arial"/>
          <w:b/>
        </w:rPr>
        <w:t>8</w:t>
      </w:r>
      <w:r w:rsidRPr="006F1D04">
        <w:rPr>
          <w:rFonts w:ascii="Arial" w:hAnsi="Arial" w:cs="Arial"/>
        </w:rPr>
        <w:t>.</w:t>
      </w:r>
      <w:r w:rsidR="002861CF" w:rsidRPr="006F1D04">
        <w:rPr>
          <w:rFonts w:ascii="Arial" w:hAnsi="Arial" w:cs="Arial"/>
        </w:rPr>
        <w:t xml:space="preserve"> It should be noted that a range of site types were included in the datasets, and not all of these sites were designed for </w:t>
      </w:r>
      <w:r w:rsidR="00EF24F8" w:rsidRPr="006F1D04">
        <w:rPr>
          <w:rFonts w:ascii="Arial" w:hAnsi="Arial" w:cs="Arial"/>
        </w:rPr>
        <w:t>AAQ NEPM</w:t>
      </w:r>
      <w:r w:rsidR="002861CF" w:rsidRPr="006F1D04">
        <w:rPr>
          <w:rFonts w:ascii="Arial" w:hAnsi="Arial" w:cs="Arial"/>
        </w:rPr>
        <w:t xml:space="preserve"> compliance. Nevertheless, most of the sites included were representative of urban background exposure. </w:t>
      </w:r>
    </w:p>
    <w:p w:rsidR="008A7B43" w:rsidRPr="006F1D04" w:rsidRDefault="0072215E" w:rsidP="00E62830">
      <w:pPr>
        <w:rPr>
          <w:rFonts w:ascii="Arial" w:hAnsi="Arial" w:cs="Arial"/>
        </w:rPr>
      </w:pPr>
      <w:r w:rsidRPr="006F1D04">
        <w:rPr>
          <w:rFonts w:ascii="Arial" w:hAnsi="Arial" w:cs="Arial"/>
        </w:rPr>
        <w:t>Trend stations represent long-term monitoring trends, and are located at a nominated site for at least a decade. Trend sites are generally representative of regional population exposure and generally approximate the GRUB definition</w:t>
      </w:r>
      <w:r w:rsidRPr="006F1D04">
        <w:rPr>
          <w:rStyle w:val="FootnoteReference"/>
          <w:rFonts w:ascii="Arial" w:hAnsi="Arial" w:cs="Arial"/>
        </w:rPr>
        <w:footnoteReference w:id="40"/>
      </w:r>
      <w:r w:rsidRPr="006F1D04">
        <w:rPr>
          <w:rFonts w:ascii="Arial" w:hAnsi="Arial" w:cs="Arial"/>
        </w:rPr>
        <w:t xml:space="preserve">. Performance stations are located at a site for at least five years and used to evaluate air quality against the </w:t>
      </w:r>
      <w:r w:rsidR="00EF24F8" w:rsidRPr="006F1D04">
        <w:rPr>
          <w:rFonts w:ascii="Arial" w:hAnsi="Arial" w:cs="Arial"/>
        </w:rPr>
        <w:t>AAQ NEPM</w:t>
      </w:r>
      <w:r w:rsidRPr="006F1D04">
        <w:rPr>
          <w:rFonts w:ascii="Arial" w:hAnsi="Arial" w:cs="Arial"/>
        </w:rPr>
        <w:t xml:space="preserve">. Campaign monitoring is conducted to determine whether longer-term monitoring is necessary elsewhere. </w:t>
      </w:r>
      <w:r w:rsidR="008A7B43" w:rsidRPr="006F1D04">
        <w:rPr>
          <w:rFonts w:ascii="Arial" w:hAnsi="Arial" w:cs="Arial"/>
        </w:rPr>
        <w:t>Monitoring is conducted at various types of site, although the majority of sites are in residential areas of cities and towns.</w:t>
      </w:r>
    </w:p>
    <w:p w:rsidR="00721523" w:rsidRPr="006F1D04" w:rsidRDefault="00AD22C5" w:rsidP="00086E19">
      <w:pPr>
        <w:rPr>
          <w:rFonts w:ascii="Arial" w:hAnsi="Arial" w:cs="Arial"/>
        </w:rPr>
      </w:pPr>
      <w:r w:rsidRPr="006F1D04">
        <w:rPr>
          <w:rFonts w:ascii="Arial" w:hAnsi="Arial" w:cs="Arial"/>
        </w:rPr>
        <w:t>There are currently more sites measuring PM</w:t>
      </w:r>
      <w:r w:rsidRPr="006F1D04">
        <w:rPr>
          <w:rFonts w:ascii="Arial" w:hAnsi="Arial" w:cs="Arial"/>
          <w:vertAlign w:val="subscript"/>
        </w:rPr>
        <w:t>10</w:t>
      </w:r>
      <w:r w:rsidRPr="006F1D04">
        <w:rPr>
          <w:rFonts w:ascii="Arial" w:hAnsi="Arial" w:cs="Arial"/>
        </w:rPr>
        <w:t xml:space="preserve"> than PM</w:t>
      </w:r>
      <w:r w:rsidRPr="006F1D04">
        <w:rPr>
          <w:rFonts w:ascii="Arial" w:hAnsi="Arial" w:cs="Arial"/>
          <w:vertAlign w:val="subscript"/>
        </w:rPr>
        <w:t>2.5</w:t>
      </w:r>
      <w:r w:rsidRPr="006F1D04">
        <w:rPr>
          <w:rFonts w:ascii="Arial" w:hAnsi="Arial" w:cs="Arial"/>
        </w:rPr>
        <w:t>. The monitoring stations operated by NSW EPA predominantly use TEOMs to measure PM</w:t>
      </w:r>
      <w:r w:rsidRPr="006F1D04">
        <w:rPr>
          <w:rFonts w:ascii="Arial" w:hAnsi="Arial" w:cs="Arial"/>
          <w:vertAlign w:val="subscript"/>
        </w:rPr>
        <w:t>10</w:t>
      </w:r>
      <w:r w:rsidRPr="006F1D04">
        <w:rPr>
          <w:rFonts w:ascii="Arial" w:hAnsi="Arial" w:cs="Arial"/>
        </w:rPr>
        <w:t xml:space="preserve"> and PM</w:t>
      </w:r>
      <w:r w:rsidRPr="006F1D04">
        <w:rPr>
          <w:rFonts w:ascii="Arial" w:hAnsi="Arial" w:cs="Arial"/>
          <w:vertAlign w:val="subscript"/>
        </w:rPr>
        <w:t>2.5</w:t>
      </w:r>
      <w:r w:rsidRPr="006F1D04">
        <w:rPr>
          <w:rFonts w:ascii="Arial" w:hAnsi="Arial" w:cs="Arial"/>
        </w:rPr>
        <w:t>, with a small number of BAMs for PM</w:t>
      </w:r>
      <w:r w:rsidRPr="006F1D04">
        <w:rPr>
          <w:rFonts w:ascii="Arial" w:hAnsi="Arial" w:cs="Arial"/>
          <w:vertAlign w:val="subscript"/>
        </w:rPr>
        <w:t>2.5</w:t>
      </w:r>
      <w:r w:rsidRPr="006F1D04">
        <w:rPr>
          <w:rFonts w:ascii="Arial" w:hAnsi="Arial" w:cs="Arial"/>
        </w:rPr>
        <w:t xml:space="preserve"> near mines. In addition, the Australian Nuclear Science and Technology Organisation (ANSTO) measures PM</w:t>
      </w:r>
      <w:r w:rsidRPr="006F1D04">
        <w:rPr>
          <w:rFonts w:ascii="Arial" w:hAnsi="Arial" w:cs="Arial"/>
          <w:vertAlign w:val="subscript"/>
        </w:rPr>
        <w:t>2.5</w:t>
      </w:r>
      <w:r w:rsidRPr="006F1D04">
        <w:rPr>
          <w:rFonts w:ascii="Arial" w:hAnsi="Arial" w:cs="Arial"/>
        </w:rPr>
        <w:t xml:space="preserve"> (with compositional analysis) using a gravimetric filter method at seven sites in NSW. Monthly data from these sites for the years 2005</w:t>
      </w:r>
      <w:r w:rsidR="00731A02" w:rsidRPr="006F1D04">
        <w:rPr>
          <w:rFonts w:ascii="Arial" w:hAnsi="Arial" w:cs="Arial"/>
        </w:rPr>
        <w:t>–</w:t>
      </w:r>
      <w:r w:rsidRPr="006F1D04">
        <w:rPr>
          <w:rFonts w:ascii="Arial" w:hAnsi="Arial" w:cs="Arial"/>
        </w:rPr>
        <w:t>2011 were obtained from the ANSTO web site</w:t>
      </w:r>
      <w:r w:rsidRPr="006F1D04">
        <w:rPr>
          <w:rFonts w:ascii="Arial" w:hAnsi="Arial" w:cs="Arial"/>
          <w:vertAlign w:val="superscript"/>
        </w:rPr>
        <w:footnoteReference w:id="41"/>
      </w:r>
      <w:r w:rsidRPr="006F1D04">
        <w:rPr>
          <w:rFonts w:ascii="Arial" w:hAnsi="Arial" w:cs="Arial"/>
        </w:rPr>
        <w:t>. The PM</w:t>
      </w:r>
      <w:r w:rsidRPr="006F1D04">
        <w:rPr>
          <w:rFonts w:ascii="Arial" w:hAnsi="Arial" w:cs="Arial"/>
          <w:vertAlign w:val="subscript"/>
        </w:rPr>
        <w:t>10</w:t>
      </w:r>
      <w:r w:rsidRPr="006F1D04">
        <w:rPr>
          <w:rFonts w:ascii="Arial" w:hAnsi="Arial" w:cs="Arial"/>
        </w:rPr>
        <w:t xml:space="preserve"> monitoring by EPA Victoria is mostly undertaken using TEOMs; gravimetric filter measurements </w:t>
      </w:r>
      <w:r w:rsidR="00731A02" w:rsidRPr="006F1D04">
        <w:rPr>
          <w:rFonts w:ascii="Arial" w:hAnsi="Arial" w:cs="Arial"/>
        </w:rPr>
        <w:t>–</w:t>
      </w:r>
      <w:r w:rsidRPr="006F1D04">
        <w:rPr>
          <w:rFonts w:ascii="Arial" w:hAnsi="Arial" w:cs="Arial"/>
        </w:rPr>
        <w:t xml:space="preserve"> high-volume air samplers (HVAS</w:t>
      </w:r>
      <w:r w:rsidR="00583B8B" w:rsidRPr="006F1D04">
        <w:rPr>
          <w:rFonts w:ascii="Arial" w:hAnsi="Arial" w:cs="Arial"/>
        </w:rPr>
        <w:t xml:space="preserve">s) </w:t>
      </w:r>
      <w:r w:rsidRPr="006F1D04">
        <w:rPr>
          <w:rFonts w:ascii="Arial" w:hAnsi="Arial" w:cs="Arial"/>
        </w:rPr>
        <w:t>are also deployed at two locations. Monitoring of PM</w:t>
      </w:r>
      <w:r w:rsidRPr="006F1D04">
        <w:rPr>
          <w:rFonts w:ascii="Arial" w:hAnsi="Arial" w:cs="Arial"/>
          <w:vertAlign w:val="subscript"/>
        </w:rPr>
        <w:t>2.5</w:t>
      </w:r>
      <w:r w:rsidRPr="006F1D04">
        <w:rPr>
          <w:rFonts w:ascii="Arial" w:hAnsi="Arial" w:cs="Arial"/>
        </w:rPr>
        <w:t xml:space="preserve"> is only conducted at Alphington and Footscray, using a combination of low-volume samplers (</w:t>
      </w:r>
      <w:proofErr w:type="spellStart"/>
      <w:r w:rsidRPr="006F1D04">
        <w:rPr>
          <w:rFonts w:ascii="Arial" w:hAnsi="Arial" w:cs="Arial"/>
        </w:rPr>
        <w:t>Partisol</w:t>
      </w:r>
      <w:proofErr w:type="spellEnd"/>
      <w:r w:rsidRPr="006F1D04">
        <w:rPr>
          <w:rFonts w:ascii="Arial" w:hAnsi="Arial" w:cs="Arial"/>
        </w:rPr>
        <w:t xml:space="preserve">) and </w:t>
      </w:r>
      <w:proofErr w:type="spellStart"/>
      <w:r w:rsidRPr="006F1D04">
        <w:rPr>
          <w:rFonts w:ascii="Arial" w:hAnsi="Arial" w:cs="Arial"/>
        </w:rPr>
        <w:t>nephelometers</w:t>
      </w:r>
      <w:proofErr w:type="spellEnd"/>
      <w:r w:rsidRPr="006F1D04">
        <w:rPr>
          <w:rFonts w:ascii="Arial" w:hAnsi="Arial" w:cs="Arial"/>
        </w:rPr>
        <w:t xml:space="preserve"> to provide a continuous dataset. In Queensland, measurements have historically been made using TEOMs, but in 2009 several sites were upgraded and now use FDMS analysers. South Australia and Western Australia use TEOMs to measure PM</w:t>
      </w:r>
      <w:r w:rsidRPr="006F1D04">
        <w:rPr>
          <w:rFonts w:ascii="Arial" w:hAnsi="Arial" w:cs="Arial"/>
          <w:vertAlign w:val="subscript"/>
        </w:rPr>
        <w:t>10</w:t>
      </w:r>
      <w:r w:rsidRPr="006F1D04">
        <w:rPr>
          <w:rFonts w:ascii="Arial" w:hAnsi="Arial" w:cs="Arial"/>
        </w:rPr>
        <w:t xml:space="preserve"> and PM</w:t>
      </w:r>
      <w:r w:rsidRPr="006F1D04">
        <w:rPr>
          <w:rFonts w:ascii="Arial" w:hAnsi="Arial" w:cs="Arial"/>
          <w:vertAlign w:val="subscript"/>
        </w:rPr>
        <w:t>2.5</w:t>
      </w:r>
      <w:r w:rsidRPr="006F1D04">
        <w:rPr>
          <w:rFonts w:ascii="Arial" w:hAnsi="Arial" w:cs="Arial"/>
        </w:rPr>
        <w:t>. Routine measurements of PM</w:t>
      </w:r>
      <w:r w:rsidRPr="006F1D04">
        <w:rPr>
          <w:rFonts w:ascii="Arial" w:hAnsi="Arial" w:cs="Arial"/>
          <w:vertAlign w:val="subscript"/>
        </w:rPr>
        <w:t>2.5</w:t>
      </w:r>
      <w:r w:rsidRPr="006F1D04">
        <w:rPr>
          <w:rFonts w:ascii="Arial" w:hAnsi="Arial" w:cs="Arial"/>
        </w:rPr>
        <w:t xml:space="preserve"> are only made at one site in South Australia. At the sites in Tasmania, PM is measured using a gravimetric filter method (typically low-volume samplers), with TEOMs being used at some locations.</w:t>
      </w:r>
    </w:p>
    <w:p w:rsidR="00086E19" w:rsidRPr="006F1D04" w:rsidRDefault="00086E19" w:rsidP="00086E19">
      <w:pPr>
        <w:rPr>
          <w:rFonts w:ascii="Arial" w:hAnsi="Arial" w:cs="Arial"/>
        </w:rPr>
        <w:sectPr w:rsidR="00086E19" w:rsidRPr="006F1D04" w:rsidSect="006A5626">
          <w:pgSz w:w="11906" w:h="16838" w:code="9"/>
          <w:pgMar w:top="1440" w:right="1440" w:bottom="1440" w:left="1440" w:header="284" w:footer="170" w:gutter="0"/>
          <w:cols w:space="255"/>
          <w:docGrid w:linePitch="360"/>
        </w:sectPr>
      </w:pPr>
    </w:p>
    <w:p w:rsidR="0052102C" w:rsidRPr="006F1D04" w:rsidRDefault="0052102C" w:rsidP="0052102C">
      <w:pPr>
        <w:pStyle w:val="Caption"/>
        <w:rPr>
          <w:rFonts w:ascii="Arial" w:hAnsi="Arial" w:cs="Arial"/>
        </w:rPr>
      </w:pPr>
      <w:r w:rsidRPr="006F1D04">
        <w:rPr>
          <w:rFonts w:ascii="Arial" w:hAnsi="Arial" w:cs="Arial"/>
        </w:rPr>
        <w:lastRenderedPageBreak/>
        <w:t xml:space="preserve">Table </w:t>
      </w:r>
      <w:r w:rsidR="00236133" w:rsidRPr="006F1D04">
        <w:rPr>
          <w:rFonts w:ascii="Arial" w:hAnsi="Arial" w:cs="Arial"/>
        </w:rPr>
        <w:t>D.</w:t>
      </w:r>
      <w:r w:rsidR="00BF6019" w:rsidRPr="006F1D04">
        <w:rPr>
          <w:rFonts w:ascii="Arial" w:hAnsi="Arial" w:cs="Arial"/>
        </w:rPr>
        <w:fldChar w:fldCharType="begin"/>
      </w:r>
      <w:r w:rsidRPr="006F1D04">
        <w:rPr>
          <w:rFonts w:ascii="Arial" w:hAnsi="Arial" w:cs="Arial"/>
        </w:rPr>
        <w:instrText xml:space="preserve"> SEQ Table_Apx \* ARABIC \s 6 </w:instrText>
      </w:r>
      <w:r w:rsidR="00BF6019" w:rsidRPr="006F1D04">
        <w:rPr>
          <w:rFonts w:ascii="Arial" w:hAnsi="Arial" w:cs="Arial"/>
        </w:rPr>
        <w:fldChar w:fldCharType="separate"/>
      </w:r>
      <w:r w:rsidR="0085182E">
        <w:rPr>
          <w:rFonts w:ascii="Arial" w:hAnsi="Arial" w:cs="Arial"/>
          <w:noProof/>
        </w:rPr>
        <w:t>1</w:t>
      </w:r>
      <w:r w:rsidR="00BF6019" w:rsidRPr="006F1D04">
        <w:rPr>
          <w:rFonts w:ascii="Arial" w:hAnsi="Arial" w:cs="Arial"/>
        </w:rPr>
        <w:fldChar w:fldCharType="end"/>
      </w:r>
      <w:r w:rsidRPr="006F1D04">
        <w:rPr>
          <w:rFonts w:ascii="Arial" w:hAnsi="Arial" w:cs="Arial"/>
        </w:rPr>
        <w:t>: NSW monitoring sites</w:t>
      </w:r>
      <w:r w:rsidR="00F23491" w:rsidRPr="006F1D04">
        <w:rPr>
          <w:rFonts w:ascii="Arial" w:hAnsi="Arial" w:cs="Arial"/>
        </w:rPr>
        <w:t xml:space="preserve"> (shaded cells = sites not included in state-average calculations and less than 8 years of data)</w:t>
      </w:r>
    </w:p>
    <w:tbl>
      <w:tblPr>
        <w:tblW w:w="12828"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28" w:type="dxa"/>
          <w:right w:w="28" w:type="dxa"/>
        </w:tblCellMar>
        <w:tblLook w:val="04A0"/>
      </w:tblPr>
      <w:tblGrid>
        <w:gridCol w:w="755"/>
        <w:gridCol w:w="924"/>
        <w:gridCol w:w="1344"/>
        <w:gridCol w:w="1134"/>
        <w:gridCol w:w="2409"/>
        <w:gridCol w:w="1985"/>
        <w:gridCol w:w="1062"/>
        <w:gridCol w:w="902"/>
        <w:gridCol w:w="941"/>
        <w:gridCol w:w="1372"/>
      </w:tblGrid>
      <w:tr w:rsidR="00074407" w:rsidRPr="006F1D04" w:rsidTr="00F23491">
        <w:trPr>
          <w:trHeight w:hRule="exact" w:val="512"/>
          <w:tblHeader/>
          <w:jc w:val="center"/>
        </w:trPr>
        <w:tc>
          <w:tcPr>
            <w:tcW w:w="755" w:type="dxa"/>
            <w:tcBorders>
              <w:bottom w:val="single" w:sz="4" w:space="0" w:color="0070C0"/>
            </w:tcBorders>
            <w:shd w:val="clear" w:color="auto" w:fill="0070C0"/>
            <w:noWrap/>
            <w:vAlign w:val="center"/>
          </w:tcPr>
          <w:p w:rsidR="00074407" w:rsidRPr="006F1D04" w:rsidRDefault="00074407" w:rsidP="0052102C">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Site code</w:t>
            </w:r>
          </w:p>
        </w:tc>
        <w:tc>
          <w:tcPr>
            <w:tcW w:w="924" w:type="dxa"/>
            <w:tcBorders>
              <w:bottom w:val="single" w:sz="4" w:space="0" w:color="0070C0"/>
            </w:tcBorders>
            <w:shd w:val="clear" w:color="auto" w:fill="0070C0"/>
            <w:noWrap/>
            <w:vAlign w:val="center"/>
          </w:tcPr>
          <w:p w:rsidR="00074407" w:rsidRPr="006F1D04" w:rsidRDefault="00074407" w:rsidP="0052102C">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Organisation</w:t>
            </w:r>
          </w:p>
        </w:tc>
        <w:tc>
          <w:tcPr>
            <w:tcW w:w="1344" w:type="dxa"/>
            <w:tcBorders>
              <w:bottom w:val="single" w:sz="4" w:space="0" w:color="0070C0"/>
            </w:tcBorders>
            <w:shd w:val="clear" w:color="auto" w:fill="0070C0"/>
            <w:noWrap/>
            <w:vAlign w:val="center"/>
          </w:tcPr>
          <w:p w:rsidR="00074407" w:rsidRPr="006F1D04" w:rsidRDefault="00074407" w:rsidP="0052102C">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Site name</w:t>
            </w:r>
          </w:p>
        </w:tc>
        <w:tc>
          <w:tcPr>
            <w:tcW w:w="1134" w:type="dxa"/>
            <w:tcBorders>
              <w:bottom w:val="single" w:sz="4" w:space="0" w:color="0070C0"/>
            </w:tcBorders>
            <w:shd w:val="clear" w:color="auto" w:fill="0070C0"/>
            <w:noWrap/>
            <w:vAlign w:val="center"/>
          </w:tcPr>
          <w:p w:rsidR="00074407" w:rsidRPr="006F1D04" w:rsidRDefault="00074407" w:rsidP="0052102C">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Region</w:t>
            </w:r>
          </w:p>
        </w:tc>
        <w:tc>
          <w:tcPr>
            <w:tcW w:w="2409" w:type="dxa"/>
            <w:tcBorders>
              <w:bottom w:val="single" w:sz="4" w:space="0" w:color="0070C0"/>
            </w:tcBorders>
            <w:shd w:val="clear" w:color="auto" w:fill="0070C0"/>
            <w:noWrap/>
            <w:vAlign w:val="center"/>
          </w:tcPr>
          <w:p w:rsidR="00074407" w:rsidRPr="006F1D04" w:rsidRDefault="00074407" w:rsidP="0052102C">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Site description</w:t>
            </w:r>
          </w:p>
        </w:tc>
        <w:tc>
          <w:tcPr>
            <w:tcW w:w="1985" w:type="dxa"/>
            <w:tcBorders>
              <w:bottom w:val="single" w:sz="4" w:space="0" w:color="0070C0"/>
            </w:tcBorders>
            <w:shd w:val="clear" w:color="auto" w:fill="0070C0"/>
            <w:noWrap/>
            <w:vAlign w:val="center"/>
          </w:tcPr>
          <w:p w:rsidR="00074407" w:rsidRPr="006F1D04" w:rsidRDefault="00074407" w:rsidP="0052102C">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Purpose</w:t>
            </w:r>
          </w:p>
        </w:tc>
        <w:tc>
          <w:tcPr>
            <w:tcW w:w="1062" w:type="dxa"/>
            <w:tcBorders>
              <w:bottom w:val="single" w:sz="4" w:space="0" w:color="0070C0"/>
            </w:tcBorders>
            <w:shd w:val="clear" w:color="auto" w:fill="0070C0"/>
            <w:noWrap/>
            <w:vAlign w:val="center"/>
          </w:tcPr>
          <w:p w:rsidR="00074407" w:rsidRPr="006F1D04" w:rsidRDefault="00074407" w:rsidP="0052102C">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GRUB</w:t>
            </w:r>
          </w:p>
        </w:tc>
        <w:tc>
          <w:tcPr>
            <w:tcW w:w="902" w:type="dxa"/>
            <w:tcBorders>
              <w:bottom w:val="single" w:sz="4" w:space="0" w:color="0070C0"/>
            </w:tcBorders>
            <w:shd w:val="clear" w:color="auto" w:fill="0070C0"/>
            <w:vAlign w:val="center"/>
          </w:tcPr>
          <w:p w:rsidR="00074407" w:rsidRPr="006F1D04" w:rsidRDefault="00074407" w:rsidP="001B747D">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PM</w:t>
            </w:r>
            <w:r w:rsidRPr="006F1D04">
              <w:rPr>
                <w:rFonts w:ascii="Arial" w:hAnsi="Arial" w:cs="Arial"/>
                <w:b/>
                <w:bCs/>
                <w:color w:val="FFFFFF"/>
                <w:sz w:val="14"/>
                <w:szCs w:val="14"/>
                <w:vertAlign w:val="subscript"/>
              </w:rPr>
              <w:t>10</w:t>
            </w:r>
          </w:p>
        </w:tc>
        <w:tc>
          <w:tcPr>
            <w:tcW w:w="941" w:type="dxa"/>
            <w:tcBorders>
              <w:bottom w:val="single" w:sz="4" w:space="0" w:color="0070C0"/>
            </w:tcBorders>
            <w:shd w:val="clear" w:color="auto" w:fill="0070C0"/>
            <w:vAlign w:val="center"/>
          </w:tcPr>
          <w:p w:rsidR="00074407" w:rsidRPr="006F1D04" w:rsidRDefault="00074407" w:rsidP="0007440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PM</w:t>
            </w:r>
            <w:r w:rsidRPr="006F1D04">
              <w:rPr>
                <w:rFonts w:ascii="Arial" w:hAnsi="Arial" w:cs="Arial"/>
                <w:b/>
                <w:bCs/>
                <w:color w:val="FFFFFF"/>
                <w:sz w:val="14"/>
                <w:szCs w:val="14"/>
                <w:vertAlign w:val="subscript"/>
              </w:rPr>
              <w:t>2.5</w:t>
            </w:r>
          </w:p>
        </w:tc>
        <w:tc>
          <w:tcPr>
            <w:tcW w:w="1372" w:type="dxa"/>
            <w:tcBorders>
              <w:bottom w:val="single" w:sz="4" w:space="0" w:color="0070C0"/>
            </w:tcBorders>
            <w:shd w:val="clear" w:color="auto" w:fill="0070C0"/>
            <w:vAlign w:val="center"/>
          </w:tcPr>
          <w:p w:rsidR="00074407" w:rsidRPr="006F1D04" w:rsidRDefault="00074407" w:rsidP="0007440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Instrument(s)</w:t>
            </w:r>
          </w:p>
        </w:tc>
      </w:tr>
      <w:tr w:rsidR="00074407" w:rsidRPr="006F1D04" w:rsidTr="009D5558">
        <w:trPr>
          <w:trHeight w:hRule="exact" w:val="312"/>
          <w:jc w:val="center"/>
        </w:trPr>
        <w:tc>
          <w:tcPr>
            <w:tcW w:w="755" w:type="dxa"/>
            <w:tcBorders>
              <w:bottom w:val="dotted" w:sz="4" w:space="0" w:color="0070C0"/>
            </w:tcBorders>
            <w:shd w:val="clear" w:color="auto" w:fill="D9D9D9"/>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NSW_E01</w:t>
            </w:r>
          </w:p>
        </w:tc>
        <w:tc>
          <w:tcPr>
            <w:tcW w:w="924" w:type="dxa"/>
            <w:tcBorders>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Bargo</w:t>
            </w:r>
          </w:p>
        </w:tc>
        <w:tc>
          <w:tcPr>
            <w:tcW w:w="1134" w:type="dxa"/>
            <w:tcBorders>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Sydney</w:t>
            </w:r>
          </w:p>
        </w:tc>
        <w:tc>
          <w:tcPr>
            <w:tcW w:w="2409" w:type="dxa"/>
            <w:tcBorders>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Residential, rural</w:t>
            </w:r>
          </w:p>
        </w:tc>
        <w:tc>
          <w:tcPr>
            <w:tcW w:w="1985" w:type="dxa"/>
            <w:tcBorders>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1062" w:type="dxa"/>
            <w:tcBorders>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372" w:type="dxa"/>
            <w:tcBorders>
              <w:bottom w:val="dotted" w:sz="4" w:space="0" w:color="0070C0"/>
            </w:tcBorders>
            <w:shd w:val="clear" w:color="auto" w:fill="D9D9D9"/>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9D5558">
        <w:trPr>
          <w:trHeight w:hRule="exact" w:val="312"/>
          <w:jc w:val="center"/>
        </w:trPr>
        <w:tc>
          <w:tcPr>
            <w:tcW w:w="755" w:type="dxa"/>
            <w:tcBorders>
              <w:top w:val="dotted" w:sz="4" w:space="0" w:color="0070C0"/>
              <w:bottom w:val="dotted" w:sz="4" w:space="0" w:color="0070C0"/>
            </w:tcBorders>
            <w:shd w:val="clear" w:color="auto" w:fill="D9D9D9"/>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NSW_E02</w:t>
            </w:r>
          </w:p>
        </w:tc>
        <w:tc>
          <w:tcPr>
            <w:tcW w:w="92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Blacktown</w:t>
            </w:r>
          </w:p>
        </w:tc>
        <w:tc>
          <w:tcPr>
            <w:tcW w:w="113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Sydney</w:t>
            </w:r>
          </w:p>
        </w:tc>
        <w:tc>
          <w:tcPr>
            <w:tcW w:w="2409"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Residential, urban</w:t>
            </w:r>
          </w:p>
        </w:tc>
        <w:tc>
          <w:tcPr>
            <w:tcW w:w="1985"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Trend</w:t>
            </w:r>
          </w:p>
        </w:tc>
        <w:tc>
          <w:tcPr>
            <w:tcW w:w="1062"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902"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372" w:type="dxa"/>
            <w:tcBorders>
              <w:top w:val="dotted" w:sz="4" w:space="0" w:color="0070C0"/>
              <w:bottom w:val="dotted" w:sz="4" w:space="0" w:color="0070C0"/>
            </w:tcBorders>
            <w:shd w:val="clear" w:color="auto" w:fill="D9D9D9"/>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DC2F53">
        <w:trPr>
          <w:trHeight w:hRule="exact" w:val="312"/>
          <w:jc w:val="center"/>
        </w:trPr>
        <w:tc>
          <w:tcPr>
            <w:tcW w:w="755" w:type="dxa"/>
            <w:tcBorders>
              <w:top w:val="dotted" w:sz="4" w:space="0" w:color="0070C0"/>
              <w:bottom w:val="dotted" w:sz="4" w:space="0" w:color="0070C0"/>
            </w:tcBorders>
            <w:shd w:val="clear" w:color="auto" w:fill="auto"/>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NSW_E03</w:t>
            </w:r>
          </w:p>
        </w:tc>
        <w:tc>
          <w:tcPr>
            <w:tcW w:w="92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Bringelly</w:t>
            </w:r>
          </w:p>
        </w:tc>
        <w:tc>
          <w:tcPr>
            <w:tcW w:w="113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Sydney</w:t>
            </w:r>
          </w:p>
        </w:tc>
        <w:tc>
          <w:tcPr>
            <w:tcW w:w="2409"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Residential, semi-rural</w:t>
            </w:r>
          </w:p>
        </w:tc>
        <w:tc>
          <w:tcPr>
            <w:tcW w:w="1985"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Trend</w:t>
            </w:r>
          </w:p>
        </w:tc>
        <w:tc>
          <w:tcPr>
            <w:tcW w:w="1062"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902"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372" w:type="dxa"/>
            <w:tcBorders>
              <w:top w:val="dotted" w:sz="4" w:space="0" w:color="0070C0"/>
              <w:bottom w:val="dotted" w:sz="4" w:space="0" w:color="0070C0"/>
            </w:tcBorders>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DC2F53">
        <w:trPr>
          <w:trHeight w:hRule="exact" w:val="312"/>
          <w:jc w:val="center"/>
        </w:trPr>
        <w:tc>
          <w:tcPr>
            <w:tcW w:w="755" w:type="dxa"/>
            <w:tcBorders>
              <w:top w:val="dotted" w:sz="4" w:space="0" w:color="0070C0"/>
              <w:bottom w:val="dotted" w:sz="4" w:space="0" w:color="0070C0"/>
            </w:tcBorders>
            <w:shd w:val="clear" w:color="auto" w:fill="auto"/>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NSW_E06</w:t>
            </w:r>
          </w:p>
        </w:tc>
        <w:tc>
          <w:tcPr>
            <w:tcW w:w="92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Chullora</w:t>
            </w:r>
          </w:p>
        </w:tc>
        <w:tc>
          <w:tcPr>
            <w:tcW w:w="113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Sydney</w:t>
            </w:r>
          </w:p>
        </w:tc>
        <w:tc>
          <w:tcPr>
            <w:tcW w:w="2409"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Residential/commercial</w:t>
            </w:r>
          </w:p>
        </w:tc>
        <w:tc>
          <w:tcPr>
            <w:tcW w:w="1985"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Trend</w:t>
            </w:r>
          </w:p>
        </w:tc>
        <w:tc>
          <w:tcPr>
            <w:tcW w:w="1062"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902"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372" w:type="dxa"/>
            <w:tcBorders>
              <w:top w:val="dotted" w:sz="4" w:space="0" w:color="0070C0"/>
              <w:bottom w:val="dotted" w:sz="4" w:space="0" w:color="0070C0"/>
            </w:tcBorders>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TEOM/BAM</w:t>
            </w:r>
          </w:p>
        </w:tc>
      </w:tr>
      <w:tr w:rsidR="00074407" w:rsidRPr="006F1D04" w:rsidTr="00F23491">
        <w:trPr>
          <w:trHeight w:hRule="exact" w:val="312"/>
          <w:jc w:val="center"/>
        </w:trPr>
        <w:tc>
          <w:tcPr>
            <w:tcW w:w="755" w:type="dxa"/>
            <w:tcBorders>
              <w:top w:val="dotted" w:sz="4" w:space="0" w:color="0070C0"/>
              <w:bottom w:val="dotted" w:sz="4" w:space="0" w:color="0070C0"/>
            </w:tcBorders>
            <w:shd w:val="clear" w:color="auto" w:fill="auto"/>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NSW_E07</w:t>
            </w:r>
          </w:p>
        </w:tc>
        <w:tc>
          <w:tcPr>
            <w:tcW w:w="92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Earlwood</w:t>
            </w:r>
          </w:p>
        </w:tc>
        <w:tc>
          <w:tcPr>
            <w:tcW w:w="113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Sydney</w:t>
            </w:r>
          </w:p>
        </w:tc>
        <w:tc>
          <w:tcPr>
            <w:tcW w:w="2409"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Residential</w:t>
            </w:r>
          </w:p>
        </w:tc>
        <w:tc>
          <w:tcPr>
            <w:tcW w:w="1985"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Campaign</w:t>
            </w:r>
          </w:p>
        </w:tc>
        <w:tc>
          <w:tcPr>
            <w:tcW w:w="1062"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902"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372" w:type="dxa"/>
            <w:tcBorders>
              <w:top w:val="dotted" w:sz="4" w:space="0" w:color="0070C0"/>
              <w:bottom w:val="dotted" w:sz="4" w:space="0" w:color="0070C0"/>
            </w:tcBorders>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TEOM/BAM</w:t>
            </w:r>
          </w:p>
        </w:tc>
      </w:tr>
      <w:tr w:rsidR="00074407" w:rsidRPr="006F1D04" w:rsidTr="009D5558">
        <w:trPr>
          <w:trHeight w:hRule="exact" w:val="312"/>
          <w:jc w:val="center"/>
        </w:trPr>
        <w:tc>
          <w:tcPr>
            <w:tcW w:w="755" w:type="dxa"/>
            <w:tcBorders>
              <w:top w:val="dotted" w:sz="4" w:space="0" w:color="0070C0"/>
              <w:bottom w:val="dotted" w:sz="4" w:space="0" w:color="0070C0"/>
            </w:tcBorders>
            <w:shd w:val="clear" w:color="auto" w:fill="D9D9D9"/>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NSW_E08</w:t>
            </w:r>
          </w:p>
        </w:tc>
        <w:tc>
          <w:tcPr>
            <w:tcW w:w="92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Lindfield</w:t>
            </w:r>
          </w:p>
        </w:tc>
        <w:tc>
          <w:tcPr>
            <w:tcW w:w="113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Sydney</w:t>
            </w:r>
          </w:p>
        </w:tc>
        <w:tc>
          <w:tcPr>
            <w:tcW w:w="2409"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Residential</w:t>
            </w:r>
          </w:p>
        </w:tc>
        <w:tc>
          <w:tcPr>
            <w:tcW w:w="1985"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1062"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372" w:type="dxa"/>
            <w:tcBorders>
              <w:top w:val="dotted" w:sz="4" w:space="0" w:color="0070C0"/>
              <w:bottom w:val="dotted" w:sz="4" w:space="0" w:color="0070C0"/>
            </w:tcBorders>
            <w:shd w:val="clear" w:color="auto" w:fill="D9D9D9"/>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F23491">
        <w:trPr>
          <w:trHeight w:hRule="exact" w:val="312"/>
          <w:jc w:val="center"/>
        </w:trPr>
        <w:tc>
          <w:tcPr>
            <w:tcW w:w="755" w:type="dxa"/>
            <w:tcBorders>
              <w:top w:val="dotted" w:sz="4" w:space="0" w:color="0070C0"/>
              <w:bottom w:val="dotted" w:sz="4" w:space="0" w:color="0070C0"/>
            </w:tcBorders>
            <w:shd w:val="clear" w:color="auto" w:fill="auto"/>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NSW_E09</w:t>
            </w:r>
          </w:p>
        </w:tc>
        <w:tc>
          <w:tcPr>
            <w:tcW w:w="92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Liverpool</w:t>
            </w:r>
          </w:p>
        </w:tc>
        <w:tc>
          <w:tcPr>
            <w:tcW w:w="113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Sydney</w:t>
            </w:r>
          </w:p>
        </w:tc>
        <w:tc>
          <w:tcPr>
            <w:tcW w:w="2409"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Residential/commercial</w:t>
            </w:r>
          </w:p>
        </w:tc>
        <w:tc>
          <w:tcPr>
            <w:tcW w:w="1985"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Campaign</w:t>
            </w:r>
          </w:p>
        </w:tc>
        <w:tc>
          <w:tcPr>
            <w:tcW w:w="1062"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902"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372" w:type="dxa"/>
            <w:tcBorders>
              <w:top w:val="dotted" w:sz="4" w:space="0" w:color="0070C0"/>
              <w:bottom w:val="dotted" w:sz="4" w:space="0" w:color="0070C0"/>
            </w:tcBorders>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TEOM/BAM</w:t>
            </w:r>
          </w:p>
        </w:tc>
      </w:tr>
      <w:tr w:rsidR="00074407" w:rsidRPr="006F1D04" w:rsidTr="009D5558">
        <w:trPr>
          <w:trHeight w:hRule="exact" w:val="312"/>
          <w:jc w:val="center"/>
        </w:trPr>
        <w:tc>
          <w:tcPr>
            <w:tcW w:w="755" w:type="dxa"/>
            <w:tcBorders>
              <w:top w:val="dotted" w:sz="4" w:space="0" w:color="0070C0"/>
              <w:bottom w:val="dotted" w:sz="4" w:space="0" w:color="0070C0"/>
            </w:tcBorders>
            <w:shd w:val="clear" w:color="auto" w:fill="D9D9D9"/>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NSW_E10</w:t>
            </w:r>
          </w:p>
        </w:tc>
        <w:tc>
          <w:tcPr>
            <w:tcW w:w="92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Macarthur</w:t>
            </w:r>
          </w:p>
        </w:tc>
        <w:tc>
          <w:tcPr>
            <w:tcW w:w="113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Sydney</w:t>
            </w:r>
          </w:p>
        </w:tc>
        <w:tc>
          <w:tcPr>
            <w:tcW w:w="2409"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Residential, semi-rural</w:t>
            </w:r>
          </w:p>
        </w:tc>
        <w:tc>
          <w:tcPr>
            <w:tcW w:w="1985"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Trend</w:t>
            </w:r>
          </w:p>
        </w:tc>
        <w:tc>
          <w:tcPr>
            <w:tcW w:w="1062"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902"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372" w:type="dxa"/>
            <w:tcBorders>
              <w:top w:val="dotted" w:sz="4" w:space="0" w:color="0070C0"/>
              <w:bottom w:val="dotted" w:sz="4" w:space="0" w:color="0070C0"/>
            </w:tcBorders>
            <w:shd w:val="clear" w:color="auto" w:fill="D9D9D9"/>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F23491">
        <w:trPr>
          <w:trHeight w:hRule="exact" w:val="312"/>
          <w:jc w:val="center"/>
        </w:trPr>
        <w:tc>
          <w:tcPr>
            <w:tcW w:w="755" w:type="dxa"/>
            <w:tcBorders>
              <w:top w:val="dotted" w:sz="4" w:space="0" w:color="0070C0"/>
              <w:bottom w:val="dotted" w:sz="4" w:space="0" w:color="0070C0"/>
            </w:tcBorders>
            <w:shd w:val="clear" w:color="auto" w:fill="auto"/>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NSW_E11</w:t>
            </w:r>
          </w:p>
        </w:tc>
        <w:tc>
          <w:tcPr>
            <w:tcW w:w="92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Oakdale</w:t>
            </w:r>
          </w:p>
        </w:tc>
        <w:tc>
          <w:tcPr>
            <w:tcW w:w="113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Sydney</w:t>
            </w:r>
          </w:p>
        </w:tc>
        <w:tc>
          <w:tcPr>
            <w:tcW w:w="2409"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Rural</w:t>
            </w:r>
          </w:p>
        </w:tc>
        <w:tc>
          <w:tcPr>
            <w:tcW w:w="1985"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Performance</w:t>
            </w:r>
          </w:p>
        </w:tc>
        <w:tc>
          <w:tcPr>
            <w:tcW w:w="1062"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902"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372" w:type="dxa"/>
            <w:tcBorders>
              <w:top w:val="dotted" w:sz="4" w:space="0" w:color="0070C0"/>
              <w:bottom w:val="dotted" w:sz="4" w:space="0" w:color="0070C0"/>
            </w:tcBorders>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9D5558">
        <w:trPr>
          <w:trHeight w:hRule="exact" w:val="312"/>
          <w:jc w:val="center"/>
        </w:trPr>
        <w:tc>
          <w:tcPr>
            <w:tcW w:w="755" w:type="dxa"/>
            <w:tcBorders>
              <w:top w:val="dotted" w:sz="4" w:space="0" w:color="0070C0"/>
              <w:bottom w:val="dotted" w:sz="4" w:space="0" w:color="0070C0"/>
            </w:tcBorders>
            <w:shd w:val="clear" w:color="auto" w:fill="D9D9D9"/>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NSW_E12</w:t>
            </w:r>
          </w:p>
        </w:tc>
        <w:tc>
          <w:tcPr>
            <w:tcW w:w="92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Prospect</w:t>
            </w:r>
          </w:p>
        </w:tc>
        <w:tc>
          <w:tcPr>
            <w:tcW w:w="113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Sydney</w:t>
            </w:r>
          </w:p>
        </w:tc>
        <w:tc>
          <w:tcPr>
            <w:tcW w:w="2409"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Residential</w:t>
            </w:r>
          </w:p>
        </w:tc>
        <w:tc>
          <w:tcPr>
            <w:tcW w:w="1985"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Trend</w:t>
            </w:r>
          </w:p>
        </w:tc>
        <w:tc>
          <w:tcPr>
            <w:tcW w:w="1062"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902"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372" w:type="dxa"/>
            <w:tcBorders>
              <w:top w:val="dotted" w:sz="4" w:space="0" w:color="0070C0"/>
              <w:bottom w:val="dotted" w:sz="4" w:space="0" w:color="0070C0"/>
            </w:tcBorders>
            <w:shd w:val="clear" w:color="auto" w:fill="D9D9D9"/>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DC2F53">
        <w:trPr>
          <w:trHeight w:hRule="exact" w:val="312"/>
          <w:jc w:val="center"/>
        </w:trPr>
        <w:tc>
          <w:tcPr>
            <w:tcW w:w="755" w:type="dxa"/>
            <w:tcBorders>
              <w:top w:val="dotted" w:sz="4" w:space="0" w:color="0070C0"/>
              <w:bottom w:val="dotted" w:sz="4" w:space="0" w:color="0070C0"/>
            </w:tcBorders>
            <w:shd w:val="clear" w:color="auto" w:fill="auto"/>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NSW_E13</w:t>
            </w:r>
          </w:p>
        </w:tc>
        <w:tc>
          <w:tcPr>
            <w:tcW w:w="92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Randwick</w:t>
            </w:r>
          </w:p>
        </w:tc>
        <w:tc>
          <w:tcPr>
            <w:tcW w:w="113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Sydney</w:t>
            </w:r>
          </w:p>
        </w:tc>
        <w:tc>
          <w:tcPr>
            <w:tcW w:w="2409"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Residential</w:t>
            </w:r>
          </w:p>
        </w:tc>
        <w:tc>
          <w:tcPr>
            <w:tcW w:w="1985"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1062"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372" w:type="dxa"/>
            <w:tcBorders>
              <w:top w:val="dotted" w:sz="4" w:space="0" w:color="0070C0"/>
              <w:bottom w:val="dotted" w:sz="4" w:space="0" w:color="0070C0"/>
            </w:tcBorders>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DC2F53">
        <w:trPr>
          <w:trHeight w:hRule="exact" w:val="312"/>
          <w:jc w:val="center"/>
        </w:trPr>
        <w:tc>
          <w:tcPr>
            <w:tcW w:w="755" w:type="dxa"/>
            <w:tcBorders>
              <w:top w:val="dotted" w:sz="4" w:space="0" w:color="0070C0"/>
              <w:bottom w:val="dotted" w:sz="4" w:space="0" w:color="0070C0"/>
            </w:tcBorders>
            <w:shd w:val="clear" w:color="auto" w:fill="auto"/>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NSW_E14</w:t>
            </w:r>
          </w:p>
        </w:tc>
        <w:tc>
          <w:tcPr>
            <w:tcW w:w="92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Richmond</w:t>
            </w:r>
          </w:p>
        </w:tc>
        <w:tc>
          <w:tcPr>
            <w:tcW w:w="113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Sydney</w:t>
            </w:r>
          </w:p>
        </w:tc>
        <w:tc>
          <w:tcPr>
            <w:tcW w:w="2409"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Residential</w:t>
            </w:r>
          </w:p>
        </w:tc>
        <w:tc>
          <w:tcPr>
            <w:tcW w:w="1985"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Trend</w:t>
            </w:r>
          </w:p>
        </w:tc>
        <w:tc>
          <w:tcPr>
            <w:tcW w:w="1062"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902"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372" w:type="dxa"/>
            <w:tcBorders>
              <w:top w:val="dotted" w:sz="4" w:space="0" w:color="0070C0"/>
              <w:bottom w:val="dotted" w:sz="4" w:space="0" w:color="0070C0"/>
            </w:tcBorders>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TEOM/BAM</w:t>
            </w:r>
          </w:p>
        </w:tc>
      </w:tr>
      <w:tr w:rsidR="00074407" w:rsidRPr="006F1D04" w:rsidTr="00DC2F53">
        <w:trPr>
          <w:trHeight w:hRule="exact" w:val="312"/>
          <w:jc w:val="center"/>
        </w:trPr>
        <w:tc>
          <w:tcPr>
            <w:tcW w:w="755" w:type="dxa"/>
            <w:tcBorders>
              <w:top w:val="dotted" w:sz="4" w:space="0" w:color="0070C0"/>
              <w:bottom w:val="dotted" w:sz="4" w:space="0" w:color="0070C0"/>
            </w:tcBorders>
            <w:shd w:val="clear" w:color="auto" w:fill="auto"/>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NSW_E15</w:t>
            </w:r>
          </w:p>
        </w:tc>
        <w:tc>
          <w:tcPr>
            <w:tcW w:w="92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Rozelle</w:t>
            </w:r>
          </w:p>
        </w:tc>
        <w:tc>
          <w:tcPr>
            <w:tcW w:w="113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Sydney</w:t>
            </w:r>
          </w:p>
        </w:tc>
        <w:tc>
          <w:tcPr>
            <w:tcW w:w="2409"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Residential</w:t>
            </w:r>
          </w:p>
        </w:tc>
        <w:tc>
          <w:tcPr>
            <w:tcW w:w="1985"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Trend</w:t>
            </w:r>
          </w:p>
        </w:tc>
        <w:tc>
          <w:tcPr>
            <w:tcW w:w="1062"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902"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372" w:type="dxa"/>
            <w:tcBorders>
              <w:top w:val="dotted" w:sz="4" w:space="0" w:color="0070C0"/>
              <w:bottom w:val="dotted" w:sz="4" w:space="0" w:color="0070C0"/>
            </w:tcBorders>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DC2F53">
        <w:trPr>
          <w:trHeight w:hRule="exact" w:val="312"/>
          <w:jc w:val="center"/>
        </w:trPr>
        <w:tc>
          <w:tcPr>
            <w:tcW w:w="755" w:type="dxa"/>
            <w:tcBorders>
              <w:top w:val="dotted" w:sz="4" w:space="0" w:color="0070C0"/>
              <w:bottom w:val="dotted" w:sz="4" w:space="0" w:color="0070C0"/>
            </w:tcBorders>
            <w:shd w:val="clear" w:color="auto" w:fill="auto"/>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NSW_E16</w:t>
            </w:r>
          </w:p>
        </w:tc>
        <w:tc>
          <w:tcPr>
            <w:tcW w:w="92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St Marys</w:t>
            </w:r>
          </w:p>
        </w:tc>
        <w:tc>
          <w:tcPr>
            <w:tcW w:w="113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Sydney</w:t>
            </w:r>
          </w:p>
        </w:tc>
        <w:tc>
          <w:tcPr>
            <w:tcW w:w="2409"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Semi-rural</w:t>
            </w:r>
          </w:p>
        </w:tc>
        <w:tc>
          <w:tcPr>
            <w:tcW w:w="1985"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1062"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902"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372" w:type="dxa"/>
            <w:tcBorders>
              <w:top w:val="dotted" w:sz="4" w:space="0" w:color="0070C0"/>
              <w:bottom w:val="dotted" w:sz="4" w:space="0" w:color="0070C0"/>
            </w:tcBorders>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F23491">
        <w:trPr>
          <w:trHeight w:hRule="exact" w:val="312"/>
          <w:jc w:val="center"/>
        </w:trPr>
        <w:tc>
          <w:tcPr>
            <w:tcW w:w="755" w:type="dxa"/>
            <w:tcBorders>
              <w:top w:val="dotted" w:sz="4" w:space="0" w:color="0070C0"/>
              <w:bottom w:val="dotted" w:sz="4" w:space="0" w:color="0070C0"/>
            </w:tcBorders>
            <w:shd w:val="clear" w:color="auto" w:fill="auto"/>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NSW_E17</w:t>
            </w:r>
          </w:p>
        </w:tc>
        <w:tc>
          <w:tcPr>
            <w:tcW w:w="92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Vineyard</w:t>
            </w:r>
          </w:p>
        </w:tc>
        <w:tc>
          <w:tcPr>
            <w:tcW w:w="113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Sydney</w:t>
            </w:r>
          </w:p>
        </w:tc>
        <w:tc>
          <w:tcPr>
            <w:tcW w:w="2409"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Residential, semi-rural</w:t>
            </w:r>
          </w:p>
        </w:tc>
        <w:tc>
          <w:tcPr>
            <w:tcW w:w="1985"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1062"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902"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372" w:type="dxa"/>
            <w:tcBorders>
              <w:top w:val="dotted" w:sz="4" w:space="0" w:color="0070C0"/>
              <w:bottom w:val="dotted" w:sz="4" w:space="0" w:color="0070C0"/>
            </w:tcBorders>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9D5558">
        <w:trPr>
          <w:trHeight w:hRule="exact" w:val="312"/>
          <w:jc w:val="center"/>
        </w:trPr>
        <w:tc>
          <w:tcPr>
            <w:tcW w:w="755" w:type="dxa"/>
            <w:tcBorders>
              <w:top w:val="dotted" w:sz="4" w:space="0" w:color="0070C0"/>
              <w:bottom w:val="dotted" w:sz="4" w:space="0" w:color="0070C0"/>
            </w:tcBorders>
            <w:shd w:val="clear" w:color="auto" w:fill="D9D9D9"/>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NSW_E18</w:t>
            </w:r>
          </w:p>
        </w:tc>
        <w:tc>
          <w:tcPr>
            <w:tcW w:w="92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Westmead</w:t>
            </w:r>
          </w:p>
        </w:tc>
        <w:tc>
          <w:tcPr>
            <w:tcW w:w="113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Sydney</w:t>
            </w:r>
          </w:p>
        </w:tc>
        <w:tc>
          <w:tcPr>
            <w:tcW w:w="2409"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Residential, urban</w:t>
            </w:r>
          </w:p>
        </w:tc>
        <w:tc>
          <w:tcPr>
            <w:tcW w:w="1985"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1062"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372" w:type="dxa"/>
            <w:tcBorders>
              <w:top w:val="dotted" w:sz="4" w:space="0" w:color="0070C0"/>
              <w:bottom w:val="dotted" w:sz="4" w:space="0" w:color="0070C0"/>
            </w:tcBorders>
            <w:shd w:val="clear" w:color="auto" w:fill="D9D9D9"/>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9D5558">
        <w:trPr>
          <w:trHeight w:hRule="exact" w:val="312"/>
          <w:jc w:val="center"/>
        </w:trPr>
        <w:tc>
          <w:tcPr>
            <w:tcW w:w="755" w:type="dxa"/>
            <w:tcBorders>
              <w:top w:val="dotted" w:sz="4" w:space="0" w:color="0070C0"/>
              <w:bottom w:val="dotted" w:sz="4" w:space="0" w:color="0070C0"/>
            </w:tcBorders>
            <w:shd w:val="clear" w:color="auto" w:fill="D9D9D9"/>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NSW_E19</w:t>
            </w:r>
          </w:p>
        </w:tc>
        <w:tc>
          <w:tcPr>
            <w:tcW w:w="92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Woolooware</w:t>
            </w:r>
          </w:p>
        </w:tc>
        <w:tc>
          <w:tcPr>
            <w:tcW w:w="113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Sydney</w:t>
            </w:r>
          </w:p>
        </w:tc>
        <w:tc>
          <w:tcPr>
            <w:tcW w:w="2409"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Residential</w:t>
            </w:r>
          </w:p>
        </w:tc>
        <w:tc>
          <w:tcPr>
            <w:tcW w:w="1985"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1062"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372" w:type="dxa"/>
            <w:tcBorders>
              <w:top w:val="dotted" w:sz="4" w:space="0" w:color="0070C0"/>
              <w:bottom w:val="dotted" w:sz="4" w:space="0" w:color="0070C0"/>
            </w:tcBorders>
            <w:shd w:val="clear" w:color="auto" w:fill="D9D9D9"/>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F23491">
        <w:trPr>
          <w:trHeight w:hRule="exact" w:val="312"/>
          <w:jc w:val="center"/>
        </w:trPr>
        <w:tc>
          <w:tcPr>
            <w:tcW w:w="755" w:type="dxa"/>
            <w:tcBorders>
              <w:top w:val="dotted" w:sz="4" w:space="0" w:color="0070C0"/>
              <w:bottom w:val="dotted" w:sz="4" w:space="0" w:color="0070C0"/>
            </w:tcBorders>
            <w:shd w:val="clear" w:color="auto" w:fill="auto"/>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NSW_E20</w:t>
            </w:r>
          </w:p>
        </w:tc>
        <w:tc>
          <w:tcPr>
            <w:tcW w:w="92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Beresfield</w:t>
            </w:r>
          </w:p>
        </w:tc>
        <w:tc>
          <w:tcPr>
            <w:tcW w:w="113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Lower Hunter</w:t>
            </w:r>
          </w:p>
        </w:tc>
        <w:tc>
          <w:tcPr>
            <w:tcW w:w="2409"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Residential, semi-rural</w:t>
            </w:r>
          </w:p>
        </w:tc>
        <w:tc>
          <w:tcPr>
            <w:tcW w:w="1985"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Campaign</w:t>
            </w:r>
          </w:p>
        </w:tc>
        <w:tc>
          <w:tcPr>
            <w:tcW w:w="1062"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902"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372" w:type="dxa"/>
            <w:tcBorders>
              <w:top w:val="dotted" w:sz="4" w:space="0" w:color="0070C0"/>
              <w:bottom w:val="dotted" w:sz="4" w:space="0" w:color="0070C0"/>
            </w:tcBorders>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9D5558">
        <w:trPr>
          <w:trHeight w:hRule="exact" w:val="312"/>
          <w:jc w:val="center"/>
        </w:trPr>
        <w:tc>
          <w:tcPr>
            <w:tcW w:w="755" w:type="dxa"/>
            <w:tcBorders>
              <w:top w:val="dotted" w:sz="4" w:space="0" w:color="0070C0"/>
              <w:bottom w:val="dotted" w:sz="4" w:space="0" w:color="0070C0"/>
            </w:tcBorders>
            <w:shd w:val="clear" w:color="auto" w:fill="D9D9D9"/>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NSW_E21</w:t>
            </w:r>
          </w:p>
        </w:tc>
        <w:tc>
          <w:tcPr>
            <w:tcW w:w="92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Newcastle</w:t>
            </w:r>
          </w:p>
        </w:tc>
        <w:tc>
          <w:tcPr>
            <w:tcW w:w="113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Lower Hunter</w:t>
            </w:r>
          </w:p>
        </w:tc>
        <w:tc>
          <w:tcPr>
            <w:tcW w:w="2409"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CBD</w:t>
            </w:r>
          </w:p>
        </w:tc>
        <w:tc>
          <w:tcPr>
            <w:tcW w:w="1985"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Trend</w:t>
            </w:r>
          </w:p>
        </w:tc>
        <w:tc>
          <w:tcPr>
            <w:tcW w:w="1062"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902"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372" w:type="dxa"/>
            <w:tcBorders>
              <w:top w:val="dotted" w:sz="4" w:space="0" w:color="0070C0"/>
              <w:bottom w:val="dotted" w:sz="4" w:space="0" w:color="0070C0"/>
            </w:tcBorders>
            <w:shd w:val="clear" w:color="auto" w:fill="D9D9D9"/>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F23491">
        <w:trPr>
          <w:trHeight w:hRule="exact" w:val="312"/>
          <w:jc w:val="center"/>
        </w:trPr>
        <w:tc>
          <w:tcPr>
            <w:tcW w:w="755" w:type="dxa"/>
            <w:tcBorders>
              <w:top w:val="dotted" w:sz="4" w:space="0" w:color="0070C0"/>
              <w:bottom w:val="dotted" w:sz="4" w:space="0" w:color="0070C0"/>
            </w:tcBorders>
            <w:shd w:val="clear" w:color="auto" w:fill="auto"/>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NSW_E22</w:t>
            </w:r>
          </w:p>
        </w:tc>
        <w:tc>
          <w:tcPr>
            <w:tcW w:w="92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Wallsend</w:t>
            </w:r>
          </w:p>
        </w:tc>
        <w:tc>
          <w:tcPr>
            <w:tcW w:w="113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Lower Hunter</w:t>
            </w:r>
          </w:p>
        </w:tc>
        <w:tc>
          <w:tcPr>
            <w:tcW w:w="2409"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Residential</w:t>
            </w:r>
          </w:p>
        </w:tc>
        <w:tc>
          <w:tcPr>
            <w:tcW w:w="1985"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1062"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902"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372" w:type="dxa"/>
            <w:tcBorders>
              <w:top w:val="dotted" w:sz="4" w:space="0" w:color="0070C0"/>
              <w:bottom w:val="dotted" w:sz="4" w:space="0" w:color="0070C0"/>
            </w:tcBorders>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9D5558">
        <w:trPr>
          <w:trHeight w:hRule="exact" w:val="312"/>
          <w:jc w:val="center"/>
        </w:trPr>
        <w:tc>
          <w:tcPr>
            <w:tcW w:w="755" w:type="dxa"/>
            <w:tcBorders>
              <w:top w:val="dotted" w:sz="4" w:space="0" w:color="0070C0"/>
              <w:bottom w:val="dotted" w:sz="4" w:space="0" w:color="0070C0"/>
            </w:tcBorders>
            <w:shd w:val="clear" w:color="auto" w:fill="D9D9D9"/>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NSW_E23</w:t>
            </w:r>
          </w:p>
        </w:tc>
        <w:tc>
          <w:tcPr>
            <w:tcW w:w="92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Aberdeen</w:t>
            </w:r>
          </w:p>
        </w:tc>
        <w:tc>
          <w:tcPr>
            <w:tcW w:w="113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Upper Hunter</w:t>
            </w:r>
          </w:p>
        </w:tc>
        <w:tc>
          <w:tcPr>
            <w:tcW w:w="2409"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Rural – coal mining</w:t>
            </w:r>
          </w:p>
        </w:tc>
        <w:tc>
          <w:tcPr>
            <w:tcW w:w="1985"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 xml:space="preserve">Campaign </w:t>
            </w:r>
            <w:r w:rsidR="00731A02" w:rsidRPr="006F1D04">
              <w:rPr>
                <w:rFonts w:ascii="Arial" w:hAnsi="Arial" w:cs="Arial"/>
                <w:color w:val="000000"/>
                <w:sz w:val="14"/>
                <w:szCs w:val="14"/>
              </w:rPr>
              <w:t>–</w:t>
            </w:r>
            <w:r w:rsidRPr="006F1D04">
              <w:rPr>
                <w:rFonts w:ascii="Arial" w:hAnsi="Arial" w:cs="Arial"/>
                <w:color w:val="000000"/>
                <w:sz w:val="14"/>
                <w:szCs w:val="14"/>
              </w:rPr>
              <w:t xml:space="preserve"> UHAQMN</w:t>
            </w:r>
          </w:p>
        </w:tc>
        <w:tc>
          <w:tcPr>
            <w:tcW w:w="1062"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372" w:type="dxa"/>
            <w:tcBorders>
              <w:top w:val="dotted" w:sz="4" w:space="0" w:color="0070C0"/>
              <w:bottom w:val="dotted" w:sz="4" w:space="0" w:color="0070C0"/>
            </w:tcBorders>
            <w:shd w:val="clear" w:color="auto" w:fill="D9D9D9"/>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9D5558">
        <w:trPr>
          <w:trHeight w:hRule="exact" w:val="312"/>
          <w:jc w:val="center"/>
        </w:trPr>
        <w:tc>
          <w:tcPr>
            <w:tcW w:w="755" w:type="dxa"/>
            <w:tcBorders>
              <w:top w:val="dotted" w:sz="4" w:space="0" w:color="0070C0"/>
              <w:bottom w:val="dotted" w:sz="4" w:space="0" w:color="0070C0"/>
            </w:tcBorders>
            <w:shd w:val="clear" w:color="auto" w:fill="D9D9D9"/>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NSW_E24</w:t>
            </w:r>
          </w:p>
        </w:tc>
        <w:tc>
          <w:tcPr>
            <w:tcW w:w="92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Bulga</w:t>
            </w:r>
          </w:p>
        </w:tc>
        <w:tc>
          <w:tcPr>
            <w:tcW w:w="113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Upper Hunter</w:t>
            </w:r>
          </w:p>
        </w:tc>
        <w:tc>
          <w:tcPr>
            <w:tcW w:w="2409"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Rural – coal mining</w:t>
            </w:r>
          </w:p>
        </w:tc>
        <w:tc>
          <w:tcPr>
            <w:tcW w:w="1985"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Campaign – UHAQMN</w:t>
            </w:r>
          </w:p>
        </w:tc>
        <w:tc>
          <w:tcPr>
            <w:tcW w:w="1062"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372" w:type="dxa"/>
            <w:tcBorders>
              <w:top w:val="dotted" w:sz="4" w:space="0" w:color="0070C0"/>
              <w:bottom w:val="dotted" w:sz="4" w:space="0" w:color="0070C0"/>
            </w:tcBorders>
            <w:shd w:val="clear" w:color="auto" w:fill="D9D9D9"/>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9D5558">
        <w:trPr>
          <w:trHeight w:hRule="exact" w:val="312"/>
          <w:jc w:val="center"/>
        </w:trPr>
        <w:tc>
          <w:tcPr>
            <w:tcW w:w="755" w:type="dxa"/>
            <w:tcBorders>
              <w:top w:val="dotted" w:sz="4" w:space="0" w:color="0070C0"/>
              <w:bottom w:val="dotted" w:sz="4" w:space="0" w:color="0070C0"/>
            </w:tcBorders>
            <w:shd w:val="clear" w:color="auto" w:fill="D9D9D9"/>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NSW_E25</w:t>
            </w:r>
          </w:p>
        </w:tc>
        <w:tc>
          <w:tcPr>
            <w:tcW w:w="92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Camberwell</w:t>
            </w:r>
          </w:p>
        </w:tc>
        <w:tc>
          <w:tcPr>
            <w:tcW w:w="113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Upper Hunter</w:t>
            </w:r>
          </w:p>
        </w:tc>
        <w:tc>
          <w:tcPr>
            <w:tcW w:w="2409"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Rural – coal mining</w:t>
            </w:r>
          </w:p>
        </w:tc>
        <w:tc>
          <w:tcPr>
            <w:tcW w:w="1985"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Campaign – UHAQMN</w:t>
            </w:r>
          </w:p>
        </w:tc>
        <w:tc>
          <w:tcPr>
            <w:tcW w:w="1062"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372" w:type="dxa"/>
            <w:tcBorders>
              <w:top w:val="dotted" w:sz="4" w:space="0" w:color="0070C0"/>
              <w:bottom w:val="dotted" w:sz="4" w:space="0" w:color="0070C0"/>
            </w:tcBorders>
            <w:shd w:val="clear" w:color="auto" w:fill="D9D9D9"/>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TEOM/BAM</w:t>
            </w:r>
          </w:p>
        </w:tc>
      </w:tr>
      <w:tr w:rsidR="00074407" w:rsidRPr="006F1D04" w:rsidTr="009D5558">
        <w:trPr>
          <w:trHeight w:hRule="exact" w:val="312"/>
          <w:jc w:val="center"/>
        </w:trPr>
        <w:tc>
          <w:tcPr>
            <w:tcW w:w="755" w:type="dxa"/>
            <w:tcBorders>
              <w:top w:val="dotted" w:sz="4" w:space="0" w:color="0070C0"/>
              <w:bottom w:val="dotted" w:sz="4" w:space="0" w:color="0070C0"/>
            </w:tcBorders>
            <w:shd w:val="clear" w:color="auto" w:fill="D9D9D9"/>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NSW_E26</w:t>
            </w:r>
          </w:p>
        </w:tc>
        <w:tc>
          <w:tcPr>
            <w:tcW w:w="92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proofErr w:type="spellStart"/>
            <w:r w:rsidRPr="006F1D04">
              <w:rPr>
                <w:rFonts w:ascii="Arial" w:hAnsi="Arial" w:cs="Arial"/>
                <w:color w:val="000000"/>
                <w:sz w:val="14"/>
                <w:szCs w:val="14"/>
              </w:rPr>
              <w:t>Jerrys</w:t>
            </w:r>
            <w:proofErr w:type="spellEnd"/>
            <w:r w:rsidRPr="006F1D04">
              <w:rPr>
                <w:rFonts w:ascii="Arial" w:hAnsi="Arial" w:cs="Arial"/>
                <w:color w:val="000000"/>
                <w:sz w:val="14"/>
                <w:szCs w:val="14"/>
              </w:rPr>
              <w:t xml:space="preserve"> Plains</w:t>
            </w:r>
          </w:p>
        </w:tc>
        <w:tc>
          <w:tcPr>
            <w:tcW w:w="113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Upper Hunter</w:t>
            </w:r>
          </w:p>
        </w:tc>
        <w:tc>
          <w:tcPr>
            <w:tcW w:w="2409"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Rural – coal mining</w:t>
            </w:r>
          </w:p>
        </w:tc>
        <w:tc>
          <w:tcPr>
            <w:tcW w:w="1985"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Campaign – UHAQMN</w:t>
            </w:r>
          </w:p>
        </w:tc>
        <w:tc>
          <w:tcPr>
            <w:tcW w:w="1062"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372" w:type="dxa"/>
            <w:tcBorders>
              <w:top w:val="dotted" w:sz="4" w:space="0" w:color="0070C0"/>
              <w:bottom w:val="dotted" w:sz="4" w:space="0" w:color="0070C0"/>
            </w:tcBorders>
            <w:shd w:val="clear" w:color="auto" w:fill="D9D9D9"/>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9D5558">
        <w:trPr>
          <w:trHeight w:hRule="exact" w:val="312"/>
          <w:jc w:val="center"/>
        </w:trPr>
        <w:tc>
          <w:tcPr>
            <w:tcW w:w="755" w:type="dxa"/>
            <w:tcBorders>
              <w:top w:val="dotted" w:sz="4" w:space="0" w:color="0070C0"/>
              <w:bottom w:val="dotted" w:sz="4" w:space="0" w:color="0070C0"/>
            </w:tcBorders>
            <w:shd w:val="clear" w:color="auto" w:fill="D9D9D9"/>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NSW_E27</w:t>
            </w:r>
          </w:p>
        </w:tc>
        <w:tc>
          <w:tcPr>
            <w:tcW w:w="92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 xml:space="preserve">Maison </w:t>
            </w:r>
            <w:proofErr w:type="spellStart"/>
            <w:r w:rsidRPr="006F1D04">
              <w:rPr>
                <w:rFonts w:ascii="Arial" w:hAnsi="Arial" w:cs="Arial"/>
                <w:color w:val="000000"/>
                <w:sz w:val="14"/>
                <w:szCs w:val="14"/>
              </w:rPr>
              <w:t>Dieu</w:t>
            </w:r>
            <w:proofErr w:type="spellEnd"/>
          </w:p>
        </w:tc>
        <w:tc>
          <w:tcPr>
            <w:tcW w:w="113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Upper Hunter</w:t>
            </w:r>
          </w:p>
        </w:tc>
        <w:tc>
          <w:tcPr>
            <w:tcW w:w="2409"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Rural – coal mining</w:t>
            </w:r>
          </w:p>
        </w:tc>
        <w:tc>
          <w:tcPr>
            <w:tcW w:w="1985"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Campaign – UHAQMN</w:t>
            </w:r>
          </w:p>
        </w:tc>
        <w:tc>
          <w:tcPr>
            <w:tcW w:w="1062"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372" w:type="dxa"/>
            <w:tcBorders>
              <w:top w:val="dotted" w:sz="4" w:space="0" w:color="0070C0"/>
              <w:bottom w:val="dotted" w:sz="4" w:space="0" w:color="0070C0"/>
            </w:tcBorders>
            <w:shd w:val="clear" w:color="auto" w:fill="D9D9D9"/>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9D5558">
        <w:trPr>
          <w:trHeight w:hRule="exact" w:val="312"/>
          <w:jc w:val="center"/>
        </w:trPr>
        <w:tc>
          <w:tcPr>
            <w:tcW w:w="755" w:type="dxa"/>
            <w:tcBorders>
              <w:top w:val="dotted" w:sz="4" w:space="0" w:color="0070C0"/>
              <w:bottom w:val="dotted" w:sz="4" w:space="0" w:color="0070C0"/>
            </w:tcBorders>
            <w:shd w:val="clear" w:color="auto" w:fill="D9D9D9"/>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NSW_E28</w:t>
            </w:r>
          </w:p>
        </w:tc>
        <w:tc>
          <w:tcPr>
            <w:tcW w:w="92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Merriwa</w:t>
            </w:r>
          </w:p>
        </w:tc>
        <w:tc>
          <w:tcPr>
            <w:tcW w:w="113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Upper Hunter</w:t>
            </w:r>
          </w:p>
        </w:tc>
        <w:tc>
          <w:tcPr>
            <w:tcW w:w="2409"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Rural – coal mining</w:t>
            </w:r>
          </w:p>
        </w:tc>
        <w:tc>
          <w:tcPr>
            <w:tcW w:w="1985"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Campaign – UHAQMN</w:t>
            </w:r>
          </w:p>
        </w:tc>
        <w:tc>
          <w:tcPr>
            <w:tcW w:w="1062"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372" w:type="dxa"/>
            <w:tcBorders>
              <w:top w:val="dotted" w:sz="4" w:space="0" w:color="0070C0"/>
              <w:bottom w:val="dotted" w:sz="4" w:space="0" w:color="0070C0"/>
            </w:tcBorders>
            <w:shd w:val="clear" w:color="auto" w:fill="D9D9D9"/>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9D5558">
        <w:trPr>
          <w:trHeight w:hRule="exact" w:val="312"/>
          <w:jc w:val="center"/>
        </w:trPr>
        <w:tc>
          <w:tcPr>
            <w:tcW w:w="755" w:type="dxa"/>
            <w:tcBorders>
              <w:top w:val="dotted" w:sz="4" w:space="0" w:color="0070C0"/>
              <w:bottom w:val="dotted" w:sz="4" w:space="0" w:color="0070C0"/>
            </w:tcBorders>
            <w:shd w:val="clear" w:color="auto" w:fill="D9D9D9"/>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lastRenderedPageBreak/>
              <w:t>NSW_E29</w:t>
            </w:r>
          </w:p>
        </w:tc>
        <w:tc>
          <w:tcPr>
            <w:tcW w:w="92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Mt Thorley</w:t>
            </w:r>
          </w:p>
        </w:tc>
        <w:tc>
          <w:tcPr>
            <w:tcW w:w="113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Upper Hunter</w:t>
            </w:r>
          </w:p>
        </w:tc>
        <w:tc>
          <w:tcPr>
            <w:tcW w:w="2409"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Rural – coal mining</w:t>
            </w:r>
          </w:p>
        </w:tc>
        <w:tc>
          <w:tcPr>
            <w:tcW w:w="1985"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Campaign – UHAQMN</w:t>
            </w:r>
          </w:p>
        </w:tc>
        <w:tc>
          <w:tcPr>
            <w:tcW w:w="1062"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372" w:type="dxa"/>
            <w:tcBorders>
              <w:top w:val="dotted" w:sz="4" w:space="0" w:color="0070C0"/>
              <w:bottom w:val="dotted" w:sz="4" w:space="0" w:color="0070C0"/>
            </w:tcBorders>
            <w:shd w:val="clear" w:color="auto" w:fill="D9D9D9"/>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9D5558">
        <w:trPr>
          <w:trHeight w:hRule="exact" w:val="312"/>
          <w:jc w:val="center"/>
        </w:trPr>
        <w:tc>
          <w:tcPr>
            <w:tcW w:w="755" w:type="dxa"/>
            <w:tcBorders>
              <w:top w:val="dotted" w:sz="4" w:space="0" w:color="0070C0"/>
              <w:bottom w:val="dotted" w:sz="4" w:space="0" w:color="0070C0"/>
            </w:tcBorders>
            <w:shd w:val="clear" w:color="auto" w:fill="D9D9D9"/>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NSW_E30</w:t>
            </w:r>
          </w:p>
        </w:tc>
        <w:tc>
          <w:tcPr>
            <w:tcW w:w="92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Muswellbrook</w:t>
            </w:r>
          </w:p>
        </w:tc>
        <w:tc>
          <w:tcPr>
            <w:tcW w:w="113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Upper Hunter</w:t>
            </w:r>
          </w:p>
        </w:tc>
        <w:tc>
          <w:tcPr>
            <w:tcW w:w="2409"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Rural – coal mining</w:t>
            </w:r>
          </w:p>
        </w:tc>
        <w:tc>
          <w:tcPr>
            <w:tcW w:w="1985"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Campaign – UHAQMN</w:t>
            </w:r>
          </w:p>
        </w:tc>
        <w:tc>
          <w:tcPr>
            <w:tcW w:w="1062"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372" w:type="dxa"/>
            <w:tcBorders>
              <w:top w:val="dotted" w:sz="4" w:space="0" w:color="0070C0"/>
              <w:bottom w:val="dotted" w:sz="4" w:space="0" w:color="0070C0"/>
            </w:tcBorders>
            <w:shd w:val="clear" w:color="auto" w:fill="D9D9D9"/>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TEOM/BAM</w:t>
            </w:r>
          </w:p>
        </w:tc>
      </w:tr>
      <w:tr w:rsidR="00074407" w:rsidRPr="006F1D04" w:rsidTr="009D5558">
        <w:trPr>
          <w:trHeight w:hRule="exact" w:val="312"/>
          <w:jc w:val="center"/>
        </w:trPr>
        <w:tc>
          <w:tcPr>
            <w:tcW w:w="755" w:type="dxa"/>
            <w:tcBorders>
              <w:top w:val="dotted" w:sz="4" w:space="0" w:color="0070C0"/>
              <w:bottom w:val="dotted" w:sz="4" w:space="0" w:color="0070C0"/>
            </w:tcBorders>
            <w:shd w:val="clear" w:color="auto" w:fill="D9D9D9"/>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NSW_E31</w:t>
            </w:r>
          </w:p>
        </w:tc>
        <w:tc>
          <w:tcPr>
            <w:tcW w:w="92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Muswellbrook NW</w:t>
            </w:r>
          </w:p>
        </w:tc>
        <w:tc>
          <w:tcPr>
            <w:tcW w:w="113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Upper Hunter</w:t>
            </w:r>
          </w:p>
        </w:tc>
        <w:tc>
          <w:tcPr>
            <w:tcW w:w="2409"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Rural – coal mining</w:t>
            </w:r>
          </w:p>
        </w:tc>
        <w:tc>
          <w:tcPr>
            <w:tcW w:w="1985"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Campaign – UHAQMN</w:t>
            </w:r>
          </w:p>
        </w:tc>
        <w:tc>
          <w:tcPr>
            <w:tcW w:w="1062"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372" w:type="dxa"/>
            <w:tcBorders>
              <w:top w:val="dotted" w:sz="4" w:space="0" w:color="0070C0"/>
              <w:bottom w:val="dotted" w:sz="4" w:space="0" w:color="0070C0"/>
            </w:tcBorders>
            <w:shd w:val="clear" w:color="auto" w:fill="D9D9D9"/>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9D5558">
        <w:trPr>
          <w:trHeight w:hRule="exact" w:val="312"/>
          <w:jc w:val="center"/>
        </w:trPr>
        <w:tc>
          <w:tcPr>
            <w:tcW w:w="755" w:type="dxa"/>
            <w:tcBorders>
              <w:top w:val="dotted" w:sz="4" w:space="0" w:color="0070C0"/>
              <w:bottom w:val="dotted" w:sz="4" w:space="0" w:color="0070C0"/>
            </w:tcBorders>
            <w:shd w:val="clear" w:color="auto" w:fill="D9D9D9"/>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NSW_E32</w:t>
            </w:r>
          </w:p>
        </w:tc>
        <w:tc>
          <w:tcPr>
            <w:tcW w:w="92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Singleton</w:t>
            </w:r>
          </w:p>
        </w:tc>
        <w:tc>
          <w:tcPr>
            <w:tcW w:w="113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Upper Hunter</w:t>
            </w:r>
          </w:p>
        </w:tc>
        <w:tc>
          <w:tcPr>
            <w:tcW w:w="2409"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Rural – coal mining</w:t>
            </w:r>
          </w:p>
        </w:tc>
        <w:tc>
          <w:tcPr>
            <w:tcW w:w="1985"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Campaign – UHAQMN</w:t>
            </w:r>
          </w:p>
        </w:tc>
        <w:tc>
          <w:tcPr>
            <w:tcW w:w="1062"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372" w:type="dxa"/>
            <w:tcBorders>
              <w:top w:val="dotted" w:sz="4" w:space="0" w:color="0070C0"/>
              <w:bottom w:val="dotted" w:sz="4" w:space="0" w:color="0070C0"/>
            </w:tcBorders>
            <w:shd w:val="clear" w:color="auto" w:fill="D9D9D9"/>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TEOM/BAM</w:t>
            </w:r>
          </w:p>
        </w:tc>
      </w:tr>
      <w:tr w:rsidR="00074407" w:rsidRPr="006F1D04" w:rsidTr="009D5558">
        <w:trPr>
          <w:trHeight w:hRule="exact" w:val="312"/>
          <w:jc w:val="center"/>
        </w:trPr>
        <w:tc>
          <w:tcPr>
            <w:tcW w:w="755" w:type="dxa"/>
            <w:tcBorders>
              <w:top w:val="dotted" w:sz="4" w:space="0" w:color="0070C0"/>
              <w:bottom w:val="dotted" w:sz="4" w:space="0" w:color="0070C0"/>
            </w:tcBorders>
            <w:shd w:val="clear" w:color="auto" w:fill="D9D9D9"/>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NSW_E33</w:t>
            </w:r>
          </w:p>
        </w:tc>
        <w:tc>
          <w:tcPr>
            <w:tcW w:w="92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Singleton NW</w:t>
            </w:r>
          </w:p>
        </w:tc>
        <w:tc>
          <w:tcPr>
            <w:tcW w:w="113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Upper Hunter</w:t>
            </w:r>
          </w:p>
        </w:tc>
        <w:tc>
          <w:tcPr>
            <w:tcW w:w="2409"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Rural – coal mining</w:t>
            </w:r>
          </w:p>
        </w:tc>
        <w:tc>
          <w:tcPr>
            <w:tcW w:w="1985"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Campaign – UHAQMN</w:t>
            </w:r>
          </w:p>
        </w:tc>
        <w:tc>
          <w:tcPr>
            <w:tcW w:w="1062"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372" w:type="dxa"/>
            <w:tcBorders>
              <w:top w:val="dotted" w:sz="4" w:space="0" w:color="0070C0"/>
              <w:bottom w:val="dotted" w:sz="4" w:space="0" w:color="0070C0"/>
            </w:tcBorders>
            <w:shd w:val="clear" w:color="auto" w:fill="D9D9D9"/>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9D5558">
        <w:trPr>
          <w:trHeight w:hRule="exact" w:val="312"/>
          <w:jc w:val="center"/>
        </w:trPr>
        <w:tc>
          <w:tcPr>
            <w:tcW w:w="755" w:type="dxa"/>
            <w:tcBorders>
              <w:top w:val="dotted" w:sz="4" w:space="0" w:color="0070C0"/>
              <w:bottom w:val="dotted" w:sz="4" w:space="0" w:color="0070C0"/>
            </w:tcBorders>
            <w:shd w:val="clear" w:color="auto" w:fill="D9D9D9"/>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NSW_E34</w:t>
            </w:r>
          </w:p>
        </w:tc>
        <w:tc>
          <w:tcPr>
            <w:tcW w:w="92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Singleton South</w:t>
            </w:r>
          </w:p>
        </w:tc>
        <w:tc>
          <w:tcPr>
            <w:tcW w:w="113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Upper Hunter</w:t>
            </w:r>
          </w:p>
        </w:tc>
        <w:tc>
          <w:tcPr>
            <w:tcW w:w="2409"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Rural – coal mining</w:t>
            </w:r>
          </w:p>
        </w:tc>
        <w:tc>
          <w:tcPr>
            <w:tcW w:w="1985"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Campaign – UHAQMN</w:t>
            </w:r>
          </w:p>
        </w:tc>
        <w:tc>
          <w:tcPr>
            <w:tcW w:w="1062"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372" w:type="dxa"/>
            <w:tcBorders>
              <w:top w:val="dotted" w:sz="4" w:space="0" w:color="0070C0"/>
              <w:bottom w:val="dotted" w:sz="4" w:space="0" w:color="0070C0"/>
            </w:tcBorders>
            <w:shd w:val="clear" w:color="auto" w:fill="D9D9D9"/>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9D5558">
        <w:trPr>
          <w:trHeight w:hRule="exact" w:val="312"/>
          <w:jc w:val="center"/>
        </w:trPr>
        <w:tc>
          <w:tcPr>
            <w:tcW w:w="755" w:type="dxa"/>
            <w:tcBorders>
              <w:top w:val="dotted" w:sz="4" w:space="0" w:color="0070C0"/>
              <w:bottom w:val="dotted" w:sz="4" w:space="0" w:color="0070C0"/>
            </w:tcBorders>
            <w:shd w:val="clear" w:color="auto" w:fill="D9D9D9"/>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NSW_E35</w:t>
            </w:r>
          </w:p>
        </w:tc>
        <w:tc>
          <w:tcPr>
            <w:tcW w:w="92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Warkworth</w:t>
            </w:r>
          </w:p>
        </w:tc>
        <w:tc>
          <w:tcPr>
            <w:tcW w:w="113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Upper Hunter</w:t>
            </w:r>
          </w:p>
        </w:tc>
        <w:tc>
          <w:tcPr>
            <w:tcW w:w="2409"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Rural – coal mining</w:t>
            </w:r>
          </w:p>
        </w:tc>
        <w:tc>
          <w:tcPr>
            <w:tcW w:w="1985"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Campaign – UHAQMN</w:t>
            </w:r>
          </w:p>
        </w:tc>
        <w:tc>
          <w:tcPr>
            <w:tcW w:w="1062"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372" w:type="dxa"/>
            <w:tcBorders>
              <w:top w:val="dotted" w:sz="4" w:space="0" w:color="0070C0"/>
              <w:bottom w:val="dotted" w:sz="4" w:space="0" w:color="0070C0"/>
            </w:tcBorders>
            <w:shd w:val="clear" w:color="auto" w:fill="D9D9D9"/>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9D5558">
        <w:trPr>
          <w:trHeight w:hRule="exact" w:val="312"/>
          <w:jc w:val="center"/>
        </w:trPr>
        <w:tc>
          <w:tcPr>
            <w:tcW w:w="755" w:type="dxa"/>
            <w:tcBorders>
              <w:top w:val="dotted" w:sz="4" w:space="0" w:color="0070C0"/>
              <w:bottom w:val="dotted" w:sz="4" w:space="0" w:color="0070C0"/>
            </w:tcBorders>
            <w:shd w:val="clear" w:color="auto" w:fill="D9D9D9"/>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NSW_E36</w:t>
            </w:r>
          </w:p>
        </w:tc>
        <w:tc>
          <w:tcPr>
            <w:tcW w:w="92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Wybong</w:t>
            </w:r>
          </w:p>
        </w:tc>
        <w:tc>
          <w:tcPr>
            <w:tcW w:w="113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Upper Hunter</w:t>
            </w:r>
          </w:p>
        </w:tc>
        <w:tc>
          <w:tcPr>
            <w:tcW w:w="2409"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Rural – coal mining</w:t>
            </w:r>
          </w:p>
        </w:tc>
        <w:tc>
          <w:tcPr>
            <w:tcW w:w="1985"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 xml:space="preserve">Campaign </w:t>
            </w:r>
            <w:r w:rsidR="00B63885" w:rsidRPr="006F1D04">
              <w:rPr>
                <w:rFonts w:ascii="Arial" w:hAnsi="Arial" w:cs="Arial"/>
                <w:color w:val="000000"/>
                <w:sz w:val="14"/>
                <w:szCs w:val="14"/>
              </w:rPr>
              <w:t>–</w:t>
            </w:r>
            <w:r w:rsidRPr="006F1D04">
              <w:rPr>
                <w:rFonts w:ascii="Arial" w:hAnsi="Arial" w:cs="Arial"/>
                <w:color w:val="000000"/>
                <w:sz w:val="14"/>
                <w:szCs w:val="14"/>
              </w:rPr>
              <w:t xml:space="preserve"> UHAQMN</w:t>
            </w:r>
          </w:p>
        </w:tc>
        <w:tc>
          <w:tcPr>
            <w:tcW w:w="1062"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372" w:type="dxa"/>
            <w:tcBorders>
              <w:top w:val="dotted" w:sz="4" w:space="0" w:color="0070C0"/>
              <w:bottom w:val="dotted" w:sz="4" w:space="0" w:color="0070C0"/>
            </w:tcBorders>
            <w:shd w:val="clear" w:color="auto" w:fill="D9D9D9"/>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9D5558">
        <w:trPr>
          <w:trHeight w:hRule="exact" w:val="312"/>
          <w:jc w:val="center"/>
        </w:trPr>
        <w:tc>
          <w:tcPr>
            <w:tcW w:w="755" w:type="dxa"/>
            <w:tcBorders>
              <w:top w:val="dotted" w:sz="4" w:space="0" w:color="0070C0"/>
              <w:bottom w:val="dotted" w:sz="4" w:space="0" w:color="0070C0"/>
            </w:tcBorders>
            <w:shd w:val="clear" w:color="auto" w:fill="D9D9D9"/>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NSW_E37</w:t>
            </w:r>
          </w:p>
        </w:tc>
        <w:tc>
          <w:tcPr>
            <w:tcW w:w="92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Albion Park</w:t>
            </w:r>
          </w:p>
        </w:tc>
        <w:tc>
          <w:tcPr>
            <w:tcW w:w="113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Illawarra</w:t>
            </w:r>
          </w:p>
        </w:tc>
        <w:tc>
          <w:tcPr>
            <w:tcW w:w="2409"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Semi-rural</w:t>
            </w:r>
          </w:p>
        </w:tc>
        <w:tc>
          <w:tcPr>
            <w:tcW w:w="1985"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Performance</w:t>
            </w:r>
          </w:p>
        </w:tc>
        <w:tc>
          <w:tcPr>
            <w:tcW w:w="1062"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902"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372" w:type="dxa"/>
            <w:tcBorders>
              <w:top w:val="dotted" w:sz="4" w:space="0" w:color="0070C0"/>
              <w:bottom w:val="dotted" w:sz="4" w:space="0" w:color="0070C0"/>
            </w:tcBorders>
            <w:shd w:val="clear" w:color="auto" w:fill="D9D9D9"/>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9D5558">
        <w:trPr>
          <w:trHeight w:hRule="exact" w:val="312"/>
          <w:jc w:val="center"/>
        </w:trPr>
        <w:tc>
          <w:tcPr>
            <w:tcW w:w="755" w:type="dxa"/>
            <w:tcBorders>
              <w:top w:val="dotted" w:sz="4" w:space="0" w:color="0070C0"/>
              <w:bottom w:val="dotted" w:sz="4" w:space="0" w:color="0070C0"/>
            </w:tcBorders>
            <w:shd w:val="clear" w:color="auto" w:fill="D9D9D9"/>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NSW_E38</w:t>
            </w:r>
          </w:p>
        </w:tc>
        <w:tc>
          <w:tcPr>
            <w:tcW w:w="92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Albion Park South</w:t>
            </w:r>
          </w:p>
        </w:tc>
        <w:tc>
          <w:tcPr>
            <w:tcW w:w="113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Illawarra</w:t>
            </w:r>
          </w:p>
        </w:tc>
        <w:tc>
          <w:tcPr>
            <w:tcW w:w="2409"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Semi-rural</w:t>
            </w:r>
          </w:p>
        </w:tc>
        <w:tc>
          <w:tcPr>
            <w:tcW w:w="1985"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Performance</w:t>
            </w:r>
          </w:p>
        </w:tc>
        <w:tc>
          <w:tcPr>
            <w:tcW w:w="1062"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902"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372" w:type="dxa"/>
            <w:tcBorders>
              <w:top w:val="dotted" w:sz="4" w:space="0" w:color="0070C0"/>
              <w:bottom w:val="dotted" w:sz="4" w:space="0" w:color="0070C0"/>
            </w:tcBorders>
            <w:shd w:val="clear" w:color="auto" w:fill="D9D9D9"/>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F23491">
        <w:trPr>
          <w:trHeight w:hRule="exact" w:val="312"/>
          <w:jc w:val="center"/>
        </w:trPr>
        <w:tc>
          <w:tcPr>
            <w:tcW w:w="755" w:type="dxa"/>
            <w:tcBorders>
              <w:top w:val="dotted" w:sz="4" w:space="0" w:color="0070C0"/>
              <w:bottom w:val="dotted" w:sz="4" w:space="0" w:color="0070C0"/>
            </w:tcBorders>
            <w:shd w:val="clear" w:color="auto" w:fill="auto"/>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NSW_E39</w:t>
            </w:r>
          </w:p>
        </w:tc>
        <w:tc>
          <w:tcPr>
            <w:tcW w:w="92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Kembla Grange</w:t>
            </w:r>
          </w:p>
        </w:tc>
        <w:tc>
          <w:tcPr>
            <w:tcW w:w="113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Illawarra</w:t>
            </w:r>
          </w:p>
        </w:tc>
        <w:tc>
          <w:tcPr>
            <w:tcW w:w="2409"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Residential</w:t>
            </w:r>
          </w:p>
        </w:tc>
        <w:tc>
          <w:tcPr>
            <w:tcW w:w="1985"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Performance</w:t>
            </w:r>
          </w:p>
        </w:tc>
        <w:tc>
          <w:tcPr>
            <w:tcW w:w="1062"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902"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372" w:type="dxa"/>
            <w:tcBorders>
              <w:top w:val="dotted" w:sz="4" w:space="0" w:color="0070C0"/>
              <w:bottom w:val="dotted" w:sz="4" w:space="0" w:color="0070C0"/>
            </w:tcBorders>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9D5558">
        <w:trPr>
          <w:trHeight w:hRule="exact" w:val="312"/>
          <w:jc w:val="center"/>
        </w:trPr>
        <w:tc>
          <w:tcPr>
            <w:tcW w:w="755" w:type="dxa"/>
            <w:tcBorders>
              <w:top w:val="dotted" w:sz="4" w:space="0" w:color="0070C0"/>
              <w:bottom w:val="dotted" w:sz="4" w:space="0" w:color="0070C0"/>
            </w:tcBorders>
            <w:shd w:val="clear" w:color="auto" w:fill="D9D9D9"/>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NSW_E40</w:t>
            </w:r>
          </w:p>
        </w:tc>
        <w:tc>
          <w:tcPr>
            <w:tcW w:w="92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Warrawong</w:t>
            </w:r>
          </w:p>
        </w:tc>
        <w:tc>
          <w:tcPr>
            <w:tcW w:w="1134"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Illawarra</w:t>
            </w:r>
          </w:p>
        </w:tc>
        <w:tc>
          <w:tcPr>
            <w:tcW w:w="2409"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Residential/industrial</w:t>
            </w:r>
          </w:p>
        </w:tc>
        <w:tc>
          <w:tcPr>
            <w:tcW w:w="1985"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1062" w:type="dxa"/>
            <w:tcBorders>
              <w:top w:val="dotted" w:sz="4" w:space="0" w:color="0070C0"/>
              <w:bottom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372" w:type="dxa"/>
            <w:tcBorders>
              <w:top w:val="dotted" w:sz="4" w:space="0" w:color="0070C0"/>
              <w:bottom w:val="dotted" w:sz="4" w:space="0" w:color="0070C0"/>
            </w:tcBorders>
            <w:shd w:val="clear" w:color="auto" w:fill="D9D9D9"/>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DC2F53">
        <w:trPr>
          <w:trHeight w:hRule="exact" w:val="312"/>
          <w:jc w:val="center"/>
        </w:trPr>
        <w:tc>
          <w:tcPr>
            <w:tcW w:w="755" w:type="dxa"/>
            <w:tcBorders>
              <w:top w:val="dotted" w:sz="4" w:space="0" w:color="0070C0"/>
              <w:bottom w:val="dotted" w:sz="4" w:space="0" w:color="0070C0"/>
            </w:tcBorders>
            <w:shd w:val="clear" w:color="auto" w:fill="auto"/>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NSW_E41</w:t>
            </w:r>
          </w:p>
        </w:tc>
        <w:tc>
          <w:tcPr>
            <w:tcW w:w="92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Wollongong</w:t>
            </w:r>
          </w:p>
        </w:tc>
        <w:tc>
          <w:tcPr>
            <w:tcW w:w="113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Illawarra</w:t>
            </w:r>
          </w:p>
        </w:tc>
        <w:tc>
          <w:tcPr>
            <w:tcW w:w="2409"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CBD</w:t>
            </w:r>
          </w:p>
        </w:tc>
        <w:tc>
          <w:tcPr>
            <w:tcW w:w="1985"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Trend</w:t>
            </w:r>
          </w:p>
        </w:tc>
        <w:tc>
          <w:tcPr>
            <w:tcW w:w="1062"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902"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372" w:type="dxa"/>
            <w:tcBorders>
              <w:top w:val="dotted" w:sz="4" w:space="0" w:color="0070C0"/>
              <w:bottom w:val="dotted" w:sz="4" w:space="0" w:color="0070C0"/>
            </w:tcBorders>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TEOM/BAM</w:t>
            </w:r>
          </w:p>
        </w:tc>
      </w:tr>
      <w:tr w:rsidR="00074407" w:rsidRPr="006F1D04" w:rsidTr="00DC2F53">
        <w:trPr>
          <w:trHeight w:hRule="exact" w:val="312"/>
          <w:jc w:val="center"/>
        </w:trPr>
        <w:tc>
          <w:tcPr>
            <w:tcW w:w="755" w:type="dxa"/>
            <w:tcBorders>
              <w:top w:val="dotted" w:sz="4" w:space="0" w:color="0070C0"/>
              <w:bottom w:val="dotted" w:sz="4" w:space="0" w:color="0070C0"/>
            </w:tcBorders>
            <w:shd w:val="clear" w:color="auto" w:fill="auto"/>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NSW_E42</w:t>
            </w:r>
          </w:p>
        </w:tc>
        <w:tc>
          <w:tcPr>
            <w:tcW w:w="92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Albury</w:t>
            </w:r>
          </w:p>
        </w:tc>
        <w:tc>
          <w:tcPr>
            <w:tcW w:w="113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Regional NSW</w:t>
            </w:r>
          </w:p>
        </w:tc>
        <w:tc>
          <w:tcPr>
            <w:tcW w:w="2409"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Rural</w:t>
            </w:r>
          </w:p>
        </w:tc>
        <w:tc>
          <w:tcPr>
            <w:tcW w:w="1985"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Campaign – Pop. exposure</w:t>
            </w:r>
          </w:p>
        </w:tc>
        <w:tc>
          <w:tcPr>
            <w:tcW w:w="1062"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372" w:type="dxa"/>
            <w:tcBorders>
              <w:top w:val="dotted" w:sz="4" w:space="0" w:color="0070C0"/>
              <w:bottom w:val="dotted" w:sz="4" w:space="0" w:color="0070C0"/>
            </w:tcBorders>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DC2F53">
        <w:trPr>
          <w:trHeight w:hRule="exact" w:val="312"/>
          <w:jc w:val="center"/>
        </w:trPr>
        <w:tc>
          <w:tcPr>
            <w:tcW w:w="755" w:type="dxa"/>
            <w:tcBorders>
              <w:top w:val="dotted" w:sz="4" w:space="0" w:color="0070C0"/>
              <w:bottom w:val="dotted" w:sz="4" w:space="0" w:color="0070C0"/>
            </w:tcBorders>
            <w:shd w:val="clear" w:color="auto" w:fill="auto"/>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NSW_E43</w:t>
            </w:r>
          </w:p>
        </w:tc>
        <w:tc>
          <w:tcPr>
            <w:tcW w:w="92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Bathurst</w:t>
            </w:r>
          </w:p>
        </w:tc>
        <w:tc>
          <w:tcPr>
            <w:tcW w:w="113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Regional NSW</w:t>
            </w:r>
          </w:p>
        </w:tc>
        <w:tc>
          <w:tcPr>
            <w:tcW w:w="2409"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Rural</w:t>
            </w:r>
          </w:p>
        </w:tc>
        <w:tc>
          <w:tcPr>
            <w:tcW w:w="1985"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Campaign – Pop. Exposure</w:t>
            </w:r>
          </w:p>
        </w:tc>
        <w:tc>
          <w:tcPr>
            <w:tcW w:w="1062"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372" w:type="dxa"/>
            <w:tcBorders>
              <w:top w:val="dotted" w:sz="4" w:space="0" w:color="0070C0"/>
              <w:bottom w:val="dotted" w:sz="4" w:space="0" w:color="0070C0"/>
            </w:tcBorders>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DC2F53">
        <w:trPr>
          <w:trHeight w:hRule="exact" w:val="312"/>
          <w:jc w:val="center"/>
        </w:trPr>
        <w:tc>
          <w:tcPr>
            <w:tcW w:w="755" w:type="dxa"/>
            <w:tcBorders>
              <w:top w:val="dotted" w:sz="4" w:space="0" w:color="0070C0"/>
              <w:bottom w:val="dotted" w:sz="4" w:space="0" w:color="0070C0"/>
            </w:tcBorders>
            <w:shd w:val="clear" w:color="auto" w:fill="auto"/>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NSW_E46</w:t>
            </w:r>
          </w:p>
        </w:tc>
        <w:tc>
          <w:tcPr>
            <w:tcW w:w="92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Tamworth</w:t>
            </w:r>
          </w:p>
        </w:tc>
        <w:tc>
          <w:tcPr>
            <w:tcW w:w="113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Regional NSW</w:t>
            </w:r>
          </w:p>
        </w:tc>
        <w:tc>
          <w:tcPr>
            <w:tcW w:w="2409"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Rural</w:t>
            </w:r>
          </w:p>
        </w:tc>
        <w:tc>
          <w:tcPr>
            <w:tcW w:w="1985"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Campaign – Pop. Exposure</w:t>
            </w:r>
          </w:p>
        </w:tc>
        <w:tc>
          <w:tcPr>
            <w:tcW w:w="1062"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372" w:type="dxa"/>
            <w:tcBorders>
              <w:top w:val="dotted" w:sz="4" w:space="0" w:color="0070C0"/>
              <w:bottom w:val="dotted" w:sz="4" w:space="0" w:color="0070C0"/>
            </w:tcBorders>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F23491">
        <w:trPr>
          <w:trHeight w:hRule="exact" w:val="312"/>
          <w:jc w:val="center"/>
        </w:trPr>
        <w:tc>
          <w:tcPr>
            <w:tcW w:w="755" w:type="dxa"/>
            <w:tcBorders>
              <w:top w:val="dotted" w:sz="4" w:space="0" w:color="0070C0"/>
              <w:bottom w:val="dotted" w:sz="4" w:space="0" w:color="0070C0"/>
            </w:tcBorders>
            <w:shd w:val="clear" w:color="auto" w:fill="auto"/>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NSW_E47</w:t>
            </w:r>
          </w:p>
        </w:tc>
        <w:tc>
          <w:tcPr>
            <w:tcW w:w="92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Wagga Wagga</w:t>
            </w:r>
          </w:p>
        </w:tc>
        <w:tc>
          <w:tcPr>
            <w:tcW w:w="113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Regional NSW</w:t>
            </w:r>
          </w:p>
        </w:tc>
        <w:tc>
          <w:tcPr>
            <w:tcW w:w="2409"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Rural</w:t>
            </w:r>
          </w:p>
        </w:tc>
        <w:tc>
          <w:tcPr>
            <w:tcW w:w="1985"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1062"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372" w:type="dxa"/>
            <w:tcBorders>
              <w:top w:val="dotted" w:sz="4" w:space="0" w:color="0070C0"/>
              <w:bottom w:val="dotted" w:sz="4" w:space="0" w:color="0070C0"/>
            </w:tcBorders>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074407" w:rsidRPr="006F1D04" w:rsidTr="009D5558">
        <w:trPr>
          <w:trHeight w:hRule="exact" w:val="312"/>
          <w:jc w:val="center"/>
        </w:trPr>
        <w:tc>
          <w:tcPr>
            <w:tcW w:w="755" w:type="dxa"/>
            <w:tcBorders>
              <w:top w:val="dotted" w:sz="4" w:space="0" w:color="0070C0"/>
            </w:tcBorders>
            <w:shd w:val="clear" w:color="auto" w:fill="D9D9D9"/>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NSW_E48</w:t>
            </w:r>
          </w:p>
        </w:tc>
        <w:tc>
          <w:tcPr>
            <w:tcW w:w="924" w:type="dxa"/>
            <w:tcBorders>
              <w:top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 EPA</w:t>
            </w:r>
          </w:p>
        </w:tc>
        <w:tc>
          <w:tcPr>
            <w:tcW w:w="1344" w:type="dxa"/>
            <w:tcBorders>
              <w:top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Wagga Wagga N</w:t>
            </w:r>
          </w:p>
        </w:tc>
        <w:tc>
          <w:tcPr>
            <w:tcW w:w="1134" w:type="dxa"/>
            <w:tcBorders>
              <w:top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Regional NSW</w:t>
            </w:r>
          </w:p>
        </w:tc>
        <w:tc>
          <w:tcPr>
            <w:tcW w:w="2409" w:type="dxa"/>
            <w:tcBorders>
              <w:top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Rural</w:t>
            </w:r>
          </w:p>
        </w:tc>
        <w:tc>
          <w:tcPr>
            <w:tcW w:w="1985" w:type="dxa"/>
            <w:tcBorders>
              <w:top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Campaign – Pop. exposure</w:t>
            </w:r>
          </w:p>
        </w:tc>
        <w:tc>
          <w:tcPr>
            <w:tcW w:w="1062" w:type="dxa"/>
            <w:tcBorders>
              <w:top w:val="dotted" w:sz="4" w:space="0" w:color="0070C0"/>
            </w:tcBorders>
            <w:shd w:val="clear" w:color="auto" w:fill="D9D9D9"/>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top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941" w:type="dxa"/>
            <w:tcBorders>
              <w:top w:val="dotted" w:sz="4" w:space="0" w:color="0070C0"/>
            </w:tcBorders>
            <w:shd w:val="clear" w:color="auto" w:fill="D9D9D9"/>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372" w:type="dxa"/>
            <w:tcBorders>
              <w:top w:val="dotted" w:sz="4" w:space="0" w:color="0070C0"/>
            </w:tcBorders>
            <w:shd w:val="clear" w:color="auto" w:fill="D9D9D9"/>
            <w:vAlign w:val="center"/>
          </w:tcPr>
          <w:p w:rsidR="00074407" w:rsidRPr="006F1D04" w:rsidRDefault="00074407" w:rsidP="00074407">
            <w:pPr>
              <w:spacing w:after="0" w:line="240" w:lineRule="auto"/>
              <w:jc w:val="center"/>
              <w:rPr>
                <w:rFonts w:ascii="Arial" w:hAnsi="Arial" w:cs="Arial"/>
                <w:color w:val="000000"/>
                <w:sz w:val="14"/>
                <w:szCs w:val="14"/>
              </w:rPr>
            </w:pPr>
            <w:r w:rsidRPr="006F1D04">
              <w:rPr>
                <w:rFonts w:ascii="Arial" w:hAnsi="Arial" w:cs="Arial"/>
                <w:color w:val="000000"/>
                <w:sz w:val="14"/>
                <w:szCs w:val="14"/>
              </w:rPr>
              <w:t>TEOM/BAM</w:t>
            </w:r>
          </w:p>
        </w:tc>
      </w:tr>
      <w:tr w:rsidR="00074407" w:rsidRPr="006F1D04" w:rsidTr="00DC2F53">
        <w:trPr>
          <w:trHeight w:hRule="exact" w:val="312"/>
          <w:jc w:val="center"/>
        </w:trPr>
        <w:tc>
          <w:tcPr>
            <w:tcW w:w="755" w:type="dxa"/>
            <w:tcBorders>
              <w:bottom w:val="dotted" w:sz="4" w:space="0" w:color="0070C0"/>
            </w:tcBorders>
            <w:shd w:val="clear" w:color="auto" w:fill="auto"/>
            <w:noWrap/>
            <w:vAlign w:val="center"/>
          </w:tcPr>
          <w:p w:rsidR="00074407" w:rsidRPr="006F1D04" w:rsidRDefault="00074407" w:rsidP="00D13376">
            <w:pPr>
              <w:spacing w:after="0" w:line="240" w:lineRule="auto"/>
              <w:jc w:val="center"/>
              <w:rPr>
                <w:rFonts w:ascii="Arial" w:hAnsi="Arial" w:cs="Arial"/>
                <w:color w:val="000000"/>
                <w:sz w:val="14"/>
                <w:szCs w:val="14"/>
              </w:rPr>
            </w:pPr>
            <w:r w:rsidRPr="006F1D04">
              <w:rPr>
                <w:rFonts w:ascii="Arial" w:hAnsi="Arial" w:cs="Arial"/>
                <w:color w:val="000000"/>
                <w:sz w:val="14"/>
                <w:szCs w:val="14"/>
              </w:rPr>
              <w:t>NSW_A01</w:t>
            </w:r>
          </w:p>
        </w:tc>
        <w:tc>
          <w:tcPr>
            <w:tcW w:w="924" w:type="dxa"/>
            <w:tcBorders>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ANSTO</w:t>
            </w:r>
          </w:p>
        </w:tc>
        <w:tc>
          <w:tcPr>
            <w:tcW w:w="1344" w:type="dxa"/>
            <w:tcBorders>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Liverpool</w:t>
            </w:r>
          </w:p>
        </w:tc>
        <w:tc>
          <w:tcPr>
            <w:tcW w:w="1134" w:type="dxa"/>
            <w:tcBorders>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Sydney</w:t>
            </w:r>
          </w:p>
        </w:tc>
        <w:tc>
          <w:tcPr>
            <w:tcW w:w="2409" w:type="dxa"/>
            <w:tcBorders>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Urban/industrial</w:t>
            </w:r>
          </w:p>
        </w:tc>
        <w:tc>
          <w:tcPr>
            <w:tcW w:w="1985" w:type="dxa"/>
            <w:tcBorders>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 xml:space="preserve">Campaign </w:t>
            </w:r>
            <w:r w:rsidR="00B63885" w:rsidRPr="006F1D04">
              <w:rPr>
                <w:rFonts w:ascii="Arial" w:hAnsi="Arial" w:cs="Arial"/>
                <w:color w:val="000000"/>
                <w:sz w:val="14"/>
                <w:szCs w:val="14"/>
              </w:rPr>
              <w:t>–</w:t>
            </w:r>
            <w:r w:rsidRPr="006F1D04">
              <w:rPr>
                <w:rFonts w:ascii="Arial" w:hAnsi="Arial" w:cs="Arial"/>
                <w:color w:val="000000"/>
                <w:sz w:val="14"/>
                <w:szCs w:val="14"/>
              </w:rPr>
              <w:t xml:space="preserve"> Research</w:t>
            </w:r>
          </w:p>
        </w:tc>
        <w:tc>
          <w:tcPr>
            <w:tcW w:w="1062" w:type="dxa"/>
            <w:tcBorders>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941" w:type="dxa"/>
            <w:tcBorders>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372" w:type="dxa"/>
            <w:tcBorders>
              <w:bottom w:val="dotted" w:sz="4" w:space="0" w:color="0070C0"/>
            </w:tcBorders>
            <w:vAlign w:val="center"/>
          </w:tcPr>
          <w:p w:rsidR="00074407" w:rsidRPr="006F1D04" w:rsidRDefault="00074407" w:rsidP="00074407">
            <w:pPr>
              <w:spacing w:after="0" w:line="240" w:lineRule="auto"/>
              <w:jc w:val="center"/>
              <w:rPr>
                <w:rFonts w:ascii="Arial" w:hAnsi="Arial" w:cs="Arial"/>
                <w:color w:val="000000"/>
                <w:sz w:val="14"/>
                <w:szCs w:val="14"/>
              </w:rPr>
            </w:pPr>
            <w:proofErr w:type="spellStart"/>
            <w:r w:rsidRPr="006F1D04">
              <w:rPr>
                <w:rFonts w:ascii="Arial" w:hAnsi="Arial" w:cs="Arial"/>
                <w:color w:val="000000"/>
                <w:sz w:val="14"/>
                <w:szCs w:val="14"/>
              </w:rPr>
              <w:t>Grav</w:t>
            </w:r>
            <w:proofErr w:type="spellEnd"/>
            <w:r w:rsidRPr="006F1D04">
              <w:rPr>
                <w:rFonts w:ascii="Arial" w:hAnsi="Arial" w:cs="Arial"/>
                <w:color w:val="000000"/>
                <w:sz w:val="14"/>
                <w:szCs w:val="14"/>
              </w:rPr>
              <w:t>.</w:t>
            </w:r>
            <w:r w:rsidR="00B63885" w:rsidRPr="006F1D04">
              <w:rPr>
                <w:rFonts w:ascii="Arial" w:hAnsi="Arial" w:cs="Arial"/>
                <w:color w:val="000000"/>
                <w:sz w:val="14"/>
                <w:szCs w:val="14"/>
              </w:rPr>
              <w:t xml:space="preserve"> </w:t>
            </w:r>
            <w:r w:rsidRPr="006F1D04">
              <w:rPr>
                <w:rFonts w:ascii="Arial" w:hAnsi="Arial" w:cs="Arial"/>
                <w:color w:val="000000"/>
                <w:sz w:val="14"/>
                <w:szCs w:val="14"/>
              </w:rPr>
              <w:t>filter</w:t>
            </w:r>
          </w:p>
        </w:tc>
      </w:tr>
      <w:tr w:rsidR="00074407" w:rsidRPr="006F1D04" w:rsidTr="00DC2F53">
        <w:trPr>
          <w:trHeight w:hRule="exact" w:val="312"/>
          <w:jc w:val="center"/>
        </w:trPr>
        <w:tc>
          <w:tcPr>
            <w:tcW w:w="755"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NSW_A02</w:t>
            </w:r>
          </w:p>
        </w:tc>
        <w:tc>
          <w:tcPr>
            <w:tcW w:w="92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ANSTO</w:t>
            </w:r>
          </w:p>
        </w:tc>
        <w:tc>
          <w:tcPr>
            <w:tcW w:w="134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Lucas Heights</w:t>
            </w:r>
          </w:p>
        </w:tc>
        <w:tc>
          <w:tcPr>
            <w:tcW w:w="113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Sydney</w:t>
            </w:r>
          </w:p>
        </w:tc>
        <w:tc>
          <w:tcPr>
            <w:tcW w:w="2409"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Rural</w:t>
            </w:r>
          </w:p>
        </w:tc>
        <w:tc>
          <w:tcPr>
            <w:tcW w:w="1985"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Campaign – Research</w:t>
            </w:r>
          </w:p>
        </w:tc>
        <w:tc>
          <w:tcPr>
            <w:tcW w:w="1062"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941"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372" w:type="dxa"/>
            <w:tcBorders>
              <w:top w:val="dotted" w:sz="4" w:space="0" w:color="0070C0"/>
              <w:bottom w:val="dotted" w:sz="4" w:space="0" w:color="0070C0"/>
            </w:tcBorders>
            <w:vAlign w:val="center"/>
          </w:tcPr>
          <w:p w:rsidR="00074407" w:rsidRPr="006F1D04" w:rsidRDefault="00074407" w:rsidP="00074407">
            <w:pPr>
              <w:spacing w:after="0" w:line="240" w:lineRule="auto"/>
              <w:jc w:val="center"/>
              <w:rPr>
                <w:rFonts w:ascii="Arial" w:hAnsi="Arial" w:cs="Arial"/>
                <w:color w:val="000000"/>
                <w:sz w:val="14"/>
                <w:szCs w:val="14"/>
              </w:rPr>
            </w:pPr>
            <w:proofErr w:type="spellStart"/>
            <w:r w:rsidRPr="006F1D04">
              <w:rPr>
                <w:rFonts w:ascii="Arial" w:hAnsi="Arial" w:cs="Arial"/>
                <w:color w:val="000000"/>
                <w:sz w:val="14"/>
                <w:szCs w:val="14"/>
              </w:rPr>
              <w:t>Grav</w:t>
            </w:r>
            <w:proofErr w:type="spellEnd"/>
            <w:r w:rsidRPr="006F1D04">
              <w:rPr>
                <w:rFonts w:ascii="Arial" w:hAnsi="Arial" w:cs="Arial"/>
                <w:color w:val="000000"/>
                <w:sz w:val="14"/>
                <w:szCs w:val="14"/>
              </w:rPr>
              <w:t>.</w:t>
            </w:r>
            <w:r w:rsidR="00B63885" w:rsidRPr="006F1D04">
              <w:rPr>
                <w:rFonts w:ascii="Arial" w:hAnsi="Arial" w:cs="Arial"/>
                <w:color w:val="000000"/>
                <w:sz w:val="14"/>
                <w:szCs w:val="14"/>
              </w:rPr>
              <w:t xml:space="preserve"> </w:t>
            </w:r>
            <w:r w:rsidRPr="006F1D04">
              <w:rPr>
                <w:rFonts w:ascii="Arial" w:hAnsi="Arial" w:cs="Arial"/>
                <w:color w:val="000000"/>
                <w:sz w:val="14"/>
                <w:szCs w:val="14"/>
              </w:rPr>
              <w:t>filter</w:t>
            </w:r>
          </w:p>
        </w:tc>
      </w:tr>
      <w:tr w:rsidR="00074407" w:rsidRPr="006F1D04" w:rsidTr="00DC2F53">
        <w:trPr>
          <w:trHeight w:hRule="exact" w:val="312"/>
          <w:jc w:val="center"/>
        </w:trPr>
        <w:tc>
          <w:tcPr>
            <w:tcW w:w="755"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NSW_A03</w:t>
            </w:r>
          </w:p>
        </w:tc>
        <w:tc>
          <w:tcPr>
            <w:tcW w:w="92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ANSTO</w:t>
            </w:r>
          </w:p>
        </w:tc>
        <w:tc>
          <w:tcPr>
            <w:tcW w:w="134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Mascot</w:t>
            </w:r>
          </w:p>
        </w:tc>
        <w:tc>
          <w:tcPr>
            <w:tcW w:w="113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Sydney</w:t>
            </w:r>
          </w:p>
        </w:tc>
        <w:tc>
          <w:tcPr>
            <w:tcW w:w="2409" w:type="dxa"/>
            <w:tcBorders>
              <w:top w:val="dotted" w:sz="4" w:space="0" w:color="0070C0"/>
              <w:bottom w:val="dotted" w:sz="4" w:space="0" w:color="0070C0"/>
            </w:tcBorders>
            <w:shd w:val="clear" w:color="auto" w:fill="auto"/>
            <w:noWrap/>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t>Urban</w:t>
            </w:r>
          </w:p>
        </w:tc>
        <w:tc>
          <w:tcPr>
            <w:tcW w:w="1985"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Campaign – Research</w:t>
            </w:r>
          </w:p>
        </w:tc>
        <w:tc>
          <w:tcPr>
            <w:tcW w:w="1062"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941"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372" w:type="dxa"/>
            <w:tcBorders>
              <w:top w:val="dotted" w:sz="4" w:space="0" w:color="0070C0"/>
              <w:bottom w:val="dotted" w:sz="4" w:space="0" w:color="0070C0"/>
            </w:tcBorders>
            <w:vAlign w:val="center"/>
          </w:tcPr>
          <w:p w:rsidR="00074407" w:rsidRPr="006F1D04" w:rsidRDefault="00074407" w:rsidP="00074407">
            <w:pPr>
              <w:spacing w:after="0" w:line="240" w:lineRule="auto"/>
              <w:jc w:val="center"/>
              <w:rPr>
                <w:rFonts w:ascii="Arial" w:hAnsi="Arial" w:cs="Arial"/>
                <w:color w:val="000000"/>
                <w:sz w:val="14"/>
                <w:szCs w:val="14"/>
              </w:rPr>
            </w:pPr>
            <w:proofErr w:type="spellStart"/>
            <w:r w:rsidRPr="006F1D04">
              <w:rPr>
                <w:rFonts w:ascii="Arial" w:hAnsi="Arial" w:cs="Arial"/>
                <w:color w:val="000000"/>
                <w:sz w:val="14"/>
                <w:szCs w:val="14"/>
              </w:rPr>
              <w:t>Grav</w:t>
            </w:r>
            <w:proofErr w:type="spellEnd"/>
            <w:r w:rsidRPr="006F1D04">
              <w:rPr>
                <w:rFonts w:ascii="Arial" w:hAnsi="Arial" w:cs="Arial"/>
                <w:color w:val="000000"/>
                <w:sz w:val="14"/>
                <w:szCs w:val="14"/>
              </w:rPr>
              <w:t>.</w:t>
            </w:r>
            <w:r w:rsidR="00B63885" w:rsidRPr="006F1D04">
              <w:rPr>
                <w:rFonts w:ascii="Arial" w:hAnsi="Arial" w:cs="Arial"/>
                <w:color w:val="000000"/>
                <w:sz w:val="14"/>
                <w:szCs w:val="14"/>
              </w:rPr>
              <w:t xml:space="preserve"> </w:t>
            </w:r>
            <w:r w:rsidRPr="006F1D04">
              <w:rPr>
                <w:rFonts w:ascii="Arial" w:hAnsi="Arial" w:cs="Arial"/>
                <w:color w:val="000000"/>
                <w:sz w:val="14"/>
                <w:szCs w:val="14"/>
              </w:rPr>
              <w:t>filter</w:t>
            </w:r>
          </w:p>
        </w:tc>
      </w:tr>
      <w:tr w:rsidR="00074407" w:rsidRPr="006F1D04" w:rsidTr="00DC2F53">
        <w:trPr>
          <w:trHeight w:hRule="exact" w:val="312"/>
          <w:jc w:val="center"/>
        </w:trPr>
        <w:tc>
          <w:tcPr>
            <w:tcW w:w="755"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NSW_A04</w:t>
            </w:r>
          </w:p>
        </w:tc>
        <w:tc>
          <w:tcPr>
            <w:tcW w:w="92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ANSTO</w:t>
            </w:r>
          </w:p>
        </w:tc>
        <w:tc>
          <w:tcPr>
            <w:tcW w:w="134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Mayfield</w:t>
            </w:r>
          </w:p>
        </w:tc>
        <w:tc>
          <w:tcPr>
            <w:tcW w:w="113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Lower Hunter</w:t>
            </w:r>
          </w:p>
        </w:tc>
        <w:tc>
          <w:tcPr>
            <w:tcW w:w="2409"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Urban</w:t>
            </w:r>
          </w:p>
        </w:tc>
        <w:tc>
          <w:tcPr>
            <w:tcW w:w="1985"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Campaign – Research</w:t>
            </w:r>
          </w:p>
        </w:tc>
        <w:tc>
          <w:tcPr>
            <w:tcW w:w="1062"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941"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372" w:type="dxa"/>
            <w:tcBorders>
              <w:top w:val="dotted" w:sz="4" w:space="0" w:color="0070C0"/>
              <w:bottom w:val="dotted" w:sz="4" w:space="0" w:color="0070C0"/>
            </w:tcBorders>
            <w:vAlign w:val="center"/>
          </w:tcPr>
          <w:p w:rsidR="00074407" w:rsidRPr="006F1D04" w:rsidRDefault="00074407" w:rsidP="00074407">
            <w:pPr>
              <w:spacing w:after="0" w:line="240" w:lineRule="auto"/>
              <w:jc w:val="center"/>
              <w:rPr>
                <w:rFonts w:ascii="Arial" w:hAnsi="Arial" w:cs="Arial"/>
                <w:color w:val="000000"/>
                <w:sz w:val="14"/>
                <w:szCs w:val="14"/>
              </w:rPr>
            </w:pPr>
            <w:proofErr w:type="spellStart"/>
            <w:r w:rsidRPr="006F1D04">
              <w:rPr>
                <w:rFonts w:ascii="Arial" w:hAnsi="Arial" w:cs="Arial"/>
                <w:color w:val="000000"/>
                <w:sz w:val="14"/>
                <w:szCs w:val="14"/>
              </w:rPr>
              <w:t>Grav</w:t>
            </w:r>
            <w:proofErr w:type="spellEnd"/>
            <w:r w:rsidRPr="006F1D04">
              <w:rPr>
                <w:rFonts w:ascii="Arial" w:hAnsi="Arial" w:cs="Arial"/>
                <w:color w:val="000000"/>
                <w:sz w:val="14"/>
                <w:szCs w:val="14"/>
              </w:rPr>
              <w:t>.</w:t>
            </w:r>
            <w:r w:rsidR="00B63885" w:rsidRPr="006F1D04">
              <w:rPr>
                <w:rFonts w:ascii="Arial" w:hAnsi="Arial" w:cs="Arial"/>
                <w:color w:val="000000"/>
                <w:sz w:val="14"/>
                <w:szCs w:val="14"/>
              </w:rPr>
              <w:t xml:space="preserve"> </w:t>
            </w:r>
            <w:r w:rsidRPr="006F1D04">
              <w:rPr>
                <w:rFonts w:ascii="Arial" w:hAnsi="Arial" w:cs="Arial"/>
                <w:color w:val="000000"/>
                <w:sz w:val="14"/>
                <w:szCs w:val="14"/>
              </w:rPr>
              <w:t>filter</w:t>
            </w:r>
          </w:p>
        </w:tc>
      </w:tr>
      <w:tr w:rsidR="00074407" w:rsidRPr="006F1D04" w:rsidTr="00DC2F53">
        <w:trPr>
          <w:trHeight w:hRule="exact" w:val="312"/>
          <w:jc w:val="center"/>
        </w:trPr>
        <w:tc>
          <w:tcPr>
            <w:tcW w:w="755"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NSW_A05</w:t>
            </w:r>
          </w:p>
        </w:tc>
        <w:tc>
          <w:tcPr>
            <w:tcW w:w="92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ANSTO</w:t>
            </w:r>
          </w:p>
        </w:tc>
        <w:tc>
          <w:tcPr>
            <w:tcW w:w="134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Muswellbrook</w:t>
            </w:r>
          </w:p>
        </w:tc>
        <w:tc>
          <w:tcPr>
            <w:tcW w:w="113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Upper Hunter</w:t>
            </w:r>
          </w:p>
        </w:tc>
        <w:tc>
          <w:tcPr>
            <w:tcW w:w="2409"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Urban periphery</w:t>
            </w:r>
          </w:p>
        </w:tc>
        <w:tc>
          <w:tcPr>
            <w:tcW w:w="1985"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Campaign – Research</w:t>
            </w:r>
          </w:p>
        </w:tc>
        <w:tc>
          <w:tcPr>
            <w:tcW w:w="1062"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941"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372" w:type="dxa"/>
            <w:tcBorders>
              <w:top w:val="dotted" w:sz="4" w:space="0" w:color="0070C0"/>
              <w:bottom w:val="dotted" w:sz="4" w:space="0" w:color="0070C0"/>
            </w:tcBorders>
            <w:vAlign w:val="center"/>
          </w:tcPr>
          <w:p w:rsidR="00074407" w:rsidRPr="006F1D04" w:rsidRDefault="00074407" w:rsidP="00074407">
            <w:pPr>
              <w:spacing w:after="0" w:line="240" w:lineRule="auto"/>
              <w:jc w:val="center"/>
              <w:rPr>
                <w:rFonts w:ascii="Arial" w:hAnsi="Arial" w:cs="Arial"/>
                <w:color w:val="000000"/>
                <w:sz w:val="14"/>
                <w:szCs w:val="14"/>
              </w:rPr>
            </w:pPr>
            <w:proofErr w:type="spellStart"/>
            <w:r w:rsidRPr="006F1D04">
              <w:rPr>
                <w:rFonts w:ascii="Arial" w:hAnsi="Arial" w:cs="Arial"/>
                <w:color w:val="000000"/>
                <w:sz w:val="14"/>
                <w:szCs w:val="14"/>
              </w:rPr>
              <w:t>Grav</w:t>
            </w:r>
            <w:proofErr w:type="spellEnd"/>
            <w:r w:rsidRPr="006F1D04">
              <w:rPr>
                <w:rFonts w:ascii="Arial" w:hAnsi="Arial" w:cs="Arial"/>
                <w:color w:val="000000"/>
                <w:sz w:val="14"/>
                <w:szCs w:val="14"/>
              </w:rPr>
              <w:t>.</w:t>
            </w:r>
            <w:r w:rsidR="00B63885" w:rsidRPr="006F1D04">
              <w:rPr>
                <w:rFonts w:ascii="Arial" w:hAnsi="Arial" w:cs="Arial"/>
                <w:color w:val="000000"/>
                <w:sz w:val="14"/>
                <w:szCs w:val="14"/>
              </w:rPr>
              <w:t xml:space="preserve"> </w:t>
            </w:r>
            <w:r w:rsidRPr="006F1D04">
              <w:rPr>
                <w:rFonts w:ascii="Arial" w:hAnsi="Arial" w:cs="Arial"/>
                <w:color w:val="000000"/>
                <w:sz w:val="14"/>
                <w:szCs w:val="14"/>
              </w:rPr>
              <w:t>filter</w:t>
            </w:r>
          </w:p>
        </w:tc>
      </w:tr>
      <w:tr w:rsidR="00074407" w:rsidRPr="006F1D04" w:rsidTr="00DC2F53">
        <w:trPr>
          <w:trHeight w:hRule="exact" w:val="312"/>
          <w:jc w:val="center"/>
        </w:trPr>
        <w:tc>
          <w:tcPr>
            <w:tcW w:w="755"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NSW_A06</w:t>
            </w:r>
          </w:p>
        </w:tc>
        <w:tc>
          <w:tcPr>
            <w:tcW w:w="92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ANSTO</w:t>
            </w:r>
          </w:p>
        </w:tc>
        <w:tc>
          <w:tcPr>
            <w:tcW w:w="134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Richmond</w:t>
            </w:r>
          </w:p>
        </w:tc>
        <w:tc>
          <w:tcPr>
            <w:tcW w:w="1134"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Sydney</w:t>
            </w:r>
          </w:p>
        </w:tc>
        <w:tc>
          <w:tcPr>
            <w:tcW w:w="2409"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Mixed urban/rural</w:t>
            </w:r>
          </w:p>
        </w:tc>
        <w:tc>
          <w:tcPr>
            <w:tcW w:w="1985"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Campaign – Research</w:t>
            </w:r>
          </w:p>
        </w:tc>
        <w:tc>
          <w:tcPr>
            <w:tcW w:w="1062" w:type="dxa"/>
            <w:tcBorders>
              <w:top w:val="dotted" w:sz="4" w:space="0" w:color="0070C0"/>
              <w:bottom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941" w:type="dxa"/>
            <w:tcBorders>
              <w:top w:val="dotted" w:sz="4" w:space="0" w:color="0070C0"/>
              <w:bottom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372" w:type="dxa"/>
            <w:tcBorders>
              <w:top w:val="dotted" w:sz="4" w:space="0" w:color="0070C0"/>
              <w:bottom w:val="dotted" w:sz="4" w:space="0" w:color="0070C0"/>
            </w:tcBorders>
            <w:vAlign w:val="center"/>
          </w:tcPr>
          <w:p w:rsidR="00074407" w:rsidRPr="006F1D04" w:rsidRDefault="00074407" w:rsidP="00074407">
            <w:pPr>
              <w:spacing w:after="0" w:line="240" w:lineRule="auto"/>
              <w:jc w:val="center"/>
              <w:rPr>
                <w:rFonts w:ascii="Arial" w:hAnsi="Arial" w:cs="Arial"/>
                <w:color w:val="000000"/>
                <w:sz w:val="14"/>
                <w:szCs w:val="14"/>
              </w:rPr>
            </w:pPr>
            <w:proofErr w:type="spellStart"/>
            <w:r w:rsidRPr="006F1D04">
              <w:rPr>
                <w:rFonts w:ascii="Arial" w:hAnsi="Arial" w:cs="Arial"/>
                <w:color w:val="000000"/>
                <w:sz w:val="14"/>
                <w:szCs w:val="14"/>
              </w:rPr>
              <w:t>Grav</w:t>
            </w:r>
            <w:proofErr w:type="spellEnd"/>
            <w:r w:rsidRPr="006F1D04">
              <w:rPr>
                <w:rFonts w:ascii="Arial" w:hAnsi="Arial" w:cs="Arial"/>
                <w:color w:val="000000"/>
                <w:sz w:val="14"/>
                <w:szCs w:val="14"/>
              </w:rPr>
              <w:t>.</w:t>
            </w:r>
            <w:r w:rsidR="00B63885" w:rsidRPr="006F1D04">
              <w:rPr>
                <w:rFonts w:ascii="Arial" w:hAnsi="Arial" w:cs="Arial"/>
                <w:color w:val="000000"/>
                <w:sz w:val="14"/>
                <w:szCs w:val="14"/>
              </w:rPr>
              <w:t xml:space="preserve"> </w:t>
            </w:r>
            <w:r w:rsidRPr="006F1D04">
              <w:rPr>
                <w:rFonts w:ascii="Arial" w:hAnsi="Arial" w:cs="Arial"/>
                <w:color w:val="000000"/>
                <w:sz w:val="14"/>
                <w:szCs w:val="14"/>
              </w:rPr>
              <w:t>filter</w:t>
            </w:r>
          </w:p>
        </w:tc>
      </w:tr>
      <w:tr w:rsidR="00074407" w:rsidRPr="006F1D04" w:rsidTr="00DC2F53">
        <w:trPr>
          <w:trHeight w:hRule="exact" w:val="312"/>
          <w:jc w:val="center"/>
        </w:trPr>
        <w:tc>
          <w:tcPr>
            <w:tcW w:w="755" w:type="dxa"/>
            <w:tcBorders>
              <w:top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NSW_A07</w:t>
            </w:r>
          </w:p>
        </w:tc>
        <w:tc>
          <w:tcPr>
            <w:tcW w:w="924" w:type="dxa"/>
            <w:tcBorders>
              <w:top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ANSTO</w:t>
            </w:r>
          </w:p>
        </w:tc>
        <w:tc>
          <w:tcPr>
            <w:tcW w:w="1344" w:type="dxa"/>
            <w:tcBorders>
              <w:top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Warrawong</w:t>
            </w:r>
          </w:p>
        </w:tc>
        <w:tc>
          <w:tcPr>
            <w:tcW w:w="1134" w:type="dxa"/>
            <w:tcBorders>
              <w:top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Illawarra</w:t>
            </w:r>
          </w:p>
        </w:tc>
        <w:tc>
          <w:tcPr>
            <w:tcW w:w="2409" w:type="dxa"/>
            <w:tcBorders>
              <w:top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Urban/industrial</w:t>
            </w:r>
          </w:p>
        </w:tc>
        <w:tc>
          <w:tcPr>
            <w:tcW w:w="1985" w:type="dxa"/>
            <w:tcBorders>
              <w:top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 xml:space="preserve">Campaign </w:t>
            </w:r>
            <w:r w:rsidR="00B63885" w:rsidRPr="006F1D04">
              <w:rPr>
                <w:rFonts w:ascii="Arial" w:hAnsi="Arial" w:cs="Arial"/>
                <w:color w:val="000000"/>
                <w:sz w:val="14"/>
                <w:szCs w:val="14"/>
              </w:rPr>
              <w:t>–</w:t>
            </w:r>
            <w:r w:rsidRPr="006F1D04">
              <w:rPr>
                <w:rFonts w:ascii="Arial" w:hAnsi="Arial" w:cs="Arial"/>
                <w:color w:val="000000"/>
                <w:sz w:val="14"/>
                <w:szCs w:val="14"/>
              </w:rPr>
              <w:t xml:space="preserve"> Research</w:t>
            </w:r>
          </w:p>
        </w:tc>
        <w:tc>
          <w:tcPr>
            <w:tcW w:w="1062" w:type="dxa"/>
            <w:tcBorders>
              <w:top w:val="dotted" w:sz="4" w:space="0" w:color="0070C0"/>
            </w:tcBorders>
            <w:shd w:val="clear" w:color="auto" w:fill="auto"/>
            <w:noWrap/>
            <w:vAlign w:val="center"/>
          </w:tcPr>
          <w:p w:rsidR="00074407" w:rsidRPr="006F1D04" w:rsidRDefault="00074407" w:rsidP="0052102C">
            <w:pPr>
              <w:spacing w:after="0" w:line="240" w:lineRule="auto"/>
              <w:jc w:val="center"/>
              <w:rPr>
                <w:rFonts w:ascii="Arial" w:hAnsi="Arial" w:cs="Arial"/>
                <w:color w:val="000000"/>
                <w:sz w:val="14"/>
                <w:szCs w:val="14"/>
              </w:rPr>
            </w:pPr>
          </w:p>
        </w:tc>
        <w:tc>
          <w:tcPr>
            <w:tcW w:w="902" w:type="dxa"/>
            <w:tcBorders>
              <w:top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941" w:type="dxa"/>
            <w:tcBorders>
              <w:top w:val="dotted" w:sz="4" w:space="0" w:color="0070C0"/>
            </w:tcBorders>
            <w:vAlign w:val="center"/>
          </w:tcPr>
          <w:p w:rsidR="00074407" w:rsidRPr="006F1D04" w:rsidRDefault="00074407" w:rsidP="001B747D">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372" w:type="dxa"/>
            <w:tcBorders>
              <w:top w:val="dotted" w:sz="4" w:space="0" w:color="0070C0"/>
            </w:tcBorders>
            <w:vAlign w:val="center"/>
          </w:tcPr>
          <w:p w:rsidR="00074407" w:rsidRPr="006F1D04" w:rsidRDefault="00074407" w:rsidP="00074407">
            <w:pPr>
              <w:spacing w:after="0" w:line="240" w:lineRule="auto"/>
              <w:jc w:val="center"/>
              <w:rPr>
                <w:rFonts w:ascii="Arial" w:hAnsi="Arial" w:cs="Arial"/>
                <w:color w:val="000000"/>
                <w:sz w:val="14"/>
                <w:szCs w:val="14"/>
              </w:rPr>
            </w:pPr>
            <w:proofErr w:type="spellStart"/>
            <w:r w:rsidRPr="006F1D04">
              <w:rPr>
                <w:rFonts w:ascii="Arial" w:hAnsi="Arial" w:cs="Arial"/>
                <w:color w:val="000000"/>
                <w:sz w:val="14"/>
                <w:szCs w:val="14"/>
              </w:rPr>
              <w:t>Grav</w:t>
            </w:r>
            <w:proofErr w:type="spellEnd"/>
            <w:r w:rsidRPr="006F1D04">
              <w:rPr>
                <w:rFonts w:ascii="Arial" w:hAnsi="Arial" w:cs="Arial"/>
                <w:color w:val="000000"/>
                <w:sz w:val="14"/>
                <w:szCs w:val="14"/>
              </w:rPr>
              <w:t>.</w:t>
            </w:r>
            <w:r w:rsidR="00B63885" w:rsidRPr="006F1D04">
              <w:rPr>
                <w:rFonts w:ascii="Arial" w:hAnsi="Arial" w:cs="Arial"/>
                <w:color w:val="000000"/>
                <w:sz w:val="14"/>
                <w:szCs w:val="14"/>
              </w:rPr>
              <w:t xml:space="preserve"> </w:t>
            </w:r>
            <w:r w:rsidRPr="006F1D04">
              <w:rPr>
                <w:rFonts w:ascii="Arial" w:hAnsi="Arial" w:cs="Arial"/>
                <w:color w:val="000000"/>
                <w:sz w:val="14"/>
                <w:szCs w:val="14"/>
              </w:rPr>
              <w:t>filter</w:t>
            </w:r>
          </w:p>
        </w:tc>
      </w:tr>
    </w:tbl>
    <w:p w:rsidR="0052102C" w:rsidRPr="006F1D04" w:rsidRDefault="0052102C">
      <w:pPr>
        <w:spacing w:after="200" w:line="240" w:lineRule="auto"/>
        <w:rPr>
          <w:rFonts w:ascii="Arial" w:hAnsi="Arial" w:cs="Arial"/>
        </w:rPr>
      </w:pPr>
    </w:p>
    <w:p w:rsidR="0052102C" w:rsidRPr="006F1D04" w:rsidRDefault="0052102C" w:rsidP="0052102C">
      <w:pPr>
        <w:pStyle w:val="Caption"/>
        <w:rPr>
          <w:rFonts w:ascii="Arial" w:hAnsi="Arial" w:cs="Arial"/>
        </w:rPr>
      </w:pPr>
      <w:r w:rsidRPr="006F1D04">
        <w:rPr>
          <w:rFonts w:ascii="Arial" w:hAnsi="Arial" w:cs="Arial"/>
        </w:rPr>
        <w:lastRenderedPageBreak/>
        <w:t xml:space="preserve">Table </w:t>
      </w:r>
      <w:r w:rsidR="00236133" w:rsidRPr="006F1D04">
        <w:rPr>
          <w:rFonts w:ascii="Arial" w:hAnsi="Arial" w:cs="Arial"/>
        </w:rPr>
        <w:t>D.</w:t>
      </w:r>
      <w:r w:rsidR="00BF6019" w:rsidRPr="006F1D04">
        <w:rPr>
          <w:rFonts w:ascii="Arial" w:hAnsi="Arial" w:cs="Arial"/>
        </w:rPr>
        <w:fldChar w:fldCharType="begin"/>
      </w:r>
      <w:r w:rsidRPr="006F1D04">
        <w:rPr>
          <w:rFonts w:ascii="Arial" w:hAnsi="Arial" w:cs="Arial"/>
        </w:rPr>
        <w:instrText xml:space="preserve"> SEQ Table_Apx \* ARABIC \s 6 </w:instrText>
      </w:r>
      <w:r w:rsidR="00BF6019" w:rsidRPr="006F1D04">
        <w:rPr>
          <w:rFonts w:ascii="Arial" w:hAnsi="Arial" w:cs="Arial"/>
        </w:rPr>
        <w:fldChar w:fldCharType="separate"/>
      </w:r>
      <w:r w:rsidR="0085182E">
        <w:rPr>
          <w:rFonts w:ascii="Arial" w:hAnsi="Arial" w:cs="Arial"/>
          <w:noProof/>
        </w:rPr>
        <w:t>2</w:t>
      </w:r>
      <w:r w:rsidR="00BF6019" w:rsidRPr="006F1D04">
        <w:rPr>
          <w:rFonts w:ascii="Arial" w:hAnsi="Arial" w:cs="Arial"/>
        </w:rPr>
        <w:fldChar w:fldCharType="end"/>
      </w:r>
      <w:r w:rsidRPr="006F1D04">
        <w:rPr>
          <w:rFonts w:ascii="Arial" w:hAnsi="Arial" w:cs="Arial"/>
        </w:rPr>
        <w:t>: VIC monitoring sites</w:t>
      </w:r>
      <w:r w:rsidR="00F23491" w:rsidRPr="006F1D04">
        <w:rPr>
          <w:rFonts w:ascii="Arial" w:hAnsi="Arial" w:cs="Arial"/>
        </w:rPr>
        <w:t xml:space="preserve"> (shaded cells = sites not included in state-average calculations and less than 8 years of data)</w:t>
      </w:r>
    </w:p>
    <w:tbl>
      <w:tblPr>
        <w:tblW w:w="12861"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28" w:type="dxa"/>
          <w:right w:w="28" w:type="dxa"/>
        </w:tblCellMar>
        <w:tblLook w:val="04A0"/>
      </w:tblPr>
      <w:tblGrid>
        <w:gridCol w:w="786"/>
        <w:gridCol w:w="1018"/>
        <w:gridCol w:w="1134"/>
        <w:gridCol w:w="1276"/>
        <w:gridCol w:w="2693"/>
        <w:gridCol w:w="2104"/>
        <w:gridCol w:w="590"/>
        <w:gridCol w:w="567"/>
        <w:gridCol w:w="567"/>
        <w:gridCol w:w="2126"/>
      </w:tblGrid>
      <w:tr w:rsidR="00074407" w:rsidRPr="006F1D04" w:rsidTr="008D2851">
        <w:trPr>
          <w:trHeight w:val="492"/>
          <w:jc w:val="center"/>
        </w:trPr>
        <w:tc>
          <w:tcPr>
            <w:tcW w:w="786" w:type="dxa"/>
            <w:tcBorders>
              <w:bottom w:val="single" w:sz="4" w:space="0" w:color="0070C0"/>
            </w:tcBorders>
            <w:shd w:val="clear" w:color="auto" w:fill="0070C0"/>
            <w:noWrap/>
            <w:vAlign w:val="center"/>
          </w:tcPr>
          <w:p w:rsidR="00074407" w:rsidRPr="006F1D04" w:rsidRDefault="00074407" w:rsidP="0072215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Site code</w:t>
            </w:r>
          </w:p>
        </w:tc>
        <w:tc>
          <w:tcPr>
            <w:tcW w:w="1018" w:type="dxa"/>
            <w:tcBorders>
              <w:bottom w:val="single" w:sz="4" w:space="0" w:color="0070C0"/>
            </w:tcBorders>
            <w:shd w:val="clear" w:color="auto" w:fill="0070C0"/>
            <w:noWrap/>
            <w:vAlign w:val="center"/>
          </w:tcPr>
          <w:p w:rsidR="00074407" w:rsidRPr="006F1D04" w:rsidRDefault="00074407" w:rsidP="0072215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Organisation</w:t>
            </w:r>
          </w:p>
        </w:tc>
        <w:tc>
          <w:tcPr>
            <w:tcW w:w="1134" w:type="dxa"/>
            <w:tcBorders>
              <w:bottom w:val="single" w:sz="4" w:space="0" w:color="0070C0"/>
            </w:tcBorders>
            <w:shd w:val="clear" w:color="auto" w:fill="0070C0"/>
            <w:noWrap/>
            <w:vAlign w:val="center"/>
          </w:tcPr>
          <w:p w:rsidR="00074407" w:rsidRPr="006F1D04" w:rsidRDefault="00074407" w:rsidP="0072215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Site name</w:t>
            </w:r>
          </w:p>
        </w:tc>
        <w:tc>
          <w:tcPr>
            <w:tcW w:w="1276" w:type="dxa"/>
            <w:tcBorders>
              <w:bottom w:val="single" w:sz="4" w:space="0" w:color="0070C0"/>
            </w:tcBorders>
            <w:shd w:val="clear" w:color="auto" w:fill="0070C0"/>
            <w:noWrap/>
            <w:vAlign w:val="center"/>
          </w:tcPr>
          <w:p w:rsidR="00074407" w:rsidRPr="006F1D04" w:rsidRDefault="00074407" w:rsidP="0072215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Region</w:t>
            </w:r>
          </w:p>
        </w:tc>
        <w:tc>
          <w:tcPr>
            <w:tcW w:w="2693" w:type="dxa"/>
            <w:tcBorders>
              <w:bottom w:val="single" w:sz="4" w:space="0" w:color="0070C0"/>
            </w:tcBorders>
            <w:shd w:val="clear" w:color="auto" w:fill="0070C0"/>
            <w:noWrap/>
            <w:vAlign w:val="center"/>
          </w:tcPr>
          <w:p w:rsidR="00074407" w:rsidRPr="006F1D04" w:rsidRDefault="00074407" w:rsidP="0072215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Site description</w:t>
            </w:r>
          </w:p>
        </w:tc>
        <w:tc>
          <w:tcPr>
            <w:tcW w:w="2104" w:type="dxa"/>
            <w:tcBorders>
              <w:bottom w:val="single" w:sz="4" w:space="0" w:color="0070C0"/>
            </w:tcBorders>
            <w:shd w:val="clear" w:color="auto" w:fill="0070C0"/>
            <w:noWrap/>
            <w:vAlign w:val="center"/>
          </w:tcPr>
          <w:p w:rsidR="00074407" w:rsidRPr="006F1D04" w:rsidRDefault="00074407" w:rsidP="0072215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Purpose</w:t>
            </w:r>
          </w:p>
        </w:tc>
        <w:tc>
          <w:tcPr>
            <w:tcW w:w="590" w:type="dxa"/>
            <w:tcBorders>
              <w:bottom w:val="single" w:sz="4" w:space="0" w:color="0070C0"/>
            </w:tcBorders>
            <w:shd w:val="clear" w:color="auto" w:fill="0070C0"/>
            <w:noWrap/>
            <w:vAlign w:val="center"/>
          </w:tcPr>
          <w:p w:rsidR="00074407" w:rsidRPr="006F1D04" w:rsidRDefault="00074407" w:rsidP="0072215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GRUB</w:t>
            </w:r>
          </w:p>
        </w:tc>
        <w:tc>
          <w:tcPr>
            <w:tcW w:w="567" w:type="dxa"/>
            <w:tcBorders>
              <w:bottom w:val="single" w:sz="4" w:space="0" w:color="0070C0"/>
            </w:tcBorders>
            <w:shd w:val="clear" w:color="auto" w:fill="0070C0"/>
            <w:vAlign w:val="center"/>
          </w:tcPr>
          <w:p w:rsidR="00074407" w:rsidRPr="006F1D04" w:rsidRDefault="00074407" w:rsidP="00612FEC">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PM</w:t>
            </w:r>
            <w:r w:rsidRPr="006F1D04">
              <w:rPr>
                <w:rFonts w:ascii="Arial" w:hAnsi="Arial" w:cs="Arial"/>
                <w:b/>
                <w:bCs/>
                <w:color w:val="FFFFFF"/>
                <w:sz w:val="14"/>
                <w:szCs w:val="14"/>
                <w:vertAlign w:val="subscript"/>
              </w:rPr>
              <w:t>10</w:t>
            </w:r>
          </w:p>
        </w:tc>
        <w:tc>
          <w:tcPr>
            <w:tcW w:w="567" w:type="dxa"/>
            <w:tcBorders>
              <w:bottom w:val="single" w:sz="4" w:space="0" w:color="0070C0"/>
            </w:tcBorders>
            <w:shd w:val="clear" w:color="auto" w:fill="0070C0"/>
            <w:vAlign w:val="center"/>
          </w:tcPr>
          <w:p w:rsidR="00074407" w:rsidRPr="006F1D04" w:rsidRDefault="00074407" w:rsidP="0007440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PM</w:t>
            </w:r>
            <w:r w:rsidRPr="006F1D04">
              <w:rPr>
                <w:rFonts w:ascii="Arial" w:hAnsi="Arial" w:cs="Arial"/>
                <w:b/>
                <w:bCs/>
                <w:color w:val="FFFFFF"/>
                <w:sz w:val="14"/>
                <w:szCs w:val="14"/>
                <w:vertAlign w:val="subscript"/>
              </w:rPr>
              <w:t>2.5</w:t>
            </w:r>
          </w:p>
        </w:tc>
        <w:tc>
          <w:tcPr>
            <w:tcW w:w="2126" w:type="dxa"/>
            <w:tcBorders>
              <w:bottom w:val="single" w:sz="4" w:space="0" w:color="0070C0"/>
            </w:tcBorders>
            <w:shd w:val="clear" w:color="auto" w:fill="0070C0"/>
            <w:vAlign w:val="center"/>
          </w:tcPr>
          <w:p w:rsidR="00074407" w:rsidRPr="006F1D04" w:rsidRDefault="00074407" w:rsidP="0007440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Instrument(s)</w:t>
            </w:r>
          </w:p>
        </w:tc>
      </w:tr>
      <w:tr w:rsidR="00612FEC" w:rsidRPr="006F1D04" w:rsidTr="008A7B43">
        <w:trPr>
          <w:trHeight w:hRule="exact" w:val="433"/>
          <w:jc w:val="center"/>
        </w:trPr>
        <w:tc>
          <w:tcPr>
            <w:tcW w:w="786" w:type="dxa"/>
            <w:tcBorders>
              <w:bottom w:val="dotted" w:sz="4" w:space="0" w:color="0070C0"/>
            </w:tcBorders>
            <w:shd w:val="clear" w:color="auto" w:fill="auto"/>
            <w:noWrap/>
            <w:vAlign w:val="center"/>
          </w:tcPr>
          <w:p w:rsidR="00612FEC" w:rsidRPr="006F1D04" w:rsidRDefault="00612FEC" w:rsidP="00265F63">
            <w:pPr>
              <w:spacing w:after="0" w:line="240" w:lineRule="auto"/>
              <w:jc w:val="center"/>
              <w:rPr>
                <w:rFonts w:ascii="Arial" w:hAnsi="Arial" w:cs="Arial"/>
                <w:sz w:val="14"/>
                <w:szCs w:val="14"/>
              </w:rPr>
            </w:pPr>
            <w:r w:rsidRPr="006F1D04">
              <w:rPr>
                <w:rFonts w:ascii="Arial" w:hAnsi="Arial" w:cs="Arial"/>
                <w:sz w:val="14"/>
                <w:szCs w:val="14"/>
              </w:rPr>
              <w:t>VIC_E01</w:t>
            </w:r>
          </w:p>
        </w:tc>
        <w:tc>
          <w:tcPr>
            <w:tcW w:w="1018" w:type="dxa"/>
            <w:tcBorders>
              <w:bottom w:val="dotted" w:sz="4" w:space="0" w:color="0070C0"/>
            </w:tcBorders>
            <w:shd w:val="clear" w:color="auto" w:fill="auto"/>
            <w:noWrap/>
            <w:vAlign w:val="center"/>
          </w:tcPr>
          <w:p w:rsidR="00612FEC" w:rsidRPr="006F1D04" w:rsidRDefault="00612FEC" w:rsidP="0072215E">
            <w:pPr>
              <w:spacing w:after="0" w:line="240" w:lineRule="auto"/>
              <w:jc w:val="center"/>
              <w:rPr>
                <w:rFonts w:ascii="Arial" w:hAnsi="Arial" w:cs="Arial"/>
                <w:color w:val="000000"/>
                <w:sz w:val="14"/>
                <w:szCs w:val="14"/>
              </w:rPr>
            </w:pPr>
            <w:r w:rsidRPr="006F1D04">
              <w:rPr>
                <w:rFonts w:ascii="Arial" w:hAnsi="Arial" w:cs="Arial"/>
                <w:color w:val="000000"/>
                <w:sz w:val="14"/>
                <w:szCs w:val="14"/>
              </w:rPr>
              <w:t>EPA Victoria</w:t>
            </w:r>
          </w:p>
        </w:tc>
        <w:tc>
          <w:tcPr>
            <w:tcW w:w="1134" w:type="dxa"/>
            <w:tcBorders>
              <w:bottom w:val="dotted" w:sz="4" w:space="0" w:color="0070C0"/>
            </w:tcBorders>
            <w:shd w:val="clear" w:color="auto" w:fill="auto"/>
            <w:noWrap/>
            <w:vAlign w:val="center"/>
          </w:tcPr>
          <w:p w:rsidR="00612FEC" w:rsidRPr="006F1D04" w:rsidRDefault="00612FEC" w:rsidP="0072215E">
            <w:pPr>
              <w:spacing w:after="0" w:line="240" w:lineRule="auto"/>
              <w:jc w:val="center"/>
              <w:rPr>
                <w:rFonts w:ascii="Arial" w:hAnsi="Arial" w:cs="Arial"/>
                <w:color w:val="000000"/>
                <w:sz w:val="14"/>
                <w:szCs w:val="14"/>
              </w:rPr>
            </w:pPr>
            <w:r w:rsidRPr="006F1D04">
              <w:rPr>
                <w:rFonts w:ascii="Arial" w:hAnsi="Arial" w:cs="Arial"/>
                <w:color w:val="000000"/>
                <w:sz w:val="14"/>
                <w:szCs w:val="14"/>
              </w:rPr>
              <w:t>Alphington</w:t>
            </w:r>
          </w:p>
        </w:tc>
        <w:tc>
          <w:tcPr>
            <w:tcW w:w="1276" w:type="dxa"/>
            <w:tcBorders>
              <w:bottom w:val="dotted" w:sz="4" w:space="0" w:color="0070C0"/>
            </w:tcBorders>
            <w:shd w:val="clear" w:color="auto" w:fill="auto"/>
            <w:noWrap/>
            <w:vAlign w:val="center"/>
          </w:tcPr>
          <w:p w:rsidR="00612FEC" w:rsidRPr="006F1D04" w:rsidRDefault="00612FEC" w:rsidP="0072215E">
            <w:pPr>
              <w:spacing w:after="0" w:line="240" w:lineRule="auto"/>
              <w:jc w:val="center"/>
              <w:rPr>
                <w:rFonts w:ascii="Arial" w:hAnsi="Arial" w:cs="Arial"/>
                <w:color w:val="000000"/>
                <w:sz w:val="14"/>
                <w:szCs w:val="14"/>
              </w:rPr>
            </w:pPr>
            <w:r w:rsidRPr="006F1D04">
              <w:rPr>
                <w:rFonts w:ascii="Arial" w:hAnsi="Arial" w:cs="Arial"/>
                <w:color w:val="000000"/>
                <w:sz w:val="14"/>
                <w:szCs w:val="14"/>
              </w:rPr>
              <w:t>Port Phillip</w:t>
            </w:r>
          </w:p>
        </w:tc>
        <w:tc>
          <w:tcPr>
            <w:tcW w:w="2693" w:type="dxa"/>
            <w:tcBorders>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 xml:space="preserve">Inner suburb, </w:t>
            </w:r>
            <w:r w:rsidR="00B63885" w:rsidRPr="006F1D04">
              <w:rPr>
                <w:rFonts w:ascii="Arial" w:hAnsi="Arial" w:cs="Arial"/>
                <w:color w:val="000000"/>
                <w:sz w:val="14"/>
                <w:szCs w:val="14"/>
              </w:rPr>
              <w:t>r</w:t>
            </w:r>
            <w:r w:rsidRPr="006F1D04">
              <w:rPr>
                <w:rFonts w:ascii="Arial" w:hAnsi="Arial" w:cs="Arial"/>
                <w:color w:val="000000"/>
                <w:sz w:val="14"/>
                <w:szCs w:val="14"/>
              </w:rPr>
              <w:t>esidential</w:t>
            </w:r>
          </w:p>
        </w:tc>
        <w:tc>
          <w:tcPr>
            <w:tcW w:w="2104" w:type="dxa"/>
            <w:tcBorders>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Trend</w:t>
            </w:r>
          </w:p>
        </w:tc>
        <w:tc>
          <w:tcPr>
            <w:tcW w:w="590" w:type="dxa"/>
            <w:tcBorders>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567" w:type="dxa"/>
            <w:tcBorders>
              <w:bottom w:val="dotted" w:sz="4" w:space="0" w:color="0070C0"/>
            </w:tcBorders>
            <w:vAlign w:val="center"/>
          </w:tcPr>
          <w:p w:rsidR="00612FEC" w:rsidRPr="006F1D04" w:rsidRDefault="00612FEC" w:rsidP="00265F63">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567" w:type="dxa"/>
            <w:tcBorders>
              <w:bottom w:val="dotted" w:sz="4" w:space="0" w:color="0070C0"/>
            </w:tcBorders>
            <w:vAlign w:val="center"/>
          </w:tcPr>
          <w:p w:rsidR="00612FEC" w:rsidRPr="006F1D04" w:rsidRDefault="00612FEC" w:rsidP="00265F63">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2126" w:type="dxa"/>
            <w:tcBorders>
              <w:bottom w:val="dotted" w:sz="4" w:space="0" w:color="0070C0"/>
            </w:tcBorders>
            <w:vAlign w:val="center"/>
          </w:tcPr>
          <w:p w:rsidR="00612FEC" w:rsidRPr="006F1D04" w:rsidRDefault="008A7B4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Gravimetric reference method</w:t>
            </w:r>
            <w:r w:rsidR="00612FEC" w:rsidRPr="006F1D04">
              <w:rPr>
                <w:rFonts w:ascii="Arial" w:hAnsi="Arial" w:cs="Arial"/>
                <w:color w:val="000000"/>
                <w:sz w:val="14"/>
                <w:szCs w:val="14"/>
              </w:rPr>
              <w:t>/</w:t>
            </w:r>
            <w:proofErr w:type="spellStart"/>
            <w:r w:rsidR="00612FEC" w:rsidRPr="006F1D04">
              <w:rPr>
                <w:rFonts w:ascii="Arial" w:hAnsi="Arial" w:cs="Arial"/>
                <w:color w:val="000000"/>
                <w:sz w:val="14"/>
                <w:szCs w:val="14"/>
              </w:rPr>
              <w:t>Partisol</w:t>
            </w:r>
            <w:proofErr w:type="spellEnd"/>
            <w:r w:rsidR="00612FEC" w:rsidRPr="006F1D04">
              <w:rPr>
                <w:rFonts w:ascii="Arial" w:hAnsi="Arial" w:cs="Arial"/>
                <w:color w:val="000000"/>
                <w:sz w:val="14"/>
                <w:szCs w:val="14"/>
              </w:rPr>
              <w:t>/TEOM</w:t>
            </w:r>
          </w:p>
        </w:tc>
      </w:tr>
      <w:tr w:rsidR="00612FEC" w:rsidRPr="006F1D04" w:rsidTr="00DC2F53">
        <w:trPr>
          <w:trHeight w:hRule="exact" w:val="312"/>
          <w:jc w:val="center"/>
        </w:trPr>
        <w:tc>
          <w:tcPr>
            <w:tcW w:w="786" w:type="dxa"/>
            <w:tcBorders>
              <w:top w:val="dotted" w:sz="4" w:space="0" w:color="0070C0"/>
              <w:bottom w:val="dotted" w:sz="4" w:space="0" w:color="0070C0"/>
            </w:tcBorders>
            <w:shd w:val="clear" w:color="auto" w:fill="auto"/>
            <w:noWrap/>
            <w:vAlign w:val="center"/>
          </w:tcPr>
          <w:p w:rsidR="00612FEC" w:rsidRPr="006F1D04" w:rsidRDefault="00612FEC" w:rsidP="00265F63">
            <w:pPr>
              <w:spacing w:after="0" w:line="240" w:lineRule="auto"/>
              <w:jc w:val="center"/>
              <w:rPr>
                <w:rFonts w:ascii="Arial" w:hAnsi="Arial" w:cs="Arial"/>
                <w:sz w:val="14"/>
                <w:szCs w:val="14"/>
              </w:rPr>
            </w:pPr>
            <w:r w:rsidRPr="006F1D04">
              <w:rPr>
                <w:rFonts w:ascii="Arial" w:hAnsi="Arial" w:cs="Arial"/>
                <w:sz w:val="14"/>
                <w:szCs w:val="14"/>
              </w:rPr>
              <w:t>VIC_E03</w:t>
            </w:r>
          </w:p>
        </w:tc>
        <w:tc>
          <w:tcPr>
            <w:tcW w:w="1018"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EPA Victoria</w:t>
            </w:r>
          </w:p>
        </w:tc>
        <w:tc>
          <w:tcPr>
            <w:tcW w:w="1134"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Box Hill</w:t>
            </w:r>
          </w:p>
        </w:tc>
        <w:tc>
          <w:tcPr>
            <w:tcW w:w="1276"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Port Phillip</w:t>
            </w:r>
          </w:p>
        </w:tc>
        <w:tc>
          <w:tcPr>
            <w:tcW w:w="2693"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 xml:space="preserve">Inner suburb, </w:t>
            </w:r>
            <w:r w:rsidR="00B63885" w:rsidRPr="006F1D04">
              <w:rPr>
                <w:rFonts w:ascii="Arial" w:hAnsi="Arial" w:cs="Arial"/>
                <w:color w:val="000000"/>
                <w:sz w:val="14"/>
                <w:szCs w:val="14"/>
              </w:rPr>
              <w:t>r</w:t>
            </w:r>
            <w:r w:rsidRPr="006F1D04">
              <w:rPr>
                <w:rFonts w:ascii="Arial" w:hAnsi="Arial" w:cs="Arial"/>
                <w:color w:val="000000"/>
                <w:sz w:val="14"/>
                <w:szCs w:val="14"/>
              </w:rPr>
              <w:t>esidential</w:t>
            </w:r>
          </w:p>
        </w:tc>
        <w:tc>
          <w:tcPr>
            <w:tcW w:w="2104" w:type="dxa"/>
            <w:tcBorders>
              <w:top w:val="dotted" w:sz="4" w:space="0" w:color="0070C0"/>
              <w:bottom w:val="dotted" w:sz="4" w:space="0" w:color="0070C0"/>
            </w:tcBorders>
            <w:shd w:val="clear" w:color="auto" w:fill="auto"/>
            <w:noWrap/>
            <w:vAlign w:val="center"/>
          </w:tcPr>
          <w:p w:rsidR="00612FEC" w:rsidRPr="006F1D04" w:rsidRDefault="00612FEC" w:rsidP="0072215E">
            <w:pPr>
              <w:spacing w:after="0" w:line="240" w:lineRule="auto"/>
              <w:jc w:val="center"/>
              <w:rPr>
                <w:rFonts w:ascii="Arial" w:hAnsi="Arial" w:cs="Arial"/>
                <w:color w:val="000000"/>
                <w:sz w:val="14"/>
                <w:szCs w:val="14"/>
              </w:rPr>
            </w:pPr>
            <w:r w:rsidRPr="006F1D04">
              <w:rPr>
                <w:rFonts w:ascii="Arial" w:hAnsi="Arial" w:cs="Arial"/>
                <w:color w:val="000000"/>
                <w:sz w:val="14"/>
                <w:szCs w:val="14"/>
              </w:rPr>
              <w:t>Trend</w:t>
            </w:r>
          </w:p>
        </w:tc>
        <w:tc>
          <w:tcPr>
            <w:tcW w:w="590"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p>
        </w:tc>
        <w:tc>
          <w:tcPr>
            <w:tcW w:w="567" w:type="dxa"/>
            <w:tcBorders>
              <w:top w:val="dotted" w:sz="4" w:space="0" w:color="0070C0"/>
              <w:bottom w:val="dotted" w:sz="4" w:space="0" w:color="0070C0"/>
            </w:tcBorders>
            <w:vAlign w:val="center"/>
          </w:tcPr>
          <w:p w:rsidR="00612FEC" w:rsidRPr="006F1D04" w:rsidRDefault="00612FEC" w:rsidP="00265F63">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567" w:type="dxa"/>
            <w:tcBorders>
              <w:top w:val="dotted" w:sz="4" w:space="0" w:color="0070C0"/>
              <w:bottom w:val="dotted" w:sz="4" w:space="0" w:color="0070C0"/>
            </w:tcBorders>
            <w:vAlign w:val="center"/>
          </w:tcPr>
          <w:p w:rsidR="00612FEC" w:rsidRPr="006F1D04" w:rsidRDefault="00612FEC" w:rsidP="00265F63">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2126" w:type="dxa"/>
            <w:tcBorders>
              <w:top w:val="dotted" w:sz="4" w:space="0" w:color="0070C0"/>
              <w:bottom w:val="dotted" w:sz="4" w:space="0" w:color="0070C0"/>
            </w:tcBorders>
            <w:vAlign w:val="center"/>
          </w:tcPr>
          <w:p w:rsidR="00612FEC" w:rsidRPr="006F1D04" w:rsidRDefault="00612FEC"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612FEC" w:rsidRPr="006F1D04" w:rsidTr="00DC2F53">
        <w:trPr>
          <w:trHeight w:hRule="exact" w:val="312"/>
          <w:jc w:val="center"/>
        </w:trPr>
        <w:tc>
          <w:tcPr>
            <w:tcW w:w="786" w:type="dxa"/>
            <w:tcBorders>
              <w:top w:val="dotted" w:sz="4" w:space="0" w:color="0070C0"/>
              <w:bottom w:val="dotted" w:sz="4" w:space="0" w:color="0070C0"/>
            </w:tcBorders>
            <w:shd w:val="clear" w:color="auto" w:fill="auto"/>
            <w:noWrap/>
            <w:vAlign w:val="center"/>
          </w:tcPr>
          <w:p w:rsidR="00612FEC" w:rsidRPr="006F1D04" w:rsidRDefault="00612FEC" w:rsidP="00265F63">
            <w:pPr>
              <w:spacing w:after="0" w:line="240" w:lineRule="auto"/>
              <w:jc w:val="center"/>
              <w:rPr>
                <w:rFonts w:ascii="Arial" w:hAnsi="Arial" w:cs="Arial"/>
                <w:sz w:val="14"/>
                <w:szCs w:val="14"/>
              </w:rPr>
            </w:pPr>
            <w:r w:rsidRPr="006F1D04">
              <w:rPr>
                <w:rFonts w:ascii="Arial" w:hAnsi="Arial" w:cs="Arial"/>
                <w:sz w:val="14"/>
                <w:szCs w:val="14"/>
              </w:rPr>
              <w:t>VIC_E04</w:t>
            </w:r>
          </w:p>
        </w:tc>
        <w:tc>
          <w:tcPr>
            <w:tcW w:w="1018"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EPA Victoria</w:t>
            </w:r>
          </w:p>
        </w:tc>
        <w:tc>
          <w:tcPr>
            <w:tcW w:w="1134"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Brighton</w:t>
            </w:r>
          </w:p>
        </w:tc>
        <w:tc>
          <w:tcPr>
            <w:tcW w:w="1276"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Port Phillip</w:t>
            </w:r>
          </w:p>
        </w:tc>
        <w:tc>
          <w:tcPr>
            <w:tcW w:w="2693"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 xml:space="preserve">Inner suburb, </w:t>
            </w:r>
            <w:r w:rsidR="00B63885" w:rsidRPr="006F1D04">
              <w:rPr>
                <w:rFonts w:ascii="Arial" w:hAnsi="Arial" w:cs="Arial"/>
                <w:color w:val="000000"/>
                <w:sz w:val="14"/>
                <w:szCs w:val="14"/>
              </w:rPr>
              <w:t>r</w:t>
            </w:r>
            <w:r w:rsidRPr="006F1D04">
              <w:rPr>
                <w:rFonts w:ascii="Arial" w:hAnsi="Arial" w:cs="Arial"/>
                <w:color w:val="000000"/>
                <w:sz w:val="14"/>
                <w:szCs w:val="14"/>
              </w:rPr>
              <w:t>esidential</w:t>
            </w:r>
          </w:p>
        </w:tc>
        <w:tc>
          <w:tcPr>
            <w:tcW w:w="2104" w:type="dxa"/>
            <w:tcBorders>
              <w:top w:val="dotted" w:sz="4" w:space="0" w:color="0070C0"/>
              <w:bottom w:val="dotted" w:sz="4" w:space="0" w:color="0070C0"/>
            </w:tcBorders>
            <w:shd w:val="clear" w:color="auto" w:fill="auto"/>
            <w:noWrap/>
            <w:vAlign w:val="center"/>
          </w:tcPr>
          <w:p w:rsidR="00612FEC" w:rsidRPr="006F1D04" w:rsidRDefault="00612FEC" w:rsidP="0072215E">
            <w:pPr>
              <w:spacing w:after="0" w:line="240" w:lineRule="auto"/>
              <w:jc w:val="center"/>
              <w:rPr>
                <w:rFonts w:ascii="Arial" w:hAnsi="Arial" w:cs="Arial"/>
                <w:color w:val="000000"/>
                <w:sz w:val="14"/>
                <w:szCs w:val="14"/>
              </w:rPr>
            </w:pPr>
            <w:r w:rsidRPr="006F1D04">
              <w:rPr>
                <w:rFonts w:ascii="Arial" w:hAnsi="Arial" w:cs="Arial"/>
                <w:color w:val="000000"/>
                <w:sz w:val="14"/>
                <w:szCs w:val="14"/>
              </w:rPr>
              <w:t>Performance: pop. average</w:t>
            </w:r>
          </w:p>
        </w:tc>
        <w:tc>
          <w:tcPr>
            <w:tcW w:w="590"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p>
        </w:tc>
        <w:tc>
          <w:tcPr>
            <w:tcW w:w="567" w:type="dxa"/>
            <w:tcBorders>
              <w:top w:val="dotted" w:sz="4" w:space="0" w:color="0070C0"/>
              <w:bottom w:val="dotted" w:sz="4" w:space="0" w:color="0070C0"/>
            </w:tcBorders>
            <w:vAlign w:val="center"/>
          </w:tcPr>
          <w:p w:rsidR="00612FEC" w:rsidRPr="006F1D04" w:rsidRDefault="00612FEC" w:rsidP="00265F63">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567" w:type="dxa"/>
            <w:tcBorders>
              <w:top w:val="dotted" w:sz="4" w:space="0" w:color="0070C0"/>
              <w:bottom w:val="dotted" w:sz="4" w:space="0" w:color="0070C0"/>
            </w:tcBorders>
            <w:vAlign w:val="center"/>
          </w:tcPr>
          <w:p w:rsidR="00612FEC" w:rsidRPr="006F1D04" w:rsidRDefault="00612FEC" w:rsidP="00265F63">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2126" w:type="dxa"/>
            <w:tcBorders>
              <w:top w:val="dotted" w:sz="4" w:space="0" w:color="0070C0"/>
              <w:bottom w:val="dotted" w:sz="4" w:space="0" w:color="0070C0"/>
            </w:tcBorders>
            <w:vAlign w:val="center"/>
          </w:tcPr>
          <w:p w:rsidR="00612FEC" w:rsidRPr="006F1D04" w:rsidRDefault="00612FEC"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612FEC" w:rsidRPr="006F1D04" w:rsidTr="00F23491">
        <w:trPr>
          <w:trHeight w:hRule="exact" w:val="312"/>
          <w:jc w:val="center"/>
        </w:trPr>
        <w:tc>
          <w:tcPr>
            <w:tcW w:w="786" w:type="dxa"/>
            <w:tcBorders>
              <w:top w:val="dotted" w:sz="4" w:space="0" w:color="0070C0"/>
              <w:bottom w:val="dotted" w:sz="4" w:space="0" w:color="0070C0"/>
            </w:tcBorders>
            <w:shd w:val="clear" w:color="auto" w:fill="auto"/>
            <w:noWrap/>
            <w:vAlign w:val="center"/>
          </w:tcPr>
          <w:p w:rsidR="00612FEC" w:rsidRPr="006F1D04" w:rsidRDefault="00612FEC" w:rsidP="00265F63">
            <w:pPr>
              <w:spacing w:after="0" w:line="240" w:lineRule="auto"/>
              <w:jc w:val="center"/>
              <w:rPr>
                <w:rFonts w:ascii="Arial" w:hAnsi="Arial" w:cs="Arial"/>
                <w:sz w:val="14"/>
                <w:szCs w:val="14"/>
              </w:rPr>
            </w:pPr>
            <w:r w:rsidRPr="006F1D04">
              <w:rPr>
                <w:rFonts w:ascii="Arial" w:hAnsi="Arial" w:cs="Arial"/>
                <w:sz w:val="14"/>
                <w:szCs w:val="14"/>
              </w:rPr>
              <w:t>VIC_E06</w:t>
            </w:r>
          </w:p>
        </w:tc>
        <w:tc>
          <w:tcPr>
            <w:tcW w:w="1018"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EPA Victoria</w:t>
            </w:r>
          </w:p>
        </w:tc>
        <w:tc>
          <w:tcPr>
            <w:tcW w:w="1134"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Dandenong</w:t>
            </w:r>
          </w:p>
        </w:tc>
        <w:tc>
          <w:tcPr>
            <w:tcW w:w="1276"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Port Phillip</w:t>
            </w:r>
          </w:p>
        </w:tc>
        <w:tc>
          <w:tcPr>
            <w:tcW w:w="2693"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 xml:space="preserve">Outer suburb, </w:t>
            </w:r>
            <w:r w:rsidR="00B63885" w:rsidRPr="006F1D04">
              <w:rPr>
                <w:rFonts w:ascii="Arial" w:hAnsi="Arial" w:cs="Arial"/>
                <w:color w:val="000000"/>
                <w:sz w:val="14"/>
                <w:szCs w:val="14"/>
              </w:rPr>
              <w:t>i</w:t>
            </w:r>
            <w:r w:rsidRPr="006F1D04">
              <w:rPr>
                <w:rFonts w:ascii="Arial" w:hAnsi="Arial" w:cs="Arial"/>
                <w:color w:val="000000"/>
                <w:sz w:val="14"/>
                <w:szCs w:val="14"/>
              </w:rPr>
              <w:t>ndustrial/</w:t>
            </w:r>
            <w:r w:rsidR="00B63885" w:rsidRPr="006F1D04">
              <w:rPr>
                <w:rFonts w:ascii="Arial" w:hAnsi="Arial" w:cs="Arial"/>
                <w:color w:val="000000"/>
                <w:sz w:val="14"/>
                <w:szCs w:val="14"/>
              </w:rPr>
              <w:t>r</w:t>
            </w:r>
            <w:r w:rsidRPr="006F1D04">
              <w:rPr>
                <w:rFonts w:ascii="Arial" w:hAnsi="Arial" w:cs="Arial"/>
                <w:color w:val="000000"/>
                <w:sz w:val="14"/>
                <w:szCs w:val="14"/>
              </w:rPr>
              <w:t>esidential</w:t>
            </w:r>
          </w:p>
        </w:tc>
        <w:tc>
          <w:tcPr>
            <w:tcW w:w="2104" w:type="dxa"/>
            <w:tcBorders>
              <w:top w:val="dotted" w:sz="4" w:space="0" w:color="0070C0"/>
              <w:bottom w:val="dotted" w:sz="4" w:space="0" w:color="0070C0"/>
            </w:tcBorders>
            <w:shd w:val="clear" w:color="auto" w:fill="auto"/>
            <w:noWrap/>
            <w:vAlign w:val="center"/>
          </w:tcPr>
          <w:p w:rsidR="00612FEC" w:rsidRPr="006F1D04" w:rsidRDefault="00612FEC" w:rsidP="0072215E">
            <w:pPr>
              <w:spacing w:after="0" w:line="240" w:lineRule="auto"/>
              <w:jc w:val="center"/>
              <w:rPr>
                <w:rFonts w:ascii="Arial" w:hAnsi="Arial" w:cs="Arial"/>
                <w:color w:val="000000"/>
                <w:sz w:val="14"/>
                <w:szCs w:val="14"/>
              </w:rPr>
            </w:pPr>
            <w:r w:rsidRPr="006F1D04">
              <w:rPr>
                <w:rFonts w:ascii="Arial" w:hAnsi="Arial" w:cs="Arial"/>
                <w:color w:val="000000"/>
                <w:sz w:val="14"/>
                <w:szCs w:val="14"/>
              </w:rPr>
              <w:t>Performance: pop. average</w:t>
            </w:r>
          </w:p>
        </w:tc>
        <w:tc>
          <w:tcPr>
            <w:tcW w:w="590"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p>
        </w:tc>
        <w:tc>
          <w:tcPr>
            <w:tcW w:w="567" w:type="dxa"/>
            <w:tcBorders>
              <w:top w:val="dotted" w:sz="4" w:space="0" w:color="0070C0"/>
              <w:bottom w:val="dotted" w:sz="4" w:space="0" w:color="0070C0"/>
            </w:tcBorders>
            <w:vAlign w:val="center"/>
          </w:tcPr>
          <w:p w:rsidR="00612FEC" w:rsidRPr="006F1D04" w:rsidRDefault="00612FEC" w:rsidP="00265F63">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567" w:type="dxa"/>
            <w:tcBorders>
              <w:top w:val="dotted" w:sz="4" w:space="0" w:color="0070C0"/>
              <w:bottom w:val="dotted" w:sz="4" w:space="0" w:color="0070C0"/>
            </w:tcBorders>
            <w:vAlign w:val="center"/>
          </w:tcPr>
          <w:p w:rsidR="00612FEC" w:rsidRPr="006F1D04" w:rsidRDefault="00612FEC" w:rsidP="00265F63">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2126" w:type="dxa"/>
            <w:tcBorders>
              <w:top w:val="dotted" w:sz="4" w:space="0" w:color="0070C0"/>
              <w:bottom w:val="dotted" w:sz="4" w:space="0" w:color="0070C0"/>
            </w:tcBorders>
            <w:vAlign w:val="center"/>
          </w:tcPr>
          <w:p w:rsidR="00612FEC" w:rsidRPr="006F1D04" w:rsidRDefault="00612FEC"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612FEC" w:rsidRPr="006F1D04" w:rsidTr="009D5558">
        <w:trPr>
          <w:trHeight w:hRule="exact" w:val="312"/>
          <w:jc w:val="center"/>
        </w:trPr>
        <w:tc>
          <w:tcPr>
            <w:tcW w:w="786" w:type="dxa"/>
            <w:tcBorders>
              <w:top w:val="dotted" w:sz="4" w:space="0" w:color="0070C0"/>
              <w:bottom w:val="dotted" w:sz="4" w:space="0" w:color="0070C0"/>
            </w:tcBorders>
            <w:shd w:val="clear" w:color="auto" w:fill="D9D9D9"/>
            <w:noWrap/>
            <w:vAlign w:val="center"/>
          </w:tcPr>
          <w:p w:rsidR="00612FEC" w:rsidRPr="006F1D04" w:rsidRDefault="00612FEC" w:rsidP="00265F63">
            <w:pPr>
              <w:spacing w:after="0" w:line="240" w:lineRule="auto"/>
              <w:jc w:val="center"/>
              <w:rPr>
                <w:rFonts w:ascii="Arial" w:hAnsi="Arial" w:cs="Arial"/>
                <w:sz w:val="14"/>
                <w:szCs w:val="14"/>
              </w:rPr>
            </w:pPr>
            <w:r w:rsidRPr="006F1D04">
              <w:rPr>
                <w:rFonts w:ascii="Arial" w:hAnsi="Arial" w:cs="Arial"/>
                <w:sz w:val="14"/>
                <w:szCs w:val="14"/>
              </w:rPr>
              <w:t>VIC_E07</w:t>
            </w:r>
          </w:p>
        </w:tc>
        <w:tc>
          <w:tcPr>
            <w:tcW w:w="1018" w:type="dxa"/>
            <w:tcBorders>
              <w:top w:val="dotted" w:sz="4" w:space="0" w:color="0070C0"/>
              <w:bottom w:val="dotted" w:sz="4" w:space="0" w:color="0070C0"/>
            </w:tcBorders>
            <w:shd w:val="clear" w:color="auto" w:fill="D9D9D9"/>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EPA Victoria</w:t>
            </w:r>
          </w:p>
        </w:tc>
        <w:tc>
          <w:tcPr>
            <w:tcW w:w="1134" w:type="dxa"/>
            <w:tcBorders>
              <w:top w:val="dotted" w:sz="4" w:space="0" w:color="0070C0"/>
              <w:bottom w:val="dotted" w:sz="4" w:space="0" w:color="0070C0"/>
            </w:tcBorders>
            <w:shd w:val="clear" w:color="auto" w:fill="D9D9D9"/>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Deer Park</w:t>
            </w:r>
          </w:p>
        </w:tc>
        <w:tc>
          <w:tcPr>
            <w:tcW w:w="1276" w:type="dxa"/>
            <w:tcBorders>
              <w:top w:val="dotted" w:sz="4" w:space="0" w:color="0070C0"/>
              <w:bottom w:val="dotted" w:sz="4" w:space="0" w:color="0070C0"/>
            </w:tcBorders>
            <w:shd w:val="clear" w:color="auto" w:fill="D9D9D9"/>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Port Phillip</w:t>
            </w:r>
          </w:p>
        </w:tc>
        <w:tc>
          <w:tcPr>
            <w:tcW w:w="2693" w:type="dxa"/>
            <w:tcBorders>
              <w:top w:val="dotted" w:sz="4" w:space="0" w:color="0070C0"/>
              <w:bottom w:val="dotted" w:sz="4" w:space="0" w:color="0070C0"/>
            </w:tcBorders>
            <w:shd w:val="clear" w:color="auto" w:fill="D9D9D9"/>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 xml:space="preserve">Outer suburb, </w:t>
            </w:r>
            <w:r w:rsidR="00B63885" w:rsidRPr="006F1D04">
              <w:rPr>
                <w:rFonts w:ascii="Arial" w:hAnsi="Arial" w:cs="Arial"/>
                <w:color w:val="000000"/>
                <w:sz w:val="14"/>
                <w:szCs w:val="14"/>
              </w:rPr>
              <w:t>r</w:t>
            </w:r>
            <w:r w:rsidRPr="006F1D04">
              <w:rPr>
                <w:rFonts w:ascii="Arial" w:hAnsi="Arial" w:cs="Arial"/>
                <w:color w:val="000000"/>
                <w:sz w:val="14"/>
                <w:szCs w:val="14"/>
              </w:rPr>
              <w:t>esidential</w:t>
            </w:r>
          </w:p>
        </w:tc>
        <w:tc>
          <w:tcPr>
            <w:tcW w:w="2104" w:type="dxa"/>
            <w:tcBorders>
              <w:top w:val="dotted" w:sz="4" w:space="0" w:color="0070C0"/>
              <w:bottom w:val="dotted" w:sz="4" w:space="0" w:color="0070C0"/>
            </w:tcBorders>
            <w:shd w:val="clear" w:color="auto" w:fill="D9D9D9"/>
            <w:noWrap/>
            <w:vAlign w:val="center"/>
          </w:tcPr>
          <w:p w:rsidR="00612FEC" w:rsidRPr="006F1D04" w:rsidRDefault="00612FEC" w:rsidP="0072215E">
            <w:pPr>
              <w:spacing w:after="0" w:line="240" w:lineRule="auto"/>
              <w:jc w:val="center"/>
              <w:rPr>
                <w:rFonts w:ascii="Arial" w:hAnsi="Arial" w:cs="Arial"/>
                <w:color w:val="000000"/>
                <w:sz w:val="14"/>
                <w:szCs w:val="14"/>
              </w:rPr>
            </w:pPr>
            <w:r w:rsidRPr="006F1D04">
              <w:rPr>
                <w:rFonts w:ascii="Arial" w:hAnsi="Arial" w:cs="Arial"/>
                <w:color w:val="000000"/>
                <w:sz w:val="14"/>
                <w:szCs w:val="14"/>
              </w:rPr>
              <w:t>Trend</w:t>
            </w:r>
          </w:p>
        </w:tc>
        <w:tc>
          <w:tcPr>
            <w:tcW w:w="590" w:type="dxa"/>
            <w:tcBorders>
              <w:top w:val="dotted" w:sz="4" w:space="0" w:color="0070C0"/>
              <w:bottom w:val="dotted" w:sz="4" w:space="0" w:color="0070C0"/>
            </w:tcBorders>
            <w:shd w:val="clear" w:color="auto" w:fill="D9D9D9"/>
            <w:noWrap/>
            <w:vAlign w:val="center"/>
          </w:tcPr>
          <w:p w:rsidR="00612FEC" w:rsidRPr="006F1D04" w:rsidRDefault="00612FEC" w:rsidP="0052102C">
            <w:pPr>
              <w:spacing w:after="0" w:line="240" w:lineRule="auto"/>
              <w:jc w:val="center"/>
              <w:rPr>
                <w:rFonts w:ascii="Arial" w:hAnsi="Arial" w:cs="Arial"/>
                <w:color w:val="000000"/>
                <w:sz w:val="14"/>
                <w:szCs w:val="14"/>
              </w:rPr>
            </w:pPr>
          </w:p>
        </w:tc>
        <w:tc>
          <w:tcPr>
            <w:tcW w:w="567" w:type="dxa"/>
            <w:tcBorders>
              <w:top w:val="dotted" w:sz="4" w:space="0" w:color="0070C0"/>
              <w:bottom w:val="dotted" w:sz="4" w:space="0" w:color="0070C0"/>
            </w:tcBorders>
            <w:shd w:val="clear" w:color="auto" w:fill="D9D9D9"/>
            <w:vAlign w:val="center"/>
          </w:tcPr>
          <w:p w:rsidR="00612FEC" w:rsidRPr="006F1D04" w:rsidRDefault="00612FEC" w:rsidP="00265F63">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567" w:type="dxa"/>
            <w:tcBorders>
              <w:top w:val="dotted" w:sz="4" w:space="0" w:color="0070C0"/>
              <w:bottom w:val="dotted" w:sz="4" w:space="0" w:color="0070C0"/>
            </w:tcBorders>
            <w:shd w:val="clear" w:color="auto" w:fill="D9D9D9"/>
            <w:vAlign w:val="center"/>
          </w:tcPr>
          <w:p w:rsidR="00612FEC" w:rsidRPr="006F1D04" w:rsidRDefault="00612FEC" w:rsidP="00265F63">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2126" w:type="dxa"/>
            <w:tcBorders>
              <w:top w:val="dotted" w:sz="4" w:space="0" w:color="0070C0"/>
              <w:bottom w:val="dotted" w:sz="4" w:space="0" w:color="0070C0"/>
            </w:tcBorders>
            <w:shd w:val="clear" w:color="auto" w:fill="D9D9D9"/>
            <w:vAlign w:val="center"/>
          </w:tcPr>
          <w:p w:rsidR="00612FEC" w:rsidRPr="006F1D04" w:rsidRDefault="00612FEC"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612FEC" w:rsidRPr="006F1D04" w:rsidTr="008A7B43">
        <w:trPr>
          <w:trHeight w:hRule="exact" w:val="456"/>
          <w:jc w:val="center"/>
        </w:trPr>
        <w:tc>
          <w:tcPr>
            <w:tcW w:w="786" w:type="dxa"/>
            <w:tcBorders>
              <w:top w:val="dotted" w:sz="4" w:space="0" w:color="0070C0"/>
              <w:bottom w:val="dotted" w:sz="4" w:space="0" w:color="0070C0"/>
            </w:tcBorders>
            <w:shd w:val="clear" w:color="auto" w:fill="auto"/>
            <w:noWrap/>
            <w:vAlign w:val="center"/>
          </w:tcPr>
          <w:p w:rsidR="00612FEC" w:rsidRPr="006F1D04" w:rsidRDefault="00612FEC" w:rsidP="00265F63">
            <w:pPr>
              <w:spacing w:after="0" w:line="240" w:lineRule="auto"/>
              <w:jc w:val="center"/>
              <w:rPr>
                <w:rFonts w:ascii="Arial" w:hAnsi="Arial" w:cs="Arial"/>
                <w:sz w:val="14"/>
                <w:szCs w:val="14"/>
              </w:rPr>
            </w:pPr>
            <w:r w:rsidRPr="006F1D04">
              <w:rPr>
                <w:rFonts w:ascii="Arial" w:hAnsi="Arial" w:cs="Arial"/>
                <w:sz w:val="14"/>
                <w:szCs w:val="14"/>
              </w:rPr>
              <w:t>VIC_E08</w:t>
            </w:r>
          </w:p>
        </w:tc>
        <w:tc>
          <w:tcPr>
            <w:tcW w:w="1018"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EPA Victoria</w:t>
            </w:r>
          </w:p>
        </w:tc>
        <w:tc>
          <w:tcPr>
            <w:tcW w:w="1134"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Footscray</w:t>
            </w:r>
          </w:p>
        </w:tc>
        <w:tc>
          <w:tcPr>
            <w:tcW w:w="1276"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Port Phillip</w:t>
            </w:r>
          </w:p>
        </w:tc>
        <w:tc>
          <w:tcPr>
            <w:tcW w:w="2693"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Inner suburb, industrial/</w:t>
            </w:r>
            <w:r w:rsidR="00B63885" w:rsidRPr="006F1D04">
              <w:rPr>
                <w:rFonts w:ascii="Arial" w:hAnsi="Arial" w:cs="Arial"/>
                <w:color w:val="000000"/>
                <w:sz w:val="14"/>
                <w:szCs w:val="14"/>
              </w:rPr>
              <w:t>r</w:t>
            </w:r>
            <w:r w:rsidRPr="006F1D04">
              <w:rPr>
                <w:rFonts w:ascii="Arial" w:hAnsi="Arial" w:cs="Arial"/>
                <w:color w:val="000000"/>
                <w:sz w:val="14"/>
                <w:szCs w:val="14"/>
              </w:rPr>
              <w:t>esidential</w:t>
            </w:r>
          </w:p>
        </w:tc>
        <w:tc>
          <w:tcPr>
            <w:tcW w:w="2104"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Trend</w:t>
            </w:r>
          </w:p>
        </w:tc>
        <w:tc>
          <w:tcPr>
            <w:tcW w:w="590"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567" w:type="dxa"/>
            <w:tcBorders>
              <w:top w:val="dotted" w:sz="4" w:space="0" w:color="0070C0"/>
              <w:bottom w:val="dotted" w:sz="4" w:space="0" w:color="0070C0"/>
            </w:tcBorders>
            <w:vAlign w:val="center"/>
          </w:tcPr>
          <w:p w:rsidR="00612FEC" w:rsidRPr="006F1D04" w:rsidRDefault="00612FEC" w:rsidP="00265F63">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567" w:type="dxa"/>
            <w:tcBorders>
              <w:top w:val="dotted" w:sz="4" w:space="0" w:color="0070C0"/>
              <w:bottom w:val="dotted" w:sz="4" w:space="0" w:color="0070C0"/>
            </w:tcBorders>
            <w:vAlign w:val="center"/>
          </w:tcPr>
          <w:p w:rsidR="00612FEC" w:rsidRPr="006F1D04" w:rsidRDefault="00612FEC" w:rsidP="00265F63">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2126" w:type="dxa"/>
            <w:tcBorders>
              <w:top w:val="dotted" w:sz="4" w:space="0" w:color="0070C0"/>
              <w:bottom w:val="dotted" w:sz="4" w:space="0" w:color="0070C0"/>
            </w:tcBorders>
            <w:vAlign w:val="center"/>
          </w:tcPr>
          <w:p w:rsidR="00612FEC" w:rsidRPr="006F1D04" w:rsidRDefault="008A7B4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Gravimetric reference method</w:t>
            </w:r>
            <w:r w:rsidR="00612FEC" w:rsidRPr="006F1D04">
              <w:rPr>
                <w:rFonts w:ascii="Arial" w:hAnsi="Arial" w:cs="Arial"/>
                <w:color w:val="000000"/>
                <w:sz w:val="14"/>
                <w:szCs w:val="14"/>
              </w:rPr>
              <w:t>/</w:t>
            </w:r>
            <w:proofErr w:type="spellStart"/>
            <w:r w:rsidR="00612FEC" w:rsidRPr="006F1D04">
              <w:rPr>
                <w:rFonts w:ascii="Arial" w:hAnsi="Arial" w:cs="Arial"/>
                <w:color w:val="000000"/>
                <w:sz w:val="14"/>
                <w:szCs w:val="14"/>
              </w:rPr>
              <w:t>Partisol</w:t>
            </w:r>
            <w:proofErr w:type="spellEnd"/>
            <w:r w:rsidR="00612FEC" w:rsidRPr="006F1D04">
              <w:rPr>
                <w:rFonts w:ascii="Arial" w:hAnsi="Arial" w:cs="Arial"/>
                <w:color w:val="000000"/>
                <w:sz w:val="14"/>
                <w:szCs w:val="14"/>
              </w:rPr>
              <w:t>/TEOM</w:t>
            </w:r>
          </w:p>
        </w:tc>
      </w:tr>
      <w:tr w:rsidR="00612FEC" w:rsidRPr="006F1D04" w:rsidTr="008A7B43">
        <w:trPr>
          <w:trHeight w:hRule="exact" w:val="420"/>
          <w:jc w:val="center"/>
        </w:trPr>
        <w:tc>
          <w:tcPr>
            <w:tcW w:w="786" w:type="dxa"/>
            <w:tcBorders>
              <w:top w:val="dotted" w:sz="4" w:space="0" w:color="0070C0"/>
              <w:bottom w:val="dotted" w:sz="4" w:space="0" w:color="0070C0"/>
            </w:tcBorders>
            <w:shd w:val="clear" w:color="auto" w:fill="auto"/>
            <w:noWrap/>
            <w:vAlign w:val="center"/>
          </w:tcPr>
          <w:p w:rsidR="00612FEC" w:rsidRPr="006F1D04" w:rsidRDefault="00612FEC" w:rsidP="00265F63">
            <w:pPr>
              <w:spacing w:after="0" w:line="240" w:lineRule="auto"/>
              <w:jc w:val="center"/>
              <w:rPr>
                <w:rFonts w:ascii="Arial" w:hAnsi="Arial" w:cs="Arial"/>
                <w:sz w:val="14"/>
                <w:szCs w:val="14"/>
              </w:rPr>
            </w:pPr>
            <w:r w:rsidRPr="006F1D04">
              <w:rPr>
                <w:rFonts w:ascii="Arial" w:hAnsi="Arial" w:cs="Arial"/>
                <w:sz w:val="14"/>
                <w:szCs w:val="14"/>
              </w:rPr>
              <w:t>VIC_E09</w:t>
            </w:r>
          </w:p>
        </w:tc>
        <w:tc>
          <w:tcPr>
            <w:tcW w:w="1018"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EPA Victoria</w:t>
            </w:r>
          </w:p>
        </w:tc>
        <w:tc>
          <w:tcPr>
            <w:tcW w:w="1134"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Geelong South</w:t>
            </w:r>
          </w:p>
        </w:tc>
        <w:tc>
          <w:tcPr>
            <w:tcW w:w="1276"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Port Phillip</w:t>
            </w:r>
          </w:p>
        </w:tc>
        <w:tc>
          <w:tcPr>
            <w:tcW w:w="2693"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 xml:space="preserve">Suburb, </w:t>
            </w:r>
            <w:r w:rsidR="00B63885" w:rsidRPr="006F1D04">
              <w:rPr>
                <w:rFonts w:ascii="Arial" w:hAnsi="Arial" w:cs="Arial"/>
                <w:color w:val="000000"/>
                <w:sz w:val="14"/>
                <w:szCs w:val="14"/>
              </w:rPr>
              <w:t>r</w:t>
            </w:r>
            <w:r w:rsidRPr="006F1D04">
              <w:rPr>
                <w:rFonts w:ascii="Arial" w:hAnsi="Arial" w:cs="Arial"/>
                <w:color w:val="000000"/>
                <w:sz w:val="14"/>
                <w:szCs w:val="14"/>
              </w:rPr>
              <w:t>esidential</w:t>
            </w:r>
          </w:p>
        </w:tc>
        <w:tc>
          <w:tcPr>
            <w:tcW w:w="2104"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Trend</w:t>
            </w:r>
          </w:p>
        </w:tc>
        <w:tc>
          <w:tcPr>
            <w:tcW w:w="590"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567" w:type="dxa"/>
            <w:tcBorders>
              <w:top w:val="dotted" w:sz="4" w:space="0" w:color="0070C0"/>
              <w:bottom w:val="dotted" w:sz="4" w:space="0" w:color="0070C0"/>
            </w:tcBorders>
            <w:vAlign w:val="center"/>
          </w:tcPr>
          <w:p w:rsidR="00612FEC" w:rsidRPr="006F1D04" w:rsidRDefault="00612FEC" w:rsidP="00265F63">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567" w:type="dxa"/>
            <w:tcBorders>
              <w:top w:val="dotted" w:sz="4" w:space="0" w:color="0070C0"/>
              <w:bottom w:val="dotted" w:sz="4" w:space="0" w:color="0070C0"/>
            </w:tcBorders>
            <w:vAlign w:val="center"/>
          </w:tcPr>
          <w:p w:rsidR="00612FEC" w:rsidRPr="006F1D04" w:rsidRDefault="00612FEC" w:rsidP="00265F63">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2126" w:type="dxa"/>
            <w:tcBorders>
              <w:top w:val="dotted" w:sz="4" w:space="0" w:color="0070C0"/>
              <w:bottom w:val="dotted" w:sz="4" w:space="0" w:color="0070C0"/>
            </w:tcBorders>
            <w:vAlign w:val="center"/>
          </w:tcPr>
          <w:p w:rsidR="00612FEC" w:rsidRPr="006F1D04" w:rsidRDefault="008A7B4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Gravimetric reference method</w:t>
            </w:r>
            <w:r w:rsidR="00612FEC" w:rsidRPr="006F1D04">
              <w:rPr>
                <w:rFonts w:ascii="Arial" w:hAnsi="Arial" w:cs="Arial"/>
                <w:color w:val="000000"/>
                <w:sz w:val="14"/>
                <w:szCs w:val="14"/>
              </w:rPr>
              <w:t>/TEOM</w:t>
            </w:r>
          </w:p>
        </w:tc>
      </w:tr>
      <w:tr w:rsidR="00612FEC" w:rsidRPr="006F1D04" w:rsidTr="00F23491">
        <w:trPr>
          <w:trHeight w:hRule="exact" w:val="312"/>
          <w:jc w:val="center"/>
        </w:trPr>
        <w:tc>
          <w:tcPr>
            <w:tcW w:w="786" w:type="dxa"/>
            <w:tcBorders>
              <w:top w:val="dotted" w:sz="4" w:space="0" w:color="0070C0"/>
              <w:bottom w:val="dotted" w:sz="4" w:space="0" w:color="0070C0"/>
            </w:tcBorders>
            <w:shd w:val="clear" w:color="auto" w:fill="auto"/>
            <w:noWrap/>
            <w:vAlign w:val="center"/>
          </w:tcPr>
          <w:p w:rsidR="00612FEC" w:rsidRPr="006F1D04" w:rsidRDefault="00612FEC" w:rsidP="00265F63">
            <w:pPr>
              <w:spacing w:after="0" w:line="240" w:lineRule="auto"/>
              <w:jc w:val="center"/>
              <w:rPr>
                <w:rFonts w:ascii="Arial" w:hAnsi="Arial" w:cs="Arial"/>
                <w:sz w:val="14"/>
                <w:szCs w:val="14"/>
              </w:rPr>
            </w:pPr>
            <w:r w:rsidRPr="006F1D04">
              <w:rPr>
                <w:rFonts w:ascii="Arial" w:hAnsi="Arial" w:cs="Arial"/>
                <w:sz w:val="14"/>
                <w:szCs w:val="14"/>
              </w:rPr>
              <w:t>VIC_E10</w:t>
            </w:r>
          </w:p>
        </w:tc>
        <w:tc>
          <w:tcPr>
            <w:tcW w:w="1018"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EPA Victoria</w:t>
            </w:r>
          </w:p>
        </w:tc>
        <w:tc>
          <w:tcPr>
            <w:tcW w:w="1134"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Mooroolbark</w:t>
            </w:r>
          </w:p>
        </w:tc>
        <w:tc>
          <w:tcPr>
            <w:tcW w:w="1276"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Port Phillip</w:t>
            </w:r>
          </w:p>
        </w:tc>
        <w:tc>
          <w:tcPr>
            <w:tcW w:w="2693"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 xml:space="preserve">Outer suburb, </w:t>
            </w:r>
            <w:r w:rsidR="00B63885" w:rsidRPr="006F1D04">
              <w:rPr>
                <w:rFonts w:ascii="Arial" w:hAnsi="Arial" w:cs="Arial"/>
                <w:color w:val="000000"/>
                <w:sz w:val="14"/>
                <w:szCs w:val="14"/>
              </w:rPr>
              <w:t>r</w:t>
            </w:r>
            <w:r w:rsidRPr="006F1D04">
              <w:rPr>
                <w:rFonts w:ascii="Arial" w:hAnsi="Arial" w:cs="Arial"/>
                <w:color w:val="000000"/>
                <w:sz w:val="14"/>
                <w:szCs w:val="14"/>
              </w:rPr>
              <w:t>esidential</w:t>
            </w:r>
          </w:p>
        </w:tc>
        <w:tc>
          <w:tcPr>
            <w:tcW w:w="2104" w:type="dxa"/>
            <w:tcBorders>
              <w:top w:val="dotted" w:sz="4" w:space="0" w:color="0070C0"/>
              <w:bottom w:val="dotted" w:sz="4" w:space="0" w:color="0070C0"/>
            </w:tcBorders>
            <w:shd w:val="clear" w:color="auto" w:fill="auto"/>
            <w:noWrap/>
            <w:vAlign w:val="center"/>
          </w:tcPr>
          <w:p w:rsidR="00612FEC" w:rsidRPr="006F1D04" w:rsidRDefault="00612FEC" w:rsidP="0072215E">
            <w:pPr>
              <w:spacing w:after="0" w:line="240" w:lineRule="auto"/>
              <w:jc w:val="center"/>
              <w:rPr>
                <w:rFonts w:ascii="Arial" w:hAnsi="Arial" w:cs="Arial"/>
                <w:color w:val="000000"/>
                <w:sz w:val="14"/>
                <w:szCs w:val="14"/>
              </w:rPr>
            </w:pPr>
            <w:r w:rsidRPr="006F1D04">
              <w:rPr>
                <w:rFonts w:ascii="Arial" w:hAnsi="Arial" w:cs="Arial"/>
                <w:color w:val="000000"/>
                <w:sz w:val="14"/>
                <w:szCs w:val="14"/>
              </w:rPr>
              <w:t>Performance: pop. average</w:t>
            </w:r>
          </w:p>
        </w:tc>
        <w:tc>
          <w:tcPr>
            <w:tcW w:w="590" w:type="dxa"/>
            <w:tcBorders>
              <w:top w:val="dotted" w:sz="4" w:space="0" w:color="0070C0"/>
              <w:bottom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p>
        </w:tc>
        <w:tc>
          <w:tcPr>
            <w:tcW w:w="567" w:type="dxa"/>
            <w:tcBorders>
              <w:top w:val="dotted" w:sz="4" w:space="0" w:color="0070C0"/>
              <w:bottom w:val="dotted" w:sz="4" w:space="0" w:color="0070C0"/>
            </w:tcBorders>
            <w:vAlign w:val="center"/>
          </w:tcPr>
          <w:p w:rsidR="00612FEC" w:rsidRPr="006F1D04" w:rsidRDefault="00612FEC" w:rsidP="00265F63">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567" w:type="dxa"/>
            <w:tcBorders>
              <w:top w:val="dotted" w:sz="4" w:space="0" w:color="0070C0"/>
              <w:bottom w:val="dotted" w:sz="4" w:space="0" w:color="0070C0"/>
            </w:tcBorders>
            <w:vAlign w:val="center"/>
          </w:tcPr>
          <w:p w:rsidR="00612FEC" w:rsidRPr="006F1D04" w:rsidRDefault="00612FEC" w:rsidP="00265F63">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2126" w:type="dxa"/>
            <w:tcBorders>
              <w:top w:val="dotted" w:sz="4" w:space="0" w:color="0070C0"/>
              <w:bottom w:val="dotted" w:sz="4" w:space="0" w:color="0070C0"/>
            </w:tcBorders>
            <w:vAlign w:val="center"/>
          </w:tcPr>
          <w:p w:rsidR="00612FEC" w:rsidRPr="006F1D04" w:rsidRDefault="00612FEC"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612FEC" w:rsidRPr="006F1D04" w:rsidTr="009D5558">
        <w:trPr>
          <w:trHeight w:hRule="exact" w:val="403"/>
          <w:jc w:val="center"/>
        </w:trPr>
        <w:tc>
          <w:tcPr>
            <w:tcW w:w="786" w:type="dxa"/>
            <w:tcBorders>
              <w:top w:val="dotted" w:sz="4" w:space="0" w:color="0070C0"/>
              <w:bottom w:val="dotted" w:sz="4" w:space="0" w:color="0070C0"/>
            </w:tcBorders>
            <w:shd w:val="clear" w:color="auto" w:fill="D9D9D9"/>
            <w:noWrap/>
            <w:vAlign w:val="center"/>
          </w:tcPr>
          <w:p w:rsidR="00612FEC" w:rsidRPr="006F1D04" w:rsidRDefault="00612FEC" w:rsidP="00265F63">
            <w:pPr>
              <w:spacing w:after="0" w:line="240" w:lineRule="auto"/>
              <w:jc w:val="center"/>
              <w:rPr>
                <w:rFonts w:ascii="Arial" w:hAnsi="Arial" w:cs="Arial"/>
                <w:sz w:val="14"/>
                <w:szCs w:val="14"/>
              </w:rPr>
            </w:pPr>
            <w:r w:rsidRPr="006F1D04">
              <w:rPr>
                <w:rFonts w:ascii="Arial" w:hAnsi="Arial" w:cs="Arial"/>
                <w:sz w:val="14"/>
                <w:szCs w:val="14"/>
              </w:rPr>
              <w:t>VIC_E12</w:t>
            </w:r>
          </w:p>
        </w:tc>
        <w:tc>
          <w:tcPr>
            <w:tcW w:w="1018" w:type="dxa"/>
            <w:tcBorders>
              <w:top w:val="dotted" w:sz="4" w:space="0" w:color="0070C0"/>
              <w:bottom w:val="dotted" w:sz="4" w:space="0" w:color="0070C0"/>
            </w:tcBorders>
            <w:shd w:val="clear" w:color="auto" w:fill="D9D9D9"/>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EPA Victoria</w:t>
            </w:r>
          </w:p>
        </w:tc>
        <w:tc>
          <w:tcPr>
            <w:tcW w:w="1134" w:type="dxa"/>
            <w:tcBorders>
              <w:top w:val="dotted" w:sz="4" w:space="0" w:color="0070C0"/>
              <w:bottom w:val="dotted" w:sz="4" w:space="0" w:color="0070C0"/>
            </w:tcBorders>
            <w:shd w:val="clear" w:color="auto" w:fill="D9D9D9"/>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Richmond</w:t>
            </w:r>
          </w:p>
        </w:tc>
        <w:tc>
          <w:tcPr>
            <w:tcW w:w="1276" w:type="dxa"/>
            <w:tcBorders>
              <w:top w:val="dotted" w:sz="4" w:space="0" w:color="0070C0"/>
              <w:bottom w:val="dotted" w:sz="4" w:space="0" w:color="0070C0"/>
            </w:tcBorders>
            <w:shd w:val="clear" w:color="auto" w:fill="D9D9D9"/>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Port Phillip</w:t>
            </w:r>
          </w:p>
        </w:tc>
        <w:tc>
          <w:tcPr>
            <w:tcW w:w="2693" w:type="dxa"/>
            <w:tcBorders>
              <w:top w:val="dotted" w:sz="4" w:space="0" w:color="0070C0"/>
              <w:bottom w:val="dotted" w:sz="4" w:space="0" w:color="0070C0"/>
            </w:tcBorders>
            <w:shd w:val="clear" w:color="auto" w:fill="D9D9D9"/>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 xml:space="preserve">Inner suburb, </w:t>
            </w:r>
            <w:r w:rsidR="00B63885" w:rsidRPr="006F1D04">
              <w:rPr>
                <w:rFonts w:ascii="Arial" w:hAnsi="Arial" w:cs="Arial"/>
                <w:color w:val="000000"/>
                <w:sz w:val="14"/>
                <w:szCs w:val="14"/>
              </w:rPr>
              <w:t>r</w:t>
            </w:r>
            <w:r w:rsidRPr="006F1D04">
              <w:rPr>
                <w:rFonts w:ascii="Arial" w:hAnsi="Arial" w:cs="Arial"/>
                <w:color w:val="000000"/>
                <w:sz w:val="14"/>
                <w:szCs w:val="14"/>
              </w:rPr>
              <w:t>esidential</w:t>
            </w:r>
          </w:p>
        </w:tc>
        <w:tc>
          <w:tcPr>
            <w:tcW w:w="2104" w:type="dxa"/>
            <w:tcBorders>
              <w:top w:val="dotted" w:sz="4" w:space="0" w:color="0070C0"/>
              <w:bottom w:val="dotted" w:sz="4" w:space="0" w:color="0070C0"/>
            </w:tcBorders>
            <w:shd w:val="clear" w:color="auto" w:fill="D9D9D9"/>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Performance</w:t>
            </w:r>
          </w:p>
        </w:tc>
        <w:tc>
          <w:tcPr>
            <w:tcW w:w="590" w:type="dxa"/>
            <w:tcBorders>
              <w:top w:val="dotted" w:sz="4" w:space="0" w:color="0070C0"/>
              <w:bottom w:val="dotted" w:sz="4" w:space="0" w:color="0070C0"/>
            </w:tcBorders>
            <w:shd w:val="clear" w:color="auto" w:fill="D9D9D9"/>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567" w:type="dxa"/>
            <w:tcBorders>
              <w:top w:val="dotted" w:sz="4" w:space="0" w:color="0070C0"/>
              <w:bottom w:val="dotted" w:sz="4" w:space="0" w:color="0070C0"/>
            </w:tcBorders>
            <w:shd w:val="clear" w:color="auto" w:fill="D9D9D9"/>
            <w:vAlign w:val="center"/>
          </w:tcPr>
          <w:p w:rsidR="00612FEC" w:rsidRPr="006F1D04" w:rsidRDefault="00612FEC" w:rsidP="00265F63">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567" w:type="dxa"/>
            <w:tcBorders>
              <w:top w:val="dotted" w:sz="4" w:space="0" w:color="0070C0"/>
              <w:bottom w:val="dotted" w:sz="4" w:space="0" w:color="0070C0"/>
            </w:tcBorders>
            <w:shd w:val="clear" w:color="auto" w:fill="D9D9D9"/>
            <w:vAlign w:val="center"/>
          </w:tcPr>
          <w:p w:rsidR="00612FEC" w:rsidRPr="006F1D04" w:rsidRDefault="00612FEC" w:rsidP="00265F63">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2126" w:type="dxa"/>
            <w:tcBorders>
              <w:top w:val="dotted" w:sz="4" w:space="0" w:color="0070C0"/>
              <w:bottom w:val="dotted" w:sz="4" w:space="0" w:color="0070C0"/>
            </w:tcBorders>
            <w:shd w:val="clear" w:color="auto" w:fill="D9D9D9"/>
            <w:vAlign w:val="center"/>
          </w:tcPr>
          <w:p w:rsidR="00612FEC" w:rsidRPr="006F1D04" w:rsidRDefault="008A7B4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Gravimetric reference method</w:t>
            </w:r>
            <w:r w:rsidR="00612FEC" w:rsidRPr="006F1D04">
              <w:rPr>
                <w:rFonts w:ascii="Arial" w:hAnsi="Arial" w:cs="Arial"/>
                <w:color w:val="000000"/>
                <w:sz w:val="14"/>
                <w:szCs w:val="14"/>
              </w:rPr>
              <w:t>/TEOM</w:t>
            </w:r>
          </w:p>
        </w:tc>
      </w:tr>
      <w:tr w:rsidR="00612FEC" w:rsidRPr="006F1D04" w:rsidTr="009D5558">
        <w:trPr>
          <w:trHeight w:hRule="exact" w:val="422"/>
          <w:jc w:val="center"/>
        </w:trPr>
        <w:tc>
          <w:tcPr>
            <w:tcW w:w="786" w:type="dxa"/>
            <w:tcBorders>
              <w:top w:val="dotted" w:sz="4" w:space="0" w:color="0070C0"/>
              <w:bottom w:val="dotted" w:sz="4" w:space="0" w:color="0070C0"/>
            </w:tcBorders>
            <w:shd w:val="clear" w:color="auto" w:fill="D9D9D9"/>
            <w:noWrap/>
            <w:vAlign w:val="center"/>
          </w:tcPr>
          <w:p w:rsidR="00612FEC" w:rsidRPr="006F1D04" w:rsidRDefault="00612FEC" w:rsidP="00265F63">
            <w:pPr>
              <w:spacing w:after="0" w:line="240" w:lineRule="auto"/>
              <w:jc w:val="center"/>
              <w:rPr>
                <w:rFonts w:ascii="Arial" w:hAnsi="Arial" w:cs="Arial"/>
                <w:sz w:val="14"/>
                <w:szCs w:val="14"/>
              </w:rPr>
            </w:pPr>
            <w:r w:rsidRPr="006F1D04">
              <w:rPr>
                <w:rFonts w:ascii="Arial" w:hAnsi="Arial" w:cs="Arial"/>
                <w:sz w:val="14"/>
                <w:szCs w:val="14"/>
              </w:rPr>
              <w:t>VIC_E13</w:t>
            </w:r>
          </w:p>
        </w:tc>
        <w:tc>
          <w:tcPr>
            <w:tcW w:w="1018" w:type="dxa"/>
            <w:tcBorders>
              <w:top w:val="dotted" w:sz="4" w:space="0" w:color="0070C0"/>
              <w:bottom w:val="dotted" w:sz="4" w:space="0" w:color="0070C0"/>
            </w:tcBorders>
            <w:shd w:val="clear" w:color="auto" w:fill="D9D9D9"/>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EPA Victoria</w:t>
            </w:r>
          </w:p>
        </w:tc>
        <w:tc>
          <w:tcPr>
            <w:tcW w:w="1134" w:type="dxa"/>
            <w:tcBorders>
              <w:top w:val="dotted" w:sz="4" w:space="0" w:color="0070C0"/>
              <w:bottom w:val="dotted" w:sz="4" w:space="0" w:color="0070C0"/>
            </w:tcBorders>
            <w:shd w:val="clear" w:color="auto" w:fill="D9D9D9"/>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RMIT</w:t>
            </w:r>
          </w:p>
        </w:tc>
        <w:tc>
          <w:tcPr>
            <w:tcW w:w="1276" w:type="dxa"/>
            <w:tcBorders>
              <w:top w:val="dotted" w:sz="4" w:space="0" w:color="0070C0"/>
              <w:bottom w:val="dotted" w:sz="4" w:space="0" w:color="0070C0"/>
            </w:tcBorders>
            <w:shd w:val="clear" w:color="auto" w:fill="D9D9D9"/>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Port Phillip</w:t>
            </w:r>
          </w:p>
        </w:tc>
        <w:tc>
          <w:tcPr>
            <w:tcW w:w="2693" w:type="dxa"/>
            <w:tcBorders>
              <w:top w:val="dotted" w:sz="4" w:space="0" w:color="0070C0"/>
              <w:bottom w:val="dotted" w:sz="4" w:space="0" w:color="0070C0"/>
            </w:tcBorders>
            <w:shd w:val="clear" w:color="auto" w:fill="D9D9D9"/>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CBD (elevated: 3rd floor)</w:t>
            </w:r>
          </w:p>
        </w:tc>
        <w:tc>
          <w:tcPr>
            <w:tcW w:w="2104" w:type="dxa"/>
            <w:tcBorders>
              <w:top w:val="dotted" w:sz="4" w:space="0" w:color="0070C0"/>
              <w:bottom w:val="dotted" w:sz="4" w:space="0" w:color="0070C0"/>
            </w:tcBorders>
            <w:shd w:val="clear" w:color="auto" w:fill="D9D9D9"/>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Trend</w:t>
            </w:r>
          </w:p>
        </w:tc>
        <w:tc>
          <w:tcPr>
            <w:tcW w:w="590" w:type="dxa"/>
            <w:tcBorders>
              <w:top w:val="dotted" w:sz="4" w:space="0" w:color="0070C0"/>
              <w:bottom w:val="dotted" w:sz="4" w:space="0" w:color="0070C0"/>
            </w:tcBorders>
            <w:shd w:val="clear" w:color="auto" w:fill="D9D9D9"/>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567" w:type="dxa"/>
            <w:tcBorders>
              <w:top w:val="dotted" w:sz="4" w:space="0" w:color="0070C0"/>
              <w:bottom w:val="dotted" w:sz="4" w:space="0" w:color="0070C0"/>
            </w:tcBorders>
            <w:shd w:val="clear" w:color="auto" w:fill="D9D9D9"/>
            <w:vAlign w:val="center"/>
          </w:tcPr>
          <w:p w:rsidR="00612FEC" w:rsidRPr="006F1D04" w:rsidRDefault="00612FEC" w:rsidP="00265F63">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567" w:type="dxa"/>
            <w:tcBorders>
              <w:top w:val="dotted" w:sz="4" w:space="0" w:color="0070C0"/>
              <w:bottom w:val="dotted" w:sz="4" w:space="0" w:color="0070C0"/>
            </w:tcBorders>
            <w:shd w:val="clear" w:color="auto" w:fill="D9D9D9"/>
            <w:vAlign w:val="center"/>
          </w:tcPr>
          <w:p w:rsidR="00612FEC" w:rsidRPr="006F1D04" w:rsidRDefault="00612FEC" w:rsidP="00265F63">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2126" w:type="dxa"/>
            <w:tcBorders>
              <w:top w:val="dotted" w:sz="4" w:space="0" w:color="0070C0"/>
              <w:bottom w:val="dotted" w:sz="4" w:space="0" w:color="0070C0"/>
            </w:tcBorders>
            <w:shd w:val="clear" w:color="auto" w:fill="D9D9D9"/>
            <w:vAlign w:val="center"/>
          </w:tcPr>
          <w:p w:rsidR="00612FEC" w:rsidRPr="006F1D04" w:rsidRDefault="008A7B4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Gravimetric reference method</w:t>
            </w:r>
            <w:r w:rsidR="00612FEC" w:rsidRPr="006F1D04">
              <w:rPr>
                <w:rFonts w:ascii="Arial" w:hAnsi="Arial" w:cs="Arial"/>
                <w:color w:val="000000"/>
                <w:sz w:val="14"/>
                <w:szCs w:val="14"/>
              </w:rPr>
              <w:t>/TEOM</w:t>
            </w:r>
          </w:p>
        </w:tc>
      </w:tr>
      <w:tr w:rsidR="00612FEC" w:rsidRPr="006F1D04" w:rsidTr="009D5558">
        <w:trPr>
          <w:trHeight w:hRule="exact" w:val="312"/>
          <w:jc w:val="center"/>
        </w:trPr>
        <w:tc>
          <w:tcPr>
            <w:tcW w:w="786" w:type="dxa"/>
            <w:tcBorders>
              <w:top w:val="dotted" w:sz="4" w:space="0" w:color="0070C0"/>
              <w:bottom w:val="dotted" w:sz="4" w:space="0" w:color="0070C0"/>
            </w:tcBorders>
            <w:shd w:val="clear" w:color="auto" w:fill="D9D9D9"/>
            <w:noWrap/>
            <w:vAlign w:val="center"/>
          </w:tcPr>
          <w:p w:rsidR="00612FEC" w:rsidRPr="006F1D04" w:rsidRDefault="00612FEC" w:rsidP="00265F63">
            <w:pPr>
              <w:spacing w:after="0" w:line="240" w:lineRule="auto"/>
              <w:jc w:val="center"/>
              <w:rPr>
                <w:rFonts w:ascii="Arial" w:hAnsi="Arial" w:cs="Arial"/>
                <w:sz w:val="14"/>
                <w:szCs w:val="14"/>
              </w:rPr>
            </w:pPr>
            <w:r w:rsidRPr="006F1D04">
              <w:rPr>
                <w:rFonts w:ascii="Arial" w:hAnsi="Arial" w:cs="Arial"/>
                <w:sz w:val="14"/>
                <w:szCs w:val="14"/>
              </w:rPr>
              <w:t>VIC_E14</w:t>
            </w:r>
          </w:p>
        </w:tc>
        <w:tc>
          <w:tcPr>
            <w:tcW w:w="1018" w:type="dxa"/>
            <w:tcBorders>
              <w:top w:val="dotted" w:sz="4" w:space="0" w:color="0070C0"/>
              <w:bottom w:val="dotted" w:sz="4" w:space="0" w:color="0070C0"/>
            </w:tcBorders>
            <w:shd w:val="clear" w:color="auto" w:fill="D9D9D9"/>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EPA Victoria</w:t>
            </w:r>
          </w:p>
        </w:tc>
        <w:tc>
          <w:tcPr>
            <w:tcW w:w="1134" w:type="dxa"/>
            <w:tcBorders>
              <w:top w:val="dotted" w:sz="4" w:space="0" w:color="0070C0"/>
              <w:bottom w:val="dotted" w:sz="4" w:space="0" w:color="0070C0"/>
            </w:tcBorders>
            <w:shd w:val="clear" w:color="auto" w:fill="D9D9D9"/>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Moe</w:t>
            </w:r>
          </w:p>
        </w:tc>
        <w:tc>
          <w:tcPr>
            <w:tcW w:w="1276" w:type="dxa"/>
            <w:tcBorders>
              <w:top w:val="dotted" w:sz="4" w:space="0" w:color="0070C0"/>
              <w:bottom w:val="dotted" w:sz="4" w:space="0" w:color="0070C0"/>
            </w:tcBorders>
            <w:shd w:val="clear" w:color="auto" w:fill="D9D9D9"/>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Latrobe Valley</w:t>
            </w:r>
          </w:p>
        </w:tc>
        <w:tc>
          <w:tcPr>
            <w:tcW w:w="2693" w:type="dxa"/>
            <w:tcBorders>
              <w:top w:val="dotted" w:sz="4" w:space="0" w:color="0070C0"/>
              <w:bottom w:val="dotted" w:sz="4" w:space="0" w:color="0070C0"/>
            </w:tcBorders>
            <w:shd w:val="clear" w:color="auto" w:fill="D9D9D9"/>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Residential near power station</w:t>
            </w:r>
          </w:p>
        </w:tc>
        <w:tc>
          <w:tcPr>
            <w:tcW w:w="2104" w:type="dxa"/>
            <w:tcBorders>
              <w:top w:val="dotted" w:sz="4" w:space="0" w:color="0070C0"/>
              <w:bottom w:val="dotted" w:sz="4" w:space="0" w:color="0070C0"/>
            </w:tcBorders>
            <w:shd w:val="clear" w:color="auto" w:fill="D9D9D9"/>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Performance</w:t>
            </w:r>
          </w:p>
        </w:tc>
        <w:tc>
          <w:tcPr>
            <w:tcW w:w="590" w:type="dxa"/>
            <w:tcBorders>
              <w:top w:val="dotted" w:sz="4" w:space="0" w:color="0070C0"/>
              <w:bottom w:val="dotted" w:sz="4" w:space="0" w:color="0070C0"/>
            </w:tcBorders>
            <w:shd w:val="clear" w:color="auto" w:fill="D9D9D9"/>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567" w:type="dxa"/>
            <w:tcBorders>
              <w:top w:val="dotted" w:sz="4" w:space="0" w:color="0070C0"/>
              <w:bottom w:val="dotted" w:sz="4" w:space="0" w:color="0070C0"/>
            </w:tcBorders>
            <w:shd w:val="clear" w:color="auto" w:fill="D9D9D9"/>
            <w:vAlign w:val="center"/>
          </w:tcPr>
          <w:p w:rsidR="00612FEC" w:rsidRPr="006F1D04" w:rsidRDefault="00612FEC" w:rsidP="00265F63">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567" w:type="dxa"/>
            <w:tcBorders>
              <w:top w:val="dotted" w:sz="4" w:space="0" w:color="0070C0"/>
              <w:bottom w:val="dotted" w:sz="4" w:space="0" w:color="0070C0"/>
            </w:tcBorders>
            <w:shd w:val="clear" w:color="auto" w:fill="D9D9D9"/>
            <w:vAlign w:val="center"/>
          </w:tcPr>
          <w:p w:rsidR="00612FEC" w:rsidRPr="006F1D04" w:rsidRDefault="00612FEC" w:rsidP="00265F63">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2126" w:type="dxa"/>
            <w:tcBorders>
              <w:top w:val="dotted" w:sz="4" w:space="0" w:color="0070C0"/>
              <w:bottom w:val="dotted" w:sz="4" w:space="0" w:color="0070C0"/>
            </w:tcBorders>
            <w:shd w:val="clear" w:color="auto" w:fill="D9D9D9"/>
            <w:vAlign w:val="center"/>
          </w:tcPr>
          <w:p w:rsidR="00612FEC" w:rsidRPr="006F1D04" w:rsidRDefault="00612FEC"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612FEC" w:rsidRPr="006F1D04" w:rsidTr="00DC2F53">
        <w:trPr>
          <w:trHeight w:hRule="exact" w:val="312"/>
          <w:jc w:val="center"/>
        </w:trPr>
        <w:tc>
          <w:tcPr>
            <w:tcW w:w="786" w:type="dxa"/>
            <w:tcBorders>
              <w:top w:val="dotted" w:sz="4" w:space="0" w:color="0070C0"/>
            </w:tcBorders>
            <w:shd w:val="clear" w:color="auto" w:fill="auto"/>
            <w:noWrap/>
            <w:vAlign w:val="center"/>
          </w:tcPr>
          <w:p w:rsidR="00612FEC" w:rsidRPr="006F1D04" w:rsidRDefault="00612FEC" w:rsidP="00265F63">
            <w:pPr>
              <w:spacing w:after="0" w:line="240" w:lineRule="auto"/>
              <w:jc w:val="center"/>
              <w:rPr>
                <w:rFonts w:ascii="Arial" w:hAnsi="Arial" w:cs="Arial"/>
                <w:sz w:val="14"/>
                <w:szCs w:val="14"/>
              </w:rPr>
            </w:pPr>
            <w:r w:rsidRPr="006F1D04">
              <w:rPr>
                <w:rFonts w:ascii="Arial" w:hAnsi="Arial" w:cs="Arial"/>
                <w:sz w:val="14"/>
                <w:szCs w:val="14"/>
              </w:rPr>
              <w:t>VIC_E15</w:t>
            </w:r>
          </w:p>
        </w:tc>
        <w:tc>
          <w:tcPr>
            <w:tcW w:w="1018" w:type="dxa"/>
            <w:tcBorders>
              <w:top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EPA Victoria</w:t>
            </w:r>
          </w:p>
        </w:tc>
        <w:tc>
          <w:tcPr>
            <w:tcW w:w="1134" w:type="dxa"/>
            <w:tcBorders>
              <w:top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Traralgon</w:t>
            </w:r>
          </w:p>
        </w:tc>
        <w:tc>
          <w:tcPr>
            <w:tcW w:w="1276" w:type="dxa"/>
            <w:tcBorders>
              <w:top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Latrobe Valley</w:t>
            </w:r>
          </w:p>
        </w:tc>
        <w:tc>
          <w:tcPr>
            <w:tcW w:w="2693" w:type="dxa"/>
            <w:tcBorders>
              <w:top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Residential near power station</w:t>
            </w:r>
          </w:p>
        </w:tc>
        <w:tc>
          <w:tcPr>
            <w:tcW w:w="2104" w:type="dxa"/>
            <w:tcBorders>
              <w:top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Trend</w:t>
            </w:r>
          </w:p>
        </w:tc>
        <w:tc>
          <w:tcPr>
            <w:tcW w:w="590" w:type="dxa"/>
            <w:tcBorders>
              <w:top w:val="dotted" w:sz="4" w:space="0" w:color="0070C0"/>
            </w:tcBorders>
            <w:shd w:val="clear" w:color="auto" w:fill="auto"/>
            <w:noWrap/>
            <w:vAlign w:val="center"/>
          </w:tcPr>
          <w:p w:rsidR="00612FEC" w:rsidRPr="006F1D04" w:rsidRDefault="00612FEC" w:rsidP="0052102C">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567" w:type="dxa"/>
            <w:tcBorders>
              <w:top w:val="dotted" w:sz="4" w:space="0" w:color="0070C0"/>
            </w:tcBorders>
            <w:vAlign w:val="center"/>
          </w:tcPr>
          <w:p w:rsidR="00612FEC" w:rsidRPr="006F1D04" w:rsidRDefault="00612FEC" w:rsidP="00265F63">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567" w:type="dxa"/>
            <w:tcBorders>
              <w:top w:val="dotted" w:sz="4" w:space="0" w:color="0070C0"/>
            </w:tcBorders>
            <w:vAlign w:val="center"/>
          </w:tcPr>
          <w:p w:rsidR="00612FEC" w:rsidRPr="006F1D04" w:rsidRDefault="00612FEC" w:rsidP="00265F63">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2126" w:type="dxa"/>
            <w:tcBorders>
              <w:top w:val="dotted" w:sz="4" w:space="0" w:color="0070C0"/>
            </w:tcBorders>
            <w:vAlign w:val="center"/>
          </w:tcPr>
          <w:p w:rsidR="00612FEC" w:rsidRPr="006F1D04" w:rsidRDefault="00612FEC"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bl>
    <w:p w:rsidR="0052102C" w:rsidRPr="006F1D04" w:rsidRDefault="00265F63" w:rsidP="00265F63">
      <w:pPr>
        <w:tabs>
          <w:tab w:val="left" w:pos="1569"/>
        </w:tabs>
        <w:spacing w:after="200" w:line="240" w:lineRule="auto"/>
        <w:rPr>
          <w:rFonts w:ascii="Arial" w:hAnsi="Arial" w:cs="Arial"/>
        </w:rPr>
      </w:pPr>
      <w:r w:rsidRPr="006F1D04">
        <w:rPr>
          <w:rFonts w:ascii="Arial" w:hAnsi="Arial" w:cs="Arial"/>
        </w:rPr>
        <w:tab/>
      </w:r>
    </w:p>
    <w:p w:rsidR="0052102C" w:rsidRPr="006F1D04" w:rsidRDefault="0052102C" w:rsidP="0052102C">
      <w:pPr>
        <w:pStyle w:val="Caption"/>
        <w:rPr>
          <w:rFonts w:ascii="Arial" w:hAnsi="Arial" w:cs="Arial"/>
        </w:rPr>
      </w:pPr>
      <w:r w:rsidRPr="006F1D04">
        <w:rPr>
          <w:rFonts w:ascii="Arial" w:hAnsi="Arial" w:cs="Arial"/>
        </w:rPr>
        <w:t xml:space="preserve">Table </w:t>
      </w:r>
      <w:r w:rsidR="00236133" w:rsidRPr="006F1D04">
        <w:rPr>
          <w:rFonts w:ascii="Arial" w:hAnsi="Arial" w:cs="Arial"/>
        </w:rPr>
        <w:t>D.</w:t>
      </w:r>
      <w:r w:rsidR="00BF6019" w:rsidRPr="006F1D04">
        <w:rPr>
          <w:rFonts w:ascii="Arial" w:hAnsi="Arial" w:cs="Arial"/>
        </w:rPr>
        <w:fldChar w:fldCharType="begin"/>
      </w:r>
      <w:r w:rsidRPr="006F1D04">
        <w:rPr>
          <w:rFonts w:ascii="Arial" w:hAnsi="Arial" w:cs="Arial"/>
        </w:rPr>
        <w:instrText xml:space="preserve"> SEQ Table_Apx \* ARABIC \s 6 </w:instrText>
      </w:r>
      <w:r w:rsidR="00BF6019" w:rsidRPr="006F1D04">
        <w:rPr>
          <w:rFonts w:ascii="Arial" w:hAnsi="Arial" w:cs="Arial"/>
        </w:rPr>
        <w:fldChar w:fldCharType="separate"/>
      </w:r>
      <w:r w:rsidR="0085182E">
        <w:rPr>
          <w:rFonts w:ascii="Arial" w:hAnsi="Arial" w:cs="Arial"/>
          <w:noProof/>
        </w:rPr>
        <w:t>3</w:t>
      </w:r>
      <w:r w:rsidR="00BF6019" w:rsidRPr="006F1D04">
        <w:rPr>
          <w:rFonts w:ascii="Arial" w:hAnsi="Arial" w:cs="Arial"/>
        </w:rPr>
        <w:fldChar w:fldCharType="end"/>
      </w:r>
      <w:r w:rsidRPr="006F1D04">
        <w:rPr>
          <w:rFonts w:ascii="Arial" w:hAnsi="Arial" w:cs="Arial"/>
        </w:rPr>
        <w:t>: QLD monitoring sites</w:t>
      </w:r>
    </w:p>
    <w:tbl>
      <w:tblPr>
        <w:tblW w:w="12969"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814"/>
        <w:gridCol w:w="1134"/>
        <w:gridCol w:w="1617"/>
        <w:gridCol w:w="1076"/>
        <w:gridCol w:w="3175"/>
        <w:gridCol w:w="1559"/>
        <w:gridCol w:w="567"/>
        <w:gridCol w:w="456"/>
        <w:gridCol w:w="503"/>
        <w:gridCol w:w="2068"/>
      </w:tblGrid>
      <w:tr w:rsidR="00074407" w:rsidRPr="006F1D04" w:rsidTr="00E93CB1">
        <w:trPr>
          <w:trHeight w:val="481"/>
          <w:tblHeader/>
          <w:jc w:val="center"/>
        </w:trPr>
        <w:tc>
          <w:tcPr>
            <w:tcW w:w="814" w:type="dxa"/>
            <w:tcBorders>
              <w:bottom w:val="single" w:sz="4" w:space="0" w:color="0070C0"/>
            </w:tcBorders>
            <w:shd w:val="clear" w:color="auto" w:fill="0070C0"/>
            <w:noWrap/>
            <w:tcMar>
              <w:left w:w="28" w:type="dxa"/>
              <w:right w:w="28" w:type="dxa"/>
            </w:tcMar>
            <w:vAlign w:val="center"/>
          </w:tcPr>
          <w:p w:rsidR="00074407" w:rsidRPr="006F1D04" w:rsidRDefault="00074407" w:rsidP="0080504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Site code</w:t>
            </w:r>
          </w:p>
        </w:tc>
        <w:tc>
          <w:tcPr>
            <w:tcW w:w="1134" w:type="dxa"/>
            <w:tcBorders>
              <w:bottom w:val="single" w:sz="4" w:space="0" w:color="0070C0"/>
            </w:tcBorders>
            <w:shd w:val="clear" w:color="auto" w:fill="0070C0"/>
            <w:noWrap/>
            <w:tcMar>
              <w:left w:w="28" w:type="dxa"/>
              <w:right w:w="28" w:type="dxa"/>
            </w:tcMar>
            <w:vAlign w:val="center"/>
          </w:tcPr>
          <w:p w:rsidR="00074407" w:rsidRPr="006F1D04" w:rsidRDefault="00074407" w:rsidP="0080504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Organisation</w:t>
            </w:r>
          </w:p>
        </w:tc>
        <w:tc>
          <w:tcPr>
            <w:tcW w:w="1617" w:type="dxa"/>
            <w:tcBorders>
              <w:bottom w:val="single" w:sz="4" w:space="0" w:color="0070C0"/>
            </w:tcBorders>
            <w:shd w:val="clear" w:color="auto" w:fill="0070C0"/>
            <w:noWrap/>
            <w:tcMar>
              <w:left w:w="28" w:type="dxa"/>
              <w:right w:w="28" w:type="dxa"/>
            </w:tcMar>
            <w:vAlign w:val="center"/>
          </w:tcPr>
          <w:p w:rsidR="00074407" w:rsidRPr="006F1D04" w:rsidRDefault="00074407" w:rsidP="0080504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Site name</w:t>
            </w:r>
          </w:p>
        </w:tc>
        <w:tc>
          <w:tcPr>
            <w:tcW w:w="1076" w:type="dxa"/>
            <w:tcBorders>
              <w:bottom w:val="single" w:sz="4" w:space="0" w:color="0070C0"/>
            </w:tcBorders>
            <w:shd w:val="clear" w:color="auto" w:fill="0070C0"/>
            <w:noWrap/>
            <w:tcMar>
              <w:left w:w="28" w:type="dxa"/>
              <w:right w:w="28" w:type="dxa"/>
            </w:tcMar>
            <w:vAlign w:val="center"/>
          </w:tcPr>
          <w:p w:rsidR="00074407" w:rsidRPr="006F1D04" w:rsidRDefault="00074407" w:rsidP="0080504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Region</w:t>
            </w:r>
          </w:p>
        </w:tc>
        <w:tc>
          <w:tcPr>
            <w:tcW w:w="3175" w:type="dxa"/>
            <w:tcBorders>
              <w:bottom w:val="single" w:sz="4" w:space="0" w:color="0070C0"/>
            </w:tcBorders>
            <w:shd w:val="clear" w:color="auto" w:fill="0070C0"/>
            <w:noWrap/>
            <w:tcMar>
              <w:left w:w="28" w:type="dxa"/>
              <w:right w:w="28" w:type="dxa"/>
            </w:tcMar>
            <w:vAlign w:val="center"/>
          </w:tcPr>
          <w:p w:rsidR="00074407" w:rsidRPr="006F1D04" w:rsidRDefault="00074407" w:rsidP="0080504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Site description</w:t>
            </w:r>
          </w:p>
        </w:tc>
        <w:tc>
          <w:tcPr>
            <w:tcW w:w="1559" w:type="dxa"/>
            <w:tcBorders>
              <w:bottom w:val="single" w:sz="4" w:space="0" w:color="0070C0"/>
            </w:tcBorders>
            <w:shd w:val="clear" w:color="auto" w:fill="0070C0"/>
            <w:noWrap/>
            <w:tcMar>
              <w:left w:w="28" w:type="dxa"/>
              <w:right w:w="28" w:type="dxa"/>
            </w:tcMar>
            <w:vAlign w:val="center"/>
          </w:tcPr>
          <w:p w:rsidR="00074407" w:rsidRPr="006F1D04" w:rsidRDefault="00074407" w:rsidP="0080504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Purpose</w:t>
            </w:r>
          </w:p>
        </w:tc>
        <w:tc>
          <w:tcPr>
            <w:tcW w:w="567" w:type="dxa"/>
            <w:tcBorders>
              <w:bottom w:val="single" w:sz="4" w:space="0" w:color="0070C0"/>
            </w:tcBorders>
            <w:shd w:val="clear" w:color="auto" w:fill="0070C0"/>
            <w:noWrap/>
            <w:tcMar>
              <w:left w:w="28" w:type="dxa"/>
              <w:right w:w="28" w:type="dxa"/>
            </w:tcMar>
            <w:vAlign w:val="center"/>
          </w:tcPr>
          <w:p w:rsidR="00074407" w:rsidRPr="006F1D04" w:rsidRDefault="00074407" w:rsidP="0080504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GRUB</w:t>
            </w:r>
          </w:p>
        </w:tc>
        <w:tc>
          <w:tcPr>
            <w:tcW w:w="503" w:type="dxa"/>
            <w:tcBorders>
              <w:bottom w:val="single" w:sz="4" w:space="0" w:color="0070C0"/>
            </w:tcBorders>
            <w:shd w:val="clear" w:color="auto" w:fill="0070C0"/>
            <w:tcMar>
              <w:left w:w="28" w:type="dxa"/>
              <w:right w:w="28" w:type="dxa"/>
            </w:tcMar>
            <w:vAlign w:val="center"/>
          </w:tcPr>
          <w:p w:rsidR="00074407" w:rsidRPr="006F1D04" w:rsidRDefault="00074407" w:rsidP="00612FEC">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PM</w:t>
            </w:r>
            <w:r w:rsidRPr="006F1D04">
              <w:rPr>
                <w:rFonts w:ascii="Arial" w:hAnsi="Arial" w:cs="Arial"/>
                <w:b/>
                <w:bCs/>
                <w:color w:val="FFFFFF"/>
                <w:sz w:val="14"/>
                <w:szCs w:val="14"/>
                <w:vertAlign w:val="subscript"/>
              </w:rPr>
              <w:t>10</w:t>
            </w:r>
          </w:p>
        </w:tc>
        <w:tc>
          <w:tcPr>
            <w:tcW w:w="561" w:type="dxa"/>
            <w:tcBorders>
              <w:bottom w:val="single" w:sz="4" w:space="0" w:color="0070C0"/>
            </w:tcBorders>
            <w:shd w:val="clear" w:color="auto" w:fill="0070C0"/>
            <w:tcMar>
              <w:left w:w="28" w:type="dxa"/>
              <w:right w:w="28" w:type="dxa"/>
            </w:tcMar>
            <w:vAlign w:val="center"/>
          </w:tcPr>
          <w:p w:rsidR="00074407" w:rsidRPr="006F1D04" w:rsidRDefault="00074407" w:rsidP="0007440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PM</w:t>
            </w:r>
            <w:r w:rsidRPr="006F1D04">
              <w:rPr>
                <w:rFonts w:ascii="Arial" w:hAnsi="Arial" w:cs="Arial"/>
                <w:b/>
                <w:bCs/>
                <w:color w:val="FFFFFF"/>
                <w:sz w:val="14"/>
                <w:szCs w:val="14"/>
                <w:vertAlign w:val="subscript"/>
              </w:rPr>
              <w:t>2.5</w:t>
            </w:r>
          </w:p>
        </w:tc>
        <w:tc>
          <w:tcPr>
            <w:tcW w:w="1963" w:type="dxa"/>
            <w:tcBorders>
              <w:bottom w:val="single" w:sz="4" w:space="0" w:color="0070C0"/>
            </w:tcBorders>
            <w:shd w:val="clear" w:color="auto" w:fill="0070C0"/>
            <w:vAlign w:val="center"/>
          </w:tcPr>
          <w:p w:rsidR="00074407" w:rsidRPr="006F1D04" w:rsidRDefault="00074407" w:rsidP="0007440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Instrument(s)</w:t>
            </w:r>
          </w:p>
        </w:tc>
      </w:tr>
      <w:tr w:rsidR="00DC2F53" w:rsidRPr="006F1D04" w:rsidTr="00DC2F53">
        <w:trPr>
          <w:trHeight w:val="255"/>
          <w:jc w:val="center"/>
        </w:trPr>
        <w:tc>
          <w:tcPr>
            <w:tcW w:w="814" w:type="dxa"/>
            <w:tcBorders>
              <w:bottom w:val="dotted" w:sz="4" w:space="0" w:color="0070C0"/>
            </w:tcBorders>
            <w:shd w:val="clear" w:color="auto" w:fill="auto"/>
            <w:noWrap/>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t>QLD_D02</w:t>
            </w:r>
          </w:p>
        </w:tc>
        <w:tc>
          <w:tcPr>
            <w:tcW w:w="1134" w:type="dxa"/>
            <w:tcBorders>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DSITIA</w:t>
            </w:r>
          </w:p>
        </w:tc>
        <w:tc>
          <w:tcPr>
            <w:tcW w:w="1617" w:type="dxa"/>
            <w:tcBorders>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Brisbane CBD</w:t>
            </w:r>
          </w:p>
        </w:tc>
        <w:tc>
          <w:tcPr>
            <w:tcW w:w="1076" w:type="dxa"/>
            <w:tcBorders>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SEQ</w:t>
            </w:r>
          </w:p>
        </w:tc>
        <w:tc>
          <w:tcPr>
            <w:tcW w:w="3175" w:type="dxa"/>
            <w:tcBorders>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sz w:val="14"/>
                <w:szCs w:val="14"/>
              </w:rPr>
            </w:pPr>
            <w:r w:rsidRPr="006F1D04">
              <w:rPr>
                <w:rFonts w:ascii="Arial" w:hAnsi="Arial" w:cs="Arial"/>
                <w:sz w:val="14"/>
                <w:szCs w:val="14"/>
              </w:rPr>
              <w:t>CBD</w:t>
            </w:r>
          </w:p>
        </w:tc>
        <w:tc>
          <w:tcPr>
            <w:tcW w:w="1559" w:type="dxa"/>
            <w:tcBorders>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sz w:val="14"/>
                <w:szCs w:val="14"/>
              </w:rPr>
            </w:pPr>
          </w:p>
        </w:tc>
        <w:tc>
          <w:tcPr>
            <w:tcW w:w="567" w:type="dxa"/>
            <w:tcBorders>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sz w:val="14"/>
                <w:szCs w:val="14"/>
              </w:rPr>
            </w:pPr>
          </w:p>
        </w:tc>
        <w:tc>
          <w:tcPr>
            <w:tcW w:w="503" w:type="dxa"/>
            <w:tcBorders>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561" w:type="dxa"/>
            <w:tcBorders>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sz w:val="14"/>
                <w:szCs w:val="14"/>
              </w:rPr>
            </w:pPr>
            <w:r w:rsidRPr="006F1D04">
              <w:rPr>
                <w:rFonts w:ascii="Arial" w:hAnsi="Arial" w:cs="Arial"/>
                <w:color w:val="000000"/>
                <w:sz w:val="14"/>
                <w:szCs w:val="14"/>
              </w:rPr>
              <w:sym w:font="Wingdings" w:char="F0FB"/>
            </w:r>
          </w:p>
        </w:tc>
        <w:tc>
          <w:tcPr>
            <w:tcW w:w="1963" w:type="dxa"/>
            <w:tcBorders>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DC2F53" w:rsidRPr="006F1D04" w:rsidTr="008A7B43">
        <w:trPr>
          <w:trHeight w:hRule="exact" w:val="454"/>
          <w:jc w:val="center"/>
        </w:trPr>
        <w:tc>
          <w:tcPr>
            <w:tcW w:w="81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t>QLD_D05</w:t>
            </w:r>
          </w:p>
        </w:tc>
        <w:tc>
          <w:tcPr>
            <w:tcW w:w="113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DSITIA</w:t>
            </w:r>
          </w:p>
        </w:tc>
        <w:tc>
          <w:tcPr>
            <w:tcW w:w="161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Flinders View</w:t>
            </w:r>
          </w:p>
        </w:tc>
        <w:tc>
          <w:tcPr>
            <w:tcW w:w="1076"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SEQ</w:t>
            </w:r>
          </w:p>
        </w:tc>
        <w:tc>
          <w:tcPr>
            <w:tcW w:w="3175"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sz w:val="14"/>
                <w:szCs w:val="14"/>
              </w:rPr>
              <w:t>Industry/residential,</w:t>
            </w:r>
            <w:r w:rsidRPr="006F1D04">
              <w:rPr>
                <w:rFonts w:ascii="Arial" w:hAnsi="Arial" w:cs="Arial"/>
                <w:color w:val="000000"/>
                <w:sz w:val="14"/>
                <w:szCs w:val="14"/>
              </w:rPr>
              <w:t xml:space="preserve"> </w:t>
            </w:r>
            <w:r w:rsidR="00B63885" w:rsidRPr="006F1D04">
              <w:rPr>
                <w:rFonts w:ascii="Arial" w:hAnsi="Arial" w:cs="Arial"/>
                <w:color w:val="000000"/>
                <w:sz w:val="14"/>
                <w:szCs w:val="14"/>
              </w:rPr>
              <w:t>m</w:t>
            </w:r>
            <w:r w:rsidRPr="006F1D04">
              <w:rPr>
                <w:rFonts w:ascii="Arial" w:hAnsi="Arial" w:cs="Arial"/>
                <w:color w:val="000000"/>
                <w:sz w:val="14"/>
                <w:szCs w:val="14"/>
              </w:rPr>
              <w:t>ajor roads, industry (coal fired power station)</w:t>
            </w:r>
          </w:p>
        </w:tc>
        <w:tc>
          <w:tcPr>
            <w:tcW w:w="1559"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sz w:val="14"/>
                <w:szCs w:val="14"/>
              </w:rPr>
            </w:pPr>
            <w:r w:rsidRPr="006F1D04">
              <w:rPr>
                <w:rFonts w:ascii="Arial" w:hAnsi="Arial" w:cs="Arial"/>
                <w:sz w:val="14"/>
                <w:szCs w:val="14"/>
              </w:rPr>
              <w:t>Trend</w:t>
            </w:r>
          </w:p>
        </w:tc>
        <w:tc>
          <w:tcPr>
            <w:tcW w:w="56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sz w:val="14"/>
                <w:szCs w:val="14"/>
              </w:rPr>
            </w:pPr>
            <w:r w:rsidRPr="006F1D04">
              <w:rPr>
                <w:rFonts w:ascii="Arial" w:hAnsi="Arial" w:cs="Arial"/>
                <w:sz w:val="14"/>
                <w:szCs w:val="14"/>
              </w:rPr>
              <w:t>Yes</w:t>
            </w:r>
          </w:p>
        </w:tc>
        <w:tc>
          <w:tcPr>
            <w:tcW w:w="503"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561"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sz w:val="14"/>
                <w:szCs w:val="14"/>
              </w:rPr>
            </w:pPr>
            <w:r w:rsidRPr="006F1D04">
              <w:rPr>
                <w:rFonts w:ascii="Arial" w:hAnsi="Arial" w:cs="Arial"/>
                <w:color w:val="000000"/>
                <w:sz w:val="14"/>
                <w:szCs w:val="14"/>
              </w:rPr>
              <w:sym w:font="Wingdings" w:char="F0FB"/>
            </w:r>
          </w:p>
        </w:tc>
        <w:tc>
          <w:tcPr>
            <w:tcW w:w="1963" w:type="dxa"/>
            <w:tcBorders>
              <w:top w:val="dotted" w:sz="4" w:space="0" w:color="0070C0"/>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DC2F53" w:rsidRPr="006F1D04" w:rsidTr="008A7B43">
        <w:trPr>
          <w:trHeight w:hRule="exact" w:val="454"/>
          <w:jc w:val="center"/>
        </w:trPr>
        <w:tc>
          <w:tcPr>
            <w:tcW w:w="81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t>QLD_D07</w:t>
            </w:r>
          </w:p>
        </w:tc>
        <w:tc>
          <w:tcPr>
            <w:tcW w:w="113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DSITIA</w:t>
            </w:r>
          </w:p>
        </w:tc>
        <w:tc>
          <w:tcPr>
            <w:tcW w:w="161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Mountain Creek</w:t>
            </w:r>
          </w:p>
        </w:tc>
        <w:tc>
          <w:tcPr>
            <w:tcW w:w="1076"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SEQ</w:t>
            </w:r>
          </w:p>
        </w:tc>
        <w:tc>
          <w:tcPr>
            <w:tcW w:w="3175"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sz w:val="14"/>
                <w:szCs w:val="14"/>
              </w:rPr>
              <w:t>Residential</w:t>
            </w:r>
            <w:r w:rsidRPr="006F1D04">
              <w:rPr>
                <w:rFonts w:ascii="Arial" w:hAnsi="Arial" w:cs="Arial"/>
                <w:color w:val="000000"/>
                <w:sz w:val="14"/>
                <w:szCs w:val="14"/>
              </w:rPr>
              <w:t xml:space="preserve">, </w:t>
            </w:r>
            <w:r w:rsidR="00B63885" w:rsidRPr="006F1D04">
              <w:rPr>
                <w:rFonts w:ascii="Arial" w:hAnsi="Arial" w:cs="Arial"/>
                <w:color w:val="000000"/>
                <w:sz w:val="14"/>
                <w:szCs w:val="14"/>
              </w:rPr>
              <w:t>m</w:t>
            </w:r>
            <w:r w:rsidRPr="006F1D04">
              <w:rPr>
                <w:rFonts w:ascii="Arial" w:hAnsi="Arial" w:cs="Arial"/>
                <w:color w:val="000000"/>
                <w:sz w:val="14"/>
                <w:szCs w:val="14"/>
              </w:rPr>
              <w:t>ajor roads, forestry/agriculture and burning</w:t>
            </w:r>
          </w:p>
        </w:tc>
        <w:tc>
          <w:tcPr>
            <w:tcW w:w="1559"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sz w:val="14"/>
                <w:szCs w:val="14"/>
              </w:rPr>
            </w:pPr>
            <w:r w:rsidRPr="006F1D04">
              <w:rPr>
                <w:rFonts w:ascii="Arial" w:hAnsi="Arial" w:cs="Arial"/>
                <w:sz w:val="14"/>
                <w:szCs w:val="14"/>
              </w:rPr>
              <w:t>Performance</w:t>
            </w:r>
          </w:p>
        </w:tc>
        <w:tc>
          <w:tcPr>
            <w:tcW w:w="56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sz w:val="14"/>
                <w:szCs w:val="14"/>
              </w:rPr>
            </w:pPr>
            <w:r w:rsidRPr="006F1D04">
              <w:rPr>
                <w:rFonts w:ascii="Arial" w:hAnsi="Arial" w:cs="Arial"/>
                <w:sz w:val="14"/>
                <w:szCs w:val="14"/>
              </w:rPr>
              <w:t>Yes</w:t>
            </w:r>
          </w:p>
        </w:tc>
        <w:tc>
          <w:tcPr>
            <w:tcW w:w="503"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561"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sz w:val="14"/>
                <w:szCs w:val="14"/>
              </w:rPr>
            </w:pPr>
            <w:r w:rsidRPr="006F1D04">
              <w:rPr>
                <w:rFonts w:ascii="Arial" w:hAnsi="Arial" w:cs="Arial"/>
                <w:color w:val="000000"/>
                <w:sz w:val="14"/>
                <w:szCs w:val="14"/>
              </w:rPr>
              <w:sym w:font="Wingdings" w:char="F0FB"/>
            </w:r>
          </w:p>
        </w:tc>
        <w:tc>
          <w:tcPr>
            <w:tcW w:w="1963" w:type="dxa"/>
            <w:tcBorders>
              <w:top w:val="dotted" w:sz="4" w:space="0" w:color="0070C0"/>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DC2F53" w:rsidRPr="006F1D04" w:rsidTr="008A7B43">
        <w:trPr>
          <w:trHeight w:hRule="exact" w:val="454"/>
          <w:jc w:val="center"/>
        </w:trPr>
        <w:tc>
          <w:tcPr>
            <w:tcW w:w="81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t>QLD_D08</w:t>
            </w:r>
          </w:p>
        </w:tc>
        <w:tc>
          <w:tcPr>
            <w:tcW w:w="113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DSITIA</w:t>
            </w:r>
          </w:p>
        </w:tc>
        <w:tc>
          <w:tcPr>
            <w:tcW w:w="161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North Toowoomba</w:t>
            </w:r>
          </w:p>
        </w:tc>
        <w:tc>
          <w:tcPr>
            <w:tcW w:w="1076"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SEQ</w:t>
            </w:r>
          </w:p>
        </w:tc>
        <w:tc>
          <w:tcPr>
            <w:tcW w:w="3175"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sz w:val="14"/>
                <w:szCs w:val="14"/>
              </w:rPr>
              <w:t>Commercial/residential,</w:t>
            </w:r>
            <w:r w:rsidR="004B4989" w:rsidRPr="006F1D04">
              <w:rPr>
                <w:rFonts w:ascii="Arial" w:hAnsi="Arial" w:cs="Arial"/>
                <w:sz w:val="14"/>
                <w:szCs w:val="14"/>
              </w:rPr>
              <w:t xml:space="preserve"> </w:t>
            </w:r>
            <w:r w:rsidR="00B63885" w:rsidRPr="006F1D04">
              <w:rPr>
                <w:rFonts w:ascii="Arial" w:hAnsi="Arial" w:cs="Arial"/>
                <w:color w:val="000000"/>
                <w:sz w:val="14"/>
                <w:szCs w:val="14"/>
              </w:rPr>
              <w:t>m</w:t>
            </w:r>
            <w:r w:rsidRPr="006F1D04">
              <w:rPr>
                <w:rFonts w:ascii="Arial" w:hAnsi="Arial" w:cs="Arial"/>
                <w:color w:val="000000"/>
                <w:sz w:val="14"/>
                <w:szCs w:val="14"/>
              </w:rPr>
              <w:t>ajor roads, solid fuel heaters</w:t>
            </w:r>
          </w:p>
        </w:tc>
        <w:tc>
          <w:tcPr>
            <w:tcW w:w="1559"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sz w:val="14"/>
                <w:szCs w:val="14"/>
              </w:rPr>
            </w:pPr>
            <w:r w:rsidRPr="006F1D04">
              <w:rPr>
                <w:rFonts w:ascii="Arial" w:hAnsi="Arial" w:cs="Arial"/>
                <w:sz w:val="14"/>
                <w:szCs w:val="14"/>
              </w:rPr>
              <w:t>Campaign</w:t>
            </w:r>
          </w:p>
        </w:tc>
        <w:tc>
          <w:tcPr>
            <w:tcW w:w="56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sz w:val="14"/>
                <w:szCs w:val="14"/>
              </w:rPr>
            </w:pPr>
            <w:r w:rsidRPr="006F1D04">
              <w:rPr>
                <w:rFonts w:ascii="Arial" w:hAnsi="Arial" w:cs="Arial"/>
                <w:sz w:val="14"/>
                <w:szCs w:val="14"/>
              </w:rPr>
              <w:t>Yes</w:t>
            </w:r>
          </w:p>
        </w:tc>
        <w:tc>
          <w:tcPr>
            <w:tcW w:w="503"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561"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sz w:val="14"/>
                <w:szCs w:val="14"/>
              </w:rPr>
            </w:pPr>
            <w:r w:rsidRPr="006F1D04">
              <w:rPr>
                <w:rFonts w:ascii="Arial" w:hAnsi="Arial" w:cs="Arial"/>
                <w:color w:val="000000"/>
                <w:sz w:val="14"/>
                <w:szCs w:val="14"/>
              </w:rPr>
              <w:sym w:font="Wingdings" w:char="F0FC"/>
            </w:r>
          </w:p>
        </w:tc>
        <w:tc>
          <w:tcPr>
            <w:tcW w:w="1963" w:type="dxa"/>
            <w:tcBorders>
              <w:top w:val="dotted" w:sz="4" w:space="0" w:color="0070C0"/>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DC2F53" w:rsidRPr="006F1D04" w:rsidTr="008A7B43">
        <w:trPr>
          <w:trHeight w:val="455"/>
          <w:jc w:val="center"/>
        </w:trPr>
        <w:tc>
          <w:tcPr>
            <w:tcW w:w="81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t>QLD_D09</w:t>
            </w:r>
          </w:p>
        </w:tc>
        <w:tc>
          <w:tcPr>
            <w:tcW w:w="113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DSITIA</w:t>
            </w:r>
          </w:p>
        </w:tc>
        <w:tc>
          <w:tcPr>
            <w:tcW w:w="161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Pinkenba</w:t>
            </w:r>
          </w:p>
        </w:tc>
        <w:tc>
          <w:tcPr>
            <w:tcW w:w="1076"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SEQ</w:t>
            </w:r>
          </w:p>
        </w:tc>
        <w:tc>
          <w:tcPr>
            <w:tcW w:w="3175"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sz w:val="14"/>
                <w:szCs w:val="14"/>
              </w:rPr>
              <w:t>Industrial,</w:t>
            </w:r>
            <w:r w:rsidRPr="006F1D04">
              <w:rPr>
                <w:rFonts w:ascii="Arial" w:hAnsi="Arial" w:cs="Arial"/>
                <w:color w:val="000000"/>
                <w:sz w:val="14"/>
                <w:szCs w:val="14"/>
              </w:rPr>
              <w:t xml:space="preserve"> BP </w:t>
            </w:r>
            <w:r w:rsidR="00B63885" w:rsidRPr="006F1D04">
              <w:rPr>
                <w:rFonts w:ascii="Arial" w:hAnsi="Arial" w:cs="Arial"/>
                <w:color w:val="000000"/>
                <w:sz w:val="14"/>
                <w:szCs w:val="14"/>
              </w:rPr>
              <w:t>r</w:t>
            </w:r>
            <w:r w:rsidRPr="006F1D04">
              <w:rPr>
                <w:rFonts w:ascii="Arial" w:hAnsi="Arial" w:cs="Arial"/>
                <w:color w:val="000000"/>
                <w:sz w:val="14"/>
                <w:szCs w:val="14"/>
              </w:rPr>
              <w:t>efineries</w:t>
            </w:r>
          </w:p>
        </w:tc>
        <w:tc>
          <w:tcPr>
            <w:tcW w:w="1559"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sz w:val="14"/>
                <w:szCs w:val="14"/>
              </w:rPr>
            </w:pPr>
          </w:p>
        </w:tc>
        <w:tc>
          <w:tcPr>
            <w:tcW w:w="56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sz w:val="14"/>
                <w:szCs w:val="14"/>
              </w:rPr>
            </w:pPr>
          </w:p>
        </w:tc>
        <w:tc>
          <w:tcPr>
            <w:tcW w:w="503"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561"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sz w:val="14"/>
                <w:szCs w:val="14"/>
              </w:rPr>
            </w:pPr>
            <w:r w:rsidRPr="006F1D04">
              <w:rPr>
                <w:rFonts w:ascii="Arial" w:hAnsi="Arial" w:cs="Arial"/>
                <w:color w:val="000000"/>
                <w:sz w:val="14"/>
                <w:szCs w:val="14"/>
              </w:rPr>
              <w:sym w:font="Wingdings" w:char="F0FB"/>
            </w:r>
          </w:p>
        </w:tc>
        <w:tc>
          <w:tcPr>
            <w:tcW w:w="1963" w:type="dxa"/>
            <w:tcBorders>
              <w:top w:val="dotted" w:sz="4" w:space="0" w:color="0070C0"/>
              <w:bottom w:val="dotted" w:sz="4" w:space="0" w:color="0070C0"/>
            </w:tcBorders>
            <w:vAlign w:val="center"/>
          </w:tcPr>
          <w:p w:rsidR="00DC2F53" w:rsidRPr="006F1D04" w:rsidRDefault="008A7B4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Gravimetric reference method</w:t>
            </w:r>
            <w:r w:rsidR="00DC2F53" w:rsidRPr="006F1D04">
              <w:rPr>
                <w:rFonts w:ascii="Arial" w:hAnsi="Arial" w:cs="Arial"/>
                <w:color w:val="000000"/>
                <w:sz w:val="14"/>
                <w:szCs w:val="14"/>
              </w:rPr>
              <w:t>/TEOM</w:t>
            </w:r>
          </w:p>
        </w:tc>
      </w:tr>
      <w:tr w:rsidR="00DC2F53" w:rsidRPr="006F1D04" w:rsidTr="008A7B43">
        <w:trPr>
          <w:trHeight w:val="418"/>
          <w:jc w:val="center"/>
        </w:trPr>
        <w:tc>
          <w:tcPr>
            <w:tcW w:w="81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t>QLD_D10</w:t>
            </w:r>
          </w:p>
        </w:tc>
        <w:tc>
          <w:tcPr>
            <w:tcW w:w="113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DSITIA</w:t>
            </w:r>
          </w:p>
        </w:tc>
        <w:tc>
          <w:tcPr>
            <w:tcW w:w="161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Rocklea</w:t>
            </w:r>
          </w:p>
        </w:tc>
        <w:tc>
          <w:tcPr>
            <w:tcW w:w="1076"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SEQ</w:t>
            </w:r>
          </w:p>
        </w:tc>
        <w:tc>
          <w:tcPr>
            <w:tcW w:w="3175"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sz w:val="14"/>
                <w:szCs w:val="14"/>
              </w:rPr>
              <w:t>Light industrial/residential, major roads</w:t>
            </w:r>
          </w:p>
        </w:tc>
        <w:tc>
          <w:tcPr>
            <w:tcW w:w="1559"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sz w:val="14"/>
                <w:szCs w:val="14"/>
              </w:rPr>
            </w:pPr>
            <w:r w:rsidRPr="006F1D04">
              <w:rPr>
                <w:rFonts w:ascii="Arial" w:hAnsi="Arial" w:cs="Arial"/>
                <w:sz w:val="14"/>
                <w:szCs w:val="14"/>
              </w:rPr>
              <w:t>Trend</w:t>
            </w:r>
          </w:p>
        </w:tc>
        <w:tc>
          <w:tcPr>
            <w:tcW w:w="56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sz w:val="14"/>
                <w:szCs w:val="14"/>
              </w:rPr>
            </w:pPr>
            <w:r w:rsidRPr="006F1D04">
              <w:rPr>
                <w:rFonts w:ascii="Arial" w:hAnsi="Arial" w:cs="Arial"/>
                <w:sz w:val="14"/>
                <w:szCs w:val="14"/>
              </w:rPr>
              <w:t>Yes</w:t>
            </w:r>
          </w:p>
        </w:tc>
        <w:tc>
          <w:tcPr>
            <w:tcW w:w="503"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561"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sz w:val="14"/>
                <w:szCs w:val="14"/>
              </w:rPr>
            </w:pPr>
            <w:r w:rsidRPr="006F1D04">
              <w:rPr>
                <w:rFonts w:ascii="Arial" w:hAnsi="Arial" w:cs="Arial"/>
                <w:color w:val="000000"/>
                <w:sz w:val="14"/>
                <w:szCs w:val="14"/>
              </w:rPr>
              <w:sym w:font="Wingdings" w:char="F0FC"/>
            </w:r>
          </w:p>
        </w:tc>
        <w:tc>
          <w:tcPr>
            <w:tcW w:w="1963" w:type="dxa"/>
            <w:tcBorders>
              <w:top w:val="dotted" w:sz="4" w:space="0" w:color="0070C0"/>
              <w:bottom w:val="dotted" w:sz="4" w:space="0" w:color="0070C0"/>
            </w:tcBorders>
            <w:vAlign w:val="center"/>
          </w:tcPr>
          <w:p w:rsidR="00DC2F53" w:rsidRPr="006F1D04" w:rsidRDefault="008A7B4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Gravimetric reference method/</w:t>
            </w:r>
            <w:proofErr w:type="spellStart"/>
            <w:r w:rsidRPr="006F1D04">
              <w:rPr>
                <w:rFonts w:ascii="Arial" w:hAnsi="Arial" w:cs="Arial"/>
                <w:color w:val="000000"/>
                <w:sz w:val="14"/>
                <w:szCs w:val="14"/>
              </w:rPr>
              <w:t>Partisol</w:t>
            </w:r>
            <w:proofErr w:type="spellEnd"/>
            <w:r w:rsidR="00DC2F53" w:rsidRPr="006F1D04">
              <w:rPr>
                <w:rFonts w:ascii="Arial" w:hAnsi="Arial" w:cs="Arial"/>
                <w:color w:val="000000"/>
                <w:sz w:val="14"/>
                <w:szCs w:val="14"/>
              </w:rPr>
              <w:t>/TEOM/FDMS</w:t>
            </w:r>
          </w:p>
        </w:tc>
      </w:tr>
      <w:tr w:rsidR="00DC2F53" w:rsidRPr="006F1D04" w:rsidTr="00DC2F53">
        <w:trPr>
          <w:trHeight w:val="255"/>
          <w:jc w:val="center"/>
        </w:trPr>
        <w:tc>
          <w:tcPr>
            <w:tcW w:w="81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lastRenderedPageBreak/>
              <w:t>QLD_D11</w:t>
            </w:r>
          </w:p>
        </w:tc>
        <w:tc>
          <w:tcPr>
            <w:tcW w:w="113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DSITIA</w:t>
            </w:r>
          </w:p>
        </w:tc>
        <w:tc>
          <w:tcPr>
            <w:tcW w:w="161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South Brisbane</w:t>
            </w:r>
          </w:p>
        </w:tc>
        <w:tc>
          <w:tcPr>
            <w:tcW w:w="1076"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SEQ</w:t>
            </w:r>
          </w:p>
        </w:tc>
        <w:tc>
          <w:tcPr>
            <w:tcW w:w="3175"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sz w:val="14"/>
                <w:szCs w:val="14"/>
              </w:rPr>
              <w:t>Roadside</w:t>
            </w:r>
          </w:p>
        </w:tc>
        <w:tc>
          <w:tcPr>
            <w:tcW w:w="1559"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sz w:val="14"/>
                <w:szCs w:val="14"/>
              </w:rPr>
            </w:pPr>
          </w:p>
        </w:tc>
        <w:tc>
          <w:tcPr>
            <w:tcW w:w="56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sz w:val="14"/>
                <w:szCs w:val="14"/>
              </w:rPr>
            </w:pPr>
          </w:p>
        </w:tc>
        <w:tc>
          <w:tcPr>
            <w:tcW w:w="503"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561"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sz w:val="14"/>
                <w:szCs w:val="14"/>
              </w:rPr>
            </w:pPr>
            <w:r w:rsidRPr="006F1D04">
              <w:rPr>
                <w:rFonts w:ascii="Arial" w:hAnsi="Arial" w:cs="Arial"/>
                <w:color w:val="000000"/>
                <w:sz w:val="14"/>
                <w:szCs w:val="14"/>
              </w:rPr>
              <w:sym w:font="Wingdings" w:char="F0FC"/>
            </w:r>
          </w:p>
        </w:tc>
        <w:tc>
          <w:tcPr>
            <w:tcW w:w="1963" w:type="dxa"/>
            <w:tcBorders>
              <w:top w:val="dotted" w:sz="4" w:space="0" w:color="0070C0"/>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TEOM/FDMS</w:t>
            </w:r>
          </w:p>
        </w:tc>
      </w:tr>
      <w:tr w:rsidR="00DC2F53" w:rsidRPr="006F1D04" w:rsidTr="008A7B43">
        <w:trPr>
          <w:trHeight w:val="416"/>
          <w:jc w:val="center"/>
        </w:trPr>
        <w:tc>
          <w:tcPr>
            <w:tcW w:w="81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t>QLD_D12</w:t>
            </w:r>
          </w:p>
        </w:tc>
        <w:tc>
          <w:tcPr>
            <w:tcW w:w="113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DSITIA</w:t>
            </w:r>
          </w:p>
        </w:tc>
        <w:tc>
          <w:tcPr>
            <w:tcW w:w="161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Springwood</w:t>
            </w:r>
          </w:p>
        </w:tc>
        <w:tc>
          <w:tcPr>
            <w:tcW w:w="1076"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SEQ</w:t>
            </w:r>
          </w:p>
        </w:tc>
        <w:tc>
          <w:tcPr>
            <w:tcW w:w="3175"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sz w:val="14"/>
                <w:szCs w:val="14"/>
              </w:rPr>
              <w:t>Residential</w:t>
            </w:r>
            <w:r w:rsidRPr="006F1D04">
              <w:rPr>
                <w:rFonts w:ascii="Arial" w:hAnsi="Arial" w:cs="Arial"/>
                <w:color w:val="000000"/>
                <w:sz w:val="14"/>
                <w:szCs w:val="14"/>
              </w:rPr>
              <w:t xml:space="preserve">, </w:t>
            </w:r>
            <w:r w:rsidR="00B63885" w:rsidRPr="006F1D04">
              <w:rPr>
                <w:rFonts w:ascii="Arial" w:hAnsi="Arial" w:cs="Arial"/>
                <w:color w:val="000000"/>
                <w:sz w:val="14"/>
                <w:szCs w:val="14"/>
              </w:rPr>
              <w:t>m</w:t>
            </w:r>
            <w:r w:rsidRPr="006F1D04">
              <w:rPr>
                <w:rFonts w:ascii="Arial" w:hAnsi="Arial" w:cs="Arial"/>
                <w:color w:val="000000"/>
                <w:sz w:val="14"/>
                <w:szCs w:val="14"/>
              </w:rPr>
              <w:t>ajor roads</w:t>
            </w:r>
          </w:p>
        </w:tc>
        <w:tc>
          <w:tcPr>
            <w:tcW w:w="1559"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sz w:val="14"/>
                <w:szCs w:val="14"/>
              </w:rPr>
            </w:pPr>
            <w:r w:rsidRPr="006F1D04">
              <w:rPr>
                <w:rFonts w:ascii="Arial" w:hAnsi="Arial" w:cs="Arial"/>
                <w:sz w:val="14"/>
                <w:szCs w:val="14"/>
              </w:rPr>
              <w:t>Performance</w:t>
            </w:r>
            <w:r w:rsidR="00B63885" w:rsidRPr="006F1D04">
              <w:rPr>
                <w:rFonts w:ascii="Arial" w:hAnsi="Arial" w:cs="Arial"/>
                <w:sz w:val="14"/>
                <w:szCs w:val="14"/>
              </w:rPr>
              <w:t>:</w:t>
            </w:r>
            <w:r w:rsidRPr="006F1D04">
              <w:rPr>
                <w:rFonts w:ascii="Arial" w:hAnsi="Arial" w:cs="Arial"/>
                <w:sz w:val="14"/>
                <w:szCs w:val="14"/>
              </w:rPr>
              <w:t xml:space="preserve"> </w:t>
            </w:r>
            <w:r w:rsidR="00B63885" w:rsidRPr="006F1D04">
              <w:rPr>
                <w:rFonts w:ascii="Arial" w:hAnsi="Arial" w:cs="Arial"/>
                <w:sz w:val="14"/>
                <w:szCs w:val="14"/>
              </w:rPr>
              <w:t>p</w:t>
            </w:r>
            <w:r w:rsidRPr="006F1D04">
              <w:rPr>
                <w:rFonts w:ascii="Arial" w:hAnsi="Arial" w:cs="Arial"/>
                <w:sz w:val="14"/>
                <w:szCs w:val="14"/>
              </w:rPr>
              <w:t>opulation average</w:t>
            </w:r>
          </w:p>
        </w:tc>
        <w:tc>
          <w:tcPr>
            <w:tcW w:w="56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sz w:val="14"/>
                <w:szCs w:val="14"/>
              </w:rPr>
            </w:pPr>
          </w:p>
        </w:tc>
        <w:tc>
          <w:tcPr>
            <w:tcW w:w="503"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561"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sz w:val="14"/>
                <w:szCs w:val="14"/>
              </w:rPr>
            </w:pPr>
            <w:r w:rsidRPr="006F1D04">
              <w:rPr>
                <w:rFonts w:ascii="Arial" w:hAnsi="Arial" w:cs="Arial"/>
                <w:color w:val="000000"/>
                <w:sz w:val="14"/>
                <w:szCs w:val="14"/>
              </w:rPr>
              <w:sym w:font="Wingdings" w:char="F0FC"/>
            </w:r>
          </w:p>
        </w:tc>
        <w:tc>
          <w:tcPr>
            <w:tcW w:w="1963" w:type="dxa"/>
            <w:tcBorders>
              <w:top w:val="dotted" w:sz="4" w:space="0" w:color="0070C0"/>
              <w:bottom w:val="dotted" w:sz="4" w:space="0" w:color="0070C0"/>
            </w:tcBorders>
            <w:vAlign w:val="center"/>
          </w:tcPr>
          <w:p w:rsidR="00DC2F53" w:rsidRPr="006F1D04" w:rsidRDefault="008A7B4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Gravimetric reference method/</w:t>
            </w:r>
            <w:proofErr w:type="spellStart"/>
            <w:r w:rsidRPr="006F1D04">
              <w:rPr>
                <w:rFonts w:ascii="Arial" w:hAnsi="Arial" w:cs="Arial"/>
                <w:color w:val="000000"/>
                <w:sz w:val="14"/>
                <w:szCs w:val="14"/>
              </w:rPr>
              <w:t>Partisol</w:t>
            </w:r>
            <w:proofErr w:type="spellEnd"/>
            <w:r w:rsidR="00DC2F53" w:rsidRPr="006F1D04">
              <w:rPr>
                <w:rFonts w:ascii="Arial" w:hAnsi="Arial" w:cs="Arial"/>
                <w:color w:val="000000"/>
                <w:sz w:val="14"/>
                <w:szCs w:val="14"/>
              </w:rPr>
              <w:t>/TEOM</w:t>
            </w:r>
          </w:p>
        </w:tc>
      </w:tr>
      <w:tr w:rsidR="00DC2F53" w:rsidRPr="006F1D04" w:rsidTr="008A7B43">
        <w:trPr>
          <w:trHeight w:val="408"/>
          <w:jc w:val="center"/>
        </w:trPr>
        <w:tc>
          <w:tcPr>
            <w:tcW w:w="81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t>QLD_D14</w:t>
            </w:r>
          </w:p>
        </w:tc>
        <w:tc>
          <w:tcPr>
            <w:tcW w:w="113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DSITIA</w:t>
            </w:r>
          </w:p>
        </w:tc>
        <w:tc>
          <w:tcPr>
            <w:tcW w:w="161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Woolloongabba</w:t>
            </w:r>
          </w:p>
        </w:tc>
        <w:tc>
          <w:tcPr>
            <w:tcW w:w="1076"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SEQ</w:t>
            </w:r>
          </w:p>
        </w:tc>
        <w:tc>
          <w:tcPr>
            <w:tcW w:w="3175"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sz w:val="14"/>
                <w:szCs w:val="14"/>
              </w:rPr>
              <w:t>Roadside</w:t>
            </w:r>
          </w:p>
        </w:tc>
        <w:tc>
          <w:tcPr>
            <w:tcW w:w="1559"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sz w:val="14"/>
                <w:szCs w:val="14"/>
              </w:rPr>
            </w:pPr>
            <w:r w:rsidRPr="006F1D04">
              <w:rPr>
                <w:rFonts w:ascii="Arial" w:hAnsi="Arial" w:cs="Arial"/>
                <w:sz w:val="14"/>
                <w:szCs w:val="14"/>
              </w:rPr>
              <w:t>Trend-peak</w:t>
            </w:r>
          </w:p>
        </w:tc>
        <w:tc>
          <w:tcPr>
            <w:tcW w:w="56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sz w:val="14"/>
                <w:szCs w:val="14"/>
              </w:rPr>
            </w:pPr>
          </w:p>
        </w:tc>
        <w:tc>
          <w:tcPr>
            <w:tcW w:w="503"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561"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sz w:val="14"/>
                <w:szCs w:val="14"/>
              </w:rPr>
            </w:pPr>
            <w:r w:rsidRPr="006F1D04">
              <w:rPr>
                <w:rFonts w:ascii="Arial" w:hAnsi="Arial" w:cs="Arial"/>
                <w:color w:val="000000"/>
                <w:sz w:val="14"/>
                <w:szCs w:val="14"/>
              </w:rPr>
              <w:sym w:font="Wingdings" w:char="F0FC"/>
            </w:r>
          </w:p>
        </w:tc>
        <w:tc>
          <w:tcPr>
            <w:tcW w:w="1963" w:type="dxa"/>
            <w:tcBorders>
              <w:top w:val="dotted" w:sz="4" w:space="0" w:color="0070C0"/>
              <w:bottom w:val="dotted" w:sz="4" w:space="0" w:color="0070C0"/>
            </w:tcBorders>
            <w:vAlign w:val="center"/>
          </w:tcPr>
          <w:p w:rsidR="00DC2F53" w:rsidRPr="006F1D04" w:rsidRDefault="008A7B4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Gravimetric reference method</w:t>
            </w:r>
            <w:r w:rsidR="00DC2F53" w:rsidRPr="006F1D04">
              <w:rPr>
                <w:rFonts w:ascii="Arial" w:hAnsi="Arial" w:cs="Arial"/>
                <w:color w:val="000000"/>
                <w:sz w:val="14"/>
                <w:szCs w:val="14"/>
              </w:rPr>
              <w:t>/TEOM/FDMS</w:t>
            </w:r>
          </w:p>
        </w:tc>
      </w:tr>
      <w:tr w:rsidR="00DC2F53" w:rsidRPr="006F1D04" w:rsidTr="00DC2F53">
        <w:trPr>
          <w:trHeight w:val="255"/>
          <w:jc w:val="center"/>
        </w:trPr>
        <w:tc>
          <w:tcPr>
            <w:tcW w:w="81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t>QLD_D15</w:t>
            </w:r>
          </w:p>
        </w:tc>
        <w:tc>
          <w:tcPr>
            <w:tcW w:w="113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DSITIA/Caltex</w:t>
            </w:r>
          </w:p>
        </w:tc>
        <w:tc>
          <w:tcPr>
            <w:tcW w:w="161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Wynnum N</w:t>
            </w:r>
          </w:p>
        </w:tc>
        <w:tc>
          <w:tcPr>
            <w:tcW w:w="1076"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SEQ</w:t>
            </w:r>
          </w:p>
        </w:tc>
        <w:tc>
          <w:tcPr>
            <w:tcW w:w="3175"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sz w:val="14"/>
                <w:szCs w:val="14"/>
              </w:rPr>
              <w:t>Industry/residential</w:t>
            </w:r>
            <w:r w:rsidRPr="006F1D04">
              <w:rPr>
                <w:rFonts w:ascii="Arial" w:hAnsi="Arial" w:cs="Arial"/>
                <w:color w:val="000000"/>
                <w:sz w:val="14"/>
                <w:szCs w:val="14"/>
              </w:rPr>
              <w:t xml:space="preserve">, Caltex </w:t>
            </w:r>
            <w:r w:rsidR="00B63885" w:rsidRPr="006F1D04">
              <w:rPr>
                <w:rFonts w:ascii="Arial" w:hAnsi="Arial" w:cs="Arial"/>
                <w:color w:val="000000"/>
                <w:sz w:val="14"/>
                <w:szCs w:val="14"/>
              </w:rPr>
              <w:t>r</w:t>
            </w:r>
            <w:r w:rsidRPr="006F1D04">
              <w:rPr>
                <w:rFonts w:ascii="Arial" w:hAnsi="Arial" w:cs="Arial"/>
                <w:color w:val="000000"/>
                <w:sz w:val="14"/>
                <w:szCs w:val="14"/>
              </w:rPr>
              <w:t>efineries</w:t>
            </w:r>
          </w:p>
        </w:tc>
        <w:tc>
          <w:tcPr>
            <w:tcW w:w="1559"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sz w:val="14"/>
                <w:szCs w:val="14"/>
              </w:rPr>
            </w:pPr>
          </w:p>
        </w:tc>
        <w:tc>
          <w:tcPr>
            <w:tcW w:w="56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sz w:val="14"/>
                <w:szCs w:val="14"/>
              </w:rPr>
            </w:pPr>
          </w:p>
        </w:tc>
        <w:tc>
          <w:tcPr>
            <w:tcW w:w="503"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sz w:val="14"/>
                <w:szCs w:val="14"/>
              </w:rPr>
            </w:pPr>
            <w:r w:rsidRPr="006F1D04">
              <w:rPr>
                <w:rFonts w:ascii="Arial" w:hAnsi="Arial" w:cs="Arial"/>
                <w:color w:val="000000"/>
                <w:sz w:val="14"/>
                <w:szCs w:val="14"/>
              </w:rPr>
              <w:sym w:font="Wingdings" w:char="F0FC"/>
            </w:r>
          </w:p>
        </w:tc>
        <w:tc>
          <w:tcPr>
            <w:tcW w:w="561"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sz w:val="14"/>
                <w:szCs w:val="14"/>
              </w:rPr>
            </w:pPr>
            <w:r w:rsidRPr="006F1D04">
              <w:rPr>
                <w:rFonts w:ascii="Arial" w:hAnsi="Arial" w:cs="Arial"/>
                <w:color w:val="000000"/>
                <w:sz w:val="14"/>
                <w:szCs w:val="14"/>
              </w:rPr>
              <w:sym w:font="Wingdings" w:char="F0FC"/>
            </w:r>
          </w:p>
        </w:tc>
        <w:tc>
          <w:tcPr>
            <w:tcW w:w="1963" w:type="dxa"/>
            <w:tcBorders>
              <w:top w:val="dotted" w:sz="4" w:space="0" w:color="0070C0"/>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DC2F53" w:rsidRPr="006F1D04" w:rsidTr="00DC2F53">
        <w:trPr>
          <w:trHeight w:val="255"/>
          <w:jc w:val="center"/>
        </w:trPr>
        <w:tc>
          <w:tcPr>
            <w:tcW w:w="81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t>QLD_D16</w:t>
            </w:r>
          </w:p>
        </w:tc>
        <w:tc>
          <w:tcPr>
            <w:tcW w:w="113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DSITIA</w:t>
            </w:r>
          </w:p>
        </w:tc>
        <w:tc>
          <w:tcPr>
            <w:tcW w:w="161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The Gap</w:t>
            </w:r>
          </w:p>
        </w:tc>
        <w:tc>
          <w:tcPr>
            <w:tcW w:w="1076"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Mt Isa</w:t>
            </w:r>
          </w:p>
        </w:tc>
        <w:tc>
          <w:tcPr>
            <w:tcW w:w="3175"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sz w:val="14"/>
                <w:szCs w:val="14"/>
              </w:rPr>
            </w:pPr>
            <w:r w:rsidRPr="006F1D04">
              <w:rPr>
                <w:rFonts w:ascii="Arial" w:hAnsi="Arial" w:cs="Arial"/>
                <w:sz w:val="14"/>
                <w:szCs w:val="14"/>
              </w:rPr>
              <w:t>Residential</w:t>
            </w:r>
          </w:p>
        </w:tc>
        <w:tc>
          <w:tcPr>
            <w:tcW w:w="1559"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sz w:val="14"/>
                <w:szCs w:val="14"/>
              </w:rPr>
            </w:pPr>
            <w:r w:rsidRPr="006F1D04">
              <w:rPr>
                <w:rFonts w:ascii="Arial" w:hAnsi="Arial" w:cs="Arial"/>
                <w:sz w:val="14"/>
                <w:szCs w:val="14"/>
              </w:rPr>
              <w:t>Population average</w:t>
            </w:r>
          </w:p>
        </w:tc>
        <w:tc>
          <w:tcPr>
            <w:tcW w:w="56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sz w:val="14"/>
                <w:szCs w:val="14"/>
              </w:rPr>
            </w:pPr>
          </w:p>
        </w:tc>
        <w:tc>
          <w:tcPr>
            <w:tcW w:w="503"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sz w:val="14"/>
                <w:szCs w:val="14"/>
              </w:rPr>
            </w:pPr>
            <w:r w:rsidRPr="006F1D04">
              <w:rPr>
                <w:rFonts w:ascii="Arial" w:hAnsi="Arial" w:cs="Arial"/>
                <w:color w:val="000000"/>
                <w:sz w:val="14"/>
                <w:szCs w:val="14"/>
              </w:rPr>
              <w:sym w:font="Wingdings" w:char="F0FC"/>
            </w:r>
          </w:p>
        </w:tc>
        <w:tc>
          <w:tcPr>
            <w:tcW w:w="561"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sz w:val="14"/>
                <w:szCs w:val="14"/>
              </w:rPr>
            </w:pPr>
            <w:r w:rsidRPr="006F1D04">
              <w:rPr>
                <w:rFonts w:ascii="Arial" w:hAnsi="Arial" w:cs="Arial"/>
                <w:color w:val="000000"/>
                <w:sz w:val="14"/>
                <w:szCs w:val="14"/>
              </w:rPr>
              <w:sym w:font="Wingdings" w:char="F0FB"/>
            </w:r>
          </w:p>
        </w:tc>
        <w:tc>
          <w:tcPr>
            <w:tcW w:w="1963" w:type="dxa"/>
            <w:tcBorders>
              <w:top w:val="dotted" w:sz="4" w:space="0" w:color="0070C0"/>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DC2F53" w:rsidRPr="006F1D04" w:rsidTr="008A7B43">
        <w:trPr>
          <w:trHeight w:hRule="exact" w:val="454"/>
          <w:jc w:val="center"/>
        </w:trPr>
        <w:tc>
          <w:tcPr>
            <w:tcW w:w="81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t>QLD_D20</w:t>
            </w:r>
          </w:p>
        </w:tc>
        <w:tc>
          <w:tcPr>
            <w:tcW w:w="113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DSITIA</w:t>
            </w:r>
          </w:p>
        </w:tc>
        <w:tc>
          <w:tcPr>
            <w:tcW w:w="161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B63885"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Pimlico</w:t>
            </w:r>
          </w:p>
        </w:tc>
        <w:tc>
          <w:tcPr>
            <w:tcW w:w="1076"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Townsville</w:t>
            </w:r>
          </w:p>
        </w:tc>
        <w:tc>
          <w:tcPr>
            <w:tcW w:w="3175"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 xml:space="preserve">Residential, </w:t>
            </w:r>
            <w:r w:rsidR="00B63885" w:rsidRPr="006F1D04">
              <w:rPr>
                <w:rFonts w:ascii="Arial" w:hAnsi="Arial" w:cs="Arial"/>
                <w:color w:val="000000"/>
                <w:sz w:val="14"/>
                <w:szCs w:val="14"/>
              </w:rPr>
              <w:t>m</w:t>
            </w:r>
            <w:r w:rsidRPr="006F1D04">
              <w:rPr>
                <w:rFonts w:ascii="Arial" w:hAnsi="Arial" w:cs="Arial"/>
                <w:color w:val="000000"/>
                <w:sz w:val="14"/>
                <w:szCs w:val="14"/>
              </w:rPr>
              <w:t>ajor roads, industry (port operations, metals processing)</w:t>
            </w:r>
          </w:p>
        </w:tc>
        <w:tc>
          <w:tcPr>
            <w:tcW w:w="1559"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Campaign</w:t>
            </w:r>
            <w:r w:rsidR="00B63885" w:rsidRPr="006F1D04">
              <w:rPr>
                <w:rFonts w:ascii="Arial" w:hAnsi="Arial" w:cs="Arial"/>
                <w:color w:val="000000"/>
                <w:sz w:val="14"/>
                <w:szCs w:val="14"/>
              </w:rPr>
              <w:t>:</w:t>
            </w:r>
            <w:r w:rsidRPr="006F1D04">
              <w:rPr>
                <w:rFonts w:ascii="Arial" w:hAnsi="Arial" w:cs="Arial"/>
                <w:color w:val="000000"/>
                <w:sz w:val="14"/>
                <w:szCs w:val="14"/>
              </w:rPr>
              <w:t xml:space="preserve"> </w:t>
            </w:r>
            <w:r w:rsidR="00B63885" w:rsidRPr="006F1D04">
              <w:rPr>
                <w:rFonts w:ascii="Arial" w:hAnsi="Arial" w:cs="Arial"/>
                <w:color w:val="000000"/>
                <w:sz w:val="14"/>
                <w:szCs w:val="14"/>
              </w:rPr>
              <w:t>p</w:t>
            </w:r>
            <w:r w:rsidRPr="006F1D04">
              <w:rPr>
                <w:rFonts w:ascii="Arial" w:hAnsi="Arial" w:cs="Arial"/>
                <w:color w:val="000000"/>
                <w:sz w:val="14"/>
                <w:szCs w:val="14"/>
              </w:rPr>
              <w:t>opulation average</w:t>
            </w:r>
          </w:p>
        </w:tc>
        <w:tc>
          <w:tcPr>
            <w:tcW w:w="56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p>
        </w:tc>
        <w:tc>
          <w:tcPr>
            <w:tcW w:w="503"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561"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963" w:type="dxa"/>
            <w:tcBorders>
              <w:top w:val="dotted" w:sz="4" w:space="0" w:color="0070C0"/>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DC2F53" w:rsidRPr="006F1D04" w:rsidTr="00DC2F53">
        <w:trPr>
          <w:trHeight w:val="255"/>
          <w:jc w:val="center"/>
        </w:trPr>
        <w:tc>
          <w:tcPr>
            <w:tcW w:w="81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t>QLD_D22</w:t>
            </w:r>
          </w:p>
        </w:tc>
        <w:tc>
          <w:tcPr>
            <w:tcW w:w="113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DSITIA</w:t>
            </w:r>
          </w:p>
        </w:tc>
        <w:tc>
          <w:tcPr>
            <w:tcW w:w="161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West Mackay</w:t>
            </w:r>
          </w:p>
        </w:tc>
        <w:tc>
          <w:tcPr>
            <w:tcW w:w="1076"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Mackay</w:t>
            </w:r>
          </w:p>
        </w:tc>
        <w:tc>
          <w:tcPr>
            <w:tcW w:w="3175"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 xml:space="preserve">Light industry/residential, </w:t>
            </w:r>
            <w:r w:rsidR="00B63885" w:rsidRPr="006F1D04">
              <w:rPr>
                <w:rFonts w:ascii="Arial" w:hAnsi="Arial" w:cs="Arial"/>
                <w:color w:val="000000"/>
                <w:sz w:val="14"/>
                <w:szCs w:val="14"/>
              </w:rPr>
              <w:t>a</w:t>
            </w:r>
            <w:r w:rsidRPr="006F1D04">
              <w:rPr>
                <w:rFonts w:ascii="Arial" w:hAnsi="Arial" w:cs="Arial"/>
                <w:color w:val="000000"/>
                <w:sz w:val="14"/>
                <w:szCs w:val="14"/>
              </w:rPr>
              <w:t>gricultural burning</w:t>
            </w:r>
          </w:p>
        </w:tc>
        <w:tc>
          <w:tcPr>
            <w:tcW w:w="1559"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p>
        </w:tc>
        <w:tc>
          <w:tcPr>
            <w:tcW w:w="56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503"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561"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963" w:type="dxa"/>
            <w:tcBorders>
              <w:top w:val="dotted" w:sz="4" w:space="0" w:color="0070C0"/>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DC2F53" w:rsidRPr="006F1D04" w:rsidTr="008A7B43">
        <w:trPr>
          <w:trHeight w:hRule="exact" w:val="454"/>
          <w:jc w:val="center"/>
        </w:trPr>
        <w:tc>
          <w:tcPr>
            <w:tcW w:w="81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t>QLD_D26</w:t>
            </w:r>
          </w:p>
        </w:tc>
        <w:tc>
          <w:tcPr>
            <w:tcW w:w="113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DSITIA</w:t>
            </w:r>
          </w:p>
        </w:tc>
        <w:tc>
          <w:tcPr>
            <w:tcW w:w="161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South Gladstone</w:t>
            </w:r>
          </w:p>
        </w:tc>
        <w:tc>
          <w:tcPr>
            <w:tcW w:w="1076"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Gladstone</w:t>
            </w:r>
          </w:p>
        </w:tc>
        <w:tc>
          <w:tcPr>
            <w:tcW w:w="3175"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 xml:space="preserve">Industry/residential, </w:t>
            </w:r>
            <w:r w:rsidR="00B63885" w:rsidRPr="006F1D04">
              <w:rPr>
                <w:rFonts w:ascii="Arial" w:hAnsi="Arial" w:cs="Arial"/>
                <w:color w:val="000000"/>
                <w:sz w:val="14"/>
                <w:szCs w:val="14"/>
              </w:rPr>
              <w:t>m</w:t>
            </w:r>
            <w:r w:rsidRPr="006F1D04">
              <w:rPr>
                <w:rFonts w:ascii="Arial" w:hAnsi="Arial" w:cs="Arial"/>
                <w:color w:val="000000"/>
                <w:sz w:val="14"/>
                <w:szCs w:val="14"/>
              </w:rPr>
              <w:t>ajor roads, industry (power generation, metals processing)</w:t>
            </w:r>
          </w:p>
        </w:tc>
        <w:tc>
          <w:tcPr>
            <w:tcW w:w="1559"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Trend</w:t>
            </w:r>
          </w:p>
        </w:tc>
        <w:tc>
          <w:tcPr>
            <w:tcW w:w="56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503"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561"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963" w:type="dxa"/>
            <w:tcBorders>
              <w:top w:val="dotted" w:sz="4" w:space="0" w:color="0070C0"/>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TEOM/FDMS</w:t>
            </w:r>
          </w:p>
        </w:tc>
      </w:tr>
      <w:tr w:rsidR="00DC2F53" w:rsidRPr="006F1D04" w:rsidTr="008A7B43">
        <w:trPr>
          <w:trHeight w:hRule="exact" w:val="454"/>
          <w:jc w:val="center"/>
        </w:trPr>
        <w:tc>
          <w:tcPr>
            <w:tcW w:w="81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t>QLD_D27</w:t>
            </w:r>
          </w:p>
        </w:tc>
        <w:tc>
          <w:tcPr>
            <w:tcW w:w="113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DSITIA</w:t>
            </w:r>
          </w:p>
        </w:tc>
        <w:tc>
          <w:tcPr>
            <w:tcW w:w="161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Clinton</w:t>
            </w:r>
          </w:p>
        </w:tc>
        <w:tc>
          <w:tcPr>
            <w:tcW w:w="1076"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Gladstone</w:t>
            </w:r>
          </w:p>
        </w:tc>
        <w:tc>
          <w:tcPr>
            <w:tcW w:w="3175"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Airport/residential</w:t>
            </w:r>
          </w:p>
        </w:tc>
        <w:tc>
          <w:tcPr>
            <w:tcW w:w="1559"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p>
        </w:tc>
        <w:tc>
          <w:tcPr>
            <w:tcW w:w="56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p>
        </w:tc>
        <w:tc>
          <w:tcPr>
            <w:tcW w:w="503"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561"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963" w:type="dxa"/>
            <w:tcBorders>
              <w:top w:val="dotted" w:sz="4" w:space="0" w:color="0070C0"/>
              <w:bottom w:val="dotted" w:sz="4" w:space="0" w:color="0070C0"/>
            </w:tcBorders>
            <w:vAlign w:val="center"/>
          </w:tcPr>
          <w:p w:rsidR="00DC2F53" w:rsidRPr="006F1D04" w:rsidRDefault="008A7B4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Gravimetric reference method</w:t>
            </w:r>
            <w:r w:rsidR="00DC2F53" w:rsidRPr="006F1D04">
              <w:rPr>
                <w:rFonts w:ascii="Arial" w:hAnsi="Arial" w:cs="Arial"/>
                <w:color w:val="000000"/>
                <w:sz w:val="14"/>
                <w:szCs w:val="14"/>
              </w:rPr>
              <w:t>/TEOM/FDMS</w:t>
            </w:r>
          </w:p>
        </w:tc>
      </w:tr>
      <w:tr w:rsidR="00DC2F53" w:rsidRPr="006F1D04" w:rsidTr="00DC2F53">
        <w:trPr>
          <w:trHeight w:hRule="exact" w:val="312"/>
          <w:jc w:val="center"/>
        </w:trPr>
        <w:tc>
          <w:tcPr>
            <w:tcW w:w="81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t>QLD_D28</w:t>
            </w:r>
          </w:p>
        </w:tc>
        <w:tc>
          <w:tcPr>
            <w:tcW w:w="113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DSITIA</w:t>
            </w:r>
          </w:p>
        </w:tc>
        <w:tc>
          <w:tcPr>
            <w:tcW w:w="161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proofErr w:type="spellStart"/>
            <w:r w:rsidRPr="006F1D04">
              <w:rPr>
                <w:rFonts w:ascii="Arial" w:hAnsi="Arial" w:cs="Arial"/>
                <w:color w:val="000000"/>
                <w:sz w:val="14"/>
                <w:szCs w:val="14"/>
              </w:rPr>
              <w:t>Targinie</w:t>
            </w:r>
            <w:proofErr w:type="spellEnd"/>
            <w:r w:rsidRPr="006F1D04">
              <w:rPr>
                <w:rFonts w:ascii="Arial" w:hAnsi="Arial" w:cs="Arial"/>
                <w:color w:val="000000"/>
                <w:sz w:val="14"/>
                <w:szCs w:val="14"/>
              </w:rPr>
              <w:t xml:space="preserve"> (Swans Rd)</w:t>
            </w:r>
          </w:p>
        </w:tc>
        <w:tc>
          <w:tcPr>
            <w:tcW w:w="1076"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Gladstone</w:t>
            </w:r>
          </w:p>
        </w:tc>
        <w:tc>
          <w:tcPr>
            <w:tcW w:w="3175"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Rural/residential</w:t>
            </w:r>
          </w:p>
        </w:tc>
        <w:tc>
          <w:tcPr>
            <w:tcW w:w="1559"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p>
        </w:tc>
        <w:tc>
          <w:tcPr>
            <w:tcW w:w="56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p>
        </w:tc>
        <w:tc>
          <w:tcPr>
            <w:tcW w:w="503"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561"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963" w:type="dxa"/>
            <w:tcBorders>
              <w:top w:val="dotted" w:sz="4" w:space="0" w:color="0070C0"/>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FDMS</w:t>
            </w:r>
          </w:p>
        </w:tc>
      </w:tr>
      <w:tr w:rsidR="00DC2F53" w:rsidRPr="006F1D04" w:rsidTr="00DC2F53">
        <w:trPr>
          <w:trHeight w:hRule="exact" w:val="312"/>
          <w:jc w:val="center"/>
        </w:trPr>
        <w:tc>
          <w:tcPr>
            <w:tcW w:w="81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t>QLD_D29</w:t>
            </w:r>
          </w:p>
        </w:tc>
        <w:tc>
          <w:tcPr>
            <w:tcW w:w="113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DSITIA</w:t>
            </w:r>
          </w:p>
        </w:tc>
        <w:tc>
          <w:tcPr>
            <w:tcW w:w="161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proofErr w:type="spellStart"/>
            <w:r w:rsidRPr="006F1D04">
              <w:rPr>
                <w:rFonts w:ascii="Arial" w:hAnsi="Arial" w:cs="Arial"/>
                <w:color w:val="000000"/>
                <w:sz w:val="14"/>
                <w:szCs w:val="14"/>
              </w:rPr>
              <w:t>Targinie</w:t>
            </w:r>
            <w:proofErr w:type="spellEnd"/>
            <w:r w:rsidRPr="006F1D04">
              <w:rPr>
                <w:rFonts w:ascii="Arial" w:hAnsi="Arial" w:cs="Arial"/>
                <w:color w:val="000000"/>
                <w:sz w:val="14"/>
                <w:szCs w:val="14"/>
              </w:rPr>
              <w:t xml:space="preserve"> (</w:t>
            </w:r>
            <w:proofErr w:type="spellStart"/>
            <w:r w:rsidRPr="006F1D04">
              <w:rPr>
                <w:rFonts w:ascii="Arial" w:hAnsi="Arial" w:cs="Arial"/>
                <w:color w:val="000000"/>
                <w:sz w:val="14"/>
                <w:szCs w:val="14"/>
              </w:rPr>
              <w:t>Stupkin</w:t>
            </w:r>
            <w:proofErr w:type="spellEnd"/>
            <w:r w:rsidRPr="006F1D04">
              <w:rPr>
                <w:rFonts w:ascii="Arial" w:hAnsi="Arial" w:cs="Arial"/>
                <w:color w:val="000000"/>
                <w:sz w:val="14"/>
                <w:szCs w:val="14"/>
              </w:rPr>
              <w:t xml:space="preserve"> L)</w:t>
            </w:r>
          </w:p>
        </w:tc>
        <w:tc>
          <w:tcPr>
            <w:tcW w:w="1076"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Gladstone</w:t>
            </w:r>
          </w:p>
        </w:tc>
        <w:tc>
          <w:tcPr>
            <w:tcW w:w="3175"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Rural/residential</w:t>
            </w:r>
          </w:p>
        </w:tc>
        <w:tc>
          <w:tcPr>
            <w:tcW w:w="1559"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p>
        </w:tc>
        <w:tc>
          <w:tcPr>
            <w:tcW w:w="56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p>
        </w:tc>
        <w:tc>
          <w:tcPr>
            <w:tcW w:w="503"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561"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963" w:type="dxa"/>
            <w:tcBorders>
              <w:top w:val="dotted" w:sz="4" w:space="0" w:color="0070C0"/>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DC2F53" w:rsidRPr="006F1D04" w:rsidTr="00DC2F53">
        <w:trPr>
          <w:trHeight w:hRule="exact" w:val="312"/>
          <w:jc w:val="center"/>
        </w:trPr>
        <w:tc>
          <w:tcPr>
            <w:tcW w:w="81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t>QLD_D30</w:t>
            </w:r>
          </w:p>
        </w:tc>
        <w:tc>
          <w:tcPr>
            <w:tcW w:w="1134"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DSITIA</w:t>
            </w:r>
          </w:p>
        </w:tc>
        <w:tc>
          <w:tcPr>
            <w:tcW w:w="161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Boat Creek</w:t>
            </w:r>
          </w:p>
        </w:tc>
        <w:tc>
          <w:tcPr>
            <w:tcW w:w="1076"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Gladstone</w:t>
            </w:r>
          </w:p>
        </w:tc>
        <w:tc>
          <w:tcPr>
            <w:tcW w:w="3175"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Rural/residential</w:t>
            </w:r>
          </w:p>
        </w:tc>
        <w:tc>
          <w:tcPr>
            <w:tcW w:w="1559"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p>
        </w:tc>
        <w:tc>
          <w:tcPr>
            <w:tcW w:w="567" w:type="dxa"/>
            <w:tcBorders>
              <w:top w:val="dotted" w:sz="4" w:space="0" w:color="0070C0"/>
              <w:bottom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p>
        </w:tc>
        <w:tc>
          <w:tcPr>
            <w:tcW w:w="503"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561" w:type="dxa"/>
            <w:tcBorders>
              <w:top w:val="dotted" w:sz="4" w:space="0" w:color="0070C0"/>
              <w:bottom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963" w:type="dxa"/>
            <w:tcBorders>
              <w:top w:val="dotted" w:sz="4" w:space="0" w:color="0070C0"/>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FDMS</w:t>
            </w:r>
          </w:p>
        </w:tc>
      </w:tr>
      <w:tr w:rsidR="00DC2F53" w:rsidRPr="006F1D04" w:rsidTr="00DC2F53">
        <w:trPr>
          <w:trHeight w:hRule="exact" w:val="312"/>
          <w:jc w:val="center"/>
        </w:trPr>
        <w:tc>
          <w:tcPr>
            <w:tcW w:w="814" w:type="dxa"/>
            <w:tcBorders>
              <w:top w:val="dotted" w:sz="4" w:space="0" w:color="0070C0"/>
            </w:tcBorders>
            <w:shd w:val="clear" w:color="auto" w:fill="auto"/>
            <w:noWrap/>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t>QLD_D31</w:t>
            </w:r>
          </w:p>
        </w:tc>
        <w:tc>
          <w:tcPr>
            <w:tcW w:w="1134" w:type="dxa"/>
            <w:tcBorders>
              <w:top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DSITIA</w:t>
            </w:r>
          </w:p>
        </w:tc>
        <w:tc>
          <w:tcPr>
            <w:tcW w:w="1617" w:type="dxa"/>
            <w:tcBorders>
              <w:top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Boyne Island</w:t>
            </w:r>
          </w:p>
        </w:tc>
        <w:tc>
          <w:tcPr>
            <w:tcW w:w="1076" w:type="dxa"/>
            <w:tcBorders>
              <w:top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r w:rsidRPr="006F1D04">
              <w:rPr>
                <w:rFonts w:ascii="Arial" w:hAnsi="Arial" w:cs="Arial"/>
                <w:color w:val="000000"/>
                <w:sz w:val="14"/>
                <w:szCs w:val="14"/>
              </w:rPr>
              <w:t>Gladstone</w:t>
            </w:r>
          </w:p>
        </w:tc>
        <w:tc>
          <w:tcPr>
            <w:tcW w:w="3175" w:type="dxa"/>
            <w:tcBorders>
              <w:top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sz w:val="14"/>
                <w:szCs w:val="14"/>
              </w:rPr>
            </w:pPr>
            <w:r w:rsidRPr="006F1D04">
              <w:rPr>
                <w:rFonts w:ascii="Arial" w:hAnsi="Arial" w:cs="Arial"/>
                <w:sz w:val="14"/>
                <w:szCs w:val="14"/>
              </w:rPr>
              <w:t>Residential</w:t>
            </w:r>
          </w:p>
        </w:tc>
        <w:tc>
          <w:tcPr>
            <w:tcW w:w="1559" w:type="dxa"/>
            <w:tcBorders>
              <w:top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sz w:val="14"/>
                <w:szCs w:val="14"/>
              </w:rPr>
            </w:pPr>
          </w:p>
        </w:tc>
        <w:tc>
          <w:tcPr>
            <w:tcW w:w="567" w:type="dxa"/>
            <w:tcBorders>
              <w:top w:val="dotted" w:sz="4" w:space="0" w:color="0070C0"/>
            </w:tcBorders>
            <w:shd w:val="clear" w:color="auto" w:fill="auto"/>
            <w:noWrap/>
            <w:tcMar>
              <w:left w:w="28" w:type="dxa"/>
              <w:right w:w="28" w:type="dxa"/>
            </w:tcMar>
            <w:vAlign w:val="center"/>
          </w:tcPr>
          <w:p w:rsidR="00DC2F53" w:rsidRPr="006F1D04" w:rsidRDefault="00DC2F53" w:rsidP="0080504E">
            <w:pPr>
              <w:spacing w:after="0" w:line="240" w:lineRule="auto"/>
              <w:jc w:val="center"/>
              <w:rPr>
                <w:rFonts w:ascii="Arial" w:hAnsi="Arial" w:cs="Arial"/>
                <w:color w:val="000000"/>
                <w:sz w:val="14"/>
                <w:szCs w:val="14"/>
              </w:rPr>
            </w:pPr>
          </w:p>
        </w:tc>
        <w:tc>
          <w:tcPr>
            <w:tcW w:w="503" w:type="dxa"/>
            <w:tcBorders>
              <w:top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561" w:type="dxa"/>
            <w:tcBorders>
              <w:top w:val="dotted" w:sz="4" w:space="0" w:color="0070C0"/>
            </w:tcBorders>
            <w:tcMar>
              <w:left w:w="28" w:type="dxa"/>
              <w:right w:w="28" w:type="dxa"/>
            </w:tcMar>
            <w:vAlign w:val="center"/>
          </w:tcPr>
          <w:p w:rsidR="00DC2F53" w:rsidRPr="006F1D04" w:rsidRDefault="00DC2F53" w:rsidP="00FE0469">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963" w:type="dxa"/>
            <w:tcBorders>
              <w:top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FDMS</w:t>
            </w:r>
          </w:p>
        </w:tc>
      </w:tr>
    </w:tbl>
    <w:p w:rsidR="00232040" w:rsidRPr="006F1D04" w:rsidRDefault="00232040" w:rsidP="00E93CB1">
      <w:pPr>
        <w:spacing w:after="140" w:line="240" w:lineRule="auto"/>
        <w:rPr>
          <w:rFonts w:ascii="Arial" w:hAnsi="Arial" w:cs="Arial"/>
        </w:rPr>
      </w:pPr>
    </w:p>
    <w:p w:rsidR="0052102C" w:rsidRPr="006F1D04" w:rsidRDefault="0052102C" w:rsidP="0052102C">
      <w:pPr>
        <w:pStyle w:val="Caption"/>
        <w:rPr>
          <w:rFonts w:ascii="Arial" w:hAnsi="Arial" w:cs="Arial"/>
        </w:rPr>
      </w:pPr>
      <w:r w:rsidRPr="006F1D04">
        <w:rPr>
          <w:rFonts w:ascii="Arial" w:hAnsi="Arial" w:cs="Arial"/>
        </w:rPr>
        <w:t xml:space="preserve">Table </w:t>
      </w:r>
      <w:r w:rsidR="00236133" w:rsidRPr="006F1D04">
        <w:rPr>
          <w:rFonts w:ascii="Arial" w:hAnsi="Arial" w:cs="Arial"/>
        </w:rPr>
        <w:t>D.</w:t>
      </w:r>
      <w:r w:rsidR="00BF6019" w:rsidRPr="006F1D04">
        <w:rPr>
          <w:rFonts w:ascii="Arial" w:hAnsi="Arial" w:cs="Arial"/>
        </w:rPr>
        <w:fldChar w:fldCharType="begin"/>
      </w:r>
      <w:r w:rsidRPr="006F1D04">
        <w:rPr>
          <w:rFonts w:ascii="Arial" w:hAnsi="Arial" w:cs="Arial"/>
        </w:rPr>
        <w:instrText xml:space="preserve"> SEQ Table_Apx \* ARABIC \s 6 </w:instrText>
      </w:r>
      <w:r w:rsidR="00BF6019" w:rsidRPr="006F1D04">
        <w:rPr>
          <w:rFonts w:ascii="Arial" w:hAnsi="Arial" w:cs="Arial"/>
        </w:rPr>
        <w:fldChar w:fldCharType="separate"/>
      </w:r>
      <w:r w:rsidR="0085182E">
        <w:rPr>
          <w:rFonts w:ascii="Arial" w:hAnsi="Arial" w:cs="Arial"/>
          <w:noProof/>
        </w:rPr>
        <w:t>4</w:t>
      </w:r>
      <w:r w:rsidR="00BF6019" w:rsidRPr="006F1D04">
        <w:rPr>
          <w:rFonts w:ascii="Arial" w:hAnsi="Arial" w:cs="Arial"/>
        </w:rPr>
        <w:fldChar w:fldCharType="end"/>
      </w:r>
      <w:r w:rsidRPr="006F1D04">
        <w:rPr>
          <w:rFonts w:ascii="Arial" w:hAnsi="Arial" w:cs="Arial"/>
        </w:rPr>
        <w:t>: SA monitoring sites</w:t>
      </w:r>
    </w:p>
    <w:tbl>
      <w:tblPr>
        <w:tblW w:w="12457"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28" w:type="dxa"/>
          <w:right w:w="28" w:type="dxa"/>
        </w:tblCellMar>
        <w:tblLook w:val="04A0"/>
      </w:tblPr>
      <w:tblGrid>
        <w:gridCol w:w="786"/>
        <w:gridCol w:w="1134"/>
        <w:gridCol w:w="1843"/>
        <w:gridCol w:w="850"/>
        <w:gridCol w:w="2977"/>
        <w:gridCol w:w="1276"/>
        <w:gridCol w:w="803"/>
        <w:gridCol w:w="812"/>
        <w:gridCol w:w="814"/>
        <w:gridCol w:w="1162"/>
      </w:tblGrid>
      <w:tr w:rsidR="00074407" w:rsidRPr="006F1D04" w:rsidTr="00074407">
        <w:trPr>
          <w:trHeight w:val="422"/>
          <w:jc w:val="center"/>
        </w:trPr>
        <w:tc>
          <w:tcPr>
            <w:tcW w:w="786" w:type="dxa"/>
            <w:tcBorders>
              <w:bottom w:val="single" w:sz="4" w:space="0" w:color="0070C0"/>
            </w:tcBorders>
            <w:shd w:val="clear" w:color="auto" w:fill="0070C0"/>
            <w:noWrap/>
            <w:vAlign w:val="center"/>
          </w:tcPr>
          <w:p w:rsidR="00074407" w:rsidRPr="006F1D04" w:rsidRDefault="00074407" w:rsidP="008C719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Site code</w:t>
            </w:r>
          </w:p>
        </w:tc>
        <w:tc>
          <w:tcPr>
            <w:tcW w:w="1134" w:type="dxa"/>
            <w:tcBorders>
              <w:bottom w:val="single" w:sz="4" w:space="0" w:color="0070C0"/>
            </w:tcBorders>
            <w:shd w:val="clear" w:color="auto" w:fill="0070C0"/>
            <w:noWrap/>
            <w:vAlign w:val="center"/>
          </w:tcPr>
          <w:p w:rsidR="00074407" w:rsidRPr="006F1D04" w:rsidRDefault="00074407" w:rsidP="008C719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Organisation</w:t>
            </w:r>
          </w:p>
        </w:tc>
        <w:tc>
          <w:tcPr>
            <w:tcW w:w="1843" w:type="dxa"/>
            <w:tcBorders>
              <w:bottom w:val="single" w:sz="4" w:space="0" w:color="0070C0"/>
            </w:tcBorders>
            <w:shd w:val="clear" w:color="auto" w:fill="0070C0"/>
            <w:noWrap/>
            <w:vAlign w:val="center"/>
          </w:tcPr>
          <w:p w:rsidR="00074407" w:rsidRPr="006F1D04" w:rsidRDefault="00074407" w:rsidP="008C719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Site name</w:t>
            </w:r>
          </w:p>
        </w:tc>
        <w:tc>
          <w:tcPr>
            <w:tcW w:w="850" w:type="dxa"/>
            <w:tcBorders>
              <w:bottom w:val="single" w:sz="4" w:space="0" w:color="0070C0"/>
            </w:tcBorders>
            <w:shd w:val="clear" w:color="auto" w:fill="0070C0"/>
            <w:noWrap/>
            <w:vAlign w:val="center"/>
          </w:tcPr>
          <w:p w:rsidR="00074407" w:rsidRPr="006F1D04" w:rsidRDefault="00074407" w:rsidP="008C719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Region</w:t>
            </w:r>
          </w:p>
        </w:tc>
        <w:tc>
          <w:tcPr>
            <w:tcW w:w="2977" w:type="dxa"/>
            <w:tcBorders>
              <w:bottom w:val="single" w:sz="4" w:space="0" w:color="0070C0"/>
            </w:tcBorders>
            <w:shd w:val="clear" w:color="auto" w:fill="0070C0"/>
            <w:noWrap/>
            <w:vAlign w:val="center"/>
          </w:tcPr>
          <w:p w:rsidR="00074407" w:rsidRPr="006F1D04" w:rsidRDefault="00074407" w:rsidP="008C719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Site description</w:t>
            </w:r>
          </w:p>
        </w:tc>
        <w:tc>
          <w:tcPr>
            <w:tcW w:w="1276" w:type="dxa"/>
            <w:tcBorders>
              <w:bottom w:val="single" w:sz="4" w:space="0" w:color="0070C0"/>
            </w:tcBorders>
            <w:shd w:val="clear" w:color="auto" w:fill="0070C0"/>
            <w:noWrap/>
            <w:vAlign w:val="center"/>
          </w:tcPr>
          <w:p w:rsidR="00074407" w:rsidRPr="006F1D04" w:rsidRDefault="00074407" w:rsidP="008C719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Purpose</w:t>
            </w:r>
          </w:p>
        </w:tc>
        <w:tc>
          <w:tcPr>
            <w:tcW w:w="803" w:type="dxa"/>
            <w:tcBorders>
              <w:bottom w:val="single" w:sz="4" w:space="0" w:color="0070C0"/>
            </w:tcBorders>
            <w:shd w:val="clear" w:color="auto" w:fill="0070C0"/>
            <w:noWrap/>
            <w:vAlign w:val="center"/>
          </w:tcPr>
          <w:p w:rsidR="00074407" w:rsidRPr="006F1D04" w:rsidRDefault="00074407" w:rsidP="008C719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GRUB</w:t>
            </w:r>
          </w:p>
        </w:tc>
        <w:tc>
          <w:tcPr>
            <w:tcW w:w="812" w:type="dxa"/>
            <w:tcBorders>
              <w:bottom w:val="single" w:sz="4" w:space="0" w:color="0070C0"/>
            </w:tcBorders>
            <w:shd w:val="clear" w:color="auto" w:fill="0070C0"/>
            <w:vAlign w:val="center"/>
          </w:tcPr>
          <w:p w:rsidR="00074407" w:rsidRPr="006F1D04" w:rsidRDefault="00074407" w:rsidP="00612FEC">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PM</w:t>
            </w:r>
            <w:r w:rsidRPr="006F1D04">
              <w:rPr>
                <w:rFonts w:ascii="Arial" w:hAnsi="Arial" w:cs="Arial"/>
                <w:b/>
                <w:bCs/>
                <w:color w:val="FFFFFF"/>
                <w:sz w:val="14"/>
                <w:szCs w:val="14"/>
                <w:vertAlign w:val="subscript"/>
              </w:rPr>
              <w:t>10</w:t>
            </w:r>
          </w:p>
        </w:tc>
        <w:tc>
          <w:tcPr>
            <w:tcW w:w="814" w:type="dxa"/>
            <w:tcBorders>
              <w:bottom w:val="single" w:sz="4" w:space="0" w:color="0070C0"/>
            </w:tcBorders>
            <w:shd w:val="clear" w:color="auto" w:fill="0070C0"/>
            <w:vAlign w:val="center"/>
          </w:tcPr>
          <w:p w:rsidR="00074407" w:rsidRPr="006F1D04" w:rsidRDefault="00074407" w:rsidP="0007440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PM</w:t>
            </w:r>
            <w:r w:rsidRPr="006F1D04">
              <w:rPr>
                <w:rFonts w:ascii="Arial" w:hAnsi="Arial" w:cs="Arial"/>
                <w:b/>
                <w:bCs/>
                <w:color w:val="FFFFFF"/>
                <w:sz w:val="14"/>
                <w:szCs w:val="14"/>
                <w:vertAlign w:val="subscript"/>
              </w:rPr>
              <w:t>2.5</w:t>
            </w:r>
          </w:p>
        </w:tc>
        <w:tc>
          <w:tcPr>
            <w:tcW w:w="1162" w:type="dxa"/>
            <w:tcBorders>
              <w:bottom w:val="single" w:sz="4" w:space="0" w:color="0070C0"/>
            </w:tcBorders>
            <w:shd w:val="clear" w:color="auto" w:fill="0070C0"/>
            <w:vAlign w:val="center"/>
          </w:tcPr>
          <w:p w:rsidR="00074407" w:rsidRPr="006F1D04" w:rsidRDefault="00074407" w:rsidP="0007440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Instrument(s)</w:t>
            </w:r>
          </w:p>
        </w:tc>
      </w:tr>
      <w:tr w:rsidR="00DC2F53" w:rsidRPr="006F1D04" w:rsidTr="00DC2F53">
        <w:trPr>
          <w:trHeight w:hRule="exact" w:val="312"/>
          <w:jc w:val="center"/>
        </w:trPr>
        <w:tc>
          <w:tcPr>
            <w:tcW w:w="786" w:type="dxa"/>
            <w:tcBorders>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SA_E01</w:t>
            </w:r>
          </w:p>
        </w:tc>
        <w:tc>
          <w:tcPr>
            <w:tcW w:w="1134" w:type="dxa"/>
            <w:tcBorders>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EPA SA</w:t>
            </w:r>
          </w:p>
        </w:tc>
        <w:tc>
          <w:tcPr>
            <w:tcW w:w="1843" w:type="dxa"/>
            <w:tcBorders>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Birkenhead</w:t>
            </w:r>
          </w:p>
        </w:tc>
        <w:tc>
          <w:tcPr>
            <w:tcW w:w="850" w:type="dxa"/>
            <w:tcBorders>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Adelaide</w:t>
            </w:r>
          </w:p>
        </w:tc>
        <w:tc>
          <w:tcPr>
            <w:tcW w:w="2977" w:type="dxa"/>
            <w:tcBorders>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b/>
                <w:bCs/>
                <w:color w:val="FFFFFF"/>
                <w:sz w:val="14"/>
                <w:szCs w:val="14"/>
              </w:rPr>
            </w:pPr>
            <w:r w:rsidRPr="006F1D04">
              <w:rPr>
                <w:rFonts w:ascii="Arial" w:hAnsi="Arial" w:cs="Arial"/>
                <w:color w:val="000000"/>
                <w:sz w:val="14"/>
                <w:szCs w:val="14"/>
              </w:rPr>
              <w:t>Residential/light industrial</w:t>
            </w:r>
          </w:p>
        </w:tc>
        <w:tc>
          <w:tcPr>
            <w:tcW w:w="1276" w:type="dxa"/>
            <w:tcBorders>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b/>
                <w:bCs/>
                <w:color w:val="FFFFFF"/>
                <w:sz w:val="14"/>
                <w:szCs w:val="14"/>
              </w:rPr>
            </w:pPr>
          </w:p>
        </w:tc>
        <w:tc>
          <w:tcPr>
            <w:tcW w:w="803" w:type="dxa"/>
            <w:tcBorders>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b/>
                <w:bCs/>
                <w:color w:val="FFFFFF"/>
                <w:sz w:val="14"/>
                <w:szCs w:val="14"/>
              </w:rPr>
            </w:pPr>
          </w:p>
        </w:tc>
        <w:tc>
          <w:tcPr>
            <w:tcW w:w="812" w:type="dxa"/>
            <w:tcBorders>
              <w:bottom w:val="dotted" w:sz="4" w:space="0" w:color="0070C0"/>
            </w:tcBorders>
            <w:vAlign w:val="center"/>
          </w:tcPr>
          <w:p w:rsidR="00DC2F53" w:rsidRPr="006F1D04" w:rsidRDefault="00DC2F53" w:rsidP="00F83B66">
            <w:pPr>
              <w:spacing w:after="0" w:line="240" w:lineRule="auto"/>
              <w:jc w:val="center"/>
              <w:rPr>
                <w:rFonts w:ascii="Arial" w:hAnsi="Arial" w:cs="Arial"/>
                <w:b/>
                <w:bCs/>
                <w:color w:val="FFFFFF"/>
                <w:sz w:val="14"/>
                <w:szCs w:val="14"/>
              </w:rPr>
            </w:pPr>
            <w:r w:rsidRPr="006F1D04">
              <w:rPr>
                <w:rFonts w:ascii="Arial" w:hAnsi="Arial" w:cs="Arial"/>
                <w:color w:val="000000"/>
                <w:sz w:val="14"/>
                <w:szCs w:val="14"/>
              </w:rPr>
              <w:sym w:font="Wingdings" w:char="F0FC"/>
            </w:r>
          </w:p>
        </w:tc>
        <w:tc>
          <w:tcPr>
            <w:tcW w:w="814" w:type="dxa"/>
            <w:tcBorders>
              <w:bottom w:val="dotted" w:sz="4" w:space="0" w:color="0070C0"/>
            </w:tcBorders>
            <w:vAlign w:val="center"/>
          </w:tcPr>
          <w:p w:rsidR="00DC2F53" w:rsidRPr="006F1D04" w:rsidRDefault="00DC2F53" w:rsidP="00F83B66">
            <w:pPr>
              <w:spacing w:after="0" w:line="240" w:lineRule="auto"/>
              <w:jc w:val="center"/>
              <w:rPr>
                <w:rFonts w:ascii="Arial" w:hAnsi="Arial" w:cs="Arial"/>
                <w:b/>
                <w:bCs/>
                <w:color w:val="FFFFFF"/>
                <w:sz w:val="14"/>
                <w:szCs w:val="14"/>
              </w:rPr>
            </w:pPr>
            <w:r w:rsidRPr="006F1D04">
              <w:rPr>
                <w:rFonts w:ascii="Arial" w:hAnsi="Arial" w:cs="Arial"/>
                <w:color w:val="000000"/>
                <w:sz w:val="14"/>
                <w:szCs w:val="14"/>
              </w:rPr>
              <w:sym w:font="Wingdings" w:char="F0FB"/>
            </w:r>
          </w:p>
        </w:tc>
        <w:tc>
          <w:tcPr>
            <w:tcW w:w="1162" w:type="dxa"/>
            <w:tcBorders>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DC2F53" w:rsidRPr="006F1D04" w:rsidTr="00DC2F53">
        <w:trPr>
          <w:trHeight w:hRule="exact" w:val="312"/>
          <w:jc w:val="center"/>
        </w:trPr>
        <w:tc>
          <w:tcPr>
            <w:tcW w:w="786"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SA_E02</w:t>
            </w:r>
          </w:p>
        </w:tc>
        <w:tc>
          <w:tcPr>
            <w:tcW w:w="1134"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EPA SA</w:t>
            </w:r>
          </w:p>
        </w:tc>
        <w:tc>
          <w:tcPr>
            <w:tcW w:w="1843"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Christie Downs</w:t>
            </w:r>
          </w:p>
        </w:tc>
        <w:tc>
          <w:tcPr>
            <w:tcW w:w="850"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Adelaide</w:t>
            </w:r>
          </w:p>
        </w:tc>
        <w:tc>
          <w:tcPr>
            <w:tcW w:w="2977"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Residential, urban</w:t>
            </w:r>
          </w:p>
        </w:tc>
        <w:tc>
          <w:tcPr>
            <w:tcW w:w="1276"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Trend</w:t>
            </w:r>
          </w:p>
        </w:tc>
        <w:tc>
          <w:tcPr>
            <w:tcW w:w="803"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812" w:type="dxa"/>
            <w:tcBorders>
              <w:top w:val="dotted" w:sz="4" w:space="0" w:color="0070C0"/>
              <w:bottom w:val="dotted" w:sz="4" w:space="0" w:color="0070C0"/>
            </w:tcBorders>
            <w:vAlign w:val="center"/>
          </w:tcPr>
          <w:p w:rsidR="00DC2F53" w:rsidRPr="006F1D04" w:rsidRDefault="00DC2F53" w:rsidP="00F83B66">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814" w:type="dxa"/>
            <w:tcBorders>
              <w:top w:val="dotted" w:sz="4" w:space="0" w:color="0070C0"/>
              <w:bottom w:val="dotted" w:sz="4" w:space="0" w:color="0070C0"/>
            </w:tcBorders>
            <w:vAlign w:val="center"/>
          </w:tcPr>
          <w:p w:rsidR="00DC2F53" w:rsidRPr="006F1D04" w:rsidRDefault="00DC2F53" w:rsidP="00F83B66">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162" w:type="dxa"/>
            <w:tcBorders>
              <w:top w:val="dotted" w:sz="4" w:space="0" w:color="0070C0"/>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DC2F53" w:rsidRPr="006F1D04" w:rsidTr="00DC2F53">
        <w:trPr>
          <w:trHeight w:hRule="exact" w:val="312"/>
          <w:jc w:val="center"/>
        </w:trPr>
        <w:tc>
          <w:tcPr>
            <w:tcW w:w="786"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SA_E03</w:t>
            </w:r>
          </w:p>
        </w:tc>
        <w:tc>
          <w:tcPr>
            <w:tcW w:w="1134"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EPA SA</w:t>
            </w:r>
          </w:p>
        </w:tc>
        <w:tc>
          <w:tcPr>
            <w:tcW w:w="1843"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Elizabeth Downs</w:t>
            </w:r>
          </w:p>
        </w:tc>
        <w:tc>
          <w:tcPr>
            <w:tcW w:w="850"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Adelaide</w:t>
            </w:r>
          </w:p>
        </w:tc>
        <w:tc>
          <w:tcPr>
            <w:tcW w:w="2977"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Residential, urban</w:t>
            </w:r>
          </w:p>
        </w:tc>
        <w:tc>
          <w:tcPr>
            <w:tcW w:w="1276"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Performance</w:t>
            </w:r>
          </w:p>
        </w:tc>
        <w:tc>
          <w:tcPr>
            <w:tcW w:w="803"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812" w:type="dxa"/>
            <w:tcBorders>
              <w:top w:val="dotted" w:sz="4" w:space="0" w:color="0070C0"/>
              <w:bottom w:val="dotted" w:sz="4" w:space="0" w:color="0070C0"/>
            </w:tcBorders>
            <w:vAlign w:val="center"/>
          </w:tcPr>
          <w:p w:rsidR="00DC2F53" w:rsidRPr="006F1D04" w:rsidRDefault="00DC2F53" w:rsidP="00F83B66">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814" w:type="dxa"/>
            <w:tcBorders>
              <w:top w:val="dotted" w:sz="4" w:space="0" w:color="0070C0"/>
              <w:bottom w:val="dotted" w:sz="4" w:space="0" w:color="0070C0"/>
            </w:tcBorders>
            <w:vAlign w:val="center"/>
          </w:tcPr>
          <w:p w:rsidR="00DC2F53" w:rsidRPr="006F1D04" w:rsidRDefault="00DC2F53" w:rsidP="00F83B66">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162" w:type="dxa"/>
            <w:tcBorders>
              <w:top w:val="dotted" w:sz="4" w:space="0" w:color="0070C0"/>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DC2F53" w:rsidRPr="006F1D04" w:rsidTr="00DC2F53">
        <w:trPr>
          <w:trHeight w:hRule="exact" w:val="312"/>
          <w:jc w:val="center"/>
        </w:trPr>
        <w:tc>
          <w:tcPr>
            <w:tcW w:w="786"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SA_E04</w:t>
            </w:r>
          </w:p>
        </w:tc>
        <w:tc>
          <w:tcPr>
            <w:tcW w:w="1134"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EPA SA</w:t>
            </w:r>
          </w:p>
        </w:tc>
        <w:tc>
          <w:tcPr>
            <w:tcW w:w="1843"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Kensington Gardens</w:t>
            </w:r>
          </w:p>
        </w:tc>
        <w:tc>
          <w:tcPr>
            <w:tcW w:w="850"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Adelaide</w:t>
            </w:r>
          </w:p>
        </w:tc>
        <w:tc>
          <w:tcPr>
            <w:tcW w:w="2977"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Residential, urban</w:t>
            </w:r>
          </w:p>
        </w:tc>
        <w:tc>
          <w:tcPr>
            <w:tcW w:w="1276"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Trend</w:t>
            </w:r>
          </w:p>
        </w:tc>
        <w:tc>
          <w:tcPr>
            <w:tcW w:w="803"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812" w:type="dxa"/>
            <w:tcBorders>
              <w:top w:val="dotted" w:sz="4" w:space="0" w:color="0070C0"/>
              <w:bottom w:val="dotted" w:sz="4" w:space="0" w:color="0070C0"/>
            </w:tcBorders>
            <w:vAlign w:val="center"/>
          </w:tcPr>
          <w:p w:rsidR="00DC2F53" w:rsidRPr="006F1D04" w:rsidRDefault="00DC2F53" w:rsidP="00F83B66">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814" w:type="dxa"/>
            <w:tcBorders>
              <w:top w:val="dotted" w:sz="4" w:space="0" w:color="0070C0"/>
              <w:bottom w:val="dotted" w:sz="4" w:space="0" w:color="0070C0"/>
            </w:tcBorders>
            <w:vAlign w:val="center"/>
          </w:tcPr>
          <w:p w:rsidR="00DC2F53" w:rsidRPr="006F1D04" w:rsidRDefault="00DC2F53" w:rsidP="00F83B66">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162" w:type="dxa"/>
            <w:tcBorders>
              <w:top w:val="dotted" w:sz="4" w:space="0" w:color="0070C0"/>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DC2F53" w:rsidRPr="006F1D04" w:rsidTr="00DC2F53">
        <w:trPr>
          <w:trHeight w:hRule="exact" w:val="312"/>
          <w:jc w:val="center"/>
        </w:trPr>
        <w:tc>
          <w:tcPr>
            <w:tcW w:w="786"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SA_E05</w:t>
            </w:r>
          </w:p>
        </w:tc>
        <w:tc>
          <w:tcPr>
            <w:tcW w:w="1134"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EPA SA</w:t>
            </w:r>
          </w:p>
        </w:tc>
        <w:tc>
          <w:tcPr>
            <w:tcW w:w="1843"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Netley</w:t>
            </w:r>
          </w:p>
        </w:tc>
        <w:tc>
          <w:tcPr>
            <w:tcW w:w="850"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Adelaide</w:t>
            </w:r>
          </w:p>
        </w:tc>
        <w:tc>
          <w:tcPr>
            <w:tcW w:w="2977"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Residential/light industrial area, traffic</w:t>
            </w:r>
          </w:p>
        </w:tc>
        <w:tc>
          <w:tcPr>
            <w:tcW w:w="1276"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Trend</w:t>
            </w:r>
          </w:p>
        </w:tc>
        <w:tc>
          <w:tcPr>
            <w:tcW w:w="803"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812" w:type="dxa"/>
            <w:tcBorders>
              <w:top w:val="dotted" w:sz="4" w:space="0" w:color="0070C0"/>
              <w:bottom w:val="dotted" w:sz="4" w:space="0" w:color="0070C0"/>
            </w:tcBorders>
            <w:vAlign w:val="center"/>
          </w:tcPr>
          <w:p w:rsidR="00DC2F53" w:rsidRPr="006F1D04" w:rsidRDefault="00DC2F53" w:rsidP="00F83B66">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814" w:type="dxa"/>
            <w:tcBorders>
              <w:top w:val="dotted" w:sz="4" w:space="0" w:color="0070C0"/>
              <w:bottom w:val="dotted" w:sz="4" w:space="0" w:color="0070C0"/>
            </w:tcBorders>
            <w:vAlign w:val="center"/>
          </w:tcPr>
          <w:p w:rsidR="00DC2F53" w:rsidRPr="006F1D04" w:rsidRDefault="00DC2F53" w:rsidP="00F83B66">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162" w:type="dxa"/>
            <w:tcBorders>
              <w:top w:val="dotted" w:sz="4" w:space="0" w:color="0070C0"/>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DC2F53" w:rsidRPr="006F1D04" w:rsidTr="00DC2F53">
        <w:trPr>
          <w:trHeight w:hRule="exact" w:val="312"/>
          <w:jc w:val="center"/>
        </w:trPr>
        <w:tc>
          <w:tcPr>
            <w:tcW w:w="786"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SA_E06</w:t>
            </w:r>
          </w:p>
        </w:tc>
        <w:tc>
          <w:tcPr>
            <w:tcW w:w="1134"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EPA SA</w:t>
            </w:r>
          </w:p>
        </w:tc>
        <w:tc>
          <w:tcPr>
            <w:tcW w:w="1843"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Pt Pirie, Frank Green Park</w:t>
            </w:r>
          </w:p>
        </w:tc>
        <w:tc>
          <w:tcPr>
            <w:tcW w:w="850"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Spencer</w:t>
            </w:r>
          </w:p>
        </w:tc>
        <w:tc>
          <w:tcPr>
            <w:tcW w:w="2977"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Residential/industrial</w:t>
            </w:r>
          </w:p>
        </w:tc>
        <w:tc>
          <w:tcPr>
            <w:tcW w:w="1276"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Trend</w:t>
            </w:r>
          </w:p>
        </w:tc>
        <w:tc>
          <w:tcPr>
            <w:tcW w:w="803"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812" w:type="dxa"/>
            <w:tcBorders>
              <w:top w:val="dotted" w:sz="4" w:space="0" w:color="0070C0"/>
              <w:bottom w:val="dotted" w:sz="4" w:space="0" w:color="0070C0"/>
            </w:tcBorders>
            <w:vAlign w:val="center"/>
          </w:tcPr>
          <w:p w:rsidR="00DC2F53" w:rsidRPr="006F1D04" w:rsidRDefault="00DC2F53" w:rsidP="00F83B66">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814" w:type="dxa"/>
            <w:tcBorders>
              <w:top w:val="dotted" w:sz="4" w:space="0" w:color="0070C0"/>
              <w:bottom w:val="dotted" w:sz="4" w:space="0" w:color="0070C0"/>
            </w:tcBorders>
            <w:vAlign w:val="center"/>
          </w:tcPr>
          <w:p w:rsidR="00DC2F53" w:rsidRPr="006F1D04" w:rsidRDefault="00DC2F53" w:rsidP="00F83B66">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162" w:type="dxa"/>
            <w:tcBorders>
              <w:top w:val="dotted" w:sz="4" w:space="0" w:color="0070C0"/>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DC2F53" w:rsidRPr="006F1D04" w:rsidTr="00DC2F53">
        <w:trPr>
          <w:trHeight w:hRule="exact" w:val="312"/>
          <w:jc w:val="center"/>
        </w:trPr>
        <w:tc>
          <w:tcPr>
            <w:tcW w:w="786"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SA_E07</w:t>
            </w:r>
          </w:p>
        </w:tc>
        <w:tc>
          <w:tcPr>
            <w:tcW w:w="1134"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EPA SA</w:t>
            </w:r>
          </w:p>
        </w:tc>
        <w:tc>
          <w:tcPr>
            <w:tcW w:w="1843"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Pt Pirie, Oliver Street</w:t>
            </w:r>
          </w:p>
        </w:tc>
        <w:tc>
          <w:tcPr>
            <w:tcW w:w="850"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Spencer</w:t>
            </w:r>
          </w:p>
        </w:tc>
        <w:tc>
          <w:tcPr>
            <w:tcW w:w="2977"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Residential/industrial</w:t>
            </w:r>
          </w:p>
        </w:tc>
        <w:tc>
          <w:tcPr>
            <w:tcW w:w="1276"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Trend</w:t>
            </w:r>
          </w:p>
        </w:tc>
        <w:tc>
          <w:tcPr>
            <w:tcW w:w="803"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812" w:type="dxa"/>
            <w:tcBorders>
              <w:top w:val="dotted" w:sz="4" w:space="0" w:color="0070C0"/>
              <w:bottom w:val="dotted" w:sz="4" w:space="0" w:color="0070C0"/>
            </w:tcBorders>
            <w:vAlign w:val="center"/>
          </w:tcPr>
          <w:p w:rsidR="00DC2F53" w:rsidRPr="006F1D04" w:rsidRDefault="00DC2F53" w:rsidP="00F83B66">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814" w:type="dxa"/>
            <w:tcBorders>
              <w:top w:val="dotted" w:sz="4" w:space="0" w:color="0070C0"/>
              <w:bottom w:val="dotted" w:sz="4" w:space="0" w:color="0070C0"/>
            </w:tcBorders>
            <w:vAlign w:val="center"/>
          </w:tcPr>
          <w:p w:rsidR="00DC2F53" w:rsidRPr="006F1D04" w:rsidRDefault="00DC2F53" w:rsidP="00F83B66">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162" w:type="dxa"/>
            <w:tcBorders>
              <w:top w:val="dotted" w:sz="4" w:space="0" w:color="0070C0"/>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DC2F53" w:rsidRPr="006F1D04" w:rsidTr="00DC2F53">
        <w:trPr>
          <w:trHeight w:hRule="exact" w:val="312"/>
          <w:jc w:val="center"/>
        </w:trPr>
        <w:tc>
          <w:tcPr>
            <w:tcW w:w="786"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SA_E09</w:t>
            </w:r>
          </w:p>
        </w:tc>
        <w:tc>
          <w:tcPr>
            <w:tcW w:w="1134"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EPA SA</w:t>
            </w:r>
          </w:p>
        </w:tc>
        <w:tc>
          <w:tcPr>
            <w:tcW w:w="1843"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Whyalla, Schulz Park</w:t>
            </w:r>
          </w:p>
        </w:tc>
        <w:tc>
          <w:tcPr>
            <w:tcW w:w="850"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Spencer</w:t>
            </w:r>
          </w:p>
        </w:tc>
        <w:tc>
          <w:tcPr>
            <w:tcW w:w="2977"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Residential/industrial</w:t>
            </w:r>
          </w:p>
        </w:tc>
        <w:tc>
          <w:tcPr>
            <w:tcW w:w="1276"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Trend</w:t>
            </w:r>
          </w:p>
        </w:tc>
        <w:tc>
          <w:tcPr>
            <w:tcW w:w="803" w:type="dxa"/>
            <w:tcBorders>
              <w:top w:val="dotted" w:sz="4" w:space="0" w:color="0070C0"/>
              <w:bottom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812" w:type="dxa"/>
            <w:tcBorders>
              <w:top w:val="dotted" w:sz="4" w:space="0" w:color="0070C0"/>
              <w:bottom w:val="dotted" w:sz="4" w:space="0" w:color="0070C0"/>
            </w:tcBorders>
            <w:vAlign w:val="center"/>
          </w:tcPr>
          <w:p w:rsidR="00DC2F53" w:rsidRPr="006F1D04" w:rsidRDefault="00DC2F53" w:rsidP="00F83B66">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814" w:type="dxa"/>
            <w:tcBorders>
              <w:top w:val="dotted" w:sz="4" w:space="0" w:color="0070C0"/>
              <w:bottom w:val="dotted" w:sz="4" w:space="0" w:color="0070C0"/>
            </w:tcBorders>
            <w:vAlign w:val="center"/>
          </w:tcPr>
          <w:p w:rsidR="00DC2F53" w:rsidRPr="006F1D04" w:rsidRDefault="00DC2F53" w:rsidP="00F83B66">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162" w:type="dxa"/>
            <w:tcBorders>
              <w:top w:val="dotted" w:sz="4" w:space="0" w:color="0070C0"/>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DC2F53" w:rsidRPr="006F1D04" w:rsidTr="00DC2F53">
        <w:trPr>
          <w:trHeight w:hRule="exact" w:val="312"/>
          <w:jc w:val="center"/>
        </w:trPr>
        <w:tc>
          <w:tcPr>
            <w:tcW w:w="786" w:type="dxa"/>
            <w:tcBorders>
              <w:top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SA_E10</w:t>
            </w:r>
          </w:p>
        </w:tc>
        <w:tc>
          <w:tcPr>
            <w:tcW w:w="1134" w:type="dxa"/>
            <w:tcBorders>
              <w:top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EPA SA</w:t>
            </w:r>
          </w:p>
        </w:tc>
        <w:tc>
          <w:tcPr>
            <w:tcW w:w="1843" w:type="dxa"/>
            <w:tcBorders>
              <w:top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Whyalla, Walls St</w:t>
            </w:r>
          </w:p>
        </w:tc>
        <w:tc>
          <w:tcPr>
            <w:tcW w:w="850" w:type="dxa"/>
            <w:tcBorders>
              <w:top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r w:rsidRPr="006F1D04">
              <w:rPr>
                <w:rFonts w:ascii="Arial" w:hAnsi="Arial" w:cs="Arial"/>
                <w:color w:val="000000"/>
                <w:sz w:val="14"/>
                <w:szCs w:val="14"/>
              </w:rPr>
              <w:t>Spencer</w:t>
            </w:r>
          </w:p>
        </w:tc>
        <w:tc>
          <w:tcPr>
            <w:tcW w:w="2977" w:type="dxa"/>
            <w:tcBorders>
              <w:top w:val="dotted" w:sz="4" w:space="0" w:color="0070C0"/>
            </w:tcBorders>
            <w:shd w:val="clear" w:color="auto" w:fill="auto"/>
            <w:noWrap/>
            <w:vAlign w:val="center"/>
          </w:tcPr>
          <w:p w:rsidR="00DC2F53" w:rsidRPr="006F1D04" w:rsidRDefault="00DC2F53" w:rsidP="00D71D9E">
            <w:pPr>
              <w:spacing w:after="0" w:line="240" w:lineRule="auto"/>
              <w:jc w:val="center"/>
              <w:rPr>
                <w:rFonts w:ascii="Arial" w:hAnsi="Arial" w:cs="Arial"/>
                <w:color w:val="000000"/>
                <w:sz w:val="14"/>
                <w:szCs w:val="14"/>
              </w:rPr>
            </w:pPr>
            <w:r w:rsidRPr="006F1D04">
              <w:rPr>
                <w:rFonts w:ascii="Arial" w:hAnsi="Arial" w:cs="Arial"/>
                <w:color w:val="000000"/>
                <w:sz w:val="14"/>
                <w:szCs w:val="14"/>
              </w:rPr>
              <w:t>Industrial (steelworks)</w:t>
            </w:r>
          </w:p>
        </w:tc>
        <w:tc>
          <w:tcPr>
            <w:tcW w:w="1276" w:type="dxa"/>
            <w:tcBorders>
              <w:top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p>
        </w:tc>
        <w:tc>
          <w:tcPr>
            <w:tcW w:w="803" w:type="dxa"/>
            <w:tcBorders>
              <w:top w:val="dotted" w:sz="4" w:space="0" w:color="0070C0"/>
            </w:tcBorders>
            <w:shd w:val="clear" w:color="auto" w:fill="auto"/>
            <w:noWrap/>
            <w:vAlign w:val="center"/>
          </w:tcPr>
          <w:p w:rsidR="00DC2F53" w:rsidRPr="006F1D04" w:rsidRDefault="00DC2F53" w:rsidP="008C7197">
            <w:pPr>
              <w:spacing w:after="0" w:line="240" w:lineRule="auto"/>
              <w:jc w:val="center"/>
              <w:rPr>
                <w:rFonts w:ascii="Arial" w:hAnsi="Arial" w:cs="Arial"/>
                <w:color w:val="000000"/>
                <w:sz w:val="14"/>
                <w:szCs w:val="14"/>
              </w:rPr>
            </w:pPr>
          </w:p>
        </w:tc>
        <w:tc>
          <w:tcPr>
            <w:tcW w:w="812" w:type="dxa"/>
            <w:tcBorders>
              <w:top w:val="dotted" w:sz="4" w:space="0" w:color="0070C0"/>
            </w:tcBorders>
            <w:vAlign w:val="center"/>
          </w:tcPr>
          <w:p w:rsidR="00DC2F53" w:rsidRPr="006F1D04" w:rsidRDefault="00DC2F53" w:rsidP="00F83B66">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814" w:type="dxa"/>
            <w:tcBorders>
              <w:top w:val="dotted" w:sz="4" w:space="0" w:color="0070C0"/>
            </w:tcBorders>
            <w:vAlign w:val="center"/>
          </w:tcPr>
          <w:p w:rsidR="00DC2F53" w:rsidRPr="006F1D04" w:rsidRDefault="00DC2F53" w:rsidP="00F83B66">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162" w:type="dxa"/>
            <w:tcBorders>
              <w:top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bl>
    <w:p w:rsidR="00232040" w:rsidRPr="006F1D04" w:rsidRDefault="0052102C" w:rsidP="00EE2B6F">
      <w:pPr>
        <w:pStyle w:val="Caption"/>
        <w:rPr>
          <w:rFonts w:ascii="Arial" w:hAnsi="Arial" w:cs="Arial"/>
        </w:rPr>
      </w:pPr>
      <w:r w:rsidRPr="006F1D04">
        <w:rPr>
          <w:rFonts w:ascii="Arial" w:hAnsi="Arial" w:cs="Arial"/>
        </w:rPr>
        <w:lastRenderedPageBreak/>
        <w:t xml:space="preserve">Table </w:t>
      </w:r>
      <w:r w:rsidR="00236133" w:rsidRPr="006F1D04">
        <w:rPr>
          <w:rFonts w:ascii="Arial" w:hAnsi="Arial" w:cs="Arial"/>
        </w:rPr>
        <w:t>D.</w:t>
      </w:r>
      <w:r w:rsidR="00BF6019" w:rsidRPr="006F1D04">
        <w:rPr>
          <w:rFonts w:ascii="Arial" w:hAnsi="Arial" w:cs="Arial"/>
        </w:rPr>
        <w:fldChar w:fldCharType="begin"/>
      </w:r>
      <w:r w:rsidRPr="006F1D04">
        <w:rPr>
          <w:rFonts w:ascii="Arial" w:hAnsi="Arial" w:cs="Arial"/>
        </w:rPr>
        <w:instrText xml:space="preserve"> SEQ Table_Apx \* ARABIC \s 6 </w:instrText>
      </w:r>
      <w:r w:rsidR="00BF6019" w:rsidRPr="006F1D04">
        <w:rPr>
          <w:rFonts w:ascii="Arial" w:hAnsi="Arial" w:cs="Arial"/>
        </w:rPr>
        <w:fldChar w:fldCharType="separate"/>
      </w:r>
      <w:r w:rsidR="0085182E">
        <w:rPr>
          <w:rFonts w:ascii="Arial" w:hAnsi="Arial" w:cs="Arial"/>
          <w:noProof/>
        </w:rPr>
        <w:t>5</w:t>
      </w:r>
      <w:r w:rsidR="00BF6019" w:rsidRPr="006F1D04">
        <w:rPr>
          <w:rFonts w:ascii="Arial" w:hAnsi="Arial" w:cs="Arial"/>
        </w:rPr>
        <w:fldChar w:fldCharType="end"/>
      </w:r>
      <w:r w:rsidRPr="006F1D04">
        <w:rPr>
          <w:rFonts w:ascii="Arial" w:hAnsi="Arial" w:cs="Arial"/>
        </w:rPr>
        <w:t>: WA monitoring sites</w:t>
      </w:r>
    </w:p>
    <w:tbl>
      <w:tblPr>
        <w:tblW w:w="12751"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28" w:type="dxa"/>
          <w:right w:w="28" w:type="dxa"/>
        </w:tblCellMar>
        <w:tblLook w:val="04A0"/>
      </w:tblPr>
      <w:tblGrid>
        <w:gridCol w:w="786"/>
        <w:gridCol w:w="1134"/>
        <w:gridCol w:w="1612"/>
        <w:gridCol w:w="892"/>
        <w:gridCol w:w="2368"/>
        <w:gridCol w:w="2074"/>
        <w:gridCol w:w="837"/>
        <w:gridCol w:w="780"/>
        <w:gridCol w:w="851"/>
        <w:gridCol w:w="1417"/>
      </w:tblGrid>
      <w:tr w:rsidR="00074407" w:rsidRPr="006F1D04" w:rsidTr="00DC2F53">
        <w:trPr>
          <w:trHeight w:val="492"/>
          <w:jc w:val="center"/>
        </w:trPr>
        <w:tc>
          <w:tcPr>
            <w:tcW w:w="786" w:type="dxa"/>
            <w:tcBorders>
              <w:bottom w:val="single" w:sz="4" w:space="0" w:color="0070C0"/>
            </w:tcBorders>
            <w:shd w:val="clear" w:color="auto" w:fill="0070C0"/>
            <w:noWrap/>
            <w:vAlign w:val="center"/>
          </w:tcPr>
          <w:p w:rsidR="00074407" w:rsidRPr="006F1D04" w:rsidRDefault="00074407" w:rsidP="0072215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Site code</w:t>
            </w:r>
          </w:p>
        </w:tc>
        <w:tc>
          <w:tcPr>
            <w:tcW w:w="1134" w:type="dxa"/>
            <w:tcBorders>
              <w:bottom w:val="single" w:sz="4" w:space="0" w:color="0070C0"/>
            </w:tcBorders>
            <w:shd w:val="clear" w:color="auto" w:fill="0070C0"/>
            <w:noWrap/>
            <w:vAlign w:val="center"/>
          </w:tcPr>
          <w:p w:rsidR="00074407" w:rsidRPr="006F1D04" w:rsidRDefault="00074407" w:rsidP="0072215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Organisation</w:t>
            </w:r>
          </w:p>
        </w:tc>
        <w:tc>
          <w:tcPr>
            <w:tcW w:w="1612" w:type="dxa"/>
            <w:tcBorders>
              <w:bottom w:val="single" w:sz="4" w:space="0" w:color="0070C0"/>
            </w:tcBorders>
            <w:shd w:val="clear" w:color="auto" w:fill="0070C0"/>
            <w:noWrap/>
            <w:vAlign w:val="center"/>
          </w:tcPr>
          <w:p w:rsidR="00074407" w:rsidRPr="006F1D04" w:rsidRDefault="00074407" w:rsidP="0072215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Site name</w:t>
            </w:r>
          </w:p>
        </w:tc>
        <w:tc>
          <w:tcPr>
            <w:tcW w:w="892" w:type="dxa"/>
            <w:tcBorders>
              <w:bottom w:val="single" w:sz="4" w:space="0" w:color="0070C0"/>
            </w:tcBorders>
            <w:shd w:val="clear" w:color="auto" w:fill="0070C0"/>
            <w:noWrap/>
            <w:vAlign w:val="center"/>
          </w:tcPr>
          <w:p w:rsidR="00074407" w:rsidRPr="006F1D04" w:rsidRDefault="00074407" w:rsidP="0072215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Region</w:t>
            </w:r>
          </w:p>
        </w:tc>
        <w:tc>
          <w:tcPr>
            <w:tcW w:w="2368" w:type="dxa"/>
            <w:tcBorders>
              <w:bottom w:val="single" w:sz="4" w:space="0" w:color="0070C0"/>
            </w:tcBorders>
            <w:shd w:val="clear" w:color="auto" w:fill="0070C0"/>
            <w:noWrap/>
            <w:vAlign w:val="center"/>
          </w:tcPr>
          <w:p w:rsidR="00074407" w:rsidRPr="006F1D04" w:rsidRDefault="00074407" w:rsidP="0072215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Site description</w:t>
            </w:r>
          </w:p>
        </w:tc>
        <w:tc>
          <w:tcPr>
            <w:tcW w:w="2074" w:type="dxa"/>
            <w:tcBorders>
              <w:bottom w:val="single" w:sz="4" w:space="0" w:color="0070C0"/>
            </w:tcBorders>
            <w:shd w:val="clear" w:color="auto" w:fill="0070C0"/>
            <w:noWrap/>
            <w:vAlign w:val="center"/>
          </w:tcPr>
          <w:p w:rsidR="00074407" w:rsidRPr="006F1D04" w:rsidRDefault="00074407" w:rsidP="0072215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Purpose</w:t>
            </w:r>
          </w:p>
        </w:tc>
        <w:tc>
          <w:tcPr>
            <w:tcW w:w="837" w:type="dxa"/>
            <w:tcBorders>
              <w:bottom w:val="single" w:sz="4" w:space="0" w:color="0070C0"/>
            </w:tcBorders>
            <w:shd w:val="clear" w:color="auto" w:fill="0070C0"/>
            <w:noWrap/>
            <w:vAlign w:val="center"/>
          </w:tcPr>
          <w:p w:rsidR="00074407" w:rsidRPr="006F1D04" w:rsidRDefault="00074407" w:rsidP="0072215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GRUB</w:t>
            </w:r>
          </w:p>
        </w:tc>
        <w:tc>
          <w:tcPr>
            <w:tcW w:w="780" w:type="dxa"/>
            <w:tcBorders>
              <w:bottom w:val="single" w:sz="4" w:space="0" w:color="0070C0"/>
            </w:tcBorders>
            <w:shd w:val="clear" w:color="auto" w:fill="0070C0"/>
            <w:vAlign w:val="center"/>
          </w:tcPr>
          <w:p w:rsidR="00074407" w:rsidRPr="006F1D04" w:rsidRDefault="00074407" w:rsidP="00612FEC">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PM</w:t>
            </w:r>
            <w:r w:rsidRPr="006F1D04">
              <w:rPr>
                <w:rFonts w:ascii="Arial" w:hAnsi="Arial" w:cs="Arial"/>
                <w:b/>
                <w:bCs/>
                <w:color w:val="FFFFFF"/>
                <w:sz w:val="14"/>
                <w:szCs w:val="14"/>
                <w:vertAlign w:val="subscript"/>
              </w:rPr>
              <w:t>10</w:t>
            </w:r>
          </w:p>
        </w:tc>
        <w:tc>
          <w:tcPr>
            <w:tcW w:w="851" w:type="dxa"/>
            <w:tcBorders>
              <w:bottom w:val="single" w:sz="4" w:space="0" w:color="0070C0"/>
            </w:tcBorders>
            <w:shd w:val="clear" w:color="auto" w:fill="0070C0"/>
            <w:vAlign w:val="center"/>
          </w:tcPr>
          <w:p w:rsidR="00074407" w:rsidRPr="006F1D04" w:rsidRDefault="00074407" w:rsidP="0007440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PM</w:t>
            </w:r>
            <w:r w:rsidRPr="006F1D04">
              <w:rPr>
                <w:rFonts w:ascii="Arial" w:hAnsi="Arial" w:cs="Arial"/>
                <w:b/>
                <w:bCs/>
                <w:color w:val="FFFFFF"/>
                <w:sz w:val="14"/>
                <w:szCs w:val="14"/>
                <w:vertAlign w:val="subscript"/>
              </w:rPr>
              <w:t>2.5</w:t>
            </w:r>
          </w:p>
        </w:tc>
        <w:tc>
          <w:tcPr>
            <w:tcW w:w="1417" w:type="dxa"/>
            <w:tcBorders>
              <w:bottom w:val="single" w:sz="4" w:space="0" w:color="0070C0"/>
            </w:tcBorders>
            <w:shd w:val="clear" w:color="auto" w:fill="0070C0"/>
            <w:vAlign w:val="center"/>
          </w:tcPr>
          <w:p w:rsidR="00074407" w:rsidRPr="006F1D04" w:rsidRDefault="00074407" w:rsidP="0007440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Instrument(s)</w:t>
            </w:r>
          </w:p>
        </w:tc>
      </w:tr>
      <w:tr w:rsidR="00DC2F53" w:rsidRPr="006F1D04" w:rsidTr="00DC2F53">
        <w:trPr>
          <w:trHeight w:val="312"/>
          <w:jc w:val="center"/>
        </w:trPr>
        <w:tc>
          <w:tcPr>
            <w:tcW w:w="786" w:type="dxa"/>
            <w:tcBorders>
              <w:top w:val="dotted" w:sz="4" w:space="0" w:color="0070C0"/>
              <w:bottom w:val="dotted" w:sz="4" w:space="0" w:color="0070C0"/>
            </w:tcBorders>
            <w:shd w:val="clear" w:color="auto" w:fill="auto"/>
            <w:noWrap/>
            <w:vAlign w:val="center"/>
          </w:tcPr>
          <w:p w:rsidR="00DC2F53" w:rsidRPr="006F1D04" w:rsidRDefault="00DC2F53" w:rsidP="00D71D9E">
            <w:pPr>
              <w:spacing w:after="0" w:line="240" w:lineRule="auto"/>
              <w:jc w:val="center"/>
              <w:rPr>
                <w:rFonts w:ascii="Arial" w:hAnsi="Arial" w:cs="Arial"/>
                <w:color w:val="000000"/>
                <w:sz w:val="14"/>
                <w:szCs w:val="14"/>
              </w:rPr>
            </w:pPr>
            <w:r w:rsidRPr="006F1D04">
              <w:rPr>
                <w:rFonts w:ascii="Arial" w:hAnsi="Arial" w:cs="Arial"/>
                <w:color w:val="000000"/>
                <w:sz w:val="14"/>
                <w:szCs w:val="14"/>
              </w:rPr>
              <w:t>WA_D01</w:t>
            </w:r>
          </w:p>
        </w:tc>
        <w:tc>
          <w:tcPr>
            <w:tcW w:w="1134" w:type="dxa"/>
            <w:tcBorders>
              <w:top w:val="dotted" w:sz="4" w:space="0" w:color="0070C0"/>
              <w:bottom w:val="dotted" w:sz="4" w:space="0" w:color="0070C0"/>
            </w:tcBorders>
            <w:shd w:val="clear" w:color="auto" w:fill="auto"/>
            <w:noWrap/>
            <w:vAlign w:val="center"/>
          </w:tcPr>
          <w:p w:rsidR="00DC2F53" w:rsidRPr="006F1D04" w:rsidRDefault="00DC2F53" w:rsidP="00D71D9E">
            <w:pPr>
              <w:spacing w:after="0" w:line="240" w:lineRule="auto"/>
              <w:jc w:val="center"/>
              <w:rPr>
                <w:rFonts w:ascii="Arial" w:hAnsi="Arial" w:cs="Arial"/>
                <w:bCs/>
                <w:color w:val="000000"/>
                <w:sz w:val="14"/>
                <w:szCs w:val="14"/>
              </w:rPr>
            </w:pPr>
            <w:r w:rsidRPr="006F1D04">
              <w:rPr>
                <w:rFonts w:ascii="Arial" w:hAnsi="Arial" w:cs="Arial"/>
                <w:color w:val="000000"/>
                <w:sz w:val="14"/>
                <w:szCs w:val="14"/>
              </w:rPr>
              <w:t>DER</w:t>
            </w:r>
          </w:p>
        </w:tc>
        <w:tc>
          <w:tcPr>
            <w:tcW w:w="1612" w:type="dxa"/>
            <w:tcBorders>
              <w:top w:val="dotted" w:sz="4" w:space="0" w:color="0070C0"/>
              <w:bottom w:val="dotted" w:sz="4" w:space="0" w:color="0070C0"/>
            </w:tcBorders>
            <w:shd w:val="clear" w:color="auto" w:fill="auto"/>
            <w:noWrap/>
            <w:vAlign w:val="center"/>
          </w:tcPr>
          <w:p w:rsidR="00DC2F53" w:rsidRPr="006F1D04" w:rsidRDefault="00DC2F53" w:rsidP="00D71D9E">
            <w:pPr>
              <w:spacing w:after="0" w:line="240" w:lineRule="auto"/>
              <w:jc w:val="center"/>
              <w:rPr>
                <w:rFonts w:ascii="Arial" w:hAnsi="Arial" w:cs="Arial"/>
                <w:bCs/>
                <w:color w:val="000000"/>
                <w:sz w:val="14"/>
                <w:szCs w:val="14"/>
              </w:rPr>
            </w:pPr>
            <w:r w:rsidRPr="006F1D04">
              <w:rPr>
                <w:rFonts w:ascii="Arial" w:hAnsi="Arial" w:cs="Arial"/>
                <w:bCs/>
                <w:color w:val="000000"/>
                <w:sz w:val="14"/>
                <w:szCs w:val="14"/>
              </w:rPr>
              <w:t>Perth: Caversham</w:t>
            </w:r>
          </w:p>
        </w:tc>
        <w:tc>
          <w:tcPr>
            <w:tcW w:w="892" w:type="dxa"/>
            <w:tcBorders>
              <w:top w:val="dotted" w:sz="4" w:space="0" w:color="0070C0"/>
              <w:bottom w:val="dotted" w:sz="4" w:space="0" w:color="0070C0"/>
            </w:tcBorders>
            <w:shd w:val="clear" w:color="auto" w:fill="auto"/>
            <w:noWrap/>
            <w:vAlign w:val="center"/>
          </w:tcPr>
          <w:p w:rsidR="00DC2F53" w:rsidRPr="006F1D04" w:rsidRDefault="00DC2F53" w:rsidP="00D71D9E">
            <w:pPr>
              <w:spacing w:after="0" w:line="240" w:lineRule="auto"/>
              <w:jc w:val="center"/>
              <w:rPr>
                <w:rFonts w:ascii="Arial" w:hAnsi="Arial" w:cs="Arial"/>
                <w:color w:val="000000"/>
                <w:sz w:val="14"/>
                <w:szCs w:val="14"/>
              </w:rPr>
            </w:pPr>
            <w:r w:rsidRPr="006F1D04">
              <w:rPr>
                <w:rFonts w:ascii="Arial" w:hAnsi="Arial" w:cs="Arial"/>
                <w:color w:val="000000"/>
                <w:sz w:val="14"/>
                <w:szCs w:val="14"/>
              </w:rPr>
              <w:t>Perth</w:t>
            </w:r>
          </w:p>
        </w:tc>
        <w:tc>
          <w:tcPr>
            <w:tcW w:w="2368" w:type="dxa"/>
            <w:tcBorders>
              <w:top w:val="dotted" w:sz="4" w:space="0" w:color="0070C0"/>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Metropolitan area</w:t>
            </w:r>
          </w:p>
        </w:tc>
        <w:tc>
          <w:tcPr>
            <w:tcW w:w="2074" w:type="dxa"/>
            <w:tcBorders>
              <w:top w:val="dotted" w:sz="4" w:space="0" w:color="0070C0"/>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Performance</w:t>
            </w:r>
          </w:p>
        </w:tc>
        <w:tc>
          <w:tcPr>
            <w:tcW w:w="837" w:type="dxa"/>
            <w:tcBorders>
              <w:top w:val="dotted" w:sz="4" w:space="0" w:color="0070C0"/>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780" w:type="dxa"/>
            <w:tcBorders>
              <w:top w:val="dotted" w:sz="4" w:space="0" w:color="0070C0"/>
              <w:bottom w:val="dotted" w:sz="4" w:space="0" w:color="0070C0"/>
            </w:tcBorders>
            <w:vAlign w:val="center"/>
          </w:tcPr>
          <w:p w:rsidR="00DC2F53" w:rsidRPr="006F1D04" w:rsidRDefault="00DC2F53" w:rsidP="00D71D9E">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851" w:type="dxa"/>
            <w:tcBorders>
              <w:top w:val="dotted" w:sz="4" w:space="0" w:color="0070C0"/>
              <w:bottom w:val="dotted" w:sz="4" w:space="0" w:color="0070C0"/>
            </w:tcBorders>
            <w:vAlign w:val="center"/>
          </w:tcPr>
          <w:p w:rsidR="00DC2F53" w:rsidRPr="006F1D04" w:rsidRDefault="00DC2F53" w:rsidP="00D71D9E">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417" w:type="dxa"/>
            <w:tcBorders>
              <w:top w:val="dotted" w:sz="4" w:space="0" w:color="0070C0"/>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DC2F53" w:rsidRPr="006F1D04" w:rsidTr="00DC2F53">
        <w:trPr>
          <w:trHeight w:val="312"/>
          <w:jc w:val="center"/>
        </w:trPr>
        <w:tc>
          <w:tcPr>
            <w:tcW w:w="786" w:type="dxa"/>
            <w:tcBorders>
              <w:top w:val="dotted" w:sz="4" w:space="0" w:color="0070C0"/>
              <w:bottom w:val="dotted" w:sz="4" w:space="0" w:color="0070C0"/>
            </w:tcBorders>
            <w:shd w:val="clear" w:color="auto" w:fill="auto"/>
            <w:noWrap/>
            <w:vAlign w:val="center"/>
          </w:tcPr>
          <w:p w:rsidR="00DC2F53" w:rsidRPr="006F1D04" w:rsidRDefault="00DC2F53" w:rsidP="002072FD">
            <w:pPr>
              <w:spacing w:after="0" w:line="240" w:lineRule="auto"/>
              <w:jc w:val="center"/>
              <w:rPr>
                <w:rFonts w:ascii="Arial" w:hAnsi="Arial" w:cs="Arial"/>
                <w:color w:val="000000"/>
                <w:sz w:val="14"/>
                <w:szCs w:val="14"/>
              </w:rPr>
            </w:pPr>
            <w:r w:rsidRPr="006F1D04">
              <w:rPr>
                <w:rFonts w:ascii="Arial" w:hAnsi="Arial" w:cs="Arial"/>
                <w:color w:val="000000"/>
                <w:sz w:val="14"/>
                <w:szCs w:val="14"/>
              </w:rPr>
              <w:t>WA_</w:t>
            </w:r>
            <w:r w:rsidR="002072FD" w:rsidRPr="006F1D04">
              <w:rPr>
                <w:rFonts w:ascii="Arial" w:hAnsi="Arial" w:cs="Arial"/>
                <w:color w:val="000000"/>
                <w:sz w:val="14"/>
                <w:szCs w:val="14"/>
              </w:rPr>
              <w:t>D02</w:t>
            </w:r>
          </w:p>
        </w:tc>
        <w:tc>
          <w:tcPr>
            <w:tcW w:w="1134" w:type="dxa"/>
            <w:tcBorders>
              <w:top w:val="dotted" w:sz="4" w:space="0" w:color="0070C0"/>
              <w:bottom w:val="dotted" w:sz="4" w:space="0" w:color="0070C0"/>
            </w:tcBorders>
            <w:shd w:val="clear" w:color="auto" w:fill="auto"/>
            <w:noWrap/>
            <w:vAlign w:val="center"/>
          </w:tcPr>
          <w:p w:rsidR="00DC2F53" w:rsidRPr="006F1D04" w:rsidRDefault="00DC2F53" w:rsidP="00D71D9E">
            <w:pPr>
              <w:spacing w:after="0" w:line="240" w:lineRule="auto"/>
              <w:jc w:val="center"/>
              <w:rPr>
                <w:rFonts w:ascii="Arial" w:hAnsi="Arial" w:cs="Arial"/>
                <w:bCs/>
                <w:color w:val="000000"/>
                <w:sz w:val="14"/>
                <w:szCs w:val="14"/>
              </w:rPr>
            </w:pPr>
            <w:r w:rsidRPr="006F1D04">
              <w:rPr>
                <w:rFonts w:ascii="Arial" w:hAnsi="Arial" w:cs="Arial"/>
                <w:color w:val="000000"/>
                <w:sz w:val="14"/>
                <w:szCs w:val="14"/>
              </w:rPr>
              <w:t>DER</w:t>
            </w:r>
          </w:p>
        </w:tc>
        <w:tc>
          <w:tcPr>
            <w:tcW w:w="1612" w:type="dxa"/>
            <w:tcBorders>
              <w:top w:val="dotted" w:sz="4" w:space="0" w:color="0070C0"/>
              <w:bottom w:val="dotted" w:sz="4" w:space="0" w:color="0070C0"/>
            </w:tcBorders>
            <w:shd w:val="clear" w:color="auto" w:fill="auto"/>
            <w:noWrap/>
            <w:vAlign w:val="center"/>
          </w:tcPr>
          <w:p w:rsidR="00DC2F53" w:rsidRPr="006F1D04" w:rsidRDefault="00DC2F53" w:rsidP="00D71D9E">
            <w:pPr>
              <w:spacing w:after="0" w:line="240" w:lineRule="auto"/>
              <w:jc w:val="center"/>
              <w:rPr>
                <w:rFonts w:ascii="Arial" w:hAnsi="Arial" w:cs="Arial"/>
                <w:bCs/>
                <w:color w:val="000000"/>
                <w:sz w:val="14"/>
                <w:szCs w:val="14"/>
              </w:rPr>
            </w:pPr>
            <w:r w:rsidRPr="006F1D04">
              <w:rPr>
                <w:rFonts w:ascii="Arial" w:hAnsi="Arial" w:cs="Arial"/>
                <w:bCs/>
                <w:color w:val="000000"/>
                <w:sz w:val="14"/>
                <w:szCs w:val="14"/>
              </w:rPr>
              <w:t>Perth: Duncraig</w:t>
            </w:r>
          </w:p>
        </w:tc>
        <w:tc>
          <w:tcPr>
            <w:tcW w:w="892" w:type="dxa"/>
            <w:tcBorders>
              <w:top w:val="dotted" w:sz="4" w:space="0" w:color="0070C0"/>
              <w:bottom w:val="dotted" w:sz="4" w:space="0" w:color="0070C0"/>
            </w:tcBorders>
            <w:shd w:val="clear" w:color="auto" w:fill="auto"/>
            <w:noWrap/>
            <w:vAlign w:val="center"/>
          </w:tcPr>
          <w:p w:rsidR="00DC2F53" w:rsidRPr="006F1D04" w:rsidRDefault="00DC2F53" w:rsidP="00D71D9E">
            <w:pPr>
              <w:spacing w:after="0" w:line="240" w:lineRule="auto"/>
              <w:jc w:val="center"/>
              <w:rPr>
                <w:rFonts w:ascii="Arial" w:hAnsi="Arial" w:cs="Arial"/>
                <w:color w:val="000000"/>
                <w:sz w:val="14"/>
                <w:szCs w:val="14"/>
              </w:rPr>
            </w:pPr>
            <w:r w:rsidRPr="006F1D04">
              <w:rPr>
                <w:rFonts w:ascii="Arial" w:hAnsi="Arial" w:cs="Arial"/>
                <w:color w:val="000000"/>
                <w:sz w:val="14"/>
                <w:szCs w:val="14"/>
              </w:rPr>
              <w:t>Perth</w:t>
            </w:r>
          </w:p>
        </w:tc>
        <w:tc>
          <w:tcPr>
            <w:tcW w:w="2368" w:type="dxa"/>
            <w:tcBorders>
              <w:top w:val="dotted" w:sz="4" w:space="0" w:color="0070C0"/>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Metropolitan area</w:t>
            </w:r>
          </w:p>
        </w:tc>
        <w:tc>
          <w:tcPr>
            <w:tcW w:w="2074" w:type="dxa"/>
            <w:tcBorders>
              <w:top w:val="dotted" w:sz="4" w:space="0" w:color="0070C0"/>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Trend</w:t>
            </w:r>
          </w:p>
        </w:tc>
        <w:tc>
          <w:tcPr>
            <w:tcW w:w="837" w:type="dxa"/>
            <w:tcBorders>
              <w:top w:val="dotted" w:sz="4" w:space="0" w:color="0070C0"/>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780" w:type="dxa"/>
            <w:tcBorders>
              <w:top w:val="dotted" w:sz="4" w:space="0" w:color="0070C0"/>
              <w:bottom w:val="dotted" w:sz="4" w:space="0" w:color="0070C0"/>
            </w:tcBorders>
            <w:vAlign w:val="center"/>
          </w:tcPr>
          <w:p w:rsidR="00DC2F53" w:rsidRPr="006F1D04" w:rsidRDefault="00DC2F53" w:rsidP="00D71D9E">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851" w:type="dxa"/>
            <w:tcBorders>
              <w:top w:val="dotted" w:sz="4" w:space="0" w:color="0070C0"/>
              <w:bottom w:val="dotted" w:sz="4" w:space="0" w:color="0070C0"/>
            </w:tcBorders>
            <w:vAlign w:val="center"/>
          </w:tcPr>
          <w:p w:rsidR="00DC2F53" w:rsidRPr="006F1D04" w:rsidRDefault="00DC2F53" w:rsidP="00D71D9E">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417" w:type="dxa"/>
            <w:tcBorders>
              <w:top w:val="dotted" w:sz="4" w:space="0" w:color="0070C0"/>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DC2F53" w:rsidRPr="006F1D04" w:rsidTr="00DC2F53">
        <w:trPr>
          <w:trHeight w:val="312"/>
          <w:jc w:val="center"/>
        </w:trPr>
        <w:tc>
          <w:tcPr>
            <w:tcW w:w="786" w:type="dxa"/>
            <w:tcBorders>
              <w:top w:val="dotted" w:sz="4" w:space="0" w:color="0070C0"/>
              <w:bottom w:val="dotted" w:sz="4" w:space="0" w:color="0070C0"/>
            </w:tcBorders>
            <w:shd w:val="clear" w:color="auto" w:fill="auto"/>
            <w:noWrap/>
            <w:vAlign w:val="center"/>
          </w:tcPr>
          <w:p w:rsidR="00DC2F53" w:rsidRPr="006F1D04" w:rsidRDefault="00DC2F53" w:rsidP="002072FD">
            <w:pPr>
              <w:spacing w:after="0" w:line="240" w:lineRule="auto"/>
              <w:jc w:val="center"/>
              <w:rPr>
                <w:rFonts w:ascii="Arial" w:hAnsi="Arial" w:cs="Arial"/>
                <w:color w:val="000000"/>
                <w:sz w:val="14"/>
                <w:szCs w:val="14"/>
              </w:rPr>
            </w:pPr>
            <w:r w:rsidRPr="006F1D04">
              <w:rPr>
                <w:rFonts w:ascii="Arial" w:hAnsi="Arial" w:cs="Arial"/>
                <w:color w:val="000000"/>
                <w:sz w:val="14"/>
                <w:szCs w:val="14"/>
              </w:rPr>
              <w:t>WA_</w:t>
            </w:r>
            <w:r w:rsidR="002072FD" w:rsidRPr="006F1D04">
              <w:rPr>
                <w:rFonts w:ascii="Arial" w:hAnsi="Arial" w:cs="Arial"/>
                <w:color w:val="000000"/>
                <w:sz w:val="14"/>
                <w:szCs w:val="14"/>
              </w:rPr>
              <w:t>D03</w:t>
            </w:r>
          </w:p>
        </w:tc>
        <w:tc>
          <w:tcPr>
            <w:tcW w:w="1134" w:type="dxa"/>
            <w:tcBorders>
              <w:top w:val="dotted" w:sz="4" w:space="0" w:color="0070C0"/>
              <w:bottom w:val="dotted" w:sz="4" w:space="0" w:color="0070C0"/>
            </w:tcBorders>
            <w:shd w:val="clear" w:color="auto" w:fill="auto"/>
            <w:noWrap/>
            <w:vAlign w:val="center"/>
          </w:tcPr>
          <w:p w:rsidR="00DC2F53" w:rsidRPr="006F1D04" w:rsidRDefault="00DC2F53" w:rsidP="00D71D9E">
            <w:pPr>
              <w:spacing w:after="0" w:line="240" w:lineRule="auto"/>
              <w:jc w:val="center"/>
              <w:rPr>
                <w:rFonts w:ascii="Arial" w:hAnsi="Arial" w:cs="Arial"/>
                <w:bCs/>
                <w:color w:val="000000"/>
                <w:sz w:val="14"/>
                <w:szCs w:val="14"/>
              </w:rPr>
            </w:pPr>
            <w:r w:rsidRPr="006F1D04">
              <w:rPr>
                <w:rFonts w:ascii="Arial" w:hAnsi="Arial" w:cs="Arial"/>
                <w:color w:val="000000"/>
                <w:sz w:val="14"/>
                <w:szCs w:val="14"/>
              </w:rPr>
              <w:t>DER</w:t>
            </w:r>
          </w:p>
        </w:tc>
        <w:tc>
          <w:tcPr>
            <w:tcW w:w="1612" w:type="dxa"/>
            <w:tcBorders>
              <w:top w:val="dotted" w:sz="4" w:space="0" w:color="0070C0"/>
              <w:bottom w:val="dotted" w:sz="4" w:space="0" w:color="0070C0"/>
            </w:tcBorders>
            <w:shd w:val="clear" w:color="auto" w:fill="auto"/>
            <w:noWrap/>
            <w:vAlign w:val="center"/>
          </w:tcPr>
          <w:p w:rsidR="00DC2F53" w:rsidRPr="006F1D04" w:rsidRDefault="00DC2F53" w:rsidP="00D71D9E">
            <w:pPr>
              <w:spacing w:after="0" w:line="240" w:lineRule="auto"/>
              <w:jc w:val="center"/>
              <w:rPr>
                <w:rFonts w:ascii="Arial" w:hAnsi="Arial" w:cs="Arial"/>
                <w:bCs/>
                <w:color w:val="000000"/>
                <w:sz w:val="14"/>
                <w:szCs w:val="14"/>
              </w:rPr>
            </w:pPr>
            <w:r w:rsidRPr="006F1D04">
              <w:rPr>
                <w:rFonts w:ascii="Arial" w:hAnsi="Arial" w:cs="Arial"/>
                <w:bCs/>
                <w:color w:val="000000"/>
                <w:sz w:val="14"/>
                <w:szCs w:val="14"/>
              </w:rPr>
              <w:t xml:space="preserve">Perth: </w:t>
            </w:r>
            <w:proofErr w:type="spellStart"/>
            <w:r w:rsidRPr="006F1D04">
              <w:rPr>
                <w:rFonts w:ascii="Arial" w:hAnsi="Arial" w:cs="Arial"/>
                <w:bCs/>
                <w:color w:val="000000"/>
                <w:sz w:val="14"/>
                <w:szCs w:val="14"/>
              </w:rPr>
              <w:t>Quinns</w:t>
            </w:r>
            <w:proofErr w:type="spellEnd"/>
            <w:r w:rsidRPr="006F1D04">
              <w:rPr>
                <w:rFonts w:ascii="Arial" w:hAnsi="Arial" w:cs="Arial"/>
                <w:bCs/>
                <w:color w:val="000000"/>
                <w:sz w:val="14"/>
                <w:szCs w:val="14"/>
              </w:rPr>
              <w:t xml:space="preserve"> Rock</w:t>
            </w:r>
          </w:p>
        </w:tc>
        <w:tc>
          <w:tcPr>
            <w:tcW w:w="892" w:type="dxa"/>
            <w:tcBorders>
              <w:top w:val="dotted" w:sz="4" w:space="0" w:color="0070C0"/>
              <w:bottom w:val="dotted" w:sz="4" w:space="0" w:color="0070C0"/>
            </w:tcBorders>
            <w:shd w:val="clear" w:color="auto" w:fill="auto"/>
            <w:noWrap/>
            <w:vAlign w:val="center"/>
          </w:tcPr>
          <w:p w:rsidR="00DC2F53" w:rsidRPr="006F1D04" w:rsidRDefault="00DC2F53" w:rsidP="00D71D9E">
            <w:pPr>
              <w:spacing w:after="0" w:line="240" w:lineRule="auto"/>
              <w:jc w:val="center"/>
              <w:rPr>
                <w:rFonts w:ascii="Arial" w:hAnsi="Arial" w:cs="Arial"/>
                <w:color w:val="000000"/>
                <w:sz w:val="14"/>
                <w:szCs w:val="14"/>
              </w:rPr>
            </w:pPr>
            <w:r w:rsidRPr="006F1D04">
              <w:rPr>
                <w:rFonts w:ascii="Arial" w:hAnsi="Arial" w:cs="Arial"/>
                <w:color w:val="000000"/>
                <w:sz w:val="14"/>
                <w:szCs w:val="14"/>
              </w:rPr>
              <w:t>Perth</w:t>
            </w:r>
          </w:p>
        </w:tc>
        <w:tc>
          <w:tcPr>
            <w:tcW w:w="2368" w:type="dxa"/>
            <w:tcBorders>
              <w:top w:val="dotted" w:sz="4" w:space="0" w:color="0070C0"/>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Metropolitan area</w:t>
            </w:r>
          </w:p>
        </w:tc>
        <w:tc>
          <w:tcPr>
            <w:tcW w:w="2074" w:type="dxa"/>
            <w:tcBorders>
              <w:top w:val="dotted" w:sz="4" w:space="0" w:color="0070C0"/>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Trend</w:t>
            </w:r>
          </w:p>
        </w:tc>
        <w:tc>
          <w:tcPr>
            <w:tcW w:w="837" w:type="dxa"/>
            <w:tcBorders>
              <w:top w:val="dotted" w:sz="4" w:space="0" w:color="0070C0"/>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780" w:type="dxa"/>
            <w:tcBorders>
              <w:top w:val="dotted" w:sz="4" w:space="0" w:color="0070C0"/>
              <w:bottom w:val="dotted" w:sz="4" w:space="0" w:color="0070C0"/>
            </w:tcBorders>
            <w:vAlign w:val="center"/>
          </w:tcPr>
          <w:p w:rsidR="00DC2F53" w:rsidRPr="006F1D04" w:rsidRDefault="00DC2F53" w:rsidP="00D71D9E">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851" w:type="dxa"/>
            <w:tcBorders>
              <w:top w:val="dotted" w:sz="4" w:space="0" w:color="0070C0"/>
              <w:bottom w:val="dotted" w:sz="4" w:space="0" w:color="0070C0"/>
            </w:tcBorders>
            <w:vAlign w:val="center"/>
          </w:tcPr>
          <w:p w:rsidR="00DC2F53" w:rsidRPr="006F1D04" w:rsidRDefault="00DC2F53" w:rsidP="00D71D9E">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417" w:type="dxa"/>
            <w:tcBorders>
              <w:top w:val="dotted" w:sz="4" w:space="0" w:color="0070C0"/>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DC2F53" w:rsidRPr="006F1D04" w:rsidTr="00DC2F53">
        <w:trPr>
          <w:trHeight w:val="312"/>
          <w:jc w:val="center"/>
        </w:trPr>
        <w:tc>
          <w:tcPr>
            <w:tcW w:w="786" w:type="dxa"/>
            <w:tcBorders>
              <w:top w:val="dotted" w:sz="4" w:space="0" w:color="0070C0"/>
              <w:bottom w:val="dotted" w:sz="4" w:space="0" w:color="0070C0"/>
            </w:tcBorders>
            <w:shd w:val="clear" w:color="auto" w:fill="auto"/>
            <w:noWrap/>
            <w:vAlign w:val="center"/>
          </w:tcPr>
          <w:p w:rsidR="00DC2F53" w:rsidRPr="006F1D04" w:rsidRDefault="00DC2F53" w:rsidP="002072FD">
            <w:pPr>
              <w:spacing w:after="0" w:line="240" w:lineRule="auto"/>
              <w:jc w:val="center"/>
              <w:rPr>
                <w:rFonts w:ascii="Arial" w:hAnsi="Arial" w:cs="Arial"/>
                <w:color w:val="000000"/>
                <w:sz w:val="14"/>
                <w:szCs w:val="14"/>
              </w:rPr>
            </w:pPr>
            <w:r w:rsidRPr="006F1D04">
              <w:rPr>
                <w:rFonts w:ascii="Arial" w:hAnsi="Arial" w:cs="Arial"/>
                <w:color w:val="000000"/>
                <w:sz w:val="14"/>
                <w:szCs w:val="14"/>
              </w:rPr>
              <w:t>WA_</w:t>
            </w:r>
            <w:r w:rsidR="002072FD" w:rsidRPr="006F1D04">
              <w:rPr>
                <w:rFonts w:ascii="Arial" w:hAnsi="Arial" w:cs="Arial"/>
                <w:color w:val="000000"/>
                <w:sz w:val="14"/>
                <w:szCs w:val="14"/>
              </w:rPr>
              <w:t>D04</w:t>
            </w:r>
          </w:p>
        </w:tc>
        <w:tc>
          <w:tcPr>
            <w:tcW w:w="1134" w:type="dxa"/>
            <w:tcBorders>
              <w:top w:val="dotted" w:sz="4" w:space="0" w:color="0070C0"/>
              <w:bottom w:val="dotted" w:sz="4" w:space="0" w:color="0070C0"/>
            </w:tcBorders>
            <w:shd w:val="clear" w:color="auto" w:fill="auto"/>
            <w:noWrap/>
            <w:vAlign w:val="center"/>
          </w:tcPr>
          <w:p w:rsidR="00DC2F53" w:rsidRPr="006F1D04" w:rsidRDefault="00DC2F53" w:rsidP="00D71D9E">
            <w:pPr>
              <w:spacing w:after="0" w:line="240" w:lineRule="auto"/>
              <w:jc w:val="center"/>
              <w:rPr>
                <w:rFonts w:ascii="Arial" w:hAnsi="Arial" w:cs="Arial"/>
                <w:color w:val="000000"/>
                <w:sz w:val="14"/>
                <w:szCs w:val="14"/>
              </w:rPr>
            </w:pPr>
            <w:r w:rsidRPr="006F1D04">
              <w:rPr>
                <w:rFonts w:ascii="Arial" w:hAnsi="Arial" w:cs="Arial"/>
                <w:color w:val="000000"/>
                <w:sz w:val="14"/>
                <w:szCs w:val="14"/>
              </w:rPr>
              <w:t>DER</w:t>
            </w:r>
          </w:p>
        </w:tc>
        <w:tc>
          <w:tcPr>
            <w:tcW w:w="1612" w:type="dxa"/>
            <w:tcBorders>
              <w:top w:val="dotted" w:sz="4" w:space="0" w:color="0070C0"/>
              <w:bottom w:val="dotted" w:sz="4" w:space="0" w:color="0070C0"/>
            </w:tcBorders>
            <w:shd w:val="clear" w:color="auto" w:fill="auto"/>
            <w:noWrap/>
            <w:vAlign w:val="center"/>
          </w:tcPr>
          <w:p w:rsidR="00DC2F53" w:rsidRPr="006F1D04" w:rsidRDefault="00DC2F53" w:rsidP="00D71D9E">
            <w:pPr>
              <w:spacing w:after="0" w:line="240" w:lineRule="auto"/>
              <w:jc w:val="center"/>
              <w:rPr>
                <w:rFonts w:ascii="Arial" w:hAnsi="Arial" w:cs="Arial"/>
                <w:color w:val="000000"/>
                <w:sz w:val="14"/>
                <w:szCs w:val="14"/>
              </w:rPr>
            </w:pPr>
            <w:r w:rsidRPr="006F1D04">
              <w:rPr>
                <w:rFonts w:ascii="Arial" w:hAnsi="Arial" w:cs="Arial"/>
                <w:bCs/>
                <w:color w:val="000000"/>
                <w:sz w:val="14"/>
                <w:szCs w:val="14"/>
              </w:rPr>
              <w:t>Perth: South Lake</w:t>
            </w:r>
          </w:p>
        </w:tc>
        <w:tc>
          <w:tcPr>
            <w:tcW w:w="892" w:type="dxa"/>
            <w:tcBorders>
              <w:top w:val="dotted" w:sz="4" w:space="0" w:color="0070C0"/>
              <w:bottom w:val="dotted" w:sz="4" w:space="0" w:color="0070C0"/>
            </w:tcBorders>
            <w:shd w:val="clear" w:color="auto" w:fill="auto"/>
            <w:noWrap/>
            <w:vAlign w:val="center"/>
          </w:tcPr>
          <w:p w:rsidR="00DC2F53" w:rsidRPr="006F1D04" w:rsidRDefault="00DC2F53" w:rsidP="00D71D9E">
            <w:pPr>
              <w:spacing w:after="0" w:line="240" w:lineRule="auto"/>
              <w:jc w:val="center"/>
              <w:rPr>
                <w:rFonts w:ascii="Arial" w:hAnsi="Arial" w:cs="Arial"/>
                <w:color w:val="000000"/>
                <w:sz w:val="14"/>
                <w:szCs w:val="14"/>
              </w:rPr>
            </w:pPr>
            <w:r w:rsidRPr="006F1D04">
              <w:rPr>
                <w:rFonts w:ascii="Arial" w:hAnsi="Arial" w:cs="Arial"/>
                <w:color w:val="000000"/>
                <w:sz w:val="14"/>
                <w:szCs w:val="14"/>
              </w:rPr>
              <w:t>Perth</w:t>
            </w:r>
          </w:p>
        </w:tc>
        <w:tc>
          <w:tcPr>
            <w:tcW w:w="2368" w:type="dxa"/>
            <w:tcBorders>
              <w:top w:val="dotted" w:sz="4" w:space="0" w:color="0070C0"/>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 xml:space="preserve">Residential, </w:t>
            </w:r>
            <w:r w:rsidR="00B63885" w:rsidRPr="006F1D04">
              <w:rPr>
                <w:rFonts w:ascii="Arial" w:hAnsi="Arial" w:cs="Arial"/>
                <w:color w:val="000000"/>
                <w:sz w:val="14"/>
                <w:szCs w:val="14"/>
              </w:rPr>
              <w:t>m</w:t>
            </w:r>
            <w:r w:rsidRPr="006F1D04">
              <w:rPr>
                <w:rFonts w:ascii="Arial" w:hAnsi="Arial" w:cs="Arial"/>
                <w:color w:val="000000"/>
                <w:sz w:val="14"/>
                <w:szCs w:val="14"/>
              </w:rPr>
              <w:t>etropolitan area</w:t>
            </w:r>
          </w:p>
        </w:tc>
        <w:tc>
          <w:tcPr>
            <w:tcW w:w="2074" w:type="dxa"/>
            <w:tcBorders>
              <w:top w:val="dotted" w:sz="4" w:space="0" w:color="0070C0"/>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Performance</w:t>
            </w:r>
          </w:p>
        </w:tc>
        <w:tc>
          <w:tcPr>
            <w:tcW w:w="837" w:type="dxa"/>
            <w:tcBorders>
              <w:top w:val="dotted" w:sz="4" w:space="0" w:color="0070C0"/>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Yes</w:t>
            </w:r>
          </w:p>
        </w:tc>
        <w:tc>
          <w:tcPr>
            <w:tcW w:w="780" w:type="dxa"/>
            <w:tcBorders>
              <w:top w:val="dotted" w:sz="4" w:space="0" w:color="0070C0"/>
              <w:bottom w:val="dotted" w:sz="4" w:space="0" w:color="0070C0"/>
            </w:tcBorders>
            <w:vAlign w:val="center"/>
          </w:tcPr>
          <w:p w:rsidR="00DC2F53" w:rsidRPr="006F1D04" w:rsidRDefault="00DC2F53" w:rsidP="00D71D9E">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851" w:type="dxa"/>
            <w:tcBorders>
              <w:top w:val="dotted" w:sz="4" w:space="0" w:color="0070C0"/>
              <w:bottom w:val="dotted" w:sz="4" w:space="0" w:color="0070C0"/>
            </w:tcBorders>
            <w:vAlign w:val="center"/>
          </w:tcPr>
          <w:p w:rsidR="00DC2F53" w:rsidRPr="006F1D04" w:rsidRDefault="00DC2F53" w:rsidP="00D71D9E">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417" w:type="dxa"/>
            <w:tcBorders>
              <w:top w:val="dotted" w:sz="4" w:space="0" w:color="0070C0"/>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DC2F53" w:rsidRPr="006F1D04" w:rsidTr="00DC2F53">
        <w:trPr>
          <w:trHeight w:val="312"/>
          <w:jc w:val="center"/>
        </w:trPr>
        <w:tc>
          <w:tcPr>
            <w:tcW w:w="786" w:type="dxa"/>
            <w:tcBorders>
              <w:top w:val="dotted" w:sz="4" w:space="0" w:color="0070C0"/>
              <w:bottom w:val="dotted" w:sz="4" w:space="0" w:color="0070C0"/>
            </w:tcBorders>
            <w:shd w:val="clear" w:color="auto" w:fill="auto"/>
            <w:noWrap/>
            <w:vAlign w:val="center"/>
          </w:tcPr>
          <w:p w:rsidR="00DC2F53" w:rsidRPr="006F1D04" w:rsidRDefault="00DC2F53" w:rsidP="002072FD">
            <w:pPr>
              <w:spacing w:after="0" w:line="240" w:lineRule="auto"/>
              <w:jc w:val="center"/>
              <w:rPr>
                <w:rFonts w:ascii="Arial" w:hAnsi="Arial" w:cs="Arial"/>
                <w:color w:val="000000"/>
                <w:sz w:val="14"/>
                <w:szCs w:val="14"/>
              </w:rPr>
            </w:pPr>
            <w:r w:rsidRPr="006F1D04">
              <w:rPr>
                <w:rFonts w:ascii="Arial" w:hAnsi="Arial" w:cs="Arial"/>
                <w:color w:val="000000"/>
                <w:sz w:val="14"/>
                <w:szCs w:val="14"/>
              </w:rPr>
              <w:t>WA_</w:t>
            </w:r>
            <w:r w:rsidR="002072FD" w:rsidRPr="006F1D04">
              <w:rPr>
                <w:rFonts w:ascii="Arial" w:hAnsi="Arial" w:cs="Arial"/>
                <w:color w:val="000000"/>
                <w:sz w:val="14"/>
                <w:szCs w:val="14"/>
              </w:rPr>
              <w:t>D05</w:t>
            </w:r>
          </w:p>
        </w:tc>
        <w:tc>
          <w:tcPr>
            <w:tcW w:w="1134" w:type="dxa"/>
            <w:tcBorders>
              <w:top w:val="dotted" w:sz="4" w:space="0" w:color="0070C0"/>
              <w:bottom w:val="dotted" w:sz="4" w:space="0" w:color="0070C0"/>
            </w:tcBorders>
            <w:shd w:val="clear" w:color="auto" w:fill="auto"/>
            <w:noWrap/>
            <w:vAlign w:val="center"/>
          </w:tcPr>
          <w:p w:rsidR="00DC2F53" w:rsidRPr="006F1D04" w:rsidRDefault="00DC2F53" w:rsidP="00D71D9E">
            <w:pPr>
              <w:spacing w:after="0" w:line="240" w:lineRule="auto"/>
              <w:jc w:val="center"/>
              <w:rPr>
                <w:rFonts w:ascii="Arial" w:hAnsi="Arial" w:cs="Arial"/>
                <w:sz w:val="14"/>
                <w:szCs w:val="14"/>
              </w:rPr>
            </w:pPr>
            <w:r w:rsidRPr="006F1D04">
              <w:rPr>
                <w:rFonts w:ascii="Arial" w:hAnsi="Arial" w:cs="Arial"/>
                <w:color w:val="000000"/>
                <w:sz w:val="14"/>
                <w:szCs w:val="14"/>
              </w:rPr>
              <w:t>DER</w:t>
            </w:r>
          </w:p>
        </w:tc>
        <w:tc>
          <w:tcPr>
            <w:tcW w:w="1612" w:type="dxa"/>
            <w:tcBorders>
              <w:top w:val="dotted" w:sz="4" w:space="0" w:color="0070C0"/>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sz w:val="14"/>
                <w:szCs w:val="14"/>
              </w:rPr>
            </w:pPr>
            <w:r w:rsidRPr="006F1D04">
              <w:rPr>
                <w:rFonts w:ascii="Arial" w:hAnsi="Arial" w:cs="Arial"/>
                <w:sz w:val="14"/>
                <w:szCs w:val="14"/>
              </w:rPr>
              <w:t>Albany</w:t>
            </w:r>
          </w:p>
        </w:tc>
        <w:tc>
          <w:tcPr>
            <w:tcW w:w="892" w:type="dxa"/>
            <w:tcBorders>
              <w:top w:val="dotted" w:sz="4" w:space="0" w:color="0070C0"/>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sz w:val="14"/>
                <w:szCs w:val="14"/>
              </w:rPr>
            </w:pPr>
            <w:r w:rsidRPr="006F1D04">
              <w:rPr>
                <w:rFonts w:ascii="Arial" w:hAnsi="Arial" w:cs="Arial"/>
                <w:sz w:val="14"/>
                <w:szCs w:val="14"/>
              </w:rPr>
              <w:t>Albany</w:t>
            </w:r>
          </w:p>
        </w:tc>
        <w:tc>
          <w:tcPr>
            <w:tcW w:w="2368" w:type="dxa"/>
            <w:tcBorders>
              <w:top w:val="dotted" w:sz="4" w:space="0" w:color="0070C0"/>
              <w:bottom w:val="dotted" w:sz="4" w:space="0" w:color="0070C0"/>
            </w:tcBorders>
            <w:shd w:val="clear" w:color="auto" w:fill="auto"/>
            <w:noWrap/>
            <w:vAlign w:val="center"/>
          </w:tcPr>
          <w:p w:rsidR="00DC2F53" w:rsidRPr="006F1D04" w:rsidRDefault="00DC2F53" w:rsidP="00D71D9E">
            <w:pPr>
              <w:spacing w:after="0" w:line="240" w:lineRule="auto"/>
              <w:jc w:val="center"/>
              <w:rPr>
                <w:rFonts w:ascii="Arial" w:hAnsi="Arial" w:cs="Arial"/>
                <w:sz w:val="14"/>
                <w:szCs w:val="14"/>
              </w:rPr>
            </w:pPr>
            <w:r w:rsidRPr="006F1D04">
              <w:rPr>
                <w:rFonts w:ascii="Arial" w:hAnsi="Arial" w:cs="Arial"/>
                <w:color w:val="000000"/>
                <w:sz w:val="14"/>
                <w:szCs w:val="14"/>
              </w:rPr>
              <w:t>Regional area</w:t>
            </w:r>
          </w:p>
        </w:tc>
        <w:tc>
          <w:tcPr>
            <w:tcW w:w="2074" w:type="dxa"/>
            <w:tcBorders>
              <w:top w:val="dotted" w:sz="4" w:space="0" w:color="0070C0"/>
              <w:bottom w:val="dotted" w:sz="4" w:space="0" w:color="0070C0"/>
            </w:tcBorders>
            <w:shd w:val="clear" w:color="auto" w:fill="auto"/>
            <w:noWrap/>
            <w:vAlign w:val="center"/>
          </w:tcPr>
          <w:p w:rsidR="00DC2F53" w:rsidRPr="006F1D04" w:rsidRDefault="00DC2F53" w:rsidP="00D71D9E">
            <w:pPr>
              <w:spacing w:after="0" w:line="240" w:lineRule="auto"/>
              <w:jc w:val="center"/>
              <w:rPr>
                <w:rFonts w:ascii="Arial" w:hAnsi="Arial" w:cs="Arial"/>
                <w:color w:val="000000"/>
                <w:sz w:val="14"/>
                <w:szCs w:val="14"/>
              </w:rPr>
            </w:pPr>
            <w:r w:rsidRPr="006F1D04">
              <w:rPr>
                <w:rFonts w:ascii="Arial" w:hAnsi="Arial" w:cs="Arial"/>
                <w:color w:val="000000"/>
                <w:sz w:val="14"/>
                <w:szCs w:val="14"/>
              </w:rPr>
              <w:t>Campaign</w:t>
            </w:r>
            <w:r w:rsidR="00B63885" w:rsidRPr="006F1D04">
              <w:rPr>
                <w:rFonts w:ascii="Arial" w:hAnsi="Arial" w:cs="Arial"/>
                <w:color w:val="000000"/>
                <w:sz w:val="14"/>
                <w:szCs w:val="14"/>
              </w:rPr>
              <w:t>:</w:t>
            </w:r>
            <w:r w:rsidRPr="006F1D04">
              <w:rPr>
                <w:rFonts w:ascii="Arial" w:hAnsi="Arial" w:cs="Arial"/>
                <w:color w:val="000000"/>
                <w:sz w:val="14"/>
                <w:szCs w:val="14"/>
              </w:rPr>
              <w:t xml:space="preserve"> pop. average</w:t>
            </w:r>
          </w:p>
        </w:tc>
        <w:tc>
          <w:tcPr>
            <w:tcW w:w="837" w:type="dxa"/>
            <w:tcBorders>
              <w:top w:val="dotted" w:sz="4" w:space="0" w:color="0070C0"/>
              <w:bottom w:val="dotted" w:sz="4" w:space="0" w:color="0070C0"/>
            </w:tcBorders>
            <w:shd w:val="clear" w:color="auto" w:fill="auto"/>
            <w:noWrap/>
            <w:vAlign w:val="center"/>
          </w:tcPr>
          <w:p w:rsidR="00DC2F53" w:rsidRPr="006F1D04" w:rsidRDefault="00DC2F53" w:rsidP="00D71D9E">
            <w:pPr>
              <w:spacing w:after="0" w:line="240" w:lineRule="auto"/>
              <w:jc w:val="center"/>
              <w:rPr>
                <w:rFonts w:ascii="Arial" w:hAnsi="Arial" w:cs="Arial"/>
                <w:color w:val="000000"/>
                <w:sz w:val="14"/>
                <w:szCs w:val="14"/>
              </w:rPr>
            </w:pPr>
          </w:p>
        </w:tc>
        <w:tc>
          <w:tcPr>
            <w:tcW w:w="780" w:type="dxa"/>
            <w:tcBorders>
              <w:top w:val="dotted" w:sz="4" w:space="0" w:color="0070C0"/>
              <w:bottom w:val="dotted" w:sz="4" w:space="0" w:color="0070C0"/>
            </w:tcBorders>
            <w:vAlign w:val="center"/>
          </w:tcPr>
          <w:p w:rsidR="00DC2F53" w:rsidRPr="006F1D04" w:rsidRDefault="00DC2F53" w:rsidP="00D71D9E">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851" w:type="dxa"/>
            <w:tcBorders>
              <w:top w:val="dotted" w:sz="4" w:space="0" w:color="0070C0"/>
              <w:bottom w:val="dotted" w:sz="4" w:space="0" w:color="0070C0"/>
            </w:tcBorders>
            <w:vAlign w:val="center"/>
          </w:tcPr>
          <w:p w:rsidR="00DC2F53" w:rsidRPr="006F1D04" w:rsidRDefault="00DC2F53" w:rsidP="00D71D9E">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417" w:type="dxa"/>
            <w:tcBorders>
              <w:top w:val="dotted" w:sz="4" w:space="0" w:color="0070C0"/>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DC2F53" w:rsidRPr="006F1D04" w:rsidTr="00DC2F53">
        <w:trPr>
          <w:trHeight w:val="312"/>
          <w:jc w:val="center"/>
        </w:trPr>
        <w:tc>
          <w:tcPr>
            <w:tcW w:w="786" w:type="dxa"/>
            <w:tcBorders>
              <w:top w:val="dotted" w:sz="4" w:space="0" w:color="0070C0"/>
              <w:bottom w:val="dotted" w:sz="4" w:space="0" w:color="0070C0"/>
            </w:tcBorders>
            <w:shd w:val="clear" w:color="auto" w:fill="auto"/>
            <w:noWrap/>
            <w:vAlign w:val="center"/>
          </w:tcPr>
          <w:p w:rsidR="00DC2F53" w:rsidRPr="006F1D04" w:rsidRDefault="00DC2F53" w:rsidP="002072FD">
            <w:pPr>
              <w:spacing w:after="0" w:line="240" w:lineRule="auto"/>
              <w:jc w:val="center"/>
              <w:rPr>
                <w:rFonts w:ascii="Arial" w:hAnsi="Arial" w:cs="Arial"/>
                <w:color w:val="000000"/>
                <w:sz w:val="14"/>
                <w:szCs w:val="14"/>
              </w:rPr>
            </w:pPr>
            <w:r w:rsidRPr="006F1D04">
              <w:rPr>
                <w:rFonts w:ascii="Arial" w:hAnsi="Arial" w:cs="Arial"/>
                <w:color w:val="000000"/>
                <w:sz w:val="14"/>
                <w:szCs w:val="14"/>
              </w:rPr>
              <w:t>WA_</w:t>
            </w:r>
            <w:r w:rsidR="002072FD" w:rsidRPr="006F1D04">
              <w:rPr>
                <w:rFonts w:ascii="Arial" w:hAnsi="Arial" w:cs="Arial"/>
                <w:color w:val="000000"/>
                <w:sz w:val="14"/>
                <w:szCs w:val="14"/>
              </w:rPr>
              <w:t>D06</w:t>
            </w:r>
          </w:p>
        </w:tc>
        <w:tc>
          <w:tcPr>
            <w:tcW w:w="1134" w:type="dxa"/>
            <w:tcBorders>
              <w:top w:val="dotted" w:sz="4" w:space="0" w:color="0070C0"/>
              <w:bottom w:val="dotted" w:sz="4" w:space="0" w:color="0070C0"/>
            </w:tcBorders>
            <w:shd w:val="clear" w:color="auto" w:fill="auto"/>
            <w:noWrap/>
            <w:vAlign w:val="center"/>
          </w:tcPr>
          <w:p w:rsidR="00DC2F53" w:rsidRPr="006F1D04" w:rsidRDefault="00DC2F53" w:rsidP="00D71D9E">
            <w:pPr>
              <w:spacing w:after="0" w:line="240" w:lineRule="auto"/>
              <w:jc w:val="center"/>
              <w:rPr>
                <w:rFonts w:ascii="Arial" w:hAnsi="Arial" w:cs="Arial"/>
                <w:sz w:val="14"/>
                <w:szCs w:val="14"/>
              </w:rPr>
            </w:pPr>
            <w:r w:rsidRPr="006F1D04">
              <w:rPr>
                <w:rFonts w:ascii="Arial" w:hAnsi="Arial" w:cs="Arial"/>
                <w:color w:val="000000"/>
                <w:sz w:val="14"/>
                <w:szCs w:val="14"/>
              </w:rPr>
              <w:t>DER</w:t>
            </w:r>
          </w:p>
        </w:tc>
        <w:tc>
          <w:tcPr>
            <w:tcW w:w="1612" w:type="dxa"/>
            <w:tcBorders>
              <w:top w:val="dotted" w:sz="4" w:space="0" w:color="0070C0"/>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sz w:val="14"/>
                <w:szCs w:val="14"/>
              </w:rPr>
            </w:pPr>
            <w:r w:rsidRPr="006F1D04">
              <w:rPr>
                <w:rFonts w:ascii="Arial" w:hAnsi="Arial" w:cs="Arial"/>
                <w:sz w:val="14"/>
                <w:szCs w:val="14"/>
              </w:rPr>
              <w:t>Bunbury</w:t>
            </w:r>
          </w:p>
        </w:tc>
        <w:tc>
          <w:tcPr>
            <w:tcW w:w="892" w:type="dxa"/>
            <w:tcBorders>
              <w:top w:val="dotted" w:sz="4" w:space="0" w:color="0070C0"/>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sz w:val="14"/>
                <w:szCs w:val="14"/>
              </w:rPr>
            </w:pPr>
            <w:r w:rsidRPr="006F1D04">
              <w:rPr>
                <w:rFonts w:ascii="Arial" w:hAnsi="Arial" w:cs="Arial"/>
                <w:sz w:val="14"/>
                <w:szCs w:val="14"/>
              </w:rPr>
              <w:t>Bunbury</w:t>
            </w:r>
          </w:p>
        </w:tc>
        <w:tc>
          <w:tcPr>
            <w:tcW w:w="2368" w:type="dxa"/>
            <w:tcBorders>
              <w:top w:val="dotted" w:sz="4" w:space="0" w:color="0070C0"/>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Regional area</w:t>
            </w:r>
          </w:p>
        </w:tc>
        <w:tc>
          <w:tcPr>
            <w:tcW w:w="2074" w:type="dxa"/>
            <w:tcBorders>
              <w:top w:val="dotted" w:sz="4" w:space="0" w:color="0070C0"/>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Campaign/trend</w:t>
            </w:r>
            <w:r w:rsidR="00B63885" w:rsidRPr="006F1D04">
              <w:rPr>
                <w:rFonts w:ascii="Arial" w:hAnsi="Arial" w:cs="Arial"/>
                <w:color w:val="000000"/>
                <w:sz w:val="14"/>
                <w:szCs w:val="14"/>
              </w:rPr>
              <w:t>:</w:t>
            </w:r>
            <w:r w:rsidRPr="006F1D04">
              <w:rPr>
                <w:rFonts w:ascii="Arial" w:hAnsi="Arial" w:cs="Arial"/>
                <w:color w:val="000000"/>
                <w:sz w:val="14"/>
                <w:szCs w:val="14"/>
              </w:rPr>
              <w:t xml:space="preserve"> pop. average</w:t>
            </w:r>
          </w:p>
        </w:tc>
        <w:tc>
          <w:tcPr>
            <w:tcW w:w="837" w:type="dxa"/>
            <w:tcBorders>
              <w:top w:val="dotted" w:sz="4" w:space="0" w:color="0070C0"/>
              <w:bottom w:val="dotted" w:sz="4" w:space="0" w:color="0070C0"/>
            </w:tcBorders>
            <w:shd w:val="clear" w:color="auto" w:fill="auto"/>
            <w:noWrap/>
            <w:vAlign w:val="center"/>
          </w:tcPr>
          <w:p w:rsidR="00DC2F53" w:rsidRPr="006F1D04" w:rsidRDefault="00DC2F53" w:rsidP="00D71D9E">
            <w:pPr>
              <w:spacing w:after="0" w:line="240" w:lineRule="auto"/>
              <w:jc w:val="center"/>
              <w:rPr>
                <w:rFonts w:ascii="Arial" w:hAnsi="Arial" w:cs="Arial"/>
                <w:color w:val="000000"/>
                <w:sz w:val="14"/>
                <w:szCs w:val="14"/>
              </w:rPr>
            </w:pPr>
          </w:p>
        </w:tc>
        <w:tc>
          <w:tcPr>
            <w:tcW w:w="780" w:type="dxa"/>
            <w:tcBorders>
              <w:top w:val="dotted" w:sz="4" w:space="0" w:color="0070C0"/>
              <w:bottom w:val="dotted" w:sz="4" w:space="0" w:color="0070C0"/>
            </w:tcBorders>
            <w:vAlign w:val="center"/>
          </w:tcPr>
          <w:p w:rsidR="00DC2F53" w:rsidRPr="006F1D04" w:rsidRDefault="00DC2F53" w:rsidP="00D71D9E">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851" w:type="dxa"/>
            <w:tcBorders>
              <w:top w:val="dotted" w:sz="4" w:space="0" w:color="0070C0"/>
              <w:bottom w:val="dotted" w:sz="4" w:space="0" w:color="0070C0"/>
            </w:tcBorders>
            <w:vAlign w:val="center"/>
          </w:tcPr>
          <w:p w:rsidR="00DC2F53" w:rsidRPr="006F1D04" w:rsidRDefault="00DC2F53" w:rsidP="00D71D9E">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417" w:type="dxa"/>
            <w:tcBorders>
              <w:top w:val="dotted" w:sz="4" w:space="0" w:color="0070C0"/>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DC2F53" w:rsidRPr="006F1D04" w:rsidTr="00DC2F53">
        <w:trPr>
          <w:trHeight w:val="312"/>
          <w:jc w:val="center"/>
        </w:trPr>
        <w:tc>
          <w:tcPr>
            <w:tcW w:w="786" w:type="dxa"/>
            <w:tcBorders>
              <w:top w:val="dotted" w:sz="4" w:space="0" w:color="0070C0"/>
              <w:bottom w:val="dotted" w:sz="4" w:space="0" w:color="0070C0"/>
            </w:tcBorders>
            <w:shd w:val="clear" w:color="auto" w:fill="auto"/>
            <w:noWrap/>
            <w:vAlign w:val="center"/>
          </w:tcPr>
          <w:p w:rsidR="00DC2F53" w:rsidRPr="006F1D04" w:rsidRDefault="00DC2F53" w:rsidP="002072FD">
            <w:pPr>
              <w:spacing w:after="0" w:line="240" w:lineRule="auto"/>
              <w:jc w:val="center"/>
              <w:rPr>
                <w:rFonts w:ascii="Arial" w:hAnsi="Arial" w:cs="Arial"/>
                <w:color w:val="000000"/>
                <w:sz w:val="14"/>
                <w:szCs w:val="14"/>
              </w:rPr>
            </w:pPr>
            <w:r w:rsidRPr="006F1D04">
              <w:rPr>
                <w:rFonts w:ascii="Arial" w:hAnsi="Arial" w:cs="Arial"/>
                <w:color w:val="000000"/>
                <w:sz w:val="14"/>
                <w:szCs w:val="14"/>
              </w:rPr>
              <w:t>WA_</w:t>
            </w:r>
            <w:r w:rsidR="002072FD" w:rsidRPr="006F1D04">
              <w:rPr>
                <w:rFonts w:ascii="Arial" w:hAnsi="Arial" w:cs="Arial"/>
                <w:color w:val="000000"/>
                <w:sz w:val="14"/>
                <w:szCs w:val="14"/>
              </w:rPr>
              <w:t>D07</w:t>
            </w:r>
          </w:p>
        </w:tc>
        <w:tc>
          <w:tcPr>
            <w:tcW w:w="1134" w:type="dxa"/>
            <w:tcBorders>
              <w:top w:val="dotted" w:sz="4" w:space="0" w:color="0070C0"/>
              <w:bottom w:val="dotted" w:sz="4" w:space="0" w:color="0070C0"/>
            </w:tcBorders>
            <w:shd w:val="clear" w:color="auto" w:fill="auto"/>
            <w:noWrap/>
            <w:vAlign w:val="center"/>
          </w:tcPr>
          <w:p w:rsidR="00DC2F53" w:rsidRPr="006F1D04" w:rsidRDefault="00DC2F53" w:rsidP="00D71D9E">
            <w:pPr>
              <w:spacing w:after="0" w:line="240" w:lineRule="auto"/>
              <w:jc w:val="center"/>
              <w:rPr>
                <w:rFonts w:ascii="Arial" w:hAnsi="Arial" w:cs="Arial"/>
                <w:color w:val="000000"/>
                <w:sz w:val="14"/>
                <w:szCs w:val="14"/>
              </w:rPr>
            </w:pPr>
            <w:r w:rsidRPr="006F1D04">
              <w:rPr>
                <w:rFonts w:ascii="Arial" w:hAnsi="Arial" w:cs="Arial"/>
                <w:color w:val="000000"/>
                <w:sz w:val="14"/>
                <w:szCs w:val="14"/>
              </w:rPr>
              <w:t>DER</w:t>
            </w:r>
          </w:p>
        </w:tc>
        <w:tc>
          <w:tcPr>
            <w:tcW w:w="1612" w:type="dxa"/>
            <w:tcBorders>
              <w:top w:val="dotted" w:sz="4" w:space="0" w:color="0070C0"/>
              <w:bottom w:val="dotted" w:sz="4" w:space="0" w:color="0070C0"/>
            </w:tcBorders>
            <w:shd w:val="clear" w:color="auto" w:fill="auto"/>
            <w:noWrap/>
            <w:vAlign w:val="center"/>
          </w:tcPr>
          <w:p w:rsidR="00DC2F53" w:rsidRPr="006F1D04" w:rsidRDefault="00DC2F53" w:rsidP="00D71D9E">
            <w:pPr>
              <w:spacing w:after="0" w:line="240" w:lineRule="auto"/>
              <w:jc w:val="center"/>
              <w:rPr>
                <w:rFonts w:ascii="Arial" w:hAnsi="Arial" w:cs="Arial"/>
                <w:color w:val="000000"/>
                <w:sz w:val="14"/>
                <w:szCs w:val="14"/>
              </w:rPr>
            </w:pPr>
            <w:r w:rsidRPr="006F1D04">
              <w:rPr>
                <w:rFonts w:ascii="Arial" w:hAnsi="Arial" w:cs="Arial"/>
                <w:color w:val="000000"/>
                <w:sz w:val="14"/>
                <w:szCs w:val="14"/>
              </w:rPr>
              <w:t>Busselton</w:t>
            </w:r>
          </w:p>
        </w:tc>
        <w:tc>
          <w:tcPr>
            <w:tcW w:w="892" w:type="dxa"/>
            <w:tcBorders>
              <w:top w:val="dotted" w:sz="4" w:space="0" w:color="0070C0"/>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Busselton</w:t>
            </w:r>
          </w:p>
        </w:tc>
        <w:tc>
          <w:tcPr>
            <w:tcW w:w="2368" w:type="dxa"/>
            <w:tcBorders>
              <w:top w:val="dotted" w:sz="4" w:space="0" w:color="0070C0"/>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Regional area</w:t>
            </w:r>
          </w:p>
        </w:tc>
        <w:tc>
          <w:tcPr>
            <w:tcW w:w="2074" w:type="dxa"/>
            <w:tcBorders>
              <w:top w:val="dotted" w:sz="4" w:space="0" w:color="0070C0"/>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Trend</w:t>
            </w:r>
            <w:r w:rsidR="00B63885" w:rsidRPr="006F1D04">
              <w:rPr>
                <w:rFonts w:ascii="Arial" w:hAnsi="Arial" w:cs="Arial"/>
                <w:color w:val="000000"/>
                <w:sz w:val="14"/>
                <w:szCs w:val="14"/>
              </w:rPr>
              <w:t>:</w:t>
            </w:r>
            <w:r w:rsidRPr="006F1D04">
              <w:rPr>
                <w:rFonts w:ascii="Arial" w:hAnsi="Arial" w:cs="Arial"/>
                <w:color w:val="000000"/>
                <w:sz w:val="14"/>
                <w:szCs w:val="14"/>
              </w:rPr>
              <w:t xml:space="preserve"> population average</w:t>
            </w:r>
          </w:p>
        </w:tc>
        <w:tc>
          <w:tcPr>
            <w:tcW w:w="837" w:type="dxa"/>
            <w:tcBorders>
              <w:top w:val="dotted" w:sz="4" w:space="0" w:color="0070C0"/>
              <w:bottom w:val="dotted" w:sz="4" w:space="0" w:color="0070C0"/>
            </w:tcBorders>
            <w:shd w:val="clear" w:color="auto" w:fill="auto"/>
            <w:noWrap/>
            <w:vAlign w:val="center"/>
          </w:tcPr>
          <w:p w:rsidR="00DC2F53" w:rsidRPr="006F1D04" w:rsidRDefault="00DC2F53" w:rsidP="00D71D9E">
            <w:pPr>
              <w:spacing w:after="0" w:line="240" w:lineRule="auto"/>
              <w:jc w:val="center"/>
              <w:rPr>
                <w:rFonts w:ascii="Arial" w:hAnsi="Arial" w:cs="Arial"/>
                <w:color w:val="000000"/>
                <w:sz w:val="14"/>
                <w:szCs w:val="14"/>
              </w:rPr>
            </w:pPr>
          </w:p>
        </w:tc>
        <w:tc>
          <w:tcPr>
            <w:tcW w:w="780" w:type="dxa"/>
            <w:tcBorders>
              <w:top w:val="dotted" w:sz="4" w:space="0" w:color="0070C0"/>
              <w:bottom w:val="dotted" w:sz="4" w:space="0" w:color="0070C0"/>
            </w:tcBorders>
            <w:vAlign w:val="center"/>
          </w:tcPr>
          <w:p w:rsidR="00DC2F53" w:rsidRPr="006F1D04" w:rsidRDefault="00DC2F53" w:rsidP="00D71D9E">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851" w:type="dxa"/>
            <w:tcBorders>
              <w:top w:val="dotted" w:sz="4" w:space="0" w:color="0070C0"/>
              <w:bottom w:val="dotted" w:sz="4" w:space="0" w:color="0070C0"/>
            </w:tcBorders>
            <w:vAlign w:val="center"/>
          </w:tcPr>
          <w:p w:rsidR="00DC2F53" w:rsidRPr="006F1D04" w:rsidRDefault="00DC2F53" w:rsidP="00D71D9E">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1417" w:type="dxa"/>
            <w:tcBorders>
              <w:top w:val="dotted" w:sz="4" w:space="0" w:color="0070C0"/>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DC2F53" w:rsidRPr="006F1D04" w:rsidTr="00DC2F53">
        <w:trPr>
          <w:trHeight w:val="312"/>
          <w:jc w:val="center"/>
        </w:trPr>
        <w:tc>
          <w:tcPr>
            <w:tcW w:w="786" w:type="dxa"/>
            <w:tcBorders>
              <w:top w:val="dotted" w:sz="4" w:space="0" w:color="0070C0"/>
              <w:bottom w:val="dotted" w:sz="4" w:space="0" w:color="0070C0"/>
            </w:tcBorders>
            <w:shd w:val="clear" w:color="auto" w:fill="auto"/>
            <w:noWrap/>
            <w:vAlign w:val="center"/>
          </w:tcPr>
          <w:p w:rsidR="00DC2F53" w:rsidRPr="006F1D04" w:rsidRDefault="00DC2F53" w:rsidP="002072FD">
            <w:pPr>
              <w:spacing w:after="0" w:line="240" w:lineRule="auto"/>
              <w:jc w:val="center"/>
              <w:rPr>
                <w:rFonts w:ascii="Arial" w:hAnsi="Arial" w:cs="Arial"/>
                <w:color w:val="000000"/>
                <w:sz w:val="14"/>
                <w:szCs w:val="14"/>
              </w:rPr>
            </w:pPr>
            <w:r w:rsidRPr="006F1D04">
              <w:rPr>
                <w:rFonts w:ascii="Arial" w:hAnsi="Arial" w:cs="Arial"/>
                <w:color w:val="000000"/>
                <w:sz w:val="14"/>
                <w:szCs w:val="14"/>
              </w:rPr>
              <w:t>WA_</w:t>
            </w:r>
            <w:r w:rsidR="002072FD" w:rsidRPr="006F1D04">
              <w:rPr>
                <w:rFonts w:ascii="Arial" w:hAnsi="Arial" w:cs="Arial"/>
                <w:color w:val="000000"/>
                <w:sz w:val="14"/>
                <w:szCs w:val="14"/>
              </w:rPr>
              <w:t>D08</w:t>
            </w:r>
          </w:p>
        </w:tc>
        <w:tc>
          <w:tcPr>
            <w:tcW w:w="1134" w:type="dxa"/>
            <w:tcBorders>
              <w:top w:val="dotted" w:sz="4" w:space="0" w:color="0070C0"/>
              <w:bottom w:val="dotted" w:sz="4" w:space="0" w:color="0070C0"/>
            </w:tcBorders>
            <w:shd w:val="clear" w:color="auto" w:fill="auto"/>
            <w:noWrap/>
            <w:vAlign w:val="center"/>
          </w:tcPr>
          <w:p w:rsidR="00DC2F53" w:rsidRPr="006F1D04" w:rsidRDefault="00DC2F53" w:rsidP="00D71D9E">
            <w:pPr>
              <w:spacing w:after="0" w:line="240" w:lineRule="auto"/>
              <w:jc w:val="center"/>
              <w:rPr>
                <w:rFonts w:ascii="Arial" w:hAnsi="Arial" w:cs="Arial"/>
                <w:color w:val="000000"/>
                <w:sz w:val="14"/>
                <w:szCs w:val="14"/>
              </w:rPr>
            </w:pPr>
            <w:r w:rsidRPr="006F1D04">
              <w:rPr>
                <w:rFonts w:ascii="Arial" w:hAnsi="Arial" w:cs="Arial"/>
                <w:color w:val="000000"/>
                <w:sz w:val="14"/>
                <w:szCs w:val="14"/>
              </w:rPr>
              <w:t>DER</w:t>
            </w:r>
          </w:p>
        </w:tc>
        <w:tc>
          <w:tcPr>
            <w:tcW w:w="1612" w:type="dxa"/>
            <w:tcBorders>
              <w:top w:val="dotted" w:sz="4" w:space="0" w:color="0070C0"/>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Collie</w:t>
            </w:r>
          </w:p>
        </w:tc>
        <w:tc>
          <w:tcPr>
            <w:tcW w:w="892" w:type="dxa"/>
            <w:tcBorders>
              <w:top w:val="dotted" w:sz="4" w:space="0" w:color="0070C0"/>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Collie</w:t>
            </w:r>
          </w:p>
        </w:tc>
        <w:tc>
          <w:tcPr>
            <w:tcW w:w="2368" w:type="dxa"/>
            <w:tcBorders>
              <w:top w:val="dotted" w:sz="4" w:space="0" w:color="0070C0"/>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Regional area</w:t>
            </w:r>
          </w:p>
        </w:tc>
        <w:tc>
          <w:tcPr>
            <w:tcW w:w="2074" w:type="dxa"/>
            <w:tcBorders>
              <w:top w:val="dotted" w:sz="4" w:space="0" w:color="0070C0"/>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DER</w:t>
            </w:r>
          </w:p>
        </w:tc>
        <w:tc>
          <w:tcPr>
            <w:tcW w:w="837" w:type="dxa"/>
            <w:tcBorders>
              <w:top w:val="dotted" w:sz="4" w:space="0" w:color="0070C0"/>
              <w:bottom w:val="dotted" w:sz="4" w:space="0" w:color="0070C0"/>
            </w:tcBorders>
            <w:shd w:val="clear" w:color="auto" w:fill="auto"/>
            <w:noWrap/>
            <w:vAlign w:val="center"/>
          </w:tcPr>
          <w:p w:rsidR="00DC2F53" w:rsidRPr="006F1D04" w:rsidRDefault="00DC2F53" w:rsidP="00D71D9E">
            <w:pPr>
              <w:spacing w:after="0" w:line="240" w:lineRule="auto"/>
              <w:jc w:val="center"/>
              <w:rPr>
                <w:rFonts w:ascii="Arial" w:hAnsi="Arial" w:cs="Arial"/>
                <w:color w:val="000000"/>
                <w:sz w:val="14"/>
                <w:szCs w:val="14"/>
              </w:rPr>
            </w:pPr>
          </w:p>
        </w:tc>
        <w:tc>
          <w:tcPr>
            <w:tcW w:w="780" w:type="dxa"/>
            <w:tcBorders>
              <w:top w:val="dotted" w:sz="4" w:space="0" w:color="0070C0"/>
              <w:bottom w:val="dotted" w:sz="4" w:space="0" w:color="0070C0"/>
            </w:tcBorders>
            <w:vAlign w:val="center"/>
          </w:tcPr>
          <w:p w:rsidR="00DC2F53" w:rsidRPr="006F1D04" w:rsidRDefault="00DC2F53" w:rsidP="00D71D9E">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851" w:type="dxa"/>
            <w:tcBorders>
              <w:top w:val="dotted" w:sz="4" w:space="0" w:color="0070C0"/>
              <w:bottom w:val="dotted" w:sz="4" w:space="0" w:color="0070C0"/>
            </w:tcBorders>
            <w:vAlign w:val="center"/>
          </w:tcPr>
          <w:p w:rsidR="00DC2F53" w:rsidRPr="006F1D04" w:rsidRDefault="00DC2F53" w:rsidP="00D71D9E">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417" w:type="dxa"/>
            <w:tcBorders>
              <w:top w:val="dotted" w:sz="4" w:space="0" w:color="0070C0"/>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r w:rsidR="00DC2F53" w:rsidRPr="006F1D04" w:rsidTr="00DC2F53">
        <w:trPr>
          <w:trHeight w:val="312"/>
          <w:jc w:val="center"/>
        </w:trPr>
        <w:tc>
          <w:tcPr>
            <w:tcW w:w="786" w:type="dxa"/>
            <w:tcBorders>
              <w:top w:val="dotted" w:sz="4" w:space="0" w:color="0070C0"/>
            </w:tcBorders>
            <w:shd w:val="clear" w:color="auto" w:fill="auto"/>
            <w:noWrap/>
            <w:vAlign w:val="center"/>
          </w:tcPr>
          <w:p w:rsidR="00DC2F53" w:rsidRPr="006F1D04" w:rsidRDefault="00DC2F53" w:rsidP="002072FD">
            <w:pPr>
              <w:spacing w:after="0" w:line="240" w:lineRule="auto"/>
              <w:jc w:val="center"/>
              <w:rPr>
                <w:rFonts w:ascii="Arial" w:hAnsi="Arial" w:cs="Arial"/>
                <w:color w:val="000000"/>
                <w:sz w:val="14"/>
                <w:szCs w:val="14"/>
              </w:rPr>
            </w:pPr>
            <w:r w:rsidRPr="006F1D04">
              <w:rPr>
                <w:rFonts w:ascii="Arial" w:hAnsi="Arial" w:cs="Arial"/>
                <w:color w:val="000000"/>
                <w:sz w:val="14"/>
                <w:szCs w:val="14"/>
              </w:rPr>
              <w:t>WA_</w:t>
            </w:r>
            <w:r w:rsidR="002072FD" w:rsidRPr="006F1D04">
              <w:rPr>
                <w:rFonts w:ascii="Arial" w:hAnsi="Arial" w:cs="Arial"/>
                <w:color w:val="000000"/>
                <w:sz w:val="14"/>
                <w:szCs w:val="14"/>
              </w:rPr>
              <w:t>D09</w:t>
            </w:r>
          </w:p>
        </w:tc>
        <w:tc>
          <w:tcPr>
            <w:tcW w:w="1134" w:type="dxa"/>
            <w:tcBorders>
              <w:top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DER</w:t>
            </w:r>
          </w:p>
        </w:tc>
        <w:tc>
          <w:tcPr>
            <w:tcW w:w="1612" w:type="dxa"/>
            <w:tcBorders>
              <w:top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Geraldton</w:t>
            </w:r>
          </w:p>
        </w:tc>
        <w:tc>
          <w:tcPr>
            <w:tcW w:w="892" w:type="dxa"/>
            <w:tcBorders>
              <w:top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Geraldton</w:t>
            </w:r>
          </w:p>
        </w:tc>
        <w:tc>
          <w:tcPr>
            <w:tcW w:w="2368" w:type="dxa"/>
            <w:tcBorders>
              <w:top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Regional area</w:t>
            </w:r>
          </w:p>
        </w:tc>
        <w:tc>
          <w:tcPr>
            <w:tcW w:w="2074" w:type="dxa"/>
            <w:tcBorders>
              <w:top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Campaign</w:t>
            </w:r>
          </w:p>
        </w:tc>
        <w:tc>
          <w:tcPr>
            <w:tcW w:w="837" w:type="dxa"/>
            <w:tcBorders>
              <w:top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p>
        </w:tc>
        <w:tc>
          <w:tcPr>
            <w:tcW w:w="780" w:type="dxa"/>
            <w:tcBorders>
              <w:top w:val="dotted" w:sz="4" w:space="0" w:color="0070C0"/>
            </w:tcBorders>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C"/>
            </w:r>
          </w:p>
        </w:tc>
        <w:tc>
          <w:tcPr>
            <w:tcW w:w="851" w:type="dxa"/>
            <w:tcBorders>
              <w:top w:val="dotted" w:sz="4" w:space="0" w:color="0070C0"/>
            </w:tcBorders>
            <w:vAlign w:val="center"/>
          </w:tcPr>
          <w:p w:rsidR="00DC2F53" w:rsidRPr="006F1D04" w:rsidRDefault="00DC2F53" w:rsidP="00D71D9E">
            <w:pPr>
              <w:spacing w:after="0" w:line="240" w:lineRule="auto"/>
              <w:jc w:val="center"/>
              <w:rPr>
                <w:rFonts w:ascii="Arial" w:hAnsi="Arial" w:cs="Arial"/>
                <w:color w:val="000000"/>
                <w:sz w:val="14"/>
                <w:szCs w:val="14"/>
              </w:rPr>
            </w:pPr>
            <w:r w:rsidRPr="006F1D04">
              <w:rPr>
                <w:rFonts w:ascii="Arial" w:hAnsi="Arial" w:cs="Arial"/>
                <w:color w:val="000000"/>
                <w:sz w:val="14"/>
                <w:szCs w:val="14"/>
              </w:rPr>
              <w:sym w:font="Wingdings" w:char="F0FB"/>
            </w:r>
          </w:p>
        </w:tc>
        <w:tc>
          <w:tcPr>
            <w:tcW w:w="1417" w:type="dxa"/>
            <w:tcBorders>
              <w:top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bl>
    <w:p w:rsidR="00EE2B6F" w:rsidRPr="006F1D04" w:rsidRDefault="00EE2B6F" w:rsidP="00EE2B6F">
      <w:pPr>
        <w:spacing w:after="200" w:line="240" w:lineRule="auto"/>
        <w:rPr>
          <w:rFonts w:ascii="Arial" w:hAnsi="Arial" w:cs="Arial"/>
        </w:rPr>
      </w:pPr>
    </w:p>
    <w:p w:rsidR="0052102C" w:rsidRPr="006F1D04" w:rsidRDefault="0052102C" w:rsidP="0052102C">
      <w:pPr>
        <w:pStyle w:val="Caption"/>
        <w:rPr>
          <w:rFonts w:ascii="Arial" w:hAnsi="Arial" w:cs="Arial"/>
        </w:rPr>
      </w:pPr>
      <w:r w:rsidRPr="006F1D04">
        <w:rPr>
          <w:rFonts w:ascii="Arial" w:hAnsi="Arial" w:cs="Arial"/>
        </w:rPr>
        <w:t xml:space="preserve">Table </w:t>
      </w:r>
      <w:r w:rsidR="00236133" w:rsidRPr="006F1D04">
        <w:rPr>
          <w:rFonts w:ascii="Arial" w:hAnsi="Arial" w:cs="Arial"/>
        </w:rPr>
        <w:t>D.</w:t>
      </w:r>
      <w:r w:rsidR="00BF6019" w:rsidRPr="006F1D04">
        <w:rPr>
          <w:rFonts w:ascii="Arial" w:hAnsi="Arial" w:cs="Arial"/>
        </w:rPr>
        <w:fldChar w:fldCharType="begin"/>
      </w:r>
      <w:r w:rsidRPr="006F1D04">
        <w:rPr>
          <w:rFonts w:ascii="Arial" w:hAnsi="Arial" w:cs="Arial"/>
        </w:rPr>
        <w:instrText xml:space="preserve"> SEQ Table_Apx \* ARABIC \s 6 </w:instrText>
      </w:r>
      <w:r w:rsidR="00BF6019" w:rsidRPr="006F1D04">
        <w:rPr>
          <w:rFonts w:ascii="Arial" w:hAnsi="Arial" w:cs="Arial"/>
        </w:rPr>
        <w:fldChar w:fldCharType="separate"/>
      </w:r>
      <w:r w:rsidR="0085182E">
        <w:rPr>
          <w:rFonts w:ascii="Arial" w:hAnsi="Arial" w:cs="Arial"/>
          <w:noProof/>
        </w:rPr>
        <w:t>6</w:t>
      </w:r>
      <w:r w:rsidR="00BF6019" w:rsidRPr="006F1D04">
        <w:rPr>
          <w:rFonts w:ascii="Arial" w:hAnsi="Arial" w:cs="Arial"/>
        </w:rPr>
        <w:fldChar w:fldCharType="end"/>
      </w:r>
      <w:r w:rsidRPr="006F1D04">
        <w:rPr>
          <w:rFonts w:ascii="Arial" w:hAnsi="Arial" w:cs="Arial"/>
        </w:rPr>
        <w:t>: TAS monitoring sites</w:t>
      </w:r>
    </w:p>
    <w:tbl>
      <w:tblPr>
        <w:tblW w:w="11765"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28" w:type="dxa"/>
          <w:right w:w="28" w:type="dxa"/>
        </w:tblCellMar>
        <w:tblLook w:val="04A0"/>
      </w:tblPr>
      <w:tblGrid>
        <w:gridCol w:w="786"/>
        <w:gridCol w:w="1134"/>
        <w:gridCol w:w="1370"/>
        <w:gridCol w:w="1323"/>
        <w:gridCol w:w="1563"/>
        <w:gridCol w:w="1904"/>
        <w:gridCol w:w="708"/>
        <w:gridCol w:w="709"/>
        <w:gridCol w:w="709"/>
        <w:gridCol w:w="1559"/>
      </w:tblGrid>
      <w:tr w:rsidR="00074407" w:rsidRPr="006F1D04" w:rsidTr="00DC2F53">
        <w:trPr>
          <w:trHeight w:val="486"/>
          <w:jc w:val="center"/>
        </w:trPr>
        <w:tc>
          <w:tcPr>
            <w:tcW w:w="786" w:type="dxa"/>
            <w:tcBorders>
              <w:bottom w:val="single" w:sz="4" w:space="0" w:color="0070C0"/>
            </w:tcBorders>
            <w:shd w:val="clear" w:color="auto" w:fill="0070C0"/>
            <w:noWrap/>
            <w:vAlign w:val="center"/>
          </w:tcPr>
          <w:p w:rsidR="00074407" w:rsidRPr="006F1D04" w:rsidRDefault="00074407" w:rsidP="0072215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Site code</w:t>
            </w:r>
          </w:p>
        </w:tc>
        <w:tc>
          <w:tcPr>
            <w:tcW w:w="1134" w:type="dxa"/>
            <w:tcBorders>
              <w:bottom w:val="single" w:sz="4" w:space="0" w:color="0070C0"/>
            </w:tcBorders>
            <w:shd w:val="clear" w:color="auto" w:fill="0070C0"/>
            <w:noWrap/>
            <w:vAlign w:val="center"/>
          </w:tcPr>
          <w:p w:rsidR="00074407" w:rsidRPr="006F1D04" w:rsidRDefault="00074407" w:rsidP="0072215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Organisation</w:t>
            </w:r>
          </w:p>
        </w:tc>
        <w:tc>
          <w:tcPr>
            <w:tcW w:w="1370" w:type="dxa"/>
            <w:tcBorders>
              <w:bottom w:val="single" w:sz="4" w:space="0" w:color="0070C0"/>
            </w:tcBorders>
            <w:shd w:val="clear" w:color="auto" w:fill="0070C0"/>
            <w:noWrap/>
            <w:vAlign w:val="center"/>
          </w:tcPr>
          <w:p w:rsidR="00074407" w:rsidRPr="006F1D04" w:rsidRDefault="00074407" w:rsidP="0072215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Site name</w:t>
            </w:r>
          </w:p>
        </w:tc>
        <w:tc>
          <w:tcPr>
            <w:tcW w:w="1323" w:type="dxa"/>
            <w:tcBorders>
              <w:bottom w:val="single" w:sz="4" w:space="0" w:color="0070C0"/>
            </w:tcBorders>
            <w:shd w:val="clear" w:color="auto" w:fill="0070C0"/>
            <w:noWrap/>
            <w:vAlign w:val="center"/>
          </w:tcPr>
          <w:p w:rsidR="00074407" w:rsidRPr="006F1D04" w:rsidRDefault="00074407" w:rsidP="0072215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Region</w:t>
            </w:r>
          </w:p>
        </w:tc>
        <w:tc>
          <w:tcPr>
            <w:tcW w:w="1563" w:type="dxa"/>
            <w:tcBorders>
              <w:bottom w:val="single" w:sz="4" w:space="0" w:color="0070C0"/>
            </w:tcBorders>
            <w:shd w:val="clear" w:color="auto" w:fill="0070C0"/>
            <w:noWrap/>
            <w:vAlign w:val="center"/>
          </w:tcPr>
          <w:p w:rsidR="00074407" w:rsidRPr="006F1D04" w:rsidRDefault="00074407" w:rsidP="0072215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Site description</w:t>
            </w:r>
          </w:p>
        </w:tc>
        <w:tc>
          <w:tcPr>
            <w:tcW w:w="1904" w:type="dxa"/>
            <w:tcBorders>
              <w:bottom w:val="single" w:sz="4" w:space="0" w:color="0070C0"/>
            </w:tcBorders>
            <w:shd w:val="clear" w:color="auto" w:fill="0070C0"/>
            <w:noWrap/>
            <w:vAlign w:val="center"/>
          </w:tcPr>
          <w:p w:rsidR="00074407" w:rsidRPr="006F1D04" w:rsidRDefault="00074407" w:rsidP="0072215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Purpose</w:t>
            </w:r>
          </w:p>
        </w:tc>
        <w:tc>
          <w:tcPr>
            <w:tcW w:w="708" w:type="dxa"/>
            <w:tcBorders>
              <w:bottom w:val="single" w:sz="4" w:space="0" w:color="0070C0"/>
            </w:tcBorders>
            <w:shd w:val="clear" w:color="auto" w:fill="0070C0"/>
            <w:noWrap/>
            <w:vAlign w:val="center"/>
          </w:tcPr>
          <w:p w:rsidR="00074407" w:rsidRPr="006F1D04" w:rsidRDefault="00074407" w:rsidP="0072215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GRUB</w:t>
            </w:r>
          </w:p>
        </w:tc>
        <w:tc>
          <w:tcPr>
            <w:tcW w:w="709" w:type="dxa"/>
            <w:tcBorders>
              <w:bottom w:val="single" w:sz="4" w:space="0" w:color="0070C0"/>
            </w:tcBorders>
            <w:shd w:val="clear" w:color="auto" w:fill="0070C0"/>
            <w:vAlign w:val="center"/>
          </w:tcPr>
          <w:p w:rsidR="00074407" w:rsidRPr="006F1D04" w:rsidRDefault="00074407" w:rsidP="00612FEC">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PM</w:t>
            </w:r>
            <w:r w:rsidRPr="006F1D04">
              <w:rPr>
                <w:rFonts w:ascii="Arial" w:hAnsi="Arial" w:cs="Arial"/>
                <w:b/>
                <w:bCs/>
                <w:color w:val="FFFFFF"/>
                <w:sz w:val="14"/>
                <w:szCs w:val="14"/>
                <w:vertAlign w:val="subscript"/>
              </w:rPr>
              <w:t>10</w:t>
            </w:r>
          </w:p>
        </w:tc>
        <w:tc>
          <w:tcPr>
            <w:tcW w:w="709" w:type="dxa"/>
            <w:tcBorders>
              <w:bottom w:val="single" w:sz="4" w:space="0" w:color="0070C0"/>
            </w:tcBorders>
            <w:shd w:val="clear" w:color="auto" w:fill="0070C0"/>
            <w:vAlign w:val="center"/>
          </w:tcPr>
          <w:p w:rsidR="00074407" w:rsidRPr="006F1D04" w:rsidRDefault="00074407" w:rsidP="0007440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PM</w:t>
            </w:r>
            <w:r w:rsidRPr="006F1D04">
              <w:rPr>
                <w:rFonts w:ascii="Arial" w:hAnsi="Arial" w:cs="Arial"/>
                <w:b/>
                <w:bCs/>
                <w:color w:val="FFFFFF"/>
                <w:sz w:val="14"/>
                <w:szCs w:val="14"/>
                <w:vertAlign w:val="subscript"/>
              </w:rPr>
              <w:t>2.5</w:t>
            </w:r>
          </w:p>
        </w:tc>
        <w:tc>
          <w:tcPr>
            <w:tcW w:w="1559" w:type="dxa"/>
            <w:tcBorders>
              <w:bottom w:val="single" w:sz="4" w:space="0" w:color="0070C0"/>
            </w:tcBorders>
            <w:shd w:val="clear" w:color="auto" w:fill="0070C0"/>
            <w:vAlign w:val="center"/>
          </w:tcPr>
          <w:p w:rsidR="00074407" w:rsidRPr="006F1D04" w:rsidRDefault="00074407" w:rsidP="0007440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Instrument(s)</w:t>
            </w:r>
          </w:p>
        </w:tc>
      </w:tr>
      <w:tr w:rsidR="00DC2F53" w:rsidRPr="006F1D04" w:rsidTr="002861CF">
        <w:trPr>
          <w:trHeight w:val="312"/>
          <w:jc w:val="center"/>
        </w:trPr>
        <w:tc>
          <w:tcPr>
            <w:tcW w:w="786" w:type="dxa"/>
            <w:tcBorders>
              <w:bottom w:val="dotted" w:sz="4" w:space="0" w:color="0070C0"/>
            </w:tcBorders>
            <w:shd w:val="clear" w:color="auto" w:fill="auto"/>
            <w:noWrap/>
            <w:vAlign w:val="center"/>
          </w:tcPr>
          <w:p w:rsidR="00DC2F53" w:rsidRPr="006F1D04" w:rsidRDefault="00DC2F53" w:rsidP="0072215E">
            <w:pPr>
              <w:spacing w:after="0" w:line="240" w:lineRule="auto"/>
              <w:jc w:val="center"/>
              <w:rPr>
                <w:rFonts w:ascii="Arial" w:hAnsi="Arial" w:cs="Arial"/>
                <w:sz w:val="14"/>
                <w:szCs w:val="14"/>
              </w:rPr>
            </w:pPr>
            <w:r w:rsidRPr="006F1D04">
              <w:rPr>
                <w:rFonts w:ascii="Arial" w:hAnsi="Arial" w:cs="Arial"/>
                <w:sz w:val="14"/>
                <w:szCs w:val="14"/>
              </w:rPr>
              <w:t>TAS_E01</w:t>
            </w:r>
          </w:p>
        </w:tc>
        <w:tc>
          <w:tcPr>
            <w:tcW w:w="1134" w:type="dxa"/>
            <w:tcBorders>
              <w:bottom w:val="dotted" w:sz="4" w:space="0" w:color="0070C0"/>
            </w:tcBorders>
            <w:shd w:val="clear" w:color="auto" w:fill="auto"/>
            <w:noWrap/>
            <w:vAlign w:val="center"/>
          </w:tcPr>
          <w:p w:rsidR="00DC2F53" w:rsidRPr="006F1D04" w:rsidRDefault="00DC2F53" w:rsidP="0072215E">
            <w:pPr>
              <w:spacing w:after="0" w:line="240" w:lineRule="auto"/>
              <w:jc w:val="center"/>
              <w:rPr>
                <w:rFonts w:ascii="Arial" w:hAnsi="Arial" w:cs="Arial"/>
                <w:sz w:val="14"/>
                <w:szCs w:val="14"/>
              </w:rPr>
            </w:pPr>
            <w:r w:rsidRPr="006F1D04">
              <w:rPr>
                <w:rFonts w:ascii="Arial" w:hAnsi="Arial" w:cs="Arial"/>
                <w:sz w:val="14"/>
                <w:szCs w:val="14"/>
              </w:rPr>
              <w:t>EPA</w:t>
            </w:r>
          </w:p>
        </w:tc>
        <w:tc>
          <w:tcPr>
            <w:tcW w:w="1370" w:type="dxa"/>
            <w:tcBorders>
              <w:bottom w:val="dotted" w:sz="4" w:space="0" w:color="0070C0"/>
            </w:tcBorders>
            <w:shd w:val="clear" w:color="auto" w:fill="auto"/>
            <w:noWrap/>
            <w:vAlign w:val="center"/>
          </w:tcPr>
          <w:p w:rsidR="00DC2F53" w:rsidRPr="006F1D04" w:rsidRDefault="00DC2F53" w:rsidP="0072215E">
            <w:pPr>
              <w:spacing w:after="0" w:line="240" w:lineRule="auto"/>
              <w:jc w:val="center"/>
              <w:rPr>
                <w:rFonts w:ascii="Arial" w:hAnsi="Arial" w:cs="Arial"/>
                <w:sz w:val="14"/>
                <w:szCs w:val="14"/>
              </w:rPr>
            </w:pPr>
            <w:r w:rsidRPr="006F1D04">
              <w:rPr>
                <w:rFonts w:ascii="Arial" w:hAnsi="Arial" w:cs="Arial"/>
                <w:sz w:val="14"/>
                <w:szCs w:val="14"/>
              </w:rPr>
              <w:t>Ti Tree Bend</w:t>
            </w:r>
          </w:p>
        </w:tc>
        <w:tc>
          <w:tcPr>
            <w:tcW w:w="1323" w:type="dxa"/>
            <w:tcBorders>
              <w:bottom w:val="dotted" w:sz="4" w:space="0" w:color="0070C0"/>
            </w:tcBorders>
            <w:shd w:val="clear" w:color="auto" w:fill="auto"/>
            <w:noWrap/>
            <w:vAlign w:val="center"/>
          </w:tcPr>
          <w:p w:rsidR="00DC2F53" w:rsidRPr="006F1D04" w:rsidRDefault="00DC2F53" w:rsidP="0072215E">
            <w:pPr>
              <w:spacing w:after="0" w:line="240" w:lineRule="auto"/>
              <w:jc w:val="center"/>
              <w:rPr>
                <w:rFonts w:ascii="Arial" w:hAnsi="Arial" w:cs="Arial"/>
                <w:sz w:val="14"/>
                <w:szCs w:val="14"/>
              </w:rPr>
            </w:pPr>
            <w:r w:rsidRPr="006F1D04">
              <w:rPr>
                <w:rFonts w:ascii="Arial" w:hAnsi="Arial" w:cs="Arial"/>
                <w:sz w:val="14"/>
                <w:szCs w:val="14"/>
              </w:rPr>
              <w:t>Launceston</w:t>
            </w:r>
          </w:p>
        </w:tc>
        <w:tc>
          <w:tcPr>
            <w:tcW w:w="1563" w:type="dxa"/>
            <w:tcBorders>
              <w:bottom w:val="dotted" w:sz="4" w:space="0" w:color="0070C0"/>
            </w:tcBorders>
            <w:shd w:val="clear" w:color="auto" w:fill="auto"/>
            <w:noWrap/>
            <w:vAlign w:val="center"/>
          </w:tcPr>
          <w:p w:rsidR="00DC2F53" w:rsidRPr="006F1D04" w:rsidRDefault="00DC2F53" w:rsidP="0072215E">
            <w:pPr>
              <w:spacing w:after="0" w:line="240" w:lineRule="auto"/>
              <w:jc w:val="center"/>
              <w:rPr>
                <w:rFonts w:ascii="Arial" w:hAnsi="Arial" w:cs="Arial"/>
                <w:sz w:val="14"/>
                <w:szCs w:val="14"/>
              </w:rPr>
            </w:pPr>
            <w:r w:rsidRPr="006F1D04">
              <w:rPr>
                <w:rFonts w:ascii="Arial" w:hAnsi="Arial" w:cs="Arial"/>
                <w:sz w:val="14"/>
                <w:szCs w:val="14"/>
              </w:rPr>
              <w:t>Light Industry</w:t>
            </w:r>
          </w:p>
        </w:tc>
        <w:tc>
          <w:tcPr>
            <w:tcW w:w="1904" w:type="dxa"/>
            <w:tcBorders>
              <w:bottom w:val="dotted" w:sz="4" w:space="0" w:color="0070C0"/>
            </w:tcBorders>
            <w:shd w:val="clear" w:color="auto" w:fill="auto"/>
            <w:noWrap/>
            <w:vAlign w:val="center"/>
          </w:tcPr>
          <w:p w:rsidR="00DC2F53" w:rsidRPr="006F1D04" w:rsidRDefault="00DC2F53" w:rsidP="00EE2B6F">
            <w:pPr>
              <w:spacing w:after="0" w:line="240" w:lineRule="auto"/>
              <w:jc w:val="center"/>
              <w:rPr>
                <w:rFonts w:ascii="Arial" w:hAnsi="Arial" w:cs="Arial"/>
                <w:sz w:val="14"/>
                <w:szCs w:val="14"/>
              </w:rPr>
            </w:pPr>
            <w:r w:rsidRPr="006F1D04">
              <w:rPr>
                <w:rFonts w:ascii="Arial" w:hAnsi="Arial" w:cs="Arial"/>
                <w:sz w:val="14"/>
                <w:szCs w:val="14"/>
              </w:rPr>
              <w:t>Trend</w:t>
            </w:r>
          </w:p>
        </w:tc>
        <w:tc>
          <w:tcPr>
            <w:tcW w:w="708" w:type="dxa"/>
            <w:tcBorders>
              <w:bottom w:val="dotted" w:sz="4" w:space="0" w:color="0070C0"/>
            </w:tcBorders>
            <w:shd w:val="clear" w:color="auto" w:fill="auto"/>
            <w:noWrap/>
            <w:vAlign w:val="center"/>
          </w:tcPr>
          <w:p w:rsidR="00DC2F53" w:rsidRPr="006F1D04" w:rsidRDefault="00DC2F53" w:rsidP="0072215E">
            <w:pPr>
              <w:spacing w:after="0" w:line="240" w:lineRule="auto"/>
              <w:jc w:val="center"/>
              <w:rPr>
                <w:rFonts w:ascii="Arial" w:hAnsi="Arial" w:cs="Arial"/>
                <w:bCs/>
                <w:sz w:val="14"/>
                <w:szCs w:val="14"/>
              </w:rPr>
            </w:pPr>
            <w:r w:rsidRPr="006F1D04">
              <w:rPr>
                <w:rFonts w:ascii="Arial" w:hAnsi="Arial" w:cs="Arial"/>
                <w:bCs/>
                <w:sz w:val="14"/>
                <w:szCs w:val="14"/>
              </w:rPr>
              <w:t>Yes</w:t>
            </w:r>
          </w:p>
        </w:tc>
        <w:tc>
          <w:tcPr>
            <w:tcW w:w="709" w:type="dxa"/>
            <w:tcBorders>
              <w:bottom w:val="dotted" w:sz="4" w:space="0" w:color="0070C0"/>
            </w:tcBorders>
            <w:vAlign w:val="center"/>
          </w:tcPr>
          <w:p w:rsidR="00DC2F53" w:rsidRPr="006F1D04" w:rsidRDefault="00DC2F53" w:rsidP="0072215E">
            <w:pPr>
              <w:spacing w:after="0" w:line="240" w:lineRule="auto"/>
              <w:jc w:val="center"/>
              <w:rPr>
                <w:rFonts w:ascii="Arial" w:hAnsi="Arial" w:cs="Arial"/>
                <w:bCs/>
                <w:sz w:val="14"/>
                <w:szCs w:val="14"/>
              </w:rPr>
            </w:pPr>
            <w:r w:rsidRPr="006F1D04">
              <w:rPr>
                <w:rFonts w:ascii="Arial" w:hAnsi="Arial" w:cs="Arial"/>
                <w:color w:val="000000"/>
                <w:sz w:val="14"/>
                <w:szCs w:val="14"/>
              </w:rPr>
              <w:sym w:font="Wingdings" w:char="F0FC"/>
            </w:r>
          </w:p>
        </w:tc>
        <w:tc>
          <w:tcPr>
            <w:tcW w:w="709" w:type="dxa"/>
            <w:tcBorders>
              <w:bottom w:val="dotted" w:sz="4" w:space="0" w:color="0070C0"/>
            </w:tcBorders>
            <w:vAlign w:val="center"/>
          </w:tcPr>
          <w:p w:rsidR="00DC2F53" w:rsidRPr="006F1D04" w:rsidRDefault="00DC2F53" w:rsidP="002861CF">
            <w:pPr>
              <w:spacing w:after="0" w:line="240" w:lineRule="auto"/>
              <w:jc w:val="center"/>
              <w:rPr>
                <w:rFonts w:ascii="Arial" w:hAnsi="Arial" w:cs="Arial"/>
                <w:bCs/>
                <w:sz w:val="14"/>
                <w:szCs w:val="14"/>
              </w:rPr>
            </w:pPr>
            <w:r w:rsidRPr="006F1D04">
              <w:rPr>
                <w:rFonts w:ascii="Arial" w:hAnsi="Arial" w:cs="Arial"/>
                <w:color w:val="000000"/>
                <w:sz w:val="14"/>
                <w:szCs w:val="14"/>
              </w:rPr>
              <w:sym w:font="Wingdings" w:char="F0FC"/>
            </w:r>
          </w:p>
        </w:tc>
        <w:tc>
          <w:tcPr>
            <w:tcW w:w="1559" w:type="dxa"/>
            <w:tcBorders>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proofErr w:type="spellStart"/>
            <w:r w:rsidRPr="006F1D04">
              <w:rPr>
                <w:rFonts w:ascii="Arial" w:hAnsi="Arial" w:cs="Arial"/>
                <w:color w:val="000000"/>
                <w:sz w:val="14"/>
                <w:szCs w:val="14"/>
              </w:rPr>
              <w:t>Grav</w:t>
            </w:r>
            <w:proofErr w:type="spellEnd"/>
            <w:r w:rsidRPr="006F1D04">
              <w:rPr>
                <w:rFonts w:ascii="Arial" w:hAnsi="Arial" w:cs="Arial"/>
                <w:color w:val="000000"/>
                <w:sz w:val="14"/>
                <w:szCs w:val="14"/>
              </w:rPr>
              <w:t>. filter/TEOM</w:t>
            </w:r>
          </w:p>
        </w:tc>
      </w:tr>
      <w:tr w:rsidR="00DC2F53" w:rsidRPr="006F1D04" w:rsidTr="002861CF">
        <w:trPr>
          <w:trHeight w:val="312"/>
          <w:jc w:val="center"/>
        </w:trPr>
        <w:tc>
          <w:tcPr>
            <w:tcW w:w="786" w:type="dxa"/>
            <w:tcBorders>
              <w:top w:val="dotted" w:sz="4" w:space="0" w:color="0070C0"/>
              <w:bottom w:val="dotted" w:sz="4" w:space="0" w:color="0070C0"/>
            </w:tcBorders>
            <w:shd w:val="clear" w:color="auto" w:fill="auto"/>
            <w:noWrap/>
            <w:vAlign w:val="center"/>
          </w:tcPr>
          <w:p w:rsidR="00DC2F53" w:rsidRPr="006F1D04" w:rsidRDefault="00DC2F53" w:rsidP="0072215E">
            <w:pPr>
              <w:spacing w:after="0" w:line="240" w:lineRule="auto"/>
              <w:jc w:val="center"/>
              <w:rPr>
                <w:rFonts w:ascii="Arial" w:hAnsi="Arial" w:cs="Arial"/>
                <w:sz w:val="14"/>
                <w:szCs w:val="14"/>
              </w:rPr>
            </w:pPr>
            <w:r w:rsidRPr="006F1D04">
              <w:rPr>
                <w:rFonts w:ascii="Arial" w:hAnsi="Arial" w:cs="Arial"/>
                <w:sz w:val="14"/>
                <w:szCs w:val="14"/>
              </w:rPr>
              <w:t>TAS_E02</w:t>
            </w:r>
          </w:p>
        </w:tc>
        <w:tc>
          <w:tcPr>
            <w:tcW w:w="1134" w:type="dxa"/>
            <w:tcBorders>
              <w:top w:val="dotted" w:sz="4" w:space="0" w:color="0070C0"/>
              <w:bottom w:val="dotted" w:sz="4" w:space="0" w:color="0070C0"/>
            </w:tcBorders>
            <w:shd w:val="clear" w:color="auto" w:fill="auto"/>
            <w:noWrap/>
            <w:vAlign w:val="center"/>
          </w:tcPr>
          <w:p w:rsidR="00DC2F53" w:rsidRPr="006F1D04" w:rsidRDefault="00DC2F53" w:rsidP="0072215E">
            <w:pPr>
              <w:spacing w:after="0" w:line="240" w:lineRule="auto"/>
              <w:jc w:val="center"/>
              <w:rPr>
                <w:rFonts w:ascii="Arial" w:hAnsi="Arial" w:cs="Arial"/>
                <w:sz w:val="14"/>
                <w:szCs w:val="14"/>
              </w:rPr>
            </w:pPr>
            <w:r w:rsidRPr="006F1D04">
              <w:rPr>
                <w:rFonts w:ascii="Arial" w:hAnsi="Arial" w:cs="Arial"/>
                <w:sz w:val="14"/>
                <w:szCs w:val="14"/>
              </w:rPr>
              <w:t>EPA</w:t>
            </w:r>
          </w:p>
        </w:tc>
        <w:tc>
          <w:tcPr>
            <w:tcW w:w="1370" w:type="dxa"/>
            <w:tcBorders>
              <w:top w:val="dotted" w:sz="4" w:space="0" w:color="0070C0"/>
              <w:bottom w:val="dotted" w:sz="4" w:space="0" w:color="0070C0"/>
            </w:tcBorders>
            <w:shd w:val="clear" w:color="auto" w:fill="auto"/>
            <w:noWrap/>
            <w:vAlign w:val="center"/>
          </w:tcPr>
          <w:p w:rsidR="00DC2F53" w:rsidRPr="006F1D04" w:rsidRDefault="00DC2F53" w:rsidP="0072215E">
            <w:pPr>
              <w:spacing w:after="0" w:line="240" w:lineRule="auto"/>
              <w:jc w:val="center"/>
              <w:rPr>
                <w:rFonts w:ascii="Arial" w:hAnsi="Arial" w:cs="Arial"/>
                <w:sz w:val="14"/>
                <w:szCs w:val="14"/>
              </w:rPr>
            </w:pPr>
            <w:r w:rsidRPr="006F1D04">
              <w:rPr>
                <w:rFonts w:ascii="Arial" w:hAnsi="Arial" w:cs="Arial"/>
                <w:sz w:val="14"/>
                <w:szCs w:val="14"/>
              </w:rPr>
              <w:t>New Town</w:t>
            </w:r>
          </w:p>
        </w:tc>
        <w:tc>
          <w:tcPr>
            <w:tcW w:w="1323" w:type="dxa"/>
            <w:tcBorders>
              <w:top w:val="dotted" w:sz="4" w:space="0" w:color="0070C0"/>
              <w:bottom w:val="dotted" w:sz="4" w:space="0" w:color="0070C0"/>
            </w:tcBorders>
            <w:shd w:val="clear" w:color="auto" w:fill="auto"/>
            <w:noWrap/>
            <w:vAlign w:val="center"/>
          </w:tcPr>
          <w:p w:rsidR="00DC2F53" w:rsidRPr="006F1D04" w:rsidRDefault="00DC2F53" w:rsidP="0072215E">
            <w:pPr>
              <w:spacing w:after="0" w:line="240" w:lineRule="auto"/>
              <w:jc w:val="center"/>
              <w:rPr>
                <w:rFonts w:ascii="Arial" w:hAnsi="Arial" w:cs="Arial"/>
                <w:sz w:val="14"/>
                <w:szCs w:val="14"/>
              </w:rPr>
            </w:pPr>
            <w:r w:rsidRPr="006F1D04">
              <w:rPr>
                <w:rFonts w:ascii="Arial" w:hAnsi="Arial" w:cs="Arial"/>
                <w:sz w:val="14"/>
                <w:szCs w:val="14"/>
              </w:rPr>
              <w:t>Hobart</w:t>
            </w:r>
          </w:p>
        </w:tc>
        <w:tc>
          <w:tcPr>
            <w:tcW w:w="1563" w:type="dxa"/>
            <w:tcBorders>
              <w:top w:val="dotted" w:sz="4" w:space="0" w:color="0070C0"/>
              <w:bottom w:val="dotted" w:sz="4" w:space="0" w:color="0070C0"/>
            </w:tcBorders>
            <w:shd w:val="clear" w:color="auto" w:fill="auto"/>
            <w:noWrap/>
            <w:vAlign w:val="center"/>
          </w:tcPr>
          <w:p w:rsidR="00DC2F53" w:rsidRPr="006F1D04" w:rsidRDefault="00DC2F53" w:rsidP="0072215E">
            <w:pPr>
              <w:spacing w:after="0" w:line="240" w:lineRule="auto"/>
              <w:jc w:val="center"/>
              <w:rPr>
                <w:rFonts w:ascii="Arial" w:hAnsi="Arial" w:cs="Arial"/>
                <w:sz w:val="14"/>
                <w:szCs w:val="14"/>
              </w:rPr>
            </w:pPr>
            <w:r w:rsidRPr="006F1D04">
              <w:rPr>
                <w:rFonts w:ascii="Arial" w:hAnsi="Arial" w:cs="Arial"/>
                <w:sz w:val="14"/>
                <w:szCs w:val="14"/>
              </w:rPr>
              <w:t>Residential</w:t>
            </w:r>
          </w:p>
        </w:tc>
        <w:tc>
          <w:tcPr>
            <w:tcW w:w="1904" w:type="dxa"/>
            <w:tcBorders>
              <w:top w:val="dotted" w:sz="4" w:space="0" w:color="0070C0"/>
              <w:bottom w:val="dotted" w:sz="4" w:space="0" w:color="0070C0"/>
            </w:tcBorders>
            <w:shd w:val="clear" w:color="auto" w:fill="auto"/>
            <w:noWrap/>
            <w:vAlign w:val="center"/>
          </w:tcPr>
          <w:p w:rsidR="00DC2F53" w:rsidRPr="006F1D04" w:rsidRDefault="00DC2F53" w:rsidP="00EE2B6F">
            <w:pPr>
              <w:spacing w:after="0" w:line="240" w:lineRule="auto"/>
              <w:jc w:val="center"/>
              <w:rPr>
                <w:rFonts w:ascii="Arial" w:hAnsi="Arial" w:cs="Arial"/>
                <w:sz w:val="14"/>
                <w:szCs w:val="14"/>
              </w:rPr>
            </w:pPr>
            <w:r w:rsidRPr="006F1D04">
              <w:rPr>
                <w:rFonts w:ascii="Arial" w:hAnsi="Arial" w:cs="Arial"/>
                <w:sz w:val="14"/>
                <w:szCs w:val="14"/>
              </w:rPr>
              <w:t>Trend</w:t>
            </w:r>
          </w:p>
        </w:tc>
        <w:tc>
          <w:tcPr>
            <w:tcW w:w="708" w:type="dxa"/>
            <w:tcBorders>
              <w:top w:val="dotted" w:sz="4" w:space="0" w:color="0070C0"/>
              <w:bottom w:val="dotted" w:sz="4" w:space="0" w:color="0070C0"/>
            </w:tcBorders>
            <w:shd w:val="clear" w:color="auto" w:fill="auto"/>
            <w:noWrap/>
            <w:vAlign w:val="center"/>
          </w:tcPr>
          <w:p w:rsidR="00DC2F53" w:rsidRPr="006F1D04" w:rsidRDefault="00DC2F53" w:rsidP="0072215E">
            <w:pPr>
              <w:spacing w:after="0" w:line="240" w:lineRule="auto"/>
              <w:jc w:val="center"/>
              <w:rPr>
                <w:rFonts w:ascii="Arial" w:hAnsi="Arial" w:cs="Arial"/>
                <w:sz w:val="14"/>
                <w:szCs w:val="14"/>
              </w:rPr>
            </w:pPr>
            <w:r w:rsidRPr="006F1D04">
              <w:rPr>
                <w:rFonts w:ascii="Arial" w:hAnsi="Arial" w:cs="Arial"/>
                <w:sz w:val="14"/>
                <w:szCs w:val="14"/>
              </w:rPr>
              <w:t>Yes</w:t>
            </w:r>
          </w:p>
        </w:tc>
        <w:tc>
          <w:tcPr>
            <w:tcW w:w="709" w:type="dxa"/>
            <w:tcBorders>
              <w:top w:val="dotted" w:sz="4" w:space="0" w:color="0070C0"/>
              <w:bottom w:val="dotted" w:sz="4" w:space="0" w:color="0070C0"/>
            </w:tcBorders>
            <w:vAlign w:val="center"/>
          </w:tcPr>
          <w:p w:rsidR="00DC2F53" w:rsidRPr="006F1D04" w:rsidRDefault="00DC2F53" w:rsidP="0072215E">
            <w:pPr>
              <w:spacing w:after="0" w:line="240" w:lineRule="auto"/>
              <w:jc w:val="center"/>
              <w:rPr>
                <w:rFonts w:ascii="Arial" w:hAnsi="Arial" w:cs="Arial"/>
                <w:sz w:val="14"/>
                <w:szCs w:val="14"/>
              </w:rPr>
            </w:pPr>
            <w:r w:rsidRPr="006F1D04">
              <w:rPr>
                <w:rFonts w:ascii="Arial" w:hAnsi="Arial" w:cs="Arial"/>
                <w:color w:val="000000"/>
                <w:sz w:val="14"/>
                <w:szCs w:val="14"/>
              </w:rPr>
              <w:sym w:font="Wingdings" w:char="F0FC"/>
            </w:r>
          </w:p>
        </w:tc>
        <w:tc>
          <w:tcPr>
            <w:tcW w:w="709" w:type="dxa"/>
            <w:tcBorders>
              <w:top w:val="dotted" w:sz="4" w:space="0" w:color="0070C0"/>
              <w:bottom w:val="dotted" w:sz="4" w:space="0" w:color="0070C0"/>
            </w:tcBorders>
            <w:vAlign w:val="center"/>
          </w:tcPr>
          <w:p w:rsidR="00DC2F53" w:rsidRPr="006F1D04" w:rsidRDefault="00DC2F53" w:rsidP="002861CF">
            <w:pPr>
              <w:spacing w:after="0" w:line="240" w:lineRule="auto"/>
              <w:jc w:val="center"/>
              <w:rPr>
                <w:rFonts w:ascii="Arial" w:hAnsi="Arial" w:cs="Arial"/>
                <w:sz w:val="14"/>
                <w:szCs w:val="14"/>
              </w:rPr>
            </w:pPr>
            <w:r w:rsidRPr="006F1D04">
              <w:rPr>
                <w:rFonts w:ascii="Arial" w:hAnsi="Arial" w:cs="Arial"/>
                <w:color w:val="000000"/>
                <w:sz w:val="14"/>
                <w:szCs w:val="14"/>
              </w:rPr>
              <w:sym w:font="Wingdings" w:char="F0FC"/>
            </w:r>
          </w:p>
        </w:tc>
        <w:tc>
          <w:tcPr>
            <w:tcW w:w="1559" w:type="dxa"/>
            <w:tcBorders>
              <w:top w:val="dotted" w:sz="4" w:space="0" w:color="0070C0"/>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proofErr w:type="spellStart"/>
            <w:r w:rsidRPr="006F1D04">
              <w:rPr>
                <w:rFonts w:ascii="Arial" w:hAnsi="Arial" w:cs="Arial"/>
                <w:color w:val="000000"/>
                <w:sz w:val="14"/>
                <w:szCs w:val="14"/>
              </w:rPr>
              <w:t>Grav</w:t>
            </w:r>
            <w:proofErr w:type="spellEnd"/>
            <w:r w:rsidRPr="006F1D04">
              <w:rPr>
                <w:rFonts w:ascii="Arial" w:hAnsi="Arial" w:cs="Arial"/>
                <w:color w:val="000000"/>
                <w:sz w:val="14"/>
                <w:szCs w:val="14"/>
              </w:rPr>
              <w:t>. filter/TEOM</w:t>
            </w:r>
          </w:p>
        </w:tc>
      </w:tr>
      <w:tr w:rsidR="00DC2F53" w:rsidRPr="006F1D04" w:rsidTr="002861CF">
        <w:trPr>
          <w:trHeight w:val="312"/>
          <w:jc w:val="center"/>
        </w:trPr>
        <w:tc>
          <w:tcPr>
            <w:tcW w:w="786" w:type="dxa"/>
            <w:tcBorders>
              <w:top w:val="dotted" w:sz="4" w:space="0" w:color="0070C0"/>
              <w:bottom w:val="dotted" w:sz="4" w:space="0" w:color="0070C0"/>
            </w:tcBorders>
            <w:shd w:val="clear" w:color="auto" w:fill="auto"/>
            <w:noWrap/>
            <w:vAlign w:val="center"/>
          </w:tcPr>
          <w:p w:rsidR="00DC2F53" w:rsidRPr="006F1D04" w:rsidRDefault="00DC2F53" w:rsidP="0072215E">
            <w:pPr>
              <w:spacing w:after="0" w:line="240" w:lineRule="auto"/>
              <w:jc w:val="center"/>
              <w:rPr>
                <w:rFonts w:ascii="Arial" w:hAnsi="Arial" w:cs="Arial"/>
                <w:sz w:val="14"/>
                <w:szCs w:val="14"/>
              </w:rPr>
            </w:pPr>
            <w:r w:rsidRPr="006F1D04">
              <w:rPr>
                <w:rFonts w:ascii="Arial" w:hAnsi="Arial" w:cs="Arial"/>
                <w:sz w:val="14"/>
                <w:szCs w:val="14"/>
              </w:rPr>
              <w:t>TAS_E03</w:t>
            </w:r>
          </w:p>
        </w:tc>
        <w:tc>
          <w:tcPr>
            <w:tcW w:w="1134" w:type="dxa"/>
            <w:tcBorders>
              <w:top w:val="dotted" w:sz="4" w:space="0" w:color="0070C0"/>
              <w:bottom w:val="dotted" w:sz="4" w:space="0" w:color="0070C0"/>
            </w:tcBorders>
            <w:shd w:val="clear" w:color="auto" w:fill="auto"/>
            <w:noWrap/>
            <w:vAlign w:val="center"/>
          </w:tcPr>
          <w:p w:rsidR="00DC2F53" w:rsidRPr="006F1D04" w:rsidRDefault="00DC2F53" w:rsidP="0072215E">
            <w:pPr>
              <w:spacing w:after="0" w:line="240" w:lineRule="auto"/>
              <w:jc w:val="center"/>
              <w:rPr>
                <w:rFonts w:ascii="Arial" w:hAnsi="Arial" w:cs="Arial"/>
                <w:sz w:val="14"/>
                <w:szCs w:val="14"/>
              </w:rPr>
            </w:pPr>
            <w:r w:rsidRPr="006F1D04">
              <w:rPr>
                <w:rFonts w:ascii="Arial" w:hAnsi="Arial" w:cs="Arial"/>
                <w:sz w:val="14"/>
                <w:szCs w:val="14"/>
              </w:rPr>
              <w:t>EPA</w:t>
            </w:r>
          </w:p>
        </w:tc>
        <w:tc>
          <w:tcPr>
            <w:tcW w:w="1370" w:type="dxa"/>
            <w:tcBorders>
              <w:top w:val="dotted" w:sz="4" w:space="0" w:color="0070C0"/>
              <w:bottom w:val="dotted" w:sz="4" w:space="0" w:color="0070C0"/>
            </w:tcBorders>
            <w:shd w:val="clear" w:color="auto" w:fill="auto"/>
            <w:noWrap/>
            <w:vAlign w:val="center"/>
          </w:tcPr>
          <w:p w:rsidR="00DC2F53" w:rsidRPr="006F1D04" w:rsidRDefault="00DC2F53" w:rsidP="0072215E">
            <w:pPr>
              <w:spacing w:after="0" w:line="240" w:lineRule="auto"/>
              <w:jc w:val="center"/>
              <w:rPr>
                <w:rFonts w:ascii="Arial" w:hAnsi="Arial" w:cs="Arial"/>
                <w:sz w:val="14"/>
                <w:szCs w:val="14"/>
              </w:rPr>
            </w:pPr>
            <w:r w:rsidRPr="006F1D04">
              <w:rPr>
                <w:rFonts w:ascii="Arial" w:hAnsi="Arial" w:cs="Arial"/>
                <w:sz w:val="14"/>
                <w:szCs w:val="14"/>
              </w:rPr>
              <w:t>George Town</w:t>
            </w:r>
          </w:p>
        </w:tc>
        <w:tc>
          <w:tcPr>
            <w:tcW w:w="1323" w:type="dxa"/>
            <w:tcBorders>
              <w:top w:val="dotted" w:sz="4" w:space="0" w:color="0070C0"/>
              <w:bottom w:val="dotted" w:sz="4" w:space="0" w:color="0070C0"/>
            </w:tcBorders>
            <w:shd w:val="clear" w:color="auto" w:fill="auto"/>
            <w:noWrap/>
            <w:vAlign w:val="center"/>
          </w:tcPr>
          <w:p w:rsidR="00DC2F53" w:rsidRPr="006F1D04" w:rsidRDefault="00DC2F53" w:rsidP="0072215E">
            <w:pPr>
              <w:spacing w:after="0" w:line="240" w:lineRule="auto"/>
              <w:jc w:val="center"/>
              <w:rPr>
                <w:rFonts w:ascii="Arial" w:hAnsi="Arial" w:cs="Arial"/>
                <w:sz w:val="14"/>
                <w:szCs w:val="14"/>
              </w:rPr>
            </w:pPr>
            <w:r w:rsidRPr="006F1D04">
              <w:rPr>
                <w:rFonts w:ascii="Arial" w:hAnsi="Arial" w:cs="Arial"/>
                <w:sz w:val="14"/>
                <w:szCs w:val="14"/>
              </w:rPr>
              <w:t>George Town</w:t>
            </w:r>
          </w:p>
        </w:tc>
        <w:tc>
          <w:tcPr>
            <w:tcW w:w="1563" w:type="dxa"/>
            <w:tcBorders>
              <w:top w:val="dotted" w:sz="4" w:space="0" w:color="0070C0"/>
              <w:bottom w:val="dotted" w:sz="4" w:space="0" w:color="0070C0"/>
            </w:tcBorders>
            <w:shd w:val="clear" w:color="auto" w:fill="auto"/>
            <w:noWrap/>
            <w:vAlign w:val="center"/>
          </w:tcPr>
          <w:p w:rsidR="00DC2F53" w:rsidRPr="006F1D04" w:rsidRDefault="00DC2F53" w:rsidP="0072215E">
            <w:pPr>
              <w:spacing w:after="0" w:line="240" w:lineRule="auto"/>
              <w:jc w:val="center"/>
              <w:rPr>
                <w:rFonts w:ascii="Arial" w:hAnsi="Arial" w:cs="Arial"/>
                <w:sz w:val="14"/>
                <w:szCs w:val="14"/>
              </w:rPr>
            </w:pPr>
            <w:r w:rsidRPr="006F1D04">
              <w:rPr>
                <w:rFonts w:ascii="Arial" w:hAnsi="Arial" w:cs="Arial"/>
                <w:sz w:val="14"/>
                <w:szCs w:val="14"/>
              </w:rPr>
              <w:t>Industry</w:t>
            </w:r>
          </w:p>
        </w:tc>
        <w:tc>
          <w:tcPr>
            <w:tcW w:w="1904" w:type="dxa"/>
            <w:tcBorders>
              <w:top w:val="dotted" w:sz="4" w:space="0" w:color="0070C0"/>
              <w:bottom w:val="dotted" w:sz="4" w:space="0" w:color="0070C0"/>
            </w:tcBorders>
            <w:shd w:val="clear" w:color="auto" w:fill="auto"/>
            <w:noWrap/>
            <w:vAlign w:val="center"/>
          </w:tcPr>
          <w:p w:rsidR="00DC2F53" w:rsidRPr="006F1D04" w:rsidRDefault="00DC2F53" w:rsidP="0072215E">
            <w:pPr>
              <w:spacing w:after="0" w:line="240" w:lineRule="auto"/>
              <w:jc w:val="center"/>
              <w:rPr>
                <w:rFonts w:ascii="Arial" w:hAnsi="Arial" w:cs="Arial"/>
                <w:sz w:val="14"/>
                <w:szCs w:val="14"/>
              </w:rPr>
            </w:pPr>
            <w:r w:rsidRPr="006F1D04">
              <w:rPr>
                <w:rFonts w:ascii="Arial" w:hAnsi="Arial" w:cs="Arial"/>
                <w:sz w:val="14"/>
                <w:szCs w:val="14"/>
              </w:rPr>
              <w:t> </w:t>
            </w:r>
          </w:p>
        </w:tc>
        <w:tc>
          <w:tcPr>
            <w:tcW w:w="708" w:type="dxa"/>
            <w:tcBorders>
              <w:top w:val="dotted" w:sz="4" w:space="0" w:color="0070C0"/>
              <w:bottom w:val="dotted" w:sz="4" w:space="0" w:color="0070C0"/>
            </w:tcBorders>
            <w:shd w:val="clear" w:color="auto" w:fill="auto"/>
            <w:noWrap/>
            <w:vAlign w:val="center"/>
          </w:tcPr>
          <w:p w:rsidR="00DC2F53" w:rsidRPr="006F1D04" w:rsidRDefault="00DC2F53" w:rsidP="0072215E">
            <w:pPr>
              <w:spacing w:after="0" w:line="240" w:lineRule="auto"/>
              <w:jc w:val="center"/>
              <w:rPr>
                <w:rFonts w:ascii="Arial" w:hAnsi="Arial" w:cs="Arial"/>
                <w:sz w:val="14"/>
                <w:szCs w:val="14"/>
              </w:rPr>
            </w:pPr>
          </w:p>
        </w:tc>
        <w:tc>
          <w:tcPr>
            <w:tcW w:w="709" w:type="dxa"/>
            <w:tcBorders>
              <w:top w:val="dotted" w:sz="4" w:space="0" w:color="0070C0"/>
              <w:bottom w:val="dotted" w:sz="4" w:space="0" w:color="0070C0"/>
            </w:tcBorders>
            <w:vAlign w:val="center"/>
          </w:tcPr>
          <w:p w:rsidR="00DC2F53" w:rsidRPr="006F1D04" w:rsidRDefault="00DC2F53" w:rsidP="0072215E">
            <w:pPr>
              <w:spacing w:after="0" w:line="240" w:lineRule="auto"/>
              <w:jc w:val="center"/>
              <w:rPr>
                <w:rFonts w:ascii="Arial" w:hAnsi="Arial" w:cs="Arial"/>
                <w:sz w:val="14"/>
                <w:szCs w:val="14"/>
              </w:rPr>
            </w:pPr>
            <w:r w:rsidRPr="006F1D04">
              <w:rPr>
                <w:rFonts w:ascii="Arial" w:hAnsi="Arial" w:cs="Arial"/>
                <w:color w:val="000000"/>
                <w:sz w:val="14"/>
                <w:szCs w:val="14"/>
              </w:rPr>
              <w:sym w:font="Wingdings" w:char="F0FC"/>
            </w:r>
          </w:p>
        </w:tc>
        <w:tc>
          <w:tcPr>
            <w:tcW w:w="709" w:type="dxa"/>
            <w:tcBorders>
              <w:top w:val="dotted" w:sz="4" w:space="0" w:color="0070C0"/>
              <w:bottom w:val="dotted" w:sz="4" w:space="0" w:color="0070C0"/>
            </w:tcBorders>
            <w:vAlign w:val="center"/>
          </w:tcPr>
          <w:p w:rsidR="00DC2F53" w:rsidRPr="006F1D04" w:rsidRDefault="00DC2F53" w:rsidP="002861CF">
            <w:pPr>
              <w:spacing w:after="0" w:line="240" w:lineRule="auto"/>
              <w:jc w:val="center"/>
              <w:rPr>
                <w:rFonts w:ascii="Arial" w:hAnsi="Arial" w:cs="Arial"/>
                <w:sz w:val="14"/>
                <w:szCs w:val="14"/>
              </w:rPr>
            </w:pPr>
            <w:r w:rsidRPr="006F1D04">
              <w:rPr>
                <w:rFonts w:ascii="Arial" w:hAnsi="Arial" w:cs="Arial"/>
                <w:color w:val="000000"/>
                <w:sz w:val="14"/>
                <w:szCs w:val="14"/>
              </w:rPr>
              <w:sym w:font="Wingdings" w:char="F0FC"/>
            </w:r>
          </w:p>
        </w:tc>
        <w:tc>
          <w:tcPr>
            <w:tcW w:w="1559" w:type="dxa"/>
            <w:tcBorders>
              <w:top w:val="dotted" w:sz="4" w:space="0" w:color="0070C0"/>
              <w:bottom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proofErr w:type="spellStart"/>
            <w:r w:rsidRPr="006F1D04">
              <w:rPr>
                <w:rFonts w:ascii="Arial" w:hAnsi="Arial" w:cs="Arial"/>
                <w:color w:val="000000"/>
                <w:sz w:val="14"/>
                <w:szCs w:val="14"/>
              </w:rPr>
              <w:t>Grav</w:t>
            </w:r>
            <w:proofErr w:type="spellEnd"/>
            <w:r w:rsidRPr="006F1D04">
              <w:rPr>
                <w:rFonts w:ascii="Arial" w:hAnsi="Arial" w:cs="Arial"/>
                <w:color w:val="000000"/>
                <w:sz w:val="14"/>
                <w:szCs w:val="14"/>
              </w:rPr>
              <w:t>. filter</w:t>
            </w:r>
          </w:p>
        </w:tc>
      </w:tr>
      <w:tr w:rsidR="00DC2F53" w:rsidRPr="006F1D04" w:rsidTr="002861CF">
        <w:trPr>
          <w:trHeight w:val="312"/>
          <w:jc w:val="center"/>
        </w:trPr>
        <w:tc>
          <w:tcPr>
            <w:tcW w:w="786" w:type="dxa"/>
            <w:shd w:val="clear" w:color="auto" w:fill="auto"/>
            <w:noWrap/>
            <w:vAlign w:val="center"/>
          </w:tcPr>
          <w:p w:rsidR="00DC2F53" w:rsidRPr="006F1D04" w:rsidRDefault="00DC2F53" w:rsidP="0072215E">
            <w:pPr>
              <w:spacing w:after="0" w:line="240" w:lineRule="auto"/>
              <w:jc w:val="center"/>
              <w:rPr>
                <w:rFonts w:ascii="Arial" w:hAnsi="Arial" w:cs="Arial"/>
                <w:sz w:val="14"/>
                <w:szCs w:val="14"/>
              </w:rPr>
            </w:pPr>
            <w:r w:rsidRPr="006F1D04">
              <w:rPr>
                <w:rFonts w:ascii="Arial" w:hAnsi="Arial" w:cs="Arial"/>
                <w:sz w:val="14"/>
                <w:szCs w:val="14"/>
              </w:rPr>
              <w:t>TAS_A01</w:t>
            </w:r>
          </w:p>
        </w:tc>
        <w:tc>
          <w:tcPr>
            <w:tcW w:w="1134" w:type="dxa"/>
            <w:shd w:val="clear" w:color="auto" w:fill="auto"/>
            <w:noWrap/>
            <w:vAlign w:val="center"/>
          </w:tcPr>
          <w:p w:rsidR="00DC2F53" w:rsidRPr="006F1D04" w:rsidRDefault="00DC2F53" w:rsidP="0072215E">
            <w:pPr>
              <w:spacing w:after="0" w:line="240" w:lineRule="auto"/>
              <w:jc w:val="center"/>
              <w:rPr>
                <w:rFonts w:ascii="Arial" w:hAnsi="Arial" w:cs="Arial"/>
                <w:sz w:val="14"/>
                <w:szCs w:val="14"/>
              </w:rPr>
            </w:pPr>
            <w:r w:rsidRPr="006F1D04">
              <w:rPr>
                <w:rFonts w:ascii="Arial" w:hAnsi="Arial" w:cs="Arial"/>
                <w:sz w:val="14"/>
                <w:szCs w:val="14"/>
              </w:rPr>
              <w:t>ANSTO</w:t>
            </w:r>
          </w:p>
        </w:tc>
        <w:tc>
          <w:tcPr>
            <w:tcW w:w="1370" w:type="dxa"/>
            <w:shd w:val="clear" w:color="auto" w:fill="auto"/>
            <w:noWrap/>
            <w:vAlign w:val="center"/>
          </w:tcPr>
          <w:p w:rsidR="00DC2F53" w:rsidRPr="006F1D04" w:rsidRDefault="00DC2F53" w:rsidP="0072215E">
            <w:pPr>
              <w:spacing w:after="0" w:line="240" w:lineRule="auto"/>
              <w:jc w:val="center"/>
              <w:rPr>
                <w:rFonts w:ascii="Arial" w:hAnsi="Arial" w:cs="Arial"/>
                <w:sz w:val="14"/>
                <w:szCs w:val="14"/>
              </w:rPr>
            </w:pPr>
            <w:r w:rsidRPr="006F1D04">
              <w:rPr>
                <w:rFonts w:ascii="Arial" w:hAnsi="Arial" w:cs="Arial"/>
                <w:sz w:val="14"/>
                <w:szCs w:val="14"/>
              </w:rPr>
              <w:t>Cape Grim</w:t>
            </w:r>
          </w:p>
        </w:tc>
        <w:tc>
          <w:tcPr>
            <w:tcW w:w="1323" w:type="dxa"/>
            <w:shd w:val="clear" w:color="auto" w:fill="auto"/>
            <w:noWrap/>
            <w:vAlign w:val="center"/>
          </w:tcPr>
          <w:p w:rsidR="00DC2F53" w:rsidRPr="006F1D04" w:rsidRDefault="00DC2F53" w:rsidP="0072215E">
            <w:pPr>
              <w:spacing w:after="0" w:line="240" w:lineRule="auto"/>
              <w:jc w:val="center"/>
              <w:rPr>
                <w:rFonts w:ascii="Arial" w:hAnsi="Arial" w:cs="Arial"/>
                <w:sz w:val="14"/>
                <w:szCs w:val="14"/>
              </w:rPr>
            </w:pPr>
            <w:r w:rsidRPr="006F1D04">
              <w:rPr>
                <w:rFonts w:ascii="Arial" w:hAnsi="Arial" w:cs="Arial"/>
                <w:sz w:val="14"/>
                <w:szCs w:val="14"/>
              </w:rPr>
              <w:t>Cape Grim</w:t>
            </w:r>
          </w:p>
        </w:tc>
        <w:tc>
          <w:tcPr>
            <w:tcW w:w="1563" w:type="dxa"/>
            <w:shd w:val="clear" w:color="auto" w:fill="auto"/>
            <w:noWrap/>
            <w:vAlign w:val="center"/>
          </w:tcPr>
          <w:p w:rsidR="00DC2F53" w:rsidRPr="006F1D04" w:rsidRDefault="00DC2F53" w:rsidP="0072215E">
            <w:pPr>
              <w:spacing w:after="0" w:line="240" w:lineRule="auto"/>
              <w:jc w:val="center"/>
              <w:rPr>
                <w:rFonts w:ascii="Arial" w:hAnsi="Arial" w:cs="Arial"/>
                <w:sz w:val="14"/>
                <w:szCs w:val="14"/>
              </w:rPr>
            </w:pPr>
            <w:r w:rsidRPr="006F1D04">
              <w:rPr>
                <w:rFonts w:ascii="Arial" w:hAnsi="Arial" w:cs="Arial"/>
                <w:sz w:val="14"/>
                <w:szCs w:val="14"/>
              </w:rPr>
              <w:t>Rural</w:t>
            </w:r>
          </w:p>
        </w:tc>
        <w:tc>
          <w:tcPr>
            <w:tcW w:w="1904" w:type="dxa"/>
            <w:shd w:val="clear" w:color="auto" w:fill="auto"/>
            <w:noWrap/>
            <w:vAlign w:val="center"/>
          </w:tcPr>
          <w:p w:rsidR="00DC2F53" w:rsidRPr="006F1D04" w:rsidRDefault="00DC2F53" w:rsidP="0072215E">
            <w:pPr>
              <w:spacing w:after="0" w:line="240" w:lineRule="auto"/>
              <w:jc w:val="center"/>
              <w:rPr>
                <w:rFonts w:ascii="Arial" w:hAnsi="Arial" w:cs="Arial"/>
                <w:sz w:val="14"/>
                <w:szCs w:val="14"/>
              </w:rPr>
            </w:pPr>
            <w:r w:rsidRPr="006F1D04">
              <w:rPr>
                <w:rFonts w:ascii="Arial" w:hAnsi="Arial" w:cs="Arial"/>
                <w:sz w:val="14"/>
                <w:szCs w:val="14"/>
              </w:rPr>
              <w:t>Campaign</w:t>
            </w:r>
            <w:r w:rsidR="00B63885" w:rsidRPr="006F1D04">
              <w:rPr>
                <w:rFonts w:ascii="Arial" w:hAnsi="Arial" w:cs="Arial"/>
                <w:sz w:val="14"/>
                <w:szCs w:val="14"/>
              </w:rPr>
              <w:t>:</w:t>
            </w:r>
            <w:r w:rsidRPr="006F1D04">
              <w:rPr>
                <w:rFonts w:ascii="Arial" w:hAnsi="Arial" w:cs="Arial"/>
                <w:sz w:val="14"/>
                <w:szCs w:val="14"/>
              </w:rPr>
              <w:t xml:space="preserve"> </w:t>
            </w:r>
            <w:r w:rsidR="00B63885" w:rsidRPr="006F1D04">
              <w:rPr>
                <w:rFonts w:ascii="Arial" w:hAnsi="Arial" w:cs="Arial"/>
                <w:sz w:val="14"/>
                <w:szCs w:val="14"/>
              </w:rPr>
              <w:t>r</w:t>
            </w:r>
            <w:r w:rsidRPr="006F1D04">
              <w:rPr>
                <w:rFonts w:ascii="Arial" w:hAnsi="Arial" w:cs="Arial"/>
                <w:sz w:val="14"/>
                <w:szCs w:val="14"/>
              </w:rPr>
              <w:t>esearch</w:t>
            </w:r>
          </w:p>
        </w:tc>
        <w:tc>
          <w:tcPr>
            <w:tcW w:w="708" w:type="dxa"/>
            <w:shd w:val="clear" w:color="auto" w:fill="auto"/>
            <w:noWrap/>
            <w:vAlign w:val="center"/>
          </w:tcPr>
          <w:p w:rsidR="00DC2F53" w:rsidRPr="006F1D04" w:rsidRDefault="00DC2F53" w:rsidP="0072215E">
            <w:pPr>
              <w:spacing w:after="0" w:line="240" w:lineRule="auto"/>
              <w:jc w:val="center"/>
              <w:rPr>
                <w:rFonts w:ascii="Arial" w:hAnsi="Arial" w:cs="Arial"/>
                <w:sz w:val="14"/>
                <w:szCs w:val="14"/>
              </w:rPr>
            </w:pPr>
            <w:r w:rsidRPr="006F1D04">
              <w:rPr>
                <w:rFonts w:ascii="Arial" w:hAnsi="Arial" w:cs="Arial"/>
                <w:sz w:val="14"/>
                <w:szCs w:val="14"/>
              </w:rPr>
              <w:t>No</w:t>
            </w:r>
          </w:p>
        </w:tc>
        <w:tc>
          <w:tcPr>
            <w:tcW w:w="709" w:type="dxa"/>
            <w:vAlign w:val="center"/>
          </w:tcPr>
          <w:p w:rsidR="00DC2F53" w:rsidRPr="006F1D04" w:rsidRDefault="00DC2F53" w:rsidP="0072215E">
            <w:pPr>
              <w:spacing w:after="0" w:line="240" w:lineRule="auto"/>
              <w:jc w:val="center"/>
              <w:rPr>
                <w:rFonts w:ascii="Arial" w:hAnsi="Arial" w:cs="Arial"/>
                <w:sz w:val="14"/>
                <w:szCs w:val="14"/>
              </w:rPr>
            </w:pPr>
            <w:r w:rsidRPr="006F1D04">
              <w:rPr>
                <w:rFonts w:ascii="Arial" w:hAnsi="Arial" w:cs="Arial"/>
                <w:color w:val="000000"/>
                <w:sz w:val="14"/>
                <w:szCs w:val="14"/>
              </w:rPr>
              <w:sym w:font="Wingdings" w:char="F0FB"/>
            </w:r>
          </w:p>
        </w:tc>
        <w:tc>
          <w:tcPr>
            <w:tcW w:w="709" w:type="dxa"/>
            <w:vAlign w:val="center"/>
          </w:tcPr>
          <w:p w:rsidR="00DC2F53" w:rsidRPr="006F1D04" w:rsidRDefault="00DC2F53" w:rsidP="002861CF">
            <w:pPr>
              <w:spacing w:after="0" w:line="240" w:lineRule="auto"/>
              <w:jc w:val="center"/>
              <w:rPr>
                <w:rFonts w:ascii="Arial" w:hAnsi="Arial" w:cs="Arial"/>
                <w:sz w:val="14"/>
                <w:szCs w:val="14"/>
              </w:rPr>
            </w:pPr>
            <w:r w:rsidRPr="006F1D04">
              <w:rPr>
                <w:rFonts w:ascii="Arial" w:hAnsi="Arial" w:cs="Arial"/>
                <w:color w:val="000000"/>
                <w:sz w:val="14"/>
                <w:szCs w:val="14"/>
              </w:rPr>
              <w:sym w:font="Wingdings" w:char="F0FC"/>
            </w:r>
          </w:p>
        </w:tc>
        <w:tc>
          <w:tcPr>
            <w:tcW w:w="1559" w:type="dxa"/>
            <w:vAlign w:val="center"/>
          </w:tcPr>
          <w:p w:rsidR="00DC2F53" w:rsidRPr="006F1D04" w:rsidRDefault="00DC2F53" w:rsidP="00DC2F53">
            <w:pPr>
              <w:spacing w:after="0" w:line="240" w:lineRule="auto"/>
              <w:jc w:val="center"/>
              <w:rPr>
                <w:rFonts w:ascii="Arial" w:hAnsi="Arial" w:cs="Arial"/>
                <w:color w:val="000000"/>
                <w:sz w:val="14"/>
                <w:szCs w:val="14"/>
              </w:rPr>
            </w:pPr>
            <w:proofErr w:type="spellStart"/>
            <w:r w:rsidRPr="006F1D04">
              <w:rPr>
                <w:rFonts w:ascii="Arial" w:hAnsi="Arial" w:cs="Arial"/>
                <w:color w:val="000000"/>
                <w:sz w:val="14"/>
                <w:szCs w:val="14"/>
              </w:rPr>
              <w:t>Grav</w:t>
            </w:r>
            <w:proofErr w:type="spellEnd"/>
            <w:r w:rsidRPr="006F1D04">
              <w:rPr>
                <w:rFonts w:ascii="Arial" w:hAnsi="Arial" w:cs="Arial"/>
                <w:color w:val="000000"/>
                <w:sz w:val="14"/>
                <w:szCs w:val="14"/>
              </w:rPr>
              <w:t>. filter</w:t>
            </w:r>
          </w:p>
        </w:tc>
      </w:tr>
    </w:tbl>
    <w:p w:rsidR="00EE2B6F" w:rsidRPr="006F1D04" w:rsidRDefault="00EE2B6F" w:rsidP="00EE2B6F">
      <w:pPr>
        <w:spacing w:after="200" w:line="240" w:lineRule="auto"/>
        <w:rPr>
          <w:rFonts w:ascii="Arial" w:hAnsi="Arial" w:cs="Arial"/>
        </w:rPr>
      </w:pPr>
    </w:p>
    <w:p w:rsidR="0052102C" w:rsidRPr="006F1D04" w:rsidRDefault="0052102C" w:rsidP="0052102C">
      <w:pPr>
        <w:pStyle w:val="Caption"/>
        <w:rPr>
          <w:rFonts w:ascii="Arial" w:hAnsi="Arial" w:cs="Arial"/>
        </w:rPr>
      </w:pPr>
      <w:r w:rsidRPr="006F1D04">
        <w:rPr>
          <w:rFonts w:ascii="Arial" w:hAnsi="Arial" w:cs="Arial"/>
        </w:rPr>
        <w:t xml:space="preserve">Table </w:t>
      </w:r>
      <w:r w:rsidR="00236133" w:rsidRPr="006F1D04">
        <w:rPr>
          <w:rFonts w:ascii="Arial" w:hAnsi="Arial" w:cs="Arial"/>
        </w:rPr>
        <w:t>D.</w:t>
      </w:r>
      <w:r w:rsidR="00BF6019" w:rsidRPr="006F1D04">
        <w:rPr>
          <w:rFonts w:ascii="Arial" w:hAnsi="Arial" w:cs="Arial"/>
        </w:rPr>
        <w:fldChar w:fldCharType="begin"/>
      </w:r>
      <w:r w:rsidRPr="006F1D04">
        <w:rPr>
          <w:rFonts w:ascii="Arial" w:hAnsi="Arial" w:cs="Arial"/>
        </w:rPr>
        <w:instrText xml:space="preserve"> SEQ Table_Apx \* ARABIC \s 6 </w:instrText>
      </w:r>
      <w:r w:rsidR="00BF6019" w:rsidRPr="006F1D04">
        <w:rPr>
          <w:rFonts w:ascii="Arial" w:hAnsi="Arial" w:cs="Arial"/>
        </w:rPr>
        <w:fldChar w:fldCharType="separate"/>
      </w:r>
      <w:r w:rsidR="0085182E">
        <w:rPr>
          <w:rFonts w:ascii="Arial" w:hAnsi="Arial" w:cs="Arial"/>
          <w:noProof/>
        </w:rPr>
        <w:t>7</w:t>
      </w:r>
      <w:r w:rsidR="00BF6019" w:rsidRPr="006F1D04">
        <w:rPr>
          <w:rFonts w:ascii="Arial" w:hAnsi="Arial" w:cs="Arial"/>
        </w:rPr>
        <w:fldChar w:fldCharType="end"/>
      </w:r>
      <w:r w:rsidRPr="006F1D04">
        <w:rPr>
          <w:rFonts w:ascii="Arial" w:hAnsi="Arial" w:cs="Arial"/>
        </w:rPr>
        <w:t>: NT monitoring sites</w:t>
      </w:r>
    </w:p>
    <w:tbl>
      <w:tblPr>
        <w:tblW w:w="10898"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28" w:type="dxa"/>
          <w:right w:w="28" w:type="dxa"/>
        </w:tblCellMar>
        <w:tblLook w:val="04A0"/>
      </w:tblPr>
      <w:tblGrid>
        <w:gridCol w:w="786"/>
        <w:gridCol w:w="1559"/>
        <w:gridCol w:w="992"/>
        <w:gridCol w:w="709"/>
        <w:gridCol w:w="1272"/>
        <w:gridCol w:w="1563"/>
        <w:gridCol w:w="709"/>
        <w:gridCol w:w="850"/>
        <w:gridCol w:w="1041"/>
        <w:gridCol w:w="1417"/>
      </w:tblGrid>
      <w:tr w:rsidR="00074407" w:rsidRPr="006F1D04" w:rsidTr="00074407">
        <w:trPr>
          <w:trHeight w:val="492"/>
          <w:jc w:val="center"/>
        </w:trPr>
        <w:tc>
          <w:tcPr>
            <w:tcW w:w="786" w:type="dxa"/>
            <w:shd w:val="clear" w:color="auto" w:fill="0070C0"/>
            <w:noWrap/>
            <w:vAlign w:val="center"/>
          </w:tcPr>
          <w:p w:rsidR="00074407" w:rsidRPr="006F1D04" w:rsidRDefault="00074407" w:rsidP="00264CC3">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Site code</w:t>
            </w:r>
          </w:p>
        </w:tc>
        <w:tc>
          <w:tcPr>
            <w:tcW w:w="1559" w:type="dxa"/>
            <w:shd w:val="clear" w:color="auto" w:fill="0070C0"/>
            <w:noWrap/>
            <w:vAlign w:val="center"/>
          </w:tcPr>
          <w:p w:rsidR="00074407" w:rsidRPr="006F1D04" w:rsidRDefault="00074407" w:rsidP="00264CC3">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Organisation</w:t>
            </w:r>
          </w:p>
        </w:tc>
        <w:tc>
          <w:tcPr>
            <w:tcW w:w="992" w:type="dxa"/>
            <w:shd w:val="clear" w:color="auto" w:fill="0070C0"/>
            <w:noWrap/>
            <w:vAlign w:val="center"/>
          </w:tcPr>
          <w:p w:rsidR="00074407" w:rsidRPr="006F1D04" w:rsidRDefault="00074407" w:rsidP="00264CC3">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Site name</w:t>
            </w:r>
          </w:p>
        </w:tc>
        <w:tc>
          <w:tcPr>
            <w:tcW w:w="709" w:type="dxa"/>
            <w:shd w:val="clear" w:color="auto" w:fill="0070C0"/>
            <w:noWrap/>
            <w:vAlign w:val="center"/>
          </w:tcPr>
          <w:p w:rsidR="00074407" w:rsidRPr="006F1D04" w:rsidRDefault="00074407" w:rsidP="00264CC3">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Region</w:t>
            </w:r>
          </w:p>
        </w:tc>
        <w:tc>
          <w:tcPr>
            <w:tcW w:w="1272" w:type="dxa"/>
            <w:shd w:val="clear" w:color="auto" w:fill="0070C0"/>
            <w:noWrap/>
            <w:vAlign w:val="center"/>
          </w:tcPr>
          <w:p w:rsidR="00074407" w:rsidRPr="006F1D04" w:rsidRDefault="00074407" w:rsidP="00264CC3">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Site description</w:t>
            </w:r>
          </w:p>
        </w:tc>
        <w:tc>
          <w:tcPr>
            <w:tcW w:w="1563" w:type="dxa"/>
            <w:shd w:val="clear" w:color="auto" w:fill="0070C0"/>
            <w:noWrap/>
            <w:vAlign w:val="center"/>
          </w:tcPr>
          <w:p w:rsidR="00074407" w:rsidRPr="006F1D04" w:rsidRDefault="00074407" w:rsidP="00264CC3">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Purpose</w:t>
            </w:r>
          </w:p>
        </w:tc>
        <w:tc>
          <w:tcPr>
            <w:tcW w:w="709" w:type="dxa"/>
            <w:shd w:val="clear" w:color="auto" w:fill="0070C0"/>
            <w:noWrap/>
            <w:vAlign w:val="center"/>
          </w:tcPr>
          <w:p w:rsidR="00074407" w:rsidRPr="006F1D04" w:rsidRDefault="00074407" w:rsidP="0072215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GRUB</w:t>
            </w:r>
          </w:p>
        </w:tc>
        <w:tc>
          <w:tcPr>
            <w:tcW w:w="850" w:type="dxa"/>
            <w:shd w:val="clear" w:color="auto" w:fill="0070C0"/>
            <w:vAlign w:val="center"/>
          </w:tcPr>
          <w:p w:rsidR="00074407" w:rsidRPr="006F1D04" w:rsidRDefault="00074407" w:rsidP="00612FEC">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PM</w:t>
            </w:r>
            <w:r w:rsidRPr="006F1D04">
              <w:rPr>
                <w:rFonts w:ascii="Arial" w:hAnsi="Arial" w:cs="Arial"/>
                <w:b/>
                <w:bCs/>
                <w:color w:val="FFFFFF"/>
                <w:sz w:val="14"/>
                <w:szCs w:val="14"/>
                <w:vertAlign w:val="subscript"/>
              </w:rPr>
              <w:t>10</w:t>
            </w:r>
          </w:p>
        </w:tc>
        <w:tc>
          <w:tcPr>
            <w:tcW w:w="1041" w:type="dxa"/>
            <w:shd w:val="clear" w:color="auto" w:fill="0070C0"/>
            <w:vAlign w:val="center"/>
          </w:tcPr>
          <w:p w:rsidR="00074407" w:rsidRPr="006F1D04" w:rsidRDefault="00074407" w:rsidP="0007440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PM</w:t>
            </w:r>
            <w:r w:rsidRPr="006F1D04">
              <w:rPr>
                <w:rFonts w:ascii="Arial" w:hAnsi="Arial" w:cs="Arial"/>
                <w:b/>
                <w:bCs/>
                <w:color w:val="FFFFFF"/>
                <w:sz w:val="14"/>
                <w:szCs w:val="14"/>
                <w:vertAlign w:val="subscript"/>
              </w:rPr>
              <w:t>2.5</w:t>
            </w:r>
          </w:p>
        </w:tc>
        <w:tc>
          <w:tcPr>
            <w:tcW w:w="1417" w:type="dxa"/>
            <w:shd w:val="clear" w:color="auto" w:fill="0070C0"/>
            <w:vAlign w:val="center"/>
          </w:tcPr>
          <w:p w:rsidR="00074407" w:rsidRPr="006F1D04" w:rsidRDefault="00074407" w:rsidP="0007440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Instrument(s)</w:t>
            </w:r>
          </w:p>
        </w:tc>
      </w:tr>
      <w:tr w:rsidR="00DC2F53" w:rsidRPr="006F1D04" w:rsidTr="009C12C8">
        <w:trPr>
          <w:trHeight w:val="255"/>
          <w:jc w:val="center"/>
        </w:trPr>
        <w:tc>
          <w:tcPr>
            <w:tcW w:w="786" w:type="dxa"/>
            <w:tcBorders>
              <w:bottom w:val="dotted" w:sz="4" w:space="0" w:color="0070C0"/>
            </w:tcBorders>
            <w:shd w:val="clear" w:color="auto" w:fill="auto"/>
            <w:noWrap/>
            <w:vAlign w:val="center"/>
          </w:tcPr>
          <w:p w:rsidR="00DC2F53" w:rsidRPr="006F1D04" w:rsidRDefault="00DC2F53" w:rsidP="00264CC3">
            <w:pPr>
              <w:spacing w:after="0" w:line="240" w:lineRule="auto"/>
              <w:jc w:val="center"/>
              <w:rPr>
                <w:rFonts w:ascii="Arial" w:hAnsi="Arial" w:cs="Arial"/>
                <w:color w:val="000000"/>
                <w:sz w:val="14"/>
                <w:szCs w:val="14"/>
              </w:rPr>
            </w:pPr>
            <w:r w:rsidRPr="006F1D04">
              <w:rPr>
                <w:rFonts w:ascii="Arial" w:hAnsi="Arial" w:cs="Arial"/>
                <w:color w:val="000000"/>
                <w:sz w:val="14"/>
                <w:szCs w:val="14"/>
              </w:rPr>
              <w:t>NT_E01</w:t>
            </w:r>
          </w:p>
        </w:tc>
        <w:tc>
          <w:tcPr>
            <w:tcW w:w="1559" w:type="dxa"/>
            <w:tcBorders>
              <w:bottom w:val="dotted" w:sz="4" w:space="0" w:color="0070C0"/>
            </w:tcBorders>
            <w:shd w:val="clear" w:color="auto" w:fill="auto"/>
            <w:noWrap/>
            <w:vAlign w:val="center"/>
          </w:tcPr>
          <w:p w:rsidR="00DC2F53" w:rsidRPr="006F1D04" w:rsidRDefault="00DC2F53" w:rsidP="00264CC3">
            <w:pPr>
              <w:spacing w:after="0" w:line="240" w:lineRule="auto"/>
              <w:jc w:val="center"/>
              <w:rPr>
                <w:rFonts w:ascii="Arial" w:hAnsi="Arial" w:cs="Arial"/>
                <w:color w:val="000000"/>
                <w:sz w:val="14"/>
                <w:szCs w:val="14"/>
              </w:rPr>
            </w:pPr>
            <w:r w:rsidRPr="006F1D04">
              <w:rPr>
                <w:rFonts w:ascii="Arial" w:hAnsi="Arial" w:cs="Arial"/>
                <w:color w:val="000000"/>
                <w:sz w:val="14"/>
                <w:szCs w:val="14"/>
              </w:rPr>
              <w:t>Charles Darwin Uni.</w:t>
            </w:r>
          </w:p>
        </w:tc>
        <w:tc>
          <w:tcPr>
            <w:tcW w:w="992" w:type="dxa"/>
            <w:tcBorders>
              <w:bottom w:val="dotted" w:sz="4" w:space="0" w:color="0070C0"/>
            </w:tcBorders>
            <w:shd w:val="clear" w:color="auto" w:fill="auto"/>
            <w:noWrap/>
            <w:vAlign w:val="center"/>
          </w:tcPr>
          <w:p w:rsidR="00DC2F53" w:rsidRPr="006F1D04" w:rsidRDefault="00DC2F53" w:rsidP="00264CC3">
            <w:pPr>
              <w:spacing w:after="0" w:line="240" w:lineRule="auto"/>
              <w:jc w:val="center"/>
              <w:rPr>
                <w:rFonts w:ascii="Arial" w:hAnsi="Arial" w:cs="Arial"/>
                <w:color w:val="000000"/>
                <w:sz w:val="14"/>
                <w:szCs w:val="14"/>
              </w:rPr>
            </w:pPr>
            <w:r w:rsidRPr="006F1D04">
              <w:rPr>
                <w:rFonts w:ascii="Arial" w:hAnsi="Arial" w:cs="Arial"/>
                <w:color w:val="000000"/>
                <w:sz w:val="14"/>
                <w:szCs w:val="14"/>
              </w:rPr>
              <w:t>Casuarina</w:t>
            </w:r>
          </w:p>
        </w:tc>
        <w:tc>
          <w:tcPr>
            <w:tcW w:w="709" w:type="dxa"/>
            <w:tcBorders>
              <w:bottom w:val="dotted" w:sz="4" w:space="0" w:color="0070C0"/>
            </w:tcBorders>
            <w:shd w:val="clear" w:color="auto" w:fill="auto"/>
            <w:noWrap/>
            <w:vAlign w:val="center"/>
          </w:tcPr>
          <w:p w:rsidR="00DC2F53" w:rsidRPr="006F1D04" w:rsidRDefault="00DC2F53" w:rsidP="00264CC3">
            <w:pPr>
              <w:spacing w:after="0" w:line="240" w:lineRule="auto"/>
              <w:jc w:val="center"/>
              <w:rPr>
                <w:rFonts w:ascii="Arial" w:hAnsi="Arial" w:cs="Arial"/>
                <w:color w:val="000000"/>
                <w:sz w:val="14"/>
                <w:szCs w:val="14"/>
              </w:rPr>
            </w:pPr>
            <w:r w:rsidRPr="006F1D04">
              <w:rPr>
                <w:rFonts w:ascii="Arial" w:hAnsi="Arial" w:cs="Arial"/>
                <w:color w:val="000000"/>
                <w:sz w:val="14"/>
                <w:szCs w:val="14"/>
              </w:rPr>
              <w:t>Darwin</w:t>
            </w:r>
          </w:p>
        </w:tc>
        <w:tc>
          <w:tcPr>
            <w:tcW w:w="1272" w:type="dxa"/>
            <w:tcBorders>
              <w:bottom w:val="dotted" w:sz="4" w:space="0" w:color="0070C0"/>
            </w:tcBorders>
            <w:shd w:val="clear" w:color="auto" w:fill="auto"/>
            <w:noWrap/>
            <w:vAlign w:val="center"/>
          </w:tcPr>
          <w:p w:rsidR="00DC2F53" w:rsidRPr="006F1D04" w:rsidRDefault="00DC2F53" w:rsidP="00264CC3">
            <w:pPr>
              <w:spacing w:after="0" w:line="240" w:lineRule="auto"/>
              <w:jc w:val="center"/>
              <w:rPr>
                <w:rFonts w:ascii="Arial" w:hAnsi="Arial" w:cs="Arial"/>
                <w:color w:val="000000"/>
                <w:sz w:val="14"/>
                <w:szCs w:val="14"/>
              </w:rPr>
            </w:pPr>
            <w:r w:rsidRPr="006F1D04">
              <w:rPr>
                <w:rFonts w:ascii="Arial" w:hAnsi="Arial" w:cs="Arial"/>
                <w:color w:val="000000"/>
                <w:sz w:val="14"/>
                <w:szCs w:val="14"/>
              </w:rPr>
              <w:t>Residential/light industrial</w:t>
            </w:r>
          </w:p>
        </w:tc>
        <w:tc>
          <w:tcPr>
            <w:tcW w:w="1563" w:type="dxa"/>
            <w:tcBorders>
              <w:bottom w:val="dotted" w:sz="4" w:space="0" w:color="0070C0"/>
            </w:tcBorders>
            <w:shd w:val="clear" w:color="auto" w:fill="auto"/>
            <w:noWrap/>
            <w:vAlign w:val="center"/>
          </w:tcPr>
          <w:p w:rsidR="00DC2F53" w:rsidRPr="006F1D04" w:rsidRDefault="00DC2F53" w:rsidP="0072215E">
            <w:pPr>
              <w:spacing w:after="0" w:line="240" w:lineRule="auto"/>
              <w:jc w:val="center"/>
              <w:rPr>
                <w:rFonts w:ascii="Arial" w:hAnsi="Arial" w:cs="Arial"/>
                <w:sz w:val="14"/>
                <w:szCs w:val="14"/>
              </w:rPr>
            </w:pPr>
            <w:r w:rsidRPr="006F1D04">
              <w:rPr>
                <w:rFonts w:ascii="Arial" w:hAnsi="Arial" w:cs="Arial"/>
                <w:sz w:val="14"/>
                <w:szCs w:val="14"/>
              </w:rPr>
              <w:t>Performance</w:t>
            </w:r>
            <w:r w:rsidR="00B63885" w:rsidRPr="006F1D04">
              <w:rPr>
                <w:rFonts w:ascii="Arial" w:hAnsi="Arial" w:cs="Arial"/>
                <w:sz w:val="14"/>
                <w:szCs w:val="14"/>
              </w:rPr>
              <w:t>:</w:t>
            </w:r>
            <w:r w:rsidRPr="006F1D04">
              <w:rPr>
                <w:rFonts w:ascii="Arial" w:hAnsi="Arial" w:cs="Arial"/>
                <w:sz w:val="14"/>
                <w:szCs w:val="14"/>
              </w:rPr>
              <w:t xml:space="preserve"> </w:t>
            </w:r>
            <w:r w:rsidR="00B63885" w:rsidRPr="006F1D04">
              <w:rPr>
                <w:rFonts w:ascii="Arial" w:hAnsi="Arial" w:cs="Arial"/>
                <w:sz w:val="14"/>
                <w:szCs w:val="14"/>
              </w:rPr>
              <w:t>p</w:t>
            </w:r>
            <w:r w:rsidRPr="006F1D04">
              <w:rPr>
                <w:rFonts w:ascii="Arial" w:hAnsi="Arial" w:cs="Arial"/>
                <w:sz w:val="14"/>
                <w:szCs w:val="14"/>
              </w:rPr>
              <w:t>opulation average</w:t>
            </w:r>
          </w:p>
        </w:tc>
        <w:tc>
          <w:tcPr>
            <w:tcW w:w="709" w:type="dxa"/>
            <w:tcBorders>
              <w:bottom w:val="dotted" w:sz="4" w:space="0" w:color="0070C0"/>
            </w:tcBorders>
            <w:shd w:val="clear" w:color="auto" w:fill="auto"/>
            <w:noWrap/>
            <w:vAlign w:val="center"/>
          </w:tcPr>
          <w:p w:rsidR="00DC2F53" w:rsidRPr="006F1D04" w:rsidRDefault="00DC2F53" w:rsidP="00264CC3">
            <w:pPr>
              <w:spacing w:after="0" w:line="240" w:lineRule="auto"/>
              <w:jc w:val="center"/>
              <w:rPr>
                <w:rFonts w:ascii="Arial" w:hAnsi="Arial" w:cs="Arial"/>
                <w:sz w:val="14"/>
                <w:szCs w:val="14"/>
              </w:rPr>
            </w:pPr>
          </w:p>
        </w:tc>
        <w:tc>
          <w:tcPr>
            <w:tcW w:w="850" w:type="dxa"/>
            <w:tcBorders>
              <w:bottom w:val="dotted" w:sz="4" w:space="0" w:color="0070C0"/>
            </w:tcBorders>
            <w:shd w:val="clear" w:color="auto" w:fill="auto"/>
            <w:vAlign w:val="center"/>
          </w:tcPr>
          <w:p w:rsidR="00DC2F53" w:rsidRPr="006F1D04" w:rsidRDefault="00DC2F53" w:rsidP="00612FEC">
            <w:pPr>
              <w:spacing w:after="0" w:line="240" w:lineRule="auto"/>
              <w:jc w:val="center"/>
              <w:rPr>
                <w:rFonts w:ascii="Arial" w:hAnsi="Arial" w:cs="Arial"/>
                <w:bCs/>
                <w:sz w:val="14"/>
                <w:szCs w:val="14"/>
              </w:rPr>
            </w:pPr>
            <w:r w:rsidRPr="006F1D04">
              <w:rPr>
                <w:rFonts w:ascii="Arial" w:hAnsi="Arial" w:cs="Arial"/>
                <w:color w:val="000000"/>
                <w:sz w:val="14"/>
                <w:szCs w:val="14"/>
              </w:rPr>
              <w:sym w:font="Wingdings" w:char="F0FC"/>
            </w:r>
          </w:p>
        </w:tc>
        <w:tc>
          <w:tcPr>
            <w:tcW w:w="1041" w:type="dxa"/>
            <w:tcBorders>
              <w:bottom w:val="dotted" w:sz="4" w:space="0" w:color="0070C0"/>
            </w:tcBorders>
            <w:vAlign w:val="center"/>
          </w:tcPr>
          <w:p w:rsidR="00DC2F53" w:rsidRPr="006F1D04" w:rsidRDefault="00DC2F53" w:rsidP="00612FEC">
            <w:pPr>
              <w:spacing w:after="0" w:line="240" w:lineRule="auto"/>
              <w:jc w:val="center"/>
              <w:rPr>
                <w:rFonts w:ascii="Arial" w:hAnsi="Arial" w:cs="Arial"/>
                <w:bCs/>
                <w:sz w:val="14"/>
                <w:szCs w:val="14"/>
              </w:rPr>
            </w:pPr>
            <w:r w:rsidRPr="006F1D04">
              <w:rPr>
                <w:rFonts w:ascii="Arial" w:hAnsi="Arial" w:cs="Arial"/>
                <w:color w:val="000000"/>
                <w:sz w:val="14"/>
                <w:szCs w:val="14"/>
              </w:rPr>
              <w:sym w:font="Wingdings" w:char="F0FC"/>
            </w:r>
          </w:p>
        </w:tc>
        <w:tc>
          <w:tcPr>
            <w:tcW w:w="1417" w:type="dxa"/>
            <w:tcBorders>
              <w:bottom w:val="dotted" w:sz="4" w:space="0" w:color="0070C0"/>
            </w:tcBorders>
            <w:vAlign w:val="center"/>
          </w:tcPr>
          <w:p w:rsidR="00DC2F53" w:rsidRPr="006F1D04" w:rsidRDefault="008A7B43" w:rsidP="00DC2F53">
            <w:pPr>
              <w:spacing w:after="0" w:line="240" w:lineRule="auto"/>
              <w:jc w:val="center"/>
              <w:rPr>
                <w:rFonts w:ascii="Arial" w:hAnsi="Arial" w:cs="Arial"/>
                <w:color w:val="000000"/>
                <w:sz w:val="14"/>
                <w:szCs w:val="14"/>
              </w:rPr>
            </w:pPr>
            <w:proofErr w:type="spellStart"/>
            <w:r w:rsidRPr="006F1D04">
              <w:rPr>
                <w:rFonts w:ascii="Arial" w:hAnsi="Arial" w:cs="Arial"/>
                <w:color w:val="000000"/>
                <w:sz w:val="14"/>
                <w:szCs w:val="14"/>
              </w:rPr>
              <w:t>Partisol</w:t>
            </w:r>
            <w:proofErr w:type="spellEnd"/>
            <w:r w:rsidR="00DC2F53" w:rsidRPr="006F1D04">
              <w:rPr>
                <w:rFonts w:ascii="Arial" w:hAnsi="Arial" w:cs="Arial"/>
                <w:color w:val="000000"/>
                <w:sz w:val="14"/>
                <w:szCs w:val="14"/>
              </w:rPr>
              <w:t>/TEOM</w:t>
            </w:r>
          </w:p>
        </w:tc>
      </w:tr>
      <w:tr w:rsidR="00DC2F53" w:rsidRPr="006F1D04" w:rsidTr="00DC2F53">
        <w:trPr>
          <w:trHeight w:val="353"/>
          <w:jc w:val="center"/>
        </w:trPr>
        <w:tc>
          <w:tcPr>
            <w:tcW w:w="786" w:type="dxa"/>
            <w:tcBorders>
              <w:top w:val="dotted" w:sz="4" w:space="0" w:color="0070C0"/>
            </w:tcBorders>
            <w:shd w:val="clear" w:color="auto" w:fill="auto"/>
            <w:noWrap/>
            <w:vAlign w:val="center"/>
          </w:tcPr>
          <w:p w:rsidR="00DC2F53" w:rsidRPr="006F1D04" w:rsidRDefault="00DC2F53" w:rsidP="00264CC3">
            <w:pPr>
              <w:spacing w:after="0" w:line="240" w:lineRule="auto"/>
              <w:jc w:val="center"/>
              <w:rPr>
                <w:rFonts w:ascii="Arial" w:hAnsi="Arial" w:cs="Arial"/>
                <w:sz w:val="14"/>
                <w:szCs w:val="14"/>
              </w:rPr>
            </w:pPr>
            <w:r w:rsidRPr="006F1D04">
              <w:rPr>
                <w:rFonts w:ascii="Arial" w:hAnsi="Arial" w:cs="Arial"/>
                <w:sz w:val="14"/>
                <w:szCs w:val="14"/>
              </w:rPr>
              <w:t>NT_E02</w:t>
            </w:r>
          </w:p>
        </w:tc>
        <w:tc>
          <w:tcPr>
            <w:tcW w:w="1559" w:type="dxa"/>
            <w:tcBorders>
              <w:top w:val="dotted" w:sz="4" w:space="0" w:color="0070C0"/>
            </w:tcBorders>
            <w:shd w:val="clear" w:color="auto" w:fill="auto"/>
            <w:noWrap/>
            <w:vAlign w:val="center"/>
          </w:tcPr>
          <w:p w:rsidR="00DC2F53" w:rsidRPr="006F1D04" w:rsidRDefault="00DC2F53" w:rsidP="00264CC3">
            <w:pPr>
              <w:spacing w:after="0" w:line="240" w:lineRule="auto"/>
              <w:jc w:val="center"/>
              <w:rPr>
                <w:rFonts w:ascii="Arial" w:hAnsi="Arial" w:cs="Arial"/>
                <w:sz w:val="14"/>
                <w:szCs w:val="14"/>
              </w:rPr>
            </w:pPr>
            <w:r w:rsidRPr="006F1D04">
              <w:rPr>
                <w:rFonts w:ascii="Arial" w:hAnsi="Arial" w:cs="Arial"/>
                <w:sz w:val="14"/>
                <w:szCs w:val="14"/>
              </w:rPr>
              <w:t>NT Government</w:t>
            </w:r>
          </w:p>
        </w:tc>
        <w:tc>
          <w:tcPr>
            <w:tcW w:w="992" w:type="dxa"/>
            <w:tcBorders>
              <w:top w:val="dotted" w:sz="4" w:space="0" w:color="0070C0"/>
            </w:tcBorders>
            <w:shd w:val="clear" w:color="auto" w:fill="auto"/>
            <w:noWrap/>
            <w:vAlign w:val="center"/>
          </w:tcPr>
          <w:p w:rsidR="00DC2F53" w:rsidRPr="006F1D04" w:rsidRDefault="00DC2F53" w:rsidP="00264CC3">
            <w:pPr>
              <w:spacing w:after="0" w:line="240" w:lineRule="auto"/>
              <w:jc w:val="center"/>
              <w:rPr>
                <w:rFonts w:ascii="Arial" w:hAnsi="Arial" w:cs="Arial"/>
                <w:sz w:val="14"/>
                <w:szCs w:val="14"/>
              </w:rPr>
            </w:pPr>
            <w:r w:rsidRPr="006F1D04">
              <w:rPr>
                <w:rFonts w:ascii="Arial" w:hAnsi="Arial" w:cs="Arial"/>
                <w:sz w:val="14"/>
                <w:szCs w:val="14"/>
              </w:rPr>
              <w:t>Palmerston</w:t>
            </w:r>
          </w:p>
        </w:tc>
        <w:tc>
          <w:tcPr>
            <w:tcW w:w="709" w:type="dxa"/>
            <w:tcBorders>
              <w:top w:val="dotted" w:sz="4" w:space="0" w:color="0070C0"/>
            </w:tcBorders>
            <w:shd w:val="clear" w:color="auto" w:fill="auto"/>
            <w:noWrap/>
            <w:vAlign w:val="center"/>
          </w:tcPr>
          <w:p w:rsidR="00DC2F53" w:rsidRPr="006F1D04" w:rsidRDefault="00DC2F53" w:rsidP="00264CC3">
            <w:pPr>
              <w:spacing w:after="0" w:line="240" w:lineRule="auto"/>
              <w:jc w:val="center"/>
              <w:rPr>
                <w:rFonts w:ascii="Arial" w:hAnsi="Arial" w:cs="Arial"/>
                <w:sz w:val="14"/>
                <w:szCs w:val="14"/>
              </w:rPr>
            </w:pPr>
            <w:r w:rsidRPr="006F1D04">
              <w:rPr>
                <w:rFonts w:ascii="Arial" w:hAnsi="Arial" w:cs="Arial"/>
                <w:sz w:val="14"/>
                <w:szCs w:val="14"/>
              </w:rPr>
              <w:t>Darwin</w:t>
            </w:r>
          </w:p>
        </w:tc>
        <w:tc>
          <w:tcPr>
            <w:tcW w:w="1272" w:type="dxa"/>
            <w:tcBorders>
              <w:top w:val="dotted" w:sz="4" w:space="0" w:color="0070C0"/>
            </w:tcBorders>
            <w:shd w:val="clear" w:color="auto" w:fill="auto"/>
            <w:noWrap/>
            <w:vAlign w:val="center"/>
          </w:tcPr>
          <w:p w:rsidR="00DC2F53" w:rsidRPr="006F1D04" w:rsidRDefault="00DC2F53" w:rsidP="00264CC3">
            <w:pPr>
              <w:spacing w:after="0" w:line="240" w:lineRule="auto"/>
              <w:jc w:val="center"/>
              <w:rPr>
                <w:rFonts w:ascii="Arial" w:hAnsi="Arial" w:cs="Arial"/>
                <w:sz w:val="14"/>
                <w:szCs w:val="14"/>
              </w:rPr>
            </w:pPr>
          </w:p>
        </w:tc>
        <w:tc>
          <w:tcPr>
            <w:tcW w:w="1563" w:type="dxa"/>
            <w:tcBorders>
              <w:top w:val="dotted" w:sz="4" w:space="0" w:color="0070C0"/>
            </w:tcBorders>
            <w:shd w:val="clear" w:color="auto" w:fill="auto"/>
            <w:noWrap/>
            <w:vAlign w:val="center"/>
          </w:tcPr>
          <w:p w:rsidR="00DC2F53" w:rsidRPr="006F1D04" w:rsidRDefault="00DC2F53" w:rsidP="0072215E">
            <w:pPr>
              <w:spacing w:after="0" w:line="240" w:lineRule="auto"/>
              <w:jc w:val="center"/>
              <w:rPr>
                <w:rFonts w:ascii="Arial" w:hAnsi="Arial" w:cs="Arial"/>
                <w:sz w:val="14"/>
                <w:szCs w:val="14"/>
              </w:rPr>
            </w:pPr>
            <w:r w:rsidRPr="006F1D04">
              <w:rPr>
                <w:rFonts w:ascii="Arial" w:hAnsi="Arial" w:cs="Arial"/>
                <w:sz w:val="14"/>
                <w:szCs w:val="14"/>
              </w:rPr>
              <w:t>Population average</w:t>
            </w:r>
          </w:p>
        </w:tc>
        <w:tc>
          <w:tcPr>
            <w:tcW w:w="709" w:type="dxa"/>
            <w:tcBorders>
              <w:top w:val="dotted" w:sz="4" w:space="0" w:color="0070C0"/>
            </w:tcBorders>
            <w:shd w:val="clear" w:color="auto" w:fill="auto"/>
            <w:noWrap/>
            <w:vAlign w:val="center"/>
          </w:tcPr>
          <w:p w:rsidR="00DC2F53" w:rsidRPr="006F1D04" w:rsidRDefault="00DC2F53" w:rsidP="00264CC3">
            <w:pPr>
              <w:spacing w:after="0" w:line="240" w:lineRule="auto"/>
              <w:jc w:val="center"/>
              <w:rPr>
                <w:rFonts w:ascii="Arial" w:hAnsi="Arial" w:cs="Arial"/>
                <w:sz w:val="14"/>
                <w:szCs w:val="14"/>
              </w:rPr>
            </w:pPr>
          </w:p>
        </w:tc>
        <w:tc>
          <w:tcPr>
            <w:tcW w:w="850" w:type="dxa"/>
            <w:tcBorders>
              <w:top w:val="dotted" w:sz="4" w:space="0" w:color="0070C0"/>
            </w:tcBorders>
            <w:shd w:val="clear" w:color="auto" w:fill="auto"/>
            <w:vAlign w:val="center"/>
          </w:tcPr>
          <w:p w:rsidR="00DC2F53" w:rsidRPr="006F1D04" w:rsidRDefault="00DC2F53" w:rsidP="00612FEC">
            <w:pPr>
              <w:spacing w:after="0" w:line="240" w:lineRule="auto"/>
              <w:jc w:val="center"/>
              <w:rPr>
                <w:rFonts w:ascii="Arial" w:hAnsi="Arial" w:cs="Arial"/>
                <w:sz w:val="14"/>
                <w:szCs w:val="14"/>
              </w:rPr>
            </w:pPr>
            <w:r w:rsidRPr="006F1D04">
              <w:rPr>
                <w:rFonts w:ascii="Arial" w:hAnsi="Arial" w:cs="Arial"/>
                <w:color w:val="000000"/>
                <w:sz w:val="14"/>
                <w:szCs w:val="14"/>
              </w:rPr>
              <w:sym w:font="Wingdings" w:char="F0FC"/>
            </w:r>
          </w:p>
        </w:tc>
        <w:tc>
          <w:tcPr>
            <w:tcW w:w="1041" w:type="dxa"/>
            <w:tcBorders>
              <w:top w:val="dotted" w:sz="4" w:space="0" w:color="0070C0"/>
            </w:tcBorders>
            <w:vAlign w:val="center"/>
          </w:tcPr>
          <w:p w:rsidR="00DC2F53" w:rsidRPr="006F1D04" w:rsidRDefault="00DC2F53" w:rsidP="00612FEC">
            <w:pPr>
              <w:spacing w:after="0" w:line="240" w:lineRule="auto"/>
              <w:jc w:val="center"/>
              <w:rPr>
                <w:rFonts w:ascii="Arial" w:hAnsi="Arial" w:cs="Arial"/>
                <w:sz w:val="14"/>
                <w:szCs w:val="14"/>
              </w:rPr>
            </w:pPr>
            <w:r w:rsidRPr="006F1D04">
              <w:rPr>
                <w:rFonts w:ascii="Arial" w:hAnsi="Arial" w:cs="Arial"/>
                <w:color w:val="000000"/>
                <w:sz w:val="14"/>
                <w:szCs w:val="14"/>
              </w:rPr>
              <w:sym w:font="Wingdings" w:char="F0FC"/>
            </w:r>
          </w:p>
        </w:tc>
        <w:tc>
          <w:tcPr>
            <w:tcW w:w="1417" w:type="dxa"/>
            <w:tcBorders>
              <w:top w:val="dotted" w:sz="4" w:space="0" w:color="0070C0"/>
            </w:tcBorders>
            <w:vAlign w:val="center"/>
          </w:tcPr>
          <w:p w:rsidR="00DC2F53" w:rsidRPr="006F1D04" w:rsidRDefault="00DC2F5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TEOM</w:t>
            </w:r>
          </w:p>
        </w:tc>
      </w:tr>
    </w:tbl>
    <w:p w:rsidR="00264CC3" w:rsidRPr="006F1D04" w:rsidRDefault="00264CC3">
      <w:pPr>
        <w:spacing w:after="200" w:line="240" w:lineRule="auto"/>
        <w:rPr>
          <w:rFonts w:ascii="Arial" w:hAnsi="Arial" w:cs="Arial"/>
        </w:rPr>
      </w:pPr>
    </w:p>
    <w:p w:rsidR="0052102C" w:rsidRPr="006F1D04" w:rsidRDefault="0052102C">
      <w:pPr>
        <w:spacing w:after="200" w:line="240" w:lineRule="auto"/>
        <w:rPr>
          <w:rFonts w:ascii="Arial" w:hAnsi="Arial" w:cs="Arial"/>
        </w:rPr>
      </w:pPr>
    </w:p>
    <w:p w:rsidR="0052102C" w:rsidRPr="006F1D04" w:rsidRDefault="0052102C" w:rsidP="0052102C">
      <w:pPr>
        <w:pStyle w:val="Caption"/>
        <w:rPr>
          <w:rFonts w:ascii="Arial" w:hAnsi="Arial" w:cs="Arial"/>
        </w:rPr>
      </w:pPr>
      <w:r w:rsidRPr="006F1D04">
        <w:rPr>
          <w:rFonts w:ascii="Arial" w:hAnsi="Arial" w:cs="Arial"/>
        </w:rPr>
        <w:lastRenderedPageBreak/>
        <w:t xml:space="preserve">Table </w:t>
      </w:r>
      <w:r w:rsidR="00236133" w:rsidRPr="006F1D04">
        <w:rPr>
          <w:rFonts w:ascii="Arial" w:hAnsi="Arial" w:cs="Arial"/>
        </w:rPr>
        <w:t>D.</w:t>
      </w:r>
      <w:r w:rsidR="00BF6019" w:rsidRPr="006F1D04">
        <w:rPr>
          <w:rFonts w:ascii="Arial" w:hAnsi="Arial" w:cs="Arial"/>
        </w:rPr>
        <w:fldChar w:fldCharType="begin"/>
      </w:r>
      <w:r w:rsidRPr="006F1D04">
        <w:rPr>
          <w:rFonts w:ascii="Arial" w:hAnsi="Arial" w:cs="Arial"/>
        </w:rPr>
        <w:instrText xml:space="preserve"> SEQ Table_Apx \* ARABIC \s 6 </w:instrText>
      </w:r>
      <w:r w:rsidR="00BF6019" w:rsidRPr="006F1D04">
        <w:rPr>
          <w:rFonts w:ascii="Arial" w:hAnsi="Arial" w:cs="Arial"/>
        </w:rPr>
        <w:fldChar w:fldCharType="separate"/>
      </w:r>
      <w:r w:rsidR="0085182E">
        <w:rPr>
          <w:rFonts w:ascii="Arial" w:hAnsi="Arial" w:cs="Arial"/>
          <w:noProof/>
        </w:rPr>
        <w:t>8</w:t>
      </w:r>
      <w:r w:rsidR="00BF6019" w:rsidRPr="006F1D04">
        <w:rPr>
          <w:rFonts w:ascii="Arial" w:hAnsi="Arial" w:cs="Arial"/>
        </w:rPr>
        <w:fldChar w:fldCharType="end"/>
      </w:r>
      <w:r w:rsidRPr="006F1D04">
        <w:rPr>
          <w:rFonts w:ascii="Arial" w:hAnsi="Arial" w:cs="Arial"/>
        </w:rPr>
        <w:t>: ACT monitoring sites</w:t>
      </w:r>
    </w:p>
    <w:tbl>
      <w:tblPr>
        <w:tblW w:w="11501"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28" w:type="dxa"/>
          <w:right w:w="28" w:type="dxa"/>
        </w:tblCellMar>
        <w:tblLook w:val="04A0"/>
      </w:tblPr>
      <w:tblGrid>
        <w:gridCol w:w="1099"/>
        <w:gridCol w:w="1883"/>
        <w:gridCol w:w="992"/>
        <w:gridCol w:w="952"/>
        <w:gridCol w:w="1559"/>
        <w:gridCol w:w="1134"/>
        <w:gridCol w:w="851"/>
        <w:gridCol w:w="570"/>
        <w:gridCol w:w="772"/>
        <w:gridCol w:w="1689"/>
      </w:tblGrid>
      <w:tr w:rsidR="00074407" w:rsidRPr="006F1D04" w:rsidTr="008A7B43">
        <w:trPr>
          <w:trHeight w:val="439"/>
          <w:jc w:val="center"/>
        </w:trPr>
        <w:tc>
          <w:tcPr>
            <w:tcW w:w="1099" w:type="dxa"/>
            <w:shd w:val="clear" w:color="auto" w:fill="0070C0"/>
            <w:noWrap/>
            <w:vAlign w:val="center"/>
          </w:tcPr>
          <w:p w:rsidR="00074407" w:rsidRPr="006F1D04" w:rsidRDefault="00074407" w:rsidP="0072215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Site code</w:t>
            </w:r>
          </w:p>
        </w:tc>
        <w:tc>
          <w:tcPr>
            <w:tcW w:w="1883" w:type="dxa"/>
            <w:shd w:val="clear" w:color="auto" w:fill="0070C0"/>
            <w:noWrap/>
            <w:vAlign w:val="center"/>
          </w:tcPr>
          <w:p w:rsidR="00074407" w:rsidRPr="006F1D04" w:rsidRDefault="00074407" w:rsidP="0072215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Organisation</w:t>
            </w:r>
          </w:p>
        </w:tc>
        <w:tc>
          <w:tcPr>
            <w:tcW w:w="992" w:type="dxa"/>
            <w:shd w:val="clear" w:color="auto" w:fill="0070C0"/>
            <w:noWrap/>
            <w:vAlign w:val="center"/>
          </w:tcPr>
          <w:p w:rsidR="00074407" w:rsidRPr="006F1D04" w:rsidRDefault="00074407" w:rsidP="0072215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Site name</w:t>
            </w:r>
          </w:p>
        </w:tc>
        <w:tc>
          <w:tcPr>
            <w:tcW w:w="952" w:type="dxa"/>
            <w:shd w:val="clear" w:color="auto" w:fill="0070C0"/>
            <w:noWrap/>
            <w:vAlign w:val="center"/>
          </w:tcPr>
          <w:p w:rsidR="00074407" w:rsidRPr="006F1D04" w:rsidRDefault="00074407" w:rsidP="0072215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Region</w:t>
            </w:r>
          </w:p>
        </w:tc>
        <w:tc>
          <w:tcPr>
            <w:tcW w:w="1559" w:type="dxa"/>
            <w:shd w:val="clear" w:color="auto" w:fill="0070C0"/>
            <w:noWrap/>
            <w:vAlign w:val="center"/>
          </w:tcPr>
          <w:p w:rsidR="00074407" w:rsidRPr="006F1D04" w:rsidRDefault="00074407" w:rsidP="0072215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Site description</w:t>
            </w:r>
          </w:p>
        </w:tc>
        <w:tc>
          <w:tcPr>
            <w:tcW w:w="1134" w:type="dxa"/>
            <w:shd w:val="clear" w:color="auto" w:fill="0070C0"/>
            <w:noWrap/>
            <w:vAlign w:val="center"/>
          </w:tcPr>
          <w:p w:rsidR="00074407" w:rsidRPr="006F1D04" w:rsidRDefault="00074407" w:rsidP="0072215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Purpose</w:t>
            </w:r>
          </w:p>
        </w:tc>
        <w:tc>
          <w:tcPr>
            <w:tcW w:w="851" w:type="dxa"/>
            <w:shd w:val="clear" w:color="auto" w:fill="0070C0"/>
            <w:noWrap/>
            <w:vAlign w:val="center"/>
          </w:tcPr>
          <w:p w:rsidR="00074407" w:rsidRPr="006F1D04" w:rsidRDefault="00074407" w:rsidP="0072215E">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GRUB</w:t>
            </w:r>
          </w:p>
        </w:tc>
        <w:tc>
          <w:tcPr>
            <w:tcW w:w="570" w:type="dxa"/>
            <w:shd w:val="clear" w:color="auto" w:fill="0070C0"/>
            <w:vAlign w:val="center"/>
          </w:tcPr>
          <w:p w:rsidR="00074407" w:rsidRPr="006F1D04" w:rsidRDefault="00074407" w:rsidP="0007440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PM</w:t>
            </w:r>
            <w:r w:rsidRPr="006F1D04">
              <w:rPr>
                <w:rFonts w:ascii="Arial" w:hAnsi="Arial" w:cs="Arial"/>
                <w:b/>
                <w:bCs/>
                <w:color w:val="FFFFFF"/>
                <w:sz w:val="14"/>
                <w:szCs w:val="14"/>
                <w:vertAlign w:val="subscript"/>
              </w:rPr>
              <w:t>10</w:t>
            </w:r>
          </w:p>
        </w:tc>
        <w:tc>
          <w:tcPr>
            <w:tcW w:w="772" w:type="dxa"/>
            <w:shd w:val="clear" w:color="auto" w:fill="0070C0"/>
            <w:vAlign w:val="center"/>
          </w:tcPr>
          <w:p w:rsidR="00074407" w:rsidRPr="006F1D04" w:rsidRDefault="00074407" w:rsidP="0007440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PM</w:t>
            </w:r>
            <w:r w:rsidRPr="006F1D04">
              <w:rPr>
                <w:rFonts w:ascii="Arial" w:hAnsi="Arial" w:cs="Arial"/>
                <w:b/>
                <w:bCs/>
                <w:color w:val="FFFFFF"/>
                <w:sz w:val="14"/>
                <w:szCs w:val="14"/>
                <w:vertAlign w:val="subscript"/>
              </w:rPr>
              <w:t>2.5</w:t>
            </w:r>
          </w:p>
        </w:tc>
        <w:tc>
          <w:tcPr>
            <w:tcW w:w="1689" w:type="dxa"/>
            <w:shd w:val="clear" w:color="auto" w:fill="0070C0"/>
            <w:vAlign w:val="center"/>
          </w:tcPr>
          <w:p w:rsidR="00074407" w:rsidRPr="006F1D04" w:rsidRDefault="00074407" w:rsidP="0007440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Instrument(s)</w:t>
            </w:r>
          </w:p>
        </w:tc>
      </w:tr>
      <w:tr w:rsidR="00DC2F53" w:rsidRPr="006F1D04" w:rsidTr="008A7B43">
        <w:trPr>
          <w:trHeight w:val="466"/>
          <w:jc w:val="center"/>
        </w:trPr>
        <w:tc>
          <w:tcPr>
            <w:tcW w:w="1099" w:type="dxa"/>
            <w:tcBorders>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sz w:val="14"/>
                <w:szCs w:val="14"/>
              </w:rPr>
            </w:pPr>
            <w:r w:rsidRPr="006F1D04">
              <w:rPr>
                <w:rFonts w:ascii="Arial" w:hAnsi="Arial" w:cs="Arial"/>
                <w:sz w:val="14"/>
                <w:szCs w:val="14"/>
              </w:rPr>
              <w:t>ACT_E01</w:t>
            </w:r>
          </w:p>
        </w:tc>
        <w:tc>
          <w:tcPr>
            <w:tcW w:w="1883" w:type="dxa"/>
            <w:tcBorders>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ACT Government</w:t>
            </w:r>
          </w:p>
        </w:tc>
        <w:tc>
          <w:tcPr>
            <w:tcW w:w="992" w:type="dxa"/>
            <w:tcBorders>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Civic</w:t>
            </w:r>
          </w:p>
        </w:tc>
        <w:tc>
          <w:tcPr>
            <w:tcW w:w="952" w:type="dxa"/>
            <w:tcBorders>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Canberra</w:t>
            </w:r>
          </w:p>
        </w:tc>
        <w:tc>
          <w:tcPr>
            <w:tcW w:w="1559" w:type="dxa"/>
            <w:tcBorders>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sz w:val="14"/>
                <w:szCs w:val="14"/>
              </w:rPr>
            </w:pPr>
            <w:r w:rsidRPr="006F1D04">
              <w:rPr>
                <w:rFonts w:ascii="Arial" w:hAnsi="Arial" w:cs="Arial"/>
                <w:color w:val="000000"/>
                <w:sz w:val="14"/>
                <w:szCs w:val="14"/>
              </w:rPr>
              <w:t>CBD</w:t>
            </w:r>
          </w:p>
        </w:tc>
        <w:tc>
          <w:tcPr>
            <w:tcW w:w="1134" w:type="dxa"/>
            <w:tcBorders>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sz w:val="14"/>
                <w:szCs w:val="14"/>
              </w:rPr>
            </w:pPr>
            <w:r w:rsidRPr="006F1D04">
              <w:rPr>
                <w:rFonts w:ascii="Arial" w:hAnsi="Arial" w:cs="Arial"/>
                <w:color w:val="000000"/>
                <w:sz w:val="14"/>
                <w:szCs w:val="14"/>
              </w:rPr>
              <w:t>Performance</w:t>
            </w:r>
          </w:p>
        </w:tc>
        <w:tc>
          <w:tcPr>
            <w:tcW w:w="851" w:type="dxa"/>
            <w:tcBorders>
              <w:bottom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sz w:val="14"/>
                <w:szCs w:val="14"/>
              </w:rPr>
            </w:pPr>
            <w:r w:rsidRPr="006F1D04">
              <w:rPr>
                <w:rFonts w:ascii="Arial" w:hAnsi="Arial" w:cs="Arial"/>
                <w:sz w:val="14"/>
                <w:szCs w:val="14"/>
              </w:rPr>
              <w:t>Yes</w:t>
            </w:r>
          </w:p>
        </w:tc>
        <w:tc>
          <w:tcPr>
            <w:tcW w:w="570" w:type="dxa"/>
            <w:tcBorders>
              <w:bottom w:val="dotted" w:sz="4" w:space="0" w:color="0070C0"/>
            </w:tcBorders>
            <w:shd w:val="clear" w:color="auto" w:fill="auto"/>
            <w:vAlign w:val="center"/>
          </w:tcPr>
          <w:p w:rsidR="00DC2F53" w:rsidRPr="006F1D04" w:rsidRDefault="00DC2F53" w:rsidP="00F83B66">
            <w:pPr>
              <w:spacing w:after="0" w:line="240" w:lineRule="auto"/>
              <w:jc w:val="center"/>
              <w:rPr>
                <w:rFonts w:ascii="Arial" w:hAnsi="Arial" w:cs="Arial"/>
                <w:bCs/>
                <w:sz w:val="14"/>
                <w:szCs w:val="14"/>
              </w:rPr>
            </w:pPr>
            <w:r w:rsidRPr="006F1D04">
              <w:rPr>
                <w:rFonts w:ascii="Arial" w:hAnsi="Arial" w:cs="Arial"/>
                <w:color w:val="000000"/>
                <w:sz w:val="14"/>
                <w:szCs w:val="14"/>
              </w:rPr>
              <w:sym w:font="Wingdings" w:char="F0FC"/>
            </w:r>
          </w:p>
        </w:tc>
        <w:tc>
          <w:tcPr>
            <w:tcW w:w="772" w:type="dxa"/>
            <w:tcBorders>
              <w:bottom w:val="dotted" w:sz="4" w:space="0" w:color="0070C0"/>
            </w:tcBorders>
            <w:vAlign w:val="center"/>
          </w:tcPr>
          <w:p w:rsidR="00DC2F53" w:rsidRPr="006F1D04" w:rsidRDefault="00DC2F53" w:rsidP="00F83B66">
            <w:pPr>
              <w:spacing w:after="0" w:line="240" w:lineRule="auto"/>
              <w:jc w:val="center"/>
              <w:rPr>
                <w:rFonts w:ascii="Arial" w:hAnsi="Arial" w:cs="Arial"/>
                <w:b/>
                <w:bCs/>
                <w:sz w:val="14"/>
                <w:szCs w:val="14"/>
              </w:rPr>
            </w:pPr>
            <w:r w:rsidRPr="006F1D04">
              <w:rPr>
                <w:rFonts w:ascii="Arial" w:hAnsi="Arial" w:cs="Arial"/>
                <w:color w:val="000000"/>
                <w:sz w:val="14"/>
                <w:szCs w:val="14"/>
              </w:rPr>
              <w:sym w:font="Wingdings" w:char="F0FB"/>
            </w:r>
          </w:p>
        </w:tc>
        <w:tc>
          <w:tcPr>
            <w:tcW w:w="1689" w:type="dxa"/>
            <w:tcBorders>
              <w:bottom w:val="dotted" w:sz="4" w:space="0" w:color="0070C0"/>
            </w:tcBorders>
            <w:vAlign w:val="center"/>
          </w:tcPr>
          <w:p w:rsidR="00DC2F53" w:rsidRPr="006F1D04" w:rsidRDefault="008A7B43" w:rsidP="00DC2F53">
            <w:pPr>
              <w:spacing w:after="0" w:line="240" w:lineRule="auto"/>
              <w:jc w:val="center"/>
              <w:rPr>
                <w:rFonts w:ascii="Arial" w:hAnsi="Arial" w:cs="Arial"/>
                <w:color w:val="000000"/>
                <w:sz w:val="14"/>
                <w:szCs w:val="14"/>
              </w:rPr>
            </w:pPr>
            <w:r w:rsidRPr="006F1D04">
              <w:rPr>
                <w:rFonts w:ascii="Arial" w:hAnsi="Arial" w:cs="Arial"/>
                <w:color w:val="000000"/>
                <w:sz w:val="14"/>
                <w:szCs w:val="14"/>
              </w:rPr>
              <w:t>Gravimetric reference method</w:t>
            </w:r>
            <w:r w:rsidR="00DC2F53" w:rsidRPr="006F1D04">
              <w:rPr>
                <w:rFonts w:ascii="Arial" w:hAnsi="Arial" w:cs="Arial"/>
                <w:color w:val="000000"/>
                <w:sz w:val="14"/>
                <w:szCs w:val="14"/>
              </w:rPr>
              <w:t>/BAM</w:t>
            </w:r>
          </w:p>
        </w:tc>
      </w:tr>
      <w:tr w:rsidR="00DC2F53" w:rsidRPr="006F1D04" w:rsidTr="008A7B43">
        <w:trPr>
          <w:trHeight w:val="255"/>
          <w:jc w:val="center"/>
        </w:trPr>
        <w:tc>
          <w:tcPr>
            <w:tcW w:w="1099" w:type="dxa"/>
            <w:tcBorders>
              <w:top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sz w:val="14"/>
                <w:szCs w:val="14"/>
              </w:rPr>
            </w:pPr>
            <w:r w:rsidRPr="006F1D04">
              <w:rPr>
                <w:rFonts w:ascii="Arial" w:hAnsi="Arial" w:cs="Arial"/>
                <w:sz w:val="14"/>
                <w:szCs w:val="14"/>
              </w:rPr>
              <w:t>ACT_E02</w:t>
            </w:r>
          </w:p>
        </w:tc>
        <w:tc>
          <w:tcPr>
            <w:tcW w:w="1883" w:type="dxa"/>
            <w:tcBorders>
              <w:top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ACT Government</w:t>
            </w:r>
          </w:p>
        </w:tc>
        <w:tc>
          <w:tcPr>
            <w:tcW w:w="992" w:type="dxa"/>
            <w:tcBorders>
              <w:top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Monash</w:t>
            </w:r>
          </w:p>
        </w:tc>
        <w:tc>
          <w:tcPr>
            <w:tcW w:w="952" w:type="dxa"/>
            <w:tcBorders>
              <w:top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color w:val="000000"/>
                <w:sz w:val="14"/>
                <w:szCs w:val="14"/>
              </w:rPr>
            </w:pPr>
            <w:r w:rsidRPr="006F1D04">
              <w:rPr>
                <w:rFonts w:ascii="Arial" w:hAnsi="Arial" w:cs="Arial"/>
                <w:color w:val="000000"/>
                <w:sz w:val="14"/>
                <w:szCs w:val="14"/>
              </w:rPr>
              <w:t>Canberra</w:t>
            </w:r>
          </w:p>
        </w:tc>
        <w:tc>
          <w:tcPr>
            <w:tcW w:w="1559" w:type="dxa"/>
            <w:tcBorders>
              <w:top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sz w:val="14"/>
                <w:szCs w:val="14"/>
              </w:rPr>
            </w:pPr>
            <w:r w:rsidRPr="006F1D04">
              <w:rPr>
                <w:rFonts w:ascii="Arial" w:hAnsi="Arial" w:cs="Arial"/>
                <w:color w:val="000000"/>
                <w:sz w:val="14"/>
                <w:szCs w:val="14"/>
              </w:rPr>
              <w:t>Residential</w:t>
            </w:r>
          </w:p>
        </w:tc>
        <w:tc>
          <w:tcPr>
            <w:tcW w:w="1134" w:type="dxa"/>
            <w:tcBorders>
              <w:top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sz w:val="14"/>
                <w:szCs w:val="14"/>
              </w:rPr>
            </w:pPr>
            <w:r w:rsidRPr="006F1D04">
              <w:rPr>
                <w:rFonts w:ascii="Arial" w:hAnsi="Arial" w:cs="Arial"/>
                <w:color w:val="000000"/>
                <w:sz w:val="14"/>
                <w:szCs w:val="14"/>
              </w:rPr>
              <w:t>Performance</w:t>
            </w:r>
          </w:p>
        </w:tc>
        <w:tc>
          <w:tcPr>
            <w:tcW w:w="851" w:type="dxa"/>
            <w:tcBorders>
              <w:top w:val="dotted" w:sz="4" w:space="0" w:color="0070C0"/>
            </w:tcBorders>
            <w:shd w:val="clear" w:color="auto" w:fill="auto"/>
            <w:noWrap/>
            <w:vAlign w:val="center"/>
          </w:tcPr>
          <w:p w:rsidR="00DC2F53" w:rsidRPr="006F1D04" w:rsidRDefault="00DC2F53" w:rsidP="00612FEC">
            <w:pPr>
              <w:spacing w:after="0" w:line="240" w:lineRule="auto"/>
              <w:jc w:val="center"/>
              <w:rPr>
                <w:rFonts w:ascii="Arial" w:hAnsi="Arial" w:cs="Arial"/>
                <w:sz w:val="14"/>
                <w:szCs w:val="14"/>
              </w:rPr>
            </w:pPr>
            <w:r w:rsidRPr="006F1D04">
              <w:rPr>
                <w:rFonts w:ascii="Arial" w:hAnsi="Arial" w:cs="Arial"/>
                <w:sz w:val="14"/>
                <w:szCs w:val="14"/>
              </w:rPr>
              <w:t>Yes</w:t>
            </w:r>
          </w:p>
        </w:tc>
        <w:tc>
          <w:tcPr>
            <w:tcW w:w="570" w:type="dxa"/>
            <w:tcBorders>
              <w:top w:val="dotted" w:sz="4" w:space="0" w:color="0070C0"/>
            </w:tcBorders>
            <w:shd w:val="clear" w:color="auto" w:fill="auto"/>
            <w:vAlign w:val="center"/>
          </w:tcPr>
          <w:p w:rsidR="00DC2F53" w:rsidRPr="006F1D04" w:rsidRDefault="00DC2F53" w:rsidP="00F83B66">
            <w:pPr>
              <w:spacing w:after="0" w:line="240" w:lineRule="auto"/>
              <w:jc w:val="center"/>
              <w:rPr>
                <w:rFonts w:ascii="Arial" w:hAnsi="Arial" w:cs="Arial"/>
                <w:sz w:val="14"/>
                <w:szCs w:val="14"/>
              </w:rPr>
            </w:pPr>
            <w:r w:rsidRPr="006F1D04">
              <w:rPr>
                <w:rFonts w:ascii="Arial" w:hAnsi="Arial" w:cs="Arial"/>
                <w:color w:val="000000"/>
                <w:sz w:val="14"/>
                <w:szCs w:val="14"/>
              </w:rPr>
              <w:sym w:font="Wingdings" w:char="F0FC"/>
            </w:r>
          </w:p>
        </w:tc>
        <w:tc>
          <w:tcPr>
            <w:tcW w:w="772" w:type="dxa"/>
            <w:tcBorders>
              <w:top w:val="dotted" w:sz="4" w:space="0" w:color="0070C0"/>
            </w:tcBorders>
            <w:vAlign w:val="center"/>
          </w:tcPr>
          <w:p w:rsidR="00DC2F53" w:rsidRPr="006F1D04" w:rsidRDefault="00DC2F53" w:rsidP="00F83B66">
            <w:pPr>
              <w:spacing w:after="0" w:line="240" w:lineRule="auto"/>
              <w:jc w:val="center"/>
              <w:rPr>
                <w:rFonts w:ascii="Arial" w:hAnsi="Arial" w:cs="Arial"/>
                <w:sz w:val="14"/>
                <w:szCs w:val="14"/>
              </w:rPr>
            </w:pPr>
            <w:r w:rsidRPr="006F1D04">
              <w:rPr>
                <w:rFonts w:ascii="Arial" w:hAnsi="Arial" w:cs="Arial"/>
                <w:color w:val="000000"/>
                <w:sz w:val="14"/>
                <w:szCs w:val="14"/>
              </w:rPr>
              <w:sym w:font="Wingdings" w:char="F0FC"/>
            </w:r>
          </w:p>
        </w:tc>
        <w:tc>
          <w:tcPr>
            <w:tcW w:w="1689" w:type="dxa"/>
            <w:tcBorders>
              <w:top w:val="dotted" w:sz="4" w:space="0" w:color="0070C0"/>
            </w:tcBorders>
            <w:vAlign w:val="center"/>
          </w:tcPr>
          <w:p w:rsidR="00DC2F53" w:rsidRPr="006F1D04" w:rsidRDefault="008A7B43" w:rsidP="00DC2F53">
            <w:pPr>
              <w:spacing w:after="0" w:line="240" w:lineRule="auto"/>
              <w:jc w:val="center"/>
              <w:rPr>
                <w:rFonts w:ascii="Arial" w:hAnsi="Arial" w:cs="Arial"/>
                <w:color w:val="000000"/>
                <w:sz w:val="14"/>
                <w:szCs w:val="14"/>
              </w:rPr>
            </w:pPr>
            <w:proofErr w:type="spellStart"/>
            <w:r w:rsidRPr="006F1D04">
              <w:rPr>
                <w:rFonts w:ascii="Arial" w:hAnsi="Arial" w:cs="Arial"/>
                <w:color w:val="000000"/>
                <w:sz w:val="14"/>
                <w:szCs w:val="14"/>
              </w:rPr>
              <w:t>Partisol</w:t>
            </w:r>
            <w:proofErr w:type="spellEnd"/>
            <w:r w:rsidR="00DC2F53" w:rsidRPr="006F1D04">
              <w:rPr>
                <w:rFonts w:ascii="Arial" w:hAnsi="Arial" w:cs="Arial"/>
                <w:color w:val="000000"/>
                <w:sz w:val="14"/>
                <w:szCs w:val="14"/>
              </w:rPr>
              <w:t>/TEOM/BAM</w:t>
            </w:r>
          </w:p>
        </w:tc>
      </w:tr>
    </w:tbl>
    <w:p w:rsidR="0052102C" w:rsidRPr="006F1D04" w:rsidRDefault="0052102C">
      <w:pPr>
        <w:spacing w:after="200" w:line="240" w:lineRule="auto"/>
        <w:rPr>
          <w:rFonts w:ascii="Arial" w:hAnsi="Arial" w:cs="Arial"/>
        </w:rPr>
      </w:pPr>
    </w:p>
    <w:p w:rsidR="0052102C" w:rsidRPr="006F1D04" w:rsidRDefault="0052102C">
      <w:pPr>
        <w:spacing w:after="200" w:line="240" w:lineRule="auto"/>
        <w:rPr>
          <w:rFonts w:ascii="Arial" w:hAnsi="Arial" w:cs="Arial"/>
        </w:rPr>
      </w:pPr>
    </w:p>
    <w:p w:rsidR="0052102C" w:rsidRPr="006F1D04" w:rsidRDefault="0052102C">
      <w:pPr>
        <w:spacing w:after="200" w:line="240" w:lineRule="auto"/>
        <w:rPr>
          <w:rFonts w:ascii="Arial" w:hAnsi="Arial" w:cs="Arial"/>
        </w:rPr>
      </w:pPr>
    </w:p>
    <w:p w:rsidR="0052102C" w:rsidRPr="006F1D04" w:rsidRDefault="0052102C">
      <w:pPr>
        <w:spacing w:after="200" w:line="240" w:lineRule="auto"/>
        <w:rPr>
          <w:rFonts w:ascii="Arial" w:hAnsi="Arial" w:cs="Arial"/>
        </w:rPr>
        <w:sectPr w:rsidR="0052102C" w:rsidRPr="006F1D04" w:rsidSect="006A5626">
          <w:headerReference w:type="even" r:id="rId169"/>
          <w:headerReference w:type="default" r:id="rId170"/>
          <w:footerReference w:type="even" r:id="rId171"/>
          <w:footerReference w:type="default" r:id="rId172"/>
          <w:headerReference w:type="first" r:id="rId173"/>
          <w:pgSz w:w="16838" w:h="11906" w:orient="landscape" w:code="9"/>
          <w:pgMar w:top="1440" w:right="1440" w:bottom="1440" w:left="1440" w:header="284" w:footer="170" w:gutter="0"/>
          <w:cols w:space="255"/>
          <w:docGrid w:linePitch="360"/>
        </w:sectPr>
      </w:pPr>
    </w:p>
    <w:bookmarkEnd w:id="237"/>
    <w:bookmarkEnd w:id="238"/>
    <w:bookmarkEnd w:id="239"/>
    <w:bookmarkEnd w:id="240"/>
    <w:p w:rsidR="00AB642D" w:rsidRPr="006F1D04" w:rsidRDefault="00AB642D" w:rsidP="00AB642D">
      <w:pPr>
        <w:rPr>
          <w:rFonts w:ascii="Arial" w:hAnsi="Arial" w:cs="Arial"/>
        </w:rPr>
      </w:pPr>
    </w:p>
    <w:p w:rsidR="00AB642D" w:rsidRPr="006F1D04" w:rsidRDefault="00236133" w:rsidP="00236133">
      <w:pPr>
        <w:pStyle w:val="Heading6"/>
        <w:ind w:left="1418" w:hanging="1418"/>
        <w:rPr>
          <w:rStyle w:val="Strong"/>
          <w:rFonts w:ascii="Arial" w:hAnsi="Arial" w:cs="Arial"/>
          <w:b/>
          <w:bCs/>
        </w:rPr>
        <w:sectPr w:rsidR="00AB642D" w:rsidRPr="006F1D04" w:rsidSect="006A5626">
          <w:headerReference w:type="even" r:id="rId174"/>
          <w:headerReference w:type="default" r:id="rId175"/>
          <w:footerReference w:type="even" r:id="rId176"/>
          <w:footerReference w:type="default" r:id="rId177"/>
          <w:headerReference w:type="first" r:id="rId178"/>
          <w:pgSz w:w="11906" w:h="16838" w:code="9"/>
          <w:pgMar w:top="1440" w:right="1440" w:bottom="1440" w:left="1440" w:header="284" w:footer="170" w:gutter="0"/>
          <w:cols w:space="255"/>
          <w:vAlign w:val="center"/>
          <w:docGrid w:linePitch="360"/>
        </w:sectPr>
      </w:pPr>
      <w:r w:rsidRPr="006F1D04">
        <w:rPr>
          <w:rStyle w:val="Strong"/>
          <w:rFonts w:ascii="Arial" w:hAnsi="Arial" w:cs="Arial"/>
          <w:b/>
          <w:bCs/>
        </w:rPr>
        <w:tab/>
      </w:r>
      <w:r w:rsidR="00CD2AEC" w:rsidRPr="006F1D04">
        <w:rPr>
          <w:rStyle w:val="Strong"/>
          <w:rFonts w:ascii="Arial" w:hAnsi="Arial" w:cs="Arial"/>
          <w:b/>
          <w:bCs/>
        </w:rPr>
        <w:tab/>
      </w:r>
      <w:bookmarkStart w:id="241" w:name="_Toc394011179"/>
      <w:r w:rsidR="00A81146" w:rsidRPr="006F1D04">
        <w:rPr>
          <w:rStyle w:val="Strong"/>
          <w:rFonts w:ascii="Arial" w:hAnsi="Arial" w:cs="Arial"/>
          <w:b/>
          <w:bCs/>
        </w:rPr>
        <w:t xml:space="preserve">Analysis of </w:t>
      </w:r>
      <w:r w:rsidR="00AB642D" w:rsidRPr="006F1D04">
        <w:rPr>
          <w:rStyle w:val="Strong"/>
          <w:rFonts w:ascii="Arial" w:hAnsi="Arial" w:cs="Arial"/>
          <w:b/>
          <w:bCs/>
        </w:rPr>
        <w:t>PM</w:t>
      </w:r>
      <w:r w:rsidR="00AB642D" w:rsidRPr="006F1D04">
        <w:rPr>
          <w:rStyle w:val="Strong"/>
          <w:rFonts w:ascii="Arial" w:hAnsi="Arial" w:cs="Arial"/>
          <w:b/>
          <w:bCs/>
          <w:vertAlign w:val="subscript"/>
        </w:rPr>
        <w:t>10</w:t>
      </w:r>
      <w:r w:rsidR="00AB642D" w:rsidRPr="006F1D04">
        <w:rPr>
          <w:rStyle w:val="Strong"/>
          <w:rFonts w:ascii="Arial" w:hAnsi="Arial" w:cs="Arial"/>
          <w:b/>
          <w:bCs/>
        </w:rPr>
        <w:t xml:space="preserve"> and PM</w:t>
      </w:r>
      <w:r w:rsidR="00AB642D" w:rsidRPr="006F1D04">
        <w:rPr>
          <w:rStyle w:val="Strong"/>
          <w:rFonts w:ascii="Arial" w:hAnsi="Arial" w:cs="Arial"/>
          <w:b/>
          <w:bCs/>
          <w:vertAlign w:val="subscript"/>
        </w:rPr>
        <w:t>2.5</w:t>
      </w:r>
      <w:r w:rsidR="00AB642D" w:rsidRPr="006F1D04">
        <w:rPr>
          <w:rStyle w:val="Strong"/>
          <w:rFonts w:ascii="Arial" w:hAnsi="Arial" w:cs="Arial"/>
          <w:b/>
          <w:bCs/>
        </w:rPr>
        <w:t xml:space="preserve"> monitoring </w:t>
      </w:r>
      <w:r w:rsidR="00A81146" w:rsidRPr="006F1D04">
        <w:rPr>
          <w:rStyle w:val="Strong"/>
          <w:rFonts w:ascii="Arial" w:hAnsi="Arial" w:cs="Arial"/>
          <w:b/>
          <w:bCs/>
        </w:rPr>
        <w:t>data</w:t>
      </w:r>
      <w:bookmarkEnd w:id="241"/>
    </w:p>
    <w:p w:rsidR="00AB642D" w:rsidRPr="006F1D04" w:rsidRDefault="00A81146" w:rsidP="00AB642D">
      <w:pPr>
        <w:pStyle w:val="Heading7"/>
        <w:rPr>
          <w:rFonts w:ascii="Arial" w:hAnsi="Arial"/>
        </w:rPr>
      </w:pPr>
      <w:bookmarkStart w:id="242" w:name="_Toc394011180"/>
      <w:r w:rsidRPr="006F1D04">
        <w:rPr>
          <w:rFonts w:ascii="Arial" w:hAnsi="Arial"/>
        </w:rPr>
        <w:lastRenderedPageBreak/>
        <w:t>Data collection</w:t>
      </w:r>
      <w:bookmarkEnd w:id="242"/>
    </w:p>
    <w:p w:rsidR="00107C26" w:rsidRPr="006F1D04" w:rsidRDefault="00640540" w:rsidP="00107C26">
      <w:pPr>
        <w:spacing w:after="200"/>
        <w:rPr>
          <w:rFonts w:ascii="Arial" w:hAnsi="Arial" w:cs="Arial"/>
        </w:rPr>
      </w:pPr>
      <w:r w:rsidRPr="006F1D04">
        <w:rPr>
          <w:rFonts w:ascii="Arial" w:hAnsi="Arial" w:cs="Arial"/>
        </w:rPr>
        <w:t xml:space="preserve">This </w:t>
      </w:r>
      <w:r w:rsidR="00107C26" w:rsidRPr="006F1D04">
        <w:rPr>
          <w:rFonts w:ascii="Arial" w:hAnsi="Arial" w:cs="Arial"/>
        </w:rPr>
        <w:t xml:space="preserve">analysis focuses primarily on the measurements from state government monitoring sites, although it is recognised that some other datasets are available (such as from NSW Roads and Maritime Services, and from coal mine sites). Some comments on the data are made in relation to the current </w:t>
      </w:r>
      <w:r w:rsidR="00EF24F8" w:rsidRPr="006F1D04">
        <w:rPr>
          <w:rFonts w:ascii="Arial" w:hAnsi="Arial" w:cs="Arial"/>
        </w:rPr>
        <w:t>AAQ NEPM</w:t>
      </w:r>
      <w:r w:rsidR="00107C26" w:rsidRPr="006F1D04">
        <w:rPr>
          <w:rFonts w:ascii="Arial" w:hAnsi="Arial" w:cs="Arial"/>
        </w:rPr>
        <w:t xml:space="preserve"> standards. </w:t>
      </w:r>
    </w:p>
    <w:p w:rsidR="00A81146" w:rsidRPr="006F1D04" w:rsidRDefault="00A81146" w:rsidP="00A81146">
      <w:pPr>
        <w:spacing w:after="120"/>
        <w:rPr>
          <w:rFonts w:ascii="Arial" w:hAnsi="Arial" w:cs="Arial"/>
        </w:rPr>
      </w:pPr>
      <w:r w:rsidRPr="006F1D04">
        <w:rPr>
          <w:rFonts w:ascii="Arial" w:hAnsi="Arial" w:cs="Arial"/>
        </w:rPr>
        <w:t>Monitoring data were obtained from the state authorities as 24-hour average concentrations between 2003 and 2012 inclusive. The data were used in the form provided by the jurisdictions without adjustment. The only exceptions to this were the following:</w:t>
      </w:r>
    </w:p>
    <w:p w:rsidR="00A81146" w:rsidRPr="006F1D04" w:rsidRDefault="00A81146" w:rsidP="00A81146">
      <w:pPr>
        <w:pStyle w:val="BulletArrows"/>
        <w:rPr>
          <w:rFonts w:ascii="Arial" w:hAnsi="Arial"/>
        </w:rPr>
      </w:pPr>
      <w:proofErr w:type="gramStart"/>
      <w:r w:rsidRPr="006F1D04">
        <w:rPr>
          <w:rFonts w:ascii="Arial" w:hAnsi="Arial"/>
        </w:rPr>
        <w:t>removal</w:t>
      </w:r>
      <w:proofErr w:type="gramEnd"/>
      <w:r w:rsidRPr="006F1D04">
        <w:rPr>
          <w:rFonts w:ascii="Arial" w:hAnsi="Arial"/>
        </w:rPr>
        <w:t xml:space="preserve"> of the data for the extreme dust storm that affected </w:t>
      </w:r>
      <w:r w:rsidR="00E362A3" w:rsidRPr="006F1D04">
        <w:rPr>
          <w:rFonts w:ascii="Arial" w:hAnsi="Arial"/>
        </w:rPr>
        <w:t>NSW</w:t>
      </w:r>
      <w:r w:rsidRPr="006F1D04">
        <w:rPr>
          <w:rFonts w:ascii="Arial" w:hAnsi="Arial"/>
        </w:rPr>
        <w:t xml:space="preserve"> and Queensland on 23</w:t>
      </w:r>
      <w:r w:rsidR="00640540" w:rsidRPr="006F1D04">
        <w:rPr>
          <w:rFonts w:ascii="Arial" w:hAnsi="Arial"/>
        </w:rPr>
        <w:t> </w:t>
      </w:r>
      <w:r w:rsidRPr="006F1D04">
        <w:rPr>
          <w:rFonts w:ascii="Arial" w:hAnsi="Arial"/>
        </w:rPr>
        <w:t>September 2009, as the inclusion of the very high concentrations on this day would have resulted in an inaccurate picture of underlying trends</w:t>
      </w:r>
    </w:p>
    <w:p w:rsidR="00A81146" w:rsidRPr="006F1D04" w:rsidRDefault="00A81146" w:rsidP="00E20E7C">
      <w:pPr>
        <w:pStyle w:val="BulletArrows"/>
        <w:spacing w:after="240"/>
        <w:rPr>
          <w:rFonts w:ascii="Arial" w:hAnsi="Arial"/>
        </w:rPr>
      </w:pPr>
      <w:proofErr w:type="gramStart"/>
      <w:r w:rsidRPr="006F1D04">
        <w:rPr>
          <w:rFonts w:ascii="Arial" w:hAnsi="Arial"/>
        </w:rPr>
        <w:t>removal</w:t>
      </w:r>
      <w:proofErr w:type="gramEnd"/>
      <w:r w:rsidRPr="006F1D04">
        <w:rPr>
          <w:rFonts w:ascii="Arial" w:hAnsi="Arial"/>
        </w:rPr>
        <w:t xml:space="preserve"> of the internal manufacturer’s correction in the TEOM PM</w:t>
      </w:r>
      <w:r w:rsidRPr="006F1D04">
        <w:rPr>
          <w:rFonts w:ascii="Arial" w:hAnsi="Arial"/>
          <w:vertAlign w:val="subscript"/>
        </w:rPr>
        <w:t>2.5</w:t>
      </w:r>
      <w:r w:rsidRPr="006F1D04">
        <w:rPr>
          <w:rFonts w:ascii="Arial" w:hAnsi="Arial"/>
        </w:rPr>
        <w:t xml:space="preserve"> data for WA (see </w:t>
      </w:r>
      <w:r w:rsidR="00044CED" w:rsidRPr="006F1D04">
        <w:rPr>
          <w:rFonts w:ascii="Arial" w:hAnsi="Arial"/>
          <w:b/>
        </w:rPr>
        <w:t>Section</w:t>
      </w:r>
      <w:r w:rsidRPr="006F1D04">
        <w:rPr>
          <w:rFonts w:ascii="Arial" w:hAnsi="Arial"/>
          <w:b/>
        </w:rPr>
        <w:t xml:space="preserve"> </w:t>
      </w:r>
      <w:r w:rsidR="00044CED" w:rsidRPr="006F1D04">
        <w:rPr>
          <w:rFonts w:ascii="Arial" w:hAnsi="Arial"/>
          <w:b/>
        </w:rPr>
        <w:t>B2.1</w:t>
      </w:r>
      <w:r w:rsidRPr="006F1D04">
        <w:rPr>
          <w:rFonts w:ascii="Arial" w:hAnsi="Arial"/>
        </w:rPr>
        <w:t>).</w:t>
      </w:r>
    </w:p>
    <w:p w:rsidR="00107C26" w:rsidRPr="006F1D04" w:rsidRDefault="00107C26" w:rsidP="00107C26">
      <w:pPr>
        <w:pStyle w:val="BulletArrows"/>
        <w:spacing w:after="240"/>
        <w:rPr>
          <w:rFonts w:ascii="Arial" w:hAnsi="Arial"/>
        </w:rPr>
      </w:pPr>
      <w:r w:rsidRPr="006F1D04">
        <w:rPr>
          <w:rFonts w:ascii="Arial" w:hAnsi="Arial"/>
        </w:rPr>
        <w:t>For each monitoring site, the annual mean concentration of PM</w:t>
      </w:r>
      <w:r w:rsidRPr="006F1D04">
        <w:rPr>
          <w:rFonts w:ascii="Arial" w:hAnsi="Arial"/>
          <w:vertAlign w:val="subscript"/>
        </w:rPr>
        <w:t>10</w:t>
      </w:r>
      <w:r w:rsidRPr="006F1D04">
        <w:rPr>
          <w:rFonts w:ascii="Arial" w:hAnsi="Arial"/>
        </w:rPr>
        <w:t xml:space="preserve"> and/or PM</w:t>
      </w:r>
      <w:r w:rsidRPr="006F1D04">
        <w:rPr>
          <w:rFonts w:ascii="Arial" w:hAnsi="Arial"/>
          <w:vertAlign w:val="subscript"/>
        </w:rPr>
        <w:t>2.5</w:t>
      </w:r>
      <w:r w:rsidRPr="006F1D04">
        <w:rPr>
          <w:rFonts w:ascii="Arial" w:hAnsi="Arial"/>
        </w:rPr>
        <w:t xml:space="preserve"> was determined for the years with sufficient data. A year was taken to have sufficient data for a given year where the data capture rate was greater than 75%</w:t>
      </w:r>
      <w:r w:rsidRPr="006F1D04">
        <w:rPr>
          <w:rStyle w:val="FootnoteReference"/>
          <w:rFonts w:ascii="Arial" w:hAnsi="Arial"/>
        </w:rPr>
        <w:footnoteReference w:id="42"/>
      </w:r>
      <w:r w:rsidRPr="006F1D04">
        <w:rPr>
          <w:rFonts w:ascii="Arial" w:hAnsi="Arial"/>
        </w:rPr>
        <w:t xml:space="preserve">. </w:t>
      </w:r>
    </w:p>
    <w:p w:rsidR="00A81146" w:rsidRPr="006F1D04" w:rsidRDefault="00A81146" w:rsidP="00E20E7C">
      <w:pPr>
        <w:spacing w:after="120"/>
        <w:rPr>
          <w:rFonts w:ascii="Arial" w:hAnsi="Arial" w:cs="Arial"/>
        </w:rPr>
      </w:pPr>
      <w:r w:rsidRPr="006F1D04">
        <w:rPr>
          <w:rFonts w:ascii="Arial" w:hAnsi="Arial" w:cs="Arial"/>
        </w:rPr>
        <w:t>The following aspects were considered in this part of the analysis:</w:t>
      </w:r>
    </w:p>
    <w:p w:rsidR="00A81146" w:rsidRPr="006F1D04" w:rsidRDefault="00640540" w:rsidP="00E20E7C">
      <w:pPr>
        <w:pStyle w:val="BulletArrows"/>
        <w:rPr>
          <w:rFonts w:ascii="Arial" w:hAnsi="Arial"/>
        </w:rPr>
      </w:pPr>
      <w:proofErr w:type="gramStart"/>
      <w:r w:rsidRPr="006F1D04">
        <w:rPr>
          <w:rFonts w:ascii="Arial" w:hAnsi="Arial"/>
        </w:rPr>
        <w:t>i</w:t>
      </w:r>
      <w:r w:rsidR="00A81146" w:rsidRPr="006F1D04">
        <w:rPr>
          <w:rFonts w:ascii="Arial" w:hAnsi="Arial"/>
        </w:rPr>
        <w:t>nter-annual</w:t>
      </w:r>
      <w:proofErr w:type="gramEnd"/>
      <w:r w:rsidR="00A81146" w:rsidRPr="006F1D04">
        <w:rPr>
          <w:rFonts w:ascii="Arial" w:hAnsi="Arial"/>
        </w:rPr>
        <w:t xml:space="preserve"> trends, based on annual average concentrations</w:t>
      </w:r>
    </w:p>
    <w:p w:rsidR="00A81146" w:rsidRPr="006F1D04" w:rsidRDefault="00640540" w:rsidP="00E20E7C">
      <w:pPr>
        <w:pStyle w:val="BulletArrows"/>
        <w:rPr>
          <w:rFonts w:ascii="Arial" w:hAnsi="Arial"/>
        </w:rPr>
      </w:pPr>
      <w:proofErr w:type="gramStart"/>
      <w:r w:rsidRPr="006F1D04">
        <w:rPr>
          <w:rFonts w:ascii="Arial" w:hAnsi="Arial"/>
        </w:rPr>
        <w:t>s</w:t>
      </w:r>
      <w:r w:rsidR="00A81146" w:rsidRPr="006F1D04">
        <w:rPr>
          <w:rFonts w:ascii="Arial" w:hAnsi="Arial"/>
        </w:rPr>
        <w:t>easonal</w:t>
      </w:r>
      <w:proofErr w:type="gramEnd"/>
      <w:r w:rsidR="00A81146" w:rsidRPr="006F1D04">
        <w:rPr>
          <w:rFonts w:ascii="Arial" w:hAnsi="Arial"/>
        </w:rPr>
        <w:t xml:space="preserve"> patterns, based on monthly average concentrations over several years</w:t>
      </w:r>
    </w:p>
    <w:p w:rsidR="00A81146" w:rsidRPr="006F1D04" w:rsidRDefault="00640540" w:rsidP="00E20E7C">
      <w:pPr>
        <w:pStyle w:val="BulletArrows"/>
        <w:rPr>
          <w:rFonts w:ascii="Arial" w:hAnsi="Arial"/>
        </w:rPr>
      </w:pPr>
      <w:proofErr w:type="gramStart"/>
      <w:r w:rsidRPr="006F1D04">
        <w:rPr>
          <w:rFonts w:ascii="Arial" w:hAnsi="Arial"/>
        </w:rPr>
        <w:t>d</w:t>
      </w:r>
      <w:r w:rsidR="00A81146" w:rsidRPr="006F1D04">
        <w:rPr>
          <w:rFonts w:ascii="Arial" w:hAnsi="Arial"/>
        </w:rPr>
        <w:t>aily</w:t>
      </w:r>
      <w:proofErr w:type="gramEnd"/>
      <w:r w:rsidR="00A81146" w:rsidRPr="006F1D04">
        <w:rPr>
          <w:rFonts w:ascii="Arial" w:hAnsi="Arial"/>
        </w:rPr>
        <w:t xml:space="preserve"> patterns, based on average concentrations for each day of the week over several years</w:t>
      </w:r>
    </w:p>
    <w:p w:rsidR="00A81146" w:rsidRPr="006F1D04" w:rsidRDefault="00640540" w:rsidP="00E20E7C">
      <w:pPr>
        <w:pStyle w:val="BulletArrows"/>
        <w:rPr>
          <w:rFonts w:ascii="Arial" w:hAnsi="Arial"/>
        </w:rPr>
      </w:pPr>
      <w:proofErr w:type="gramStart"/>
      <w:r w:rsidRPr="006F1D04">
        <w:rPr>
          <w:rFonts w:ascii="Arial" w:hAnsi="Arial"/>
        </w:rPr>
        <w:t>g</w:t>
      </w:r>
      <w:r w:rsidR="00A81146" w:rsidRPr="006F1D04">
        <w:rPr>
          <w:rFonts w:ascii="Arial" w:hAnsi="Arial"/>
        </w:rPr>
        <w:t>eographical</w:t>
      </w:r>
      <w:proofErr w:type="gramEnd"/>
      <w:r w:rsidR="00A81146" w:rsidRPr="006F1D04">
        <w:rPr>
          <w:rFonts w:ascii="Arial" w:hAnsi="Arial"/>
        </w:rPr>
        <w:t xml:space="preserve"> variations</w:t>
      </w:r>
    </w:p>
    <w:p w:rsidR="00E20E7C" w:rsidRPr="006F1D04" w:rsidRDefault="00640540" w:rsidP="00E20E7C">
      <w:pPr>
        <w:pStyle w:val="BulletArrows"/>
        <w:spacing w:after="240"/>
        <w:rPr>
          <w:rFonts w:ascii="Arial" w:hAnsi="Arial"/>
        </w:rPr>
      </w:pPr>
      <w:proofErr w:type="gramStart"/>
      <w:r w:rsidRPr="006F1D04">
        <w:rPr>
          <w:rFonts w:ascii="Arial" w:hAnsi="Arial"/>
        </w:rPr>
        <w:t>e</w:t>
      </w:r>
      <w:r w:rsidR="00E20E7C" w:rsidRPr="006F1D04">
        <w:rPr>
          <w:rFonts w:ascii="Arial" w:hAnsi="Arial"/>
        </w:rPr>
        <w:t>xceedances</w:t>
      </w:r>
      <w:proofErr w:type="gramEnd"/>
      <w:r w:rsidR="00E20E7C" w:rsidRPr="006F1D04">
        <w:rPr>
          <w:rFonts w:ascii="Arial" w:hAnsi="Arial"/>
        </w:rPr>
        <w:t xml:space="preserve"> of air quality standards</w:t>
      </w:r>
      <w:r w:rsidRPr="006F1D04">
        <w:rPr>
          <w:rFonts w:ascii="Arial" w:hAnsi="Arial"/>
        </w:rPr>
        <w:t>.</w:t>
      </w:r>
    </w:p>
    <w:p w:rsidR="00107C26" w:rsidRPr="006F1D04" w:rsidRDefault="00107C26" w:rsidP="00107C26">
      <w:pPr>
        <w:rPr>
          <w:rFonts w:ascii="Arial" w:hAnsi="Arial" w:cs="Arial"/>
        </w:rPr>
      </w:pPr>
      <w:r w:rsidRPr="006F1D04">
        <w:rPr>
          <w:rFonts w:ascii="Arial" w:hAnsi="Arial" w:cs="Arial"/>
        </w:rPr>
        <w:t>Clearly PM concentrations are affected by meteorology, site type, location, etc. For example, a site might be ‘industrial’, ‘residential’, ‘roadside’, etc. All these factors have implications in terms of the measured concentrations</w:t>
      </w:r>
      <w:r w:rsidR="00640540" w:rsidRPr="006F1D04">
        <w:rPr>
          <w:rFonts w:ascii="Arial" w:hAnsi="Arial" w:cs="Arial"/>
        </w:rPr>
        <w:t>;</w:t>
      </w:r>
      <w:r w:rsidRPr="006F1D04">
        <w:rPr>
          <w:rFonts w:ascii="Arial" w:hAnsi="Arial" w:cs="Arial"/>
        </w:rPr>
        <w:t xml:space="preserve"> </w:t>
      </w:r>
      <w:r w:rsidR="00640540" w:rsidRPr="006F1D04">
        <w:rPr>
          <w:rFonts w:ascii="Arial" w:hAnsi="Arial" w:cs="Arial"/>
        </w:rPr>
        <w:t>h</w:t>
      </w:r>
      <w:r w:rsidRPr="006F1D04">
        <w:rPr>
          <w:rFonts w:ascii="Arial" w:hAnsi="Arial" w:cs="Arial"/>
        </w:rPr>
        <w:t xml:space="preserve">owever, a more detailed analysis to take them into account would require a large amount of work and could not be included in this </w:t>
      </w:r>
      <w:r w:rsidR="005B38F9" w:rsidRPr="006F1D04">
        <w:rPr>
          <w:rFonts w:ascii="Arial" w:hAnsi="Arial"/>
        </w:rPr>
        <w:t>Impact Statement</w:t>
      </w:r>
      <w:r w:rsidRPr="006F1D04">
        <w:rPr>
          <w:rFonts w:ascii="Arial" w:hAnsi="Arial" w:cs="Arial"/>
        </w:rPr>
        <w:t>.</w:t>
      </w:r>
    </w:p>
    <w:p w:rsidR="00A81146" w:rsidRPr="006F1D04" w:rsidRDefault="00A81146" w:rsidP="00A81146">
      <w:pPr>
        <w:pStyle w:val="Heading7"/>
        <w:rPr>
          <w:rFonts w:ascii="Arial" w:hAnsi="Arial"/>
          <w:lang w:eastAsia="en-US"/>
        </w:rPr>
      </w:pPr>
      <w:bookmarkStart w:id="243" w:name="_Toc394011181"/>
      <w:r w:rsidRPr="006F1D04">
        <w:rPr>
          <w:rFonts w:ascii="Arial" w:hAnsi="Arial"/>
          <w:lang w:eastAsia="en-US"/>
        </w:rPr>
        <w:t>Inter-annual trends</w:t>
      </w:r>
      <w:bookmarkEnd w:id="243"/>
    </w:p>
    <w:p w:rsidR="00A81146" w:rsidRPr="006F1D04" w:rsidRDefault="00A81146" w:rsidP="00A81146">
      <w:pPr>
        <w:spacing w:after="200"/>
        <w:rPr>
          <w:rFonts w:ascii="Arial" w:hAnsi="Arial" w:cs="Arial"/>
          <w:lang w:eastAsia="en-US"/>
        </w:rPr>
      </w:pPr>
      <w:r w:rsidRPr="006F1D04">
        <w:rPr>
          <w:rFonts w:ascii="Arial" w:hAnsi="Arial" w:cs="Arial"/>
          <w:lang w:eastAsia="en-US"/>
        </w:rPr>
        <w:t>The trends in the annual mean PM</w:t>
      </w:r>
      <w:r w:rsidRPr="006F1D04">
        <w:rPr>
          <w:rFonts w:ascii="Arial" w:hAnsi="Arial" w:cs="Arial"/>
          <w:vertAlign w:val="subscript"/>
          <w:lang w:eastAsia="en-US"/>
        </w:rPr>
        <w:t>10</w:t>
      </w:r>
      <w:r w:rsidRPr="006F1D04">
        <w:rPr>
          <w:rFonts w:ascii="Arial" w:hAnsi="Arial" w:cs="Arial"/>
          <w:lang w:eastAsia="en-US"/>
        </w:rPr>
        <w:t xml:space="preserve"> and PM</w:t>
      </w:r>
      <w:r w:rsidRPr="006F1D04">
        <w:rPr>
          <w:rFonts w:ascii="Arial" w:hAnsi="Arial" w:cs="Arial"/>
          <w:vertAlign w:val="subscript"/>
          <w:lang w:eastAsia="en-US"/>
        </w:rPr>
        <w:t>2.5</w:t>
      </w:r>
      <w:r w:rsidRPr="006F1D04">
        <w:rPr>
          <w:rFonts w:ascii="Arial" w:hAnsi="Arial" w:cs="Arial"/>
          <w:lang w:eastAsia="en-US"/>
        </w:rPr>
        <w:t xml:space="preserve"> concentrations at each monitoring site included in the analysis are shown in </w:t>
      </w:r>
      <w:r w:rsidRPr="006F1D04">
        <w:rPr>
          <w:rFonts w:ascii="Arial" w:hAnsi="Arial" w:cs="Arial"/>
          <w:b/>
          <w:lang w:eastAsia="en-US"/>
        </w:rPr>
        <w:t xml:space="preserve">Figure </w:t>
      </w:r>
      <w:r w:rsidR="00236133" w:rsidRPr="006F1D04">
        <w:rPr>
          <w:rFonts w:ascii="Arial" w:hAnsi="Arial" w:cs="Arial"/>
          <w:b/>
          <w:lang w:eastAsia="en-US"/>
        </w:rPr>
        <w:t>E.</w:t>
      </w:r>
      <w:r w:rsidRPr="006F1D04">
        <w:rPr>
          <w:rFonts w:ascii="Arial" w:hAnsi="Arial" w:cs="Arial"/>
          <w:b/>
          <w:lang w:eastAsia="en-US"/>
        </w:rPr>
        <w:t>1</w:t>
      </w:r>
      <w:r w:rsidRPr="006F1D04">
        <w:rPr>
          <w:rFonts w:ascii="Arial" w:hAnsi="Arial" w:cs="Arial"/>
          <w:lang w:eastAsia="en-US"/>
        </w:rPr>
        <w:t xml:space="preserve"> and </w:t>
      </w:r>
      <w:r w:rsidRPr="006F1D04">
        <w:rPr>
          <w:rFonts w:ascii="Arial" w:hAnsi="Arial" w:cs="Arial"/>
          <w:b/>
          <w:lang w:eastAsia="en-US"/>
        </w:rPr>
        <w:t xml:space="preserve">Figure </w:t>
      </w:r>
      <w:r w:rsidR="00236133" w:rsidRPr="006F1D04">
        <w:rPr>
          <w:rFonts w:ascii="Arial" w:hAnsi="Arial" w:cs="Arial"/>
          <w:b/>
          <w:lang w:eastAsia="en-US"/>
        </w:rPr>
        <w:t>E.</w:t>
      </w:r>
      <w:r w:rsidRPr="006F1D04">
        <w:rPr>
          <w:rFonts w:ascii="Arial" w:hAnsi="Arial" w:cs="Arial"/>
          <w:b/>
          <w:lang w:eastAsia="en-US"/>
        </w:rPr>
        <w:t>2</w:t>
      </w:r>
      <w:r w:rsidRPr="006F1D04">
        <w:rPr>
          <w:rFonts w:ascii="Arial" w:hAnsi="Arial" w:cs="Arial"/>
          <w:lang w:eastAsia="en-US"/>
        </w:rPr>
        <w:t xml:space="preserve"> respectively. </w:t>
      </w:r>
    </w:p>
    <w:p w:rsidR="00D22244" w:rsidRPr="006F1D04" w:rsidRDefault="00D22244" w:rsidP="00D22244">
      <w:pPr>
        <w:spacing w:after="200"/>
        <w:rPr>
          <w:rFonts w:ascii="Arial" w:hAnsi="Arial" w:cs="Arial"/>
          <w:lang w:eastAsia="en-US"/>
        </w:rPr>
      </w:pPr>
      <w:r w:rsidRPr="006F1D04">
        <w:rPr>
          <w:rFonts w:ascii="Arial" w:hAnsi="Arial" w:cs="Arial"/>
          <w:lang w:eastAsia="en-US"/>
        </w:rPr>
        <w:t>The overall mean concentration across all sites in a given state was then calculated. In NSW and Victoria there are several sites with long-term records of PM</w:t>
      </w:r>
      <w:r w:rsidRPr="006F1D04">
        <w:rPr>
          <w:rFonts w:ascii="Arial" w:hAnsi="Arial" w:cs="Arial"/>
          <w:vertAlign w:val="subscript"/>
          <w:lang w:eastAsia="en-US"/>
        </w:rPr>
        <w:t>10</w:t>
      </w:r>
      <w:r w:rsidRPr="006F1D04">
        <w:rPr>
          <w:rFonts w:ascii="Arial" w:hAnsi="Arial" w:cs="Arial"/>
          <w:lang w:eastAsia="en-US"/>
        </w:rPr>
        <w:t xml:space="preserve"> and (in the case of NSW) PM</w:t>
      </w:r>
      <w:r w:rsidRPr="006F1D04">
        <w:rPr>
          <w:rFonts w:ascii="Arial" w:hAnsi="Arial" w:cs="Arial"/>
          <w:vertAlign w:val="subscript"/>
          <w:lang w:eastAsia="en-US"/>
        </w:rPr>
        <w:t>2.5</w:t>
      </w:r>
      <w:r w:rsidRPr="006F1D04">
        <w:rPr>
          <w:rFonts w:ascii="Arial" w:hAnsi="Arial" w:cs="Arial"/>
          <w:lang w:eastAsia="en-US"/>
        </w:rPr>
        <w:t>. For these cases an extra criterion was applied in the data analysis: only sites with more than seven years of data between 2003 and 2012 were included in the calculation of the means.</w:t>
      </w:r>
    </w:p>
    <w:p w:rsidR="00D22244" w:rsidRPr="006F1D04" w:rsidRDefault="00D22244" w:rsidP="00D22244">
      <w:pPr>
        <w:spacing w:after="200"/>
        <w:rPr>
          <w:rFonts w:ascii="Arial" w:hAnsi="Arial" w:cs="Arial"/>
        </w:rPr>
      </w:pPr>
      <w:r w:rsidRPr="006F1D04">
        <w:rPr>
          <w:rFonts w:ascii="Arial" w:hAnsi="Arial" w:cs="Arial"/>
          <w:lang w:eastAsia="en-US"/>
        </w:rPr>
        <w:t>The overall results for the annual mean PM</w:t>
      </w:r>
      <w:r w:rsidRPr="006F1D04">
        <w:rPr>
          <w:rFonts w:ascii="Arial" w:hAnsi="Arial" w:cs="Arial"/>
          <w:vertAlign w:val="subscript"/>
          <w:lang w:eastAsia="en-US"/>
        </w:rPr>
        <w:t>10</w:t>
      </w:r>
      <w:r w:rsidRPr="006F1D04">
        <w:rPr>
          <w:rFonts w:ascii="Arial" w:hAnsi="Arial" w:cs="Arial"/>
          <w:lang w:eastAsia="en-US"/>
        </w:rPr>
        <w:t xml:space="preserve"> concentrations in each jurisdiction are shown in </w:t>
      </w:r>
      <w:r w:rsidRPr="006F1D04">
        <w:rPr>
          <w:rFonts w:ascii="Arial" w:hAnsi="Arial" w:cs="Arial"/>
          <w:b/>
          <w:lang w:eastAsia="en-US"/>
        </w:rPr>
        <w:t xml:space="preserve">Figure </w:t>
      </w:r>
      <w:r w:rsidR="00236133" w:rsidRPr="006F1D04">
        <w:rPr>
          <w:rFonts w:ascii="Arial" w:hAnsi="Arial" w:cs="Arial"/>
          <w:b/>
          <w:lang w:eastAsia="en-US"/>
        </w:rPr>
        <w:t>E.</w:t>
      </w:r>
      <w:r w:rsidRPr="006F1D04">
        <w:rPr>
          <w:rFonts w:ascii="Arial" w:hAnsi="Arial" w:cs="Arial"/>
          <w:b/>
          <w:lang w:eastAsia="en-US"/>
        </w:rPr>
        <w:t>3</w:t>
      </w:r>
      <w:r w:rsidRPr="006F1D04">
        <w:rPr>
          <w:rFonts w:ascii="Arial" w:hAnsi="Arial" w:cs="Arial"/>
          <w:lang w:eastAsia="en-US"/>
        </w:rPr>
        <w:t>. The shading around the line in each graph represents the 95% confidence interval</w:t>
      </w:r>
      <w:r w:rsidRPr="006F1D04">
        <w:rPr>
          <w:rStyle w:val="FootnoteReference"/>
          <w:rFonts w:ascii="Arial" w:hAnsi="Arial" w:cs="Arial"/>
          <w:lang w:eastAsia="en-US"/>
        </w:rPr>
        <w:footnoteReference w:id="43"/>
      </w:r>
      <w:r w:rsidRPr="006F1D04">
        <w:rPr>
          <w:rFonts w:ascii="Arial" w:hAnsi="Arial" w:cs="Arial"/>
          <w:lang w:eastAsia="en-US"/>
        </w:rPr>
        <w:t xml:space="preserve"> around the mean, and the data for NT reflect a change from one site (Casuarina) to another (Palmerston). In most jurisdictions there has been a general reduction in the overall annual mean PM</w:t>
      </w:r>
      <w:r w:rsidRPr="006F1D04">
        <w:rPr>
          <w:rFonts w:ascii="Arial" w:hAnsi="Arial" w:cs="Arial"/>
          <w:vertAlign w:val="subscript"/>
          <w:lang w:eastAsia="en-US"/>
        </w:rPr>
        <w:t>10</w:t>
      </w:r>
      <w:r w:rsidRPr="006F1D04">
        <w:rPr>
          <w:rFonts w:ascii="Arial" w:hAnsi="Arial" w:cs="Arial"/>
          <w:lang w:eastAsia="en-US"/>
        </w:rPr>
        <w:t xml:space="preserve"> concentrations between 2003 and 2012. The main exceptions are SA and WA, where concentrations have remained relatively steady, and NT, where concentrations have increased in recent years (although there are few monitoring sites in NT, and full data sets are not available for all </w:t>
      </w:r>
      <w:r w:rsidRPr="006F1D04">
        <w:rPr>
          <w:rFonts w:ascii="Arial" w:hAnsi="Arial" w:cs="Arial"/>
          <w:lang w:eastAsia="en-US"/>
        </w:rPr>
        <w:lastRenderedPageBreak/>
        <w:t xml:space="preserve">years). </w:t>
      </w:r>
      <w:r w:rsidRPr="006F1D04">
        <w:rPr>
          <w:rFonts w:ascii="Arial" w:hAnsi="Arial" w:cs="Arial"/>
        </w:rPr>
        <w:t>There is currently no annual mean standard for PM</w:t>
      </w:r>
      <w:r w:rsidRPr="006F1D04">
        <w:rPr>
          <w:rFonts w:ascii="Arial" w:hAnsi="Arial" w:cs="Arial"/>
          <w:vertAlign w:val="subscript"/>
        </w:rPr>
        <w:t>10</w:t>
      </w:r>
      <w:r w:rsidRPr="006F1D04">
        <w:rPr>
          <w:rFonts w:ascii="Arial" w:hAnsi="Arial" w:cs="Arial"/>
        </w:rPr>
        <w:t xml:space="preserve"> in the </w:t>
      </w:r>
      <w:r w:rsidR="00EF24F8" w:rsidRPr="006F1D04">
        <w:rPr>
          <w:rFonts w:ascii="Arial" w:hAnsi="Arial" w:cs="Arial"/>
        </w:rPr>
        <w:t>AAQ NEPM</w:t>
      </w:r>
      <w:r w:rsidRPr="006F1D04">
        <w:rPr>
          <w:rFonts w:ascii="Arial" w:hAnsi="Arial" w:cs="Arial"/>
        </w:rPr>
        <w:t xml:space="preserve"> against which these trends can be evaluated. In some jurisdictions there is a peak in 2009. This is associated with the unusually warm, dry weather during the year, and the occurrence of several major dust storms.</w:t>
      </w:r>
    </w:p>
    <w:p w:rsidR="00F41392" w:rsidRPr="006F1D04" w:rsidRDefault="00F41392" w:rsidP="00F41392">
      <w:pPr>
        <w:rPr>
          <w:rFonts w:ascii="Arial" w:hAnsi="Arial" w:cs="Arial"/>
        </w:rPr>
      </w:pPr>
      <w:r w:rsidRPr="006F1D04">
        <w:rPr>
          <w:rFonts w:ascii="Arial" w:hAnsi="Arial" w:cs="Arial"/>
        </w:rPr>
        <w:t>It should be noted that these trends can be affected significantly by changes in instrumentation at a site (</w:t>
      </w:r>
      <w:r w:rsidR="009334F4" w:rsidRPr="006F1D04">
        <w:rPr>
          <w:rFonts w:ascii="Arial" w:hAnsi="Arial" w:cs="Arial"/>
        </w:rPr>
        <w:t>e.g.</w:t>
      </w:r>
      <w:r w:rsidRPr="006F1D04">
        <w:rPr>
          <w:rFonts w:ascii="Arial" w:hAnsi="Arial" w:cs="Arial"/>
        </w:rPr>
        <w:t xml:space="preserve"> one type of instrument can give results that are systematically lower or higher than another), the relocation of a monitoring site, or a change in the number/distribution of sites. Some caution is therefore needed when interpreting the trends. Nevertheless, </w:t>
      </w:r>
      <w:r w:rsidRPr="006F1D04">
        <w:rPr>
          <w:rFonts w:ascii="Arial" w:hAnsi="Arial" w:cs="Arial"/>
          <w:lang w:eastAsia="en-US"/>
        </w:rPr>
        <w:t>it could be argued with some degree of confidence that the data for NSW and Victoria provide good indications of the underlying trend in PM</w:t>
      </w:r>
      <w:r w:rsidRPr="006F1D04">
        <w:rPr>
          <w:rFonts w:ascii="Arial" w:hAnsi="Arial" w:cs="Arial"/>
          <w:vertAlign w:val="subscript"/>
          <w:lang w:eastAsia="en-US"/>
        </w:rPr>
        <w:t>10</w:t>
      </w:r>
      <w:r w:rsidRPr="006F1D04">
        <w:rPr>
          <w:rFonts w:ascii="Arial" w:hAnsi="Arial" w:cs="Arial"/>
          <w:lang w:eastAsia="en-US"/>
        </w:rPr>
        <w:t>, as the data are generally more consistent than in the other jurisdictions. Where there is no shading (as in the case of NT and ACT), it is because only one value (site) was available and therefore the confidence interval could not be calculated.</w:t>
      </w:r>
    </w:p>
    <w:p w:rsidR="00F41392" w:rsidRPr="006F1D04" w:rsidRDefault="00F41392" w:rsidP="00F41392">
      <w:pPr>
        <w:rPr>
          <w:rFonts w:ascii="Arial" w:hAnsi="Arial" w:cs="Arial"/>
          <w:lang w:eastAsia="en-US"/>
        </w:rPr>
      </w:pPr>
      <w:r w:rsidRPr="006F1D04">
        <w:rPr>
          <w:rFonts w:ascii="Arial" w:hAnsi="Arial" w:cs="Arial"/>
          <w:lang w:eastAsia="en-US"/>
        </w:rPr>
        <w:t>The trends for annual mean PM</w:t>
      </w:r>
      <w:r w:rsidRPr="006F1D04">
        <w:rPr>
          <w:rFonts w:ascii="Arial" w:hAnsi="Arial" w:cs="Arial"/>
          <w:vertAlign w:val="subscript"/>
          <w:lang w:eastAsia="en-US"/>
        </w:rPr>
        <w:t>2.5</w:t>
      </w:r>
      <w:r w:rsidRPr="006F1D04">
        <w:rPr>
          <w:rFonts w:ascii="Arial" w:hAnsi="Arial" w:cs="Arial"/>
          <w:lang w:eastAsia="en-US"/>
        </w:rPr>
        <w:t xml:space="preserve"> are shown in </w:t>
      </w:r>
      <w:r w:rsidRPr="006F1D04">
        <w:rPr>
          <w:rFonts w:ascii="Arial" w:hAnsi="Arial" w:cs="Arial"/>
          <w:b/>
          <w:lang w:eastAsia="en-US"/>
        </w:rPr>
        <w:t>Figure E.4</w:t>
      </w:r>
      <w:r w:rsidRPr="006F1D04">
        <w:rPr>
          <w:rFonts w:ascii="Arial" w:hAnsi="Arial" w:cs="Arial"/>
          <w:lang w:eastAsia="en-US"/>
        </w:rPr>
        <w:t>. The data for Tasmania exclude the ANSTO Cape Grim site. The general trends for PM</w:t>
      </w:r>
      <w:r w:rsidRPr="006F1D04">
        <w:rPr>
          <w:rFonts w:ascii="Arial" w:hAnsi="Arial" w:cs="Arial"/>
          <w:vertAlign w:val="subscript"/>
          <w:lang w:eastAsia="en-US"/>
        </w:rPr>
        <w:t>2.5</w:t>
      </w:r>
      <w:r w:rsidRPr="006F1D04">
        <w:rPr>
          <w:rFonts w:ascii="Arial" w:hAnsi="Arial" w:cs="Arial"/>
          <w:lang w:eastAsia="en-US"/>
        </w:rPr>
        <w:t xml:space="preserve"> were similar to those for PM</w:t>
      </w:r>
      <w:r w:rsidRPr="006F1D04">
        <w:rPr>
          <w:rFonts w:ascii="Arial" w:hAnsi="Arial" w:cs="Arial"/>
          <w:vertAlign w:val="subscript"/>
          <w:lang w:eastAsia="en-US"/>
        </w:rPr>
        <w:t>10</w:t>
      </w:r>
      <w:r w:rsidRPr="006F1D04">
        <w:rPr>
          <w:rFonts w:ascii="Arial" w:hAnsi="Arial" w:cs="Arial"/>
          <w:lang w:eastAsia="en-US"/>
        </w:rPr>
        <w:t>. The data for Queensland can effectively be separated into two periods (2003</w:t>
      </w:r>
      <w:r w:rsidR="00640540" w:rsidRPr="006F1D04">
        <w:rPr>
          <w:rFonts w:ascii="Arial" w:hAnsi="Arial" w:cs="Arial"/>
          <w:lang w:eastAsia="en-US"/>
        </w:rPr>
        <w:t>–</w:t>
      </w:r>
      <w:r w:rsidRPr="006F1D04">
        <w:rPr>
          <w:rFonts w:ascii="Arial" w:hAnsi="Arial" w:cs="Arial"/>
          <w:lang w:eastAsia="en-US"/>
        </w:rPr>
        <w:t>2008 and 2009</w:t>
      </w:r>
      <w:r w:rsidR="00640540" w:rsidRPr="006F1D04">
        <w:rPr>
          <w:rFonts w:ascii="Arial" w:hAnsi="Arial" w:cs="Arial"/>
          <w:lang w:eastAsia="en-US"/>
        </w:rPr>
        <w:t>–</w:t>
      </w:r>
      <w:r w:rsidRPr="006F1D04">
        <w:rPr>
          <w:rFonts w:ascii="Arial" w:hAnsi="Arial" w:cs="Arial"/>
          <w:lang w:eastAsia="en-US"/>
        </w:rPr>
        <w:t>2012) on account of the introduction of several new monitoring sites in 2009 and the switch from TEOM to FDMS instruments at several sites. With the exception of NT, the overall average annual mean PM</w:t>
      </w:r>
      <w:r w:rsidRPr="006F1D04">
        <w:rPr>
          <w:rFonts w:ascii="Arial" w:hAnsi="Arial" w:cs="Arial"/>
          <w:vertAlign w:val="subscript"/>
          <w:lang w:eastAsia="en-US"/>
        </w:rPr>
        <w:t>2.5</w:t>
      </w:r>
      <w:r w:rsidRPr="006F1D04">
        <w:rPr>
          <w:rFonts w:ascii="Arial" w:hAnsi="Arial" w:cs="Arial"/>
          <w:lang w:eastAsia="en-US"/>
        </w:rPr>
        <w:t xml:space="preserve"> concentration in 2012 was below the advisory reporting standard of 8 </w:t>
      </w:r>
      <w:proofErr w:type="spellStart"/>
      <w:r w:rsidRPr="006F1D04">
        <w:rPr>
          <w:rFonts w:ascii="Arial" w:hAnsi="Arial" w:cs="Arial"/>
          <w:lang w:eastAsia="en-US"/>
        </w:rPr>
        <w:t>μg</w:t>
      </w:r>
      <w:proofErr w:type="spellEnd"/>
      <w:r w:rsidRPr="006F1D04">
        <w:rPr>
          <w:rFonts w:ascii="Arial" w:hAnsi="Arial" w:cs="Arial"/>
          <w:lang w:eastAsia="en-US"/>
        </w:rPr>
        <w:t>/m</w:t>
      </w:r>
      <w:r w:rsidRPr="006F1D04">
        <w:rPr>
          <w:rFonts w:ascii="Arial" w:hAnsi="Arial" w:cs="Arial"/>
          <w:vertAlign w:val="superscript"/>
          <w:lang w:eastAsia="en-US"/>
        </w:rPr>
        <w:t>3</w:t>
      </w:r>
      <w:r w:rsidRPr="006F1D04">
        <w:rPr>
          <w:rFonts w:ascii="Arial" w:hAnsi="Arial" w:cs="Arial"/>
          <w:lang w:eastAsia="en-US"/>
        </w:rPr>
        <w:t xml:space="preserve"> in the AAQ NEPM. In WA the PM</w:t>
      </w:r>
      <w:r w:rsidRPr="006F1D04">
        <w:rPr>
          <w:rFonts w:ascii="Arial" w:hAnsi="Arial" w:cs="Arial"/>
          <w:vertAlign w:val="subscript"/>
          <w:lang w:eastAsia="en-US"/>
        </w:rPr>
        <w:t>2.5</w:t>
      </w:r>
      <w:r w:rsidRPr="006F1D04">
        <w:rPr>
          <w:rFonts w:ascii="Arial" w:hAnsi="Arial" w:cs="Arial"/>
          <w:lang w:eastAsia="en-US"/>
        </w:rPr>
        <w:t xml:space="preserve"> concentration appears to have stabilised at around 5 </w:t>
      </w:r>
      <w:proofErr w:type="spellStart"/>
      <w:r w:rsidRPr="006F1D04">
        <w:rPr>
          <w:rFonts w:ascii="Arial" w:hAnsi="Arial" w:cs="Arial"/>
          <w:lang w:eastAsia="en-US"/>
        </w:rPr>
        <w:t>μg</w:t>
      </w:r>
      <w:proofErr w:type="spellEnd"/>
      <w:r w:rsidRPr="006F1D04">
        <w:rPr>
          <w:rFonts w:ascii="Arial" w:hAnsi="Arial" w:cs="Arial"/>
          <w:lang w:eastAsia="en-US"/>
        </w:rPr>
        <w:t>/m</w:t>
      </w:r>
      <w:r w:rsidRPr="006F1D04">
        <w:rPr>
          <w:rFonts w:ascii="Arial" w:hAnsi="Arial" w:cs="Arial"/>
          <w:vertAlign w:val="superscript"/>
          <w:lang w:eastAsia="en-US"/>
        </w:rPr>
        <w:t>3</w:t>
      </w:r>
      <w:r w:rsidRPr="006F1D04">
        <w:rPr>
          <w:rFonts w:ascii="Arial" w:hAnsi="Arial" w:cs="Arial"/>
          <w:lang w:eastAsia="en-US"/>
        </w:rPr>
        <w:t>, and in NT the concentration appears to be increasing (based on a limited data set).</w:t>
      </w:r>
    </w:p>
    <w:p w:rsidR="00F41392" w:rsidRPr="006F1D04" w:rsidRDefault="00F41392" w:rsidP="00F41392">
      <w:pPr>
        <w:rPr>
          <w:rFonts w:ascii="Arial" w:hAnsi="Arial" w:cs="Arial"/>
          <w:lang w:eastAsia="en-US"/>
        </w:rPr>
      </w:pPr>
      <w:r w:rsidRPr="006F1D04">
        <w:rPr>
          <w:rFonts w:ascii="Arial" w:hAnsi="Arial" w:cs="Arial"/>
          <w:lang w:eastAsia="en-US"/>
        </w:rPr>
        <w:t>The trends in the ratio of PM</w:t>
      </w:r>
      <w:r w:rsidRPr="006F1D04">
        <w:rPr>
          <w:rFonts w:ascii="Arial" w:hAnsi="Arial" w:cs="Arial"/>
          <w:vertAlign w:val="subscript"/>
          <w:lang w:eastAsia="en-US"/>
        </w:rPr>
        <w:t>2.5</w:t>
      </w:r>
      <w:r w:rsidRPr="006F1D04">
        <w:rPr>
          <w:rFonts w:ascii="Arial" w:hAnsi="Arial" w:cs="Arial"/>
          <w:lang w:eastAsia="en-US"/>
        </w:rPr>
        <w:t xml:space="preserve"> to PM</w:t>
      </w:r>
      <w:r w:rsidRPr="006F1D04">
        <w:rPr>
          <w:rFonts w:ascii="Arial" w:hAnsi="Arial" w:cs="Arial"/>
          <w:vertAlign w:val="subscript"/>
          <w:lang w:eastAsia="en-US"/>
        </w:rPr>
        <w:t>10</w:t>
      </w:r>
      <w:r w:rsidRPr="006F1D04">
        <w:rPr>
          <w:rFonts w:ascii="Arial" w:hAnsi="Arial" w:cs="Arial"/>
          <w:lang w:eastAsia="en-US"/>
        </w:rPr>
        <w:t>, for the sites where these metrics were measured concurrently, are shown in</w:t>
      </w:r>
      <w:r w:rsidRPr="006F1D04">
        <w:rPr>
          <w:rFonts w:ascii="Arial" w:hAnsi="Arial" w:cs="Arial"/>
          <w:b/>
          <w:lang w:eastAsia="en-US"/>
        </w:rPr>
        <w:t xml:space="preserve"> Figure E.5</w:t>
      </w:r>
      <w:r w:rsidRPr="006F1D04">
        <w:rPr>
          <w:rFonts w:ascii="Arial" w:hAnsi="Arial" w:cs="Arial"/>
          <w:lang w:eastAsia="en-US"/>
        </w:rPr>
        <w:t>. The ratio appears to be quite stable with time in most jurisdictions, but there are some differences in the value. For example, the ratio is higher in SA and Tasmania than in NSW, Victoria, Queensland and WA. It should be noted that different types of instrument were used to measure PM</w:t>
      </w:r>
      <w:r w:rsidRPr="006F1D04">
        <w:rPr>
          <w:rFonts w:ascii="Arial" w:hAnsi="Arial" w:cs="Arial"/>
          <w:vertAlign w:val="subscript"/>
          <w:lang w:eastAsia="en-US"/>
        </w:rPr>
        <w:t>10</w:t>
      </w:r>
      <w:r w:rsidRPr="006F1D04">
        <w:rPr>
          <w:rFonts w:ascii="Arial" w:hAnsi="Arial" w:cs="Arial"/>
          <w:lang w:eastAsia="en-US"/>
        </w:rPr>
        <w:t xml:space="preserve"> and PM</w:t>
      </w:r>
      <w:r w:rsidRPr="006F1D04">
        <w:rPr>
          <w:rFonts w:ascii="Arial" w:hAnsi="Arial" w:cs="Arial"/>
          <w:vertAlign w:val="subscript"/>
          <w:lang w:eastAsia="en-US"/>
        </w:rPr>
        <w:t>2.5</w:t>
      </w:r>
      <w:r w:rsidRPr="006F1D04">
        <w:rPr>
          <w:rFonts w:ascii="Arial" w:hAnsi="Arial" w:cs="Arial"/>
          <w:lang w:eastAsia="en-US"/>
        </w:rPr>
        <w:t xml:space="preserve"> in the ACT, and the ratios cannot be considered to be very reliable.</w:t>
      </w:r>
    </w:p>
    <w:p w:rsidR="00F41392" w:rsidRPr="006F1D04" w:rsidRDefault="00F41392" w:rsidP="00F41392">
      <w:pPr>
        <w:rPr>
          <w:rFonts w:ascii="Arial" w:hAnsi="Arial" w:cs="Arial"/>
          <w:lang w:eastAsia="en-US"/>
        </w:rPr>
      </w:pPr>
      <w:r w:rsidRPr="006F1D04">
        <w:rPr>
          <w:rFonts w:ascii="Arial" w:hAnsi="Arial" w:cs="Arial"/>
          <w:lang w:eastAsia="en-US"/>
        </w:rPr>
        <w:t>For both PM</w:t>
      </w:r>
      <w:r w:rsidRPr="006F1D04">
        <w:rPr>
          <w:rFonts w:ascii="Arial" w:hAnsi="Arial" w:cs="Arial"/>
          <w:vertAlign w:val="subscript"/>
          <w:lang w:eastAsia="en-US"/>
        </w:rPr>
        <w:t>10</w:t>
      </w:r>
      <w:r w:rsidRPr="006F1D04">
        <w:rPr>
          <w:rFonts w:ascii="Arial" w:hAnsi="Arial" w:cs="Arial"/>
          <w:lang w:eastAsia="en-US"/>
        </w:rPr>
        <w:t xml:space="preserve"> and PM</w:t>
      </w:r>
      <w:r w:rsidRPr="006F1D04">
        <w:rPr>
          <w:rFonts w:ascii="Arial" w:hAnsi="Arial" w:cs="Arial"/>
          <w:vertAlign w:val="subscript"/>
          <w:lang w:eastAsia="en-US"/>
        </w:rPr>
        <w:t>2.5</w:t>
      </w:r>
      <w:r w:rsidRPr="006F1D04">
        <w:rPr>
          <w:rFonts w:ascii="Arial" w:hAnsi="Arial" w:cs="Arial"/>
          <w:lang w:eastAsia="en-US"/>
        </w:rPr>
        <w:t xml:space="preserve"> in each jurisdiction, </w:t>
      </w:r>
      <w:r w:rsidRPr="006F1D04">
        <w:rPr>
          <w:rFonts w:ascii="Arial" w:hAnsi="Arial" w:cs="Arial"/>
          <w:b/>
          <w:lang w:eastAsia="en-US"/>
        </w:rPr>
        <w:t xml:space="preserve">Table E.1 </w:t>
      </w:r>
      <w:r w:rsidRPr="006F1D04">
        <w:rPr>
          <w:rFonts w:ascii="Arial" w:hAnsi="Arial" w:cs="Arial"/>
          <w:lang w:eastAsia="en-US"/>
        </w:rPr>
        <w:t>shows the average annual change in concentration and the significance of the trend between 2003 and 2012 (or the shorter periods mentioned above for PM</w:t>
      </w:r>
      <w:r w:rsidRPr="006F1D04">
        <w:rPr>
          <w:rFonts w:ascii="Arial" w:hAnsi="Arial" w:cs="Arial"/>
          <w:vertAlign w:val="subscript"/>
          <w:lang w:eastAsia="en-US"/>
        </w:rPr>
        <w:t>2.5</w:t>
      </w:r>
      <w:r w:rsidRPr="006F1D04">
        <w:rPr>
          <w:rFonts w:ascii="Arial" w:hAnsi="Arial" w:cs="Arial"/>
          <w:lang w:eastAsia="en-US"/>
        </w:rPr>
        <w:t xml:space="preserve"> in Queensland). The Mann–Kendall nonparametric test was used to determine the significance of trends at the 95% confidence level. This showed that there was a significant downward trend in PM</w:t>
      </w:r>
      <w:r w:rsidRPr="006F1D04">
        <w:rPr>
          <w:rFonts w:ascii="Arial" w:hAnsi="Arial" w:cs="Arial"/>
          <w:vertAlign w:val="subscript"/>
          <w:lang w:eastAsia="en-US"/>
        </w:rPr>
        <w:t>10</w:t>
      </w:r>
      <w:r w:rsidRPr="006F1D04">
        <w:rPr>
          <w:rFonts w:ascii="Arial" w:hAnsi="Arial" w:cs="Arial"/>
          <w:lang w:eastAsia="en-US"/>
        </w:rPr>
        <w:t xml:space="preserve"> concentrations in three jurisdictions: NSW (</w:t>
      </w:r>
      <w:r w:rsidR="00640540" w:rsidRPr="006F1D04">
        <w:rPr>
          <w:rFonts w:ascii="Arial" w:hAnsi="Arial" w:cs="Arial"/>
          <w:lang w:eastAsia="en-US"/>
        </w:rPr>
        <w:t>–</w:t>
      </w:r>
      <w:r w:rsidRPr="006F1D04">
        <w:rPr>
          <w:rFonts w:ascii="Arial" w:hAnsi="Arial" w:cs="Arial"/>
          <w:lang w:eastAsia="en-US"/>
        </w:rPr>
        <w:t xml:space="preserve">0.45 </w:t>
      </w:r>
      <w:proofErr w:type="spellStart"/>
      <w:r w:rsidRPr="006F1D04">
        <w:rPr>
          <w:rFonts w:ascii="Arial" w:hAnsi="Arial" w:cs="Arial"/>
          <w:lang w:eastAsia="en-US"/>
        </w:rPr>
        <w:t>μg</w:t>
      </w:r>
      <w:proofErr w:type="spellEnd"/>
      <w:r w:rsidRPr="006F1D04">
        <w:rPr>
          <w:rFonts w:ascii="Arial" w:hAnsi="Arial" w:cs="Arial"/>
          <w:lang w:eastAsia="en-US"/>
        </w:rPr>
        <w:t>/m</w:t>
      </w:r>
      <w:r w:rsidRPr="006F1D04">
        <w:rPr>
          <w:rFonts w:ascii="Arial" w:hAnsi="Arial" w:cs="Arial"/>
          <w:vertAlign w:val="superscript"/>
          <w:lang w:eastAsia="en-US"/>
        </w:rPr>
        <w:t>3</w:t>
      </w:r>
      <w:r w:rsidRPr="006F1D04">
        <w:rPr>
          <w:rFonts w:ascii="Arial" w:hAnsi="Arial" w:cs="Arial"/>
          <w:lang w:eastAsia="en-US"/>
        </w:rPr>
        <w:t xml:space="preserve"> per year), Tasmania (</w:t>
      </w:r>
      <w:r w:rsidR="00640540" w:rsidRPr="006F1D04">
        <w:rPr>
          <w:rFonts w:ascii="Arial" w:hAnsi="Arial" w:cs="Arial"/>
          <w:lang w:eastAsia="en-US"/>
        </w:rPr>
        <w:t>–</w:t>
      </w:r>
      <w:r w:rsidRPr="006F1D04">
        <w:rPr>
          <w:rFonts w:ascii="Arial" w:hAnsi="Arial" w:cs="Arial"/>
          <w:lang w:eastAsia="en-US"/>
        </w:rPr>
        <w:t xml:space="preserve">0.65 </w:t>
      </w:r>
      <w:proofErr w:type="spellStart"/>
      <w:r w:rsidRPr="006F1D04">
        <w:rPr>
          <w:rFonts w:ascii="Arial" w:hAnsi="Arial" w:cs="Arial"/>
          <w:lang w:eastAsia="en-US"/>
        </w:rPr>
        <w:t>μg</w:t>
      </w:r>
      <w:proofErr w:type="spellEnd"/>
      <w:r w:rsidRPr="006F1D04">
        <w:rPr>
          <w:rFonts w:ascii="Arial" w:hAnsi="Arial" w:cs="Arial"/>
          <w:lang w:eastAsia="en-US"/>
        </w:rPr>
        <w:t>/m</w:t>
      </w:r>
      <w:r w:rsidRPr="006F1D04">
        <w:rPr>
          <w:rFonts w:ascii="Arial" w:hAnsi="Arial" w:cs="Arial"/>
          <w:vertAlign w:val="superscript"/>
          <w:lang w:eastAsia="en-US"/>
        </w:rPr>
        <w:t>3</w:t>
      </w:r>
      <w:r w:rsidRPr="006F1D04">
        <w:rPr>
          <w:rFonts w:ascii="Arial" w:hAnsi="Arial" w:cs="Arial"/>
          <w:lang w:eastAsia="en-US"/>
        </w:rPr>
        <w:t xml:space="preserve"> per year) and the ACT (</w:t>
      </w:r>
      <w:r w:rsidR="00640540" w:rsidRPr="006F1D04">
        <w:rPr>
          <w:rFonts w:ascii="Arial" w:hAnsi="Arial" w:cs="Arial"/>
          <w:lang w:eastAsia="en-US"/>
        </w:rPr>
        <w:t>–</w:t>
      </w:r>
      <w:r w:rsidRPr="006F1D04">
        <w:rPr>
          <w:rFonts w:ascii="Arial" w:hAnsi="Arial" w:cs="Arial"/>
          <w:lang w:eastAsia="en-US"/>
        </w:rPr>
        <w:t xml:space="preserve">0.56 </w:t>
      </w:r>
      <w:proofErr w:type="spellStart"/>
      <w:r w:rsidRPr="006F1D04">
        <w:rPr>
          <w:rFonts w:ascii="Arial" w:hAnsi="Arial" w:cs="Arial"/>
          <w:lang w:eastAsia="en-US"/>
        </w:rPr>
        <w:t>μg</w:t>
      </w:r>
      <w:proofErr w:type="spellEnd"/>
      <w:r w:rsidRPr="006F1D04">
        <w:rPr>
          <w:rFonts w:ascii="Arial" w:hAnsi="Arial" w:cs="Arial"/>
          <w:lang w:eastAsia="en-US"/>
        </w:rPr>
        <w:t>/m</w:t>
      </w:r>
      <w:r w:rsidRPr="006F1D04">
        <w:rPr>
          <w:rFonts w:ascii="Arial" w:hAnsi="Arial" w:cs="Arial"/>
          <w:vertAlign w:val="superscript"/>
          <w:lang w:eastAsia="en-US"/>
        </w:rPr>
        <w:t>3</w:t>
      </w:r>
      <w:r w:rsidRPr="006F1D04">
        <w:rPr>
          <w:rFonts w:ascii="Arial" w:hAnsi="Arial" w:cs="Arial"/>
          <w:lang w:eastAsia="en-US"/>
        </w:rPr>
        <w:t xml:space="preserve"> per year). There were no significant trends in annual mean PM</w:t>
      </w:r>
      <w:r w:rsidRPr="006F1D04">
        <w:rPr>
          <w:rFonts w:ascii="Arial" w:hAnsi="Arial" w:cs="Arial"/>
          <w:vertAlign w:val="subscript"/>
          <w:lang w:eastAsia="en-US"/>
        </w:rPr>
        <w:t>10</w:t>
      </w:r>
      <w:r w:rsidRPr="006F1D04">
        <w:rPr>
          <w:rFonts w:ascii="Arial" w:hAnsi="Arial" w:cs="Arial"/>
          <w:lang w:eastAsia="en-US"/>
        </w:rPr>
        <w:t xml:space="preserve"> concentrations in the other jurisdictions.</w:t>
      </w:r>
    </w:p>
    <w:p w:rsidR="00F41392" w:rsidRPr="006F1D04" w:rsidRDefault="00F41392" w:rsidP="00F41392">
      <w:pPr>
        <w:rPr>
          <w:rFonts w:ascii="Arial" w:hAnsi="Arial" w:cs="Arial"/>
          <w:lang w:eastAsia="en-US"/>
        </w:rPr>
      </w:pPr>
      <w:r w:rsidRPr="006F1D04">
        <w:rPr>
          <w:rFonts w:ascii="Arial" w:hAnsi="Arial" w:cs="Arial"/>
          <w:lang w:eastAsia="en-US"/>
        </w:rPr>
        <w:t>In the case of PM</w:t>
      </w:r>
      <w:r w:rsidRPr="006F1D04">
        <w:rPr>
          <w:rFonts w:ascii="Arial" w:hAnsi="Arial" w:cs="Arial"/>
          <w:vertAlign w:val="subscript"/>
          <w:lang w:eastAsia="en-US"/>
        </w:rPr>
        <w:t>2.5</w:t>
      </w:r>
      <w:r w:rsidRPr="006F1D04">
        <w:rPr>
          <w:rFonts w:ascii="Arial" w:hAnsi="Arial" w:cs="Arial"/>
          <w:lang w:eastAsia="en-US"/>
        </w:rPr>
        <w:t xml:space="preserve"> there was a significant downward trend in concentrations in NSW (</w:t>
      </w:r>
      <w:r w:rsidR="00640540" w:rsidRPr="006F1D04">
        <w:rPr>
          <w:rFonts w:ascii="Arial" w:hAnsi="Arial" w:cs="Arial"/>
          <w:lang w:eastAsia="en-US"/>
        </w:rPr>
        <w:t>–</w:t>
      </w:r>
      <w:r w:rsidRPr="006F1D04">
        <w:rPr>
          <w:rFonts w:ascii="Arial" w:hAnsi="Arial" w:cs="Arial"/>
          <w:lang w:eastAsia="en-US"/>
        </w:rPr>
        <w:t xml:space="preserve">0.15 </w:t>
      </w:r>
      <w:proofErr w:type="spellStart"/>
      <w:r w:rsidRPr="006F1D04">
        <w:rPr>
          <w:rFonts w:ascii="Arial" w:hAnsi="Arial" w:cs="Arial"/>
          <w:lang w:eastAsia="en-US"/>
        </w:rPr>
        <w:t>μg</w:t>
      </w:r>
      <w:proofErr w:type="spellEnd"/>
      <w:r w:rsidRPr="006F1D04">
        <w:rPr>
          <w:rFonts w:ascii="Arial" w:hAnsi="Arial" w:cs="Arial"/>
          <w:lang w:eastAsia="en-US"/>
        </w:rPr>
        <w:t>/m</w:t>
      </w:r>
      <w:r w:rsidRPr="006F1D04">
        <w:rPr>
          <w:rFonts w:ascii="Arial" w:hAnsi="Arial" w:cs="Arial"/>
          <w:vertAlign w:val="superscript"/>
          <w:lang w:eastAsia="en-US"/>
        </w:rPr>
        <w:t>3</w:t>
      </w:r>
      <w:r w:rsidRPr="006F1D04">
        <w:rPr>
          <w:rFonts w:ascii="Arial" w:hAnsi="Arial" w:cs="Arial"/>
          <w:lang w:eastAsia="en-US"/>
        </w:rPr>
        <w:t xml:space="preserve"> per year), Victoria (</w:t>
      </w:r>
      <w:r w:rsidR="00640540" w:rsidRPr="006F1D04">
        <w:rPr>
          <w:rFonts w:ascii="Arial" w:hAnsi="Arial" w:cs="Arial"/>
          <w:lang w:eastAsia="en-US"/>
        </w:rPr>
        <w:t>–</w:t>
      </w:r>
      <w:r w:rsidRPr="006F1D04">
        <w:rPr>
          <w:rFonts w:ascii="Arial" w:hAnsi="Arial" w:cs="Arial"/>
          <w:lang w:eastAsia="en-US"/>
        </w:rPr>
        <w:t xml:space="preserve">0.20 </w:t>
      </w:r>
      <w:proofErr w:type="spellStart"/>
      <w:r w:rsidRPr="006F1D04">
        <w:rPr>
          <w:rFonts w:ascii="Arial" w:hAnsi="Arial" w:cs="Arial"/>
          <w:lang w:eastAsia="en-US"/>
        </w:rPr>
        <w:t>μg</w:t>
      </w:r>
      <w:proofErr w:type="spellEnd"/>
      <w:r w:rsidRPr="006F1D04">
        <w:rPr>
          <w:rFonts w:ascii="Arial" w:hAnsi="Arial" w:cs="Arial"/>
          <w:lang w:eastAsia="en-US"/>
        </w:rPr>
        <w:t>/m</w:t>
      </w:r>
      <w:r w:rsidRPr="006F1D04">
        <w:rPr>
          <w:rFonts w:ascii="Arial" w:hAnsi="Arial" w:cs="Arial"/>
          <w:vertAlign w:val="superscript"/>
          <w:lang w:eastAsia="en-US"/>
        </w:rPr>
        <w:t>3</w:t>
      </w:r>
      <w:r w:rsidRPr="006F1D04">
        <w:rPr>
          <w:rFonts w:ascii="Arial" w:hAnsi="Arial" w:cs="Arial"/>
          <w:lang w:eastAsia="en-US"/>
        </w:rPr>
        <w:t xml:space="preserve"> per year), Queensland (2003</w:t>
      </w:r>
      <w:r w:rsidR="00640540" w:rsidRPr="006F1D04">
        <w:rPr>
          <w:rFonts w:ascii="Arial" w:hAnsi="Arial" w:cs="Arial"/>
          <w:lang w:eastAsia="en-US"/>
        </w:rPr>
        <w:t>–</w:t>
      </w:r>
      <w:r w:rsidRPr="006F1D04">
        <w:rPr>
          <w:rFonts w:ascii="Arial" w:hAnsi="Arial" w:cs="Arial"/>
          <w:lang w:eastAsia="en-US"/>
        </w:rPr>
        <w:t xml:space="preserve">2008 period only; </w:t>
      </w:r>
      <w:r w:rsidR="00640540" w:rsidRPr="006F1D04">
        <w:rPr>
          <w:rFonts w:ascii="Arial" w:hAnsi="Arial" w:cs="Arial"/>
          <w:lang w:eastAsia="en-US"/>
        </w:rPr>
        <w:t>–</w:t>
      </w:r>
      <w:r w:rsidRPr="006F1D04">
        <w:rPr>
          <w:rFonts w:ascii="Arial" w:hAnsi="Arial" w:cs="Arial"/>
          <w:lang w:eastAsia="en-US"/>
        </w:rPr>
        <w:t xml:space="preserve">0.21 </w:t>
      </w:r>
      <w:proofErr w:type="spellStart"/>
      <w:r w:rsidRPr="006F1D04">
        <w:rPr>
          <w:rFonts w:ascii="Arial" w:hAnsi="Arial" w:cs="Arial"/>
          <w:lang w:eastAsia="en-US"/>
        </w:rPr>
        <w:t>μg</w:t>
      </w:r>
      <w:proofErr w:type="spellEnd"/>
      <w:r w:rsidRPr="006F1D04">
        <w:rPr>
          <w:rFonts w:ascii="Arial" w:hAnsi="Arial" w:cs="Arial"/>
          <w:lang w:eastAsia="en-US"/>
        </w:rPr>
        <w:t>/m</w:t>
      </w:r>
      <w:r w:rsidRPr="006F1D04">
        <w:rPr>
          <w:rFonts w:ascii="Arial" w:hAnsi="Arial" w:cs="Arial"/>
          <w:vertAlign w:val="superscript"/>
          <w:lang w:eastAsia="en-US"/>
        </w:rPr>
        <w:t>3</w:t>
      </w:r>
      <w:r w:rsidRPr="006F1D04">
        <w:rPr>
          <w:rFonts w:ascii="Arial" w:hAnsi="Arial" w:cs="Arial"/>
          <w:lang w:eastAsia="en-US"/>
        </w:rPr>
        <w:t xml:space="preserve"> per year), SA (</w:t>
      </w:r>
      <w:r w:rsidR="00640540" w:rsidRPr="006F1D04">
        <w:rPr>
          <w:rFonts w:ascii="Arial" w:hAnsi="Arial" w:cs="Arial"/>
          <w:lang w:eastAsia="en-US"/>
        </w:rPr>
        <w:t>–</w:t>
      </w:r>
      <w:r w:rsidRPr="006F1D04">
        <w:rPr>
          <w:rFonts w:ascii="Arial" w:hAnsi="Arial" w:cs="Arial"/>
          <w:lang w:eastAsia="en-US"/>
        </w:rPr>
        <w:t xml:space="preserve">0.19 </w:t>
      </w:r>
      <w:proofErr w:type="spellStart"/>
      <w:r w:rsidRPr="006F1D04">
        <w:rPr>
          <w:rFonts w:ascii="Arial" w:hAnsi="Arial" w:cs="Arial"/>
          <w:lang w:eastAsia="en-US"/>
        </w:rPr>
        <w:t>μg</w:t>
      </w:r>
      <w:proofErr w:type="spellEnd"/>
      <w:r w:rsidRPr="006F1D04">
        <w:rPr>
          <w:rFonts w:ascii="Arial" w:hAnsi="Arial" w:cs="Arial"/>
          <w:lang w:eastAsia="en-US"/>
        </w:rPr>
        <w:t>/m</w:t>
      </w:r>
      <w:r w:rsidRPr="006F1D04">
        <w:rPr>
          <w:rFonts w:ascii="Arial" w:hAnsi="Arial" w:cs="Arial"/>
          <w:vertAlign w:val="superscript"/>
          <w:lang w:eastAsia="en-US"/>
        </w:rPr>
        <w:t>3</w:t>
      </w:r>
      <w:r w:rsidRPr="006F1D04">
        <w:rPr>
          <w:rFonts w:ascii="Arial" w:hAnsi="Arial" w:cs="Arial"/>
          <w:lang w:eastAsia="en-US"/>
        </w:rPr>
        <w:t xml:space="preserve"> per year), and Tasmania (</w:t>
      </w:r>
      <w:r w:rsidR="00640540" w:rsidRPr="006F1D04">
        <w:rPr>
          <w:rFonts w:ascii="Arial" w:hAnsi="Arial" w:cs="Arial"/>
          <w:lang w:eastAsia="en-US"/>
        </w:rPr>
        <w:t>–</w:t>
      </w:r>
      <w:r w:rsidRPr="006F1D04">
        <w:rPr>
          <w:rFonts w:ascii="Arial" w:hAnsi="Arial" w:cs="Arial"/>
          <w:lang w:eastAsia="en-US"/>
        </w:rPr>
        <w:t xml:space="preserve">0.55 </w:t>
      </w:r>
      <w:proofErr w:type="spellStart"/>
      <w:r w:rsidRPr="006F1D04">
        <w:rPr>
          <w:rFonts w:ascii="Arial" w:hAnsi="Arial" w:cs="Arial"/>
          <w:lang w:eastAsia="en-US"/>
        </w:rPr>
        <w:t>μg</w:t>
      </w:r>
      <w:proofErr w:type="spellEnd"/>
      <w:r w:rsidRPr="006F1D04">
        <w:rPr>
          <w:rFonts w:ascii="Arial" w:hAnsi="Arial" w:cs="Arial"/>
          <w:lang w:eastAsia="en-US"/>
        </w:rPr>
        <w:t>/m</w:t>
      </w:r>
      <w:r w:rsidRPr="006F1D04">
        <w:rPr>
          <w:rFonts w:ascii="Arial" w:hAnsi="Arial" w:cs="Arial"/>
          <w:vertAlign w:val="superscript"/>
          <w:lang w:eastAsia="en-US"/>
        </w:rPr>
        <w:t>3</w:t>
      </w:r>
      <w:r w:rsidRPr="006F1D04">
        <w:rPr>
          <w:rFonts w:ascii="Arial" w:hAnsi="Arial" w:cs="Arial"/>
          <w:lang w:eastAsia="en-US"/>
        </w:rPr>
        <w:t xml:space="preserve"> per year). For the PM</w:t>
      </w:r>
      <w:r w:rsidRPr="006F1D04">
        <w:rPr>
          <w:rFonts w:ascii="Arial" w:hAnsi="Arial" w:cs="Arial"/>
          <w:vertAlign w:val="subscript"/>
          <w:lang w:eastAsia="en-US"/>
        </w:rPr>
        <w:t>2.5</w:t>
      </w:r>
      <w:r w:rsidRPr="006F1D04">
        <w:rPr>
          <w:rFonts w:ascii="Arial" w:hAnsi="Arial" w:cs="Arial"/>
          <w:lang w:eastAsia="en-US"/>
        </w:rPr>
        <w:t>:PM</w:t>
      </w:r>
      <w:r w:rsidRPr="006F1D04">
        <w:rPr>
          <w:rFonts w:ascii="Arial" w:hAnsi="Arial" w:cs="Arial"/>
          <w:vertAlign w:val="subscript"/>
          <w:lang w:eastAsia="en-US"/>
        </w:rPr>
        <w:t>10</w:t>
      </w:r>
      <w:r w:rsidRPr="006F1D04">
        <w:rPr>
          <w:rFonts w:ascii="Arial" w:hAnsi="Arial" w:cs="Arial"/>
          <w:lang w:eastAsia="en-US"/>
        </w:rPr>
        <w:t xml:space="preserve"> ratio, there was a significant downward trend in NSW and in Queensland (though only during 2003</w:t>
      </w:r>
      <w:r w:rsidR="00640540" w:rsidRPr="006F1D04">
        <w:rPr>
          <w:rFonts w:ascii="Arial" w:hAnsi="Arial" w:cs="Arial"/>
          <w:lang w:eastAsia="en-US"/>
        </w:rPr>
        <w:t>–</w:t>
      </w:r>
      <w:r w:rsidRPr="006F1D04">
        <w:rPr>
          <w:rFonts w:ascii="Arial" w:hAnsi="Arial" w:cs="Arial"/>
          <w:lang w:eastAsia="en-US"/>
        </w:rPr>
        <w:t>2008 in the case of the latter). These trends may be due in part to the increase in coal mining activity (a source of coarse particles) during this period.</w:t>
      </w:r>
    </w:p>
    <w:p w:rsidR="00D22244" w:rsidRPr="006F1D04" w:rsidRDefault="00D22244" w:rsidP="00D22244">
      <w:pPr>
        <w:spacing w:after="200"/>
        <w:rPr>
          <w:rFonts w:ascii="Arial" w:hAnsi="Arial" w:cs="Arial"/>
        </w:rPr>
      </w:pPr>
    </w:p>
    <w:p w:rsidR="00A81146" w:rsidRPr="006F1D04" w:rsidRDefault="006D7F17" w:rsidP="00D22244">
      <w:pPr>
        <w:jc w:val="center"/>
        <w:rPr>
          <w:rFonts w:ascii="Arial" w:hAnsi="Arial" w:cs="Arial"/>
        </w:rPr>
      </w:pPr>
      <w:r w:rsidRPr="006F1D04">
        <w:rPr>
          <w:rFonts w:ascii="Arial" w:hAnsi="Arial" w:cs="Arial"/>
          <w:noProof/>
        </w:rPr>
        <w:lastRenderedPageBreak/>
        <w:drawing>
          <wp:inline distT="0" distB="0" distL="0" distR="0">
            <wp:extent cx="5693410" cy="7371080"/>
            <wp:effectExtent l="19050" t="19050" r="21590" b="2032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69" t="1430" r="2274" b="1891"/>
                    <a:stretch>
                      <a:fillRect/>
                    </a:stretch>
                  </pic:blipFill>
                  <pic:spPr bwMode="auto">
                    <a:xfrm>
                      <a:off x="0" y="0"/>
                      <a:ext cx="5693410" cy="7371080"/>
                    </a:xfrm>
                    <a:prstGeom prst="rect">
                      <a:avLst/>
                    </a:prstGeom>
                    <a:noFill/>
                    <a:ln w="9525" cmpd="sng">
                      <a:solidFill>
                        <a:srgbClr val="0070C0"/>
                      </a:solidFill>
                      <a:miter lim="800000"/>
                      <a:headEnd/>
                      <a:tailEnd/>
                    </a:ln>
                    <a:effectLst/>
                  </pic:spPr>
                </pic:pic>
              </a:graphicData>
            </a:graphic>
          </wp:inline>
        </w:drawing>
      </w:r>
    </w:p>
    <w:p w:rsidR="00A81146" w:rsidRPr="006F1D04" w:rsidRDefault="00A81146" w:rsidP="00A81146">
      <w:pPr>
        <w:pStyle w:val="Caption"/>
        <w:rPr>
          <w:rFonts w:ascii="Arial" w:hAnsi="Arial" w:cs="Arial"/>
        </w:rPr>
      </w:pPr>
      <w:r w:rsidRPr="006F1D04">
        <w:rPr>
          <w:rFonts w:ascii="Arial" w:hAnsi="Arial" w:cs="Arial"/>
        </w:rPr>
        <w:t xml:space="preserve">Figure </w:t>
      </w:r>
      <w:r w:rsidR="00236133" w:rsidRPr="006F1D04">
        <w:rPr>
          <w:rFonts w:ascii="Arial" w:hAnsi="Arial" w:cs="Arial"/>
        </w:rPr>
        <w:t>E.</w:t>
      </w:r>
      <w:r w:rsidRPr="006F1D04">
        <w:rPr>
          <w:rFonts w:ascii="Arial" w:hAnsi="Arial" w:cs="Arial"/>
        </w:rPr>
        <w:t>1: Annual mean PM</w:t>
      </w:r>
      <w:r w:rsidRPr="006F1D04">
        <w:rPr>
          <w:rFonts w:ascii="Arial" w:hAnsi="Arial" w:cs="Arial"/>
          <w:vertAlign w:val="subscript"/>
        </w:rPr>
        <w:t>10</w:t>
      </w:r>
      <w:r w:rsidRPr="006F1D04">
        <w:rPr>
          <w:rFonts w:ascii="Arial" w:hAnsi="Arial" w:cs="Arial"/>
        </w:rPr>
        <w:t xml:space="preserve"> concentrations by monitoring site</w:t>
      </w:r>
    </w:p>
    <w:p w:rsidR="00A81146" w:rsidRPr="006F1D04" w:rsidRDefault="00A81146" w:rsidP="00A81146">
      <w:pPr>
        <w:jc w:val="center"/>
        <w:rPr>
          <w:rFonts w:ascii="Arial" w:hAnsi="Arial" w:cs="Arial"/>
        </w:rPr>
      </w:pPr>
    </w:p>
    <w:p w:rsidR="00A81146" w:rsidRPr="006F1D04" w:rsidRDefault="00A81146" w:rsidP="00A81146">
      <w:pPr>
        <w:jc w:val="center"/>
        <w:rPr>
          <w:rFonts w:ascii="Arial" w:hAnsi="Arial" w:cs="Arial"/>
        </w:rPr>
      </w:pPr>
    </w:p>
    <w:p w:rsidR="00D22244" w:rsidRPr="006F1D04" w:rsidRDefault="00D22244" w:rsidP="00A81146">
      <w:pPr>
        <w:jc w:val="center"/>
        <w:rPr>
          <w:rFonts w:ascii="Arial" w:hAnsi="Arial" w:cs="Arial"/>
        </w:rPr>
      </w:pPr>
    </w:p>
    <w:p w:rsidR="00D22244" w:rsidRPr="006F1D04" w:rsidRDefault="00D22244" w:rsidP="00D22244">
      <w:pPr>
        <w:spacing w:after="0"/>
        <w:jc w:val="center"/>
        <w:rPr>
          <w:rFonts w:ascii="Arial" w:hAnsi="Arial" w:cs="Arial"/>
        </w:rPr>
      </w:pPr>
    </w:p>
    <w:p w:rsidR="00A81146" w:rsidRPr="006F1D04" w:rsidRDefault="006D7F17" w:rsidP="00D22244">
      <w:pPr>
        <w:jc w:val="center"/>
        <w:rPr>
          <w:rFonts w:ascii="Arial" w:hAnsi="Arial" w:cs="Arial"/>
        </w:rPr>
      </w:pPr>
      <w:r w:rsidRPr="006F1D04">
        <w:rPr>
          <w:rFonts w:ascii="Arial" w:hAnsi="Arial" w:cs="Arial"/>
          <w:noProof/>
        </w:rPr>
        <w:lastRenderedPageBreak/>
        <w:drawing>
          <wp:inline distT="0" distB="0" distL="0" distR="0">
            <wp:extent cx="5693410" cy="7275195"/>
            <wp:effectExtent l="19050" t="19050" r="21590" b="20955"/>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66" t="1372" r="2135" b="1572"/>
                    <a:stretch>
                      <a:fillRect/>
                    </a:stretch>
                  </pic:blipFill>
                  <pic:spPr bwMode="auto">
                    <a:xfrm>
                      <a:off x="0" y="0"/>
                      <a:ext cx="5693410" cy="7275195"/>
                    </a:xfrm>
                    <a:prstGeom prst="rect">
                      <a:avLst/>
                    </a:prstGeom>
                    <a:noFill/>
                    <a:ln w="9525" cmpd="sng">
                      <a:solidFill>
                        <a:srgbClr val="0070C0"/>
                      </a:solidFill>
                      <a:miter lim="800000"/>
                      <a:headEnd/>
                      <a:tailEnd/>
                    </a:ln>
                    <a:effectLst/>
                  </pic:spPr>
                </pic:pic>
              </a:graphicData>
            </a:graphic>
          </wp:inline>
        </w:drawing>
      </w:r>
    </w:p>
    <w:p w:rsidR="00A81146" w:rsidRPr="006F1D04" w:rsidRDefault="00A81146" w:rsidP="00A81146">
      <w:pPr>
        <w:pStyle w:val="Caption"/>
        <w:rPr>
          <w:rFonts w:ascii="Arial" w:hAnsi="Arial" w:cs="Arial"/>
        </w:rPr>
      </w:pPr>
      <w:r w:rsidRPr="006F1D04">
        <w:rPr>
          <w:rFonts w:ascii="Arial" w:hAnsi="Arial" w:cs="Arial"/>
        </w:rPr>
        <w:t xml:space="preserve">Figure </w:t>
      </w:r>
      <w:r w:rsidR="00236133" w:rsidRPr="006F1D04">
        <w:rPr>
          <w:rFonts w:ascii="Arial" w:hAnsi="Arial" w:cs="Arial"/>
        </w:rPr>
        <w:t>E.</w:t>
      </w:r>
      <w:r w:rsidRPr="006F1D04">
        <w:rPr>
          <w:rFonts w:ascii="Arial" w:hAnsi="Arial" w:cs="Arial"/>
        </w:rPr>
        <w:t>2: Annual mean PM</w:t>
      </w:r>
      <w:r w:rsidRPr="006F1D04">
        <w:rPr>
          <w:rFonts w:ascii="Arial" w:hAnsi="Arial" w:cs="Arial"/>
          <w:vertAlign w:val="subscript"/>
        </w:rPr>
        <w:t>2.5</w:t>
      </w:r>
      <w:r w:rsidRPr="006F1D04">
        <w:rPr>
          <w:rFonts w:ascii="Arial" w:hAnsi="Arial" w:cs="Arial"/>
        </w:rPr>
        <w:t xml:space="preserve"> concentrations by monitoring site</w:t>
      </w:r>
    </w:p>
    <w:p w:rsidR="00A81146" w:rsidRPr="006F1D04" w:rsidRDefault="00A81146" w:rsidP="00A81146">
      <w:pPr>
        <w:jc w:val="center"/>
        <w:rPr>
          <w:rFonts w:ascii="Arial" w:hAnsi="Arial" w:cs="Arial"/>
        </w:rPr>
      </w:pPr>
    </w:p>
    <w:p w:rsidR="00D22244" w:rsidRPr="006F1D04" w:rsidRDefault="00D22244" w:rsidP="00D22244">
      <w:pPr>
        <w:spacing w:after="200"/>
        <w:jc w:val="center"/>
        <w:rPr>
          <w:rFonts w:ascii="Arial" w:hAnsi="Arial" w:cs="Arial"/>
          <w:lang w:eastAsia="en-US"/>
        </w:rPr>
      </w:pPr>
    </w:p>
    <w:p w:rsidR="00D22244" w:rsidRPr="006F1D04" w:rsidRDefault="00D22244" w:rsidP="00D22244">
      <w:pPr>
        <w:spacing w:after="200"/>
        <w:jc w:val="center"/>
        <w:rPr>
          <w:rFonts w:ascii="Arial" w:hAnsi="Arial" w:cs="Arial"/>
          <w:lang w:eastAsia="en-US"/>
        </w:rPr>
      </w:pPr>
    </w:p>
    <w:p w:rsidR="00D22244" w:rsidRPr="006F1D04" w:rsidRDefault="00D22244" w:rsidP="00D22244">
      <w:pPr>
        <w:spacing w:after="0"/>
        <w:jc w:val="center"/>
        <w:rPr>
          <w:rFonts w:ascii="Arial" w:hAnsi="Arial" w:cs="Arial"/>
          <w:lang w:eastAsia="en-US"/>
        </w:rPr>
      </w:pPr>
    </w:p>
    <w:p w:rsidR="00A81146" w:rsidRPr="006F1D04" w:rsidRDefault="006D7F17" w:rsidP="00D22244">
      <w:pPr>
        <w:jc w:val="center"/>
        <w:rPr>
          <w:rFonts w:ascii="Arial" w:hAnsi="Arial" w:cs="Arial"/>
          <w:color w:val="000000"/>
          <w:sz w:val="21"/>
          <w:szCs w:val="21"/>
          <w:lang w:eastAsia="en-US"/>
        </w:rPr>
      </w:pPr>
      <w:r w:rsidRPr="006F1D04">
        <w:rPr>
          <w:rFonts w:ascii="Arial" w:hAnsi="Arial" w:cs="Arial"/>
          <w:noProof/>
        </w:rPr>
        <w:lastRenderedPageBreak/>
        <w:drawing>
          <wp:inline distT="0" distB="0" distL="0" distR="0">
            <wp:extent cx="5693410" cy="7394575"/>
            <wp:effectExtent l="19050" t="19050" r="21590" b="15875"/>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99" t="1675" r="3342" b="1366"/>
                    <a:stretch>
                      <a:fillRect/>
                    </a:stretch>
                  </pic:blipFill>
                  <pic:spPr bwMode="auto">
                    <a:xfrm>
                      <a:off x="0" y="0"/>
                      <a:ext cx="5693410" cy="7394575"/>
                    </a:xfrm>
                    <a:prstGeom prst="rect">
                      <a:avLst/>
                    </a:prstGeom>
                    <a:noFill/>
                    <a:ln w="9525" cmpd="sng">
                      <a:solidFill>
                        <a:srgbClr val="0070C0"/>
                      </a:solidFill>
                      <a:miter lim="800000"/>
                      <a:headEnd/>
                      <a:tailEnd/>
                    </a:ln>
                    <a:effectLst/>
                  </pic:spPr>
                </pic:pic>
              </a:graphicData>
            </a:graphic>
          </wp:inline>
        </w:drawing>
      </w:r>
    </w:p>
    <w:p w:rsidR="00A81146" w:rsidRPr="006F1D04" w:rsidRDefault="00A81146" w:rsidP="00A81146">
      <w:pPr>
        <w:pStyle w:val="Caption"/>
        <w:ind w:left="284" w:right="237"/>
        <w:rPr>
          <w:rFonts w:ascii="Arial" w:hAnsi="Arial" w:cs="Arial"/>
          <w:lang w:eastAsia="en-US"/>
        </w:rPr>
      </w:pPr>
      <w:bookmarkStart w:id="244" w:name="_Ref367085702"/>
      <w:r w:rsidRPr="006F1D04">
        <w:rPr>
          <w:rFonts w:ascii="Arial" w:hAnsi="Arial" w:cs="Arial"/>
        </w:rPr>
        <w:t>Figure</w:t>
      </w:r>
      <w:bookmarkEnd w:id="244"/>
      <w:r w:rsidR="00D22244" w:rsidRPr="006F1D04">
        <w:rPr>
          <w:rFonts w:ascii="Arial" w:hAnsi="Arial" w:cs="Arial"/>
        </w:rPr>
        <w:t xml:space="preserve"> </w:t>
      </w:r>
      <w:r w:rsidR="00236133" w:rsidRPr="006F1D04">
        <w:rPr>
          <w:rFonts w:ascii="Arial" w:hAnsi="Arial" w:cs="Arial"/>
        </w:rPr>
        <w:t>E.</w:t>
      </w:r>
      <w:r w:rsidR="00D22244" w:rsidRPr="006F1D04">
        <w:rPr>
          <w:rFonts w:ascii="Arial" w:hAnsi="Arial" w:cs="Arial"/>
        </w:rPr>
        <w:t>3</w:t>
      </w:r>
      <w:r w:rsidRPr="006F1D04">
        <w:rPr>
          <w:rFonts w:ascii="Arial" w:hAnsi="Arial" w:cs="Arial"/>
        </w:rPr>
        <w:t>: Trend in annual mean PM</w:t>
      </w:r>
      <w:r w:rsidRPr="006F1D04">
        <w:rPr>
          <w:rFonts w:ascii="Arial" w:hAnsi="Arial" w:cs="Arial"/>
          <w:vertAlign w:val="subscript"/>
        </w:rPr>
        <w:t>10</w:t>
      </w:r>
      <w:r w:rsidRPr="006F1D04">
        <w:rPr>
          <w:rFonts w:ascii="Arial" w:hAnsi="Arial" w:cs="Arial"/>
        </w:rPr>
        <w:t xml:space="preserve"> concentration by jurisdiction (shading shows 95% confidence interval; no shading indicates data </w:t>
      </w:r>
      <w:r w:rsidR="00436139" w:rsidRPr="006F1D04">
        <w:rPr>
          <w:rFonts w:ascii="Arial" w:hAnsi="Arial" w:cs="Arial"/>
        </w:rPr>
        <w:t xml:space="preserve">were only available </w:t>
      </w:r>
      <w:r w:rsidRPr="006F1D04">
        <w:rPr>
          <w:rFonts w:ascii="Arial" w:hAnsi="Arial" w:cs="Arial"/>
        </w:rPr>
        <w:t>for one site)</w:t>
      </w:r>
    </w:p>
    <w:p w:rsidR="00A81146" w:rsidRPr="006F1D04" w:rsidRDefault="00A81146" w:rsidP="00A81146">
      <w:pPr>
        <w:spacing w:after="0"/>
        <w:rPr>
          <w:rFonts w:ascii="Arial" w:hAnsi="Arial" w:cs="Arial"/>
          <w:lang w:eastAsia="en-US"/>
        </w:rPr>
      </w:pPr>
    </w:p>
    <w:p w:rsidR="00D22244" w:rsidRPr="006F1D04" w:rsidRDefault="00D22244" w:rsidP="00A81146">
      <w:pPr>
        <w:spacing w:after="360"/>
        <w:rPr>
          <w:rFonts w:ascii="Arial" w:hAnsi="Arial" w:cs="Arial"/>
          <w:lang w:eastAsia="en-US"/>
        </w:rPr>
      </w:pPr>
    </w:p>
    <w:p w:rsidR="00D22244" w:rsidRPr="006F1D04" w:rsidRDefault="00D22244" w:rsidP="00A81146">
      <w:pPr>
        <w:spacing w:after="360"/>
        <w:rPr>
          <w:rFonts w:ascii="Arial" w:hAnsi="Arial" w:cs="Arial"/>
          <w:lang w:eastAsia="en-US"/>
        </w:rPr>
      </w:pPr>
    </w:p>
    <w:p w:rsidR="00A81146" w:rsidRPr="006F1D04" w:rsidRDefault="006D7F17" w:rsidP="00D22244">
      <w:pPr>
        <w:autoSpaceDE w:val="0"/>
        <w:autoSpaceDN w:val="0"/>
        <w:adjustRightInd w:val="0"/>
        <w:spacing w:line="240" w:lineRule="auto"/>
        <w:jc w:val="center"/>
        <w:rPr>
          <w:rFonts w:ascii="Arial" w:hAnsi="Arial" w:cs="Arial"/>
          <w:color w:val="000000"/>
          <w:sz w:val="21"/>
          <w:szCs w:val="21"/>
          <w:lang w:eastAsia="en-US"/>
        </w:rPr>
      </w:pPr>
      <w:r w:rsidRPr="006F1D04">
        <w:rPr>
          <w:rFonts w:ascii="Arial" w:hAnsi="Arial" w:cs="Arial"/>
          <w:noProof/>
        </w:rPr>
        <w:lastRenderedPageBreak/>
        <w:drawing>
          <wp:inline distT="0" distB="0" distL="0" distR="0">
            <wp:extent cx="5693410" cy="7442200"/>
            <wp:effectExtent l="19050" t="19050" r="21590" b="2540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07" t="1468" r="3870" b="1459"/>
                    <a:stretch>
                      <a:fillRect/>
                    </a:stretch>
                  </pic:blipFill>
                  <pic:spPr bwMode="auto">
                    <a:xfrm>
                      <a:off x="0" y="0"/>
                      <a:ext cx="5693410" cy="7442200"/>
                    </a:xfrm>
                    <a:prstGeom prst="rect">
                      <a:avLst/>
                    </a:prstGeom>
                    <a:noFill/>
                    <a:ln w="9525" cmpd="sng">
                      <a:solidFill>
                        <a:srgbClr val="0070C0"/>
                      </a:solidFill>
                      <a:miter lim="800000"/>
                      <a:headEnd/>
                      <a:tailEnd/>
                    </a:ln>
                    <a:effectLst/>
                  </pic:spPr>
                </pic:pic>
              </a:graphicData>
            </a:graphic>
          </wp:inline>
        </w:drawing>
      </w:r>
    </w:p>
    <w:p w:rsidR="00A81146" w:rsidRPr="006F1D04" w:rsidRDefault="00A81146" w:rsidP="00A81146">
      <w:pPr>
        <w:pStyle w:val="Caption"/>
        <w:spacing w:before="0" w:after="0"/>
        <w:ind w:left="284" w:right="380"/>
        <w:rPr>
          <w:rFonts w:ascii="Arial" w:hAnsi="Arial" w:cs="Arial"/>
          <w:color w:val="000000"/>
          <w:sz w:val="21"/>
          <w:szCs w:val="21"/>
          <w:lang w:eastAsia="en-US"/>
        </w:rPr>
      </w:pPr>
      <w:bookmarkStart w:id="245" w:name="_Ref367095649"/>
      <w:r w:rsidRPr="006F1D04">
        <w:rPr>
          <w:rFonts w:ascii="Arial" w:hAnsi="Arial" w:cs="Arial"/>
        </w:rPr>
        <w:t>Figure</w:t>
      </w:r>
      <w:bookmarkEnd w:id="245"/>
      <w:r w:rsidR="00D22244" w:rsidRPr="006F1D04">
        <w:rPr>
          <w:rFonts w:ascii="Arial" w:hAnsi="Arial" w:cs="Arial"/>
        </w:rPr>
        <w:t xml:space="preserve"> </w:t>
      </w:r>
      <w:r w:rsidR="00236133" w:rsidRPr="006F1D04">
        <w:rPr>
          <w:rFonts w:ascii="Arial" w:hAnsi="Arial" w:cs="Arial"/>
        </w:rPr>
        <w:t>E.</w:t>
      </w:r>
      <w:r w:rsidR="00D22244" w:rsidRPr="006F1D04">
        <w:rPr>
          <w:rFonts w:ascii="Arial" w:hAnsi="Arial" w:cs="Arial"/>
        </w:rPr>
        <w:t>4</w:t>
      </w:r>
      <w:r w:rsidRPr="006F1D04">
        <w:rPr>
          <w:rFonts w:ascii="Arial" w:hAnsi="Arial" w:cs="Arial"/>
        </w:rPr>
        <w:t>: Trend in annual mean PM</w:t>
      </w:r>
      <w:r w:rsidRPr="006F1D04">
        <w:rPr>
          <w:rFonts w:ascii="Arial" w:hAnsi="Arial" w:cs="Arial"/>
          <w:vertAlign w:val="subscript"/>
        </w:rPr>
        <w:t>2.5</w:t>
      </w:r>
      <w:r w:rsidRPr="006F1D04">
        <w:rPr>
          <w:rFonts w:ascii="Arial" w:hAnsi="Arial" w:cs="Arial"/>
        </w:rPr>
        <w:t xml:space="preserve"> concentration by jurisdiction (shading shows 95% confidence interval; no shading indicates data </w:t>
      </w:r>
      <w:r w:rsidR="00436139" w:rsidRPr="006F1D04">
        <w:rPr>
          <w:rFonts w:ascii="Arial" w:hAnsi="Arial" w:cs="Arial"/>
        </w:rPr>
        <w:t xml:space="preserve">were only available </w:t>
      </w:r>
      <w:r w:rsidRPr="006F1D04">
        <w:rPr>
          <w:rFonts w:ascii="Arial" w:hAnsi="Arial" w:cs="Arial"/>
        </w:rPr>
        <w:t>for one site)</w:t>
      </w:r>
    </w:p>
    <w:p w:rsidR="00A81146" w:rsidRPr="006F1D04" w:rsidRDefault="00A81146" w:rsidP="00A81146">
      <w:pPr>
        <w:autoSpaceDE w:val="0"/>
        <w:autoSpaceDN w:val="0"/>
        <w:adjustRightInd w:val="0"/>
        <w:spacing w:after="0" w:line="240" w:lineRule="auto"/>
        <w:rPr>
          <w:rFonts w:ascii="Arial" w:hAnsi="Arial" w:cs="Arial"/>
          <w:color w:val="000000"/>
          <w:sz w:val="21"/>
          <w:szCs w:val="21"/>
          <w:lang w:eastAsia="en-US"/>
        </w:rPr>
      </w:pPr>
    </w:p>
    <w:p w:rsidR="00D22244" w:rsidRPr="006F1D04" w:rsidRDefault="00D22244" w:rsidP="00A81146">
      <w:pPr>
        <w:spacing w:after="360"/>
        <w:rPr>
          <w:rFonts w:ascii="Arial" w:hAnsi="Arial" w:cs="Arial"/>
          <w:lang w:eastAsia="en-US"/>
        </w:rPr>
      </w:pPr>
    </w:p>
    <w:p w:rsidR="00D22244" w:rsidRPr="006F1D04" w:rsidRDefault="00D22244" w:rsidP="00A81146">
      <w:pPr>
        <w:spacing w:after="360"/>
        <w:rPr>
          <w:rFonts w:ascii="Arial" w:hAnsi="Arial" w:cs="Arial"/>
          <w:lang w:eastAsia="en-US"/>
        </w:rPr>
      </w:pPr>
    </w:p>
    <w:p w:rsidR="00D22244" w:rsidRPr="006F1D04" w:rsidRDefault="006D7F17" w:rsidP="00D22244">
      <w:pPr>
        <w:spacing w:line="240" w:lineRule="auto"/>
        <w:jc w:val="center"/>
        <w:rPr>
          <w:rFonts w:ascii="Arial" w:hAnsi="Arial" w:cs="Arial"/>
          <w:color w:val="000000"/>
          <w:sz w:val="21"/>
          <w:szCs w:val="21"/>
          <w:lang w:eastAsia="en-US"/>
        </w:rPr>
      </w:pPr>
      <w:r w:rsidRPr="006F1D04">
        <w:rPr>
          <w:rFonts w:ascii="Arial" w:hAnsi="Arial" w:cs="Arial"/>
          <w:noProof/>
        </w:rPr>
        <w:lastRenderedPageBreak/>
        <w:drawing>
          <wp:inline distT="0" distB="0" distL="0" distR="0">
            <wp:extent cx="5693410" cy="7442200"/>
            <wp:effectExtent l="19050" t="19050" r="21590" b="2540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71" t="1468" r="3609" b="1459"/>
                    <a:stretch>
                      <a:fillRect/>
                    </a:stretch>
                  </pic:blipFill>
                  <pic:spPr bwMode="auto">
                    <a:xfrm>
                      <a:off x="0" y="0"/>
                      <a:ext cx="5693410" cy="7442200"/>
                    </a:xfrm>
                    <a:prstGeom prst="rect">
                      <a:avLst/>
                    </a:prstGeom>
                    <a:noFill/>
                    <a:ln w="9525" cmpd="sng">
                      <a:solidFill>
                        <a:srgbClr val="0070C0"/>
                      </a:solidFill>
                      <a:miter lim="800000"/>
                      <a:headEnd/>
                      <a:tailEnd/>
                    </a:ln>
                    <a:effectLst/>
                  </pic:spPr>
                </pic:pic>
              </a:graphicData>
            </a:graphic>
          </wp:inline>
        </w:drawing>
      </w:r>
    </w:p>
    <w:p w:rsidR="00A81146" w:rsidRPr="006F1D04" w:rsidRDefault="00A81146" w:rsidP="00A81146">
      <w:pPr>
        <w:pStyle w:val="Caption"/>
        <w:spacing w:before="0" w:after="0"/>
        <w:ind w:left="709" w:right="663"/>
        <w:rPr>
          <w:rFonts w:ascii="Arial" w:hAnsi="Arial" w:cs="Arial"/>
          <w:color w:val="000000"/>
          <w:sz w:val="21"/>
          <w:szCs w:val="21"/>
          <w:lang w:eastAsia="en-US"/>
        </w:rPr>
      </w:pPr>
      <w:bookmarkStart w:id="246" w:name="_Ref367117456"/>
      <w:r w:rsidRPr="006F1D04">
        <w:rPr>
          <w:rFonts w:ascii="Arial" w:hAnsi="Arial" w:cs="Arial"/>
        </w:rPr>
        <w:t>Figure</w:t>
      </w:r>
      <w:bookmarkEnd w:id="246"/>
      <w:r w:rsidR="00D22244" w:rsidRPr="006F1D04">
        <w:rPr>
          <w:rFonts w:ascii="Arial" w:hAnsi="Arial" w:cs="Arial"/>
        </w:rPr>
        <w:t xml:space="preserve"> </w:t>
      </w:r>
      <w:r w:rsidR="00236133" w:rsidRPr="006F1D04">
        <w:rPr>
          <w:rFonts w:ascii="Arial" w:hAnsi="Arial" w:cs="Arial"/>
        </w:rPr>
        <w:t>E.</w:t>
      </w:r>
      <w:r w:rsidR="00D22244" w:rsidRPr="006F1D04">
        <w:rPr>
          <w:rFonts w:ascii="Arial" w:hAnsi="Arial" w:cs="Arial"/>
        </w:rPr>
        <w:t>5</w:t>
      </w:r>
      <w:r w:rsidRPr="006F1D04">
        <w:rPr>
          <w:rFonts w:ascii="Arial" w:hAnsi="Arial" w:cs="Arial"/>
        </w:rPr>
        <w:t>: Trend in annual mean PM</w:t>
      </w:r>
      <w:r w:rsidRPr="006F1D04">
        <w:rPr>
          <w:rFonts w:ascii="Arial" w:hAnsi="Arial" w:cs="Arial"/>
          <w:vertAlign w:val="subscript"/>
        </w:rPr>
        <w:t>2.5</w:t>
      </w:r>
      <w:r w:rsidRPr="006F1D04">
        <w:rPr>
          <w:rFonts w:ascii="Arial" w:hAnsi="Arial" w:cs="Arial"/>
        </w:rPr>
        <w:t>:PM</w:t>
      </w:r>
      <w:r w:rsidRPr="006F1D04">
        <w:rPr>
          <w:rFonts w:ascii="Arial" w:hAnsi="Arial" w:cs="Arial"/>
          <w:vertAlign w:val="subscript"/>
        </w:rPr>
        <w:t>10</w:t>
      </w:r>
      <w:r w:rsidRPr="006F1D04">
        <w:rPr>
          <w:rFonts w:ascii="Arial" w:hAnsi="Arial" w:cs="Arial"/>
        </w:rPr>
        <w:t xml:space="preserve"> ratio (shading shows 95% confidence interval; no shading indicates data </w:t>
      </w:r>
      <w:r w:rsidR="00436139" w:rsidRPr="006F1D04">
        <w:rPr>
          <w:rFonts w:ascii="Arial" w:hAnsi="Arial" w:cs="Arial"/>
        </w:rPr>
        <w:t xml:space="preserve">were only available </w:t>
      </w:r>
      <w:r w:rsidRPr="006F1D04">
        <w:rPr>
          <w:rFonts w:ascii="Arial" w:hAnsi="Arial" w:cs="Arial"/>
        </w:rPr>
        <w:t>for one site)</w:t>
      </w:r>
    </w:p>
    <w:p w:rsidR="00A81146" w:rsidRPr="006F1D04" w:rsidRDefault="00A81146" w:rsidP="00A81146">
      <w:pPr>
        <w:rPr>
          <w:rFonts w:ascii="Arial" w:hAnsi="Arial" w:cs="Arial"/>
          <w:lang w:eastAsia="en-US"/>
        </w:rPr>
      </w:pPr>
    </w:p>
    <w:p w:rsidR="00537F0A" w:rsidRPr="006F1D04" w:rsidRDefault="00537F0A" w:rsidP="00A81146">
      <w:pPr>
        <w:rPr>
          <w:rFonts w:ascii="Arial" w:hAnsi="Arial" w:cs="Arial"/>
          <w:lang w:eastAsia="en-US"/>
        </w:rPr>
      </w:pPr>
    </w:p>
    <w:p w:rsidR="00A81146" w:rsidRPr="006F1D04" w:rsidRDefault="00A81146" w:rsidP="00A81146">
      <w:pPr>
        <w:pStyle w:val="Caption"/>
        <w:rPr>
          <w:rFonts w:ascii="Arial" w:hAnsi="Arial" w:cs="Arial"/>
          <w:color w:val="000000"/>
          <w:sz w:val="21"/>
          <w:szCs w:val="21"/>
          <w:lang w:eastAsia="en-US"/>
        </w:rPr>
      </w:pPr>
      <w:bookmarkStart w:id="247" w:name="_Ref367096006"/>
      <w:r w:rsidRPr="006F1D04">
        <w:rPr>
          <w:rFonts w:ascii="Arial" w:hAnsi="Arial" w:cs="Arial"/>
        </w:rPr>
        <w:lastRenderedPageBreak/>
        <w:t>Tabl</w:t>
      </w:r>
      <w:bookmarkEnd w:id="247"/>
      <w:r w:rsidR="00D22244" w:rsidRPr="006F1D04">
        <w:rPr>
          <w:rFonts w:ascii="Arial" w:hAnsi="Arial" w:cs="Arial"/>
        </w:rPr>
        <w:t xml:space="preserve">e </w:t>
      </w:r>
      <w:r w:rsidR="00236133" w:rsidRPr="006F1D04">
        <w:rPr>
          <w:rFonts w:ascii="Arial" w:hAnsi="Arial" w:cs="Arial"/>
        </w:rPr>
        <w:t>E.</w:t>
      </w:r>
      <w:r w:rsidR="00D22244" w:rsidRPr="006F1D04">
        <w:rPr>
          <w:rFonts w:ascii="Arial" w:hAnsi="Arial" w:cs="Arial"/>
        </w:rPr>
        <w:t>1</w:t>
      </w:r>
      <w:r w:rsidRPr="006F1D04">
        <w:rPr>
          <w:rFonts w:ascii="Arial" w:hAnsi="Arial" w:cs="Arial"/>
        </w:rPr>
        <w:t>: Annual changes in concentration and significance of trends</w:t>
      </w:r>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1175"/>
        <w:gridCol w:w="236"/>
        <w:gridCol w:w="1311"/>
        <w:gridCol w:w="1027"/>
        <w:gridCol w:w="283"/>
        <w:gridCol w:w="1276"/>
        <w:gridCol w:w="992"/>
        <w:gridCol w:w="437"/>
        <w:gridCol w:w="1123"/>
      </w:tblGrid>
      <w:tr w:rsidR="00A81146" w:rsidRPr="006F1D04" w:rsidTr="00E20E7C">
        <w:trPr>
          <w:trHeight w:val="208"/>
          <w:jc w:val="center"/>
        </w:trPr>
        <w:tc>
          <w:tcPr>
            <w:tcW w:w="1175"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A81146" w:rsidRPr="006F1D04" w:rsidRDefault="00A81146" w:rsidP="00E20E7C">
            <w:pPr>
              <w:spacing w:after="0" w:line="240" w:lineRule="auto"/>
              <w:jc w:val="center"/>
              <w:rPr>
                <w:rFonts w:ascii="Arial" w:hAnsi="Arial" w:cs="Arial"/>
                <w:b/>
                <w:color w:val="FFFFFF"/>
                <w:sz w:val="14"/>
                <w:szCs w:val="14"/>
                <w:lang w:eastAsia="en-US"/>
              </w:rPr>
            </w:pPr>
          </w:p>
        </w:tc>
        <w:tc>
          <w:tcPr>
            <w:tcW w:w="236" w:type="dxa"/>
            <w:tcBorders>
              <w:top w:val="single" w:sz="4" w:space="0" w:color="0070C0"/>
              <w:left w:val="single" w:sz="4" w:space="0" w:color="0070C0"/>
              <w:bottom w:val="single" w:sz="4" w:space="0" w:color="0070C0"/>
              <w:right w:val="single" w:sz="4" w:space="0" w:color="0070C0"/>
            </w:tcBorders>
            <w:shd w:val="clear" w:color="auto" w:fill="0070C0"/>
            <w:tcMar>
              <w:left w:w="28" w:type="dxa"/>
              <w:right w:w="28" w:type="dxa"/>
            </w:tcMar>
            <w:vAlign w:val="center"/>
          </w:tcPr>
          <w:p w:rsidR="00A81146" w:rsidRPr="006F1D04" w:rsidRDefault="00A81146" w:rsidP="00E20E7C">
            <w:pPr>
              <w:spacing w:after="0" w:line="240" w:lineRule="auto"/>
              <w:jc w:val="center"/>
              <w:rPr>
                <w:rFonts w:ascii="Arial" w:hAnsi="Arial" w:cs="Arial"/>
                <w:b/>
                <w:color w:val="FFFFFF"/>
                <w:sz w:val="14"/>
                <w:szCs w:val="14"/>
                <w:lang w:eastAsia="en-US"/>
              </w:rPr>
            </w:pPr>
          </w:p>
        </w:tc>
        <w:tc>
          <w:tcPr>
            <w:tcW w:w="2338" w:type="dxa"/>
            <w:gridSpan w:val="2"/>
            <w:tcBorders>
              <w:top w:val="single" w:sz="4" w:space="0" w:color="0070C0"/>
              <w:left w:val="single" w:sz="4" w:space="0" w:color="0070C0"/>
              <w:bottom w:val="single" w:sz="4" w:space="0" w:color="0070C0"/>
              <w:right w:val="single" w:sz="4" w:space="0" w:color="0070C0"/>
            </w:tcBorders>
            <w:shd w:val="clear" w:color="auto" w:fill="0070C0"/>
            <w:vAlign w:val="center"/>
          </w:tcPr>
          <w:p w:rsidR="00A81146" w:rsidRPr="006F1D04" w:rsidRDefault="00A81146" w:rsidP="00E20E7C">
            <w:pPr>
              <w:spacing w:after="0" w:line="240" w:lineRule="auto"/>
              <w:jc w:val="center"/>
              <w:rPr>
                <w:rFonts w:ascii="Arial" w:hAnsi="Arial" w:cs="Arial"/>
                <w:b/>
                <w:color w:val="FFFFFF"/>
                <w:sz w:val="14"/>
                <w:szCs w:val="14"/>
                <w:lang w:eastAsia="en-US"/>
              </w:rPr>
            </w:pPr>
            <w:r w:rsidRPr="006F1D04">
              <w:rPr>
                <w:rFonts w:ascii="Arial" w:hAnsi="Arial" w:cs="Arial"/>
                <w:b/>
                <w:color w:val="FFFFFF"/>
                <w:sz w:val="14"/>
                <w:szCs w:val="14"/>
                <w:lang w:eastAsia="en-US"/>
              </w:rPr>
              <w:t>PM</w:t>
            </w:r>
            <w:r w:rsidRPr="006F1D04">
              <w:rPr>
                <w:rFonts w:ascii="Arial" w:hAnsi="Arial" w:cs="Arial"/>
                <w:b/>
                <w:color w:val="FFFFFF"/>
                <w:sz w:val="14"/>
                <w:szCs w:val="14"/>
                <w:vertAlign w:val="subscript"/>
                <w:lang w:eastAsia="en-US"/>
              </w:rPr>
              <w:t>10</w:t>
            </w:r>
          </w:p>
        </w:tc>
        <w:tc>
          <w:tcPr>
            <w:tcW w:w="283" w:type="dxa"/>
            <w:tcBorders>
              <w:top w:val="single" w:sz="4" w:space="0" w:color="0070C0"/>
              <w:left w:val="single" w:sz="4" w:space="0" w:color="0070C0"/>
              <w:bottom w:val="single" w:sz="4" w:space="0" w:color="0070C0"/>
              <w:right w:val="single" w:sz="4" w:space="0" w:color="0070C0"/>
            </w:tcBorders>
            <w:shd w:val="clear" w:color="auto" w:fill="0070C0"/>
            <w:tcMar>
              <w:left w:w="28" w:type="dxa"/>
              <w:right w:w="28" w:type="dxa"/>
            </w:tcMar>
            <w:vAlign w:val="center"/>
          </w:tcPr>
          <w:p w:rsidR="00A81146" w:rsidRPr="006F1D04" w:rsidRDefault="00A81146" w:rsidP="00E20E7C">
            <w:pPr>
              <w:spacing w:after="0" w:line="240" w:lineRule="auto"/>
              <w:jc w:val="center"/>
              <w:rPr>
                <w:rFonts w:ascii="Arial" w:hAnsi="Arial" w:cs="Arial"/>
                <w:b/>
                <w:color w:val="FFFFFF"/>
                <w:sz w:val="14"/>
                <w:szCs w:val="14"/>
                <w:lang w:eastAsia="en-US"/>
              </w:rPr>
            </w:pPr>
          </w:p>
        </w:tc>
        <w:tc>
          <w:tcPr>
            <w:tcW w:w="2268" w:type="dxa"/>
            <w:gridSpan w:val="2"/>
            <w:tcBorders>
              <w:top w:val="single" w:sz="4" w:space="0" w:color="0070C0"/>
              <w:left w:val="single" w:sz="4" w:space="0" w:color="0070C0"/>
              <w:bottom w:val="single" w:sz="4" w:space="0" w:color="0070C0"/>
              <w:right w:val="single" w:sz="4" w:space="0" w:color="0070C0"/>
            </w:tcBorders>
            <w:shd w:val="clear" w:color="auto" w:fill="0070C0"/>
            <w:vAlign w:val="center"/>
          </w:tcPr>
          <w:p w:rsidR="00A81146" w:rsidRPr="006F1D04" w:rsidRDefault="00A81146" w:rsidP="00E20E7C">
            <w:pPr>
              <w:spacing w:after="0" w:line="240" w:lineRule="auto"/>
              <w:jc w:val="center"/>
              <w:rPr>
                <w:rFonts w:ascii="Arial" w:hAnsi="Arial" w:cs="Arial"/>
                <w:b/>
                <w:color w:val="FFFFFF"/>
                <w:sz w:val="14"/>
                <w:szCs w:val="14"/>
                <w:lang w:eastAsia="en-US"/>
              </w:rPr>
            </w:pPr>
            <w:r w:rsidRPr="006F1D04">
              <w:rPr>
                <w:rFonts w:ascii="Arial" w:hAnsi="Arial" w:cs="Arial"/>
                <w:b/>
                <w:color w:val="FFFFFF"/>
                <w:sz w:val="14"/>
                <w:szCs w:val="14"/>
                <w:lang w:eastAsia="en-US"/>
              </w:rPr>
              <w:t>PM</w:t>
            </w:r>
            <w:r w:rsidRPr="006F1D04">
              <w:rPr>
                <w:rFonts w:ascii="Arial" w:hAnsi="Arial" w:cs="Arial"/>
                <w:b/>
                <w:color w:val="FFFFFF"/>
                <w:sz w:val="14"/>
                <w:szCs w:val="14"/>
                <w:vertAlign w:val="subscript"/>
                <w:lang w:eastAsia="en-US"/>
              </w:rPr>
              <w:t>2.5</w:t>
            </w:r>
          </w:p>
        </w:tc>
        <w:tc>
          <w:tcPr>
            <w:tcW w:w="437" w:type="dxa"/>
            <w:tcBorders>
              <w:top w:val="single" w:sz="4" w:space="0" w:color="0070C0"/>
              <w:left w:val="single" w:sz="4" w:space="0" w:color="0070C0"/>
              <w:bottom w:val="single" w:sz="4" w:space="0" w:color="0070C0"/>
              <w:right w:val="single" w:sz="4" w:space="0" w:color="0070C0"/>
            </w:tcBorders>
            <w:shd w:val="clear" w:color="auto" w:fill="0070C0"/>
            <w:tcMar>
              <w:left w:w="28" w:type="dxa"/>
              <w:right w:w="28" w:type="dxa"/>
            </w:tcMar>
            <w:vAlign w:val="center"/>
          </w:tcPr>
          <w:p w:rsidR="00A81146" w:rsidRPr="006F1D04" w:rsidRDefault="00A81146" w:rsidP="00E20E7C">
            <w:pPr>
              <w:spacing w:after="0" w:line="240" w:lineRule="auto"/>
              <w:jc w:val="center"/>
              <w:rPr>
                <w:rFonts w:ascii="Arial" w:hAnsi="Arial" w:cs="Arial"/>
                <w:b/>
                <w:color w:val="FFFFFF"/>
                <w:sz w:val="14"/>
                <w:szCs w:val="14"/>
                <w:lang w:eastAsia="en-US"/>
              </w:rPr>
            </w:pPr>
          </w:p>
        </w:tc>
        <w:tc>
          <w:tcPr>
            <w:tcW w:w="1123" w:type="dxa"/>
            <w:tcBorders>
              <w:top w:val="single" w:sz="4" w:space="0" w:color="0070C0"/>
              <w:left w:val="single" w:sz="4" w:space="0" w:color="0070C0"/>
              <w:bottom w:val="single" w:sz="4" w:space="0" w:color="0070C0"/>
              <w:right w:val="single" w:sz="4" w:space="0" w:color="0070C0"/>
            </w:tcBorders>
            <w:shd w:val="clear" w:color="auto" w:fill="0070C0"/>
            <w:tcMar>
              <w:left w:w="28" w:type="dxa"/>
              <w:right w:w="28" w:type="dxa"/>
            </w:tcMar>
            <w:vAlign w:val="center"/>
          </w:tcPr>
          <w:p w:rsidR="00A81146" w:rsidRPr="006F1D04" w:rsidRDefault="00A81146" w:rsidP="00E20E7C">
            <w:pPr>
              <w:spacing w:after="0" w:line="240" w:lineRule="auto"/>
              <w:jc w:val="center"/>
              <w:rPr>
                <w:rFonts w:ascii="Arial" w:hAnsi="Arial" w:cs="Arial"/>
                <w:b/>
                <w:color w:val="FFFFFF"/>
                <w:sz w:val="14"/>
                <w:szCs w:val="14"/>
                <w:lang w:eastAsia="en-US"/>
              </w:rPr>
            </w:pPr>
            <w:r w:rsidRPr="006F1D04">
              <w:rPr>
                <w:rFonts w:ascii="Arial" w:hAnsi="Arial" w:cs="Arial"/>
                <w:b/>
                <w:color w:val="FFFFFF"/>
                <w:sz w:val="14"/>
                <w:szCs w:val="14"/>
                <w:lang w:eastAsia="en-US"/>
              </w:rPr>
              <w:t>PM</w:t>
            </w:r>
            <w:r w:rsidRPr="006F1D04">
              <w:rPr>
                <w:rFonts w:ascii="Arial" w:hAnsi="Arial" w:cs="Arial"/>
                <w:b/>
                <w:color w:val="FFFFFF"/>
                <w:sz w:val="14"/>
                <w:szCs w:val="14"/>
                <w:vertAlign w:val="subscript"/>
                <w:lang w:eastAsia="en-US"/>
              </w:rPr>
              <w:t>2.5</w:t>
            </w:r>
            <w:r w:rsidRPr="006F1D04">
              <w:rPr>
                <w:rFonts w:ascii="Arial" w:hAnsi="Arial" w:cs="Arial"/>
                <w:b/>
                <w:color w:val="FFFFFF"/>
                <w:sz w:val="14"/>
                <w:szCs w:val="14"/>
                <w:lang w:eastAsia="en-US"/>
              </w:rPr>
              <w:t>:PM</w:t>
            </w:r>
            <w:r w:rsidRPr="006F1D04">
              <w:rPr>
                <w:rFonts w:ascii="Arial" w:hAnsi="Arial" w:cs="Arial"/>
                <w:b/>
                <w:color w:val="FFFFFF"/>
                <w:sz w:val="14"/>
                <w:szCs w:val="14"/>
                <w:vertAlign w:val="subscript"/>
                <w:lang w:eastAsia="en-US"/>
              </w:rPr>
              <w:t>10</w:t>
            </w:r>
            <w:r w:rsidRPr="006F1D04">
              <w:rPr>
                <w:rFonts w:ascii="Arial" w:hAnsi="Arial" w:cs="Arial"/>
                <w:b/>
                <w:color w:val="FFFFFF"/>
                <w:sz w:val="14"/>
                <w:szCs w:val="14"/>
                <w:lang w:eastAsia="en-US"/>
              </w:rPr>
              <w:t xml:space="preserve"> ratio</w:t>
            </w:r>
          </w:p>
        </w:tc>
      </w:tr>
      <w:tr w:rsidR="00A81146" w:rsidRPr="006F1D04" w:rsidTr="00E20E7C">
        <w:trPr>
          <w:trHeight w:val="982"/>
          <w:jc w:val="center"/>
        </w:trPr>
        <w:tc>
          <w:tcPr>
            <w:tcW w:w="1175" w:type="dxa"/>
            <w:tcBorders>
              <w:top w:val="single" w:sz="4" w:space="0" w:color="0070C0"/>
              <w:left w:val="single" w:sz="4" w:space="0" w:color="0070C0"/>
              <w:bottom w:val="single" w:sz="4" w:space="0" w:color="0070C0"/>
              <w:right w:val="single" w:sz="4" w:space="0" w:color="0070C0"/>
            </w:tcBorders>
            <w:shd w:val="clear" w:color="auto" w:fill="0070C0"/>
            <w:tcMar>
              <w:left w:w="28" w:type="dxa"/>
              <w:right w:w="28" w:type="dxa"/>
            </w:tcMar>
            <w:vAlign w:val="center"/>
          </w:tcPr>
          <w:p w:rsidR="00A81146" w:rsidRPr="006F1D04" w:rsidRDefault="00A81146" w:rsidP="00E20E7C">
            <w:pPr>
              <w:pStyle w:val="TableContentText"/>
              <w:keepNext/>
              <w:spacing w:before="0"/>
              <w:jc w:val="center"/>
              <w:rPr>
                <w:rFonts w:ascii="Arial" w:hAnsi="Arial" w:cs="Arial"/>
                <w:b/>
                <w:color w:val="FFFFFF"/>
                <w:sz w:val="14"/>
                <w:szCs w:val="14"/>
                <w:lang w:eastAsia="en-AU"/>
              </w:rPr>
            </w:pPr>
            <w:r w:rsidRPr="006F1D04">
              <w:rPr>
                <w:rFonts w:ascii="Arial" w:hAnsi="Arial" w:cs="Arial"/>
                <w:b/>
                <w:color w:val="FFFFFF"/>
                <w:sz w:val="14"/>
                <w:szCs w:val="14"/>
              </w:rPr>
              <w:t>Jurisdiction</w:t>
            </w:r>
          </w:p>
        </w:tc>
        <w:tc>
          <w:tcPr>
            <w:tcW w:w="236"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A81146" w:rsidRPr="006F1D04" w:rsidRDefault="00A81146" w:rsidP="00E20E7C">
            <w:pPr>
              <w:spacing w:after="0" w:line="240" w:lineRule="auto"/>
              <w:jc w:val="center"/>
              <w:rPr>
                <w:rFonts w:ascii="Arial" w:hAnsi="Arial" w:cs="Arial"/>
                <w:b/>
                <w:color w:val="FFFFFF"/>
                <w:sz w:val="14"/>
                <w:szCs w:val="14"/>
                <w:lang w:eastAsia="en-US"/>
              </w:rPr>
            </w:pPr>
          </w:p>
        </w:tc>
        <w:tc>
          <w:tcPr>
            <w:tcW w:w="1311" w:type="dxa"/>
            <w:tcBorders>
              <w:top w:val="single" w:sz="4" w:space="0" w:color="0070C0"/>
              <w:left w:val="single" w:sz="4" w:space="0" w:color="0070C0"/>
              <w:bottom w:val="single" w:sz="4" w:space="0" w:color="0070C0"/>
              <w:right w:val="single" w:sz="4" w:space="0" w:color="0070C0"/>
            </w:tcBorders>
            <w:shd w:val="clear" w:color="auto" w:fill="0070C0"/>
            <w:tcMar>
              <w:left w:w="28" w:type="dxa"/>
              <w:right w:w="28" w:type="dxa"/>
            </w:tcMar>
            <w:vAlign w:val="center"/>
          </w:tcPr>
          <w:p w:rsidR="00A81146" w:rsidRPr="006F1D04" w:rsidRDefault="00A81146" w:rsidP="00E20E7C">
            <w:pPr>
              <w:spacing w:after="0" w:line="240" w:lineRule="auto"/>
              <w:jc w:val="center"/>
              <w:rPr>
                <w:rFonts w:ascii="Arial" w:hAnsi="Arial" w:cs="Arial"/>
                <w:b/>
                <w:color w:val="FFFFFF"/>
                <w:sz w:val="14"/>
                <w:szCs w:val="14"/>
                <w:lang w:eastAsia="en-US"/>
              </w:rPr>
            </w:pPr>
            <w:r w:rsidRPr="006F1D04">
              <w:rPr>
                <w:rFonts w:ascii="Arial" w:hAnsi="Arial" w:cs="Arial"/>
                <w:b/>
                <w:color w:val="FFFFFF"/>
                <w:sz w:val="14"/>
                <w:szCs w:val="14"/>
                <w:lang w:eastAsia="en-US"/>
              </w:rPr>
              <w:t>Average annual change in concentration (</w:t>
            </w:r>
            <w:proofErr w:type="spellStart"/>
            <w:r w:rsidRPr="006F1D04">
              <w:rPr>
                <w:rFonts w:ascii="Arial" w:hAnsi="Arial" w:cs="Arial"/>
                <w:b/>
                <w:color w:val="FFFFFF"/>
                <w:sz w:val="14"/>
                <w:szCs w:val="14"/>
                <w:lang w:eastAsia="en-US"/>
              </w:rPr>
              <w:t>μg</w:t>
            </w:r>
            <w:proofErr w:type="spellEnd"/>
            <w:r w:rsidRPr="006F1D04">
              <w:rPr>
                <w:rFonts w:ascii="Arial" w:hAnsi="Arial" w:cs="Arial"/>
                <w:b/>
                <w:color w:val="FFFFFF"/>
                <w:sz w:val="14"/>
                <w:szCs w:val="14"/>
                <w:lang w:eastAsia="en-US"/>
              </w:rPr>
              <w:t>/m</w:t>
            </w:r>
            <w:r w:rsidRPr="006F1D04">
              <w:rPr>
                <w:rFonts w:ascii="Arial" w:hAnsi="Arial" w:cs="Arial"/>
                <w:b/>
                <w:color w:val="FFFFFF"/>
                <w:sz w:val="14"/>
                <w:szCs w:val="14"/>
                <w:vertAlign w:val="superscript"/>
                <w:lang w:eastAsia="en-US"/>
              </w:rPr>
              <w:t xml:space="preserve">3 </w:t>
            </w:r>
            <w:r w:rsidRPr="006F1D04">
              <w:rPr>
                <w:rFonts w:ascii="Arial" w:hAnsi="Arial" w:cs="Arial"/>
                <w:b/>
                <w:color w:val="FFFFFF"/>
                <w:sz w:val="14"/>
                <w:szCs w:val="14"/>
                <w:lang w:eastAsia="en-US"/>
              </w:rPr>
              <w:t>per year)</w:t>
            </w:r>
          </w:p>
        </w:tc>
        <w:tc>
          <w:tcPr>
            <w:tcW w:w="1027" w:type="dxa"/>
            <w:tcBorders>
              <w:top w:val="single" w:sz="4" w:space="0" w:color="0070C0"/>
              <w:left w:val="single" w:sz="4" w:space="0" w:color="0070C0"/>
              <w:bottom w:val="single" w:sz="4" w:space="0" w:color="0070C0"/>
              <w:right w:val="single" w:sz="4" w:space="0" w:color="0070C0"/>
            </w:tcBorders>
            <w:shd w:val="clear" w:color="auto" w:fill="0070C0"/>
            <w:tcMar>
              <w:left w:w="28" w:type="dxa"/>
              <w:right w:w="28" w:type="dxa"/>
            </w:tcMar>
            <w:vAlign w:val="center"/>
          </w:tcPr>
          <w:p w:rsidR="00A81146" w:rsidRPr="006F1D04" w:rsidRDefault="00A81146" w:rsidP="00E20E7C">
            <w:pPr>
              <w:spacing w:after="0" w:line="240" w:lineRule="auto"/>
              <w:jc w:val="center"/>
              <w:rPr>
                <w:rFonts w:ascii="Arial" w:hAnsi="Arial" w:cs="Arial"/>
                <w:b/>
                <w:color w:val="FFFFFF"/>
                <w:sz w:val="14"/>
                <w:szCs w:val="14"/>
                <w:lang w:eastAsia="en-US"/>
              </w:rPr>
            </w:pPr>
            <w:r w:rsidRPr="006F1D04">
              <w:rPr>
                <w:rFonts w:ascii="Arial" w:hAnsi="Arial" w:cs="Arial"/>
                <w:b/>
                <w:color w:val="FFFFFF"/>
                <w:sz w:val="14"/>
                <w:szCs w:val="14"/>
                <w:lang w:eastAsia="en-US"/>
              </w:rPr>
              <w:t>Significant trend at 95% confidence level</w:t>
            </w:r>
          </w:p>
        </w:tc>
        <w:tc>
          <w:tcPr>
            <w:tcW w:w="283" w:type="dxa"/>
            <w:tcBorders>
              <w:top w:val="single" w:sz="4" w:space="0" w:color="0070C0"/>
              <w:left w:val="single" w:sz="4" w:space="0" w:color="0070C0"/>
              <w:bottom w:val="single" w:sz="4" w:space="0" w:color="0070C0"/>
              <w:right w:val="single" w:sz="4" w:space="0" w:color="0070C0"/>
            </w:tcBorders>
            <w:shd w:val="clear" w:color="auto" w:fill="0070C0"/>
            <w:tcMar>
              <w:left w:w="28" w:type="dxa"/>
              <w:right w:w="28" w:type="dxa"/>
            </w:tcMar>
            <w:vAlign w:val="center"/>
          </w:tcPr>
          <w:p w:rsidR="00A81146" w:rsidRPr="006F1D04" w:rsidRDefault="00A81146" w:rsidP="00E20E7C">
            <w:pPr>
              <w:pStyle w:val="TableContentText"/>
              <w:keepNext/>
              <w:spacing w:before="0"/>
              <w:jc w:val="center"/>
              <w:rPr>
                <w:rFonts w:ascii="Arial" w:hAnsi="Arial" w:cs="Arial"/>
                <w:b/>
                <w:color w:val="FFFFFF"/>
                <w:sz w:val="14"/>
                <w:szCs w:val="14"/>
                <w:lang w:eastAsia="en-AU"/>
              </w:rPr>
            </w:pPr>
          </w:p>
        </w:tc>
        <w:tc>
          <w:tcPr>
            <w:tcW w:w="1276" w:type="dxa"/>
            <w:tcBorders>
              <w:top w:val="single" w:sz="4" w:space="0" w:color="0070C0"/>
              <w:left w:val="single" w:sz="4" w:space="0" w:color="0070C0"/>
              <w:bottom w:val="single" w:sz="4" w:space="0" w:color="0070C0"/>
              <w:right w:val="single" w:sz="4" w:space="0" w:color="0070C0"/>
            </w:tcBorders>
            <w:shd w:val="clear" w:color="auto" w:fill="0070C0"/>
            <w:tcMar>
              <w:left w:w="28" w:type="dxa"/>
              <w:right w:w="28" w:type="dxa"/>
            </w:tcMar>
            <w:vAlign w:val="center"/>
          </w:tcPr>
          <w:p w:rsidR="00A81146" w:rsidRPr="006F1D04" w:rsidRDefault="00A81146" w:rsidP="00E20E7C">
            <w:pPr>
              <w:spacing w:after="0" w:line="240" w:lineRule="auto"/>
              <w:jc w:val="center"/>
              <w:rPr>
                <w:rFonts w:ascii="Arial" w:hAnsi="Arial" w:cs="Arial"/>
                <w:b/>
                <w:color w:val="FFFFFF"/>
                <w:sz w:val="14"/>
                <w:szCs w:val="14"/>
                <w:lang w:eastAsia="en-US"/>
              </w:rPr>
            </w:pPr>
            <w:r w:rsidRPr="006F1D04">
              <w:rPr>
                <w:rFonts w:ascii="Arial" w:hAnsi="Arial" w:cs="Arial"/>
                <w:b/>
                <w:color w:val="FFFFFF"/>
                <w:sz w:val="14"/>
                <w:szCs w:val="14"/>
                <w:lang w:eastAsia="en-US"/>
              </w:rPr>
              <w:t>Average annual change in concentration (</w:t>
            </w:r>
            <w:proofErr w:type="spellStart"/>
            <w:r w:rsidRPr="006F1D04">
              <w:rPr>
                <w:rFonts w:ascii="Arial" w:hAnsi="Arial" w:cs="Arial"/>
                <w:b/>
                <w:color w:val="FFFFFF"/>
                <w:sz w:val="14"/>
                <w:szCs w:val="14"/>
                <w:lang w:eastAsia="en-US"/>
              </w:rPr>
              <w:t>μg</w:t>
            </w:r>
            <w:proofErr w:type="spellEnd"/>
            <w:r w:rsidRPr="006F1D04">
              <w:rPr>
                <w:rFonts w:ascii="Arial" w:hAnsi="Arial" w:cs="Arial"/>
                <w:b/>
                <w:color w:val="FFFFFF"/>
                <w:sz w:val="14"/>
                <w:szCs w:val="14"/>
                <w:lang w:eastAsia="en-US"/>
              </w:rPr>
              <w:t>/m</w:t>
            </w:r>
            <w:r w:rsidRPr="006F1D04">
              <w:rPr>
                <w:rFonts w:ascii="Arial" w:hAnsi="Arial" w:cs="Arial"/>
                <w:b/>
                <w:color w:val="FFFFFF"/>
                <w:sz w:val="14"/>
                <w:szCs w:val="14"/>
                <w:vertAlign w:val="superscript"/>
                <w:lang w:eastAsia="en-US"/>
              </w:rPr>
              <w:t xml:space="preserve">3 </w:t>
            </w:r>
            <w:r w:rsidRPr="006F1D04">
              <w:rPr>
                <w:rFonts w:ascii="Arial" w:hAnsi="Arial" w:cs="Arial"/>
                <w:b/>
                <w:color w:val="FFFFFF"/>
                <w:sz w:val="14"/>
                <w:szCs w:val="14"/>
                <w:lang w:eastAsia="en-US"/>
              </w:rPr>
              <w:t>per year)</w:t>
            </w:r>
          </w:p>
        </w:tc>
        <w:tc>
          <w:tcPr>
            <w:tcW w:w="992" w:type="dxa"/>
            <w:tcBorders>
              <w:top w:val="single" w:sz="4" w:space="0" w:color="0070C0"/>
              <w:left w:val="single" w:sz="4" w:space="0" w:color="0070C0"/>
              <w:bottom w:val="single" w:sz="4" w:space="0" w:color="0070C0"/>
              <w:right w:val="single" w:sz="4" w:space="0" w:color="0070C0"/>
            </w:tcBorders>
            <w:shd w:val="clear" w:color="auto" w:fill="0070C0"/>
            <w:tcMar>
              <w:left w:w="28" w:type="dxa"/>
              <w:right w:w="28" w:type="dxa"/>
            </w:tcMar>
            <w:vAlign w:val="center"/>
          </w:tcPr>
          <w:p w:rsidR="00A81146" w:rsidRPr="006F1D04" w:rsidRDefault="00A81146" w:rsidP="00E20E7C">
            <w:pPr>
              <w:spacing w:after="0" w:line="240" w:lineRule="auto"/>
              <w:jc w:val="center"/>
              <w:rPr>
                <w:rFonts w:ascii="Arial" w:hAnsi="Arial" w:cs="Arial"/>
                <w:b/>
                <w:color w:val="FFFFFF"/>
                <w:sz w:val="14"/>
                <w:szCs w:val="14"/>
                <w:lang w:eastAsia="en-US"/>
              </w:rPr>
            </w:pPr>
            <w:r w:rsidRPr="006F1D04">
              <w:rPr>
                <w:rFonts w:ascii="Arial" w:hAnsi="Arial" w:cs="Arial"/>
                <w:b/>
                <w:color w:val="FFFFFF"/>
                <w:sz w:val="14"/>
                <w:szCs w:val="14"/>
                <w:lang w:eastAsia="en-US"/>
              </w:rPr>
              <w:t>Significant trend at 95% confidence level</w:t>
            </w:r>
          </w:p>
        </w:tc>
        <w:tc>
          <w:tcPr>
            <w:tcW w:w="437" w:type="dxa"/>
            <w:tcBorders>
              <w:top w:val="single" w:sz="4" w:space="0" w:color="0070C0"/>
              <w:left w:val="single" w:sz="4" w:space="0" w:color="0070C0"/>
              <w:bottom w:val="single" w:sz="4" w:space="0" w:color="0070C0"/>
              <w:right w:val="single" w:sz="4" w:space="0" w:color="0070C0"/>
            </w:tcBorders>
            <w:shd w:val="clear" w:color="auto" w:fill="0070C0"/>
            <w:tcMar>
              <w:left w:w="28" w:type="dxa"/>
              <w:right w:w="28" w:type="dxa"/>
            </w:tcMar>
            <w:vAlign w:val="center"/>
          </w:tcPr>
          <w:p w:rsidR="00A81146" w:rsidRPr="006F1D04" w:rsidRDefault="00A81146" w:rsidP="00E20E7C">
            <w:pPr>
              <w:spacing w:after="0" w:line="240" w:lineRule="auto"/>
              <w:jc w:val="center"/>
              <w:rPr>
                <w:rFonts w:ascii="Arial" w:hAnsi="Arial" w:cs="Arial"/>
                <w:b/>
                <w:color w:val="FFFFFF"/>
                <w:sz w:val="14"/>
                <w:szCs w:val="14"/>
                <w:lang w:eastAsia="en-US"/>
              </w:rPr>
            </w:pPr>
          </w:p>
        </w:tc>
        <w:tc>
          <w:tcPr>
            <w:tcW w:w="1123" w:type="dxa"/>
            <w:tcBorders>
              <w:top w:val="single" w:sz="4" w:space="0" w:color="0070C0"/>
              <w:left w:val="single" w:sz="4" w:space="0" w:color="0070C0"/>
              <w:bottom w:val="single" w:sz="4" w:space="0" w:color="0070C0"/>
              <w:right w:val="single" w:sz="4" w:space="0" w:color="0070C0"/>
            </w:tcBorders>
            <w:shd w:val="clear" w:color="auto" w:fill="0070C0"/>
            <w:tcMar>
              <w:left w:w="28" w:type="dxa"/>
              <w:right w:w="28" w:type="dxa"/>
            </w:tcMar>
            <w:vAlign w:val="center"/>
          </w:tcPr>
          <w:p w:rsidR="00A81146" w:rsidRPr="006F1D04" w:rsidRDefault="00A81146" w:rsidP="00E20E7C">
            <w:pPr>
              <w:spacing w:after="0" w:line="240" w:lineRule="auto"/>
              <w:jc w:val="center"/>
              <w:rPr>
                <w:rFonts w:ascii="Arial" w:hAnsi="Arial" w:cs="Arial"/>
                <w:b/>
                <w:color w:val="FFFFFF"/>
                <w:sz w:val="14"/>
                <w:szCs w:val="14"/>
                <w:lang w:eastAsia="en-US"/>
              </w:rPr>
            </w:pPr>
            <w:r w:rsidRPr="006F1D04">
              <w:rPr>
                <w:rFonts w:ascii="Arial" w:hAnsi="Arial" w:cs="Arial"/>
                <w:b/>
                <w:color w:val="FFFFFF"/>
                <w:sz w:val="14"/>
                <w:szCs w:val="14"/>
                <w:lang w:eastAsia="en-US"/>
              </w:rPr>
              <w:t>Significant trend at 95% confidence level</w:t>
            </w:r>
          </w:p>
        </w:tc>
      </w:tr>
      <w:tr w:rsidR="00A81146" w:rsidRPr="006F1D04" w:rsidTr="00E20E7C">
        <w:trPr>
          <w:trHeight w:hRule="exact" w:val="340"/>
          <w:jc w:val="center"/>
        </w:trPr>
        <w:tc>
          <w:tcPr>
            <w:tcW w:w="1175" w:type="dxa"/>
            <w:tcBorders>
              <w:top w:val="single" w:sz="4" w:space="0" w:color="0070C0"/>
              <w:right w:val="single" w:sz="4" w:space="0" w:color="0070C0"/>
            </w:tcBorders>
            <w:shd w:val="clear" w:color="auto" w:fill="D9D9D9"/>
            <w:tcMar>
              <w:left w:w="28" w:type="dxa"/>
              <w:right w:w="28" w:type="dxa"/>
            </w:tcMar>
            <w:vAlign w:val="center"/>
          </w:tcPr>
          <w:p w:rsidR="00A81146" w:rsidRPr="006F1D04" w:rsidRDefault="00A81146" w:rsidP="00E20E7C">
            <w:pPr>
              <w:pStyle w:val="TableContentText"/>
              <w:keepNext/>
              <w:spacing w:before="0"/>
              <w:jc w:val="center"/>
              <w:rPr>
                <w:rFonts w:ascii="Arial" w:hAnsi="Arial" w:cs="Arial"/>
                <w:color w:val="auto"/>
                <w:sz w:val="14"/>
                <w:szCs w:val="14"/>
                <w:lang w:eastAsia="en-AU"/>
              </w:rPr>
            </w:pPr>
            <w:r w:rsidRPr="006F1D04">
              <w:rPr>
                <w:rFonts w:ascii="Arial" w:hAnsi="Arial" w:cs="Arial"/>
                <w:color w:val="auto"/>
                <w:sz w:val="14"/>
                <w:szCs w:val="14"/>
                <w:lang w:eastAsia="en-AU"/>
              </w:rPr>
              <w:t>NSW</w:t>
            </w:r>
          </w:p>
        </w:tc>
        <w:tc>
          <w:tcPr>
            <w:tcW w:w="236" w:type="dxa"/>
            <w:tcBorders>
              <w:top w:val="single" w:sz="4" w:space="0" w:color="0070C0"/>
              <w:left w:val="single" w:sz="4" w:space="0" w:color="0070C0"/>
              <w:right w:val="nil"/>
            </w:tcBorders>
            <w:shd w:val="clear" w:color="auto" w:fill="auto"/>
          </w:tcPr>
          <w:p w:rsidR="00A81146" w:rsidRPr="006F1D04" w:rsidRDefault="00A81146" w:rsidP="00E20E7C">
            <w:pPr>
              <w:spacing w:after="0" w:line="240" w:lineRule="auto"/>
              <w:jc w:val="center"/>
              <w:rPr>
                <w:rFonts w:ascii="Arial" w:hAnsi="Arial" w:cs="Arial"/>
                <w:color w:val="000000"/>
                <w:sz w:val="14"/>
                <w:szCs w:val="14"/>
              </w:rPr>
            </w:pPr>
          </w:p>
        </w:tc>
        <w:tc>
          <w:tcPr>
            <w:tcW w:w="1311" w:type="dxa"/>
            <w:tcBorders>
              <w:top w:val="single" w:sz="4" w:space="0" w:color="0070C0"/>
              <w:left w:val="nil"/>
              <w:right w:val="nil"/>
            </w:tcBorders>
            <w:shd w:val="clear" w:color="auto" w:fill="auto"/>
            <w:tcMar>
              <w:left w:w="28" w:type="dxa"/>
              <w:right w:w="28" w:type="dxa"/>
            </w:tcMar>
            <w:vAlign w:val="center"/>
          </w:tcPr>
          <w:p w:rsidR="00A81146" w:rsidRPr="006F1D04" w:rsidRDefault="00436139" w:rsidP="00E20E7C">
            <w:pPr>
              <w:spacing w:after="0" w:line="240" w:lineRule="auto"/>
              <w:jc w:val="center"/>
              <w:rPr>
                <w:rFonts w:ascii="Arial" w:hAnsi="Arial" w:cs="Arial"/>
                <w:color w:val="000000"/>
                <w:sz w:val="14"/>
                <w:szCs w:val="14"/>
              </w:rPr>
            </w:pPr>
            <w:r w:rsidRPr="006F1D04">
              <w:rPr>
                <w:rFonts w:ascii="Arial" w:hAnsi="Arial" w:cs="Arial"/>
                <w:color w:val="000000"/>
                <w:sz w:val="14"/>
                <w:szCs w:val="14"/>
              </w:rPr>
              <w:t>–</w:t>
            </w:r>
            <w:r w:rsidR="00A81146" w:rsidRPr="006F1D04">
              <w:rPr>
                <w:rFonts w:ascii="Arial" w:hAnsi="Arial" w:cs="Arial"/>
                <w:color w:val="000000"/>
                <w:sz w:val="14"/>
                <w:szCs w:val="14"/>
              </w:rPr>
              <w:t>0.45</w:t>
            </w:r>
          </w:p>
        </w:tc>
        <w:tc>
          <w:tcPr>
            <w:tcW w:w="1027" w:type="dxa"/>
            <w:tcBorders>
              <w:top w:val="single" w:sz="4" w:space="0" w:color="0070C0"/>
              <w:left w:val="nil"/>
              <w:right w:val="nil"/>
            </w:tcBorders>
            <w:shd w:val="clear" w:color="auto" w:fill="auto"/>
            <w:tcMar>
              <w:left w:w="28" w:type="dxa"/>
              <w:right w:w="28" w:type="dxa"/>
            </w:tcMar>
            <w:vAlign w:val="center"/>
          </w:tcPr>
          <w:p w:rsidR="00A81146" w:rsidRPr="006F1D04" w:rsidRDefault="00A81146" w:rsidP="00E20E7C">
            <w:pPr>
              <w:spacing w:after="0" w:line="240" w:lineRule="auto"/>
              <w:jc w:val="center"/>
              <w:rPr>
                <w:rFonts w:ascii="Arial" w:hAnsi="Arial" w:cs="Arial"/>
                <w:color w:val="000000"/>
                <w:sz w:val="14"/>
                <w:szCs w:val="14"/>
                <w:lang w:eastAsia="en-US"/>
              </w:rPr>
            </w:pPr>
            <w:r w:rsidRPr="006F1D04">
              <w:rPr>
                <w:rFonts w:ascii="Arial" w:hAnsi="Arial" w:cs="Arial"/>
                <w:color w:val="000000"/>
                <w:sz w:val="14"/>
                <w:szCs w:val="14"/>
                <w:lang w:eastAsia="en-US"/>
              </w:rPr>
              <w:t>Yes</w:t>
            </w:r>
          </w:p>
        </w:tc>
        <w:tc>
          <w:tcPr>
            <w:tcW w:w="283" w:type="dxa"/>
            <w:tcBorders>
              <w:top w:val="single" w:sz="4" w:space="0" w:color="0070C0"/>
              <w:left w:val="nil"/>
              <w:right w:val="nil"/>
            </w:tcBorders>
            <w:shd w:val="clear" w:color="auto" w:fill="auto"/>
            <w:tcMar>
              <w:left w:w="28" w:type="dxa"/>
              <w:right w:w="28" w:type="dxa"/>
            </w:tcMar>
          </w:tcPr>
          <w:p w:rsidR="00A81146" w:rsidRPr="006F1D04" w:rsidRDefault="00A81146" w:rsidP="00E20E7C">
            <w:pPr>
              <w:pStyle w:val="TableContentText"/>
              <w:keepNext/>
              <w:spacing w:before="0"/>
              <w:jc w:val="center"/>
              <w:rPr>
                <w:rFonts w:ascii="Arial" w:hAnsi="Arial" w:cs="Arial"/>
                <w:color w:val="auto"/>
                <w:sz w:val="14"/>
                <w:szCs w:val="14"/>
                <w:lang w:eastAsia="en-AU"/>
              </w:rPr>
            </w:pPr>
          </w:p>
        </w:tc>
        <w:tc>
          <w:tcPr>
            <w:tcW w:w="1276" w:type="dxa"/>
            <w:tcBorders>
              <w:top w:val="single" w:sz="4" w:space="0" w:color="0070C0"/>
              <w:left w:val="nil"/>
              <w:right w:val="nil"/>
            </w:tcBorders>
            <w:shd w:val="clear" w:color="auto" w:fill="auto"/>
            <w:tcMar>
              <w:left w:w="28" w:type="dxa"/>
              <w:right w:w="28" w:type="dxa"/>
            </w:tcMar>
            <w:vAlign w:val="center"/>
          </w:tcPr>
          <w:p w:rsidR="00A81146" w:rsidRPr="006F1D04" w:rsidRDefault="00436139" w:rsidP="00E20E7C">
            <w:pPr>
              <w:spacing w:after="0" w:line="240" w:lineRule="auto"/>
              <w:jc w:val="center"/>
              <w:rPr>
                <w:rFonts w:ascii="Arial" w:hAnsi="Arial" w:cs="Arial"/>
                <w:color w:val="000000"/>
                <w:sz w:val="14"/>
                <w:szCs w:val="14"/>
              </w:rPr>
            </w:pPr>
            <w:r w:rsidRPr="006F1D04">
              <w:rPr>
                <w:rFonts w:ascii="Arial" w:hAnsi="Arial" w:cs="Arial"/>
                <w:color w:val="000000"/>
                <w:sz w:val="14"/>
                <w:szCs w:val="14"/>
              </w:rPr>
              <w:t>–</w:t>
            </w:r>
            <w:r w:rsidR="00A81146" w:rsidRPr="006F1D04">
              <w:rPr>
                <w:rFonts w:ascii="Arial" w:hAnsi="Arial" w:cs="Arial"/>
                <w:color w:val="000000"/>
                <w:sz w:val="14"/>
                <w:szCs w:val="14"/>
              </w:rPr>
              <w:t>0.15</w:t>
            </w:r>
          </w:p>
        </w:tc>
        <w:tc>
          <w:tcPr>
            <w:tcW w:w="992" w:type="dxa"/>
            <w:tcBorders>
              <w:top w:val="single" w:sz="4" w:space="0" w:color="0070C0"/>
              <w:left w:val="nil"/>
              <w:right w:val="nil"/>
            </w:tcBorders>
            <w:shd w:val="clear" w:color="auto" w:fill="auto"/>
            <w:tcMar>
              <w:left w:w="28" w:type="dxa"/>
              <w:right w:w="28" w:type="dxa"/>
            </w:tcMar>
            <w:vAlign w:val="center"/>
          </w:tcPr>
          <w:p w:rsidR="00A81146" w:rsidRPr="006F1D04" w:rsidRDefault="00A81146" w:rsidP="00E20E7C">
            <w:pPr>
              <w:spacing w:after="0" w:line="240" w:lineRule="auto"/>
              <w:jc w:val="center"/>
              <w:rPr>
                <w:rFonts w:ascii="Arial" w:hAnsi="Arial" w:cs="Arial"/>
                <w:color w:val="000000"/>
                <w:sz w:val="14"/>
                <w:szCs w:val="14"/>
                <w:lang w:eastAsia="en-US"/>
              </w:rPr>
            </w:pPr>
            <w:r w:rsidRPr="006F1D04">
              <w:rPr>
                <w:rFonts w:ascii="Arial" w:hAnsi="Arial" w:cs="Arial"/>
                <w:color w:val="000000"/>
                <w:sz w:val="14"/>
                <w:szCs w:val="14"/>
                <w:lang w:eastAsia="en-US"/>
              </w:rPr>
              <w:t>Yes</w:t>
            </w:r>
          </w:p>
        </w:tc>
        <w:tc>
          <w:tcPr>
            <w:tcW w:w="437" w:type="dxa"/>
            <w:tcBorders>
              <w:top w:val="single" w:sz="4" w:space="0" w:color="0070C0"/>
              <w:left w:val="nil"/>
              <w:right w:val="nil"/>
            </w:tcBorders>
            <w:shd w:val="clear" w:color="auto" w:fill="auto"/>
            <w:tcMar>
              <w:left w:w="28" w:type="dxa"/>
              <w:right w:w="28" w:type="dxa"/>
            </w:tcMar>
          </w:tcPr>
          <w:p w:rsidR="00A81146" w:rsidRPr="006F1D04" w:rsidRDefault="00A81146" w:rsidP="00E20E7C">
            <w:pPr>
              <w:spacing w:after="0" w:line="240" w:lineRule="auto"/>
              <w:jc w:val="center"/>
              <w:rPr>
                <w:rFonts w:ascii="Arial" w:hAnsi="Arial" w:cs="Arial"/>
                <w:color w:val="000000"/>
                <w:sz w:val="14"/>
                <w:szCs w:val="14"/>
                <w:lang w:eastAsia="en-US"/>
              </w:rPr>
            </w:pPr>
          </w:p>
        </w:tc>
        <w:tc>
          <w:tcPr>
            <w:tcW w:w="1123" w:type="dxa"/>
            <w:tcBorders>
              <w:top w:val="single" w:sz="4" w:space="0" w:color="0070C0"/>
              <w:left w:val="nil"/>
            </w:tcBorders>
            <w:shd w:val="clear" w:color="auto" w:fill="auto"/>
            <w:tcMar>
              <w:left w:w="28" w:type="dxa"/>
              <w:right w:w="28" w:type="dxa"/>
            </w:tcMar>
            <w:vAlign w:val="center"/>
          </w:tcPr>
          <w:p w:rsidR="00A81146" w:rsidRPr="006F1D04" w:rsidRDefault="00A81146" w:rsidP="00E20E7C">
            <w:pPr>
              <w:spacing w:after="0" w:line="240" w:lineRule="auto"/>
              <w:jc w:val="center"/>
              <w:rPr>
                <w:rFonts w:ascii="Arial" w:hAnsi="Arial" w:cs="Arial"/>
                <w:color w:val="000000"/>
                <w:sz w:val="14"/>
                <w:szCs w:val="14"/>
                <w:lang w:eastAsia="en-US"/>
              </w:rPr>
            </w:pPr>
            <w:r w:rsidRPr="006F1D04">
              <w:rPr>
                <w:rFonts w:ascii="Arial" w:hAnsi="Arial" w:cs="Arial"/>
                <w:color w:val="000000"/>
                <w:sz w:val="14"/>
                <w:szCs w:val="14"/>
                <w:lang w:eastAsia="en-US"/>
              </w:rPr>
              <w:t>Yes</w:t>
            </w:r>
          </w:p>
        </w:tc>
      </w:tr>
      <w:tr w:rsidR="00A81146" w:rsidRPr="006F1D04" w:rsidTr="00E20E7C">
        <w:trPr>
          <w:trHeight w:hRule="exact" w:val="340"/>
          <w:jc w:val="center"/>
        </w:trPr>
        <w:tc>
          <w:tcPr>
            <w:tcW w:w="1175" w:type="dxa"/>
            <w:tcBorders>
              <w:right w:val="single" w:sz="4" w:space="0" w:color="0070C0"/>
            </w:tcBorders>
            <w:shd w:val="clear" w:color="auto" w:fill="D9D9D9"/>
            <w:tcMar>
              <w:left w:w="28" w:type="dxa"/>
              <w:right w:w="28" w:type="dxa"/>
            </w:tcMar>
            <w:vAlign w:val="center"/>
          </w:tcPr>
          <w:p w:rsidR="00A81146" w:rsidRPr="006F1D04" w:rsidRDefault="00A81146" w:rsidP="00E20E7C">
            <w:pPr>
              <w:pStyle w:val="TableContentText"/>
              <w:keepNext/>
              <w:spacing w:before="0"/>
              <w:jc w:val="center"/>
              <w:rPr>
                <w:rFonts w:ascii="Arial" w:hAnsi="Arial" w:cs="Arial"/>
                <w:color w:val="auto"/>
                <w:sz w:val="14"/>
                <w:szCs w:val="14"/>
                <w:lang w:eastAsia="en-AU"/>
              </w:rPr>
            </w:pPr>
            <w:r w:rsidRPr="006F1D04">
              <w:rPr>
                <w:rFonts w:ascii="Arial" w:hAnsi="Arial" w:cs="Arial"/>
                <w:color w:val="auto"/>
                <w:sz w:val="14"/>
                <w:szCs w:val="14"/>
                <w:lang w:eastAsia="en-AU"/>
              </w:rPr>
              <w:t>VIC</w:t>
            </w:r>
          </w:p>
        </w:tc>
        <w:tc>
          <w:tcPr>
            <w:tcW w:w="236" w:type="dxa"/>
            <w:tcBorders>
              <w:left w:val="single" w:sz="4" w:space="0" w:color="0070C0"/>
              <w:right w:val="nil"/>
            </w:tcBorders>
            <w:shd w:val="clear" w:color="auto" w:fill="auto"/>
          </w:tcPr>
          <w:p w:rsidR="00A81146" w:rsidRPr="006F1D04" w:rsidRDefault="00A81146" w:rsidP="00E20E7C">
            <w:pPr>
              <w:spacing w:after="0" w:line="240" w:lineRule="auto"/>
              <w:jc w:val="center"/>
              <w:rPr>
                <w:rFonts w:ascii="Arial" w:hAnsi="Arial" w:cs="Arial"/>
                <w:color w:val="000000"/>
                <w:sz w:val="14"/>
                <w:szCs w:val="14"/>
              </w:rPr>
            </w:pPr>
          </w:p>
        </w:tc>
        <w:tc>
          <w:tcPr>
            <w:tcW w:w="1311" w:type="dxa"/>
            <w:tcBorders>
              <w:left w:val="nil"/>
              <w:right w:val="nil"/>
            </w:tcBorders>
            <w:shd w:val="clear" w:color="auto" w:fill="auto"/>
            <w:tcMar>
              <w:left w:w="28" w:type="dxa"/>
              <w:right w:w="28" w:type="dxa"/>
            </w:tcMar>
            <w:vAlign w:val="center"/>
          </w:tcPr>
          <w:p w:rsidR="00A81146" w:rsidRPr="006F1D04" w:rsidRDefault="00436139" w:rsidP="00E20E7C">
            <w:pPr>
              <w:spacing w:after="0" w:line="240" w:lineRule="auto"/>
              <w:jc w:val="center"/>
              <w:rPr>
                <w:rFonts w:ascii="Arial" w:hAnsi="Arial" w:cs="Arial"/>
                <w:color w:val="000000"/>
                <w:sz w:val="14"/>
                <w:szCs w:val="14"/>
              </w:rPr>
            </w:pPr>
            <w:r w:rsidRPr="006F1D04">
              <w:rPr>
                <w:rFonts w:ascii="Arial" w:hAnsi="Arial" w:cs="Arial"/>
                <w:color w:val="000000"/>
                <w:sz w:val="14"/>
                <w:szCs w:val="14"/>
              </w:rPr>
              <w:t>–</w:t>
            </w:r>
            <w:r w:rsidR="00A81146" w:rsidRPr="006F1D04">
              <w:rPr>
                <w:rFonts w:ascii="Arial" w:hAnsi="Arial" w:cs="Arial"/>
                <w:color w:val="000000"/>
                <w:sz w:val="14"/>
                <w:szCs w:val="14"/>
              </w:rPr>
              <w:t>0.46</w:t>
            </w:r>
          </w:p>
        </w:tc>
        <w:tc>
          <w:tcPr>
            <w:tcW w:w="1027" w:type="dxa"/>
            <w:tcBorders>
              <w:left w:val="nil"/>
              <w:right w:val="nil"/>
            </w:tcBorders>
            <w:shd w:val="clear" w:color="auto" w:fill="auto"/>
            <w:tcMar>
              <w:left w:w="28" w:type="dxa"/>
              <w:right w:w="28" w:type="dxa"/>
            </w:tcMar>
            <w:vAlign w:val="center"/>
          </w:tcPr>
          <w:p w:rsidR="00A81146" w:rsidRPr="006F1D04" w:rsidRDefault="00A81146" w:rsidP="00E20E7C">
            <w:pPr>
              <w:spacing w:after="0" w:line="240" w:lineRule="auto"/>
              <w:jc w:val="center"/>
              <w:rPr>
                <w:rFonts w:ascii="Arial" w:hAnsi="Arial" w:cs="Arial"/>
                <w:color w:val="000000"/>
                <w:sz w:val="14"/>
                <w:szCs w:val="14"/>
                <w:lang w:eastAsia="en-US"/>
              </w:rPr>
            </w:pPr>
            <w:r w:rsidRPr="006F1D04">
              <w:rPr>
                <w:rFonts w:ascii="Arial" w:hAnsi="Arial" w:cs="Arial"/>
                <w:color w:val="000000"/>
                <w:sz w:val="14"/>
                <w:szCs w:val="14"/>
                <w:lang w:eastAsia="en-US"/>
              </w:rPr>
              <w:t>No</w:t>
            </w:r>
          </w:p>
        </w:tc>
        <w:tc>
          <w:tcPr>
            <w:tcW w:w="283" w:type="dxa"/>
            <w:tcBorders>
              <w:left w:val="nil"/>
              <w:right w:val="nil"/>
            </w:tcBorders>
            <w:shd w:val="clear" w:color="auto" w:fill="auto"/>
            <w:tcMar>
              <w:left w:w="28" w:type="dxa"/>
              <w:right w:w="28" w:type="dxa"/>
            </w:tcMar>
          </w:tcPr>
          <w:p w:rsidR="00A81146" w:rsidRPr="006F1D04" w:rsidRDefault="00A81146" w:rsidP="00E20E7C">
            <w:pPr>
              <w:pStyle w:val="TableContentText"/>
              <w:keepNext/>
              <w:spacing w:before="0"/>
              <w:jc w:val="center"/>
              <w:rPr>
                <w:rFonts w:ascii="Arial" w:hAnsi="Arial" w:cs="Arial"/>
                <w:color w:val="auto"/>
                <w:sz w:val="14"/>
                <w:szCs w:val="14"/>
                <w:lang w:eastAsia="en-AU"/>
              </w:rPr>
            </w:pPr>
          </w:p>
        </w:tc>
        <w:tc>
          <w:tcPr>
            <w:tcW w:w="1276" w:type="dxa"/>
            <w:tcBorders>
              <w:left w:val="nil"/>
              <w:right w:val="nil"/>
            </w:tcBorders>
            <w:shd w:val="clear" w:color="auto" w:fill="auto"/>
            <w:tcMar>
              <w:left w:w="28" w:type="dxa"/>
              <w:right w:w="28" w:type="dxa"/>
            </w:tcMar>
            <w:vAlign w:val="center"/>
          </w:tcPr>
          <w:p w:rsidR="00A81146" w:rsidRPr="006F1D04" w:rsidRDefault="00436139" w:rsidP="00E20E7C">
            <w:pPr>
              <w:spacing w:after="0" w:line="240" w:lineRule="auto"/>
              <w:jc w:val="center"/>
              <w:rPr>
                <w:rFonts w:ascii="Arial" w:hAnsi="Arial" w:cs="Arial"/>
                <w:color w:val="000000"/>
                <w:sz w:val="14"/>
                <w:szCs w:val="14"/>
              </w:rPr>
            </w:pPr>
            <w:r w:rsidRPr="006F1D04">
              <w:rPr>
                <w:rFonts w:ascii="Arial" w:hAnsi="Arial" w:cs="Arial"/>
                <w:color w:val="000000"/>
                <w:sz w:val="14"/>
                <w:szCs w:val="14"/>
              </w:rPr>
              <w:t>–</w:t>
            </w:r>
            <w:r w:rsidR="00A81146" w:rsidRPr="006F1D04">
              <w:rPr>
                <w:rFonts w:ascii="Arial" w:hAnsi="Arial" w:cs="Arial"/>
                <w:color w:val="000000"/>
                <w:sz w:val="14"/>
                <w:szCs w:val="14"/>
              </w:rPr>
              <w:t>0.20</w:t>
            </w:r>
          </w:p>
        </w:tc>
        <w:tc>
          <w:tcPr>
            <w:tcW w:w="992" w:type="dxa"/>
            <w:tcBorders>
              <w:left w:val="nil"/>
              <w:right w:val="nil"/>
            </w:tcBorders>
            <w:shd w:val="clear" w:color="auto" w:fill="auto"/>
            <w:tcMar>
              <w:left w:w="28" w:type="dxa"/>
              <w:right w:w="28" w:type="dxa"/>
            </w:tcMar>
            <w:vAlign w:val="center"/>
          </w:tcPr>
          <w:p w:rsidR="00A81146" w:rsidRPr="006F1D04" w:rsidRDefault="00A81146" w:rsidP="00E20E7C">
            <w:pPr>
              <w:spacing w:after="0" w:line="240" w:lineRule="auto"/>
              <w:jc w:val="center"/>
              <w:rPr>
                <w:rFonts w:ascii="Arial" w:hAnsi="Arial" w:cs="Arial"/>
                <w:color w:val="000000"/>
                <w:sz w:val="14"/>
                <w:szCs w:val="14"/>
                <w:lang w:eastAsia="en-US"/>
              </w:rPr>
            </w:pPr>
            <w:r w:rsidRPr="006F1D04">
              <w:rPr>
                <w:rFonts w:ascii="Arial" w:hAnsi="Arial" w:cs="Arial"/>
                <w:color w:val="000000"/>
                <w:sz w:val="14"/>
                <w:szCs w:val="14"/>
                <w:lang w:eastAsia="en-US"/>
              </w:rPr>
              <w:t>Yes</w:t>
            </w:r>
          </w:p>
        </w:tc>
        <w:tc>
          <w:tcPr>
            <w:tcW w:w="437" w:type="dxa"/>
            <w:tcBorders>
              <w:left w:val="nil"/>
              <w:right w:val="nil"/>
            </w:tcBorders>
            <w:shd w:val="clear" w:color="auto" w:fill="auto"/>
            <w:tcMar>
              <w:left w:w="28" w:type="dxa"/>
              <w:right w:w="28" w:type="dxa"/>
            </w:tcMar>
          </w:tcPr>
          <w:p w:rsidR="00A81146" w:rsidRPr="006F1D04" w:rsidRDefault="00A81146" w:rsidP="00E20E7C">
            <w:pPr>
              <w:spacing w:after="0" w:line="240" w:lineRule="auto"/>
              <w:jc w:val="center"/>
              <w:rPr>
                <w:rFonts w:ascii="Arial" w:hAnsi="Arial" w:cs="Arial"/>
                <w:color w:val="000000"/>
                <w:sz w:val="14"/>
                <w:szCs w:val="14"/>
                <w:lang w:eastAsia="en-US"/>
              </w:rPr>
            </w:pPr>
          </w:p>
        </w:tc>
        <w:tc>
          <w:tcPr>
            <w:tcW w:w="1123" w:type="dxa"/>
            <w:tcBorders>
              <w:left w:val="nil"/>
            </w:tcBorders>
            <w:shd w:val="clear" w:color="auto" w:fill="auto"/>
            <w:tcMar>
              <w:left w:w="28" w:type="dxa"/>
              <w:right w:w="28" w:type="dxa"/>
            </w:tcMar>
            <w:vAlign w:val="center"/>
          </w:tcPr>
          <w:p w:rsidR="00A81146" w:rsidRPr="006F1D04" w:rsidRDefault="00A81146" w:rsidP="00E20E7C">
            <w:pPr>
              <w:spacing w:after="0" w:line="240" w:lineRule="auto"/>
              <w:jc w:val="center"/>
              <w:rPr>
                <w:rFonts w:ascii="Arial" w:hAnsi="Arial" w:cs="Arial"/>
                <w:color w:val="000000"/>
                <w:sz w:val="14"/>
                <w:szCs w:val="14"/>
                <w:lang w:eastAsia="en-US"/>
              </w:rPr>
            </w:pPr>
            <w:r w:rsidRPr="006F1D04">
              <w:rPr>
                <w:rFonts w:ascii="Arial" w:hAnsi="Arial" w:cs="Arial"/>
                <w:color w:val="000000"/>
                <w:sz w:val="14"/>
                <w:szCs w:val="14"/>
                <w:lang w:eastAsia="en-US"/>
              </w:rPr>
              <w:t>No</w:t>
            </w:r>
          </w:p>
        </w:tc>
      </w:tr>
      <w:tr w:rsidR="00A81146" w:rsidRPr="006F1D04" w:rsidTr="00E20E7C">
        <w:trPr>
          <w:trHeight w:hRule="exact" w:val="284"/>
          <w:jc w:val="center"/>
        </w:trPr>
        <w:tc>
          <w:tcPr>
            <w:tcW w:w="1175" w:type="dxa"/>
            <w:tcBorders>
              <w:bottom w:val="nil"/>
              <w:right w:val="single" w:sz="4" w:space="0" w:color="0070C0"/>
            </w:tcBorders>
            <w:shd w:val="clear" w:color="auto" w:fill="D9D9D9"/>
            <w:tcMar>
              <w:left w:w="28" w:type="dxa"/>
              <w:right w:w="28" w:type="dxa"/>
            </w:tcMar>
            <w:vAlign w:val="center"/>
          </w:tcPr>
          <w:p w:rsidR="00A81146" w:rsidRPr="006F1D04" w:rsidRDefault="00A81146" w:rsidP="00E20E7C">
            <w:pPr>
              <w:pStyle w:val="TableContentText"/>
              <w:keepNext/>
              <w:spacing w:before="0"/>
              <w:jc w:val="center"/>
              <w:rPr>
                <w:rFonts w:ascii="Arial" w:hAnsi="Arial" w:cs="Arial"/>
                <w:color w:val="auto"/>
                <w:sz w:val="14"/>
                <w:szCs w:val="14"/>
                <w:lang w:eastAsia="en-AU"/>
              </w:rPr>
            </w:pPr>
            <w:r w:rsidRPr="006F1D04">
              <w:rPr>
                <w:rFonts w:ascii="Arial" w:hAnsi="Arial" w:cs="Arial"/>
                <w:color w:val="auto"/>
                <w:sz w:val="14"/>
                <w:szCs w:val="14"/>
                <w:lang w:eastAsia="en-AU"/>
              </w:rPr>
              <w:t>QLD (2003</w:t>
            </w:r>
            <w:r w:rsidR="00436139" w:rsidRPr="006F1D04">
              <w:rPr>
                <w:rFonts w:ascii="Arial" w:hAnsi="Arial" w:cs="Arial"/>
                <w:color w:val="auto"/>
                <w:sz w:val="14"/>
                <w:szCs w:val="14"/>
                <w:lang w:eastAsia="en-AU"/>
              </w:rPr>
              <w:t>–</w:t>
            </w:r>
            <w:r w:rsidRPr="006F1D04">
              <w:rPr>
                <w:rFonts w:ascii="Arial" w:hAnsi="Arial" w:cs="Arial"/>
                <w:color w:val="auto"/>
                <w:sz w:val="14"/>
                <w:szCs w:val="14"/>
                <w:lang w:eastAsia="en-AU"/>
              </w:rPr>
              <w:t>2008)</w:t>
            </w:r>
          </w:p>
        </w:tc>
        <w:tc>
          <w:tcPr>
            <w:tcW w:w="236" w:type="dxa"/>
            <w:vMerge w:val="restart"/>
            <w:tcBorders>
              <w:left w:val="single" w:sz="4" w:space="0" w:color="0070C0"/>
              <w:bottom w:val="single" w:sz="4" w:space="0" w:color="0070C0"/>
              <w:right w:val="nil"/>
            </w:tcBorders>
            <w:shd w:val="clear" w:color="auto" w:fill="auto"/>
          </w:tcPr>
          <w:p w:rsidR="00A81146" w:rsidRPr="006F1D04" w:rsidRDefault="00A81146" w:rsidP="00E20E7C">
            <w:pPr>
              <w:spacing w:after="0" w:line="240" w:lineRule="auto"/>
              <w:jc w:val="center"/>
              <w:rPr>
                <w:rFonts w:ascii="Arial" w:hAnsi="Arial" w:cs="Arial"/>
                <w:color w:val="000000"/>
                <w:sz w:val="14"/>
                <w:szCs w:val="14"/>
              </w:rPr>
            </w:pPr>
          </w:p>
        </w:tc>
        <w:tc>
          <w:tcPr>
            <w:tcW w:w="1311" w:type="dxa"/>
            <w:vMerge w:val="restart"/>
            <w:tcBorders>
              <w:left w:val="nil"/>
              <w:bottom w:val="single" w:sz="4" w:space="0" w:color="0070C0"/>
              <w:right w:val="nil"/>
            </w:tcBorders>
            <w:shd w:val="clear" w:color="auto" w:fill="auto"/>
            <w:tcMar>
              <w:left w:w="28" w:type="dxa"/>
              <w:right w:w="28" w:type="dxa"/>
            </w:tcMar>
            <w:vAlign w:val="center"/>
          </w:tcPr>
          <w:p w:rsidR="00A81146" w:rsidRPr="006F1D04" w:rsidRDefault="00436139" w:rsidP="00E20E7C">
            <w:pPr>
              <w:spacing w:after="0" w:line="240" w:lineRule="auto"/>
              <w:jc w:val="center"/>
              <w:rPr>
                <w:rFonts w:ascii="Arial" w:hAnsi="Arial" w:cs="Arial"/>
                <w:color w:val="000000"/>
                <w:sz w:val="14"/>
                <w:szCs w:val="14"/>
              </w:rPr>
            </w:pPr>
            <w:r w:rsidRPr="006F1D04">
              <w:rPr>
                <w:rFonts w:ascii="Arial" w:hAnsi="Arial" w:cs="Arial"/>
                <w:color w:val="000000"/>
                <w:sz w:val="14"/>
                <w:szCs w:val="14"/>
              </w:rPr>
              <w:t>–</w:t>
            </w:r>
            <w:r w:rsidR="00A81146" w:rsidRPr="006F1D04">
              <w:rPr>
                <w:rFonts w:ascii="Arial" w:hAnsi="Arial" w:cs="Arial"/>
                <w:color w:val="000000"/>
                <w:sz w:val="14"/>
                <w:szCs w:val="14"/>
              </w:rPr>
              <w:t>0.16</w:t>
            </w:r>
          </w:p>
        </w:tc>
        <w:tc>
          <w:tcPr>
            <w:tcW w:w="1027" w:type="dxa"/>
            <w:vMerge w:val="restart"/>
            <w:tcBorders>
              <w:left w:val="nil"/>
              <w:bottom w:val="single" w:sz="4" w:space="0" w:color="0070C0"/>
              <w:right w:val="nil"/>
            </w:tcBorders>
            <w:shd w:val="clear" w:color="auto" w:fill="auto"/>
            <w:tcMar>
              <w:left w:w="28" w:type="dxa"/>
              <w:right w:w="28" w:type="dxa"/>
            </w:tcMar>
            <w:vAlign w:val="center"/>
          </w:tcPr>
          <w:p w:rsidR="00A81146" w:rsidRPr="006F1D04" w:rsidRDefault="00A81146" w:rsidP="00E20E7C">
            <w:pPr>
              <w:spacing w:after="0" w:line="240" w:lineRule="auto"/>
              <w:jc w:val="center"/>
              <w:rPr>
                <w:rFonts w:ascii="Arial" w:hAnsi="Arial" w:cs="Arial"/>
                <w:color w:val="000000"/>
                <w:sz w:val="14"/>
                <w:szCs w:val="14"/>
                <w:lang w:eastAsia="en-US"/>
              </w:rPr>
            </w:pPr>
            <w:r w:rsidRPr="006F1D04">
              <w:rPr>
                <w:rFonts w:ascii="Arial" w:hAnsi="Arial" w:cs="Arial"/>
                <w:color w:val="000000"/>
                <w:sz w:val="14"/>
                <w:szCs w:val="14"/>
                <w:lang w:eastAsia="en-US"/>
              </w:rPr>
              <w:t>No</w:t>
            </w:r>
          </w:p>
        </w:tc>
        <w:tc>
          <w:tcPr>
            <w:tcW w:w="283" w:type="dxa"/>
            <w:vMerge w:val="restart"/>
            <w:tcBorders>
              <w:left w:val="nil"/>
              <w:bottom w:val="single" w:sz="4" w:space="0" w:color="0070C0"/>
              <w:right w:val="nil"/>
            </w:tcBorders>
            <w:shd w:val="clear" w:color="auto" w:fill="auto"/>
            <w:tcMar>
              <w:left w:w="28" w:type="dxa"/>
              <w:right w:w="28" w:type="dxa"/>
            </w:tcMar>
          </w:tcPr>
          <w:p w:rsidR="00A81146" w:rsidRPr="006F1D04" w:rsidRDefault="00A81146" w:rsidP="00E20E7C">
            <w:pPr>
              <w:pStyle w:val="TableContentText"/>
              <w:keepNext/>
              <w:spacing w:before="0"/>
              <w:jc w:val="center"/>
              <w:rPr>
                <w:rFonts w:ascii="Arial" w:hAnsi="Arial" w:cs="Arial"/>
                <w:color w:val="auto"/>
                <w:sz w:val="14"/>
                <w:szCs w:val="14"/>
                <w:lang w:eastAsia="en-AU"/>
              </w:rPr>
            </w:pPr>
          </w:p>
        </w:tc>
        <w:tc>
          <w:tcPr>
            <w:tcW w:w="1276" w:type="dxa"/>
            <w:tcBorders>
              <w:left w:val="nil"/>
              <w:bottom w:val="nil"/>
              <w:right w:val="nil"/>
            </w:tcBorders>
            <w:shd w:val="clear" w:color="auto" w:fill="auto"/>
            <w:tcMar>
              <w:left w:w="28" w:type="dxa"/>
              <w:right w:w="28" w:type="dxa"/>
            </w:tcMar>
            <w:vAlign w:val="center"/>
          </w:tcPr>
          <w:p w:rsidR="00A81146" w:rsidRPr="006F1D04" w:rsidRDefault="00436139" w:rsidP="00E20E7C">
            <w:pPr>
              <w:spacing w:after="0" w:line="240" w:lineRule="auto"/>
              <w:jc w:val="center"/>
              <w:rPr>
                <w:rFonts w:ascii="Arial" w:hAnsi="Arial" w:cs="Arial"/>
                <w:color w:val="000000"/>
                <w:sz w:val="14"/>
                <w:szCs w:val="14"/>
                <w:lang w:eastAsia="en-US"/>
              </w:rPr>
            </w:pPr>
            <w:r w:rsidRPr="006F1D04">
              <w:rPr>
                <w:rFonts w:ascii="Arial" w:hAnsi="Arial" w:cs="Arial"/>
                <w:color w:val="000000"/>
                <w:sz w:val="14"/>
                <w:szCs w:val="14"/>
              </w:rPr>
              <w:t>–</w:t>
            </w:r>
            <w:r w:rsidR="00A81146" w:rsidRPr="006F1D04">
              <w:rPr>
                <w:rFonts w:ascii="Arial" w:hAnsi="Arial" w:cs="Arial"/>
                <w:color w:val="000000"/>
                <w:sz w:val="14"/>
                <w:szCs w:val="14"/>
              </w:rPr>
              <w:t>0.21</w:t>
            </w:r>
          </w:p>
        </w:tc>
        <w:tc>
          <w:tcPr>
            <w:tcW w:w="992" w:type="dxa"/>
            <w:tcBorders>
              <w:left w:val="nil"/>
              <w:bottom w:val="nil"/>
              <w:right w:val="nil"/>
            </w:tcBorders>
            <w:shd w:val="clear" w:color="auto" w:fill="auto"/>
            <w:tcMar>
              <w:left w:w="28" w:type="dxa"/>
              <w:right w:w="28" w:type="dxa"/>
            </w:tcMar>
            <w:vAlign w:val="center"/>
          </w:tcPr>
          <w:p w:rsidR="00A81146" w:rsidRPr="006F1D04" w:rsidRDefault="00A81146" w:rsidP="00E20E7C">
            <w:pPr>
              <w:spacing w:after="0" w:line="240" w:lineRule="auto"/>
              <w:jc w:val="center"/>
              <w:rPr>
                <w:rFonts w:ascii="Arial" w:hAnsi="Arial" w:cs="Arial"/>
                <w:color w:val="000000"/>
                <w:sz w:val="14"/>
                <w:szCs w:val="14"/>
                <w:lang w:eastAsia="en-US"/>
              </w:rPr>
            </w:pPr>
            <w:r w:rsidRPr="006F1D04">
              <w:rPr>
                <w:rFonts w:ascii="Arial" w:hAnsi="Arial" w:cs="Arial"/>
                <w:color w:val="000000"/>
                <w:sz w:val="14"/>
                <w:szCs w:val="14"/>
                <w:lang w:eastAsia="en-US"/>
              </w:rPr>
              <w:t>Yes</w:t>
            </w:r>
          </w:p>
        </w:tc>
        <w:tc>
          <w:tcPr>
            <w:tcW w:w="437" w:type="dxa"/>
            <w:tcBorders>
              <w:left w:val="nil"/>
              <w:bottom w:val="nil"/>
              <w:right w:val="nil"/>
            </w:tcBorders>
            <w:shd w:val="clear" w:color="auto" w:fill="auto"/>
            <w:tcMar>
              <w:left w:w="28" w:type="dxa"/>
              <w:right w:w="28" w:type="dxa"/>
            </w:tcMar>
          </w:tcPr>
          <w:p w:rsidR="00A81146" w:rsidRPr="006F1D04" w:rsidRDefault="00A81146" w:rsidP="00E20E7C">
            <w:pPr>
              <w:spacing w:after="0" w:line="240" w:lineRule="auto"/>
              <w:jc w:val="center"/>
              <w:rPr>
                <w:rFonts w:ascii="Arial" w:hAnsi="Arial" w:cs="Arial"/>
                <w:color w:val="000000"/>
                <w:sz w:val="14"/>
                <w:szCs w:val="14"/>
                <w:lang w:eastAsia="en-US"/>
              </w:rPr>
            </w:pPr>
          </w:p>
        </w:tc>
        <w:tc>
          <w:tcPr>
            <w:tcW w:w="1123" w:type="dxa"/>
            <w:tcBorders>
              <w:left w:val="nil"/>
              <w:bottom w:val="nil"/>
            </w:tcBorders>
            <w:shd w:val="clear" w:color="auto" w:fill="auto"/>
            <w:tcMar>
              <w:left w:w="28" w:type="dxa"/>
              <w:right w:w="28" w:type="dxa"/>
            </w:tcMar>
            <w:vAlign w:val="center"/>
          </w:tcPr>
          <w:p w:rsidR="00A81146" w:rsidRPr="006F1D04" w:rsidRDefault="00A81146" w:rsidP="00E20E7C">
            <w:pPr>
              <w:spacing w:after="0" w:line="240" w:lineRule="auto"/>
              <w:jc w:val="center"/>
              <w:rPr>
                <w:rFonts w:ascii="Arial" w:hAnsi="Arial" w:cs="Arial"/>
                <w:color w:val="000000"/>
                <w:sz w:val="14"/>
                <w:szCs w:val="14"/>
                <w:lang w:eastAsia="en-US"/>
              </w:rPr>
            </w:pPr>
            <w:r w:rsidRPr="006F1D04">
              <w:rPr>
                <w:rFonts w:ascii="Arial" w:hAnsi="Arial" w:cs="Arial"/>
                <w:color w:val="000000"/>
                <w:sz w:val="14"/>
                <w:szCs w:val="14"/>
                <w:lang w:eastAsia="en-US"/>
              </w:rPr>
              <w:t>Yes</w:t>
            </w:r>
          </w:p>
        </w:tc>
      </w:tr>
      <w:tr w:rsidR="00A81146" w:rsidRPr="006F1D04" w:rsidTr="00E20E7C">
        <w:trPr>
          <w:trHeight w:hRule="exact" w:val="284"/>
          <w:jc w:val="center"/>
        </w:trPr>
        <w:tc>
          <w:tcPr>
            <w:tcW w:w="1175" w:type="dxa"/>
            <w:tcBorders>
              <w:top w:val="nil"/>
              <w:right w:val="single" w:sz="4" w:space="0" w:color="0070C0"/>
            </w:tcBorders>
            <w:shd w:val="clear" w:color="auto" w:fill="D9D9D9"/>
            <w:tcMar>
              <w:left w:w="28" w:type="dxa"/>
              <w:right w:w="28" w:type="dxa"/>
            </w:tcMar>
            <w:vAlign w:val="center"/>
          </w:tcPr>
          <w:p w:rsidR="00A81146" w:rsidRPr="006F1D04" w:rsidRDefault="00A81146" w:rsidP="00E20E7C">
            <w:pPr>
              <w:pStyle w:val="TableContentText"/>
              <w:keepNext/>
              <w:spacing w:before="0"/>
              <w:jc w:val="center"/>
              <w:rPr>
                <w:rFonts w:ascii="Arial" w:hAnsi="Arial" w:cs="Arial"/>
                <w:color w:val="auto"/>
                <w:sz w:val="14"/>
                <w:szCs w:val="14"/>
                <w:lang w:eastAsia="en-AU"/>
              </w:rPr>
            </w:pPr>
            <w:r w:rsidRPr="006F1D04">
              <w:rPr>
                <w:rFonts w:ascii="Arial" w:hAnsi="Arial" w:cs="Arial"/>
                <w:color w:val="auto"/>
                <w:sz w:val="14"/>
                <w:szCs w:val="14"/>
                <w:lang w:eastAsia="en-AU"/>
              </w:rPr>
              <w:t>QLD (2009</w:t>
            </w:r>
            <w:r w:rsidR="00436139" w:rsidRPr="006F1D04">
              <w:rPr>
                <w:rFonts w:ascii="Arial" w:hAnsi="Arial" w:cs="Arial"/>
                <w:color w:val="auto"/>
                <w:sz w:val="14"/>
                <w:szCs w:val="14"/>
                <w:lang w:eastAsia="en-AU"/>
              </w:rPr>
              <w:t>–</w:t>
            </w:r>
            <w:r w:rsidRPr="006F1D04">
              <w:rPr>
                <w:rFonts w:ascii="Arial" w:hAnsi="Arial" w:cs="Arial"/>
                <w:color w:val="auto"/>
                <w:sz w:val="14"/>
                <w:szCs w:val="14"/>
                <w:lang w:eastAsia="en-AU"/>
              </w:rPr>
              <w:t>2012)</w:t>
            </w:r>
          </w:p>
        </w:tc>
        <w:tc>
          <w:tcPr>
            <w:tcW w:w="236" w:type="dxa"/>
            <w:vMerge/>
            <w:tcBorders>
              <w:top w:val="single" w:sz="4" w:space="0" w:color="0070C0"/>
              <w:left w:val="single" w:sz="4" w:space="0" w:color="0070C0"/>
              <w:right w:val="nil"/>
            </w:tcBorders>
            <w:shd w:val="clear" w:color="auto" w:fill="auto"/>
          </w:tcPr>
          <w:p w:rsidR="00A81146" w:rsidRPr="006F1D04" w:rsidRDefault="00A81146" w:rsidP="00E20E7C">
            <w:pPr>
              <w:spacing w:after="0" w:line="240" w:lineRule="auto"/>
              <w:jc w:val="center"/>
              <w:rPr>
                <w:rFonts w:ascii="Arial" w:hAnsi="Arial" w:cs="Arial"/>
                <w:color w:val="000000"/>
                <w:sz w:val="14"/>
                <w:szCs w:val="14"/>
              </w:rPr>
            </w:pPr>
          </w:p>
        </w:tc>
        <w:tc>
          <w:tcPr>
            <w:tcW w:w="1311" w:type="dxa"/>
            <w:vMerge/>
            <w:tcBorders>
              <w:top w:val="single" w:sz="4" w:space="0" w:color="0070C0"/>
              <w:left w:val="nil"/>
              <w:right w:val="nil"/>
            </w:tcBorders>
            <w:shd w:val="clear" w:color="auto" w:fill="auto"/>
            <w:tcMar>
              <w:left w:w="28" w:type="dxa"/>
              <w:right w:w="28" w:type="dxa"/>
            </w:tcMar>
            <w:vAlign w:val="center"/>
          </w:tcPr>
          <w:p w:rsidR="00A81146" w:rsidRPr="006F1D04" w:rsidRDefault="00A81146" w:rsidP="00E20E7C">
            <w:pPr>
              <w:spacing w:after="0" w:line="240" w:lineRule="auto"/>
              <w:jc w:val="center"/>
              <w:rPr>
                <w:rFonts w:ascii="Arial" w:hAnsi="Arial" w:cs="Arial"/>
                <w:color w:val="000000"/>
                <w:sz w:val="14"/>
                <w:szCs w:val="14"/>
              </w:rPr>
            </w:pPr>
          </w:p>
        </w:tc>
        <w:tc>
          <w:tcPr>
            <w:tcW w:w="1027" w:type="dxa"/>
            <w:vMerge/>
            <w:tcBorders>
              <w:top w:val="single" w:sz="4" w:space="0" w:color="0070C0"/>
              <w:left w:val="nil"/>
              <w:right w:val="nil"/>
            </w:tcBorders>
            <w:shd w:val="clear" w:color="auto" w:fill="auto"/>
            <w:tcMar>
              <w:left w:w="28" w:type="dxa"/>
              <w:right w:w="28" w:type="dxa"/>
            </w:tcMar>
            <w:vAlign w:val="center"/>
          </w:tcPr>
          <w:p w:rsidR="00A81146" w:rsidRPr="006F1D04" w:rsidRDefault="00A81146" w:rsidP="00E20E7C">
            <w:pPr>
              <w:spacing w:after="0" w:line="240" w:lineRule="auto"/>
              <w:jc w:val="center"/>
              <w:rPr>
                <w:rFonts w:ascii="Arial" w:hAnsi="Arial" w:cs="Arial"/>
                <w:color w:val="000000"/>
                <w:sz w:val="14"/>
                <w:szCs w:val="14"/>
                <w:lang w:eastAsia="en-US"/>
              </w:rPr>
            </w:pPr>
          </w:p>
        </w:tc>
        <w:tc>
          <w:tcPr>
            <w:tcW w:w="283" w:type="dxa"/>
            <w:vMerge/>
            <w:tcBorders>
              <w:top w:val="single" w:sz="4" w:space="0" w:color="0070C0"/>
              <w:left w:val="nil"/>
              <w:right w:val="nil"/>
            </w:tcBorders>
            <w:shd w:val="clear" w:color="auto" w:fill="auto"/>
            <w:tcMar>
              <w:left w:w="28" w:type="dxa"/>
              <w:right w:w="28" w:type="dxa"/>
            </w:tcMar>
          </w:tcPr>
          <w:p w:rsidR="00A81146" w:rsidRPr="006F1D04" w:rsidRDefault="00A81146" w:rsidP="00E20E7C">
            <w:pPr>
              <w:pStyle w:val="TableContentText"/>
              <w:keepNext/>
              <w:spacing w:before="0"/>
              <w:jc w:val="center"/>
              <w:rPr>
                <w:rFonts w:ascii="Arial" w:hAnsi="Arial" w:cs="Arial"/>
                <w:color w:val="auto"/>
                <w:sz w:val="14"/>
                <w:szCs w:val="14"/>
                <w:lang w:eastAsia="en-AU"/>
              </w:rPr>
            </w:pPr>
          </w:p>
        </w:tc>
        <w:tc>
          <w:tcPr>
            <w:tcW w:w="1276" w:type="dxa"/>
            <w:tcBorders>
              <w:top w:val="nil"/>
              <w:left w:val="nil"/>
              <w:right w:val="nil"/>
            </w:tcBorders>
            <w:shd w:val="clear" w:color="auto" w:fill="auto"/>
            <w:tcMar>
              <w:left w:w="28" w:type="dxa"/>
              <w:right w:w="28" w:type="dxa"/>
            </w:tcMar>
            <w:vAlign w:val="center"/>
          </w:tcPr>
          <w:p w:rsidR="00A81146" w:rsidRPr="006F1D04" w:rsidRDefault="00436139" w:rsidP="00E20E7C">
            <w:pPr>
              <w:spacing w:after="0" w:line="240" w:lineRule="auto"/>
              <w:jc w:val="center"/>
              <w:rPr>
                <w:rFonts w:ascii="Arial" w:hAnsi="Arial" w:cs="Arial"/>
                <w:color w:val="000000"/>
                <w:sz w:val="14"/>
                <w:szCs w:val="14"/>
                <w:lang w:eastAsia="en-US"/>
              </w:rPr>
            </w:pPr>
            <w:r w:rsidRPr="006F1D04">
              <w:rPr>
                <w:rFonts w:ascii="Arial" w:hAnsi="Arial" w:cs="Arial"/>
                <w:color w:val="000000"/>
                <w:sz w:val="14"/>
                <w:szCs w:val="14"/>
                <w:lang w:eastAsia="en-US"/>
              </w:rPr>
              <w:t>–</w:t>
            </w:r>
            <w:r w:rsidR="00A81146" w:rsidRPr="006F1D04">
              <w:rPr>
                <w:rFonts w:ascii="Arial" w:hAnsi="Arial" w:cs="Arial"/>
                <w:color w:val="000000"/>
                <w:sz w:val="14"/>
                <w:szCs w:val="14"/>
                <w:lang w:eastAsia="en-US"/>
              </w:rPr>
              <w:t>0.71</w:t>
            </w:r>
          </w:p>
        </w:tc>
        <w:tc>
          <w:tcPr>
            <w:tcW w:w="992" w:type="dxa"/>
            <w:tcBorders>
              <w:top w:val="nil"/>
              <w:left w:val="nil"/>
              <w:right w:val="nil"/>
            </w:tcBorders>
            <w:shd w:val="clear" w:color="auto" w:fill="auto"/>
            <w:tcMar>
              <w:left w:w="28" w:type="dxa"/>
              <w:right w:w="28" w:type="dxa"/>
            </w:tcMar>
            <w:vAlign w:val="center"/>
          </w:tcPr>
          <w:p w:rsidR="00A81146" w:rsidRPr="006F1D04" w:rsidRDefault="00A81146" w:rsidP="00E20E7C">
            <w:pPr>
              <w:spacing w:after="0" w:line="240" w:lineRule="auto"/>
              <w:jc w:val="center"/>
              <w:rPr>
                <w:rFonts w:ascii="Arial" w:hAnsi="Arial" w:cs="Arial"/>
                <w:color w:val="000000"/>
                <w:sz w:val="14"/>
                <w:szCs w:val="14"/>
                <w:lang w:eastAsia="en-US"/>
              </w:rPr>
            </w:pPr>
            <w:r w:rsidRPr="006F1D04">
              <w:rPr>
                <w:rFonts w:ascii="Arial" w:hAnsi="Arial" w:cs="Arial"/>
                <w:color w:val="000000"/>
                <w:sz w:val="14"/>
                <w:szCs w:val="14"/>
                <w:lang w:eastAsia="en-US"/>
              </w:rPr>
              <w:t>No</w:t>
            </w:r>
          </w:p>
        </w:tc>
        <w:tc>
          <w:tcPr>
            <w:tcW w:w="437" w:type="dxa"/>
            <w:tcBorders>
              <w:top w:val="nil"/>
              <w:left w:val="nil"/>
              <w:right w:val="nil"/>
            </w:tcBorders>
            <w:shd w:val="clear" w:color="auto" w:fill="auto"/>
            <w:tcMar>
              <w:left w:w="28" w:type="dxa"/>
              <w:right w:w="28" w:type="dxa"/>
            </w:tcMar>
          </w:tcPr>
          <w:p w:rsidR="00A81146" w:rsidRPr="006F1D04" w:rsidRDefault="00A81146" w:rsidP="00E20E7C">
            <w:pPr>
              <w:spacing w:after="0" w:line="240" w:lineRule="auto"/>
              <w:jc w:val="center"/>
              <w:rPr>
                <w:rFonts w:ascii="Arial" w:hAnsi="Arial" w:cs="Arial"/>
                <w:color w:val="000000"/>
                <w:sz w:val="14"/>
                <w:szCs w:val="14"/>
                <w:lang w:eastAsia="en-US"/>
              </w:rPr>
            </w:pPr>
          </w:p>
        </w:tc>
        <w:tc>
          <w:tcPr>
            <w:tcW w:w="1123" w:type="dxa"/>
            <w:tcBorders>
              <w:top w:val="nil"/>
              <w:left w:val="nil"/>
            </w:tcBorders>
            <w:shd w:val="clear" w:color="auto" w:fill="auto"/>
            <w:tcMar>
              <w:left w:w="28" w:type="dxa"/>
              <w:right w:w="28" w:type="dxa"/>
            </w:tcMar>
            <w:vAlign w:val="center"/>
          </w:tcPr>
          <w:p w:rsidR="00A81146" w:rsidRPr="006F1D04" w:rsidRDefault="00A81146" w:rsidP="00E20E7C">
            <w:pPr>
              <w:spacing w:after="0" w:line="240" w:lineRule="auto"/>
              <w:jc w:val="center"/>
              <w:rPr>
                <w:rFonts w:ascii="Arial" w:hAnsi="Arial" w:cs="Arial"/>
                <w:color w:val="000000"/>
                <w:sz w:val="14"/>
                <w:szCs w:val="14"/>
                <w:lang w:eastAsia="en-US"/>
              </w:rPr>
            </w:pPr>
            <w:r w:rsidRPr="006F1D04">
              <w:rPr>
                <w:rFonts w:ascii="Arial" w:hAnsi="Arial" w:cs="Arial"/>
                <w:color w:val="000000"/>
                <w:sz w:val="14"/>
                <w:szCs w:val="14"/>
                <w:lang w:eastAsia="en-US"/>
              </w:rPr>
              <w:t>No</w:t>
            </w:r>
          </w:p>
        </w:tc>
      </w:tr>
      <w:tr w:rsidR="00A81146" w:rsidRPr="006F1D04" w:rsidTr="00E20E7C">
        <w:trPr>
          <w:trHeight w:hRule="exact" w:val="340"/>
          <w:jc w:val="center"/>
        </w:trPr>
        <w:tc>
          <w:tcPr>
            <w:tcW w:w="1175" w:type="dxa"/>
            <w:tcBorders>
              <w:right w:val="single" w:sz="4" w:space="0" w:color="0070C0"/>
            </w:tcBorders>
            <w:shd w:val="clear" w:color="auto" w:fill="D9D9D9"/>
            <w:tcMar>
              <w:left w:w="28" w:type="dxa"/>
              <w:right w:w="28" w:type="dxa"/>
            </w:tcMar>
            <w:vAlign w:val="center"/>
          </w:tcPr>
          <w:p w:rsidR="00A81146" w:rsidRPr="006F1D04" w:rsidRDefault="00A81146" w:rsidP="00E20E7C">
            <w:pPr>
              <w:pStyle w:val="TableContentText"/>
              <w:keepNext/>
              <w:spacing w:before="0"/>
              <w:jc w:val="center"/>
              <w:rPr>
                <w:rFonts w:ascii="Arial" w:hAnsi="Arial" w:cs="Arial"/>
                <w:color w:val="auto"/>
                <w:sz w:val="14"/>
                <w:szCs w:val="14"/>
                <w:lang w:eastAsia="en-AU"/>
              </w:rPr>
            </w:pPr>
            <w:r w:rsidRPr="006F1D04">
              <w:rPr>
                <w:rFonts w:ascii="Arial" w:hAnsi="Arial" w:cs="Arial"/>
                <w:color w:val="auto"/>
                <w:sz w:val="14"/>
                <w:szCs w:val="14"/>
                <w:lang w:eastAsia="en-AU"/>
              </w:rPr>
              <w:t>SA</w:t>
            </w:r>
          </w:p>
        </w:tc>
        <w:tc>
          <w:tcPr>
            <w:tcW w:w="236" w:type="dxa"/>
            <w:tcBorders>
              <w:left w:val="single" w:sz="4" w:space="0" w:color="0070C0"/>
              <w:right w:val="nil"/>
            </w:tcBorders>
            <w:shd w:val="clear" w:color="auto" w:fill="auto"/>
          </w:tcPr>
          <w:p w:rsidR="00A81146" w:rsidRPr="006F1D04" w:rsidRDefault="00A81146" w:rsidP="00E20E7C">
            <w:pPr>
              <w:spacing w:after="0" w:line="240" w:lineRule="auto"/>
              <w:jc w:val="center"/>
              <w:rPr>
                <w:rFonts w:ascii="Arial" w:hAnsi="Arial" w:cs="Arial"/>
                <w:color w:val="000000"/>
                <w:sz w:val="14"/>
                <w:szCs w:val="14"/>
              </w:rPr>
            </w:pPr>
          </w:p>
        </w:tc>
        <w:tc>
          <w:tcPr>
            <w:tcW w:w="1311" w:type="dxa"/>
            <w:tcBorders>
              <w:left w:val="nil"/>
              <w:right w:val="nil"/>
            </w:tcBorders>
            <w:shd w:val="clear" w:color="auto" w:fill="auto"/>
            <w:tcMar>
              <w:left w:w="28" w:type="dxa"/>
              <w:right w:w="28" w:type="dxa"/>
            </w:tcMar>
            <w:vAlign w:val="center"/>
          </w:tcPr>
          <w:p w:rsidR="00A81146" w:rsidRPr="006F1D04" w:rsidRDefault="00436139" w:rsidP="00E20E7C">
            <w:pPr>
              <w:spacing w:after="0" w:line="240" w:lineRule="auto"/>
              <w:jc w:val="center"/>
              <w:rPr>
                <w:rFonts w:ascii="Arial" w:hAnsi="Arial" w:cs="Arial"/>
                <w:color w:val="000000"/>
                <w:sz w:val="14"/>
                <w:szCs w:val="14"/>
              </w:rPr>
            </w:pPr>
            <w:r w:rsidRPr="006F1D04">
              <w:rPr>
                <w:rFonts w:ascii="Arial" w:hAnsi="Arial" w:cs="Arial"/>
                <w:color w:val="000000"/>
                <w:sz w:val="14"/>
                <w:szCs w:val="14"/>
              </w:rPr>
              <w:t>–</w:t>
            </w:r>
            <w:r w:rsidR="00A81146" w:rsidRPr="006F1D04">
              <w:rPr>
                <w:rFonts w:ascii="Arial" w:hAnsi="Arial" w:cs="Arial"/>
                <w:color w:val="000000"/>
                <w:sz w:val="14"/>
                <w:szCs w:val="14"/>
              </w:rPr>
              <w:t>0.05</w:t>
            </w:r>
          </w:p>
        </w:tc>
        <w:tc>
          <w:tcPr>
            <w:tcW w:w="1027" w:type="dxa"/>
            <w:tcBorders>
              <w:left w:val="nil"/>
              <w:right w:val="nil"/>
            </w:tcBorders>
            <w:shd w:val="clear" w:color="auto" w:fill="auto"/>
            <w:tcMar>
              <w:left w:w="28" w:type="dxa"/>
              <w:right w:w="28" w:type="dxa"/>
            </w:tcMar>
            <w:vAlign w:val="center"/>
          </w:tcPr>
          <w:p w:rsidR="00A81146" w:rsidRPr="006F1D04" w:rsidRDefault="00A81146" w:rsidP="00E20E7C">
            <w:pPr>
              <w:spacing w:after="0" w:line="240" w:lineRule="auto"/>
              <w:jc w:val="center"/>
              <w:rPr>
                <w:rFonts w:ascii="Arial" w:hAnsi="Arial" w:cs="Arial"/>
                <w:color w:val="000000"/>
                <w:sz w:val="14"/>
                <w:szCs w:val="14"/>
                <w:lang w:eastAsia="en-US"/>
              </w:rPr>
            </w:pPr>
            <w:r w:rsidRPr="006F1D04">
              <w:rPr>
                <w:rFonts w:ascii="Arial" w:hAnsi="Arial" w:cs="Arial"/>
                <w:color w:val="000000"/>
                <w:sz w:val="14"/>
                <w:szCs w:val="14"/>
                <w:lang w:eastAsia="en-US"/>
              </w:rPr>
              <w:t>No</w:t>
            </w:r>
          </w:p>
        </w:tc>
        <w:tc>
          <w:tcPr>
            <w:tcW w:w="283" w:type="dxa"/>
            <w:tcBorders>
              <w:left w:val="nil"/>
              <w:right w:val="nil"/>
            </w:tcBorders>
            <w:shd w:val="clear" w:color="auto" w:fill="auto"/>
            <w:tcMar>
              <w:left w:w="28" w:type="dxa"/>
              <w:right w:w="28" w:type="dxa"/>
            </w:tcMar>
          </w:tcPr>
          <w:p w:rsidR="00A81146" w:rsidRPr="006F1D04" w:rsidRDefault="00A81146" w:rsidP="00E20E7C">
            <w:pPr>
              <w:pStyle w:val="TableContentText"/>
              <w:keepNext/>
              <w:spacing w:before="0"/>
              <w:jc w:val="center"/>
              <w:rPr>
                <w:rFonts w:ascii="Arial" w:hAnsi="Arial" w:cs="Arial"/>
                <w:color w:val="auto"/>
                <w:sz w:val="14"/>
                <w:szCs w:val="14"/>
                <w:lang w:eastAsia="en-AU"/>
              </w:rPr>
            </w:pPr>
          </w:p>
        </w:tc>
        <w:tc>
          <w:tcPr>
            <w:tcW w:w="1276" w:type="dxa"/>
            <w:tcBorders>
              <w:left w:val="nil"/>
              <w:right w:val="nil"/>
            </w:tcBorders>
            <w:shd w:val="clear" w:color="auto" w:fill="auto"/>
            <w:tcMar>
              <w:left w:w="28" w:type="dxa"/>
              <w:right w:w="28" w:type="dxa"/>
            </w:tcMar>
            <w:vAlign w:val="center"/>
          </w:tcPr>
          <w:p w:rsidR="00A81146" w:rsidRPr="006F1D04" w:rsidRDefault="00436139" w:rsidP="00E20E7C">
            <w:pPr>
              <w:spacing w:after="0" w:line="240" w:lineRule="auto"/>
              <w:jc w:val="center"/>
              <w:rPr>
                <w:rFonts w:ascii="Arial" w:hAnsi="Arial" w:cs="Arial"/>
                <w:color w:val="000000"/>
                <w:sz w:val="14"/>
                <w:szCs w:val="14"/>
              </w:rPr>
            </w:pPr>
            <w:r w:rsidRPr="006F1D04">
              <w:rPr>
                <w:rFonts w:ascii="Arial" w:hAnsi="Arial" w:cs="Arial"/>
                <w:color w:val="000000"/>
                <w:sz w:val="14"/>
                <w:szCs w:val="14"/>
              </w:rPr>
              <w:t>–</w:t>
            </w:r>
            <w:r w:rsidR="00A81146" w:rsidRPr="006F1D04">
              <w:rPr>
                <w:rFonts w:ascii="Arial" w:hAnsi="Arial" w:cs="Arial"/>
                <w:color w:val="000000"/>
                <w:sz w:val="14"/>
                <w:szCs w:val="14"/>
              </w:rPr>
              <w:t>0.19</w:t>
            </w:r>
          </w:p>
        </w:tc>
        <w:tc>
          <w:tcPr>
            <w:tcW w:w="992" w:type="dxa"/>
            <w:tcBorders>
              <w:left w:val="nil"/>
              <w:right w:val="nil"/>
            </w:tcBorders>
            <w:shd w:val="clear" w:color="auto" w:fill="auto"/>
            <w:tcMar>
              <w:left w:w="28" w:type="dxa"/>
              <w:right w:w="28" w:type="dxa"/>
            </w:tcMar>
            <w:vAlign w:val="center"/>
          </w:tcPr>
          <w:p w:rsidR="00A81146" w:rsidRPr="006F1D04" w:rsidRDefault="00A81146" w:rsidP="00E20E7C">
            <w:pPr>
              <w:spacing w:after="0" w:line="240" w:lineRule="auto"/>
              <w:jc w:val="center"/>
              <w:rPr>
                <w:rFonts w:ascii="Arial" w:hAnsi="Arial" w:cs="Arial"/>
                <w:color w:val="000000"/>
                <w:sz w:val="14"/>
                <w:szCs w:val="14"/>
                <w:lang w:eastAsia="en-US"/>
              </w:rPr>
            </w:pPr>
            <w:r w:rsidRPr="006F1D04">
              <w:rPr>
                <w:rFonts w:ascii="Arial" w:hAnsi="Arial" w:cs="Arial"/>
                <w:color w:val="000000"/>
                <w:sz w:val="14"/>
                <w:szCs w:val="14"/>
                <w:lang w:eastAsia="en-US"/>
              </w:rPr>
              <w:t>Yes</w:t>
            </w:r>
          </w:p>
        </w:tc>
        <w:tc>
          <w:tcPr>
            <w:tcW w:w="437" w:type="dxa"/>
            <w:tcBorders>
              <w:left w:val="nil"/>
              <w:right w:val="nil"/>
            </w:tcBorders>
            <w:shd w:val="clear" w:color="auto" w:fill="auto"/>
            <w:tcMar>
              <w:left w:w="28" w:type="dxa"/>
              <w:right w:w="28" w:type="dxa"/>
            </w:tcMar>
          </w:tcPr>
          <w:p w:rsidR="00A81146" w:rsidRPr="006F1D04" w:rsidRDefault="00A81146" w:rsidP="00E20E7C">
            <w:pPr>
              <w:spacing w:after="0" w:line="240" w:lineRule="auto"/>
              <w:jc w:val="center"/>
              <w:rPr>
                <w:rFonts w:ascii="Arial" w:hAnsi="Arial" w:cs="Arial"/>
                <w:color w:val="000000"/>
                <w:sz w:val="14"/>
                <w:szCs w:val="14"/>
                <w:lang w:eastAsia="en-US"/>
              </w:rPr>
            </w:pPr>
          </w:p>
        </w:tc>
        <w:tc>
          <w:tcPr>
            <w:tcW w:w="1123" w:type="dxa"/>
            <w:tcBorders>
              <w:left w:val="nil"/>
            </w:tcBorders>
            <w:shd w:val="clear" w:color="auto" w:fill="auto"/>
            <w:tcMar>
              <w:left w:w="28" w:type="dxa"/>
              <w:right w:w="28" w:type="dxa"/>
            </w:tcMar>
            <w:vAlign w:val="center"/>
          </w:tcPr>
          <w:p w:rsidR="00A81146" w:rsidRPr="006F1D04" w:rsidRDefault="00A81146" w:rsidP="00E20E7C">
            <w:pPr>
              <w:spacing w:after="0" w:line="240" w:lineRule="auto"/>
              <w:jc w:val="center"/>
              <w:rPr>
                <w:rFonts w:ascii="Arial" w:hAnsi="Arial" w:cs="Arial"/>
                <w:color w:val="000000"/>
                <w:sz w:val="14"/>
                <w:szCs w:val="14"/>
                <w:lang w:eastAsia="en-US"/>
              </w:rPr>
            </w:pPr>
            <w:r w:rsidRPr="006F1D04">
              <w:rPr>
                <w:rFonts w:ascii="Arial" w:hAnsi="Arial" w:cs="Arial"/>
                <w:color w:val="000000"/>
                <w:sz w:val="14"/>
                <w:szCs w:val="14"/>
                <w:lang w:eastAsia="en-US"/>
              </w:rPr>
              <w:t>No</w:t>
            </w:r>
          </w:p>
        </w:tc>
      </w:tr>
      <w:tr w:rsidR="00A81146" w:rsidRPr="006F1D04" w:rsidTr="00E20E7C">
        <w:trPr>
          <w:trHeight w:hRule="exact" w:val="340"/>
          <w:jc w:val="center"/>
        </w:trPr>
        <w:tc>
          <w:tcPr>
            <w:tcW w:w="1175" w:type="dxa"/>
            <w:tcBorders>
              <w:right w:val="single" w:sz="4" w:space="0" w:color="0070C0"/>
            </w:tcBorders>
            <w:shd w:val="clear" w:color="auto" w:fill="D9D9D9"/>
            <w:tcMar>
              <w:left w:w="28" w:type="dxa"/>
              <w:right w:w="28" w:type="dxa"/>
            </w:tcMar>
            <w:vAlign w:val="center"/>
          </w:tcPr>
          <w:p w:rsidR="00A81146" w:rsidRPr="006F1D04" w:rsidRDefault="00A81146" w:rsidP="00E20E7C">
            <w:pPr>
              <w:pStyle w:val="TableContentText"/>
              <w:keepNext/>
              <w:spacing w:before="0"/>
              <w:jc w:val="center"/>
              <w:rPr>
                <w:rFonts w:ascii="Arial" w:hAnsi="Arial" w:cs="Arial"/>
                <w:color w:val="auto"/>
                <w:sz w:val="14"/>
                <w:szCs w:val="14"/>
                <w:lang w:eastAsia="en-AU"/>
              </w:rPr>
            </w:pPr>
            <w:r w:rsidRPr="006F1D04">
              <w:rPr>
                <w:rFonts w:ascii="Arial" w:hAnsi="Arial" w:cs="Arial"/>
                <w:color w:val="auto"/>
                <w:sz w:val="14"/>
                <w:szCs w:val="14"/>
                <w:lang w:eastAsia="en-AU"/>
              </w:rPr>
              <w:t>WA</w:t>
            </w:r>
          </w:p>
        </w:tc>
        <w:tc>
          <w:tcPr>
            <w:tcW w:w="236" w:type="dxa"/>
            <w:tcBorders>
              <w:left w:val="single" w:sz="4" w:space="0" w:color="0070C0"/>
              <w:right w:val="nil"/>
            </w:tcBorders>
            <w:shd w:val="clear" w:color="auto" w:fill="auto"/>
          </w:tcPr>
          <w:p w:rsidR="00A81146" w:rsidRPr="006F1D04" w:rsidRDefault="00A81146" w:rsidP="00E20E7C">
            <w:pPr>
              <w:spacing w:after="0" w:line="240" w:lineRule="auto"/>
              <w:jc w:val="center"/>
              <w:rPr>
                <w:rFonts w:ascii="Arial" w:hAnsi="Arial" w:cs="Arial"/>
                <w:color w:val="000000"/>
                <w:sz w:val="14"/>
                <w:szCs w:val="14"/>
              </w:rPr>
            </w:pPr>
          </w:p>
        </w:tc>
        <w:tc>
          <w:tcPr>
            <w:tcW w:w="1311" w:type="dxa"/>
            <w:tcBorders>
              <w:left w:val="nil"/>
              <w:right w:val="nil"/>
            </w:tcBorders>
            <w:shd w:val="clear" w:color="auto" w:fill="auto"/>
            <w:tcMar>
              <w:left w:w="28" w:type="dxa"/>
              <w:right w:w="28" w:type="dxa"/>
            </w:tcMar>
            <w:vAlign w:val="center"/>
          </w:tcPr>
          <w:p w:rsidR="00A81146" w:rsidRPr="006F1D04" w:rsidRDefault="00436139" w:rsidP="00E20E7C">
            <w:pPr>
              <w:spacing w:after="0" w:line="240" w:lineRule="auto"/>
              <w:jc w:val="center"/>
              <w:rPr>
                <w:rFonts w:ascii="Arial" w:hAnsi="Arial" w:cs="Arial"/>
                <w:color w:val="000000"/>
                <w:sz w:val="14"/>
                <w:szCs w:val="14"/>
              </w:rPr>
            </w:pPr>
            <w:r w:rsidRPr="006F1D04">
              <w:rPr>
                <w:rFonts w:ascii="Arial" w:hAnsi="Arial" w:cs="Arial"/>
                <w:color w:val="000000"/>
                <w:sz w:val="14"/>
                <w:szCs w:val="14"/>
              </w:rPr>
              <w:t>–</w:t>
            </w:r>
            <w:r w:rsidR="00A81146" w:rsidRPr="006F1D04">
              <w:rPr>
                <w:rFonts w:ascii="Arial" w:hAnsi="Arial" w:cs="Arial"/>
                <w:color w:val="000000"/>
                <w:sz w:val="14"/>
                <w:szCs w:val="14"/>
              </w:rPr>
              <w:t>0.02</w:t>
            </w:r>
          </w:p>
        </w:tc>
        <w:tc>
          <w:tcPr>
            <w:tcW w:w="1027" w:type="dxa"/>
            <w:tcBorders>
              <w:left w:val="nil"/>
              <w:right w:val="nil"/>
            </w:tcBorders>
            <w:shd w:val="clear" w:color="auto" w:fill="auto"/>
            <w:tcMar>
              <w:left w:w="28" w:type="dxa"/>
              <w:right w:w="28" w:type="dxa"/>
            </w:tcMar>
            <w:vAlign w:val="center"/>
          </w:tcPr>
          <w:p w:rsidR="00A81146" w:rsidRPr="006F1D04" w:rsidRDefault="00A81146" w:rsidP="00E20E7C">
            <w:pPr>
              <w:spacing w:after="0" w:line="240" w:lineRule="auto"/>
              <w:jc w:val="center"/>
              <w:rPr>
                <w:rFonts w:ascii="Arial" w:hAnsi="Arial" w:cs="Arial"/>
                <w:color w:val="000000"/>
                <w:sz w:val="14"/>
                <w:szCs w:val="14"/>
                <w:lang w:eastAsia="en-US"/>
              </w:rPr>
            </w:pPr>
            <w:r w:rsidRPr="006F1D04">
              <w:rPr>
                <w:rFonts w:ascii="Arial" w:hAnsi="Arial" w:cs="Arial"/>
                <w:color w:val="000000"/>
                <w:sz w:val="14"/>
                <w:szCs w:val="14"/>
                <w:lang w:eastAsia="en-US"/>
              </w:rPr>
              <w:t>No</w:t>
            </w:r>
          </w:p>
        </w:tc>
        <w:tc>
          <w:tcPr>
            <w:tcW w:w="283" w:type="dxa"/>
            <w:tcBorders>
              <w:left w:val="nil"/>
              <w:right w:val="nil"/>
            </w:tcBorders>
            <w:shd w:val="clear" w:color="auto" w:fill="auto"/>
            <w:tcMar>
              <w:left w:w="28" w:type="dxa"/>
              <w:right w:w="28" w:type="dxa"/>
            </w:tcMar>
          </w:tcPr>
          <w:p w:rsidR="00A81146" w:rsidRPr="006F1D04" w:rsidRDefault="00A81146" w:rsidP="00E20E7C">
            <w:pPr>
              <w:pStyle w:val="TableContentText"/>
              <w:keepNext/>
              <w:spacing w:before="0"/>
              <w:jc w:val="center"/>
              <w:rPr>
                <w:rFonts w:ascii="Arial" w:hAnsi="Arial" w:cs="Arial"/>
                <w:color w:val="auto"/>
                <w:sz w:val="14"/>
                <w:szCs w:val="14"/>
                <w:lang w:eastAsia="en-AU"/>
              </w:rPr>
            </w:pPr>
          </w:p>
        </w:tc>
        <w:tc>
          <w:tcPr>
            <w:tcW w:w="1276" w:type="dxa"/>
            <w:tcBorders>
              <w:left w:val="nil"/>
              <w:right w:val="nil"/>
            </w:tcBorders>
            <w:shd w:val="clear" w:color="auto" w:fill="auto"/>
            <w:tcMar>
              <w:left w:w="28" w:type="dxa"/>
              <w:right w:w="28" w:type="dxa"/>
            </w:tcMar>
            <w:vAlign w:val="center"/>
          </w:tcPr>
          <w:p w:rsidR="00A81146" w:rsidRPr="006F1D04" w:rsidRDefault="00436139" w:rsidP="00E20E7C">
            <w:pPr>
              <w:spacing w:after="0" w:line="240" w:lineRule="auto"/>
              <w:jc w:val="center"/>
              <w:rPr>
                <w:rFonts w:ascii="Arial" w:hAnsi="Arial" w:cs="Arial"/>
                <w:color w:val="000000"/>
                <w:sz w:val="14"/>
                <w:szCs w:val="14"/>
              </w:rPr>
            </w:pPr>
            <w:r w:rsidRPr="006F1D04">
              <w:rPr>
                <w:rFonts w:ascii="Arial" w:hAnsi="Arial" w:cs="Arial"/>
                <w:color w:val="000000"/>
                <w:sz w:val="14"/>
                <w:szCs w:val="14"/>
              </w:rPr>
              <w:t>–</w:t>
            </w:r>
            <w:r w:rsidR="00A81146" w:rsidRPr="006F1D04">
              <w:rPr>
                <w:rFonts w:ascii="Arial" w:hAnsi="Arial" w:cs="Arial"/>
                <w:color w:val="000000"/>
                <w:sz w:val="14"/>
                <w:szCs w:val="14"/>
              </w:rPr>
              <w:t>0.02</w:t>
            </w:r>
          </w:p>
        </w:tc>
        <w:tc>
          <w:tcPr>
            <w:tcW w:w="992" w:type="dxa"/>
            <w:tcBorders>
              <w:left w:val="nil"/>
              <w:right w:val="nil"/>
            </w:tcBorders>
            <w:shd w:val="clear" w:color="auto" w:fill="auto"/>
            <w:tcMar>
              <w:left w:w="28" w:type="dxa"/>
              <w:right w:w="28" w:type="dxa"/>
            </w:tcMar>
            <w:vAlign w:val="center"/>
          </w:tcPr>
          <w:p w:rsidR="00A81146" w:rsidRPr="006F1D04" w:rsidRDefault="00A81146" w:rsidP="00E20E7C">
            <w:pPr>
              <w:spacing w:after="0" w:line="240" w:lineRule="auto"/>
              <w:jc w:val="center"/>
              <w:rPr>
                <w:rFonts w:ascii="Arial" w:hAnsi="Arial" w:cs="Arial"/>
                <w:color w:val="000000"/>
                <w:sz w:val="14"/>
                <w:szCs w:val="14"/>
                <w:lang w:eastAsia="en-US"/>
              </w:rPr>
            </w:pPr>
            <w:r w:rsidRPr="006F1D04">
              <w:rPr>
                <w:rFonts w:ascii="Arial" w:hAnsi="Arial" w:cs="Arial"/>
                <w:color w:val="000000"/>
                <w:sz w:val="14"/>
                <w:szCs w:val="14"/>
                <w:lang w:eastAsia="en-US"/>
              </w:rPr>
              <w:t>No</w:t>
            </w:r>
          </w:p>
        </w:tc>
        <w:tc>
          <w:tcPr>
            <w:tcW w:w="437" w:type="dxa"/>
            <w:tcBorders>
              <w:left w:val="nil"/>
              <w:right w:val="nil"/>
            </w:tcBorders>
            <w:shd w:val="clear" w:color="auto" w:fill="auto"/>
            <w:tcMar>
              <w:left w:w="28" w:type="dxa"/>
              <w:right w:w="28" w:type="dxa"/>
            </w:tcMar>
          </w:tcPr>
          <w:p w:rsidR="00A81146" w:rsidRPr="006F1D04" w:rsidRDefault="00A81146" w:rsidP="00E20E7C">
            <w:pPr>
              <w:spacing w:after="0" w:line="240" w:lineRule="auto"/>
              <w:jc w:val="center"/>
              <w:rPr>
                <w:rFonts w:ascii="Arial" w:hAnsi="Arial" w:cs="Arial"/>
                <w:color w:val="000000"/>
                <w:sz w:val="14"/>
                <w:szCs w:val="14"/>
                <w:lang w:eastAsia="en-US"/>
              </w:rPr>
            </w:pPr>
          </w:p>
        </w:tc>
        <w:tc>
          <w:tcPr>
            <w:tcW w:w="1123" w:type="dxa"/>
            <w:tcBorders>
              <w:left w:val="nil"/>
            </w:tcBorders>
            <w:shd w:val="clear" w:color="auto" w:fill="auto"/>
            <w:tcMar>
              <w:left w:w="28" w:type="dxa"/>
              <w:right w:w="28" w:type="dxa"/>
            </w:tcMar>
            <w:vAlign w:val="center"/>
          </w:tcPr>
          <w:p w:rsidR="00A81146" w:rsidRPr="006F1D04" w:rsidRDefault="00A81146" w:rsidP="00E20E7C">
            <w:pPr>
              <w:spacing w:after="0" w:line="240" w:lineRule="auto"/>
              <w:jc w:val="center"/>
              <w:rPr>
                <w:rFonts w:ascii="Arial" w:hAnsi="Arial" w:cs="Arial"/>
                <w:color w:val="000000"/>
                <w:sz w:val="14"/>
                <w:szCs w:val="14"/>
                <w:lang w:eastAsia="en-US"/>
              </w:rPr>
            </w:pPr>
            <w:r w:rsidRPr="006F1D04">
              <w:rPr>
                <w:rFonts w:ascii="Arial" w:hAnsi="Arial" w:cs="Arial"/>
                <w:color w:val="000000"/>
                <w:sz w:val="14"/>
                <w:szCs w:val="14"/>
                <w:lang w:eastAsia="en-US"/>
              </w:rPr>
              <w:t>No</w:t>
            </w:r>
          </w:p>
        </w:tc>
      </w:tr>
      <w:tr w:rsidR="00A81146" w:rsidRPr="006F1D04" w:rsidTr="00E20E7C">
        <w:trPr>
          <w:trHeight w:hRule="exact" w:val="340"/>
          <w:jc w:val="center"/>
        </w:trPr>
        <w:tc>
          <w:tcPr>
            <w:tcW w:w="1175" w:type="dxa"/>
            <w:tcBorders>
              <w:right w:val="single" w:sz="4" w:space="0" w:color="0070C0"/>
            </w:tcBorders>
            <w:shd w:val="clear" w:color="auto" w:fill="D9D9D9"/>
            <w:tcMar>
              <w:left w:w="28" w:type="dxa"/>
              <w:right w:w="28" w:type="dxa"/>
            </w:tcMar>
            <w:vAlign w:val="center"/>
          </w:tcPr>
          <w:p w:rsidR="00A81146" w:rsidRPr="006F1D04" w:rsidRDefault="00A81146" w:rsidP="00E20E7C">
            <w:pPr>
              <w:pStyle w:val="TableContentText"/>
              <w:keepNext/>
              <w:spacing w:before="0"/>
              <w:jc w:val="center"/>
              <w:rPr>
                <w:rFonts w:ascii="Arial" w:hAnsi="Arial" w:cs="Arial"/>
                <w:color w:val="auto"/>
                <w:sz w:val="14"/>
                <w:szCs w:val="14"/>
                <w:lang w:eastAsia="en-AU"/>
              </w:rPr>
            </w:pPr>
            <w:r w:rsidRPr="006F1D04">
              <w:rPr>
                <w:rFonts w:ascii="Arial" w:hAnsi="Arial" w:cs="Arial"/>
                <w:color w:val="auto"/>
                <w:sz w:val="14"/>
                <w:szCs w:val="14"/>
                <w:lang w:eastAsia="en-AU"/>
              </w:rPr>
              <w:t>TAS</w:t>
            </w:r>
          </w:p>
        </w:tc>
        <w:tc>
          <w:tcPr>
            <w:tcW w:w="236" w:type="dxa"/>
            <w:tcBorders>
              <w:left w:val="single" w:sz="4" w:space="0" w:color="0070C0"/>
              <w:right w:val="nil"/>
            </w:tcBorders>
            <w:shd w:val="clear" w:color="auto" w:fill="auto"/>
          </w:tcPr>
          <w:p w:rsidR="00A81146" w:rsidRPr="006F1D04" w:rsidRDefault="00A81146" w:rsidP="00E20E7C">
            <w:pPr>
              <w:spacing w:after="0" w:line="240" w:lineRule="auto"/>
              <w:jc w:val="center"/>
              <w:rPr>
                <w:rFonts w:ascii="Arial" w:hAnsi="Arial" w:cs="Arial"/>
                <w:color w:val="000000"/>
                <w:sz w:val="14"/>
                <w:szCs w:val="14"/>
              </w:rPr>
            </w:pPr>
          </w:p>
        </w:tc>
        <w:tc>
          <w:tcPr>
            <w:tcW w:w="1311" w:type="dxa"/>
            <w:tcBorders>
              <w:left w:val="nil"/>
              <w:right w:val="nil"/>
            </w:tcBorders>
            <w:shd w:val="clear" w:color="auto" w:fill="auto"/>
            <w:tcMar>
              <w:left w:w="28" w:type="dxa"/>
              <w:right w:w="28" w:type="dxa"/>
            </w:tcMar>
            <w:vAlign w:val="center"/>
          </w:tcPr>
          <w:p w:rsidR="00A81146" w:rsidRPr="006F1D04" w:rsidRDefault="00436139" w:rsidP="00E20E7C">
            <w:pPr>
              <w:spacing w:after="0" w:line="240" w:lineRule="auto"/>
              <w:jc w:val="center"/>
              <w:rPr>
                <w:rFonts w:ascii="Arial" w:hAnsi="Arial" w:cs="Arial"/>
                <w:color w:val="000000"/>
                <w:sz w:val="14"/>
                <w:szCs w:val="14"/>
              </w:rPr>
            </w:pPr>
            <w:r w:rsidRPr="006F1D04">
              <w:rPr>
                <w:rFonts w:ascii="Arial" w:hAnsi="Arial" w:cs="Arial"/>
                <w:color w:val="000000"/>
                <w:sz w:val="14"/>
                <w:szCs w:val="14"/>
              </w:rPr>
              <w:t>–</w:t>
            </w:r>
            <w:r w:rsidR="00A81146" w:rsidRPr="006F1D04">
              <w:rPr>
                <w:rFonts w:ascii="Arial" w:hAnsi="Arial" w:cs="Arial"/>
                <w:color w:val="000000"/>
                <w:sz w:val="14"/>
                <w:szCs w:val="14"/>
              </w:rPr>
              <w:t>0.65</w:t>
            </w:r>
          </w:p>
        </w:tc>
        <w:tc>
          <w:tcPr>
            <w:tcW w:w="1027" w:type="dxa"/>
            <w:tcBorders>
              <w:left w:val="nil"/>
              <w:right w:val="nil"/>
            </w:tcBorders>
            <w:shd w:val="clear" w:color="auto" w:fill="auto"/>
            <w:tcMar>
              <w:left w:w="28" w:type="dxa"/>
              <w:right w:w="28" w:type="dxa"/>
            </w:tcMar>
            <w:vAlign w:val="center"/>
          </w:tcPr>
          <w:p w:rsidR="00A81146" w:rsidRPr="006F1D04" w:rsidRDefault="00A81146" w:rsidP="00E20E7C">
            <w:pPr>
              <w:spacing w:after="0" w:line="240" w:lineRule="auto"/>
              <w:jc w:val="center"/>
              <w:rPr>
                <w:rFonts w:ascii="Arial" w:hAnsi="Arial" w:cs="Arial"/>
                <w:color w:val="000000"/>
                <w:sz w:val="14"/>
                <w:szCs w:val="14"/>
                <w:lang w:eastAsia="en-US"/>
              </w:rPr>
            </w:pPr>
            <w:r w:rsidRPr="006F1D04">
              <w:rPr>
                <w:rFonts w:ascii="Arial" w:hAnsi="Arial" w:cs="Arial"/>
                <w:color w:val="000000"/>
                <w:sz w:val="14"/>
                <w:szCs w:val="14"/>
                <w:lang w:eastAsia="en-US"/>
              </w:rPr>
              <w:t>Yes</w:t>
            </w:r>
          </w:p>
        </w:tc>
        <w:tc>
          <w:tcPr>
            <w:tcW w:w="283" w:type="dxa"/>
            <w:tcBorders>
              <w:left w:val="nil"/>
              <w:right w:val="nil"/>
            </w:tcBorders>
            <w:shd w:val="clear" w:color="auto" w:fill="auto"/>
            <w:tcMar>
              <w:left w:w="28" w:type="dxa"/>
              <w:right w:w="28" w:type="dxa"/>
            </w:tcMar>
          </w:tcPr>
          <w:p w:rsidR="00A81146" w:rsidRPr="006F1D04" w:rsidRDefault="00A81146" w:rsidP="00E20E7C">
            <w:pPr>
              <w:pStyle w:val="TableContentText"/>
              <w:keepNext/>
              <w:spacing w:before="0"/>
              <w:jc w:val="center"/>
              <w:rPr>
                <w:rFonts w:ascii="Arial" w:hAnsi="Arial" w:cs="Arial"/>
                <w:color w:val="auto"/>
                <w:sz w:val="14"/>
                <w:szCs w:val="14"/>
                <w:lang w:eastAsia="en-AU"/>
              </w:rPr>
            </w:pPr>
          </w:p>
        </w:tc>
        <w:tc>
          <w:tcPr>
            <w:tcW w:w="1276" w:type="dxa"/>
            <w:tcBorders>
              <w:left w:val="nil"/>
              <w:right w:val="nil"/>
            </w:tcBorders>
            <w:shd w:val="clear" w:color="auto" w:fill="auto"/>
            <w:tcMar>
              <w:left w:w="28" w:type="dxa"/>
              <w:right w:w="28" w:type="dxa"/>
            </w:tcMar>
            <w:vAlign w:val="center"/>
          </w:tcPr>
          <w:p w:rsidR="00A81146" w:rsidRPr="006F1D04" w:rsidRDefault="00436139" w:rsidP="00E20E7C">
            <w:pPr>
              <w:spacing w:after="0" w:line="240" w:lineRule="auto"/>
              <w:jc w:val="center"/>
              <w:rPr>
                <w:rFonts w:ascii="Arial" w:hAnsi="Arial" w:cs="Arial"/>
                <w:color w:val="000000"/>
                <w:sz w:val="14"/>
                <w:szCs w:val="14"/>
              </w:rPr>
            </w:pPr>
            <w:r w:rsidRPr="006F1D04">
              <w:rPr>
                <w:rFonts w:ascii="Arial" w:hAnsi="Arial" w:cs="Arial"/>
                <w:color w:val="000000"/>
                <w:sz w:val="14"/>
                <w:szCs w:val="14"/>
              </w:rPr>
              <w:t>–</w:t>
            </w:r>
            <w:r w:rsidR="00A81146" w:rsidRPr="006F1D04">
              <w:rPr>
                <w:rFonts w:ascii="Arial" w:hAnsi="Arial" w:cs="Arial"/>
                <w:color w:val="000000"/>
                <w:sz w:val="14"/>
                <w:szCs w:val="14"/>
              </w:rPr>
              <w:t>0.55</w:t>
            </w:r>
          </w:p>
        </w:tc>
        <w:tc>
          <w:tcPr>
            <w:tcW w:w="992" w:type="dxa"/>
            <w:tcBorders>
              <w:left w:val="nil"/>
              <w:right w:val="nil"/>
            </w:tcBorders>
            <w:shd w:val="clear" w:color="auto" w:fill="auto"/>
            <w:tcMar>
              <w:left w:w="28" w:type="dxa"/>
              <w:right w:w="28" w:type="dxa"/>
            </w:tcMar>
            <w:vAlign w:val="center"/>
          </w:tcPr>
          <w:p w:rsidR="00A81146" w:rsidRPr="006F1D04" w:rsidRDefault="00A81146" w:rsidP="00E20E7C">
            <w:pPr>
              <w:spacing w:after="0" w:line="240" w:lineRule="auto"/>
              <w:jc w:val="center"/>
              <w:rPr>
                <w:rFonts w:ascii="Arial" w:hAnsi="Arial" w:cs="Arial"/>
                <w:color w:val="000000"/>
                <w:sz w:val="14"/>
                <w:szCs w:val="14"/>
                <w:lang w:eastAsia="en-US"/>
              </w:rPr>
            </w:pPr>
            <w:r w:rsidRPr="006F1D04">
              <w:rPr>
                <w:rFonts w:ascii="Arial" w:hAnsi="Arial" w:cs="Arial"/>
                <w:color w:val="000000"/>
                <w:sz w:val="14"/>
                <w:szCs w:val="14"/>
                <w:lang w:eastAsia="en-US"/>
              </w:rPr>
              <w:t>Yes</w:t>
            </w:r>
          </w:p>
        </w:tc>
        <w:tc>
          <w:tcPr>
            <w:tcW w:w="437" w:type="dxa"/>
            <w:tcBorders>
              <w:left w:val="nil"/>
              <w:right w:val="nil"/>
            </w:tcBorders>
            <w:shd w:val="clear" w:color="auto" w:fill="auto"/>
            <w:tcMar>
              <w:left w:w="28" w:type="dxa"/>
              <w:right w:w="28" w:type="dxa"/>
            </w:tcMar>
          </w:tcPr>
          <w:p w:rsidR="00A81146" w:rsidRPr="006F1D04" w:rsidRDefault="00A81146" w:rsidP="00E20E7C">
            <w:pPr>
              <w:spacing w:after="0" w:line="240" w:lineRule="auto"/>
              <w:jc w:val="center"/>
              <w:rPr>
                <w:rFonts w:ascii="Arial" w:hAnsi="Arial" w:cs="Arial"/>
                <w:color w:val="000000"/>
                <w:sz w:val="14"/>
                <w:szCs w:val="14"/>
                <w:lang w:eastAsia="en-US"/>
              </w:rPr>
            </w:pPr>
          </w:p>
        </w:tc>
        <w:tc>
          <w:tcPr>
            <w:tcW w:w="1123" w:type="dxa"/>
            <w:tcBorders>
              <w:left w:val="nil"/>
            </w:tcBorders>
            <w:shd w:val="clear" w:color="auto" w:fill="auto"/>
            <w:tcMar>
              <w:left w:w="28" w:type="dxa"/>
              <w:right w:w="28" w:type="dxa"/>
            </w:tcMar>
            <w:vAlign w:val="center"/>
          </w:tcPr>
          <w:p w:rsidR="00A81146" w:rsidRPr="006F1D04" w:rsidRDefault="00A81146" w:rsidP="00E20E7C">
            <w:pPr>
              <w:spacing w:after="0" w:line="240" w:lineRule="auto"/>
              <w:jc w:val="center"/>
              <w:rPr>
                <w:rFonts w:ascii="Arial" w:hAnsi="Arial" w:cs="Arial"/>
                <w:color w:val="000000"/>
                <w:sz w:val="14"/>
                <w:szCs w:val="14"/>
                <w:lang w:eastAsia="en-US"/>
              </w:rPr>
            </w:pPr>
            <w:r w:rsidRPr="006F1D04">
              <w:rPr>
                <w:rFonts w:ascii="Arial" w:hAnsi="Arial" w:cs="Arial"/>
                <w:color w:val="000000"/>
                <w:sz w:val="14"/>
                <w:szCs w:val="14"/>
                <w:lang w:eastAsia="en-US"/>
              </w:rPr>
              <w:t>No</w:t>
            </w:r>
          </w:p>
        </w:tc>
      </w:tr>
      <w:tr w:rsidR="00A81146" w:rsidRPr="006F1D04" w:rsidTr="00E20E7C">
        <w:trPr>
          <w:trHeight w:hRule="exact" w:val="340"/>
          <w:jc w:val="center"/>
        </w:trPr>
        <w:tc>
          <w:tcPr>
            <w:tcW w:w="1175" w:type="dxa"/>
            <w:tcBorders>
              <w:right w:val="single" w:sz="4" w:space="0" w:color="0070C0"/>
            </w:tcBorders>
            <w:shd w:val="clear" w:color="auto" w:fill="D9D9D9"/>
            <w:tcMar>
              <w:left w:w="28" w:type="dxa"/>
              <w:right w:w="28" w:type="dxa"/>
            </w:tcMar>
            <w:vAlign w:val="center"/>
          </w:tcPr>
          <w:p w:rsidR="00A81146" w:rsidRPr="006F1D04" w:rsidRDefault="00A81146" w:rsidP="00E20E7C">
            <w:pPr>
              <w:pStyle w:val="TableContentText"/>
              <w:keepNext/>
              <w:spacing w:before="0"/>
              <w:jc w:val="center"/>
              <w:rPr>
                <w:rFonts w:ascii="Arial" w:hAnsi="Arial" w:cs="Arial"/>
                <w:color w:val="auto"/>
                <w:sz w:val="14"/>
                <w:szCs w:val="14"/>
                <w:lang w:eastAsia="en-AU"/>
              </w:rPr>
            </w:pPr>
            <w:r w:rsidRPr="006F1D04">
              <w:rPr>
                <w:rFonts w:ascii="Arial" w:hAnsi="Arial" w:cs="Arial"/>
                <w:color w:val="auto"/>
                <w:sz w:val="14"/>
                <w:szCs w:val="14"/>
                <w:lang w:eastAsia="en-AU"/>
              </w:rPr>
              <w:t>NT</w:t>
            </w:r>
          </w:p>
        </w:tc>
        <w:tc>
          <w:tcPr>
            <w:tcW w:w="236" w:type="dxa"/>
            <w:tcBorders>
              <w:left w:val="single" w:sz="4" w:space="0" w:color="0070C0"/>
              <w:right w:val="nil"/>
            </w:tcBorders>
            <w:shd w:val="clear" w:color="auto" w:fill="auto"/>
          </w:tcPr>
          <w:p w:rsidR="00A81146" w:rsidRPr="006F1D04" w:rsidRDefault="00A81146" w:rsidP="00E20E7C">
            <w:pPr>
              <w:spacing w:after="0" w:line="240" w:lineRule="auto"/>
              <w:jc w:val="center"/>
              <w:rPr>
                <w:rFonts w:ascii="Arial" w:hAnsi="Arial" w:cs="Arial"/>
                <w:color w:val="000000"/>
                <w:sz w:val="14"/>
                <w:szCs w:val="14"/>
              </w:rPr>
            </w:pPr>
          </w:p>
        </w:tc>
        <w:tc>
          <w:tcPr>
            <w:tcW w:w="1311" w:type="dxa"/>
            <w:tcBorders>
              <w:left w:val="nil"/>
              <w:right w:val="nil"/>
            </w:tcBorders>
            <w:shd w:val="clear" w:color="auto" w:fill="auto"/>
            <w:tcMar>
              <w:left w:w="28" w:type="dxa"/>
              <w:right w:w="28" w:type="dxa"/>
            </w:tcMar>
            <w:vAlign w:val="center"/>
          </w:tcPr>
          <w:p w:rsidR="00A81146" w:rsidRPr="006F1D04" w:rsidRDefault="00A81146" w:rsidP="00E20E7C">
            <w:pPr>
              <w:spacing w:after="0" w:line="240" w:lineRule="auto"/>
              <w:jc w:val="center"/>
              <w:rPr>
                <w:rFonts w:ascii="Arial" w:hAnsi="Arial" w:cs="Arial"/>
                <w:color w:val="000000"/>
                <w:sz w:val="14"/>
                <w:szCs w:val="14"/>
              </w:rPr>
            </w:pPr>
            <w:r w:rsidRPr="006F1D04">
              <w:rPr>
                <w:rFonts w:ascii="Arial" w:hAnsi="Arial" w:cs="Arial"/>
                <w:color w:val="000000"/>
                <w:sz w:val="14"/>
                <w:szCs w:val="14"/>
              </w:rPr>
              <w:t>2.40</w:t>
            </w:r>
          </w:p>
        </w:tc>
        <w:tc>
          <w:tcPr>
            <w:tcW w:w="1027" w:type="dxa"/>
            <w:tcBorders>
              <w:left w:val="nil"/>
              <w:right w:val="nil"/>
            </w:tcBorders>
            <w:shd w:val="clear" w:color="auto" w:fill="auto"/>
            <w:tcMar>
              <w:left w:w="28" w:type="dxa"/>
              <w:right w:w="28" w:type="dxa"/>
            </w:tcMar>
            <w:vAlign w:val="center"/>
          </w:tcPr>
          <w:p w:rsidR="00A81146" w:rsidRPr="006F1D04" w:rsidRDefault="00A81146" w:rsidP="00E20E7C">
            <w:pPr>
              <w:spacing w:after="0" w:line="240" w:lineRule="auto"/>
              <w:jc w:val="center"/>
              <w:rPr>
                <w:rFonts w:ascii="Arial" w:hAnsi="Arial" w:cs="Arial"/>
                <w:color w:val="000000"/>
                <w:sz w:val="14"/>
                <w:szCs w:val="14"/>
                <w:lang w:eastAsia="en-US"/>
              </w:rPr>
            </w:pPr>
            <w:r w:rsidRPr="006F1D04">
              <w:rPr>
                <w:rFonts w:ascii="Arial" w:hAnsi="Arial" w:cs="Arial"/>
                <w:color w:val="000000"/>
                <w:sz w:val="14"/>
                <w:szCs w:val="14"/>
                <w:lang w:eastAsia="en-US"/>
              </w:rPr>
              <w:t>No</w:t>
            </w:r>
          </w:p>
        </w:tc>
        <w:tc>
          <w:tcPr>
            <w:tcW w:w="283" w:type="dxa"/>
            <w:tcBorders>
              <w:left w:val="nil"/>
              <w:right w:val="nil"/>
            </w:tcBorders>
            <w:shd w:val="clear" w:color="auto" w:fill="auto"/>
            <w:tcMar>
              <w:left w:w="28" w:type="dxa"/>
              <w:right w:w="28" w:type="dxa"/>
            </w:tcMar>
          </w:tcPr>
          <w:p w:rsidR="00A81146" w:rsidRPr="006F1D04" w:rsidRDefault="00A81146" w:rsidP="00E20E7C">
            <w:pPr>
              <w:pStyle w:val="TableContentText"/>
              <w:keepNext/>
              <w:spacing w:before="0"/>
              <w:jc w:val="center"/>
              <w:rPr>
                <w:rFonts w:ascii="Arial" w:hAnsi="Arial" w:cs="Arial"/>
                <w:color w:val="auto"/>
                <w:sz w:val="14"/>
                <w:szCs w:val="14"/>
                <w:lang w:eastAsia="en-AU"/>
              </w:rPr>
            </w:pPr>
          </w:p>
        </w:tc>
        <w:tc>
          <w:tcPr>
            <w:tcW w:w="1276" w:type="dxa"/>
            <w:tcBorders>
              <w:left w:val="nil"/>
              <w:right w:val="nil"/>
            </w:tcBorders>
            <w:shd w:val="clear" w:color="auto" w:fill="auto"/>
            <w:tcMar>
              <w:left w:w="28" w:type="dxa"/>
              <w:right w:w="28" w:type="dxa"/>
            </w:tcMar>
            <w:vAlign w:val="center"/>
          </w:tcPr>
          <w:p w:rsidR="00A81146" w:rsidRPr="006F1D04" w:rsidRDefault="00A81146" w:rsidP="00E20E7C">
            <w:pPr>
              <w:spacing w:after="0" w:line="240" w:lineRule="auto"/>
              <w:jc w:val="center"/>
              <w:rPr>
                <w:rFonts w:ascii="Arial" w:hAnsi="Arial" w:cs="Arial"/>
                <w:color w:val="000000"/>
                <w:sz w:val="14"/>
                <w:szCs w:val="14"/>
              </w:rPr>
            </w:pPr>
            <w:r w:rsidRPr="006F1D04">
              <w:rPr>
                <w:rFonts w:ascii="Arial" w:hAnsi="Arial" w:cs="Arial"/>
                <w:color w:val="000000"/>
                <w:sz w:val="14"/>
                <w:szCs w:val="14"/>
              </w:rPr>
              <w:t>1.02</w:t>
            </w:r>
          </w:p>
        </w:tc>
        <w:tc>
          <w:tcPr>
            <w:tcW w:w="992" w:type="dxa"/>
            <w:tcBorders>
              <w:left w:val="nil"/>
              <w:right w:val="nil"/>
            </w:tcBorders>
            <w:shd w:val="clear" w:color="auto" w:fill="auto"/>
            <w:tcMar>
              <w:left w:w="28" w:type="dxa"/>
              <w:right w:w="28" w:type="dxa"/>
            </w:tcMar>
            <w:vAlign w:val="center"/>
          </w:tcPr>
          <w:p w:rsidR="00A81146" w:rsidRPr="006F1D04" w:rsidRDefault="00A81146" w:rsidP="00E20E7C">
            <w:pPr>
              <w:spacing w:after="0" w:line="240" w:lineRule="auto"/>
              <w:jc w:val="center"/>
              <w:rPr>
                <w:rFonts w:ascii="Arial" w:hAnsi="Arial" w:cs="Arial"/>
                <w:color w:val="000000"/>
                <w:sz w:val="14"/>
                <w:szCs w:val="14"/>
                <w:lang w:eastAsia="en-US"/>
              </w:rPr>
            </w:pPr>
            <w:r w:rsidRPr="006F1D04">
              <w:rPr>
                <w:rFonts w:ascii="Arial" w:hAnsi="Arial" w:cs="Arial"/>
                <w:color w:val="000000"/>
                <w:sz w:val="14"/>
                <w:szCs w:val="14"/>
                <w:lang w:eastAsia="en-US"/>
              </w:rPr>
              <w:t>No</w:t>
            </w:r>
          </w:p>
        </w:tc>
        <w:tc>
          <w:tcPr>
            <w:tcW w:w="437" w:type="dxa"/>
            <w:tcBorders>
              <w:left w:val="nil"/>
              <w:right w:val="nil"/>
            </w:tcBorders>
            <w:shd w:val="clear" w:color="auto" w:fill="auto"/>
            <w:tcMar>
              <w:left w:w="28" w:type="dxa"/>
              <w:right w:w="28" w:type="dxa"/>
            </w:tcMar>
          </w:tcPr>
          <w:p w:rsidR="00A81146" w:rsidRPr="006F1D04" w:rsidRDefault="00A81146" w:rsidP="00E20E7C">
            <w:pPr>
              <w:spacing w:after="0" w:line="240" w:lineRule="auto"/>
              <w:jc w:val="center"/>
              <w:rPr>
                <w:rFonts w:ascii="Arial" w:hAnsi="Arial" w:cs="Arial"/>
                <w:color w:val="000000"/>
                <w:sz w:val="14"/>
                <w:szCs w:val="14"/>
                <w:lang w:eastAsia="en-US"/>
              </w:rPr>
            </w:pPr>
          </w:p>
        </w:tc>
        <w:tc>
          <w:tcPr>
            <w:tcW w:w="1123" w:type="dxa"/>
            <w:tcBorders>
              <w:left w:val="nil"/>
            </w:tcBorders>
            <w:shd w:val="clear" w:color="auto" w:fill="auto"/>
            <w:tcMar>
              <w:left w:w="28" w:type="dxa"/>
              <w:right w:w="28" w:type="dxa"/>
            </w:tcMar>
            <w:vAlign w:val="center"/>
          </w:tcPr>
          <w:p w:rsidR="00A81146" w:rsidRPr="006F1D04" w:rsidRDefault="00A81146" w:rsidP="00E20E7C">
            <w:pPr>
              <w:spacing w:after="0" w:line="240" w:lineRule="auto"/>
              <w:jc w:val="center"/>
              <w:rPr>
                <w:rFonts w:ascii="Arial" w:hAnsi="Arial" w:cs="Arial"/>
                <w:color w:val="000000"/>
                <w:sz w:val="14"/>
                <w:szCs w:val="14"/>
                <w:lang w:eastAsia="en-US"/>
              </w:rPr>
            </w:pPr>
            <w:r w:rsidRPr="006F1D04">
              <w:rPr>
                <w:rFonts w:ascii="Arial" w:hAnsi="Arial" w:cs="Arial"/>
                <w:color w:val="000000"/>
                <w:sz w:val="14"/>
                <w:szCs w:val="14"/>
                <w:lang w:eastAsia="en-US"/>
              </w:rPr>
              <w:t>No</w:t>
            </w:r>
          </w:p>
        </w:tc>
      </w:tr>
      <w:tr w:rsidR="00A81146" w:rsidRPr="006F1D04" w:rsidTr="00E20E7C">
        <w:trPr>
          <w:trHeight w:hRule="exact" w:val="340"/>
          <w:jc w:val="center"/>
        </w:trPr>
        <w:tc>
          <w:tcPr>
            <w:tcW w:w="1175" w:type="dxa"/>
            <w:tcBorders>
              <w:right w:val="single" w:sz="4" w:space="0" w:color="0070C0"/>
            </w:tcBorders>
            <w:shd w:val="clear" w:color="auto" w:fill="D9D9D9"/>
            <w:tcMar>
              <w:left w:w="28" w:type="dxa"/>
              <w:right w:w="28" w:type="dxa"/>
            </w:tcMar>
            <w:vAlign w:val="center"/>
          </w:tcPr>
          <w:p w:rsidR="00A81146" w:rsidRPr="006F1D04" w:rsidRDefault="00A81146" w:rsidP="00E20E7C">
            <w:pPr>
              <w:pStyle w:val="TableContentText"/>
              <w:keepNext/>
              <w:spacing w:before="0"/>
              <w:jc w:val="center"/>
              <w:rPr>
                <w:rFonts w:ascii="Arial" w:hAnsi="Arial" w:cs="Arial"/>
                <w:color w:val="auto"/>
                <w:sz w:val="14"/>
                <w:szCs w:val="14"/>
                <w:lang w:eastAsia="en-AU"/>
              </w:rPr>
            </w:pPr>
            <w:r w:rsidRPr="006F1D04">
              <w:rPr>
                <w:rFonts w:ascii="Arial" w:hAnsi="Arial" w:cs="Arial"/>
                <w:color w:val="auto"/>
                <w:sz w:val="14"/>
                <w:szCs w:val="14"/>
                <w:lang w:eastAsia="en-AU"/>
              </w:rPr>
              <w:t>ACT</w:t>
            </w:r>
          </w:p>
        </w:tc>
        <w:tc>
          <w:tcPr>
            <w:tcW w:w="236" w:type="dxa"/>
            <w:tcBorders>
              <w:left w:val="single" w:sz="4" w:space="0" w:color="0070C0"/>
              <w:right w:val="nil"/>
            </w:tcBorders>
            <w:shd w:val="clear" w:color="auto" w:fill="auto"/>
          </w:tcPr>
          <w:p w:rsidR="00A81146" w:rsidRPr="006F1D04" w:rsidRDefault="00A81146" w:rsidP="00E20E7C">
            <w:pPr>
              <w:spacing w:after="0" w:line="240" w:lineRule="auto"/>
              <w:jc w:val="center"/>
              <w:rPr>
                <w:rFonts w:ascii="Arial" w:hAnsi="Arial" w:cs="Arial"/>
                <w:color w:val="000000"/>
                <w:sz w:val="14"/>
                <w:szCs w:val="14"/>
              </w:rPr>
            </w:pPr>
          </w:p>
        </w:tc>
        <w:tc>
          <w:tcPr>
            <w:tcW w:w="1311" w:type="dxa"/>
            <w:tcBorders>
              <w:left w:val="nil"/>
              <w:right w:val="nil"/>
            </w:tcBorders>
            <w:shd w:val="clear" w:color="auto" w:fill="auto"/>
            <w:tcMar>
              <w:left w:w="28" w:type="dxa"/>
              <w:right w:w="28" w:type="dxa"/>
            </w:tcMar>
            <w:vAlign w:val="center"/>
          </w:tcPr>
          <w:p w:rsidR="00A81146" w:rsidRPr="006F1D04" w:rsidRDefault="00436139" w:rsidP="00E20E7C">
            <w:pPr>
              <w:spacing w:after="0" w:line="240" w:lineRule="auto"/>
              <w:jc w:val="center"/>
              <w:rPr>
                <w:rFonts w:ascii="Arial" w:hAnsi="Arial" w:cs="Arial"/>
                <w:color w:val="000000"/>
                <w:sz w:val="14"/>
                <w:szCs w:val="14"/>
              </w:rPr>
            </w:pPr>
            <w:r w:rsidRPr="006F1D04">
              <w:rPr>
                <w:rFonts w:ascii="Arial" w:hAnsi="Arial" w:cs="Arial"/>
                <w:color w:val="000000"/>
                <w:sz w:val="14"/>
                <w:szCs w:val="14"/>
              </w:rPr>
              <w:t>–</w:t>
            </w:r>
            <w:r w:rsidR="00A81146" w:rsidRPr="006F1D04">
              <w:rPr>
                <w:rFonts w:ascii="Arial" w:hAnsi="Arial" w:cs="Arial"/>
                <w:color w:val="000000"/>
                <w:sz w:val="14"/>
                <w:szCs w:val="14"/>
              </w:rPr>
              <w:t>0.56</w:t>
            </w:r>
          </w:p>
        </w:tc>
        <w:tc>
          <w:tcPr>
            <w:tcW w:w="1027" w:type="dxa"/>
            <w:tcBorders>
              <w:left w:val="nil"/>
              <w:right w:val="nil"/>
            </w:tcBorders>
            <w:shd w:val="clear" w:color="auto" w:fill="auto"/>
            <w:tcMar>
              <w:left w:w="28" w:type="dxa"/>
              <w:right w:w="28" w:type="dxa"/>
            </w:tcMar>
            <w:vAlign w:val="center"/>
          </w:tcPr>
          <w:p w:rsidR="00A81146" w:rsidRPr="006F1D04" w:rsidRDefault="00A81146" w:rsidP="00E20E7C">
            <w:pPr>
              <w:spacing w:after="0" w:line="240" w:lineRule="auto"/>
              <w:jc w:val="center"/>
              <w:rPr>
                <w:rFonts w:ascii="Arial" w:hAnsi="Arial" w:cs="Arial"/>
                <w:color w:val="000000"/>
                <w:sz w:val="14"/>
                <w:szCs w:val="14"/>
                <w:lang w:eastAsia="en-US"/>
              </w:rPr>
            </w:pPr>
            <w:r w:rsidRPr="006F1D04">
              <w:rPr>
                <w:rFonts w:ascii="Arial" w:hAnsi="Arial" w:cs="Arial"/>
                <w:color w:val="000000"/>
                <w:sz w:val="14"/>
                <w:szCs w:val="14"/>
                <w:lang w:eastAsia="en-US"/>
              </w:rPr>
              <w:t>Yes</w:t>
            </w:r>
          </w:p>
        </w:tc>
        <w:tc>
          <w:tcPr>
            <w:tcW w:w="283" w:type="dxa"/>
            <w:tcBorders>
              <w:left w:val="nil"/>
              <w:right w:val="nil"/>
            </w:tcBorders>
            <w:shd w:val="clear" w:color="auto" w:fill="auto"/>
            <w:tcMar>
              <w:left w:w="28" w:type="dxa"/>
              <w:right w:w="28" w:type="dxa"/>
            </w:tcMar>
          </w:tcPr>
          <w:p w:rsidR="00A81146" w:rsidRPr="006F1D04" w:rsidRDefault="00A81146" w:rsidP="00E20E7C">
            <w:pPr>
              <w:pStyle w:val="TableContentText"/>
              <w:keepNext/>
              <w:spacing w:before="0"/>
              <w:jc w:val="center"/>
              <w:rPr>
                <w:rFonts w:ascii="Arial" w:hAnsi="Arial" w:cs="Arial"/>
                <w:color w:val="auto"/>
                <w:sz w:val="14"/>
                <w:szCs w:val="14"/>
                <w:lang w:eastAsia="en-AU"/>
              </w:rPr>
            </w:pPr>
          </w:p>
        </w:tc>
        <w:tc>
          <w:tcPr>
            <w:tcW w:w="1276" w:type="dxa"/>
            <w:tcBorders>
              <w:left w:val="nil"/>
              <w:right w:val="nil"/>
            </w:tcBorders>
            <w:shd w:val="clear" w:color="auto" w:fill="auto"/>
            <w:tcMar>
              <w:left w:w="28" w:type="dxa"/>
              <w:right w:w="28" w:type="dxa"/>
            </w:tcMar>
            <w:vAlign w:val="center"/>
          </w:tcPr>
          <w:p w:rsidR="00A81146" w:rsidRPr="006F1D04" w:rsidRDefault="00436139" w:rsidP="00E20E7C">
            <w:pPr>
              <w:spacing w:after="0" w:line="240" w:lineRule="auto"/>
              <w:jc w:val="center"/>
              <w:rPr>
                <w:rFonts w:ascii="Arial" w:hAnsi="Arial" w:cs="Arial"/>
                <w:color w:val="000000"/>
                <w:sz w:val="14"/>
                <w:szCs w:val="14"/>
              </w:rPr>
            </w:pPr>
            <w:r w:rsidRPr="006F1D04">
              <w:rPr>
                <w:rFonts w:ascii="Arial" w:hAnsi="Arial" w:cs="Arial"/>
                <w:color w:val="000000"/>
                <w:sz w:val="14"/>
                <w:szCs w:val="14"/>
              </w:rPr>
              <w:t>–</w:t>
            </w:r>
            <w:r w:rsidR="00A81146" w:rsidRPr="006F1D04">
              <w:rPr>
                <w:rFonts w:ascii="Arial" w:hAnsi="Arial" w:cs="Arial"/>
                <w:color w:val="000000"/>
                <w:sz w:val="14"/>
                <w:szCs w:val="14"/>
              </w:rPr>
              <w:t>0.19</w:t>
            </w:r>
          </w:p>
        </w:tc>
        <w:tc>
          <w:tcPr>
            <w:tcW w:w="992" w:type="dxa"/>
            <w:tcBorders>
              <w:left w:val="nil"/>
              <w:right w:val="nil"/>
            </w:tcBorders>
            <w:shd w:val="clear" w:color="auto" w:fill="auto"/>
            <w:tcMar>
              <w:left w:w="28" w:type="dxa"/>
              <w:right w:w="28" w:type="dxa"/>
            </w:tcMar>
            <w:vAlign w:val="center"/>
          </w:tcPr>
          <w:p w:rsidR="00A81146" w:rsidRPr="006F1D04" w:rsidRDefault="00A81146" w:rsidP="00E20E7C">
            <w:pPr>
              <w:spacing w:after="0" w:line="240" w:lineRule="auto"/>
              <w:jc w:val="center"/>
              <w:rPr>
                <w:rFonts w:ascii="Arial" w:hAnsi="Arial" w:cs="Arial"/>
                <w:color w:val="000000"/>
                <w:sz w:val="14"/>
                <w:szCs w:val="14"/>
                <w:lang w:eastAsia="en-US"/>
              </w:rPr>
            </w:pPr>
            <w:r w:rsidRPr="006F1D04">
              <w:rPr>
                <w:rFonts w:ascii="Arial" w:hAnsi="Arial" w:cs="Arial"/>
                <w:color w:val="000000"/>
                <w:sz w:val="14"/>
                <w:szCs w:val="14"/>
                <w:lang w:eastAsia="en-US"/>
              </w:rPr>
              <w:t>No</w:t>
            </w:r>
          </w:p>
        </w:tc>
        <w:tc>
          <w:tcPr>
            <w:tcW w:w="437" w:type="dxa"/>
            <w:tcBorders>
              <w:left w:val="nil"/>
              <w:right w:val="nil"/>
            </w:tcBorders>
            <w:shd w:val="clear" w:color="auto" w:fill="auto"/>
            <w:tcMar>
              <w:left w:w="28" w:type="dxa"/>
              <w:right w:w="28" w:type="dxa"/>
            </w:tcMar>
          </w:tcPr>
          <w:p w:rsidR="00A81146" w:rsidRPr="006F1D04" w:rsidRDefault="00A81146" w:rsidP="00E20E7C">
            <w:pPr>
              <w:spacing w:after="0" w:line="240" w:lineRule="auto"/>
              <w:jc w:val="center"/>
              <w:rPr>
                <w:rFonts w:ascii="Arial" w:hAnsi="Arial" w:cs="Arial"/>
                <w:color w:val="000000"/>
                <w:sz w:val="14"/>
                <w:szCs w:val="14"/>
                <w:lang w:eastAsia="en-US"/>
              </w:rPr>
            </w:pPr>
          </w:p>
        </w:tc>
        <w:tc>
          <w:tcPr>
            <w:tcW w:w="1123" w:type="dxa"/>
            <w:tcBorders>
              <w:left w:val="nil"/>
            </w:tcBorders>
            <w:shd w:val="clear" w:color="auto" w:fill="auto"/>
            <w:tcMar>
              <w:left w:w="28" w:type="dxa"/>
              <w:right w:w="28" w:type="dxa"/>
            </w:tcMar>
            <w:vAlign w:val="center"/>
          </w:tcPr>
          <w:p w:rsidR="00A81146" w:rsidRPr="006F1D04" w:rsidRDefault="00A81146" w:rsidP="00E20E7C">
            <w:pPr>
              <w:spacing w:after="0" w:line="240" w:lineRule="auto"/>
              <w:jc w:val="center"/>
              <w:rPr>
                <w:rFonts w:ascii="Arial" w:hAnsi="Arial" w:cs="Arial"/>
                <w:color w:val="000000"/>
                <w:sz w:val="14"/>
                <w:szCs w:val="14"/>
                <w:lang w:eastAsia="en-US"/>
              </w:rPr>
            </w:pPr>
            <w:r w:rsidRPr="006F1D04">
              <w:rPr>
                <w:rFonts w:ascii="Arial" w:hAnsi="Arial" w:cs="Arial"/>
                <w:color w:val="000000"/>
                <w:sz w:val="14"/>
                <w:szCs w:val="14"/>
                <w:lang w:eastAsia="en-US"/>
              </w:rPr>
              <w:t>No</w:t>
            </w:r>
          </w:p>
        </w:tc>
      </w:tr>
    </w:tbl>
    <w:p w:rsidR="00A81146" w:rsidRPr="006F1D04" w:rsidRDefault="00A81146" w:rsidP="00A81146">
      <w:pPr>
        <w:spacing w:after="200" w:line="240" w:lineRule="auto"/>
        <w:rPr>
          <w:rFonts w:ascii="Arial" w:hAnsi="Arial" w:cs="Arial"/>
          <w:color w:val="000000"/>
          <w:sz w:val="36"/>
          <w:szCs w:val="36"/>
          <w:lang w:eastAsia="en-US"/>
        </w:rPr>
      </w:pPr>
    </w:p>
    <w:p w:rsidR="00A81146" w:rsidRPr="006F1D04" w:rsidRDefault="00A81146" w:rsidP="00D22244">
      <w:pPr>
        <w:pStyle w:val="Heading7"/>
        <w:rPr>
          <w:rFonts w:ascii="Arial" w:hAnsi="Arial"/>
          <w:lang w:eastAsia="en-US"/>
        </w:rPr>
      </w:pPr>
      <w:bookmarkStart w:id="248" w:name="_Toc394011182"/>
      <w:r w:rsidRPr="006F1D04">
        <w:rPr>
          <w:rFonts w:ascii="Arial" w:hAnsi="Arial"/>
          <w:lang w:eastAsia="en-US"/>
        </w:rPr>
        <w:t>Seasonal patterns</w:t>
      </w:r>
      <w:bookmarkEnd w:id="248"/>
    </w:p>
    <w:p w:rsidR="00537F0A" w:rsidRPr="006F1D04" w:rsidRDefault="00537F0A" w:rsidP="00D22244">
      <w:pPr>
        <w:rPr>
          <w:rFonts w:ascii="Arial" w:hAnsi="Arial" w:cs="Arial"/>
          <w:lang w:eastAsia="en-US"/>
        </w:rPr>
      </w:pPr>
      <w:r w:rsidRPr="006F1D04">
        <w:rPr>
          <w:rFonts w:ascii="Arial" w:hAnsi="Arial" w:cs="Arial"/>
          <w:lang w:eastAsia="en-US"/>
        </w:rPr>
        <w:t>The seasonal (monthly average) PM</w:t>
      </w:r>
      <w:r w:rsidRPr="006F1D04">
        <w:rPr>
          <w:rFonts w:ascii="Arial" w:hAnsi="Arial" w:cs="Arial"/>
          <w:vertAlign w:val="subscript"/>
          <w:lang w:eastAsia="en-US"/>
        </w:rPr>
        <w:t>10</w:t>
      </w:r>
      <w:r w:rsidRPr="006F1D04">
        <w:rPr>
          <w:rFonts w:ascii="Arial" w:hAnsi="Arial" w:cs="Arial"/>
          <w:lang w:eastAsia="en-US"/>
        </w:rPr>
        <w:t xml:space="preserve"> and PM</w:t>
      </w:r>
      <w:r w:rsidRPr="006F1D04">
        <w:rPr>
          <w:rFonts w:ascii="Arial" w:hAnsi="Arial" w:cs="Arial"/>
          <w:vertAlign w:val="subscript"/>
          <w:lang w:eastAsia="en-US"/>
        </w:rPr>
        <w:t>2.5</w:t>
      </w:r>
      <w:r w:rsidRPr="006F1D04">
        <w:rPr>
          <w:rFonts w:ascii="Arial" w:hAnsi="Arial" w:cs="Arial"/>
          <w:lang w:eastAsia="en-US"/>
        </w:rPr>
        <w:t xml:space="preserve"> concentrations at each monitoring site are presented in </w:t>
      </w:r>
      <w:r w:rsidRPr="006F1D04">
        <w:rPr>
          <w:rFonts w:ascii="Arial" w:hAnsi="Arial" w:cs="Arial"/>
          <w:b/>
          <w:lang w:eastAsia="en-US"/>
        </w:rPr>
        <w:t xml:space="preserve">Figure </w:t>
      </w:r>
      <w:r w:rsidR="00236133" w:rsidRPr="006F1D04">
        <w:rPr>
          <w:rFonts w:ascii="Arial" w:hAnsi="Arial" w:cs="Arial"/>
          <w:b/>
          <w:lang w:eastAsia="en-US"/>
        </w:rPr>
        <w:t>E.</w:t>
      </w:r>
      <w:r w:rsidRPr="006F1D04">
        <w:rPr>
          <w:rFonts w:ascii="Arial" w:hAnsi="Arial" w:cs="Arial"/>
          <w:b/>
          <w:lang w:eastAsia="en-US"/>
        </w:rPr>
        <w:t>6</w:t>
      </w:r>
      <w:r w:rsidRPr="006F1D04">
        <w:rPr>
          <w:rFonts w:ascii="Arial" w:hAnsi="Arial" w:cs="Arial"/>
          <w:lang w:eastAsia="en-US"/>
        </w:rPr>
        <w:t xml:space="preserve"> and </w:t>
      </w:r>
      <w:r w:rsidRPr="006F1D04">
        <w:rPr>
          <w:rFonts w:ascii="Arial" w:hAnsi="Arial" w:cs="Arial"/>
          <w:b/>
          <w:lang w:eastAsia="en-US"/>
        </w:rPr>
        <w:t xml:space="preserve">Figure </w:t>
      </w:r>
      <w:r w:rsidR="00236133" w:rsidRPr="006F1D04">
        <w:rPr>
          <w:rFonts w:ascii="Arial" w:hAnsi="Arial" w:cs="Arial"/>
          <w:b/>
          <w:lang w:eastAsia="en-US"/>
        </w:rPr>
        <w:t>E.</w:t>
      </w:r>
      <w:r w:rsidRPr="006F1D04">
        <w:rPr>
          <w:rFonts w:ascii="Arial" w:hAnsi="Arial" w:cs="Arial"/>
          <w:b/>
          <w:lang w:eastAsia="en-US"/>
        </w:rPr>
        <w:t>7</w:t>
      </w:r>
      <w:r w:rsidRPr="006F1D04">
        <w:rPr>
          <w:rFonts w:ascii="Arial" w:hAnsi="Arial" w:cs="Arial"/>
          <w:lang w:eastAsia="en-US"/>
        </w:rPr>
        <w:t xml:space="preserve"> respectively.</w:t>
      </w:r>
    </w:p>
    <w:p w:rsidR="00D22244" w:rsidRPr="006F1D04" w:rsidRDefault="00A81146" w:rsidP="00D22244">
      <w:pPr>
        <w:rPr>
          <w:rFonts w:ascii="Arial" w:hAnsi="Arial" w:cs="Arial"/>
          <w:lang w:eastAsia="en-US"/>
        </w:rPr>
      </w:pPr>
      <w:r w:rsidRPr="006F1D04">
        <w:rPr>
          <w:rFonts w:ascii="Arial" w:hAnsi="Arial" w:cs="Arial"/>
          <w:lang w:eastAsia="en-US"/>
        </w:rPr>
        <w:t>The average seasonal patterns in PM</w:t>
      </w:r>
      <w:r w:rsidRPr="006F1D04">
        <w:rPr>
          <w:rFonts w:ascii="Arial" w:hAnsi="Arial" w:cs="Arial"/>
          <w:vertAlign w:val="subscript"/>
          <w:lang w:eastAsia="en-US"/>
        </w:rPr>
        <w:t>10</w:t>
      </w:r>
      <w:r w:rsidRPr="006F1D04">
        <w:rPr>
          <w:rFonts w:ascii="Arial" w:hAnsi="Arial" w:cs="Arial"/>
          <w:lang w:eastAsia="en-US"/>
        </w:rPr>
        <w:t xml:space="preserve"> in the jurisdictions are presented in</w:t>
      </w:r>
      <w:r w:rsidR="00537F0A" w:rsidRPr="006F1D04">
        <w:rPr>
          <w:rFonts w:ascii="Arial" w:hAnsi="Arial" w:cs="Arial"/>
          <w:b/>
          <w:lang w:eastAsia="en-US"/>
        </w:rPr>
        <w:t xml:space="preserve"> Figure </w:t>
      </w:r>
      <w:r w:rsidR="00236133" w:rsidRPr="006F1D04">
        <w:rPr>
          <w:rFonts w:ascii="Arial" w:hAnsi="Arial" w:cs="Arial"/>
          <w:b/>
          <w:lang w:eastAsia="en-US"/>
        </w:rPr>
        <w:t>E.</w:t>
      </w:r>
      <w:r w:rsidR="00537F0A" w:rsidRPr="006F1D04">
        <w:rPr>
          <w:rFonts w:ascii="Arial" w:hAnsi="Arial" w:cs="Arial"/>
          <w:b/>
          <w:lang w:eastAsia="en-US"/>
        </w:rPr>
        <w:t>8</w:t>
      </w:r>
      <w:r w:rsidRPr="006F1D04">
        <w:rPr>
          <w:rFonts w:ascii="Arial" w:hAnsi="Arial" w:cs="Arial"/>
          <w:lang w:eastAsia="en-US"/>
        </w:rPr>
        <w:t xml:space="preserve">. Broadly similar patterns were apparent in NSW, Victoria, South Australia and Western Australia. Concentrations are highest during the summer months. In summer, </w:t>
      </w:r>
      <w:r w:rsidR="00506162" w:rsidRPr="006F1D04">
        <w:rPr>
          <w:rFonts w:ascii="Arial" w:hAnsi="Arial" w:cs="Arial"/>
          <w:lang w:eastAsia="en-US"/>
        </w:rPr>
        <w:t>bush</w:t>
      </w:r>
      <w:r w:rsidR="00E724B2" w:rsidRPr="006F1D04">
        <w:rPr>
          <w:rFonts w:ascii="Arial" w:hAnsi="Arial" w:cs="Arial"/>
          <w:lang w:eastAsia="en-US"/>
        </w:rPr>
        <w:t xml:space="preserve"> </w:t>
      </w:r>
      <w:r w:rsidRPr="006F1D04">
        <w:rPr>
          <w:rFonts w:ascii="Arial" w:hAnsi="Arial" w:cs="Arial"/>
          <w:lang w:eastAsia="en-US"/>
        </w:rPr>
        <w:t xml:space="preserve">fires and dust storms associated with occasional extreme weather can lead to high levels of particle pollution </w:t>
      </w:r>
      <w:r w:rsidRPr="006F1D04">
        <w:rPr>
          <w:rFonts w:ascii="Arial" w:hAnsi="Arial" w:cs="Arial"/>
          <w:b/>
          <w:lang w:eastAsia="en-US"/>
        </w:rPr>
        <w:t>(SEC 2011)</w:t>
      </w:r>
      <w:r w:rsidRPr="006F1D04">
        <w:rPr>
          <w:rFonts w:ascii="Arial" w:hAnsi="Arial" w:cs="Arial"/>
          <w:lang w:eastAsia="en-US"/>
        </w:rPr>
        <w:t>. Concentrations generally decreased from a high in January, reaching a minimum value during the winter months. The minimum concentration occurred in different months, being earlier in the winter (June) in NSW than in SA and WA (July)</w:t>
      </w:r>
      <w:r w:rsidR="00436139" w:rsidRPr="006F1D04">
        <w:rPr>
          <w:rFonts w:ascii="Arial" w:hAnsi="Arial" w:cs="Arial"/>
          <w:lang w:eastAsia="en-US"/>
        </w:rPr>
        <w:t>,</w:t>
      </w:r>
      <w:r w:rsidRPr="006F1D04">
        <w:rPr>
          <w:rFonts w:ascii="Arial" w:hAnsi="Arial" w:cs="Arial"/>
          <w:lang w:eastAsia="en-US"/>
        </w:rPr>
        <w:t xml:space="preserve"> and Victoria (August). Concentrations then increased in the spring and summer. The monthly PM</w:t>
      </w:r>
      <w:r w:rsidRPr="006F1D04">
        <w:rPr>
          <w:rFonts w:ascii="Arial" w:hAnsi="Arial" w:cs="Arial"/>
          <w:vertAlign w:val="subscript"/>
          <w:lang w:eastAsia="en-US"/>
        </w:rPr>
        <w:t>10</w:t>
      </w:r>
      <w:r w:rsidRPr="006F1D04">
        <w:rPr>
          <w:rFonts w:ascii="Arial" w:hAnsi="Arial" w:cs="Arial"/>
          <w:lang w:eastAsia="en-US"/>
        </w:rPr>
        <w:t xml:space="preserve"> profile for Queensland also shows a reduction between summer and autumn, but is unusual in that the peak concentration (for the whole year) occurs in September. In areas with a high dependence on solid fuel burning for domestic heating, the seasonal peak in particle levels usually occurs in winter </w:t>
      </w:r>
      <w:r w:rsidRPr="006F1D04">
        <w:rPr>
          <w:rFonts w:ascii="Arial" w:hAnsi="Arial" w:cs="Arial"/>
          <w:b/>
          <w:lang w:eastAsia="en-US"/>
        </w:rPr>
        <w:t>(SEC 2011)</w:t>
      </w:r>
      <w:r w:rsidRPr="006F1D04">
        <w:rPr>
          <w:rFonts w:ascii="Arial" w:hAnsi="Arial" w:cs="Arial"/>
          <w:lang w:eastAsia="en-US"/>
        </w:rPr>
        <w:t>. This can be exacerbated where local topography lead</w:t>
      </w:r>
      <w:r w:rsidR="00436139" w:rsidRPr="006F1D04">
        <w:rPr>
          <w:rFonts w:ascii="Arial" w:hAnsi="Arial" w:cs="Arial"/>
          <w:lang w:eastAsia="en-US"/>
        </w:rPr>
        <w:t>s</w:t>
      </w:r>
      <w:r w:rsidRPr="006F1D04">
        <w:rPr>
          <w:rFonts w:ascii="Arial" w:hAnsi="Arial" w:cs="Arial"/>
          <w:lang w:eastAsia="en-US"/>
        </w:rPr>
        <w:t xml:space="preserve"> to a layer of cold polluted air being trapped near the ground by an overlying layer of warmer air (a situation referred to as a temperature inversion). The retention of semi-volatile PM components will also play a role during winter. This wintertime peak is evident in the PM</w:t>
      </w:r>
      <w:r w:rsidRPr="006F1D04">
        <w:rPr>
          <w:rFonts w:ascii="Arial" w:hAnsi="Arial" w:cs="Arial"/>
          <w:vertAlign w:val="subscript"/>
          <w:lang w:eastAsia="en-US"/>
        </w:rPr>
        <w:t>10</w:t>
      </w:r>
      <w:r w:rsidRPr="006F1D04">
        <w:rPr>
          <w:rFonts w:ascii="Arial" w:hAnsi="Arial" w:cs="Arial"/>
          <w:lang w:eastAsia="en-US"/>
        </w:rPr>
        <w:t xml:space="preserve"> data for Tasmania. The range of PM</w:t>
      </w:r>
      <w:r w:rsidRPr="006F1D04">
        <w:rPr>
          <w:rFonts w:ascii="Arial" w:hAnsi="Arial" w:cs="Arial"/>
          <w:vertAlign w:val="subscript"/>
          <w:lang w:eastAsia="en-US"/>
        </w:rPr>
        <w:t>10</w:t>
      </w:r>
      <w:r w:rsidRPr="006F1D04">
        <w:rPr>
          <w:rFonts w:ascii="Arial" w:hAnsi="Arial" w:cs="Arial"/>
          <w:lang w:eastAsia="en-US"/>
        </w:rPr>
        <w:t xml:space="preserve"> concentrations during the year is highest for NT, where there is a strong peak in winter and spring. In the ACT the PM</w:t>
      </w:r>
      <w:r w:rsidRPr="006F1D04">
        <w:rPr>
          <w:rFonts w:ascii="Arial" w:hAnsi="Arial" w:cs="Arial"/>
          <w:vertAlign w:val="subscript"/>
          <w:lang w:eastAsia="en-US"/>
        </w:rPr>
        <w:t>10</w:t>
      </w:r>
      <w:r w:rsidRPr="006F1D04">
        <w:rPr>
          <w:rFonts w:ascii="Arial" w:hAnsi="Arial" w:cs="Arial"/>
          <w:lang w:eastAsia="en-US"/>
        </w:rPr>
        <w:t xml:space="preserve"> concentrations are relatively stable </w:t>
      </w:r>
      <w:r w:rsidR="00436139" w:rsidRPr="006F1D04">
        <w:rPr>
          <w:rFonts w:ascii="Arial" w:hAnsi="Arial" w:cs="Arial"/>
          <w:lang w:eastAsia="en-US"/>
        </w:rPr>
        <w:t xml:space="preserve">throughout </w:t>
      </w:r>
      <w:r w:rsidRPr="006F1D04">
        <w:rPr>
          <w:rFonts w:ascii="Arial" w:hAnsi="Arial" w:cs="Arial"/>
          <w:lang w:eastAsia="en-US"/>
        </w:rPr>
        <w:t>the year.</w:t>
      </w:r>
    </w:p>
    <w:p w:rsidR="00D22244" w:rsidRPr="006F1D04" w:rsidRDefault="00537F0A" w:rsidP="00D22244">
      <w:pPr>
        <w:rPr>
          <w:rFonts w:ascii="Arial" w:hAnsi="Arial" w:cs="Arial"/>
          <w:lang w:eastAsia="en-US"/>
        </w:rPr>
      </w:pPr>
      <w:r w:rsidRPr="006F1D04">
        <w:rPr>
          <w:rFonts w:ascii="Arial" w:hAnsi="Arial" w:cs="Arial"/>
          <w:b/>
          <w:lang w:eastAsia="en-US"/>
        </w:rPr>
        <w:t xml:space="preserve">Figure </w:t>
      </w:r>
      <w:r w:rsidR="00236133" w:rsidRPr="006F1D04">
        <w:rPr>
          <w:rFonts w:ascii="Arial" w:hAnsi="Arial" w:cs="Arial"/>
          <w:b/>
          <w:lang w:eastAsia="en-US"/>
        </w:rPr>
        <w:t>E.</w:t>
      </w:r>
      <w:r w:rsidRPr="006F1D04">
        <w:rPr>
          <w:rFonts w:ascii="Arial" w:hAnsi="Arial" w:cs="Arial"/>
          <w:b/>
          <w:lang w:eastAsia="en-US"/>
        </w:rPr>
        <w:t>9</w:t>
      </w:r>
      <w:r w:rsidR="00D22244" w:rsidRPr="006F1D04">
        <w:rPr>
          <w:rFonts w:ascii="Arial" w:hAnsi="Arial" w:cs="Arial"/>
          <w:lang w:eastAsia="en-US"/>
        </w:rPr>
        <w:t xml:space="preserve"> shows the </w:t>
      </w:r>
      <w:r w:rsidRPr="006F1D04">
        <w:rPr>
          <w:rFonts w:ascii="Arial" w:hAnsi="Arial" w:cs="Arial"/>
          <w:lang w:eastAsia="en-US"/>
        </w:rPr>
        <w:t xml:space="preserve">overall </w:t>
      </w:r>
      <w:r w:rsidR="00D22244" w:rsidRPr="006F1D04">
        <w:rPr>
          <w:rFonts w:ascii="Arial" w:hAnsi="Arial" w:cs="Arial"/>
          <w:lang w:eastAsia="en-US"/>
        </w:rPr>
        <w:t>seasonal patterns for PM</w:t>
      </w:r>
      <w:r w:rsidR="00D22244" w:rsidRPr="006F1D04">
        <w:rPr>
          <w:rFonts w:ascii="Arial" w:hAnsi="Arial" w:cs="Arial"/>
          <w:vertAlign w:val="subscript"/>
          <w:lang w:eastAsia="en-US"/>
        </w:rPr>
        <w:t>2.5</w:t>
      </w:r>
      <w:r w:rsidR="00D22244" w:rsidRPr="006F1D04">
        <w:rPr>
          <w:rFonts w:ascii="Arial" w:hAnsi="Arial" w:cs="Arial"/>
          <w:lang w:eastAsia="en-US"/>
        </w:rPr>
        <w:t>. There was no strong overall seasonal trend in NSW, SA and WA. In NSW some monitoring sites (notably those in the Upper Hunter Valley) had a wintertime peak, whereas others (</w:t>
      </w:r>
      <w:r w:rsidR="009334F4" w:rsidRPr="006F1D04">
        <w:rPr>
          <w:rFonts w:ascii="Arial" w:hAnsi="Arial" w:cs="Arial"/>
          <w:lang w:eastAsia="en-US"/>
        </w:rPr>
        <w:t>e.g.</w:t>
      </w:r>
      <w:r w:rsidR="00D22244" w:rsidRPr="006F1D04">
        <w:rPr>
          <w:rFonts w:ascii="Arial" w:hAnsi="Arial" w:cs="Arial"/>
          <w:lang w:eastAsia="en-US"/>
        </w:rPr>
        <w:t xml:space="preserve"> in the Illawarra) had a summertime peak. In Sydney, where most of the monitoring sites are located, the monthly profile was similar to the overall average profile. In Victoria (only two sites in Melbourne monitor PM</w:t>
      </w:r>
      <w:r w:rsidR="00D22244" w:rsidRPr="006F1D04">
        <w:rPr>
          <w:rFonts w:ascii="Arial" w:hAnsi="Arial" w:cs="Arial"/>
          <w:vertAlign w:val="subscript"/>
          <w:lang w:eastAsia="en-US"/>
        </w:rPr>
        <w:t>2.5</w:t>
      </w:r>
      <w:r w:rsidR="00D22244" w:rsidRPr="006F1D04">
        <w:rPr>
          <w:rFonts w:ascii="Arial" w:hAnsi="Arial" w:cs="Arial"/>
          <w:lang w:eastAsia="en-US"/>
        </w:rPr>
        <w:t>) the peak monthly average PM</w:t>
      </w:r>
      <w:r w:rsidR="00D22244" w:rsidRPr="006F1D04">
        <w:rPr>
          <w:rFonts w:ascii="Arial" w:hAnsi="Arial" w:cs="Arial"/>
          <w:vertAlign w:val="subscript"/>
          <w:lang w:eastAsia="en-US"/>
        </w:rPr>
        <w:t>2.5</w:t>
      </w:r>
      <w:r w:rsidR="00D22244" w:rsidRPr="006F1D04">
        <w:rPr>
          <w:rFonts w:ascii="Arial" w:hAnsi="Arial" w:cs="Arial"/>
          <w:lang w:eastAsia="en-US"/>
        </w:rPr>
        <w:t xml:space="preserve"> concentration occurs in the autumn, whereas in Queensland it occurs in the spring, as it does for PM</w:t>
      </w:r>
      <w:r w:rsidR="00D22244" w:rsidRPr="006F1D04">
        <w:rPr>
          <w:rFonts w:ascii="Arial" w:hAnsi="Arial" w:cs="Arial"/>
          <w:vertAlign w:val="subscript"/>
          <w:lang w:eastAsia="en-US"/>
        </w:rPr>
        <w:t>10</w:t>
      </w:r>
      <w:r w:rsidR="00D22244" w:rsidRPr="006F1D04">
        <w:rPr>
          <w:rFonts w:ascii="Arial" w:hAnsi="Arial" w:cs="Arial"/>
          <w:lang w:eastAsia="en-US"/>
        </w:rPr>
        <w:t>. In Tasmania, NT and the ACT there is a strong wintertime peak in PM</w:t>
      </w:r>
      <w:r w:rsidR="00D22244" w:rsidRPr="006F1D04">
        <w:rPr>
          <w:rFonts w:ascii="Arial" w:hAnsi="Arial" w:cs="Arial"/>
          <w:vertAlign w:val="subscript"/>
          <w:lang w:eastAsia="en-US"/>
        </w:rPr>
        <w:t>2.5</w:t>
      </w:r>
      <w:r w:rsidR="00D22244" w:rsidRPr="006F1D04">
        <w:rPr>
          <w:rFonts w:ascii="Arial" w:hAnsi="Arial" w:cs="Arial"/>
          <w:lang w:eastAsia="en-US"/>
        </w:rPr>
        <w:t>.</w:t>
      </w:r>
    </w:p>
    <w:p w:rsidR="00F57806" w:rsidRPr="006F1D04" w:rsidRDefault="00F57806" w:rsidP="00F57806">
      <w:pPr>
        <w:rPr>
          <w:rFonts w:ascii="Arial" w:hAnsi="Arial" w:cs="Arial"/>
          <w:lang w:eastAsia="en-US"/>
        </w:rPr>
      </w:pPr>
      <w:r w:rsidRPr="006F1D04">
        <w:rPr>
          <w:rFonts w:ascii="Arial" w:hAnsi="Arial" w:cs="Arial"/>
          <w:lang w:eastAsia="en-US"/>
        </w:rPr>
        <w:t>The monthly average PM</w:t>
      </w:r>
      <w:r w:rsidRPr="006F1D04">
        <w:rPr>
          <w:rFonts w:ascii="Arial" w:hAnsi="Arial" w:cs="Arial"/>
          <w:vertAlign w:val="subscript"/>
          <w:lang w:eastAsia="en-US"/>
        </w:rPr>
        <w:t>2.5</w:t>
      </w:r>
      <w:r w:rsidRPr="006F1D04">
        <w:rPr>
          <w:rFonts w:ascii="Arial" w:hAnsi="Arial" w:cs="Arial"/>
          <w:lang w:eastAsia="en-US"/>
        </w:rPr>
        <w:t>:PM</w:t>
      </w:r>
      <w:r w:rsidRPr="006F1D04">
        <w:rPr>
          <w:rFonts w:ascii="Arial" w:hAnsi="Arial" w:cs="Arial"/>
          <w:vertAlign w:val="subscript"/>
          <w:lang w:eastAsia="en-US"/>
        </w:rPr>
        <w:t>10</w:t>
      </w:r>
      <w:r w:rsidRPr="006F1D04">
        <w:rPr>
          <w:rFonts w:ascii="Arial" w:hAnsi="Arial" w:cs="Arial"/>
          <w:lang w:eastAsia="en-US"/>
        </w:rPr>
        <w:t xml:space="preserve"> ratios are shown in</w:t>
      </w:r>
      <w:r w:rsidR="00537F0A" w:rsidRPr="006F1D04">
        <w:rPr>
          <w:rFonts w:ascii="Arial" w:hAnsi="Arial" w:cs="Arial"/>
          <w:b/>
          <w:lang w:eastAsia="en-US"/>
        </w:rPr>
        <w:t xml:space="preserve"> Figure </w:t>
      </w:r>
      <w:r w:rsidR="00236133" w:rsidRPr="006F1D04">
        <w:rPr>
          <w:rFonts w:ascii="Arial" w:hAnsi="Arial" w:cs="Arial"/>
          <w:b/>
          <w:lang w:eastAsia="en-US"/>
        </w:rPr>
        <w:t>E.</w:t>
      </w:r>
      <w:r w:rsidR="00537F0A" w:rsidRPr="006F1D04">
        <w:rPr>
          <w:rFonts w:ascii="Arial" w:hAnsi="Arial" w:cs="Arial"/>
          <w:b/>
          <w:lang w:eastAsia="en-US"/>
        </w:rPr>
        <w:t>10</w:t>
      </w:r>
      <w:r w:rsidRPr="006F1D04">
        <w:rPr>
          <w:rFonts w:ascii="Arial" w:hAnsi="Arial" w:cs="Arial"/>
          <w:lang w:eastAsia="en-US"/>
        </w:rPr>
        <w:t>. In all jurisdictions there is a trend towards a maximum value for the ratio in winter and a minimum in summer.</w:t>
      </w:r>
    </w:p>
    <w:p w:rsidR="00537F0A" w:rsidRPr="006F1D04" w:rsidRDefault="00537F0A" w:rsidP="00F57806">
      <w:pPr>
        <w:rPr>
          <w:rFonts w:ascii="Arial" w:hAnsi="Arial" w:cs="Arial"/>
          <w:lang w:eastAsia="en-US"/>
        </w:rPr>
      </w:pPr>
    </w:p>
    <w:p w:rsidR="00537F0A" w:rsidRPr="006F1D04" w:rsidRDefault="006D7F17" w:rsidP="00537F0A">
      <w:pPr>
        <w:pStyle w:val="Caption"/>
        <w:spacing w:before="0" w:after="240"/>
        <w:rPr>
          <w:rFonts w:ascii="Arial" w:hAnsi="Arial" w:cs="Arial"/>
        </w:rPr>
      </w:pPr>
      <w:r w:rsidRPr="006F1D04">
        <w:rPr>
          <w:rFonts w:ascii="Arial" w:hAnsi="Arial" w:cs="Arial"/>
          <w:noProof/>
        </w:rPr>
        <w:lastRenderedPageBreak/>
        <w:drawing>
          <wp:inline distT="0" distB="0" distL="0" distR="0">
            <wp:extent cx="5693410" cy="7331075"/>
            <wp:effectExtent l="19050" t="19050" r="21590" b="22225"/>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33" t="1471" r="2145" b="2318"/>
                    <a:stretch>
                      <a:fillRect/>
                    </a:stretch>
                  </pic:blipFill>
                  <pic:spPr bwMode="auto">
                    <a:xfrm>
                      <a:off x="0" y="0"/>
                      <a:ext cx="5693410" cy="7331075"/>
                    </a:xfrm>
                    <a:prstGeom prst="rect">
                      <a:avLst/>
                    </a:prstGeom>
                    <a:noFill/>
                    <a:ln w="9525" cmpd="sng">
                      <a:solidFill>
                        <a:srgbClr val="0070C0"/>
                      </a:solidFill>
                      <a:miter lim="800000"/>
                      <a:headEnd/>
                      <a:tailEnd/>
                    </a:ln>
                    <a:effectLst/>
                  </pic:spPr>
                </pic:pic>
              </a:graphicData>
            </a:graphic>
          </wp:inline>
        </w:drawing>
      </w:r>
    </w:p>
    <w:p w:rsidR="00537F0A" w:rsidRPr="006F1D04" w:rsidRDefault="00537F0A" w:rsidP="00537F0A">
      <w:pPr>
        <w:pStyle w:val="Caption"/>
        <w:rPr>
          <w:rFonts w:ascii="Arial" w:hAnsi="Arial" w:cs="Arial"/>
        </w:rPr>
      </w:pPr>
      <w:r w:rsidRPr="006F1D04">
        <w:rPr>
          <w:rFonts w:ascii="Arial" w:hAnsi="Arial" w:cs="Arial"/>
        </w:rPr>
        <w:t xml:space="preserve"> Figure </w:t>
      </w:r>
      <w:r w:rsidR="00236133" w:rsidRPr="006F1D04">
        <w:rPr>
          <w:rFonts w:ascii="Arial" w:hAnsi="Arial" w:cs="Arial"/>
        </w:rPr>
        <w:t>E.</w:t>
      </w:r>
      <w:r w:rsidRPr="006F1D04">
        <w:rPr>
          <w:rFonts w:ascii="Arial" w:hAnsi="Arial" w:cs="Arial"/>
        </w:rPr>
        <w:t>6: Monthly mean PM</w:t>
      </w:r>
      <w:r w:rsidRPr="006F1D04">
        <w:rPr>
          <w:rFonts w:ascii="Arial" w:hAnsi="Arial" w:cs="Arial"/>
          <w:vertAlign w:val="subscript"/>
        </w:rPr>
        <w:t>10</w:t>
      </w:r>
      <w:r w:rsidRPr="006F1D04">
        <w:rPr>
          <w:rFonts w:ascii="Arial" w:hAnsi="Arial" w:cs="Arial"/>
        </w:rPr>
        <w:t xml:space="preserve"> concentrations by monitoring site</w:t>
      </w:r>
    </w:p>
    <w:p w:rsidR="00537F0A" w:rsidRPr="006F1D04" w:rsidRDefault="00537F0A" w:rsidP="00F41392">
      <w:pPr>
        <w:spacing w:after="0" w:line="240" w:lineRule="auto"/>
        <w:jc w:val="center"/>
        <w:rPr>
          <w:rFonts w:ascii="Arial" w:hAnsi="Arial" w:cs="Arial"/>
        </w:rPr>
      </w:pPr>
      <w:r w:rsidRPr="006F1D04">
        <w:rPr>
          <w:rFonts w:ascii="Arial" w:hAnsi="Arial" w:cs="Arial"/>
        </w:rPr>
        <w:br w:type="page"/>
      </w:r>
      <w:r w:rsidR="006D7F17" w:rsidRPr="006F1D04">
        <w:rPr>
          <w:rFonts w:ascii="Arial" w:hAnsi="Arial" w:cs="Arial"/>
          <w:noProof/>
        </w:rPr>
        <w:lastRenderedPageBreak/>
        <w:drawing>
          <wp:inline distT="0" distB="0" distL="0" distR="0">
            <wp:extent cx="5693410" cy="7418705"/>
            <wp:effectExtent l="19050" t="19050" r="21590" b="10795"/>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75" t="1430" r="2684" b="1999"/>
                    <a:stretch>
                      <a:fillRect/>
                    </a:stretch>
                  </pic:blipFill>
                  <pic:spPr bwMode="auto">
                    <a:xfrm>
                      <a:off x="0" y="0"/>
                      <a:ext cx="5693410" cy="7418705"/>
                    </a:xfrm>
                    <a:prstGeom prst="rect">
                      <a:avLst/>
                    </a:prstGeom>
                    <a:noFill/>
                    <a:ln w="9525" cmpd="sng">
                      <a:solidFill>
                        <a:srgbClr val="0070C0"/>
                      </a:solidFill>
                      <a:miter lim="800000"/>
                      <a:headEnd/>
                      <a:tailEnd/>
                    </a:ln>
                    <a:effectLst/>
                  </pic:spPr>
                </pic:pic>
              </a:graphicData>
            </a:graphic>
          </wp:inline>
        </w:drawing>
      </w:r>
    </w:p>
    <w:p w:rsidR="00537F0A" w:rsidRPr="006F1D04" w:rsidRDefault="00537F0A" w:rsidP="00537F0A">
      <w:pPr>
        <w:pStyle w:val="Caption"/>
        <w:rPr>
          <w:rFonts w:ascii="Arial" w:hAnsi="Arial" w:cs="Arial"/>
        </w:rPr>
      </w:pPr>
      <w:r w:rsidRPr="006F1D04">
        <w:rPr>
          <w:rFonts w:ascii="Arial" w:hAnsi="Arial" w:cs="Arial"/>
        </w:rPr>
        <w:t xml:space="preserve">Figure </w:t>
      </w:r>
      <w:r w:rsidR="00236133" w:rsidRPr="006F1D04">
        <w:rPr>
          <w:rFonts w:ascii="Arial" w:hAnsi="Arial" w:cs="Arial"/>
        </w:rPr>
        <w:t>E.</w:t>
      </w:r>
      <w:r w:rsidRPr="006F1D04">
        <w:rPr>
          <w:rFonts w:ascii="Arial" w:hAnsi="Arial" w:cs="Arial"/>
        </w:rPr>
        <w:t>7: Monthly mean PM</w:t>
      </w:r>
      <w:r w:rsidRPr="006F1D04">
        <w:rPr>
          <w:rFonts w:ascii="Arial" w:hAnsi="Arial" w:cs="Arial"/>
          <w:vertAlign w:val="subscript"/>
        </w:rPr>
        <w:t>2.5</w:t>
      </w:r>
      <w:r w:rsidRPr="006F1D04">
        <w:rPr>
          <w:rFonts w:ascii="Arial" w:hAnsi="Arial" w:cs="Arial"/>
        </w:rPr>
        <w:t xml:space="preserve"> concentrations by monitoring site</w:t>
      </w:r>
    </w:p>
    <w:p w:rsidR="00537F0A" w:rsidRPr="006F1D04" w:rsidRDefault="00537F0A" w:rsidP="00537F0A">
      <w:pPr>
        <w:spacing w:after="200" w:line="240" w:lineRule="auto"/>
        <w:rPr>
          <w:rFonts w:ascii="Arial" w:hAnsi="Arial" w:cs="Arial"/>
        </w:rPr>
      </w:pPr>
    </w:p>
    <w:p w:rsidR="00537F0A" w:rsidRPr="006F1D04" w:rsidRDefault="00537F0A" w:rsidP="00537F0A">
      <w:pPr>
        <w:rPr>
          <w:rFonts w:ascii="Arial" w:hAnsi="Arial" w:cs="Arial"/>
        </w:rPr>
      </w:pPr>
    </w:p>
    <w:p w:rsidR="00537F0A" w:rsidRPr="006F1D04" w:rsidRDefault="00537F0A" w:rsidP="00A81146">
      <w:pPr>
        <w:rPr>
          <w:rFonts w:ascii="Arial" w:hAnsi="Arial" w:cs="Arial"/>
          <w:b/>
          <w:lang w:eastAsia="en-US"/>
        </w:rPr>
      </w:pPr>
    </w:p>
    <w:p w:rsidR="00F57806" w:rsidRPr="006F1D04" w:rsidRDefault="00F57806" w:rsidP="00F57806">
      <w:pPr>
        <w:spacing w:after="0"/>
        <w:rPr>
          <w:rFonts w:ascii="Arial" w:hAnsi="Arial" w:cs="Arial"/>
          <w:b/>
          <w:lang w:eastAsia="en-US"/>
        </w:rPr>
      </w:pPr>
    </w:p>
    <w:p w:rsidR="00A81146" w:rsidRPr="006F1D04" w:rsidRDefault="006D7F17" w:rsidP="00F57806">
      <w:pPr>
        <w:jc w:val="center"/>
        <w:rPr>
          <w:rFonts w:ascii="Arial" w:hAnsi="Arial" w:cs="Arial"/>
          <w:lang w:eastAsia="en-US"/>
        </w:rPr>
      </w:pPr>
      <w:r w:rsidRPr="006F1D04">
        <w:rPr>
          <w:rFonts w:ascii="Arial" w:hAnsi="Arial" w:cs="Arial"/>
          <w:noProof/>
        </w:rPr>
        <w:lastRenderedPageBreak/>
        <w:drawing>
          <wp:inline distT="0" distB="0" distL="0" distR="0">
            <wp:extent cx="5693410" cy="7577455"/>
            <wp:effectExtent l="19050" t="19050" r="21590" b="23495"/>
            <wp:docPr id="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39" t="1877" r="4884" b="1416"/>
                    <a:stretch>
                      <a:fillRect/>
                    </a:stretch>
                  </pic:blipFill>
                  <pic:spPr bwMode="auto">
                    <a:xfrm>
                      <a:off x="0" y="0"/>
                      <a:ext cx="5693410" cy="7577455"/>
                    </a:xfrm>
                    <a:prstGeom prst="rect">
                      <a:avLst/>
                    </a:prstGeom>
                    <a:noFill/>
                    <a:ln w="6350" cmpd="sng">
                      <a:solidFill>
                        <a:srgbClr val="0070C0"/>
                      </a:solidFill>
                      <a:miter lim="800000"/>
                      <a:headEnd/>
                      <a:tailEnd/>
                    </a:ln>
                    <a:effectLst/>
                  </pic:spPr>
                </pic:pic>
              </a:graphicData>
            </a:graphic>
          </wp:inline>
        </w:drawing>
      </w:r>
    </w:p>
    <w:p w:rsidR="00A81146" w:rsidRPr="006F1D04" w:rsidRDefault="00A81146" w:rsidP="00A81146">
      <w:pPr>
        <w:pStyle w:val="Caption"/>
        <w:spacing w:before="0" w:after="0"/>
        <w:ind w:left="284" w:right="237"/>
        <w:rPr>
          <w:rFonts w:ascii="Arial" w:hAnsi="Arial" w:cs="Arial"/>
          <w:lang w:eastAsia="en-US"/>
        </w:rPr>
      </w:pPr>
      <w:bookmarkStart w:id="249" w:name="_Ref367108277"/>
      <w:r w:rsidRPr="006F1D04">
        <w:rPr>
          <w:rFonts w:ascii="Arial" w:hAnsi="Arial" w:cs="Arial"/>
        </w:rPr>
        <w:t>Figure</w:t>
      </w:r>
      <w:bookmarkEnd w:id="249"/>
      <w:r w:rsidR="00537F0A" w:rsidRPr="006F1D04">
        <w:rPr>
          <w:rFonts w:ascii="Arial" w:hAnsi="Arial" w:cs="Arial"/>
        </w:rPr>
        <w:t xml:space="preserve"> </w:t>
      </w:r>
      <w:r w:rsidR="00236133" w:rsidRPr="006F1D04">
        <w:rPr>
          <w:rFonts w:ascii="Arial" w:hAnsi="Arial" w:cs="Arial"/>
        </w:rPr>
        <w:t>E.</w:t>
      </w:r>
      <w:r w:rsidR="00537F0A" w:rsidRPr="006F1D04">
        <w:rPr>
          <w:rFonts w:ascii="Arial" w:hAnsi="Arial" w:cs="Arial"/>
        </w:rPr>
        <w:t>8</w:t>
      </w:r>
      <w:r w:rsidRPr="006F1D04">
        <w:rPr>
          <w:rFonts w:ascii="Arial" w:hAnsi="Arial" w:cs="Arial"/>
        </w:rPr>
        <w:t>: Monthly mean PM</w:t>
      </w:r>
      <w:r w:rsidRPr="006F1D04">
        <w:rPr>
          <w:rFonts w:ascii="Arial" w:hAnsi="Arial" w:cs="Arial"/>
          <w:vertAlign w:val="subscript"/>
        </w:rPr>
        <w:t>10</w:t>
      </w:r>
      <w:r w:rsidRPr="006F1D04">
        <w:rPr>
          <w:rFonts w:ascii="Arial" w:hAnsi="Arial" w:cs="Arial"/>
        </w:rPr>
        <w:t xml:space="preserve"> concentration by jurisdiction (shading shows 95% confidence interval; no shading indicates data </w:t>
      </w:r>
      <w:r w:rsidR="00436139" w:rsidRPr="006F1D04">
        <w:rPr>
          <w:rFonts w:ascii="Arial" w:hAnsi="Arial" w:cs="Arial"/>
        </w:rPr>
        <w:t xml:space="preserve">were only available </w:t>
      </w:r>
      <w:r w:rsidRPr="006F1D04">
        <w:rPr>
          <w:rFonts w:ascii="Arial" w:hAnsi="Arial" w:cs="Arial"/>
        </w:rPr>
        <w:t>for one site)</w:t>
      </w:r>
    </w:p>
    <w:p w:rsidR="00A81146" w:rsidRPr="006F1D04" w:rsidRDefault="00A81146" w:rsidP="00A81146">
      <w:pPr>
        <w:spacing w:after="120"/>
        <w:rPr>
          <w:rFonts w:ascii="Arial" w:hAnsi="Arial" w:cs="Arial"/>
          <w:b/>
          <w:lang w:eastAsia="en-US"/>
        </w:rPr>
      </w:pPr>
    </w:p>
    <w:p w:rsidR="00F57806" w:rsidRPr="006F1D04" w:rsidRDefault="00F57806" w:rsidP="00A81146">
      <w:pPr>
        <w:spacing w:after="120"/>
        <w:rPr>
          <w:rFonts w:ascii="Arial" w:hAnsi="Arial" w:cs="Arial"/>
          <w:b/>
          <w:lang w:eastAsia="en-US"/>
        </w:rPr>
      </w:pPr>
    </w:p>
    <w:p w:rsidR="00F57806" w:rsidRPr="006F1D04" w:rsidRDefault="00F57806" w:rsidP="00A81146">
      <w:pPr>
        <w:spacing w:after="120"/>
        <w:rPr>
          <w:rFonts w:ascii="Arial" w:hAnsi="Arial" w:cs="Arial"/>
          <w:b/>
          <w:lang w:eastAsia="en-US"/>
        </w:rPr>
      </w:pPr>
    </w:p>
    <w:p w:rsidR="00A81146" w:rsidRPr="006F1D04" w:rsidRDefault="006D7F17" w:rsidP="00F57806">
      <w:pPr>
        <w:spacing w:line="240" w:lineRule="auto"/>
        <w:jc w:val="center"/>
        <w:rPr>
          <w:rFonts w:ascii="Arial" w:hAnsi="Arial" w:cs="Arial"/>
          <w:color w:val="FF0000"/>
          <w:lang w:eastAsia="en-US"/>
        </w:rPr>
      </w:pPr>
      <w:r w:rsidRPr="006F1D04">
        <w:rPr>
          <w:rFonts w:ascii="Arial" w:hAnsi="Arial" w:cs="Arial"/>
          <w:noProof/>
        </w:rPr>
        <w:lastRenderedPageBreak/>
        <w:drawing>
          <wp:inline distT="0" distB="0" distL="0" distR="0">
            <wp:extent cx="5693410" cy="7656830"/>
            <wp:effectExtent l="19050" t="19050" r="21590" b="2032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07" t="1259" r="4958" b="1442"/>
                    <a:stretch>
                      <a:fillRect/>
                    </a:stretch>
                  </pic:blipFill>
                  <pic:spPr bwMode="auto">
                    <a:xfrm>
                      <a:off x="0" y="0"/>
                      <a:ext cx="5693410" cy="7656830"/>
                    </a:xfrm>
                    <a:prstGeom prst="rect">
                      <a:avLst/>
                    </a:prstGeom>
                    <a:noFill/>
                    <a:ln w="9525" cmpd="sng">
                      <a:solidFill>
                        <a:srgbClr val="0070C0"/>
                      </a:solidFill>
                      <a:miter lim="800000"/>
                      <a:headEnd/>
                      <a:tailEnd/>
                    </a:ln>
                    <a:effectLst/>
                  </pic:spPr>
                </pic:pic>
              </a:graphicData>
            </a:graphic>
          </wp:inline>
        </w:drawing>
      </w:r>
    </w:p>
    <w:p w:rsidR="00A81146" w:rsidRPr="006F1D04" w:rsidRDefault="00A81146" w:rsidP="00A81146">
      <w:pPr>
        <w:pStyle w:val="Caption"/>
        <w:ind w:left="284" w:right="237"/>
        <w:rPr>
          <w:rFonts w:ascii="Arial" w:hAnsi="Arial" w:cs="Arial"/>
          <w:color w:val="FF0000"/>
          <w:lang w:eastAsia="en-US"/>
        </w:rPr>
      </w:pPr>
      <w:bookmarkStart w:id="250" w:name="_Ref367108279"/>
      <w:r w:rsidRPr="006F1D04">
        <w:rPr>
          <w:rFonts w:ascii="Arial" w:hAnsi="Arial" w:cs="Arial"/>
        </w:rPr>
        <w:t>Figure</w:t>
      </w:r>
      <w:bookmarkEnd w:id="250"/>
      <w:r w:rsidR="00537F0A" w:rsidRPr="006F1D04">
        <w:rPr>
          <w:rFonts w:ascii="Arial" w:hAnsi="Arial" w:cs="Arial"/>
        </w:rPr>
        <w:t xml:space="preserve"> </w:t>
      </w:r>
      <w:r w:rsidR="00236133" w:rsidRPr="006F1D04">
        <w:rPr>
          <w:rFonts w:ascii="Arial" w:hAnsi="Arial" w:cs="Arial"/>
        </w:rPr>
        <w:t>E.</w:t>
      </w:r>
      <w:r w:rsidR="00537F0A" w:rsidRPr="006F1D04">
        <w:rPr>
          <w:rFonts w:ascii="Arial" w:hAnsi="Arial" w:cs="Arial"/>
        </w:rPr>
        <w:t>9</w:t>
      </w:r>
      <w:r w:rsidRPr="006F1D04">
        <w:rPr>
          <w:rFonts w:ascii="Arial" w:hAnsi="Arial" w:cs="Arial"/>
        </w:rPr>
        <w:t>: Monthly mean PM</w:t>
      </w:r>
      <w:r w:rsidRPr="006F1D04">
        <w:rPr>
          <w:rFonts w:ascii="Arial" w:hAnsi="Arial" w:cs="Arial"/>
          <w:vertAlign w:val="subscript"/>
        </w:rPr>
        <w:t>2.5</w:t>
      </w:r>
      <w:r w:rsidRPr="006F1D04">
        <w:rPr>
          <w:rFonts w:ascii="Arial" w:hAnsi="Arial" w:cs="Arial"/>
        </w:rPr>
        <w:t xml:space="preserve"> concentration by jurisdiction (shading shows 95% confidence interval; no shading indicates data</w:t>
      </w:r>
      <w:r w:rsidR="00436139" w:rsidRPr="006F1D04">
        <w:rPr>
          <w:rFonts w:ascii="Arial" w:hAnsi="Arial" w:cs="Arial"/>
        </w:rPr>
        <w:t xml:space="preserve"> were only available</w:t>
      </w:r>
      <w:r w:rsidRPr="006F1D04">
        <w:rPr>
          <w:rFonts w:ascii="Arial" w:hAnsi="Arial" w:cs="Arial"/>
        </w:rPr>
        <w:t xml:space="preserve"> for one site)</w:t>
      </w:r>
    </w:p>
    <w:p w:rsidR="00A81146" w:rsidRPr="006F1D04" w:rsidRDefault="00A81146" w:rsidP="00A81146">
      <w:pPr>
        <w:spacing w:after="200" w:line="240" w:lineRule="auto"/>
        <w:rPr>
          <w:rFonts w:ascii="Arial" w:hAnsi="Arial" w:cs="Arial"/>
          <w:color w:val="FF0000"/>
          <w:lang w:eastAsia="en-US"/>
        </w:rPr>
      </w:pPr>
    </w:p>
    <w:p w:rsidR="00A81146" w:rsidRPr="006F1D04" w:rsidRDefault="00A81146" w:rsidP="00A81146">
      <w:pPr>
        <w:spacing w:after="200" w:line="240" w:lineRule="auto"/>
        <w:rPr>
          <w:rFonts w:ascii="Arial" w:hAnsi="Arial" w:cs="Arial"/>
          <w:color w:val="FF0000"/>
          <w:lang w:eastAsia="en-US"/>
        </w:rPr>
      </w:pPr>
    </w:p>
    <w:p w:rsidR="00A81146" w:rsidRPr="006F1D04" w:rsidRDefault="006D7F17" w:rsidP="00F57806">
      <w:pPr>
        <w:spacing w:line="240" w:lineRule="auto"/>
        <w:jc w:val="center"/>
        <w:rPr>
          <w:rFonts w:ascii="Arial" w:hAnsi="Arial" w:cs="Arial"/>
          <w:color w:val="FF0000"/>
          <w:lang w:eastAsia="en-US"/>
        </w:rPr>
      </w:pPr>
      <w:r w:rsidRPr="006F1D04">
        <w:rPr>
          <w:rFonts w:ascii="Arial" w:hAnsi="Arial" w:cs="Arial"/>
          <w:noProof/>
        </w:rPr>
        <w:lastRenderedPageBreak/>
        <w:drawing>
          <wp:inline distT="0" distB="0" distL="0" distR="0">
            <wp:extent cx="5693410" cy="7609205"/>
            <wp:effectExtent l="19050" t="19050" r="21590" b="10795"/>
            <wp:docPr id="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08" t="2174" r="4781" b="1416"/>
                    <a:stretch>
                      <a:fillRect/>
                    </a:stretch>
                  </pic:blipFill>
                  <pic:spPr bwMode="auto">
                    <a:xfrm>
                      <a:off x="0" y="0"/>
                      <a:ext cx="5693410" cy="7609205"/>
                    </a:xfrm>
                    <a:prstGeom prst="rect">
                      <a:avLst/>
                    </a:prstGeom>
                    <a:noFill/>
                    <a:ln w="6350" cmpd="sng">
                      <a:solidFill>
                        <a:srgbClr val="0070C0"/>
                      </a:solidFill>
                      <a:miter lim="800000"/>
                      <a:headEnd/>
                      <a:tailEnd/>
                    </a:ln>
                    <a:effectLst/>
                  </pic:spPr>
                </pic:pic>
              </a:graphicData>
            </a:graphic>
          </wp:inline>
        </w:drawing>
      </w:r>
    </w:p>
    <w:p w:rsidR="00A81146" w:rsidRPr="006F1D04" w:rsidRDefault="00A81146" w:rsidP="00A81146">
      <w:pPr>
        <w:pStyle w:val="Caption"/>
        <w:tabs>
          <w:tab w:val="left" w:pos="8647"/>
        </w:tabs>
        <w:ind w:left="284" w:right="379"/>
        <w:rPr>
          <w:rFonts w:ascii="Arial" w:hAnsi="Arial" w:cs="Arial"/>
          <w:color w:val="FF0000"/>
          <w:lang w:eastAsia="en-US"/>
        </w:rPr>
      </w:pPr>
      <w:bookmarkStart w:id="251" w:name="_Ref367256569"/>
      <w:r w:rsidRPr="006F1D04">
        <w:rPr>
          <w:rFonts w:ascii="Arial" w:hAnsi="Arial" w:cs="Arial"/>
        </w:rPr>
        <w:t>Figure</w:t>
      </w:r>
      <w:bookmarkEnd w:id="251"/>
      <w:r w:rsidR="00537F0A" w:rsidRPr="006F1D04">
        <w:rPr>
          <w:rFonts w:ascii="Arial" w:hAnsi="Arial" w:cs="Arial"/>
        </w:rPr>
        <w:t xml:space="preserve"> </w:t>
      </w:r>
      <w:r w:rsidR="00236133" w:rsidRPr="006F1D04">
        <w:rPr>
          <w:rFonts w:ascii="Arial" w:hAnsi="Arial" w:cs="Arial"/>
        </w:rPr>
        <w:t>E.</w:t>
      </w:r>
      <w:r w:rsidR="00537F0A" w:rsidRPr="006F1D04">
        <w:rPr>
          <w:rFonts w:ascii="Arial" w:hAnsi="Arial" w:cs="Arial"/>
        </w:rPr>
        <w:t>10</w:t>
      </w:r>
      <w:r w:rsidRPr="006F1D04">
        <w:rPr>
          <w:rFonts w:ascii="Arial" w:hAnsi="Arial" w:cs="Arial"/>
        </w:rPr>
        <w:t>: Monthly mean PM</w:t>
      </w:r>
      <w:r w:rsidRPr="006F1D04">
        <w:rPr>
          <w:rFonts w:ascii="Arial" w:hAnsi="Arial" w:cs="Arial"/>
          <w:vertAlign w:val="subscript"/>
        </w:rPr>
        <w:t>2.5</w:t>
      </w:r>
      <w:r w:rsidRPr="006F1D04">
        <w:rPr>
          <w:rFonts w:ascii="Arial" w:hAnsi="Arial" w:cs="Arial"/>
        </w:rPr>
        <w:t>:PM</w:t>
      </w:r>
      <w:r w:rsidRPr="006F1D04">
        <w:rPr>
          <w:rFonts w:ascii="Arial" w:hAnsi="Arial" w:cs="Arial"/>
          <w:vertAlign w:val="subscript"/>
        </w:rPr>
        <w:t>10</w:t>
      </w:r>
      <w:r w:rsidRPr="006F1D04">
        <w:rPr>
          <w:rFonts w:ascii="Arial" w:hAnsi="Arial" w:cs="Arial"/>
        </w:rPr>
        <w:t xml:space="preserve"> ratio by jurisdiction (shading shows 95% confidence interval; no shading indicates data </w:t>
      </w:r>
      <w:r w:rsidR="00436139" w:rsidRPr="006F1D04">
        <w:rPr>
          <w:rFonts w:ascii="Arial" w:hAnsi="Arial" w:cs="Arial"/>
        </w:rPr>
        <w:t xml:space="preserve">were only available </w:t>
      </w:r>
      <w:r w:rsidRPr="006F1D04">
        <w:rPr>
          <w:rFonts w:ascii="Arial" w:hAnsi="Arial" w:cs="Arial"/>
        </w:rPr>
        <w:t>for one site)</w:t>
      </w:r>
    </w:p>
    <w:p w:rsidR="00A81146" w:rsidRPr="006F1D04" w:rsidRDefault="00A81146" w:rsidP="00A81146">
      <w:pPr>
        <w:spacing w:after="0" w:line="240" w:lineRule="auto"/>
        <w:rPr>
          <w:rFonts w:ascii="Arial" w:hAnsi="Arial" w:cs="Arial"/>
          <w:color w:val="FF0000"/>
          <w:sz w:val="4"/>
          <w:szCs w:val="4"/>
          <w:lang w:eastAsia="en-US"/>
        </w:rPr>
      </w:pPr>
    </w:p>
    <w:p w:rsidR="00A81146" w:rsidRPr="006F1D04" w:rsidRDefault="00F41392" w:rsidP="00F57806">
      <w:pPr>
        <w:pStyle w:val="Heading7"/>
        <w:rPr>
          <w:rFonts w:ascii="Arial" w:hAnsi="Arial"/>
          <w:lang w:eastAsia="en-US"/>
        </w:rPr>
      </w:pPr>
      <w:r w:rsidRPr="006F1D04">
        <w:rPr>
          <w:rFonts w:ascii="Arial" w:hAnsi="Arial"/>
          <w:lang w:eastAsia="en-US"/>
        </w:rPr>
        <w:br w:type="page"/>
      </w:r>
      <w:bookmarkStart w:id="252" w:name="_Toc394011183"/>
      <w:r w:rsidR="00A81146" w:rsidRPr="006F1D04">
        <w:rPr>
          <w:rFonts w:ascii="Arial" w:hAnsi="Arial"/>
          <w:lang w:eastAsia="en-US"/>
        </w:rPr>
        <w:lastRenderedPageBreak/>
        <w:t>Daily trends</w:t>
      </w:r>
      <w:bookmarkEnd w:id="252"/>
    </w:p>
    <w:p w:rsidR="00A81146" w:rsidRPr="006F1D04" w:rsidRDefault="00A81146" w:rsidP="00537F0A">
      <w:pPr>
        <w:spacing w:after="360"/>
        <w:rPr>
          <w:rFonts w:ascii="Arial" w:hAnsi="Arial" w:cs="Arial"/>
          <w:lang w:eastAsia="en-US"/>
        </w:rPr>
      </w:pPr>
      <w:r w:rsidRPr="006F1D04">
        <w:rPr>
          <w:rFonts w:ascii="Arial" w:hAnsi="Arial" w:cs="Arial"/>
          <w:lang w:eastAsia="en-US"/>
        </w:rPr>
        <w:t>The average concentrations of PM</w:t>
      </w:r>
      <w:r w:rsidRPr="006F1D04">
        <w:rPr>
          <w:rFonts w:ascii="Arial" w:hAnsi="Arial" w:cs="Arial"/>
          <w:vertAlign w:val="subscript"/>
          <w:lang w:eastAsia="en-US"/>
        </w:rPr>
        <w:t>10</w:t>
      </w:r>
      <w:r w:rsidRPr="006F1D04">
        <w:rPr>
          <w:rFonts w:ascii="Arial" w:hAnsi="Arial" w:cs="Arial"/>
          <w:lang w:eastAsia="en-US"/>
        </w:rPr>
        <w:t xml:space="preserve"> and PM</w:t>
      </w:r>
      <w:r w:rsidRPr="006F1D04">
        <w:rPr>
          <w:rFonts w:ascii="Arial" w:hAnsi="Arial" w:cs="Arial"/>
          <w:vertAlign w:val="subscript"/>
          <w:lang w:eastAsia="en-US"/>
        </w:rPr>
        <w:t>2.5</w:t>
      </w:r>
      <w:r w:rsidRPr="006F1D04">
        <w:rPr>
          <w:rFonts w:ascii="Arial" w:hAnsi="Arial" w:cs="Arial"/>
          <w:lang w:eastAsia="en-US"/>
        </w:rPr>
        <w:t xml:space="preserve"> for each day of the week were also determined, and some examples (for NSW) are shown in</w:t>
      </w:r>
      <w:r w:rsidR="00F57806" w:rsidRPr="006F1D04">
        <w:rPr>
          <w:rFonts w:ascii="Arial" w:hAnsi="Arial" w:cs="Arial"/>
          <w:b/>
          <w:lang w:eastAsia="en-US"/>
        </w:rPr>
        <w:t xml:space="preserve"> Figure </w:t>
      </w:r>
      <w:r w:rsidR="00436139" w:rsidRPr="006F1D04">
        <w:rPr>
          <w:rFonts w:ascii="Arial" w:hAnsi="Arial" w:cs="Arial"/>
          <w:b/>
          <w:lang w:eastAsia="en-US"/>
        </w:rPr>
        <w:t>E.11</w:t>
      </w:r>
      <w:r w:rsidRPr="006F1D04">
        <w:rPr>
          <w:rFonts w:ascii="Arial" w:hAnsi="Arial" w:cs="Arial"/>
          <w:b/>
          <w:lang w:eastAsia="en-US"/>
        </w:rPr>
        <w:t>.</w:t>
      </w:r>
      <w:r w:rsidRPr="006F1D04">
        <w:rPr>
          <w:rFonts w:ascii="Arial" w:hAnsi="Arial" w:cs="Arial"/>
          <w:lang w:eastAsia="en-US"/>
        </w:rPr>
        <w:t xml:space="preserve"> The patterns in the other jurisdictions were broadly similar to those shown below. The day of the week tended to have relatively little influence on the concentration, although the highest concentrations were generally observed in the middle of the week.</w:t>
      </w:r>
      <w:r w:rsidR="004B4989" w:rsidRPr="006F1D04">
        <w:rPr>
          <w:rFonts w:ascii="Arial" w:hAnsi="Arial" w:cs="Arial"/>
          <w:lang w:eastAsia="en-US"/>
        </w:rPr>
        <w:t xml:space="preserve"> </w:t>
      </w:r>
    </w:p>
    <w:p w:rsidR="00A81146" w:rsidRPr="006F1D04" w:rsidRDefault="006D7F17" w:rsidP="00A81146">
      <w:pPr>
        <w:spacing w:after="120" w:line="240" w:lineRule="auto"/>
        <w:jc w:val="center"/>
        <w:rPr>
          <w:rFonts w:ascii="Arial" w:hAnsi="Arial" w:cs="Arial"/>
          <w:color w:val="FF0000"/>
          <w:lang w:eastAsia="en-US"/>
        </w:rPr>
      </w:pPr>
      <w:r w:rsidRPr="006F1D04">
        <w:rPr>
          <w:rFonts w:ascii="Arial" w:hAnsi="Arial" w:cs="Arial"/>
          <w:noProof/>
        </w:rPr>
        <w:drawing>
          <wp:inline distT="0" distB="0" distL="0" distR="0">
            <wp:extent cx="5518150" cy="2472690"/>
            <wp:effectExtent l="19050" t="19050" r="25400" b="22860"/>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73" t="2802" r="1291" b="2997"/>
                    <a:stretch>
                      <a:fillRect/>
                    </a:stretch>
                  </pic:blipFill>
                  <pic:spPr bwMode="auto">
                    <a:xfrm>
                      <a:off x="0" y="0"/>
                      <a:ext cx="5518150" cy="2472690"/>
                    </a:xfrm>
                    <a:prstGeom prst="rect">
                      <a:avLst/>
                    </a:prstGeom>
                    <a:noFill/>
                    <a:ln w="6350" cmpd="sng">
                      <a:solidFill>
                        <a:srgbClr val="0070C0"/>
                      </a:solidFill>
                      <a:miter lim="800000"/>
                      <a:headEnd/>
                      <a:tailEnd/>
                    </a:ln>
                    <a:effectLst/>
                  </pic:spPr>
                </pic:pic>
              </a:graphicData>
            </a:graphic>
          </wp:inline>
        </w:drawing>
      </w:r>
    </w:p>
    <w:p w:rsidR="00A81146" w:rsidRPr="006F1D04" w:rsidRDefault="00A81146" w:rsidP="00A81146">
      <w:pPr>
        <w:pStyle w:val="Caption"/>
        <w:tabs>
          <w:tab w:val="left" w:pos="8080"/>
        </w:tabs>
        <w:ind w:left="851" w:right="946"/>
        <w:rPr>
          <w:rFonts w:ascii="Arial" w:hAnsi="Arial" w:cs="Arial"/>
          <w:color w:val="FF0000"/>
          <w:lang w:eastAsia="en-US"/>
        </w:rPr>
      </w:pPr>
      <w:bookmarkStart w:id="253" w:name="_Ref367174478"/>
      <w:r w:rsidRPr="006F1D04">
        <w:rPr>
          <w:rFonts w:ascii="Arial" w:hAnsi="Arial" w:cs="Arial"/>
        </w:rPr>
        <w:t>Figure</w:t>
      </w:r>
      <w:bookmarkEnd w:id="253"/>
      <w:r w:rsidR="00F57806" w:rsidRPr="006F1D04">
        <w:rPr>
          <w:rFonts w:ascii="Arial" w:hAnsi="Arial" w:cs="Arial"/>
        </w:rPr>
        <w:t xml:space="preserve"> </w:t>
      </w:r>
      <w:r w:rsidR="00436139" w:rsidRPr="006F1D04">
        <w:rPr>
          <w:rFonts w:ascii="Arial" w:hAnsi="Arial" w:cs="Arial"/>
        </w:rPr>
        <w:t>E.11</w:t>
      </w:r>
      <w:r w:rsidRPr="006F1D04">
        <w:rPr>
          <w:rFonts w:ascii="Arial" w:hAnsi="Arial" w:cs="Arial"/>
        </w:rPr>
        <w:t>: Mean PM</w:t>
      </w:r>
      <w:r w:rsidRPr="006F1D04">
        <w:rPr>
          <w:rFonts w:ascii="Arial" w:hAnsi="Arial" w:cs="Arial"/>
          <w:vertAlign w:val="subscript"/>
        </w:rPr>
        <w:t>10</w:t>
      </w:r>
      <w:r w:rsidRPr="006F1D04">
        <w:rPr>
          <w:rFonts w:ascii="Arial" w:hAnsi="Arial" w:cs="Arial"/>
        </w:rPr>
        <w:t xml:space="preserve"> and PM</w:t>
      </w:r>
      <w:r w:rsidRPr="006F1D04">
        <w:rPr>
          <w:rFonts w:ascii="Arial" w:hAnsi="Arial" w:cs="Arial"/>
          <w:vertAlign w:val="subscript"/>
        </w:rPr>
        <w:t>2.5</w:t>
      </w:r>
      <w:r w:rsidRPr="006F1D04">
        <w:rPr>
          <w:rFonts w:ascii="Arial" w:hAnsi="Arial" w:cs="Arial"/>
        </w:rPr>
        <w:t xml:space="preserve"> concentration by day of the week </w:t>
      </w:r>
      <w:r w:rsidR="00436139" w:rsidRPr="006F1D04">
        <w:rPr>
          <w:rFonts w:ascii="Arial" w:hAnsi="Arial" w:cs="Arial"/>
        </w:rPr>
        <w:t>–</w:t>
      </w:r>
      <w:r w:rsidRPr="006F1D04">
        <w:rPr>
          <w:rFonts w:ascii="Arial" w:hAnsi="Arial" w:cs="Arial"/>
        </w:rPr>
        <w:t xml:space="preserve"> NSW (shading shows 95% confidence interval)</w:t>
      </w:r>
    </w:p>
    <w:p w:rsidR="00F57806" w:rsidRPr="006F1D04" w:rsidRDefault="00F57806" w:rsidP="00F57806">
      <w:pPr>
        <w:rPr>
          <w:rFonts w:ascii="Arial" w:hAnsi="Arial" w:cs="Arial"/>
        </w:rPr>
      </w:pPr>
    </w:p>
    <w:p w:rsidR="00A81146" w:rsidRPr="006F1D04" w:rsidRDefault="00A81146" w:rsidP="00F57806">
      <w:pPr>
        <w:pStyle w:val="Heading7"/>
        <w:rPr>
          <w:rFonts w:ascii="Arial" w:hAnsi="Arial"/>
        </w:rPr>
      </w:pPr>
      <w:bookmarkStart w:id="254" w:name="_Toc394011184"/>
      <w:r w:rsidRPr="006F1D04">
        <w:rPr>
          <w:rFonts w:ascii="Arial" w:hAnsi="Arial"/>
        </w:rPr>
        <w:t>Geographical variations</w:t>
      </w:r>
      <w:bookmarkEnd w:id="254"/>
    </w:p>
    <w:p w:rsidR="00A81146" w:rsidRPr="006F1D04" w:rsidRDefault="00A81146" w:rsidP="00A81146">
      <w:pPr>
        <w:spacing w:after="360"/>
        <w:rPr>
          <w:rFonts w:ascii="Arial" w:hAnsi="Arial" w:cs="Arial"/>
          <w:lang w:eastAsia="en-US"/>
        </w:rPr>
      </w:pPr>
      <w:r w:rsidRPr="006F1D04">
        <w:rPr>
          <w:rFonts w:ascii="Arial" w:hAnsi="Arial" w:cs="Arial"/>
          <w:lang w:eastAsia="en-US"/>
        </w:rPr>
        <w:t>Overall annual mean PM</w:t>
      </w:r>
      <w:r w:rsidRPr="006F1D04">
        <w:rPr>
          <w:rFonts w:ascii="Arial" w:hAnsi="Arial" w:cs="Arial"/>
          <w:vertAlign w:val="subscript"/>
          <w:lang w:eastAsia="en-US"/>
        </w:rPr>
        <w:t>10</w:t>
      </w:r>
      <w:r w:rsidRPr="006F1D04">
        <w:rPr>
          <w:rFonts w:ascii="Arial" w:hAnsi="Arial" w:cs="Arial"/>
          <w:lang w:eastAsia="en-US"/>
        </w:rPr>
        <w:t xml:space="preserve"> and PM</w:t>
      </w:r>
      <w:r w:rsidRPr="006F1D04">
        <w:rPr>
          <w:rFonts w:ascii="Arial" w:hAnsi="Arial" w:cs="Arial"/>
          <w:vertAlign w:val="subscript"/>
          <w:lang w:eastAsia="en-US"/>
        </w:rPr>
        <w:t>2.5</w:t>
      </w:r>
      <w:r w:rsidRPr="006F1D04">
        <w:rPr>
          <w:rFonts w:ascii="Arial" w:hAnsi="Arial" w:cs="Arial"/>
          <w:lang w:eastAsia="en-US"/>
        </w:rPr>
        <w:t xml:space="preserve"> concentrations were calculated for different regions and urban areas. The results are shown in </w:t>
      </w:r>
      <w:r w:rsidR="00F57806" w:rsidRPr="006F1D04">
        <w:rPr>
          <w:rFonts w:ascii="Arial" w:hAnsi="Arial" w:cs="Arial"/>
          <w:b/>
          <w:lang w:eastAsia="en-US"/>
        </w:rPr>
        <w:t xml:space="preserve">Figure </w:t>
      </w:r>
      <w:r w:rsidR="00236133" w:rsidRPr="006F1D04">
        <w:rPr>
          <w:rFonts w:ascii="Arial" w:hAnsi="Arial" w:cs="Arial"/>
          <w:b/>
          <w:lang w:eastAsia="en-US"/>
        </w:rPr>
        <w:t>E.</w:t>
      </w:r>
      <w:r w:rsidR="00436139" w:rsidRPr="006F1D04">
        <w:rPr>
          <w:rFonts w:ascii="Arial" w:hAnsi="Arial" w:cs="Arial"/>
          <w:b/>
          <w:lang w:eastAsia="en-US"/>
        </w:rPr>
        <w:t xml:space="preserve">12 </w:t>
      </w:r>
      <w:r w:rsidRPr="006F1D04">
        <w:rPr>
          <w:rFonts w:ascii="Arial" w:hAnsi="Arial" w:cs="Arial"/>
          <w:lang w:eastAsia="en-US"/>
        </w:rPr>
        <w:t>and</w:t>
      </w:r>
      <w:r w:rsidR="00F57806" w:rsidRPr="006F1D04">
        <w:rPr>
          <w:rFonts w:ascii="Arial" w:hAnsi="Arial" w:cs="Arial"/>
          <w:b/>
          <w:lang w:eastAsia="en-US"/>
        </w:rPr>
        <w:t xml:space="preserve"> Figure </w:t>
      </w:r>
      <w:r w:rsidR="00236133" w:rsidRPr="006F1D04">
        <w:rPr>
          <w:rFonts w:ascii="Arial" w:hAnsi="Arial" w:cs="Arial"/>
          <w:b/>
          <w:lang w:eastAsia="en-US"/>
        </w:rPr>
        <w:t>E.</w:t>
      </w:r>
      <w:r w:rsidR="00436139" w:rsidRPr="006F1D04">
        <w:rPr>
          <w:rFonts w:ascii="Arial" w:hAnsi="Arial" w:cs="Arial"/>
          <w:b/>
          <w:lang w:eastAsia="en-US"/>
        </w:rPr>
        <w:t>13</w:t>
      </w:r>
      <w:r w:rsidRPr="006F1D04">
        <w:rPr>
          <w:rFonts w:ascii="Arial" w:hAnsi="Arial" w:cs="Arial"/>
          <w:lang w:eastAsia="en-US"/>
        </w:rPr>
        <w:t>. It should be noted that these values have been calculated for the available data over the period 2003</w:t>
      </w:r>
      <w:r w:rsidR="00436139" w:rsidRPr="006F1D04">
        <w:rPr>
          <w:rFonts w:ascii="Arial" w:hAnsi="Arial" w:cs="Arial"/>
          <w:lang w:eastAsia="en-US"/>
        </w:rPr>
        <w:t>–</w:t>
      </w:r>
      <w:r w:rsidRPr="006F1D04">
        <w:rPr>
          <w:rFonts w:ascii="Arial" w:hAnsi="Arial" w:cs="Arial"/>
          <w:lang w:eastAsia="en-US"/>
        </w:rPr>
        <w:t xml:space="preserve">2012, and the number of years of valid data per site varies considerably. </w:t>
      </w:r>
      <w:r w:rsidR="00342A0E" w:rsidRPr="006F1D04">
        <w:rPr>
          <w:rFonts w:ascii="Arial" w:hAnsi="Arial" w:cs="Arial"/>
          <w:lang w:eastAsia="en-US"/>
        </w:rPr>
        <w:t>T</w:t>
      </w:r>
      <w:r w:rsidRPr="006F1D04">
        <w:rPr>
          <w:rFonts w:ascii="Arial" w:hAnsi="Arial" w:cs="Arial"/>
          <w:lang w:eastAsia="en-US"/>
        </w:rPr>
        <w:t>he number of monitoring sites for each data point varies from one per year (</w:t>
      </w:r>
      <w:r w:rsidR="009334F4" w:rsidRPr="006F1D04">
        <w:rPr>
          <w:rFonts w:ascii="Arial" w:hAnsi="Arial" w:cs="Arial"/>
          <w:lang w:eastAsia="en-US"/>
        </w:rPr>
        <w:t>e.g.</w:t>
      </w:r>
      <w:r w:rsidRPr="006F1D04">
        <w:rPr>
          <w:rFonts w:ascii="Arial" w:hAnsi="Arial" w:cs="Arial"/>
          <w:lang w:eastAsia="en-US"/>
        </w:rPr>
        <w:t xml:space="preserve"> Hobart) to around 12 per year (</w:t>
      </w:r>
      <w:r w:rsidR="009334F4" w:rsidRPr="006F1D04">
        <w:rPr>
          <w:rFonts w:ascii="Arial" w:hAnsi="Arial" w:cs="Arial"/>
          <w:lang w:eastAsia="en-US"/>
        </w:rPr>
        <w:t>e.g.</w:t>
      </w:r>
      <w:r w:rsidRPr="006F1D04">
        <w:rPr>
          <w:rFonts w:ascii="Arial" w:hAnsi="Arial" w:cs="Arial"/>
          <w:lang w:eastAsia="en-US"/>
        </w:rPr>
        <w:t xml:space="preserve"> Sydney), and different monitoring instruments are used in different jurisdictions. Nevertheless, there is a level of consistency from jurisdiction to jurisdiction; no single state or territory stands out as having very high or very low concentrations. It was observed by </w:t>
      </w:r>
      <w:r w:rsidRPr="006F1D04">
        <w:rPr>
          <w:rFonts w:ascii="Arial" w:hAnsi="Arial" w:cs="Arial"/>
          <w:b/>
          <w:lang w:eastAsia="en-US"/>
        </w:rPr>
        <w:t>DSEWPC (2011)</w:t>
      </w:r>
      <w:r w:rsidRPr="006F1D04">
        <w:rPr>
          <w:rFonts w:ascii="Arial" w:hAnsi="Arial" w:cs="Arial"/>
          <w:lang w:eastAsia="en-US"/>
        </w:rPr>
        <w:t xml:space="preserve"> that PM levels tend to be slightly higher in regional cities in south-eastern Australia than in the capital cities, and to some extent this is reflected in the data presented here for NSW. DSEWPC credit this to the effects of bush fires, dust storms, planned burning and the use of wood for domestic heating.</w:t>
      </w:r>
    </w:p>
    <w:p w:rsidR="00A81146" w:rsidRPr="006F1D04" w:rsidRDefault="006D7F17" w:rsidP="00A81146">
      <w:pPr>
        <w:spacing w:after="120" w:line="240" w:lineRule="auto"/>
        <w:jc w:val="center"/>
        <w:rPr>
          <w:rFonts w:ascii="Arial" w:hAnsi="Arial" w:cs="Arial"/>
        </w:rPr>
      </w:pPr>
      <w:r w:rsidRPr="006F1D04">
        <w:rPr>
          <w:rFonts w:ascii="Arial" w:hAnsi="Arial" w:cs="Arial"/>
          <w:noProof/>
        </w:rPr>
        <w:lastRenderedPageBreak/>
        <w:drawing>
          <wp:inline distT="0" distB="0" distL="0" distR="0">
            <wp:extent cx="5224145" cy="2870200"/>
            <wp:effectExtent l="19050" t="19050" r="14605" b="25400"/>
            <wp:docPr id="5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4145" cy="2870200"/>
                    </a:xfrm>
                    <a:prstGeom prst="rect">
                      <a:avLst/>
                    </a:prstGeom>
                    <a:noFill/>
                    <a:ln w="6350" cmpd="sng">
                      <a:solidFill>
                        <a:srgbClr val="0070C0"/>
                      </a:solidFill>
                      <a:miter lim="800000"/>
                      <a:headEnd/>
                      <a:tailEnd/>
                    </a:ln>
                    <a:effectLst/>
                  </pic:spPr>
                </pic:pic>
              </a:graphicData>
            </a:graphic>
          </wp:inline>
        </w:drawing>
      </w:r>
    </w:p>
    <w:p w:rsidR="00A81146" w:rsidRPr="006F1D04" w:rsidRDefault="00A81146" w:rsidP="00A81146">
      <w:pPr>
        <w:pStyle w:val="Caption"/>
        <w:ind w:left="284" w:right="237"/>
        <w:rPr>
          <w:rFonts w:ascii="Arial" w:hAnsi="Arial" w:cs="Arial"/>
          <w:color w:val="FF0000"/>
          <w:lang w:eastAsia="en-US"/>
        </w:rPr>
      </w:pPr>
      <w:bookmarkStart w:id="255" w:name="_Ref367202758"/>
      <w:r w:rsidRPr="006F1D04">
        <w:rPr>
          <w:rFonts w:ascii="Arial" w:hAnsi="Arial" w:cs="Arial"/>
        </w:rPr>
        <w:t>Figure</w:t>
      </w:r>
      <w:bookmarkEnd w:id="255"/>
      <w:r w:rsidR="00F57806" w:rsidRPr="006F1D04">
        <w:rPr>
          <w:rFonts w:ascii="Arial" w:hAnsi="Arial" w:cs="Arial"/>
        </w:rPr>
        <w:t xml:space="preserve"> </w:t>
      </w:r>
      <w:r w:rsidR="00236133" w:rsidRPr="006F1D04">
        <w:rPr>
          <w:rFonts w:ascii="Arial" w:hAnsi="Arial" w:cs="Arial"/>
        </w:rPr>
        <w:t>E.</w:t>
      </w:r>
      <w:r w:rsidR="00436139" w:rsidRPr="006F1D04">
        <w:rPr>
          <w:rFonts w:ascii="Arial" w:hAnsi="Arial" w:cs="Arial"/>
        </w:rPr>
        <w:t>12</w:t>
      </w:r>
      <w:r w:rsidRPr="006F1D04">
        <w:rPr>
          <w:rFonts w:ascii="Arial" w:hAnsi="Arial" w:cs="Arial"/>
        </w:rPr>
        <w:t>: Annual mean PM</w:t>
      </w:r>
      <w:r w:rsidRPr="006F1D04">
        <w:rPr>
          <w:rFonts w:ascii="Arial" w:hAnsi="Arial" w:cs="Arial"/>
          <w:vertAlign w:val="subscript"/>
        </w:rPr>
        <w:t>10</w:t>
      </w:r>
      <w:r w:rsidRPr="006F1D04">
        <w:rPr>
          <w:rFonts w:ascii="Arial" w:hAnsi="Arial" w:cs="Arial"/>
        </w:rPr>
        <w:t xml:space="preserve"> concentration by location (average for 2003</w:t>
      </w:r>
      <w:r w:rsidR="00436139" w:rsidRPr="006F1D04">
        <w:rPr>
          <w:rFonts w:ascii="Arial" w:hAnsi="Arial" w:cs="Arial"/>
        </w:rPr>
        <w:t>–</w:t>
      </w:r>
      <w:r w:rsidRPr="006F1D04">
        <w:rPr>
          <w:rFonts w:ascii="Arial" w:hAnsi="Arial" w:cs="Arial"/>
        </w:rPr>
        <w:t>2012)</w:t>
      </w:r>
    </w:p>
    <w:p w:rsidR="00A81146" w:rsidRPr="006F1D04" w:rsidRDefault="00A81146" w:rsidP="00A81146">
      <w:pPr>
        <w:spacing w:after="200" w:line="240" w:lineRule="auto"/>
        <w:rPr>
          <w:rFonts w:ascii="Arial" w:hAnsi="Arial" w:cs="Arial"/>
        </w:rPr>
      </w:pPr>
    </w:p>
    <w:p w:rsidR="00A81146" w:rsidRPr="006F1D04" w:rsidRDefault="006D7F17" w:rsidP="00A81146">
      <w:pPr>
        <w:spacing w:after="120" w:line="240" w:lineRule="auto"/>
        <w:jc w:val="center"/>
        <w:rPr>
          <w:rFonts w:ascii="Arial" w:hAnsi="Arial" w:cs="Arial"/>
        </w:rPr>
      </w:pPr>
      <w:r w:rsidRPr="006F1D04">
        <w:rPr>
          <w:rFonts w:ascii="Arial" w:hAnsi="Arial" w:cs="Arial"/>
          <w:noProof/>
        </w:rPr>
        <w:drawing>
          <wp:inline distT="0" distB="0" distL="0" distR="0">
            <wp:extent cx="5215890" cy="2734945"/>
            <wp:effectExtent l="19050" t="19050" r="22860" b="27305"/>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12" b="1404"/>
                    <a:stretch>
                      <a:fillRect/>
                    </a:stretch>
                  </pic:blipFill>
                  <pic:spPr bwMode="auto">
                    <a:xfrm>
                      <a:off x="0" y="0"/>
                      <a:ext cx="5215890" cy="2734945"/>
                    </a:xfrm>
                    <a:prstGeom prst="rect">
                      <a:avLst/>
                    </a:prstGeom>
                    <a:noFill/>
                    <a:ln w="9525" cmpd="sng">
                      <a:solidFill>
                        <a:srgbClr val="0070C0"/>
                      </a:solidFill>
                      <a:miter lim="800000"/>
                      <a:headEnd/>
                      <a:tailEnd/>
                    </a:ln>
                    <a:effectLst/>
                  </pic:spPr>
                </pic:pic>
              </a:graphicData>
            </a:graphic>
          </wp:inline>
        </w:drawing>
      </w:r>
    </w:p>
    <w:p w:rsidR="00A81146" w:rsidRPr="006F1D04" w:rsidRDefault="00A81146" w:rsidP="00A81146">
      <w:pPr>
        <w:pStyle w:val="Caption"/>
        <w:ind w:left="284" w:right="237"/>
        <w:rPr>
          <w:rFonts w:ascii="Arial" w:hAnsi="Arial" w:cs="Arial"/>
          <w:color w:val="FF0000"/>
          <w:lang w:eastAsia="en-US"/>
        </w:rPr>
      </w:pPr>
      <w:bookmarkStart w:id="256" w:name="_Ref367202759"/>
      <w:r w:rsidRPr="006F1D04">
        <w:rPr>
          <w:rFonts w:ascii="Arial" w:hAnsi="Arial" w:cs="Arial"/>
        </w:rPr>
        <w:t>Figure</w:t>
      </w:r>
      <w:bookmarkEnd w:id="256"/>
      <w:r w:rsidR="00F57806" w:rsidRPr="006F1D04">
        <w:rPr>
          <w:rFonts w:ascii="Arial" w:hAnsi="Arial" w:cs="Arial"/>
        </w:rPr>
        <w:t xml:space="preserve"> </w:t>
      </w:r>
      <w:r w:rsidR="00236133" w:rsidRPr="006F1D04">
        <w:rPr>
          <w:rFonts w:ascii="Arial" w:hAnsi="Arial" w:cs="Arial"/>
        </w:rPr>
        <w:t>E.</w:t>
      </w:r>
      <w:r w:rsidR="00436139" w:rsidRPr="006F1D04">
        <w:rPr>
          <w:rFonts w:ascii="Arial" w:hAnsi="Arial" w:cs="Arial"/>
        </w:rPr>
        <w:t>13</w:t>
      </w:r>
      <w:r w:rsidRPr="006F1D04">
        <w:rPr>
          <w:rFonts w:ascii="Arial" w:hAnsi="Arial" w:cs="Arial"/>
        </w:rPr>
        <w:t>: Annual mean PM</w:t>
      </w:r>
      <w:r w:rsidRPr="006F1D04">
        <w:rPr>
          <w:rFonts w:ascii="Arial" w:hAnsi="Arial" w:cs="Arial"/>
          <w:vertAlign w:val="subscript"/>
        </w:rPr>
        <w:t>2.5</w:t>
      </w:r>
      <w:r w:rsidRPr="006F1D04">
        <w:rPr>
          <w:rFonts w:ascii="Arial" w:hAnsi="Arial" w:cs="Arial"/>
        </w:rPr>
        <w:t xml:space="preserve"> concentration by location (average for 2003</w:t>
      </w:r>
      <w:r w:rsidR="00436139" w:rsidRPr="006F1D04">
        <w:rPr>
          <w:rFonts w:ascii="Arial" w:hAnsi="Arial" w:cs="Arial"/>
        </w:rPr>
        <w:t>–</w:t>
      </w:r>
      <w:r w:rsidRPr="006F1D04">
        <w:rPr>
          <w:rFonts w:ascii="Arial" w:hAnsi="Arial" w:cs="Arial"/>
        </w:rPr>
        <w:t>2012)</w:t>
      </w:r>
    </w:p>
    <w:p w:rsidR="00A81146" w:rsidRPr="006F1D04" w:rsidRDefault="00A81146" w:rsidP="00A81146">
      <w:pPr>
        <w:spacing w:after="0" w:line="240" w:lineRule="auto"/>
        <w:rPr>
          <w:rFonts w:ascii="Arial" w:hAnsi="Arial" w:cs="Arial"/>
          <w:sz w:val="4"/>
          <w:szCs w:val="4"/>
        </w:rPr>
      </w:pPr>
    </w:p>
    <w:p w:rsidR="00F57806" w:rsidRPr="006F1D04" w:rsidRDefault="00F57806" w:rsidP="00F57806">
      <w:pPr>
        <w:rPr>
          <w:rFonts w:ascii="Arial" w:hAnsi="Arial" w:cs="Arial"/>
        </w:rPr>
      </w:pPr>
    </w:p>
    <w:p w:rsidR="00A81146" w:rsidRPr="006F1D04" w:rsidRDefault="00CC4524" w:rsidP="00F57806">
      <w:pPr>
        <w:pStyle w:val="Heading7"/>
        <w:rPr>
          <w:rFonts w:ascii="Arial" w:hAnsi="Arial"/>
        </w:rPr>
      </w:pPr>
      <w:r w:rsidRPr="006F1D04">
        <w:rPr>
          <w:rFonts w:ascii="Arial" w:hAnsi="Arial"/>
        </w:rPr>
        <w:br w:type="page"/>
      </w:r>
      <w:bookmarkStart w:id="257" w:name="_Toc394011185"/>
      <w:r w:rsidR="00A81146" w:rsidRPr="006F1D04">
        <w:rPr>
          <w:rFonts w:ascii="Arial" w:hAnsi="Arial"/>
        </w:rPr>
        <w:lastRenderedPageBreak/>
        <w:t>Exceedances of air quality standards</w:t>
      </w:r>
      <w:bookmarkEnd w:id="257"/>
    </w:p>
    <w:p w:rsidR="00A81146" w:rsidRPr="006F1D04" w:rsidRDefault="00A81146" w:rsidP="00F41392">
      <w:pPr>
        <w:spacing w:after="180"/>
        <w:rPr>
          <w:rFonts w:ascii="Arial" w:hAnsi="Arial" w:cs="Arial"/>
          <w:lang w:eastAsia="en-US"/>
        </w:rPr>
      </w:pPr>
      <w:r w:rsidRPr="006F1D04">
        <w:rPr>
          <w:rFonts w:ascii="Arial" w:hAnsi="Arial" w:cs="Arial"/>
          <w:lang w:eastAsia="en-US"/>
        </w:rPr>
        <w:t xml:space="preserve">The exceedances of the current standards </w:t>
      </w:r>
      <w:r w:rsidR="00CC4524" w:rsidRPr="006F1D04">
        <w:rPr>
          <w:rFonts w:ascii="Arial" w:hAnsi="Arial" w:cs="Arial"/>
          <w:lang w:eastAsia="en-US"/>
        </w:rPr>
        <w:t>and goals</w:t>
      </w:r>
      <w:r w:rsidR="00CC4524" w:rsidRPr="006F1D04">
        <w:rPr>
          <w:rStyle w:val="FootnoteReference"/>
          <w:rFonts w:ascii="Arial" w:hAnsi="Arial" w:cs="Arial"/>
          <w:lang w:eastAsia="en-US"/>
        </w:rPr>
        <w:footnoteReference w:id="44"/>
      </w:r>
      <w:r w:rsidR="00CC4524" w:rsidRPr="006F1D04">
        <w:rPr>
          <w:rFonts w:ascii="Arial" w:hAnsi="Arial" w:cs="Arial"/>
          <w:lang w:eastAsia="en-US"/>
        </w:rPr>
        <w:t xml:space="preserve"> </w:t>
      </w:r>
      <w:r w:rsidRPr="006F1D04">
        <w:rPr>
          <w:rFonts w:ascii="Arial" w:hAnsi="Arial" w:cs="Arial"/>
          <w:lang w:eastAsia="en-US"/>
        </w:rPr>
        <w:t>for PM</w:t>
      </w:r>
      <w:r w:rsidRPr="006F1D04">
        <w:rPr>
          <w:rFonts w:ascii="Arial" w:hAnsi="Arial" w:cs="Arial"/>
          <w:vertAlign w:val="subscript"/>
          <w:lang w:eastAsia="en-US"/>
        </w:rPr>
        <w:t>10</w:t>
      </w:r>
      <w:r w:rsidRPr="006F1D04">
        <w:rPr>
          <w:rFonts w:ascii="Arial" w:hAnsi="Arial" w:cs="Arial"/>
          <w:lang w:eastAsia="en-US"/>
        </w:rPr>
        <w:t xml:space="preserve"> and PM</w:t>
      </w:r>
      <w:r w:rsidRPr="006F1D04">
        <w:rPr>
          <w:rFonts w:ascii="Arial" w:hAnsi="Arial" w:cs="Arial"/>
          <w:vertAlign w:val="subscript"/>
          <w:lang w:eastAsia="en-US"/>
        </w:rPr>
        <w:t>2.5</w:t>
      </w:r>
      <w:r w:rsidRPr="006F1D04">
        <w:rPr>
          <w:rFonts w:ascii="Arial" w:hAnsi="Arial" w:cs="Arial"/>
          <w:lang w:eastAsia="en-US"/>
        </w:rPr>
        <w:t xml:space="preserve"> between 2003 and 2012 are shown in </w:t>
      </w:r>
      <w:r w:rsidR="00537F0A" w:rsidRPr="006F1D04">
        <w:rPr>
          <w:rFonts w:ascii="Arial" w:hAnsi="Arial" w:cs="Arial"/>
          <w:b/>
          <w:lang w:eastAsia="en-US"/>
        </w:rPr>
        <w:t xml:space="preserve">Tables </w:t>
      </w:r>
      <w:r w:rsidR="00236133" w:rsidRPr="006F1D04">
        <w:rPr>
          <w:rFonts w:ascii="Arial" w:hAnsi="Arial" w:cs="Arial"/>
          <w:b/>
          <w:lang w:eastAsia="en-US"/>
        </w:rPr>
        <w:t>E.</w:t>
      </w:r>
      <w:r w:rsidR="00537F0A" w:rsidRPr="006F1D04">
        <w:rPr>
          <w:rFonts w:ascii="Arial" w:hAnsi="Arial" w:cs="Arial"/>
          <w:b/>
          <w:lang w:eastAsia="en-US"/>
        </w:rPr>
        <w:t>2</w:t>
      </w:r>
      <w:r w:rsidR="00537F0A" w:rsidRPr="006F1D04">
        <w:rPr>
          <w:rFonts w:ascii="Arial" w:hAnsi="Arial" w:cs="Arial"/>
          <w:lang w:eastAsia="en-US"/>
        </w:rPr>
        <w:t xml:space="preserve"> to </w:t>
      </w:r>
      <w:r w:rsidR="00236133" w:rsidRPr="006F1D04">
        <w:rPr>
          <w:rFonts w:ascii="Arial" w:hAnsi="Arial" w:cs="Arial"/>
          <w:b/>
          <w:lang w:eastAsia="en-US"/>
        </w:rPr>
        <w:t>E.</w:t>
      </w:r>
      <w:r w:rsidR="00537F0A" w:rsidRPr="006F1D04">
        <w:rPr>
          <w:rFonts w:ascii="Arial" w:hAnsi="Arial" w:cs="Arial"/>
          <w:b/>
          <w:lang w:eastAsia="en-US"/>
        </w:rPr>
        <w:t>25</w:t>
      </w:r>
      <w:r w:rsidRPr="006F1D04">
        <w:rPr>
          <w:rFonts w:ascii="Arial" w:hAnsi="Arial" w:cs="Arial"/>
          <w:lang w:eastAsia="en-US"/>
        </w:rPr>
        <w:t>. The following observations apply to the data:</w:t>
      </w:r>
    </w:p>
    <w:p w:rsidR="00A81146" w:rsidRPr="006F1D04" w:rsidRDefault="00A81146" w:rsidP="00F41392">
      <w:pPr>
        <w:pStyle w:val="BulletArrows"/>
        <w:spacing w:after="180"/>
        <w:rPr>
          <w:rFonts w:ascii="Arial" w:hAnsi="Arial"/>
        </w:rPr>
      </w:pPr>
      <w:r w:rsidRPr="006F1D04">
        <w:rPr>
          <w:rFonts w:ascii="Arial" w:hAnsi="Arial"/>
        </w:rPr>
        <w:t>For the 24-hour mean PM</w:t>
      </w:r>
      <w:r w:rsidRPr="006F1D04">
        <w:rPr>
          <w:rFonts w:ascii="Arial" w:hAnsi="Arial"/>
          <w:vertAlign w:val="subscript"/>
        </w:rPr>
        <w:t>10</w:t>
      </w:r>
      <w:r w:rsidRPr="006F1D04">
        <w:rPr>
          <w:rFonts w:ascii="Arial" w:hAnsi="Arial"/>
        </w:rPr>
        <w:t xml:space="preserve"> standard (50 </w:t>
      </w:r>
      <w:proofErr w:type="spellStart"/>
      <w:r w:rsidRPr="006F1D04">
        <w:rPr>
          <w:rFonts w:ascii="Arial" w:hAnsi="Arial"/>
        </w:rPr>
        <w:t>μg</w:t>
      </w:r>
      <w:proofErr w:type="spellEnd"/>
      <w:r w:rsidRPr="006F1D04">
        <w:rPr>
          <w:rFonts w:ascii="Arial" w:hAnsi="Arial"/>
        </w:rPr>
        <w:t>/m</w:t>
      </w:r>
      <w:r w:rsidRPr="006F1D04">
        <w:rPr>
          <w:rFonts w:ascii="Arial" w:hAnsi="Arial"/>
          <w:vertAlign w:val="superscript"/>
        </w:rPr>
        <w:t>3</w:t>
      </w:r>
      <w:r w:rsidRPr="006F1D04">
        <w:rPr>
          <w:rFonts w:ascii="Arial" w:hAnsi="Arial"/>
        </w:rPr>
        <w:t xml:space="preserve">, with </w:t>
      </w:r>
      <w:r w:rsidR="00436139" w:rsidRPr="006F1D04">
        <w:rPr>
          <w:rFonts w:ascii="Arial" w:hAnsi="Arial"/>
        </w:rPr>
        <w:t>five</w:t>
      </w:r>
      <w:r w:rsidRPr="006F1D04">
        <w:rPr>
          <w:rFonts w:ascii="Arial" w:hAnsi="Arial"/>
        </w:rPr>
        <w:t xml:space="preserve"> </w:t>
      </w:r>
      <w:proofErr w:type="spellStart"/>
      <w:r w:rsidRPr="006F1D04">
        <w:rPr>
          <w:rFonts w:ascii="Arial" w:hAnsi="Arial"/>
        </w:rPr>
        <w:t>exceedances</w:t>
      </w:r>
      <w:proofErr w:type="spellEnd"/>
      <w:r w:rsidRPr="006F1D04">
        <w:rPr>
          <w:rFonts w:ascii="Arial" w:hAnsi="Arial"/>
        </w:rPr>
        <w:t xml:space="preserve"> allowed per year):</w:t>
      </w:r>
    </w:p>
    <w:p w:rsidR="00A81146" w:rsidRPr="006F1D04" w:rsidRDefault="00A81146" w:rsidP="00F41392">
      <w:pPr>
        <w:pStyle w:val="BulletArrows"/>
        <w:numPr>
          <w:ilvl w:val="1"/>
          <w:numId w:val="3"/>
        </w:numPr>
        <w:tabs>
          <w:tab w:val="clear" w:pos="1800"/>
          <w:tab w:val="num" w:pos="993"/>
        </w:tabs>
        <w:spacing w:after="180"/>
        <w:ind w:left="993" w:hanging="284"/>
        <w:rPr>
          <w:rFonts w:ascii="Arial" w:hAnsi="Arial"/>
        </w:rPr>
      </w:pPr>
      <w:r w:rsidRPr="006F1D04">
        <w:rPr>
          <w:rFonts w:ascii="Arial" w:hAnsi="Arial"/>
        </w:rPr>
        <w:t xml:space="preserve">Weather, climate and natural events are major factors affecting exceedances. Many monitoring sites had more than </w:t>
      </w:r>
      <w:r w:rsidR="00436139" w:rsidRPr="006F1D04">
        <w:rPr>
          <w:rFonts w:ascii="Arial" w:hAnsi="Arial"/>
        </w:rPr>
        <w:t>five</w:t>
      </w:r>
      <w:r w:rsidRPr="006F1D04">
        <w:rPr>
          <w:rFonts w:ascii="Arial" w:hAnsi="Arial"/>
        </w:rPr>
        <w:t xml:space="preserve"> exceedances in 2009. This was mainly due to warm, dry conditions, combined with an extreme dust event in September. Conversely, there were relatively few exceedances in the cool, wet </w:t>
      </w:r>
      <w:r w:rsidRPr="006F1D04">
        <w:rPr>
          <w:rFonts w:ascii="Arial" w:hAnsi="Arial"/>
          <w:i/>
        </w:rPr>
        <w:t>La Niña</w:t>
      </w:r>
      <w:r w:rsidRPr="006F1D04">
        <w:rPr>
          <w:rFonts w:ascii="Arial" w:hAnsi="Arial"/>
        </w:rPr>
        <w:t xml:space="preserve"> years of 2010 and 2011.</w:t>
      </w:r>
    </w:p>
    <w:p w:rsidR="00A81146" w:rsidRPr="006F1D04" w:rsidRDefault="00A81146" w:rsidP="00F41392">
      <w:pPr>
        <w:pStyle w:val="BulletArrows"/>
        <w:numPr>
          <w:ilvl w:val="1"/>
          <w:numId w:val="3"/>
        </w:numPr>
        <w:tabs>
          <w:tab w:val="clear" w:pos="1800"/>
          <w:tab w:val="num" w:pos="993"/>
        </w:tabs>
        <w:spacing w:after="180"/>
        <w:ind w:left="993" w:hanging="284"/>
        <w:rPr>
          <w:rFonts w:ascii="Arial" w:hAnsi="Arial"/>
        </w:rPr>
      </w:pPr>
      <w:r w:rsidRPr="006F1D04">
        <w:rPr>
          <w:rFonts w:ascii="Arial" w:hAnsi="Arial"/>
        </w:rPr>
        <w:t xml:space="preserve">The state and territory reports on </w:t>
      </w:r>
      <w:r w:rsidR="00EF24F8" w:rsidRPr="006F1D04">
        <w:rPr>
          <w:rFonts w:ascii="Arial" w:hAnsi="Arial"/>
        </w:rPr>
        <w:t>AAQ NEPM</w:t>
      </w:r>
      <w:r w:rsidRPr="006F1D04">
        <w:rPr>
          <w:rFonts w:ascii="Arial" w:hAnsi="Arial"/>
        </w:rPr>
        <w:t xml:space="preserve"> implementation reveal that in the capital cities exceedances are generally limited in number and mainly related to extreme events, on which government air quality improvement programs have very limited effect. However, if anthropogenic emissions were reduced the likelihood of an exceedance when there are extreme events would be reduced.</w:t>
      </w:r>
    </w:p>
    <w:p w:rsidR="00A81146" w:rsidRPr="006F1D04" w:rsidRDefault="00A81146" w:rsidP="00F41392">
      <w:pPr>
        <w:pStyle w:val="BulletArrows"/>
        <w:numPr>
          <w:ilvl w:val="1"/>
          <w:numId w:val="3"/>
        </w:numPr>
        <w:tabs>
          <w:tab w:val="clear" w:pos="1800"/>
          <w:tab w:val="num" w:pos="993"/>
        </w:tabs>
        <w:spacing w:after="180"/>
        <w:ind w:left="993" w:hanging="284"/>
        <w:rPr>
          <w:rFonts w:ascii="Arial" w:hAnsi="Arial"/>
        </w:rPr>
      </w:pPr>
      <w:r w:rsidRPr="006F1D04">
        <w:rPr>
          <w:rFonts w:ascii="Arial" w:hAnsi="Arial"/>
        </w:rPr>
        <w:t xml:space="preserve">Notwithstanding the above, there are no strong </w:t>
      </w:r>
      <w:r w:rsidR="00CC4524" w:rsidRPr="006F1D04">
        <w:rPr>
          <w:rFonts w:ascii="Arial" w:hAnsi="Arial"/>
        </w:rPr>
        <w:t xml:space="preserve">inter-annual </w:t>
      </w:r>
      <w:r w:rsidRPr="006F1D04">
        <w:rPr>
          <w:rFonts w:ascii="Arial" w:hAnsi="Arial"/>
        </w:rPr>
        <w:t>trends in the patterns of exceedance.</w:t>
      </w:r>
    </w:p>
    <w:p w:rsidR="00A81146" w:rsidRPr="006F1D04" w:rsidRDefault="00A81146" w:rsidP="00F41392">
      <w:pPr>
        <w:pStyle w:val="BulletArrows"/>
        <w:numPr>
          <w:ilvl w:val="1"/>
          <w:numId w:val="3"/>
        </w:numPr>
        <w:tabs>
          <w:tab w:val="clear" w:pos="1800"/>
          <w:tab w:val="num" w:pos="993"/>
        </w:tabs>
        <w:spacing w:after="180"/>
        <w:ind w:left="993" w:hanging="284"/>
        <w:rPr>
          <w:rFonts w:ascii="Arial" w:hAnsi="Arial"/>
        </w:rPr>
      </w:pPr>
      <w:r w:rsidRPr="006F1D04">
        <w:rPr>
          <w:rFonts w:ascii="Arial" w:hAnsi="Arial"/>
        </w:rPr>
        <w:t>Such trends are, however, difficult to determine given the changes in instrumentation and monitoring locations.</w:t>
      </w:r>
    </w:p>
    <w:p w:rsidR="00A81146" w:rsidRPr="006F1D04" w:rsidRDefault="00A81146" w:rsidP="00F41392">
      <w:pPr>
        <w:pStyle w:val="BulletArrows"/>
        <w:numPr>
          <w:ilvl w:val="1"/>
          <w:numId w:val="3"/>
        </w:numPr>
        <w:tabs>
          <w:tab w:val="clear" w:pos="1800"/>
          <w:tab w:val="num" w:pos="993"/>
        </w:tabs>
        <w:spacing w:after="180"/>
        <w:ind w:left="993" w:hanging="284"/>
        <w:rPr>
          <w:rFonts w:ascii="Arial" w:hAnsi="Arial"/>
        </w:rPr>
      </w:pPr>
      <w:r w:rsidRPr="006F1D04">
        <w:rPr>
          <w:rFonts w:ascii="Arial" w:hAnsi="Arial"/>
        </w:rPr>
        <w:t>Rural or small urban sites in NSW tend to have more exceedances than urban sites.</w:t>
      </w:r>
    </w:p>
    <w:p w:rsidR="00A81146" w:rsidRPr="006F1D04" w:rsidRDefault="00A81146" w:rsidP="00F41392">
      <w:pPr>
        <w:pStyle w:val="BulletArrows"/>
        <w:numPr>
          <w:ilvl w:val="1"/>
          <w:numId w:val="3"/>
        </w:numPr>
        <w:tabs>
          <w:tab w:val="clear" w:pos="1800"/>
          <w:tab w:val="num" w:pos="993"/>
        </w:tabs>
        <w:spacing w:after="240"/>
        <w:ind w:left="993" w:hanging="284"/>
        <w:rPr>
          <w:rFonts w:ascii="Arial" w:hAnsi="Arial"/>
        </w:rPr>
      </w:pPr>
      <w:r w:rsidRPr="006F1D04">
        <w:rPr>
          <w:rFonts w:ascii="Arial" w:hAnsi="Arial"/>
        </w:rPr>
        <w:t xml:space="preserve">Victoria and SA have a higher frequency of exceedances than the other jurisdictions. </w:t>
      </w:r>
    </w:p>
    <w:p w:rsidR="00A81146" w:rsidRPr="006F1D04" w:rsidRDefault="00A81146" w:rsidP="00F41392">
      <w:pPr>
        <w:pStyle w:val="BulletArrows"/>
        <w:spacing w:after="180"/>
        <w:rPr>
          <w:rFonts w:ascii="Arial" w:hAnsi="Arial"/>
        </w:rPr>
      </w:pPr>
      <w:r w:rsidRPr="006F1D04">
        <w:rPr>
          <w:rFonts w:ascii="Arial" w:hAnsi="Arial"/>
        </w:rPr>
        <w:t>For the advisory annual mean PM</w:t>
      </w:r>
      <w:r w:rsidRPr="006F1D04">
        <w:rPr>
          <w:rFonts w:ascii="Arial" w:hAnsi="Arial"/>
          <w:vertAlign w:val="subscript"/>
        </w:rPr>
        <w:t>2.5</w:t>
      </w:r>
      <w:r w:rsidRPr="006F1D04">
        <w:rPr>
          <w:rFonts w:ascii="Arial" w:hAnsi="Arial"/>
        </w:rPr>
        <w:t xml:space="preserve"> standard (8 </w:t>
      </w:r>
      <w:proofErr w:type="spellStart"/>
      <w:r w:rsidRPr="006F1D04">
        <w:rPr>
          <w:rFonts w:ascii="Arial" w:hAnsi="Arial"/>
        </w:rPr>
        <w:t>μg</w:t>
      </w:r>
      <w:proofErr w:type="spellEnd"/>
      <w:r w:rsidRPr="006F1D04">
        <w:rPr>
          <w:rFonts w:ascii="Arial" w:hAnsi="Arial"/>
        </w:rPr>
        <w:t>/m</w:t>
      </w:r>
      <w:r w:rsidRPr="006F1D04">
        <w:rPr>
          <w:rFonts w:ascii="Arial" w:hAnsi="Arial"/>
          <w:vertAlign w:val="superscript"/>
        </w:rPr>
        <w:t>3</w:t>
      </w:r>
      <w:r w:rsidRPr="006F1D04">
        <w:rPr>
          <w:rFonts w:ascii="Arial" w:hAnsi="Arial"/>
        </w:rPr>
        <w:t>):</w:t>
      </w:r>
    </w:p>
    <w:p w:rsidR="00A81146" w:rsidRPr="006F1D04" w:rsidRDefault="00A81146" w:rsidP="00F41392">
      <w:pPr>
        <w:pStyle w:val="BulletArrows"/>
        <w:numPr>
          <w:ilvl w:val="1"/>
          <w:numId w:val="3"/>
        </w:numPr>
        <w:tabs>
          <w:tab w:val="clear" w:pos="1800"/>
          <w:tab w:val="num" w:pos="993"/>
        </w:tabs>
        <w:spacing w:after="180"/>
        <w:ind w:left="993" w:hanging="284"/>
        <w:rPr>
          <w:rFonts w:ascii="Arial" w:hAnsi="Arial"/>
        </w:rPr>
      </w:pPr>
      <w:r w:rsidRPr="006F1D04">
        <w:rPr>
          <w:rFonts w:ascii="Arial" w:hAnsi="Arial"/>
        </w:rPr>
        <w:t>There have been some exceedances of the standard in most jurisdictions.</w:t>
      </w:r>
    </w:p>
    <w:p w:rsidR="00A81146" w:rsidRPr="006F1D04" w:rsidRDefault="00A81146" w:rsidP="00F41392">
      <w:pPr>
        <w:pStyle w:val="BulletArrows"/>
        <w:numPr>
          <w:ilvl w:val="1"/>
          <w:numId w:val="3"/>
        </w:numPr>
        <w:tabs>
          <w:tab w:val="clear" w:pos="1800"/>
          <w:tab w:val="num" w:pos="993"/>
        </w:tabs>
        <w:spacing w:after="240"/>
        <w:ind w:left="993" w:hanging="284"/>
        <w:rPr>
          <w:rFonts w:ascii="Arial" w:hAnsi="Arial"/>
        </w:rPr>
      </w:pPr>
      <w:r w:rsidRPr="006F1D04">
        <w:rPr>
          <w:rFonts w:ascii="Arial" w:hAnsi="Arial"/>
        </w:rPr>
        <w:t>There are no strong year-on-year patterns in terms of exceedances of the standard.</w:t>
      </w:r>
    </w:p>
    <w:p w:rsidR="00A81146" w:rsidRPr="006F1D04" w:rsidRDefault="00A81146" w:rsidP="00F41392">
      <w:pPr>
        <w:pStyle w:val="BulletArrows"/>
        <w:spacing w:after="180"/>
        <w:rPr>
          <w:rFonts w:ascii="Arial" w:hAnsi="Arial"/>
        </w:rPr>
      </w:pPr>
      <w:r w:rsidRPr="006F1D04">
        <w:rPr>
          <w:rFonts w:ascii="Arial" w:hAnsi="Arial"/>
        </w:rPr>
        <w:t>For the advisory 24-hour mean PM</w:t>
      </w:r>
      <w:r w:rsidRPr="006F1D04">
        <w:rPr>
          <w:rFonts w:ascii="Arial" w:hAnsi="Arial"/>
          <w:vertAlign w:val="subscript"/>
        </w:rPr>
        <w:t>2.5</w:t>
      </w:r>
      <w:r w:rsidRPr="006F1D04">
        <w:rPr>
          <w:rFonts w:ascii="Arial" w:hAnsi="Arial"/>
        </w:rPr>
        <w:t xml:space="preserve"> standard (25 </w:t>
      </w:r>
      <w:proofErr w:type="spellStart"/>
      <w:r w:rsidRPr="006F1D04">
        <w:rPr>
          <w:rFonts w:ascii="Arial" w:hAnsi="Arial"/>
        </w:rPr>
        <w:t>μg</w:t>
      </w:r>
      <w:proofErr w:type="spellEnd"/>
      <w:r w:rsidRPr="006F1D04">
        <w:rPr>
          <w:rFonts w:ascii="Arial" w:hAnsi="Arial"/>
        </w:rPr>
        <w:t>/m</w:t>
      </w:r>
      <w:r w:rsidRPr="006F1D04">
        <w:rPr>
          <w:rFonts w:ascii="Arial" w:hAnsi="Arial"/>
          <w:vertAlign w:val="superscript"/>
        </w:rPr>
        <w:t>3</w:t>
      </w:r>
      <w:r w:rsidRPr="006F1D04">
        <w:rPr>
          <w:rFonts w:ascii="Arial" w:hAnsi="Arial"/>
        </w:rPr>
        <w:t xml:space="preserve">, with no </w:t>
      </w:r>
      <w:proofErr w:type="spellStart"/>
      <w:r w:rsidRPr="006F1D04">
        <w:rPr>
          <w:rFonts w:ascii="Arial" w:hAnsi="Arial"/>
        </w:rPr>
        <w:t>exceedances</w:t>
      </w:r>
      <w:proofErr w:type="spellEnd"/>
      <w:r w:rsidRPr="006F1D04">
        <w:rPr>
          <w:rFonts w:ascii="Arial" w:hAnsi="Arial"/>
        </w:rPr>
        <w:t xml:space="preserve"> allowed):</w:t>
      </w:r>
    </w:p>
    <w:p w:rsidR="00A81146" w:rsidRPr="006F1D04" w:rsidRDefault="00A81146" w:rsidP="00F41392">
      <w:pPr>
        <w:pStyle w:val="BulletArrows"/>
        <w:numPr>
          <w:ilvl w:val="1"/>
          <w:numId w:val="3"/>
        </w:numPr>
        <w:tabs>
          <w:tab w:val="clear" w:pos="1800"/>
          <w:tab w:val="num" w:pos="993"/>
        </w:tabs>
        <w:spacing w:after="180"/>
        <w:ind w:left="993" w:hanging="284"/>
        <w:rPr>
          <w:rFonts w:ascii="Arial" w:hAnsi="Arial"/>
        </w:rPr>
      </w:pPr>
      <w:r w:rsidRPr="006F1D04">
        <w:rPr>
          <w:rFonts w:ascii="Arial" w:hAnsi="Arial"/>
        </w:rPr>
        <w:t>There have been exceedances of this standard at most of the monitoring sites.</w:t>
      </w:r>
    </w:p>
    <w:p w:rsidR="00A81146" w:rsidRPr="006F1D04" w:rsidRDefault="00A81146" w:rsidP="00F41392">
      <w:pPr>
        <w:pStyle w:val="BulletArrows"/>
        <w:numPr>
          <w:ilvl w:val="1"/>
          <w:numId w:val="3"/>
        </w:numPr>
        <w:tabs>
          <w:tab w:val="clear" w:pos="1800"/>
          <w:tab w:val="num" w:pos="993"/>
        </w:tabs>
        <w:spacing w:after="180"/>
        <w:ind w:left="993" w:hanging="284"/>
        <w:rPr>
          <w:rFonts w:ascii="Arial" w:hAnsi="Arial"/>
        </w:rPr>
      </w:pPr>
      <w:r w:rsidRPr="006F1D04">
        <w:rPr>
          <w:rFonts w:ascii="Arial" w:hAnsi="Arial"/>
        </w:rPr>
        <w:t xml:space="preserve">Several jurisdictions have exceedances at all sites and in most years (VIC, WA, TAS, NT, </w:t>
      </w:r>
      <w:proofErr w:type="gramStart"/>
      <w:r w:rsidRPr="006F1D04">
        <w:rPr>
          <w:rFonts w:ascii="Arial" w:hAnsi="Arial"/>
        </w:rPr>
        <w:t>ACT</w:t>
      </w:r>
      <w:proofErr w:type="gramEnd"/>
      <w:r w:rsidRPr="006F1D04">
        <w:rPr>
          <w:rFonts w:ascii="Arial" w:hAnsi="Arial"/>
        </w:rPr>
        <w:t>).</w:t>
      </w:r>
    </w:p>
    <w:p w:rsidR="00A81146" w:rsidRPr="006F1D04" w:rsidRDefault="00A81146" w:rsidP="00CC4524">
      <w:pPr>
        <w:pStyle w:val="BulletArrows"/>
        <w:numPr>
          <w:ilvl w:val="1"/>
          <w:numId w:val="3"/>
        </w:numPr>
        <w:tabs>
          <w:tab w:val="clear" w:pos="1800"/>
          <w:tab w:val="num" w:pos="993"/>
        </w:tabs>
        <w:spacing w:after="240"/>
        <w:ind w:left="993" w:hanging="284"/>
        <w:rPr>
          <w:rFonts w:ascii="Arial" w:hAnsi="Arial"/>
        </w:rPr>
      </w:pPr>
      <w:r w:rsidRPr="006F1D04">
        <w:rPr>
          <w:rFonts w:ascii="Arial" w:hAnsi="Arial"/>
        </w:rPr>
        <w:t xml:space="preserve"> There are no strong year-on-year patterns in terms of exceedances of the standard.</w:t>
      </w:r>
    </w:p>
    <w:p w:rsidR="00A81146" w:rsidRPr="006F1D04" w:rsidRDefault="00A81146">
      <w:pPr>
        <w:spacing w:after="200" w:line="240" w:lineRule="auto"/>
        <w:rPr>
          <w:rFonts w:ascii="Arial" w:hAnsi="Arial" w:cs="Arial"/>
        </w:rPr>
      </w:pPr>
    </w:p>
    <w:p w:rsidR="00AE0248" w:rsidRPr="006574FD" w:rsidRDefault="00537F0A" w:rsidP="00AE0248">
      <w:pPr>
        <w:spacing w:after="360"/>
        <w:rPr>
          <w:rFonts w:ascii="Arial" w:hAnsi="Arial" w:cs="Arial"/>
          <w:b/>
          <w:i/>
          <w:color w:val="0070C0"/>
          <w:sz w:val="20"/>
          <w:szCs w:val="20"/>
        </w:rPr>
      </w:pPr>
      <w:r w:rsidRPr="006F1D04">
        <w:rPr>
          <w:rFonts w:ascii="Arial" w:hAnsi="Arial" w:cs="Arial"/>
          <w:b/>
          <w:color w:val="0070C0"/>
          <w:sz w:val="20"/>
          <w:szCs w:val="20"/>
        </w:rPr>
        <w:br w:type="page"/>
      </w:r>
      <w:r w:rsidR="00AE0248" w:rsidRPr="006574FD">
        <w:rPr>
          <w:rFonts w:ascii="Arial" w:hAnsi="Arial" w:cs="Arial"/>
          <w:b/>
          <w:i/>
          <w:color w:val="0070C0"/>
          <w:sz w:val="20"/>
          <w:szCs w:val="20"/>
        </w:rPr>
        <w:lastRenderedPageBreak/>
        <w:t>24-hour PM</w:t>
      </w:r>
      <w:r w:rsidR="00AE0248" w:rsidRPr="006574FD">
        <w:rPr>
          <w:rFonts w:ascii="Arial" w:hAnsi="Arial" w:cs="Arial"/>
          <w:b/>
          <w:i/>
          <w:color w:val="0070C0"/>
          <w:sz w:val="20"/>
          <w:szCs w:val="20"/>
          <w:vertAlign w:val="subscript"/>
        </w:rPr>
        <w:t>10</w:t>
      </w:r>
      <w:r w:rsidR="00AE0248" w:rsidRPr="006574FD">
        <w:rPr>
          <w:rFonts w:ascii="Arial" w:hAnsi="Arial" w:cs="Arial"/>
          <w:b/>
          <w:i/>
          <w:color w:val="0070C0"/>
          <w:sz w:val="20"/>
          <w:szCs w:val="20"/>
        </w:rPr>
        <w:t xml:space="preserve"> standard and goal</w:t>
      </w:r>
    </w:p>
    <w:p w:rsidR="00AE0248" w:rsidRPr="006F1D04" w:rsidRDefault="00AE0248" w:rsidP="00AE0248">
      <w:pPr>
        <w:pStyle w:val="Caption"/>
        <w:tabs>
          <w:tab w:val="left" w:pos="8647"/>
        </w:tabs>
        <w:ind w:left="426" w:right="521"/>
        <w:rPr>
          <w:rFonts w:ascii="Arial" w:hAnsi="Arial" w:cs="Arial"/>
        </w:rPr>
      </w:pPr>
      <w:r w:rsidRPr="006F1D04">
        <w:rPr>
          <w:rFonts w:ascii="Arial" w:hAnsi="Arial" w:cs="Arial"/>
        </w:rPr>
        <w:t>Table E.2: Exceedances of 24-hour PM</w:t>
      </w:r>
      <w:r w:rsidRPr="006F1D04">
        <w:rPr>
          <w:rFonts w:ascii="Arial" w:hAnsi="Arial" w:cs="Arial"/>
          <w:vertAlign w:val="subscript"/>
        </w:rPr>
        <w:t>10</w:t>
      </w:r>
      <w:r w:rsidRPr="006F1D04">
        <w:rPr>
          <w:rFonts w:ascii="Arial" w:hAnsi="Arial" w:cs="Arial"/>
        </w:rPr>
        <w:t xml:space="preserve"> standard and goal in NSW (sites and years with more than </w:t>
      </w:r>
      <w:r w:rsidR="00901FEE" w:rsidRPr="006F1D04">
        <w:rPr>
          <w:rFonts w:ascii="Arial" w:hAnsi="Arial" w:cs="Arial"/>
        </w:rPr>
        <w:t>five</w:t>
      </w:r>
      <w:r w:rsidRPr="006F1D04">
        <w:rPr>
          <w:rFonts w:ascii="Arial" w:hAnsi="Arial" w:cs="Arial"/>
        </w:rPr>
        <w:t xml:space="preserve"> exceedances are highlighted in red; shaded cells represent no monitoring or years with &lt;75% of data)</w:t>
      </w:r>
    </w:p>
    <w:tbl>
      <w:tblPr>
        <w:tblW w:w="821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256"/>
        <w:gridCol w:w="595"/>
        <w:gridCol w:w="595"/>
        <w:gridCol w:w="596"/>
        <w:gridCol w:w="595"/>
        <w:gridCol w:w="596"/>
        <w:gridCol w:w="595"/>
        <w:gridCol w:w="595"/>
        <w:gridCol w:w="596"/>
        <w:gridCol w:w="595"/>
        <w:gridCol w:w="596"/>
      </w:tblGrid>
      <w:tr w:rsidR="00AE0248" w:rsidRPr="006F1D04" w:rsidTr="000F0DA7">
        <w:trPr>
          <w:trHeight w:val="300"/>
          <w:jc w:val="center"/>
        </w:trPr>
        <w:tc>
          <w:tcPr>
            <w:tcW w:w="2256" w:type="dxa"/>
            <w:vMerge w:val="restart"/>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Monitoring site</w:t>
            </w:r>
          </w:p>
        </w:tc>
        <w:tc>
          <w:tcPr>
            <w:tcW w:w="5954" w:type="dxa"/>
            <w:gridSpan w:val="10"/>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Number of exceedances of 24-hour mean PM</w:t>
            </w:r>
            <w:r w:rsidRPr="006F1D04">
              <w:rPr>
                <w:rFonts w:ascii="Arial" w:hAnsi="Arial" w:cs="Arial"/>
                <w:b/>
                <w:bCs/>
                <w:color w:val="FFFFFF"/>
                <w:sz w:val="14"/>
                <w:szCs w:val="14"/>
                <w:vertAlign w:val="subscript"/>
              </w:rPr>
              <w:t>10</w:t>
            </w:r>
            <w:r w:rsidRPr="006F1D04">
              <w:rPr>
                <w:rFonts w:ascii="Arial" w:hAnsi="Arial" w:cs="Arial"/>
                <w:b/>
                <w:bCs/>
                <w:color w:val="FFFFFF"/>
                <w:sz w:val="14"/>
                <w:szCs w:val="14"/>
              </w:rPr>
              <w:t xml:space="preserve"> of 50 </w:t>
            </w:r>
            <w:proofErr w:type="spellStart"/>
            <w:r w:rsidRPr="006F1D04">
              <w:rPr>
                <w:rFonts w:ascii="Arial" w:hAnsi="Arial" w:cs="Arial"/>
                <w:b/>
                <w:bCs/>
                <w:color w:val="FFFFFF"/>
                <w:sz w:val="14"/>
                <w:szCs w:val="14"/>
              </w:rPr>
              <w:t>μg</w:t>
            </w:r>
            <w:proofErr w:type="spellEnd"/>
            <w:r w:rsidRPr="006F1D04">
              <w:rPr>
                <w:rFonts w:ascii="Arial" w:hAnsi="Arial" w:cs="Arial"/>
                <w:b/>
                <w:bCs/>
                <w:color w:val="FFFFFF"/>
                <w:sz w:val="14"/>
                <w:szCs w:val="14"/>
              </w:rPr>
              <w:t>/m</w:t>
            </w:r>
            <w:r w:rsidRPr="006F1D04">
              <w:rPr>
                <w:rFonts w:ascii="Arial" w:hAnsi="Arial" w:cs="Arial"/>
                <w:b/>
                <w:bCs/>
                <w:color w:val="FFFFFF"/>
                <w:sz w:val="14"/>
                <w:szCs w:val="14"/>
                <w:vertAlign w:val="superscript"/>
              </w:rPr>
              <w:t>3</w:t>
            </w:r>
            <w:r w:rsidRPr="006F1D04">
              <w:rPr>
                <w:rFonts w:ascii="Arial" w:hAnsi="Arial" w:cs="Arial"/>
                <w:b/>
                <w:bCs/>
                <w:color w:val="FFFFFF"/>
                <w:sz w:val="14"/>
                <w:szCs w:val="14"/>
              </w:rPr>
              <w:t xml:space="preserve"> per year</w:t>
            </w:r>
          </w:p>
        </w:tc>
      </w:tr>
      <w:tr w:rsidR="00AE0248" w:rsidRPr="006F1D04" w:rsidTr="000F0DA7">
        <w:trPr>
          <w:trHeight w:val="300"/>
          <w:jc w:val="center"/>
        </w:trPr>
        <w:tc>
          <w:tcPr>
            <w:tcW w:w="2256" w:type="dxa"/>
            <w:vMerge/>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p>
        </w:tc>
        <w:tc>
          <w:tcPr>
            <w:tcW w:w="595"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2003</w:t>
            </w:r>
          </w:p>
        </w:tc>
        <w:tc>
          <w:tcPr>
            <w:tcW w:w="595"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2004</w:t>
            </w:r>
          </w:p>
        </w:tc>
        <w:tc>
          <w:tcPr>
            <w:tcW w:w="596"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2005</w:t>
            </w:r>
          </w:p>
        </w:tc>
        <w:tc>
          <w:tcPr>
            <w:tcW w:w="595"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2006</w:t>
            </w:r>
          </w:p>
        </w:tc>
        <w:tc>
          <w:tcPr>
            <w:tcW w:w="596"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2007</w:t>
            </w:r>
          </w:p>
        </w:tc>
        <w:tc>
          <w:tcPr>
            <w:tcW w:w="595"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2008</w:t>
            </w:r>
          </w:p>
        </w:tc>
        <w:tc>
          <w:tcPr>
            <w:tcW w:w="595"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2009</w:t>
            </w:r>
          </w:p>
        </w:tc>
        <w:tc>
          <w:tcPr>
            <w:tcW w:w="596"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2010</w:t>
            </w:r>
          </w:p>
        </w:tc>
        <w:tc>
          <w:tcPr>
            <w:tcW w:w="595"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2011</w:t>
            </w:r>
          </w:p>
        </w:tc>
        <w:tc>
          <w:tcPr>
            <w:tcW w:w="596"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2012</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Sydney: Bargo</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Sydney: Blacktown</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r>
      <w:tr w:rsidR="00AE0248" w:rsidRPr="006F1D04" w:rsidTr="000F0DA7">
        <w:trPr>
          <w:trHeight w:hRule="exact" w:val="255"/>
          <w:jc w:val="center"/>
        </w:trPr>
        <w:tc>
          <w:tcPr>
            <w:tcW w:w="2256"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Sydney: Bringelly</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sz w:val="14"/>
                <w:szCs w:val="14"/>
              </w:rPr>
            </w:pPr>
            <w:r w:rsidRPr="006F1D04">
              <w:rPr>
                <w:rFonts w:ascii="Arial" w:hAnsi="Arial" w:cs="Arial"/>
                <w:b/>
                <w:color w:val="FF0000"/>
                <w:sz w:val="14"/>
                <w:szCs w:val="14"/>
              </w:rPr>
              <w:t>6</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sz w:val="14"/>
                <w:szCs w:val="14"/>
              </w:rPr>
            </w:pPr>
            <w:r w:rsidRPr="006F1D04">
              <w:rPr>
                <w:rFonts w:ascii="Arial" w:hAnsi="Arial" w:cs="Arial"/>
                <w:b/>
                <w:color w:val="FF0000"/>
                <w:sz w:val="14"/>
                <w:szCs w:val="14"/>
              </w:rPr>
              <w:t>5</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Sydney: Chullora</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7</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Sydney: Earlwood</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7</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7</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Sydney: Lindfield</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Sydney: Liverpool</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6</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7</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Sydney: Macarthur</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6</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Sydney: Oakdale</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Sydney: Prospect</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Sydney: Randwick</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Sydney: Richmond</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7</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Sydney: Rozelle</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7</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Sydney: St Marys</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Sydney: Vineyard</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10</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Sydney: Westmead</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Sydney: Woolooware</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Lower Hunter: Beresfield</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14</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r>
      <w:tr w:rsidR="00AE0248" w:rsidRPr="006F1D04" w:rsidTr="000F0DA7">
        <w:trPr>
          <w:trHeight w:hRule="exact" w:val="255"/>
          <w:jc w:val="center"/>
        </w:trPr>
        <w:tc>
          <w:tcPr>
            <w:tcW w:w="2256"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Lower Hunter: Newcastle</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Lower Hunter: Wallsend</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9</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Upper Hunter: Aberdeen</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Upper Hunter: Bulga</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Upper Hunter: Camberwell</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23</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Upper Hunter: Jerry’s Plains</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 xml:space="preserve">Upper Hunter: Maison </w:t>
            </w:r>
            <w:proofErr w:type="spellStart"/>
            <w:r w:rsidRPr="006F1D04">
              <w:rPr>
                <w:rFonts w:ascii="Arial" w:hAnsi="Arial" w:cs="Arial"/>
                <w:sz w:val="14"/>
                <w:szCs w:val="14"/>
              </w:rPr>
              <w:t>Dieu</w:t>
            </w:r>
            <w:proofErr w:type="spellEnd"/>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Upper Hunter: Merriwa</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Upper Hunter: Mt Thorley</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28</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Upper Hunter: Muswellbrook</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 xml:space="preserve">Upper Hunter: </w:t>
            </w:r>
            <w:proofErr w:type="spellStart"/>
            <w:r w:rsidRPr="006F1D04">
              <w:rPr>
                <w:rFonts w:ascii="Arial" w:hAnsi="Arial" w:cs="Arial"/>
                <w:sz w:val="14"/>
                <w:szCs w:val="14"/>
              </w:rPr>
              <w:t>M’brook</w:t>
            </w:r>
            <w:proofErr w:type="spellEnd"/>
            <w:r w:rsidRPr="006F1D04">
              <w:rPr>
                <w:rFonts w:ascii="Arial" w:hAnsi="Arial" w:cs="Arial"/>
                <w:sz w:val="14"/>
                <w:szCs w:val="14"/>
              </w:rPr>
              <w:t xml:space="preserve"> NW</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Upper Hunter: Singleton</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6</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Upper Hunter: Singleton NW</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29</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Upper Hunter: Singleton S</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Upper Hunter: Warkworth</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Upper Hunter: Wybong</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Illawarra: Albion Park</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Illawarra: Albion Park South</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Illawarra: Kembla Grange</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9</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13</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Illawarra: Warrawong</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Illawarra: Wollongong</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Regional NSW: Albury</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29</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14</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15</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Regional NSW: Bathurst</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Regional NSW: Tamworth</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7</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16</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Regional NSW: Wagga Wagga</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28</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27</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37</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34</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23</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6</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r>
    </w:tbl>
    <w:p w:rsidR="00AE0248" w:rsidRPr="006F1D04" w:rsidRDefault="00AE0248" w:rsidP="00AE0248">
      <w:pPr>
        <w:spacing w:after="200" w:line="240" w:lineRule="auto"/>
        <w:rPr>
          <w:rFonts w:ascii="Arial" w:hAnsi="Arial" w:cs="Arial"/>
        </w:rPr>
      </w:pPr>
    </w:p>
    <w:p w:rsidR="00AE0248" w:rsidRPr="006F1D04" w:rsidRDefault="00AE0248" w:rsidP="00AE0248">
      <w:pPr>
        <w:pStyle w:val="Caption"/>
        <w:ind w:left="426" w:right="379"/>
        <w:rPr>
          <w:rFonts w:ascii="Arial" w:hAnsi="Arial" w:cs="Arial"/>
        </w:rPr>
      </w:pPr>
      <w:r w:rsidRPr="006F1D04">
        <w:rPr>
          <w:rFonts w:ascii="Arial" w:hAnsi="Arial" w:cs="Arial"/>
        </w:rPr>
        <w:lastRenderedPageBreak/>
        <w:t>Table E.3: Exceedances of 24-hour PM</w:t>
      </w:r>
      <w:r w:rsidRPr="006F1D04">
        <w:rPr>
          <w:rFonts w:ascii="Arial" w:hAnsi="Arial" w:cs="Arial"/>
          <w:vertAlign w:val="subscript"/>
        </w:rPr>
        <w:t>10</w:t>
      </w:r>
      <w:r w:rsidRPr="006F1D04">
        <w:rPr>
          <w:rFonts w:ascii="Arial" w:hAnsi="Arial" w:cs="Arial"/>
        </w:rPr>
        <w:t xml:space="preserve"> standard and goal in VIC (sites and years with more than </w:t>
      </w:r>
      <w:r w:rsidR="00901FEE" w:rsidRPr="006F1D04">
        <w:rPr>
          <w:rFonts w:ascii="Arial" w:hAnsi="Arial" w:cs="Arial"/>
        </w:rPr>
        <w:t>five</w:t>
      </w:r>
      <w:r w:rsidRPr="006F1D04">
        <w:rPr>
          <w:rFonts w:ascii="Arial" w:hAnsi="Arial" w:cs="Arial"/>
        </w:rPr>
        <w:t xml:space="preserve"> exceedances are highlighted in red; shaded cells represent no monitoring or years with &lt;75% of data)</w:t>
      </w:r>
    </w:p>
    <w:tbl>
      <w:tblPr>
        <w:tblW w:w="821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256"/>
        <w:gridCol w:w="595"/>
        <w:gridCol w:w="595"/>
        <w:gridCol w:w="596"/>
        <w:gridCol w:w="595"/>
        <w:gridCol w:w="596"/>
        <w:gridCol w:w="595"/>
        <w:gridCol w:w="595"/>
        <w:gridCol w:w="596"/>
        <w:gridCol w:w="595"/>
        <w:gridCol w:w="596"/>
      </w:tblGrid>
      <w:tr w:rsidR="00AE0248" w:rsidRPr="006F1D04" w:rsidTr="000F0DA7">
        <w:trPr>
          <w:trHeight w:val="300"/>
          <w:jc w:val="center"/>
        </w:trPr>
        <w:tc>
          <w:tcPr>
            <w:tcW w:w="2256" w:type="dxa"/>
            <w:vMerge w:val="restart"/>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Monitoring site</w:t>
            </w:r>
          </w:p>
        </w:tc>
        <w:tc>
          <w:tcPr>
            <w:tcW w:w="5954" w:type="dxa"/>
            <w:gridSpan w:val="10"/>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Number of exceedances of 24-hour mean PM</w:t>
            </w:r>
            <w:r w:rsidRPr="006F1D04">
              <w:rPr>
                <w:rFonts w:ascii="Arial" w:hAnsi="Arial" w:cs="Arial"/>
                <w:b/>
                <w:bCs/>
                <w:color w:val="FFFFFF"/>
                <w:sz w:val="14"/>
                <w:szCs w:val="14"/>
                <w:vertAlign w:val="subscript"/>
              </w:rPr>
              <w:t>10</w:t>
            </w:r>
            <w:r w:rsidRPr="006F1D04">
              <w:rPr>
                <w:rFonts w:ascii="Arial" w:hAnsi="Arial" w:cs="Arial"/>
                <w:b/>
                <w:bCs/>
                <w:color w:val="FFFFFF"/>
                <w:sz w:val="14"/>
                <w:szCs w:val="14"/>
              </w:rPr>
              <w:t xml:space="preserve"> of 50 </w:t>
            </w:r>
            <w:proofErr w:type="spellStart"/>
            <w:r w:rsidRPr="006F1D04">
              <w:rPr>
                <w:rFonts w:ascii="Arial" w:hAnsi="Arial" w:cs="Arial"/>
                <w:b/>
                <w:bCs/>
                <w:color w:val="FFFFFF"/>
                <w:sz w:val="14"/>
                <w:szCs w:val="14"/>
              </w:rPr>
              <w:t>μg</w:t>
            </w:r>
            <w:proofErr w:type="spellEnd"/>
            <w:r w:rsidRPr="006F1D04">
              <w:rPr>
                <w:rFonts w:ascii="Arial" w:hAnsi="Arial" w:cs="Arial"/>
                <w:b/>
                <w:bCs/>
                <w:color w:val="FFFFFF"/>
                <w:sz w:val="14"/>
                <w:szCs w:val="14"/>
              </w:rPr>
              <w:t>/m</w:t>
            </w:r>
            <w:r w:rsidRPr="006F1D04">
              <w:rPr>
                <w:rFonts w:ascii="Arial" w:hAnsi="Arial" w:cs="Arial"/>
                <w:b/>
                <w:bCs/>
                <w:color w:val="FFFFFF"/>
                <w:sz w:val="14"/>
                <w:szCs w:val="14"/>
                <w:vertAlign w:val="superscript"/>
              </w:rPr>
              <w:t>3</w:t>
            </w:r>
            <w:r w:rsidRPr="006F1D04">
              <w:rPr>
                <w:rFonts w:ascii="Arial" w:hAnsi="Arial" w:cs="Arial"/>
                <w:b/>
                <w:bCs/>
                <w:color w:val="FFFFFF"/>
                <w:sz w:val="14"/>
                <w:szCs w:val="14"/>
              </w:rPr>
              <w:t xml:space="preserve"> per year</w:t>
            </w:r>
          </w:p>
        </w:tc>
      </w:tr>
      <w:tr w:rsidR="00AE0248" w:rsidRPr="006F1D04" w:rsidTr="000F0DA7">
        <w:trPr>
          <w:trHeight w:val="300"/>
          <w:jc w:val="center"/>
        </w:trPr>
        <w:tc>
          <w:tcPr>
            <w:tcW w:w="2256" w:type="dxa"/>
            <w:vMerge/>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2003</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2004</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2005</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2006</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2007</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2008</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2009</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2010</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2011</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2012</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Pt Phil.: Alphington</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10</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7</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Pt Phil.: Box Hill</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7</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6</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Pt Phil.: Brighton</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6</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6</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Pt Phil.: Dandenong</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12</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Pt Phil.: Deer Park</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7</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Pt Phil.: Footscray</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13</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Pt Phil.: Geelong South</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7</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17</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14</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6</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Pt Phil.: Mooroolbark</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13</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9</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17</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Pt Phil.: Richmond</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9</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Pt Phil.: RMIT</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Latrobe Valley: Moe</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15</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13</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6</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7</w:t>
            </w: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Latrobe Valley: Traralgon</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7</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9</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bl>
    <w:p w:rsidR="00AE0248" w:rsidRPr="006F1D04" w:rsidRDefault="00AE0248" w:rsidP="00AE0248">
      <w:pPr>
        <w:spacing w:after="200" w:line="240" w:lineRule="auto"/>
        <w:rPr>
          <w:rFonts w:ascii="Arial" w:hAnsi="Arial" w:cs="Arial"/>
        </w:rPr>
      </w:pPr>
    </w:p>
    <w:p w:rsidR="00AE0248" w:rsidRPr="006F1D04" w:rsidRDefault="00AE0248" w:rsidP="00AE0248">
      <w:pPr>
        <w:pStyle w:val="Caption"/>
        <w:tabs>
          <w:tab w:val="left" w:pos="8647"/>
        </w:tabs>
        <w:ind w:left="426" w:right="662"/>
        <w:rPr>
          <w:rFonts w:ascii="Arial" w:hAnsi="Arial" w:cs="Arial"/>
        </w:rPr>
      </w:pPr>
      <w:r w:rsidRPr="006F1D04">
        <w:rPr>
          <w:rFonts w:ascii="Arial" w:hAnsi="Arial" w:cs="Arial"/>
        </w:rPr>
        <w:t>Table E.4: Exceedances of 24-hour PM</w:t>
      </w:r>
      <w:r w:rsidRPr="006F1D04">
        <w:rPr>
          <w:rFonts w:ascii="Arial" w:hAnsi="Arial" w:cs="Arial"/>
          <w:vertAlign w:val="subscript"/>
        </w:rPr>
        <w:t>10</w:t>
      </w:r>
      <w:r w:rsidRPr="006F1D04">
        <w:rPr>
          <w:rFonts w:ascii="Arial" w:hAnsi="Arial" w:cs="Arial"/>
        </w:rPr>
        <w:t xml:space="preserve"> standard and goal in QLD (sites and years with more than </w:t>
      </w:r>
      <w:r w:rsidR="00901FEE" w:rsidRPr="006F1D04">
        <w:rPr>
          <w:rFonts w:ascii="Arial" w:hAnsi="Arial" w:cs="Arial"/>
        </w:rPr>
        <w:t>five</w:t>
      </w:r>
      <w:r w:rsidRPr="006F1D04">
        <w:rPr>
          <w:rFonts w:ascii="Arial" w:hAnsi="Arial" w:cs="Arial"/>
        </w:rPr>
        <w:t xml:space="preserve"> exceedances are highlighted in red; shaded cells represent no monitoring or years with &lt;75% of data)</w:t>
      </w:r>
    </w:p>
    <w:tbl>
      <w:tblPr>
        <w:tblW w:w="821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256"/>
        <w:gridCol w:w="595"/>
        <w:gridCol w:w="595"/>
        <w:gridCol w:w="596"/>
        <w:gridCol w:w="595"/>
        <w:gridCol w:w="596"/>
        <w:gridCol w:w="595"/>
        <w:gridCol w:w="595"/>
        <w:gridCol w:w="596"/>
        <w:gridCol w:w="595"/>
        <w:gridCol w:w="596"/>
      </w:tblGrid>
      <w:tr w:rsidR="00AE0248" w:rsidRPr="006F1D04" w:rsidTr="000F0DA7">
        <w:trPr>
          <w:trHeight w:val="300"/>
          <w:jc w:val="center"/>
        </w:trPr>
        <w:tc>
          <w:tcPr>
            <w:tcW w:w="2256" w:type="dxa"/>
            <w:vMerge w:val="restart"/>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Monitoring site</w:t>
            </w:r>
          </w:p>
        </w:tc>
        <w:tc>
          <w:tcPr>
            <w:tcW w:w="5954" w:type="dxa"/>
            <w:gridSpan w:val="10"/>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Number of exceedances of 24-hour mean PM</w:t>
            </w:r>
            <w:r w:rsidRPr="006F1D04">
              <w:rPr>
                <w:rFonts w:ascii="Arial" w:hAnsi="Arial" w:cs="Arial"/>
                <w:b/>
                <w:bCs/>
                <w:color w:val="FFFFFF"/>
                <w:sz w:val="14"/>
                <w:szCs w:val="14"/>
                <w:vertAlign w:val="subscript"/>
              </w:rPr>
              <w:t>10</w:t>
            </w:r>
            <w:r w:rsidRPr="006F1D04">
              <w:rPr>
                <w:rFonts w:ascii="Arial" w:hAnsi="Arial" w:cs="Arial"/>
                <w:b/>
                <w:bCs/>
                <w:color w:val="FFFFFF"/>
                <w:sz w:val="14"/>
                <w:szCs w:val="14"/>
              </w:rPr>
              <w:t xml:space="preserve"> of 50 </w:t>
            </w:r>
            <w:proofErr w:type="spellStart"/>
            <w:r w:rsidRPr="006F1D04">
              <w:rPr>
                <w:rFonts w:ascii="Arial" w:hAnsi="Arial" w:cs="Arial"/>
                <w:b/>
                <w:bCs/>
                <w:color w:val="FFFFFF"/>
                <w:sz w:val="14"/>
                <w:szCs w:val="14"/>
              </w:rPr>
              <w:t>μg</w:t>
            </w:r>
            <w:proofErr w:type="spellEnd"/>
            <w:r w:rsidRPr="006F1D04">
              <w:rPr>
                <w:rFonts w:ascii="Arial" w:hAnsi="Arial" w:cs="Arial"/>
                <w:b/>
                <w:bCs/>
                <w:color w:val="FFFFFF"/>
                <w:sz w:val="14"/>
                <w:szCs w:val="14"/>
              </w:rPr>
              <w:t>/m</w:t>
            </w:r>
            <w:r w:rsidRPr="006F1D04">
              <w:rPr>
                <w:rFonts w:ascii="Arial" w:hAnsi="Arial" w:cs="Arial"/>
                <w:b/>
                <w:bCs/>
                <w:color w:val="FFFFFF"/>
                <w:sz w:val="14"/>
                <w:szCs w:val="14"/>
                <w:vertAlign w:val="superscript"/>
              </w:rPr>
              <w:t>3</w:t>
            </w:r>
            <w:r w:rsidRPr="006F1D04">
              <w:rPr>
                <w:rFonts w:ascii="Arial" w:hAnsi="Arial" w:cs="Arial"/>
                <w:b/>
                <w:bCs/>
                <w:color w:val="FFFFFF"/>
                <w:sz w:val="14"/>
                <w:szCs w:val="14"/>
              </w:rPr>
              <w:t xml:space="preserve"> per year</w:t>
            </w:r>
          </w:p>
        </w:tc>
      </w:tr>
      <w:tr w:rsidR="00AE0248" w:rsidRPr="006F1D04" w:rsidTr="000F0DA7">
        <w:trPr>
          <w:trHeight w:val="300"/>
          <w:jc w:val="center"/>
        </w:trPr>
        <w:tc>
          <w:tcPr>
            <w:tcW w:w="2256" w:type="dxa"/>
            <w:vMerge/>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2003</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2004</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2005</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2006</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2007</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2008</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2009</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2010</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2011</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2012</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SEQ: Brisbane CBD</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6</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SEQ: Flinders View</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7</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SEQ: Mountain Creek</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7</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SEQ: North Toowoomba</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SEQ: Pinkenba</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9</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7</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7</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SEQ: Rocklea</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SEQ: South Brisbane</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14</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SEQ: Springwood</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9</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SEQ: Woolloongabba</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11</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SEQ: Wynnum N</w:t>
            </w:r>
          </w:p>
        </w:tc>
        <w:tc>
          <w:tcPr>
            <w:tcW w:w="595"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Mt Isa: The Gap</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13</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16</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Townsville: Pimlico</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9</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Mackay: West Mackay</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7</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7</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17</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Gladstone: South Gladstone</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7</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Gladstone: Clinton</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 xml:space="preserve">Gladstone: </w:t>
            </w:r>
            <w:proofErr w:type="spellStart"/>
            <w:r w:rsidRPr="006F1D04">
              <w:rPr>
                <w:rFonts w:ascii="Arial" w:hAnsi="Arial" w:cs="Arial"/>
                <w:color w:val="000000"/>
                <w:sz w:val="14"/>
                <w:szCs w:val="14"/>
              </w:rPr>
              <w:t>Targinie</w:t>
            </w:r>
            <w:proofErr w:type="spellEnd"/>
            <w:r w:rsidRPr="006F1D04">
              <w:rPr>
                <w:rFonts w:ascii="Arial" w:hAnsi="Arial" w:cs="Arial"/>
                <w:color w:val="000000"/>
                <w:sz w:val="14"/>
                <w:szCs w:val="14"/>
              </w:rPr>
              <w:t xml:space="preserve"> (Swans Rd)</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10</w:t>
            </w:r>
          </w:p>
        </w:tc>
        <w:tc>
          <w:tcPr>
            <w:tcW w:w="596"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 xml:space="preserve">Gladstone: </w:t>
            </w:r>
            <w:proofErr w:type="spellStart"/>
            <w:r w:rsidRPr="006F1D04">
              <w:rPr>
                <w:rFonts w:ascii="Arial" w:hAnsi="Arial" w:cs="Arial"/>
                <w:color w:val="000000"/>
                <w:sz w:val="14"/>
                <w:szCs w:val="14"/>
              </w:rPr>
              <w:t>Targinie</w:t>
            </w:r>
            <w:proofErr w:type="spellEnd"/>
            <w:r w:rsidRPr="006F1D04">
              <w:rPr>
                <w:rFonts w:ascii="Arial" w:hAnsi="Arial" w:cs="Arial"/>
                <w:color w:val="000000"/>
                <w:sz w:val="14"/>
                <w:szCs w:val="14"/>
              </w:rPr>
              <w:t xml:space="preserve"> (</w:t>
            </w:r>
            <w:proofErr w:type="spellStart"/>
            <w:r w:rsidRPr="006F1D04">
              <w:rPr>
                <w:rFonts w:ascii="Arial" w:hAnsi="Arial" w:cs="Arial"/>
                <w:color w:val="000000"/>
                <w:sz w:val="14"/>
                <w:szCs w:val="14"/>
              </w:rPr>
              <w:t>Stupkin</w:t>
            </w:r>
            <w:proofErr w:type="spellEnd"/>
            <w:r w:rsidRPr="006F1D04">
              <w:rPr>
                <w:rFonts w:ascii="Arial" w:hAnsi="Arial" w:cs="Arial"/>
                <w:color w:val="000000"/>
                <w:sz w:val="14"/>
                <w:szCs w:val="14"/>
              </w:rPr>
              <w:t xml:space="preserve"> L)</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w:t>
            </w:r>
          </w:p>
        </w:tc>
        <w:tc>
          <w:tcPr>
            <w:tcW w:w="595"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Gladstone: Boat Creek</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14</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Gladstone: Boyne Island</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7</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r>
    </w:tbl>
    <w:p w:rsidR="00AE0248" w:rsidRPr="006F1D04" w:rsidRDefault="00AE0248" w:rsidP="00AE0248">
      <w:pPr>
        <w:spacing w:after="200" w:line="240" w:lineRule="auto"/>
        <w:rPr>
          <w:rFonts w:ascii="Arial" w:hAnsi="Arial" w:cs="Arial"/>
        </w:rPr>
      </w:pPr>
    </w:p>
    <w:p w:rsidR="00AE0248" w:rsidRPr="006F1D04" w:rsidRDefault="00AE0248" w:rsidP="00AE0248">
      <w:pPr>
        <w:spacing w:after="200" w:line="240" w:lineRule="auto"/>
        <w:rPr>
          <w:rFonts w:ascii="Arial" w:hAnsi="Arial" w:cs="Arial"/>
        </w:rPr>
      </w:pPr>
    </w:p>
    <w:p w:rsidR="00AE0248" w:rsidRPr="006F1D04" w:rsidRDefault="00AE0248" w:rsidP="00AE0248">
      <w:pPr>
        <w:spacing w:after="200" w:line="240" w:lineRule="auto"/>
        <w:rPr>
          <w:rFonts w:ascii="Arial" w:hAnsi="Arial" w:cs="Arial"/>
        </w:rPr>
      </w:pPr>
    </w:p>
    <w:p w:rsidR="00AE0248" w:rsidRPr="006F1D04" w:rsidRDefault="00AE0248" w:rsidP="00AE0248">
      <w:pPr>
        <w:spacing w:after="200" w:line="240" w:lineRule="auto"/>
        <w:rPr>
          <w:rFonts w:ascii="Arial" w:hAnsi="Arial" w:cs="Arial"/>
        </w:rPr>
      </w:pPr>
    </w:p>
    <w:p w:rsidR="00AE0248" w:rsidRPr="006F1D04" w:rsidRDefault="00AE0248" w:rsidP="00AE0248">
      <w:pPr>
        <w:spacing w:after="200" w:line="240" w:lineRule="auto"/>
        <w:rPr>
          <w:rFonts w:ascii="Arial" w:hAnsi="Arial" w:cs="Arial"/>
        </w:rPr>
      </w:pPr>
    </w:p>
    <w:p w:rsidR="00AE0248" w:rsidRPr="006F1D04" w:rsidRDefault="00AE0248" w:rsidP="00AE0248">
      <w:pPr>
        <w:spacing w:after="200" w:line="240" w:lineRule="auto"/>
        <w:rPr>
          <w:rFonts w:ascii="Arial" w:hAnsi="Arial" w:cs="Arial"/>
        </w:rPr>
      </w:pPr>
    </w:p>
    <w:p w:rsidR="00AE0248" w:rsidRPr="006F1D04" w:rsidRDefault="00AE0248" w:rsidP="00AE0248">
      <w:pPr>
        <w:pStyle w:val="Caption"/>
        <w:tabs>
          <w:tab w:val="left" w:pos="8647"/>
        </w:tabs>
        <w:ind w:left="426" w:right="379"/>
        <w:rPr>
          <w:rFonts w:ascii="Arial" w:hAnsi="Arial" w:cs="Arial"/>
        </w:rPr>
      </w:pPr>
      <w:r w:rsidRPr="006F1D04">
        <w:rPr>
          <w:rFonts w:ascii="Arial" w:hAnsi="Arial" w:cs="Arial"/>
        </w:rPr>
        <w:lastRenderedPageBreak/>
        <w:t>Table E.5: Exceedances of 24-hour PM</w:t>
      </w:r>
      <w:r w:rsidRPr="006F1D04">
        <w:rPr>
          <w:rFonts w:ascii="Arial" w:hAnsi="Arial" w:cs="Arial"/>
          <w:vertAlign w:val="subscript"/>
        </w:rPr>
        <w:t>10</w:t>
      </w:r>
      <w:r w:rsidRPr="006F1D04">
        <w:rPr>
          <w:rFonts w:ascii="Arial" w:hAnsi="Arial" w:cs="Arial"/>
        </w:rPr>
        <w:t xml:space="preserve"> standard and goal in SA (sites and years with more than </w:t>
      </w:r>
      <w:r w:rsidR="00901FEE" w:rsidRPr="006F1D04">
        <w:rPr>
          <w:rFonts w:ascii="Arial" w:hAnsi="Arial" w:cs="Arial"/>
        </w:rPr>
        <w:t>five</w:t>
      </w:r>
      <w:r w:rsidRPr="006F1D04">
        <w:rPr>
          <w:rFonts w:ascii="Arial" w:hAnsi="Arial" w:cs="Arial"/>
        </w:rPr>
        <w:t xml:space="preserve"> exceedances are highlighted in red; shaded cells represent no monitoring or years with &lt;75% of data)</w:t>
      </w:r>
    </w:p>
    <w:tbl>
      <w:tblPr>
        <w:tblW w:w="821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256"/>
        <w:gridCol w:w="595"/>
        <w:gridCol w:w="595"/>
        <w:gridCol w:w="596"/>
        <w:gridCol w:w="595"/>
        <w:gridCol w:w="596"/>
        <w:gridCol w:w="595"/>
        <w:gridCol w:w="595"/>
        <w:gridCol w:w="596"/>
        <w:gridCol w:w="595"/>
        <w:gridCol w:w="596"/>
      </w:tblGrid>
      <w:tr w:rsidR="00AE0248" w:rsidRPr="006F1D04" w:rsidTr="000F0DA7">
        <w:trPr>
          <w:trHeight w:val="300"/>
          <w:jc w:val="center"/>
        </w:trPr>
        <w:tc>
          <w:tcPr>
            <w:tcW w:w="2256" w:type="dxa"/>
            <w:vMerge w:val="restart"/>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Monitoring site</w:t>
            </w:r>
          </w:p>
        </w:tc>
        <w:tc>
          <w:tcPr>
            <w:tcW w:w="5954" w:type="dxa"/>
            <w:gridSpan w:val="10"/>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Number of exceedances of 24-hour mean PM</w:t>
            </w:r>
            <w:r w:rsidRPr="006F1D04">
              <w:rPr>
                <w:rFonts w:ascii="Arial" w:hAnsi="Arial" w:cs="Arial"/>
                <w:b/>
                <w:bCs/>
                <w:color w:val="FFFFFF"/>
                <w:sz w:val="14"/>
                <w:szCs w:val="14"/>
                <w:vertAlign w:val="subscript"/>
              </w:rPr>
              <w:t>10</w:t>
            </w:r>
            <w:r w:rsidRPr="006F1D04">
              <w:rPr>
                <w:rFonts w:ascii="Arial" w:hAnsi="Arial" w:cs="Arial"/>
                <w:b/>
                <w:bCs/>
                <w:color w:val="FFFFFF"/>
                <w:sz w:val="14"/>
                <w:szCs w:val="14"/>
              </w:rPr>
              <w:t xml:space="preserve"> of 50 </w:t>
            </w:r>
            <w:proofErr w:type="spellStart"/>
            <w:r w:rsidRPr="006F1D04">
              <w:rPr>
                <w:rFonts w:ascii="Arial" w:hAnsi="Arial" w:cs="Arial"/>
                <w:b/>
                <w:bCs/>
                <w:color w:val="FFFFFF"/>
                <w:sz w:val="14"/>
                <w:szCs w:val="14"/>
              </w:rPr>
              <w:t>μg</w:t>
            </w:r>
            <w:proofErr w:type="spellEnd"/>
            <w:r w:rsidRPr="006F1D04">
              <w:rPr>
                <w:rFonts w:ascii="Arial" w:hAnsi="Arial" w:cs="Arial"/>
                <w:b/>
                <w:bCs/>
                <w:color w:val="FFFFFF"/>
                <w:sz w:val="14"/>
                <w:szCs w:val="14"/>
              </w:rPr>
              <w:t>/m</w:t>
            </w:r>
            <w:r w:rsidRPr="006F1D04">
              <w:rPr>
                <w:rFonts w:ascii="Arial" w:hAnsi="Arial" w:cs="Arial"/>
                <w:b/>
                <w:bCs/>
                <w:color w:val="FFFFFF"/>
                <w:sz w:val="14"/>
                <w:szCs w:val="14"/>
                <w:vertAlign w:val="superscript"/>
              </w:rPr>
              <w:t>3</w:t>
            </w:r>
            <w:r w:rsidRPr="006F1D04">
              <w:rPr>
                <w:rFonts w:ascii="Arial" w:hAnsi="Arial" w:cs="Arial"/>
                <w:b/>
                <w:bCs/>
                <w:color w:val="FFFFFF"/>
                <w:sz w:val="14"/>
                <w:szCs w:val="14"/>
              </w:rPr>
              <w:t xml:space="preserve"> per year</w:t>
            </w:r>
          </w:p>
        </w:tc>
      </w:tr>
      <w:tr w:rsidR="00AE0248" w:rsidRPr="006F1D04" w:rsidTr="000F0DA7">
        <w:trPr>
          <w:trHeight w:val="300"/>
          <w:jc w:val="center"/>
        </w:trPr>
        <w:tc>
          <w:tcPr>
            <w:tcW w:w="2256" w:type="dxa"/>
            <w:vMerge/>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p>
        </w:tc>
        <w:tc>
          <w:tcPr>
            <w:tcW w:w="595"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2003</w:t>
            </w:r>
          </w:p>
        </w:tc>
        <w:tc>
          <w:tcPr>
            <w:tcW w:w="595"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2004</w:t>
            </w:r>
          </w:p>
        </w:tc>
        <w:tc>
          <w:tcPr>
            <w:tcW w:w="596"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2005</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2006</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2007</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2008</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2009</w:t>
            </w:r>
          </w:p>
        </w:tc>
        <w:tc>
          <w:tcPr>
            <w:tcW w:w="596"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2010</w:t>
            </w:r>
          </w:p>
        </w:tc>
        <w:tc>
          <w:tcPr>
            <w:tcW w:w="595"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2011</w:t>
            </w:r>
          </w:p>
        </w:tc>
        <w:tc>
          <w:tcPr>
            <w:tcW w:w="596"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2012</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Adelaide: Birkenhead</w:t>
            </w:r>
          </w:p>
        </w:tc>
        <w:tc>
          <w:tcPr>
            <w:tcW w:w="595"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6</w:t>
            </w:r>
          </w:p>
        </w:tc>
        <w:tc>
          <w:tcPr>
            <w:tcW w:w="596"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w:t>
            </w:r>
          </w:p>
        </w:tc>
        <w:tc>
          <w:tcPr>
            <w:tcW w:w="595"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6</w:t>
            </w:r>
          </w:p>
        </w:tc>
        <w:tc>
          <w:tcPr>
            <w:tcW w:w="595"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6</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Adelaide: Christie Downs</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6"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Adelaide: Elizabeth Downs</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6</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12</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Adelaide: Kensington Gardens</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Adelaide: Netley</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6</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6</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11</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Spencer: Pt Pirie Frank Green Pk</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10</w:t>
            </w:r>
          </w:p>
        </w:tc>
        <w:tc>
          <w:tcPr>
            <w:tcW w:w="596"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13</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Spencer: Pt Pirie Oliver Street</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6</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13</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17</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14</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Spencer: Whyalla Schultz Pk</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6</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Spencer: Whyalla Walls St</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30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29</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25</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17</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23</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10</w:t>
            </w:r>
          </w:p>
        </w:tc>
      </w:tr>
    </w:tbl>
    <w:p w:rsidR="00AE0248" w:rsidRPr="006F1D04" w:rsidRDefault="00AE0248" w:rsidP="00AE0248">
      <w:pPr>
        <w:spacing w:after="200" w:line="240" w:lineRule="auto"/>
        <w:rPr>
          <w:rFonts w:ascii="Arial" w:hAnsi="Arial" w:cs="Arial"/>
        </w:rPr>
      </w:pPr>
    </w:p>
    <w:p w:rsidR="00AE0248" w:rsidRPr="006F1D04" w:rsidRDefault="00AE0248" w:rsidP="00AE0248">
      <w:pPr>
        <w:pStyle w:val="Caption"/>
        <w:tabs>
          <w:tab w:val="left" w:pos="8647"/>
        </w:tabs>
        <w:ind w:left="426" w:right="379"/>
        <w:rPr>
          <w:rFonts w:ascii="Arial" w:hAnsi="Arial" w:cs="Arial"/>
        </w:rPr>
      </w:pPr>
      <w:r w:rsidRPr="006F1D04">
        <w:rPr>
          <w:rFonts w:ascii="Arial" w:hAnsi="Arial" w:cs="Arial"/>
        </w:rPr>
        <w:t>Table E.6: Exceedances of 24-hour PM</w:t>
      </w:r>
      <w:r w:rsidRPr="006F1D04">
        <w:rPr>
          <w:rFonts w:ascii="Arial" w:hAnsi="Arial" w:cs="Arial"/>
          <w:vertAlign w:val="subscript"/>
        </w:rPr>
        <w:t>10</w:t>
      </w:r>
      <w:r w:rsidRPr="006F1D04">
        <w:rPr>
          <w:rFonts w:ascii="Arial" w:hAnsi="Arial" w:cs="Arial"/>
        </w:rPr>
        <w:t xml:space="preserve"> standard and goal in WA (sites and years with more than </w:t>
      </w:r>
      <w:r w:rsidR="00901FEE" w:rsidRPr="006F1D04">
        <w:rPr>
          <w:rFonts w:ascii="Arial" w:hAnsi="Arial" w:cs="Arial"/>
        </w:rPr>
        <w:t>five</w:t>
      </w:r>
      <w:r w:rsidRPr="006F1D04">
        <w:rPr>
          <w:rFonts w:ascii="Arial" w:hAnsi="Arial" w:cs="Arial"/>
        </w:rPr>
        <w:t xml:space="preserve"> exceedances are highlighted in red; shaded cells represent no monitoring or years with &lt;75% of data)</w:t>
      </w:r>
    </w:p>
    <w:tbl>
      <w:tblPr>
        <w:tblW w:w="821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256"/>
        <w:gridCol w:w="595"/>
        <w:gridCol w:w="595"/>
        <w:gridCol w:w="596"/>
        <w:gridCol w:w="595"/>
        <w:gridCol w:w="596"/>
        <w:gridCol w:w="595"/>
        <w:gridCol w:w="595"/>
        <w:gridCol w:w="596"/>
        <w:gridCol w:w="595"/>
        <w:gridCol w:w="596"/>
      </w:tblGrid>
      <w:tr w:rsidR="00AE0248" w:rsidRPr="006F1D04" w:rsidTr="000F0DA7">
        <w:trPr>
          <w:trHeight w:val="300"/>
          <w:jc w:val="center"/>
        </w:trPr>
        <w:tc>
          <w:tcPr>
            <w:tcW w:w="2256" w:type="dxa"/>
            <w:vMerge w:val="restart"/>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Monitoring site</w:t>
            </w:r>
          </w:p>
        </w:tc>
        <w:tc>
          <w:tcPr>
            <w:tcW w:w="5954" w:type="dxa"/>
            <w:gridSpan w:val="10"/>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Number of exceedances of 24-hour mean PM</w:t>
            </w:r>
            <w:r w:rsidRPr="006F1D04">
              <w:rPr>
                <w:rFonts w:ascii="Arial" w:hAnsi="Arial" w:cs="Arial"/>
                <w:b/>
                <w:bCs/>
                <w:color w:val="FFFFFF"/>
                <w:sz w:val="14"/>
                <w:szCs w:val="14"/>
                <w:vertAlign w:val="subscript"/>
              </w:rPr>
              <w:t>10</w:t>
            </w:r>
            <w:r w:rsidRPr="006F1D04">
              <w:rPr>
                <w:rFonts w:ascii="Arial" w:hAnsi="Arial" w:cs="Arial"/>
                <w:b/>
                <w:bCs/>
                <w:color w:val="FFFFFF"/>
                <w:sz w:val="14"/>
                <w:szCs w:val="14"/>
              </w:rPr>
              <w:t xml:space="preserve"> of 50 </w:t>
            </w:r>
            <w:proofErr w:type="spellStart"/>
            <w:r w:rsidRPr="006F1D04">
              <w:rPr>
                <w:rFonts w:ascii="Arial" w:hAnsi="Arial" w:cs="Arial"/>
                <w:b/>
                <w:bCs/>
                <w:color w:val="FFFFFF"/>
                <w:sz w:val="14"/>
                <w:szCs w:val="14"/>
              </w:rPr>
              <w:t>μg</w:t>
            </w:r>
            <w:proofErr w:type="spellEnd"/>
            <w:r w:rsidRPr="006F1D04">
              <w:rPr>
                <w:rFonts w:ascii="Arial" w:hAnsi="Arial" w:cs="Arial"/>
                <w:b/>
                <w:bCs/>
                <w:color w:val="FFFFFF"/>
                <w:sz w:val="14"/>
                <w:szCs w:val="14"/>
              </w:rPr>
              <w:t>/m</w:t>
            </w:r>
            <w:r w:rsidRPr="006F1D04">
              <w:rPr>
                <w:rFonts w:ascii="Arial" w:hAnsi="Arial" w:cs="Arial"/>
                <w:b/>
                <w:bCs/>
                <w:color w:val="FFFFFF"/>
                <w:sz w:val="14"/>
                <w:szCs w:val="14"/>
                <w:vertAlign w:val="superscript"/>
              </w:rPr>
              <w:t>3</w:t>
            </w:r>
            <w:r w:rsidRPr="006F1D04">
              <w:rPr>
                <w:rFonts w:ascii="Arial" w:hAnsi="Arial" w:cs="Arial"/>
                <w:b/>
                <w:bCs/>
                <w:color w:val="FFFFFF"/>
                <w:sz w:val="14"/>
                <w:szCs w:val="14"/>
              </w:rPr>
              <w:t xml:space="preserve"> per year</w:t>
            </w:r>
          </w:p>
        </w:tc>
      </w:tr>
      <w:tr w:rsidR="00AE0248" w:rsidRPr="006F1D04" w:rsidTr="000F0DA7">
        <w:trPr>
          <w:trHeight w:val="300"/>
          <w:jc w:val="center"/>
        </w:trPr>
        <w:tc>
          <w:tcPr>
            <w:tcW w:w="2256" w:type="dxa"/>
            <w:vMerge/>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p>
        </w:tc>
        <w:tc>
          <w:tcPr>
            <w:tcW w:w="595"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2003</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2004</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2005</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2006</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2007</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2008</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2009</w:t>
            </w:r>
          </w:p>
        </w:tc>
        <w:tc>
          <w:tcPr>
            <w:tcW w:w="596"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2010</w:t>
            </w:r>
          </w:p>
        </w:tc>
        <w:tc>
          <w:tcPr>
            <w:tcW w:w="595"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2011</w:t>
            </w:r>
          </w:p>
        </w:tc>
        <w:tc>
          <w:tcPr>
            <w:tcW w:w="596"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2012</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Perth: Caversham</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Perth: Duncraig</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Perth: South Lake</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Albany</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Bunbury</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w:t>
            </w:r>
          </w:p>
        </w:tc>
        <w:tc>
          <w:tcPr>
            <w:tcW w:w="596"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5"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6"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Collie</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7</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16</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6</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Geraldton</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14</w:t>
            </w: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r>
    </w:tbl>
    <w:p w:rsidR="00AE0248" w:rsidRPr="006F1D04" w:rsidRDefault="00AE0248" w:rsidP="00AE0248">
      <w:pPr>
        <w:spacing w:after="200" w:line="240" w:lineRule="auto"/>
        <w:rPr>
          <w:rFonts w:ascii="Arial" w:hAnsi="Arial" w:cs="Arial"/>
        </w:rPr>
      </w:pPr>
    </w:p>
    <w:p w:rsidR="00AE0248" w:rsidRPr="006F1D04" w:rsidRDefault="00AE0248" w:rsidP="00AE0248">
      <w:pPr>
        <w:pStyle w:val="Caption"/>
        <w:ind w:left="426" w:right="379"/>
        <w:rPr>
          <w:rFonts w:ascii="Arial" w:hAnsi="Arial" w:cs="Arial"/>
        </w:rPr>
      </w:pPr>
      <w:r w:rsidRPr="006F1D04">
        <w:rPr>
          <w:rFonts w:ascii="Arial" w:hAnsi="Arial" w:cs="Arial"/>
        </w:rPr>
        <w:t>Table E.7: Exceedances of 24-hour PM</w:t>
      </w:r>
      <w:r w:rsidRPr="006F1D04">
        <w:rPr>
          <w:rFonts w:ascii="Arial" w:hAnsi="Arial" w:cs="Arial"/>
          <w:vertAlign w:val="subscript"/>
        </w:rPr>
        <w:t>10</w:t>
      </w:r>
      <w:r w:rsidRPr="006F1D04">
        <w:rPr>
          <w:rFonts w:ascii="Arial" w:hAnsi="Arial" w:cs="Arial"/>
        </w:rPr>
        <w:t xml:space="preserve"> standard and goal in TAS (sites and years with more than </w:t>
      </w:r>
      <w:r w:rsidR="00901FEE" w:rsidRPr="006F1D04">
        <w:rPr>
          <w:rFonts w:ascii="Arial" w:hAnsi="Arial" w:cs="Arial"/>
        </w:rPr>
        <w:t>five</w:t>
      </w:r>
      <w:r w:rsidRPr="006F1D04">
        <w:rPr>
          <w:rFonts w:ascii="Arial" w:hAnsi="Arial" w:cs="Arial"/>
        </w:rPr>
        <w:t xml:space="preserve"> exceedances are highlighted in red; shaded cells represent no monitoring or years with &lt;75% of data)</w:t>
      </w:r>
    </w:p>
    <w:tbl>
      <w:tblPr>
        <w:tblW w:w="821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256"/>
        <w:gridCol w:w="595"/>
        <w:gridCol w:w="595"/>
        <w:gridCol w:w="596"/>
        <w:gridCol w:w="595"/>
        <w:gridCol w:w="596"/>
        <w:gridCol w:w="595"/>
        <w:gridCol w:w="595"/>
        <w:gridCol w:w="596"/>
        <w:gridCol w:w="595"/>
        <w:gridCol w:w="596"/>
      </w:tblGrid>
      <w:tr w:rsidR="00AE0248" w:rsidRPr="006F1D04" w:rsidTr="000F0DA7">
        <w:trPr>
          <w:trHeight w:val="300"/>
          <w:jc w:val="center"/>
        </w:trPr>
        <w:tc>
          <w:tcPr>
            <w:tcW w:w="2256" w:type="dxa"/>
            <w:vMerge w:val="restart"/>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Monitoring site</w:t>
            </w:r>
          </w:p>
        </w:tc>
        <w:tc>
          <w:tcPr>
            <w:tcW w:w="5954" w:type="dxa"/>
            <w:gridSpan w:val="10"/>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Number of exceedances of 24-hour mean PM</w:t>
            </w:r>
            <w:r w:rsidRPr="006F1D04">
              <w:rPr>
                <w:rFonts w:ascii="Arial" w:hAnsi="Arial" w:cs="Arial"/>
                <w:b/>
                <w:bCs/>
                <w:color w:val="FFFFFF"/>
                <w:sz w:val="14"/>
                <w:szCs w:val="14"/>
                <w:vertAlign w:val="subscript"/>
              </w:rPr>
              <w:t>10</w:t>
            </w:r>
            <w:r w:rsidRPr="006F1D04">
              <w:rPr>
                <w:rFonts w:ascii="Arial" w:hAnsi="Arial" w:cs="Arial"/>
                <w:b/>
                <w:bCs/>
                <w:color w:val="FFFFFF"/>
                <w:sz w:val="14"/>
                <w:szCs w:val="14"/>
              </w:rPr>
              <w:t xml:space="preserve"> of 50 </w:t>
            </w:r>
            <w:proofErr w:type="spellStart"/>
            <w:r w:rsidRPr="006F1D04">
              <w:rPr>
                <w:rFonts w:ascii="Arial" w:hAnsi="Arial" w:cs="Arial"/>
                <w:b/>
                <w:bCs/>
                <w:color w:val="FFFFFF"/>
                <w:sz w:val="14"/>
                <w:szCs w:val="14"/>
              </w:rPr>
              <w:t>μg</w:t>
            </w:r>
            <w:proofErr w:type="spellEnd"/>
            <w:r w:rsidRPr="006F1D04">
              <w:rPr>
                <w:rFonts w:ascii="Arial" w:hAnsi="Arial" w:cs="Arial"/>
                <w:b/>
                <w:bCs/>
                <w:color w:val="FFFFFF"/>
                <w:sz w:val="14"/>
                <w:szCs w:val="14"/>
              </w:rPr>
              <w:t>/m</w:t>
            </w:r>
            <w:r w:rsidRPr="006F1D04">
              <w:rPr>
                <w:rFonts w:ascii="Arial" w:hAnsi="Arial" w:cs="Arial"/>
                <w:b/>
                <w:bCs/>
                <w:color w:val="FFFFFF"/>
                <w:sz w:val="14"/>
                <w:szCs w:val="14"/>
                <w:vertAlign w:val="superscript"/>
              </w:rPr>
              <w:t>3</w:t>
            </w:r>
            <w:r w:rsidRPr="006F1D04">
              <w:rPr>
                <w:rFonts w:ascii="Arial" w:hAnsi="Arial" w:cs="Arial"/>
                <w:b/>
                <w:bCs/>
                <w:color w:val="FFFFFF"/>
                <w:sz w:val="14"/>
                <w:szCs w:val="14"/>
              </w:rPr>
              <w:t xml:space="preserve"> per year</w:t>
            </w:r>
          </w:p>
        </w:tc>
      </w:tr>
      <w:tr w:rsidR="00AE0248" w:rsidRPr="006F1D04" w:rsidTr="000F0DA7">
        <w:trPr>
          <w:trHeight w:val="300"/>
          <w:jc w:val="center"/>
        </w:trPr>
        <w:tc>
          <w:tcPr>
            <w:tcW w:w="2256" w:type="dxa"/>
            <w:vMerge/>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2003</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2004</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2005</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2006</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2007</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2008</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2009</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2010</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2011</w:t>
            </w:r>
          </w:p>
        </w:tc>
        <w:tc>
          <w:tcPr>
            <w:tcW w:w="596"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2012</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Launceston: Ti Tree Bend</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23</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10</w:t>
            </w:r>
          </w:p>
        </w:tc>
        <w:tc>
          <w:tcPr>
            <w:tcW w:w="596"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14</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w:t>
            </w:r>
          </w:p>
        </w:tc>
        <w:tc>
          <w:tcPr>
            <w:tcW w:w="596"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w:t>
            </w:r>
          </w:p>
        </w:tc>
        <w:tc>
          <w:tcPr>
            <w:tcW w:w="595"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Hobart: New Town</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George Town</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6"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r>
    </w:tbl>
    <w:p w:rsidR="00AE0248" w:rsidRPr="006F1D04" w:rsidRDefault="00AE0248" w:rsidP="00AE0248">
      <w:pPr>
        <w:spacing w:after="200" w:line="240" w:lineRule="auto"/>
        <w:rPr>
          <w:rFonts w:ascii="Arial" w:hAnsi="Arial" w:cs="Arial"/>
        </w:rPr>
      </w:pPr>
    </w:p>
    <w:p w:rsidR="00AE0248" w:rsidRPr="006F1D04" w:rsidRDefault="00AE0248" w:rsidP="00AE0248">
      <w:pPr>
        <w:pStyle w:val="Caption"/>
        <w:ind w:left="426" w:right="379"/>
        <w:rPr>
          <w:rFonts w:ascii="Arial" w:hAnsi="Arial" w:cs="Arial"/>
        </w:rPr>
      </w:pPr>
      <w:r w:rsidRPr="006F1D04">
        <w:rPr>
          <w:rFonts w:ascii="Arial" w:hAnsi="Arial" w:cs="Arial"/>
        </w:rPr>
        <w:t>Table E.8: Exceedances of 24-hour PM</w:t>
      </w:r>
      <w:r w:rsidRPr="006F1D04">
        <w:rPr>
          <w:rFonts w:ascii="Arial" w:hAnsi="Arial" w:cs="Arial"/>
          <w:vertAlign w:val="subscript"/>
        </w:rPr>
        <w:t>10</w:t>
      </w:r>
      <w:r w:rsidRPr="006F1D04">
        <w:rPr>
          <w:rFonts w:ascii="Arial" w:hAnsi="Arial" w:cs="Arial"/>
        </w:rPr>
        <w:t xml:space="preserve"> standard and goal in NT (sites and years with more than </w:t>
      </w:r>
      <w:r w:rsidR="00901FEE" w:rsidRPr="006F1D04">
        <w:rPr>
          <w:rFonts w:ascii="Arial" w:hAnsi="Arial" w:cs="Arial"/>
        </w:rPr>
        <w:t>five</w:t>
      </w:r>
      <w:r w:rsidRPr="006F1D04">
        <w:rPr>
          <w:rFonts w:ascii="Arial" w:hAnsi="Arial" w:cs="Arial"/>
        </w:rPr>
        <w:t xml:space="preserve"> exceedances are highlighted in red; shaded cells represent no monitoring or years with &lt;75% of data)</w:t>
      </w:r>
    </w:p>
    <w:tbl>
      <w:tblPr>
        <w:tblW w:w="821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256"/>
        <w:gridCol w:w="595"/>
        <w:gridCol w:w="595"/>
        <w:gridCol w:w="596"/>
        <w:gridCol w:w="595"/>
        <w:gridCol w:w="596"/>
        <w:gridCol w:w="595"/>
        <w:gridCol w:w="595"/>
        <w:gridCol w:w="596"/>
        <w:gridCol w:w="595"/>
        <w:gridCol w:w="596"/>
      </w:tblGrid>
      <w:tr w:rsidR="00AE0248" w:rsidRPr="006F1D04" w:rsidTr="000F0DA7">
        <w:trPr>
          <w:trHeight w:val="300"/>
          <w:jc w:val="center"/>
        </w:trPr>
        <w:tc>
          <w:tcPr>
            <w:tcW w:w="2256" w:type="dxa"/>
            <w:vMerge w:val="restart"/>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Monitoring site</w:t>
            </w:r>
          </w:p>
        </w:tc>
        <w:tc>
          <w:tcPr>
            <w:tcW w:w="5954" w:type="dxa"/>
            <w:gridSpan w:val="10"/>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Number of exceedances of 24-hour mean PM</w:t>
            </w:r>
            <w:r w:rsidRPr="006F1D04">
              <w:rPr>
                <w:rFonts w:ascii="Arial" w:hAnsi="Arial" w:cs="Arial"/>
                <w:b/>
                <w:bCs/>
                <w:color w:val="FFFFFF"/>
                <w:sz w:val="14"/>
                <w:szCs w:val="14"/>
                <w:vertAlign w:val="subscript"/>
              </w:rPr>
              <w:t>10</w:t>
            </w:r>
            <w:r w:rsidRPr="006F1D04">
              <w:rPr>
                <w:rFonts w:ascii="Arial" w:hAnsi="Arial" w:cs="Arial"/>
                <w:b/>
                <w:bCs/>
                <w:color w:val="FFFFFF"/>
                <w:sz w:val="14"/>
                <w:szCs w:val="14"/>
              </w:rPr>
              <w:t xml:space="preserve"> of 50 </w:t>
            </w:r>
            <w:proofErr w:type="spellStart"/>
            <w:r w:rsidRPr="006F1D04">
              <w:rPr>
                <w:rFonts w:ascii="Arial" w:hAnsi="Arial" w:cs="Arial"/>
                <w:b/>
                <w:bCs/>
                <w:color w:val="FFFFFF"/>
                <w:sz w:val="14"/>
                <w:szCs w:val="14"/>
              </w:rPr>
              <w:t>μg</w:t>
            </w:r>
            <w:proofErr w:type="spellEnd"/>
            <w:r w:rsidRPr="006F1D04">
              <w:rPr>
                <w:rFonts w:ascii="Arial" w:hAnsi="Arial" w:cs="Arial"/>
                <w:b/>
                <w:bCs/>
                <w:color w:val="FFFFFF"/>
                <w:sz w:val="14"/>
                <w:szCs w:val="14"/>
              </w:rPr>
              <w:t>/m</w:t>
            </w:r>
            <w:r w:rsidRPr="006F1D04">
              <w:rPr>
                <w:rFonts w:ascii="Arial" w:hAnsi="Arial" w:cs="Arial"/>
                <w:b/>
                <w:bCs/>
                <w:color w:val="FFFFFF"/>
                <w:sz w:val="14"/>
                <w:szCs w:val="14"/>
                <w:vertAlign w:val="superscript"/>
              </w:rPr>
              <w:t>3</w:t>
            </w:r>
            <w:r w:rsidRPr="006F1D04">
              <w:rPr>
                <w:rFonts w:ascii="Arial" w:hAnsi="Arial" w:cs="Arial"/>
                <w:b/>
                <w:bCs/>
                <w:color w:val="FFFFFF"/>
                <w:sz w:val="14"/>
                <w:szCs w:val="14"/>
              </w:rPr>
              <w:t xml:space="preserve"> per year</w:t>
            </w:r>
          </w:p>
        </w:tc>
      </w:tr>
      <w:tr w:rsidR="00AE0248" w:rsidRPr="006F1D04" w:rsidTr="000F0DA7">
        <w:trPr>
          <w:trHeight w:val="300"/>
          <w:jc w:val="center"/>
        </w:trPr>
        <w:tc>
          <w:tcPr>
            <w:tcW w:w="2256" w:type="dxa"/>
            <w:vMerge/>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p>
        </w:tc>
        <w:tc>
          <w:tcPr>
            <w:tcW w:w="595"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2003</w:t>
            </w:r>
          </w:p>
        </w:tc>
        <w:tc>
          <w:tcPr>
            <w:tcW w:w="595"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2004</w:t>
            </w:r>
          </w:p>
        </w:tc>
        <w:tc>
          <w:tcPr>
            <w:tcW w:w="596"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2005</w:t>
            </w:r>
          </w:p>
        </w:tc>
        <w:tc>
          <w:tcPr>
            <w:tcW w:w="595"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2006</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2007</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2008</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2009</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2010</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2011</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2012</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Darwin: Casuarina</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9</w:t>
            </w:r>
          </w:p>
        </w:tc>
        <w:tc>
          <w:tcPr>
            <w:tcW w:w="596"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1</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Darwin: Palmerston</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23</w:t>
            </w:r>
          </w:p>
        </w:tc>
      </w:tr>
    </w:tbl>
    <w:p w:rsidR="00AE0248" w:rsidRPr="006F1D04" w:rsidRDefault="00AE0248" w:rsidP="00AE0248">
      <w:pPr>
        <w:spacing w:after="200" w:line="240" w:lineRule="auto"/>
        <w:rPr>
          <w:rFonts w:ascii="Arial" w:hAnsi="Arial" w:cs="Arial"/>
        </w:rPr>
      </w:pPr>
    </w:p>
    <w:p w:rsidR="00AE0248" w:rsidRPr="006F1D04" w:rsidRDefault="00AE0248" w:rsidP="00AE0248">
      <w:pPr>
        <w:pStyle w:val="Caption"/>
        <w:ind w:left="284" w:right="379"/>
        <w:rPr>
          <w:rFonts w:ascii="Arial" w:hAnsi="Arial" w:cs="Arial"/>
        </w:rPr>
      </w:pPr>
      <w:r w:rsidRPr="006F1D04">
        <w:rPr>
          <w:rFonts w:ascii="Arial" w:hAnsi="Arial" w:cs="Arial"/>
        </w:rPr>
        <w:t>Table E.9: Exceedances of 24-hour PM</w:t>
      </w:r>
      <w:r w:rsidRPr="006F1D04">
        <w:rPr>
          <w:rFonts w:ascii="Arial" w:hAnsi="Arial" w:cs="Arial"/>
          <w:vertAlign w:val="subscript"/>
        </w:rPr>
        <w:t>10</w:t>
      </w:r>
      <w:r w:rsidRPr="006F1D04">
        <w:rPr>
          <w:rFonts w:ascii="Arial" w:hAnsi="Arial" w:cs="Arial"/>
        </w:rPr>
        <w:t xml:space="preserve"> standard and goal in ACT (sites and years with more than </w:t>
      </w:r>
      <w:r w:rsidR="00901FEE" w:rsidRPr="006F1D04">
        <w:rPr>
          <w:rFonts w:ascii="Arial" w:hAnsi="Arial" w:cs="Arial"/>
        </w:rPr>
        <w:t>five</w:t>
      </w:r>
      <w:r w:rsidRPr="006F1D04">
        <w:rPr>
          <w:rFonts w:ascii="Arial" w:hAnsi="Arial" w:cs="Arial"/>
        </w:rPr>
        <w:t xml:space="preserve"> exceedances are highlighted in red; shaded cells represent no monitoring or years with &lt;75% of data)</w:t>
      </w:r>
    </w:p>
    <w:tbl>
      <w:tblPr>
        <w:tblW w:w="821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256"/>
        <w:gridCol w:w="595"/>
        <w:gridCol w:w="595"/>
        <w:gridCol w:w="596"/>
        <w:gridCol w:w="595"/>
        <w:gridCol w:w="596"/>
        <w:gridCol w:w="595"/>
        <w:gridCol w:w="595"/>
        <w:gridCol w:w="596"/>
        <w:gridCol w:w="595"/>
        <w:gridCol w:w="596"/>
      </w:tblGrid>
      <w:tr w:rsidR="00AE0248" w:rsidRPr="006F1D04" w:rsidTr="000F0DA7">
        <w:trPr>
          <w:trHeight w:val="300"/>
          <w:jc w:val="center"/>
        </w:trPr>
        <w:tc>
          <w:tcPr>
            <w:tcW w:w="2256" w:type="dxa"/>
            <w:vMerge w:val="restart"/>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Monitoring site</w:t>
            </w:r>
          </w:p>
        </w:tc>
        <w:tc>
          <w:tcPr>
            <w:tcW w:w="5954" w:type="dxa"/>
            <w:gridSpan w:val="10"/>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Number of exceedances of 24-hour mean PM</w:t>
            </w:r>
            <w:r w:rsidRPr="006F1D04">
              <w:rPr>
                <w:rFonts w:ascii="Arial" w:hAnsi="Arial" w:cs="Arial"/>
                <w:b/>
                <w:bCs/>
                <w:color w:val="FFFFFF"/>
                <w:sz w:val="14"/>
                <w:szCs w:val="14"/>
                <w:vertAlign w:val="subscript"/>
              </w:rPr>
              <w:t>10</w:t>
            </w:r>
            <w:r w:rsidRPr="006F1D04">
              <w:rPr>
                <w:rFonts w:ascii="Arial" w:hAnsi="Arial" w:cs="Arial"/>
                <w:b/>
                <w:bCs/>
                <w:color w:val="FFFFFF"/>
                <w:sz w:val="14"/>
                <w:szCs w:val="14"/>
              </w:rPr>
              <w:t xml:space="preserve"> of 50 </w:t>
            </w:r>
            <w:proofErr w:type="spellStart"/>
            <w:r w:rsidRPr="006F1D04">
              <w:rPr>
                <w:rFonts w:ascii="Arial" w:hAnsi="Arial" w:cs="Arial"/>
                <w:b/>
                <w:bCs/>
                <w:color w:val="FFFFFF"/>
                <w:sz w:val="14"/>
                <w:szCs w:val="14"/>
              </w:rPr>
              <w:t>μg</w:t>
            </w:r>
            <w:proofErr w:type="spellEnd"/>
            <w:r w:rsidRPr="006F1D04">
              <w:rPr>
                <w:rFonts w:ascii="Arial" w:hAnsi="Arial" w:cs="Arial"/>
                <w:b/>
                <w:bCs/>
                <w:color w:val="FFFFFF"/>
                <w:sz w:val="14"/>
                <w:szCs w:val="14"/>
              </w:rPr>
              <w:t>/m</w:t>
            </w:r>
            <w:r w:rsidRPr="006F1D04">
              <w:rPr>
                <w:rFonts w:ascii="Arial" w:hAnsi="Arial" w:cs="Arial"/>
                <w:b/>
                <w:bCs/>
                <w:color w:val="FFFFFF"/>
                <w:sz w:val="14"/>
                <w:szCs w:val="14"/>
                <w:vertAlign w:val="superscript"/>
              </w:rPr>
              <w:t>3</w:t>
            </w:r>
            <w:r w:rsidRPr="006F1D04">
              <w:rPr>
                <w:rFonts w:ascii="Arial" w:hAnsi="Arial" w:cs="Arial"/>
                <w:b/>
                <w:bCs/>
                <w:color w:val="FFFFFF"/>
                <w:sz w:val="14"/>
                <w:szCs w:val="14"/>
              </w:rPr>
              <w:t xml:space="preserve"> per year</w:t>
            </w:r>
          </w:p>
        </w:tc>
      </w:tr>
      <w:tr w:rsidR="00AE0248" w:rsidRPr="006F1D04" w:rsidTr="000F0DA7">
        <w:trPr>
          <w:trHeight w:val="300"/>
          <w:jc w:val="center"/>
        </w:trPr>
        <w:tc>
          <w:tcPr>
            <w:tcW w:w="2256" w:type="dxa"/>
            <w:vMerge/>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p>
        </w:tc>
        <w:tc>
          <w:tcPr>
            <w:tcW w:w="595"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2003</w:t>
            </w:r>
          </w:p>
        </w:tc>
        <w:tc>
          <w:tcPr>
            <w:tcW w:w="595"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2004</w:t>
            </w:r>
          </w:p>
        </w:tc>
        <w:tc>
          <w:tcPr>
            <w:tcW w:w="596"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2005</w:t>
            </w:r>
          </w:p>
        </w:tc>
        <w:tc>
          <w:tcPr>
            <w:tcW w:w="595"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2006</w:t>
            </w:r>
          </w:p>
        </w:tc>
        <w:tc>
          <w:tcPr>
            <w:tcW w:w="596"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2007</w:t>
            </w:r>
          </w:p>
        </w:tc>
        <w:tc>
          <w:tcPr>
            <w:tcW w:w="595"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2008</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2009</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2010</w:t>
            </w:r>
          </w:p>
        </w:tc>
        <w:tc>
          <w:tcPr>
            <w:tcW w:w="595" w:type="dxa"/>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2011</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2012</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Canberra: Civic</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Canberra: Monash</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13</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6"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10</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w:t>
            </w:r>
          </w:p>
        </w:tc>
        <w:tc>
          <w:tcPr>
            <w:tcW w:w="596"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bl>
    <w:p w:rsidR="00AE0248" w:rsidRPr="006574FD" w:rsidRDefault="00AE0248" w:rsidP="00AE0248">
      <w:pPr>
        <w:spacing w:after="360" w:line="240" w:lineRule="auto"/>
        <w:rPr>
          <w:rFonts w:ascii="Arial" w:hAnsi="Arial" w:cs="Arial"/>
          <w:b/>
          <w:i/>
          <w:color w:val="0070C0"/>
          <w:sz w:val="20"/>
          <w:szCs w:val="20"/>
        </w:rPr>
      </w:pPr>
      <w:r w:rsidRPr="006F1D04">
        <w:rPr>
          <w:rFonts w:ascii="Arial" w:hAnsi="Arial" w:cs="Arial"/>
        </w:rPr>
        <w:br w:type="page"/>
      </w:r>
      <w:r w:rsidRPr="006574FD">
        <w:rPr>
          <w:rFonts w:ascii="Arial" w:hAnsi="Arial" w:cs="Arial"/>
          <w:b/>
          <w:i/>
          <w:color w:val="0070C0"/>
          <w:sz w:val="20"/>
          <w:szCs w:val="20"/>
        </w:rPr>
        <w:lastRenderedPageBreak/>
        <w:t>Advisory annual mean PM</w:t>
      </w:r>
      <w:r w:rsidRPr="006574FD">
        <w:rPr>
          <w:rFonts w:ascii="Arial" w:hAnsi="Arial" w:cs="Arial"/>
          <w:b/>
          <w:i/>
          <w:color w:val="0070C0"/>
          <w:sz w:val="20"/>
          <w:szCs w:val="20"/>
          <w:vertAlign w:val="subscript"/>
        </w:rPr>
        <w:t>2.5</w:t>
      </w:r>
      <w:r w:rsidRPr="006574FD">
        <w:rPr>
          <w:rFonts w:ascii="Arial" w:hAnsi="Arial" w:cs="Arial"/>
          <w:b/>
          <w:i/>
          <w:color w:val="0070C0"/>
          <w:sz w:val="20"/>
          <w:szCs w:val="20"/>
        </w:rPr>
        <w:t xml:space="preserve"> standard</w:t>
      </w:r>
    </w:p>
    <w:p w:rsidR="00AE0248" w:rsidRPr="006F1D04" w:rsidRDefault="00AE0248" w:rsidP="00AE0248">
      <w:pPr>
        <w:pStyle w:val="Caption"/>
        <w:tabs>
          <w:tab w:val="left" w:pos="8931"/>
        </w:tabs>
        <w:ind w:left="142" w:right="95"/>
        <w:rPr>
          <w:rFonts w:ascii="Arial" w:hAnsi="Arial" w:cs="Arial"/>
        </w:rPr>
      </w:pPr>
      <w:r w:rsidRPr="006F1D04">
        <w:rPr>
          <w:rFonts w:ascii="Arial" w:hAnsi="Arial" w:cs="Arial"/>
        </w:rPr>
        <w:t>Table E.10: Exceedances of advisory annual mean PM</w:t>
      </w:r>
      <w:r w:rsidRPr="006F1D04">
        <w:rPr>
          <w:rFonts w:ascii="Arial" w:hAnsi="Arial" w:cs="Arial"/>
          <w:vertAlign w:val="subscript"/>
        </w:rPr>
        <w:t>2.5</w:t>
      </w:r>
      <w:r w:rsidRPr="006F1D04">
        <w:rPr>
          <w:rFonts w:ascii="Arial" w:hAnsi="Arial" w:cs="Arial"/>
        </w:rPr>
        <w:t xml:space="preserve"> standard of 8 </w:t>
      </w:r>
      <w:proofErr w:type="spellStart"/>
      <w:r w:rsidRPr="006F1D04">
        <w:rPr>
          <w:rFonts w:ascii="Arial" w:hAnsi="Arial" w:cs="Arial"/>
        </w:rPr>
        <w:t>μg</w:t>
      </w:r>
      <w:proofErr w:type="spellEnd"/>
      <w:r w:rsidRPr="006F1D04">
        <w:rPr>
          <w:rFonts w:ascii="Arial" w:hAnsi="Arial" w:cs="Arial"/>
        </w:rPr>
        <w:t>/m</w:t>
      </w:r>
      <w:r w:rsidRPr="006F1D04">
        <w:rPr>
          <w:rFonts w:ascii="Arial" w:hAnsi="Arial" w:cs="Arial"/>
          <w:vertAlign w:val="superscript"/>
        </w:rPr>
        <w:t>3</w:t>
      </w:r>
      <w:r w:rsidRPr="006F1D04">
        <w:rPr>
          <w:rFonts w:ascii="Arial" w:hAnsi="Arial" w:cs="Arial"/>
        </w:rPr>
        <w:t xml:space="preserve"> in NSW (sites and years with values above 8 </w:t>
      </w:r>
      <w:proofErr w:type="spellStart"/>
      <w:r w:rsidRPr="006F1D04">
        <w:rPr>
          <w:rFonts w:ascii="Arial" w:hAnsi="Arial" w:cs="Arial"/>
        </w:rPr>
        <w:t>μg</w:t>
      </w:r>
      <w:proofErr w:type="spellEnd"/>
      <w:r w:rsidRPr="006F1D04">
        <w:rPr>
          <w:rFonts w:ascii="Arial" w:hAnsi="Arial" w:cs="Arial"/>
        </w:rPr>
        <w:t>/m</w:t>
      </w:r>
      <w:r w:rsidRPr="006F1D04">
        <w:rPr>
          <w:rFonts w:ascii="Arial" w:hAnsi="Arial" w:cs="Arial"/>
          <w:vertAlign w:val="superscript"/>
        </w:rPr>
        <w:t>3</w:t>
      </w:r>
      <w:r w:rsidRPr="006F1D04">
        <w:rPr>
          <w:rFonts w:ascii="Arial" w:hAnsi="Arial" w:cs="Arial"/>
        </w:rPr>
        <w:t xml:space="preserve"> are highlighted in red; shaded cells represent no monitoring or years with &lt;75% of data)</w:t>
      </w:r>
    </w:p>
    <w:tbl>
      <w:tblPr>
        <w:tblW w:w="8391"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437"/>
        <w:gridCol w:w="595"/>
        <w:gridCol w:w="595"/>
        <w:gridCol w:w="596"/>
        <w:gridCol w:w="595"/>
        <w:gridCol w:w="596"/>
        <w:gridCol w:w="595"/>
        <w:gridCol w:w="595"/>
        <w:gridCol w:w="596"/>
        <w:gridCol w:w="595"/>
        <w:gridCol w:w="596"/>
      </w:tblGrid>
      <w:tr w:rsidR="00AE0248" w:rsidRPr="006F1D04" w:rsidTr="000F0DA7">
        <w:trPr>
          <w:trHeight w:val="300"/>
          <w:jc w:val="center"/>
        </w:trPr>
        <w:tc>
          <w:tcPr>
            <w:tcW w:w="2437" w:type="dxa"/>
            <w:vMerge w:val="restart"/>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Monitoring site</w:t>
            </w:r>
          </w:p>
        </w:tc>
        <w:tc>
          <w:tcPr>
            <w:tcW w:w="5954" w:type="dxa"/>
            <w:gridSpan w:val="10"/>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Annual average PM</w:t>
            </w:r>
            <w:r w:rsidRPr="006F1D04">
              <w:rPr>
                <w:rFonts w:ascii="Arial" w:hAnsi="Arial" w:cs="Arial"/>
                <w:b/>
                <w:bCs/>
                <w:color w:val="FFFFFF"/>
                <w:sz w:val="14"/>
                <w:szCs w:val="14"/>
                <w:vertAlign w:val="subscript"/>
              </w:rPr>
              <w:t>2.5</w:t>
            </w:r>
            <w:r w:rsidRPr="006F1D04">
              <w:rPr>
                <w:rFonts w:ascii="Arial" w:hAnsi="Arial" w:cs="Arial"/>
                <w:b/>
                <w:bCs/>
                <w:color w:val="FFFFFF"/>
                <w:sz w:val="14"/>
                <w:szCs w:val="14"/>
              </w:rPr>
              <w:t xml:space="preserve"> concentration (</w:t>
            </w:r>
            <w:proofErr w:type="spellStart"/>
            <w:r w:rsidRPr="006F1D04">
              <w:rPr>
                <w:rFonts w:ascii="Arial" w:hAnsi="Arial" w:cs="Arial"/>
                <w:b/>
                <w:bCs/>
                <w:color w:val="FFFFFF"/>
                <w:sz w:val="14"/>
                <w:szCs w:val="14"/>
              </w:rPr>
              <w:t>μg</w:t>
            </w:r>
            <w:proofErr w:type="spellEnd"/>
            <w:r w:rsidRPr="006F1D04">
              <w:rPr>
                <w:rFonts w:ascii="Arial" w:hAnsi="Arial" w:cs="Arial"/>
                <w:b/>
                <w:bCs/>
                <w:color w:val="FFFFFF"/>
                <w:sz w:val="14"/>
                <w:szCs w:val="14"/>
              </w:rPr>
              <w:t>/m</w:t>
            </w:r>
            <w:r w:rsidRPr="006F1D04">
              <w:rPr>
                <w:rFonts w:ascii="Arial" w:hAnsi="Arial" w:cs="Arial"/>
                <w:b/>
                <w:bCs/>
                <w:color w:val="FFFFFF"/>
                <w:sz w:val="14"/>
                <w:szCs w:val="14"/>
                <w:vertAlign w:val="superscript"/>
              </w:rPr>
              <w:t>3</w:t>
            </w:r>
            <w:r w:rsidRPr="006F1D04">
              <w:rPr>
                <w:rFonts w:ascii="Arial" w:hAnsi="Arial" w:cs="Arial"/>
                <w:b/>
                <w:bCs/>
                <w:color w:val="FFFFFF"/>
                <w:sz w:val="14"/>
                <w:szCs w:val="14"/>
              </w:rPr>
              <w:t>)</w:t>
            </w:r>
          </w:p>
        </w:tc>
      </w:tr>
      <w:tr w:rsidR="00AE0248" w:rsidRPr="006F1D04" w:rsidTr="000F0DA7">
        <w:trPr>
          <w:trHeight w:val="300"/>
          <w:jc w:val="center"/>
        </w:trPr>
        <w:tc>
          <w:tcPr>
            <w:tcW w:w="2437" w:type="dxa"/>
            <w:vMerge/>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2003</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2004</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2005</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2006</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2007</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2008</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2009</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2010</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2011</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2012</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Sydney: Chullora</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sz w:val="14"/>
                <w:szCs w:val="14"/>
              </w:rPr>
            </w:pPr>
            <w:r w:rsidRPr="006F1D04">
              <w:rPr>
                <w:rFonts w:ascii="Arial" w:hAnsi="Arial" w:cs="Arial"/>
                <w:b/>
                <w:color w:val="FF0000"/>
                <w:sz w:val="14"/>
                <w:szCs w:val="14"/>
              </w:rPr>
              <w:t>8.6</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7.6</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6.4</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5.9</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6.6</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5.7</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5.9</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6.1</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Sydney: Earlwood</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7.8</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7.5</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6.9</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5.9</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5.5</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5.7</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5.4</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5.6</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Sydney: Liverpool</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9.2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8.4</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8.9</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6.5</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7.5</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6.3</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5.9</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sz w:val="14"/>
                <w:szCs w:val="14"/>
              </w:rPr>
            </w:pPr>
            <w:r w:rsidRPr="006F1D04">
              <w:rPr>
                <w:rFonts w:ascii="Arial" w:hAnsi="Arial" w:cs="Arial"/>
                <w:b/>
                <w:color w:val="FF0000"/>
                <w:sz w:val="14"/>
                <w:szCs w:val="14"/>
              </w:rPr>
              <w:t>8.5</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Sydney: Richmond</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6.6</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6.5</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5.8</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5.9</w:t>
            </w:r>
          </w:p>
        </w:tc>
        <w:tc>
          <w:tcPr>
            <w:tcW w:w="596"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7.3</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5.2</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4.2</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4.7</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5.3</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Sydney: Westmead</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sz w:val="14"/>
                <w:szCs w:val="14"/>
              </w:rPr>
            </w:pPr>
            <w:r w:rsidRPr="006F1D04">
              <w:rPr>
                <w:rFonts w:ascii="Arial" w:hAnsi="Arial" w:cs="Arial"/>
                <w:b/>
                <w:color w:val="FF0000"/>
                <w:sz w:val="14"/>
                <w:szCs w:val="14"/>
              </w:rPr>
              <w:t>8.2</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Sydney: Woolooware</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7.5</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Lower Hunter: Beresfield</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7.7</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6.8</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6.8</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6.3</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7.9</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5.5</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7.9</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Lower Hunter: Wallsend</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6.6</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6.7</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6.5</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6.4</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5.8</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5.9</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6.8</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4.6</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4.8</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5.1</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Upper Hunter: Camberwell</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7.5</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Upper Hunter: Muswellbrook</w:t>
            </w: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9.1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10.1</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Upper Hunter: Singleton</w:t>
            </w:r>
          </w:p>
        </w:tc>
        <w:tc>
          <w:tcPr>
            <w:tcW w:w="595"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7.6</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sz w:val="14"/>
                <w:szCs w:val="14"/>
              </w:rPr>
            </w:pPr>
            <w:r w:rsidRPr="006F1D04">
              <w:rPr>
                <w:rFonts w:ascii="Arial" w:hAnsi="Arial" w:cs="Arial"/>
                <w:b/>
                <w:color w:val="FF0000"/>
                <w:sz w:val="14"/>
                <w:szCs w:val="14"/>
              </w:rPr>
              <w:t>8.0</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Illawarra: Warrawong</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8.8</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8.2</w:t>
            </w:r>
          </w:p>
        </w:tc>
        <w:tc>
          <w:tcPr>
            <w:tcW w:w="596"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7.4</w:t>
            </w:r>
          </w:p>
        </w:tc>
        <w:tc>
          <w:tcPr>
            <w:tcW w:w="595"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Illawarra: Wollongong</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7.3</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6.7</w:t>
            </w:r>
          </w:p>
        </w:tc>
        <w:tc>
          <w:tcPr>
            <w:tcW w:w="596"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6.3</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6.4</w:t>
            </w:r>
          </w:p>
        </w:tc>
        <w:tc>
          <w:tcPr>
            <w:tcW w:w="596"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6.0</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5.3</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6.4</w:t>
            </w:r>
          </w:p>
        </w:tc>
        <w:tc>
          <w:tcPr>
            <w:tcW w:w="596"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5.1</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4.6</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4.6</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Regional NSW: Wagga Wagga</w:t>
            </w:r>
          </w:p>
        </w:tc>
        <w:tc>
          <w:tcPr>
            <w:tcW w:w="595"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sz w:val="14"/>
                <w:szCs w:val="14"/>
              </w:rPr>
            </w:pPr>
            <w:r w:rsidRPr="006F1D04">
              <w:rPr>
                <w:rFonts w:ascii="Arial" w:hAnsi="Arial" w:cs="Arial"/>
                <w:b/>
                <w:color w:val="FF0000"/>
                <w:sz w:val="14"/>
                <w:szCs w:val="14"/>
              </w:rPr>
              <w:t>8.7</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Sydney: Mascot (ANSTO)</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7.7</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sz w:val="14"/>
                <w:szCs w:val="14"/>
              </w:rPr>
            </w:pPr>
            <w:r w:rsidRPr="006F1D04">
              <w:rPr>
                <w:rFonts w:ascii="Arial" w:hAnsi="Arial" w:cs="Arial"/>
                <w:b/>
                <w:color w:val="FF0000"/>
                <w:sz w:val="14"/>
                <w:szCs w:val="14"/>
              </w:rPr>
              <w:t>8.1</w:t>
            </w:r>
          </w:p>
        </w:tc>
        <w:tc>
          <w:tcPr>
            <w:tcW w:w="596"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7.5</w:t>
            </w:r>
          </w:p>
        </w:tc>
        <w:tc>
          <w:tcPr>
            <w:tcW w:w="595"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7.9</w:t>
            </w:r>
          </w:p>
        </w:tc>
        <w:tc>
          <w:tcPr>
            <w:tcW w:w="596"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7.5</w:t>
            </w:r>
          </w:p>
        </w:tc>
        <w:tc>
          <w:tcPr>
            <w:tcW w:w="595"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7.6</w:t>
            </w:r>
          </w:p>
        </w:tc>
        <w:tc>
          <w:tcPr>
            <w:tcW w:w="595"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sz w:val="14"/>
                <w:szCs w:val="14"/>
              </w:rPr>
            </w:pPr>
            <w:r w:rsidRPr="006F1D04">
              <w:rPr>
                <w:rFonts w:ascii="Arial" w:hAnsi="Arial" w:cs="Arial"/>
                <w:b/>
                <w:color w:val="FF0000"/>
                <w:sz w:val="14"/>
                <w:szCs w:val="14"/>
              </w:rPr>
              <w:t>8.9</w:t>
            </w:r>
          </w:p>
        </w:tc>
        <w:tc>
          <w:tcPr>
            <w:tcW w:w="596"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6.9</w:t>
            </w:r>
          </w:p>
        </w:tc>
        <w:tc>
          <w:tcPr>
            <w:tcW w:w="595"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6.9</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7.3</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Sydney: Liverpool (ANSTO)</w:t>
            </w:r>
          </w:p>
        </w:tc>
        <w:tc>
          <w:tcPr>
            <w:tcW w:w="595"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8.4</w:t>
            </w:r>
          </w:p>
        </w:tc>
        <w:tc>
          <w:tcPr>
            <w:tcW w:w="595"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8.5</w:t>
            </w:r>
          </w:p>
        </w:tc>
        <w:tc>
          <w:tcPr>
            <w:tcW w:w="596"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7.8</w:t>
            </w:r>
          </w:p>
        </w:tc>
        <w:tc>
          <w:tcPr>
            <w:tcW w:w="595"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7.8</w:t>
            </w:r>
          </w:p>
        </w:tc>
        <w:tc>
          <w:tcPr>
            <w:tcW w:w="595"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sz w:val="14"/>
                <w:szCs w:val="14"/>
              </w:rPr>
            </w:pPr>
            <w:r w:rsidRPr="006F1D04">
              <w:rPr>
                <w:rFonts w:ascii="Arial" w:hAnsi="Arial" w:cs="Arial"/>
                <w:b/>
                <w:color w:val="FF0000"/>
                <w:sz w:val="14"/>
                <w:szCs w:val="14"/>
              </w:rPr>
              <w:t>9.4</w:t>
            </w:r>
          </w:p>
        </w:tc>
        <w:tc>
          <w:tcPr>
            <w:tcW w:w="596"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Sydney: Lucas Heights (ANSTO)</w:t>
            </w:r>
          </w:p>
        </w:tc>
        <w:tc>
          <w:tcPr>
            <w:tcW w:w="595"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5.3</w:t>
            </w:r>
          </w:p>
        </w:tc>
        <w:tc>
          <w:tcPr>
            <w:tcW w:w="595"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5.6</w:t>
            </w:r>
          </w:p>
        </w:tc>
        <w:tc>
          <w:tcPr>
            <w:tcW w:w="596"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5.3</w:t>
            </w:r>
          </w:p>
        </w:tc>
        <w:tc>
          <w:tcPr>
            <w:tcW w:w="595"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5.5</w:t>
            </w:r>
          </w:p>
        </w:tc>
        <w:tc>
          <w:tcPr>
            <w:tcW w:w="596"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5.1</w:t>
            </w:r>
          </w:p>
        </w:tc>
        <w:tc>
          <w:tcPr>
            <w:tcW w:w="595"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4.6</w:t>
            </w:r>
          </w:p>
        </w:tc>
        <w:tc>
          <w:tcPr>
            <w:tcW w:w="595"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5.7</w:t>
            </w:r>
          </w:p>
        </w:tc>
        <w:tc>
          <w:tcPr>
            <w:tcW w:w="596"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4.9</w:t>
            </w:r>
          </w:p>
        </w:tc>
        <w:tc>
          <w:tcPr>
            <w:tcW w:w="595" w:type="dxa"/>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4.9</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Sydney: Richmond (ANSTO)</w:t>
            </w: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5.9</w:t>
            </w:r>
          </w:p>
        </w:tc>
        <w:tc>
          <w:tcPr>
            <w:tcW w:w="595"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7.1</w:t>
            </w:r>
          </w:p>
        </w:tc>
        <w:tc>
          <w:tcPr>
            <w:tcW w:w="596"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7.2</w:t>
            </w:r>
          </w:p>
        </w:tc>
        <w:tc>
          <w:tcPr>
            <w:tcW w:w="595"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6.1</w:t>
            </w:r>
          </w:p>
        </w:tc>
        <w:tc>
          <w:tcPr>
            <w:tcW w:w="595" w:type="dxa"/>
            <w:tcBorders>
              <w:bottom w:val="single" w:sz="4" w:space="0" w:color="0070C0"/>
            </w:tcBorders>
            <w:shd w:val="clear" w:color="000000"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6.8</w:t>
            </w:r>
          </w:p>
        </w:tc>
        <w:tc>
          <w:tcPr>
            <w:tcW w:w="596"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000000"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Lower Hunter: Mayfield (ANSTO)</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7.4</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sz w:val="14"/>
                <w:szCs w:val="14"/>
              </w:rPr>
            </w:pPr>
            <w:r w:rsidRPr="006F1D04">
              <w:rPr>
                <w:rFonts w:ascii="Arial" w:hAnsi="Arial" w:cs="Arial"/>
                <w:b/>
                <w:color w:val="FF0000"/>
                <w:sz w:val="14"/>
                <w:szCs w:val="14"/>
              </w:rPr>
              <w:t>8.1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7.4</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7.9</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7.4</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6.8</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6.4</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6.7</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Illawarra: Warrawong (ANSTO)</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6.8</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6.4</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6.5</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6.4</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6.4</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6.2</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 xml:space="preserve">Upper Hunter: </w:t>
            </w:r>
            <w:proofErr w:type="spellStart"/>
            <w:r w:rsidRPr="006F1D04">
              <w:rPr>
                <w:rFonts w:ascii="Arial" w:hAnsi="Arial" w:cs="Arial"/>
                <w:color w:val="000000"/>
                <w:sz w:val="14"/>
                <w:szCs w:val="14"/>
              </w:rPr>
              <w:t>M’brook</w:t>
            </w:r>
            <w:proofErr w:type="spellEnd"/>
            <w:r w:rsidRPr="006F1D04">
              <w:rPr>
                <w:rFonts w:ascii="Arial" w:hAnsi="Arial" w:cs="Arial"/>
                <w:color w:val="000000"/>
                <w:sz w:val="14"/>
                <w:szCs w:val="14"/>
              </w:rPr>
              <w:t xml:space="preserve"> (ANSTO)</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6.8</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6.3</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6.5</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6.4</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6.7</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5.6</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5.7</w:t>
            </w:r>
          </w:p>
        </w:tc>
      </w:tr>
    </w:tbl>
    <w:p w:rsidR="00AE0248" w:rsidRPr="006F1D04" w:rsidRDefault="00AE0248" w:rsidP="00AE0248">
      <w:pPr>
        <w:spacing w:after="200" w:line="240" w:lineRule="auto"/>
        <w:rPr>
          <w:rFonts w:ascii="Arial" w:hAnsi="Arial" w:cs="Arial"/>
        </w:rPr>
      </w:pPr>
    </w:p>
    <w:p w:rsidR="00AE0248" w:rsidRPr="006F1D04" w:rsidRDefault="00AE0248" w:rsidP="00AE0248">
      <w:pPr>
        <w:pStyle w:val="Caption"/>
        <w:ind w:left="142" w:right="95"/>
        <w:rPr>
          <w:rFonts w:ascii="Arial" w:hAnsi="Arial" w:cs="Arial"/>
        </w:rPr>
      </w:pPr>
      <w:r w:rsidRPr="006F1D04">
        <w:rPr>
          <w:rFonts w:ascii="Arial" w:hAnsi="Arial" w:cs="Arial"/>
        </w:rPr>
        <w:t>Table E.11: Exceedances of advisory annual mean PM</w:t>
      </w:r>
      <w:r w:rsidRPr="006F1D04">
        <w:rPr>
          <w:rFonts w:ascii="Arial" w:hAnsi="Arial" w:cs="Arial"/>
          <w:vertAlign w:val="subscript"/>
        </w:rPr>
        <w:t>2.5</w:t>
      </w:r>
      <w:r w:rsidRPr="006F1D04">
        <w:rPr>
          <w:rFonts w:ascii="Arial" w:hAnsi="Arial" w:cs="Arial"/>
        </w:rPr>
        <w:t xml:space="preserve"> standard of 8 </w:t>
      </w:r>
      <w:proofErr w:type="spellStart"/>
      <w:r w:rsidRPr="006F1D04">
        <w:rPr>
          <w:rFonts w:ascii="Arial" w:hAnsi="Arial" w:cs="Arial"/>
        </w:rPr>
        <w:t>μg</w:t>
      </w:r>
      <w:proofErr w:type="spellEnd"/>
      <w:r w:rsidRPr="006F1D04">
        <w:rPr>
          <w:rFonts w:ascii="Arial" w:hAnsi="Arial" w:cs="Arial"/>
        </w:rPr>
        <w:t>/m</w:t>
      </w:r>
      <w:r w:rsidRPr="006F1D04">
        <w:rPr>
          <w:rFonts w:ascii="Arial" w:hAnsi="Arial" w:cs="Arial"/>
          <w:vertAlign w:val="superscript"/>
        </w:rPr>
        <w:t>3</w:t>
      </w:r>
      <w:r w:rsidRPr="006F1D04">
        <w:rPr>
          <w:rFonts w:ascii="Arial" w:hAnsi="Arial" w:cs="Arial"/>
        </w:rPr>
        <w:t xml:space="preserve"> in VIC (sites and years with values above 8 </w:t>
      </w:r>
      <w:proofErr w:type="spellStart"/>
      <w:r w:rsidRPr="006F1D04">
        <w:rPr>
          <w:rFonts w:ascii="Arial" w:hAnsi="Arial" w:cs="Arial"/>
        </w:rPr>
        <w:t>μg</w:t>
      </w:r>
      <w:proofErr w:type="spellEnd"/>
      <w:r w:rsidRPr="006F1D04">
        <w:rPr>
          <w:rFonts w:ascii="Arial" w:hAnsi="Arial" w:cs="Arial"/>
        </w:rPr>
        <w:t>/m</w:t>
      </w:r>
      <w:r w:rsidRPr="006F1D04">
        <w:rPr>
          <w:rFonts w:ascii="Arial" w:hAnsi="Arial" w:cs="Arial"/>
          <w:vertAlign w:val="superscript"/>
        </w:rPr>
        <w:t>3</w:t>
      </w:r>
      <w:r w:rsidRPr="006F1D04">
        <w:rPr>
          <w:rFonts w:ascii="Arial" w:hAnsi="Arial" w:cs="Arial"/>
        </w:rPr>
        <w:t xml:space="preserve"> are highlighted in red; shaded cells represent no monitoring or years with &lt;75% of data)</w:t>
      </w:r>
    </w:p>
    <w:tbl>
      <w:tblPr>
        <w:tblW w:w="8391"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437"/>
        <w:gridCol w:w="595"/>
        <w:gridCol w:w="595"/>
        <w:gridCol w:w="596"/>
        <w:gridCol w:w="595"/>
        <w:gridCol w:w="596"/>
        <w:gridCol w:w="595"/>
        <w:gridCol w:w="595"/>
        <w:gridCol w:w="596"/>
        <w:gridCol w:w="595"/>
        <w:gridCol w:w="596"/>
      </w:tblGrid>
      <w:tr w:rsidR="00AE0248" w:rsidRPr="006F1D04" w:rsidTr="000F0DA7">
        <w:trPr>
          <w:trHeight w:val="300"/>
          <w:jc w:val="center"/>
        </w:trPr>
        <w:tc>
          <w:tcPr>
            <w:tcW w:w="2437" w:type="dxa"/>
            <w:vMerge w:val="restart"/>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Monitoring site</w:t>
            </w:r>
          </w:p>
        </w:tc>
        <w:tc>
          <w:tcPr>
            <w:tcW w:w="5954" w:type="dxa"/>
            <w:gridSpan w:val="10"/>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Annual average PM</w:t>
            </w:r>
            <w:r w:rsidRPr="006F1D04">
              <w:rPr>
                <w:rFonts w:ascii="Arial" w:hAnsi="Arial" w:cs="Arial"/>
                <w:b/>
                <w:bCs/>
                <w:color w:val="FFFFFF"/>
                <w:sz w:val="14"/>
                <w:szCs w:val="14"/>
                <w:vertAlign w:val="subscript"/>
              </w:rPr>
              <w:t>2.5</w:t>
            </w:r>
            <w:r w:rsidRPr="006F1D04">
              <w:rPr>
                <w:rFonts w:ascii="Arial" w:hAnsi="Arial" w:cs="Arial"/>
                <w:b/>
                <w:bCs/>
                <w:color w:val="FFFFFF"/>
                <w:sz w:val="14"/>
                <w:szCs w:val="14"/>
              </w:rPr>
              <w:t xml:space="preserve"> concentration (</w:t>
            </w:r>
            <w:proofErr w:type="spellStart"/>
            <w:r w:rsidRPr="006F1D04">
              <w:rPr>
                <w:rFonts w:ascii="Arial" w:hAnsi="Arial" w:cs="Arial"/>
                <w:b/>
                <w:bCs/>
                <w:color w:val="FFFFFF"/>
                <w:sz w:val="14"/>
                <w:szCs w:val="14"/>
              </w:rPr>
              <w:t>μg</w:t>
            </w:r>
            <w:proofErr w:type="spellEnd"/>
            <w:r w:rsidRPr="006F1D04">
              <w:rPr>
                <w:rFonts w:ascii="Arial" w:hAnsi="Arial" w:cs="Arial"/>
                <w:b/>
                <w:bCs/>
                <w:color w:val="FFFFFF"/>
                <w:sz w:val="14"/>
                <w:szCs w:val="14"/>
              </w:rPr>
              <w:t>/m</w:t>
            </w:r>
            <w:r w:rsidRPr="006F1D04">
              <w:rPr>
                <w:rFonts w:ascii="Arial" w:hAnsi="Arial" w:cs="Arial"/>
                <w:b/>
                <w:bCs/>
                <w:color w:val="FFFFFF"/>
                <w:sz w:val="14"/>
                <w:szCs w:val="14"/>
                <w:vertAlign w:val="superscript"/>
              </w:rPr>
              <w:t>3</w:t>
            </w:r>
            <w:r w:rsidRPr="006F1D04">
              <w:rPr>
                <w:rFonts w:ascii="Arial" w:hAnsi="Arial" w:cs="Arial"/>
                <w:b/>
                <w:bCs/>
                <w:color w:val="FFFFFF"/>
                <w:sz w:val="14"/>
                <w:szCs w:val="14"/>
              </w:rPr>
              <w:t>)</w:t>
            </w:r>
          </w:p>
        </w:tc>
      </w:tr>
      <w:tr w:rsidR="00AE0248" w:rsidRPr="006F1D04" w:rsidTr="000F0DA7">
        <w:trPr>
          <w:trHeight w:val="300"/>
          <w:jc w:val="center"/>
        </w:trPr>
        <w:tc>
          <w:tcPr>
            <w:tcW w:w="2437" w:type="dxa"/>
            <w:vMerge/>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2003</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2004</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2005</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2006</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2007</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2008</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2009</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2010</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2011</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2012</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Pt Phil.: Alphington</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sz w:val="14"/>
                <w:szCs w:val="14"/>
              </w:rPr>
            </w:pPr>
            <w:r w:rsidRPr="006F1D04">
              <w:rPr>
                <w:rFonts w:ascii="Arial" w:hAnsi="Arial" w:cs="Arial"/>
                <w:b/>
                <w:color w:val="FF0000"/>
                <w:sz w:val="14"/>
                <w:szCs w:val="14"/>
              </w:rPr>
              <w:t>8.8</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6.9</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10.6</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8.5</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8.4</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7.4</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6.8</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Pt Phil.: Footscray</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7.7</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6.1</w:t>
            </w: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sz w:val="14"/>
                <w:szCs w:val="14"/>
              </w:rPr>
            </w:pPr>
            <w:r w:rsidRPr="006F1D04">
              <w:rPr>
                <w:rFonts w:ascii="Arial" w:hAnsi="Arial" w:cs="Arial"/>
                <w:b/>
                <w:color w:val="FF0000"/>
                <w:sz w:val="14"/>
                <w:szCs w:val="14"/>
              </w:rPr>
              <w:t>9.6</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7.6</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7.3</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6.8</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6.2</w:t>
            </w:r>
          </w:p>
        </w:tc>
      </w:tr>
    </w:tbl>
    <w:p w:rsidR="00AE0248" w:rsidRPr="006F1D04" w:rsidRDefault="00AE0248" w:rsidP="00AE0248">
      <w:pPr>
        <w:spacing w:after="200" w:line="240" w:lineRule="auto"/>
        <w:rPr>
          <w:rFonts w:ascii="Arial" w:hAnsi="Arial" w:cs="Arial"/>
        </w:rPr>
      </w:pPr>
    </w:p>
    <w:p w:rsidR="00AE0248" w:rsidRPr="006F1D04" w:rsidRDefault="00AE0248" w:rsidP="00AE0248">
      <w:pPr>
        <w:pStyle w:val="Caption"/>
        <w:tabs>
          <w:tab w:val="left" w:pos="8931"/>
        </w:tabs>
        <w:ind w:left="142" w:right="95"/>
        <w:rPr>
          <w:rFonts w:ascii="Arial" w:hAnsi="Arial" w:cs="Arial"/>
        </w:rPr>
      </w:pPr>
      <w:r w:rsidRPr="006F1D04">
        <w:rPr>
          <w:rFonts w:ascii="Arial" w:hAnsi="Arial" w:cs="Arial"/>
        </w:rPr>
        <w:t>Table E.12: Exceedances of advisory annual mean PM</w:t>
      </w:r>
      <w:r w:rsidRPr="006F1D04">
        <w:rPr>
          <w:rFonts w:ascii="Arial" w:hAnsi="Arial" w:cs="Arial"/>
          <w:vertAlign w:val="subscript"/>
        </w:rPr>
        <w:t>2.5</w:t>
      </w:r>
      <w:r w:rsidRPr="006F1D04">
        <w:rPr>
          <w:rFonts w:ascii="Arial" w:hAnsi="Arial" w:cs="Arial"/>
        </w:rPr>
        <w:t xml:space="preserve"> standard of 8 </w:t>
      </w:r>
      <w:proofErr w:type="spellStart"/>
      <w:r w:rsidRPr="006F1D04">
        <w:rPr>
          <w:rFonts w:ascii="Arial" w:hAnsi="Arial" w:cs="Arial"/>
        </w:rPr>
        <w:t>μg</w:t>
      </w:r>
      <w:proofErr w:type="spellEnd"/>
      <w:r w:rsidRPr="006F1D04">
        <w:rPr>
          <w:rFonts w:ascii="Arial" w:hAnsi="Arial" w:cs="Arial"/>
        </w:rPr>
        <w:t>/m</w:t>
      </w:r>
      <w:r w:rsidRPr="006F1D04">
        <w:rPr>
          <w:rFonts w:ascii="Arial" w:hAnsi="Arial" w:cs="Arial"/>
          <w:vertAlign w:val="superscript"/>
        </w:rPr>
        <w:t>3</w:t>
      </w:r>
      <w:r w:rsidRPr="006F1D04">
        <w:rPr>
          <w:rFonts w:ascii="Arial" w:hAnsi="Arial" w:cs="Arial"/>
        </w:rPr>
        <w:t xml:space="preserve"> in QLD (sites and years with values above 8 </w:t>
      </w:r>
      <w:proofErr w:type="spellStart"/>
      <w:r w:rsidRPr="006F1D04">
        <w:rPr>
          <w:rFonts w:ascii="Arial" w:hAnsi="Arial" w:cs="Arial"/>
        </w:rPr>
        <w:t>μg</w:t>
      </w:r>
      <w:proofErr w:type="spellEnd"/>
      <w:r w:rsidRPr="006F1D04">
        <w:rPr>
          <w:rFonts w:ascii="Arial" w:hAnsi="Arial" w:cs="Arial"/>
        </w:rPr>
        <w:t>/m</w:t>
      </w:r>
      <w:r w:rsidRPr="006F1D04">
        <w:rPr>
          <w:rFonts w:ascii="Arial" w:hAnsi="Arial" w:cs="Arial"/>
          <w:vertAlign w:val="superscript"/>
        </w:rPr>
        <w:t>3</w:t>
      </w:r>
      <w:r w:rsidRPr="006F1D04">
        <w:rPr>
          <w:rFonts w:ascii="Arial" w:hAnsi="Arial" w:cs="Arial"/>
        </w:rPr>
        <w:t xml:space="preserve"> are highlighted in red; shaded cells represent no monitoring or years with &lt;75% of data)</w:t>
      </w:r>
    </w:p>
    <w:tbl>
      <w:tblPr>
        <w:tblW w:w="8391"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437"/>
        <w:gridCol w:w="595"/>
        <w:gridCol w:w="595"/>
        <w:gridCol w:w="596"/>
        <w:gridCol w:w="595"/>
        <w:gridCol w:w="596"/>
        <w:gridCol w:w="595"/>
        <w:gridCol w:w="595"/>
        <w:gridCol w:w="596"/>
        <w:gridCol w:w="595"/>
        <w:gridCol w:w="596"/>
      </w:tblGrid>
      <w:tr w:rsidR="00AE0248" w:rsidRPr="006F1D04" w:rsidTr="000F0DA7">
        <w:trPr>
          <w:trHeight w:val="300"/>
          <w:jc w:val="center"/>
        </w:trPr>
        <w:tc>
          <w:tcPr>
            <w:tcW w:w="2437" w:type="dxa"/>
            <w:vMerge w:val="restart"/>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Monitoring site</w:t>
            </w:r>
          </w:p>
        </w:tc>
        <w:tc>
          <w:tcPr>
            <w:tcW w:w="5954" w:type="dxa"/>
            <w:gridSpan w:val="10"/>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Annual average PM</w:t>
            </w:r>
            <w:r w:rsidRPr="006F1D04">
              <w:rPr>
                <w:rFonts w:ascii="Arial" w:hAnsi="Arial" w:cs="Arial"/>
                <w:b/>
                <w:bCs/>
                <w:color w:val="FFFFFF"/>
                <w:sz w:val="14"/>
                <w:szCs w:val="14"/>
                <w:vertAlign w:val="subscript"/>
              </w:rPr>
              <w:t>2.5</w:t>
            </w:r>
            <w:r w:rsidRPr="006F1D04">
              <w:rPr>
                <w:rFonts w:ascii="Arial" w:hAnsi="Arial" w:cs="Arial"/>
                <w:b/>
                <w:bCs/>
                <w:color w:val="FFFFFF"/>
                <w:sz w:val="14"/>
                <w:szCs w:val="14"/>
              </w:rPr>
              <w:t xml:space="preserve"> concentration (</w:t>
            </w:r>
            <w:proofErr w:type="spellStart"/>
            <w:r w:rsidRPr="006F1D04">
              <w:rPr>
                <w:rFonts w:ascii="Arial" w:hAnsi="Arial" w:cs="Arial"/>
                <w:b/>
                <w:bCs/>
                <w:color w:val="FFFFFF"/>
                <w:sz w:val="14"/>
                <w:szCs w:val="14"/>
              </w:rPr>
              <w:t>μg</w:t>
            </w:r>
            <w:proofErr w:type="spellEnd"/>
            <w:r w:rsidRPr="006F1D04">
              <w:rPr>
                <w:rFonts w:ascii="Arial" w:hAnsi="Arial" w:cs="Arial"/>
                <w:b/>
                <w:bCs/>
                <w:color w:val="FFFFFF"/>
                <w:sz w:val="14"/>
                <w:szCs w:val="14"/>
              </w:rPr>
              <w:t>/m</w:t>
            </w:r>
            <w:r w:rsidRPr="006F1D04">
              <w:rPr>
                <w:rFonts w:ascii="Arial" w:hAnsi="Arial" w:cs="Arial"/>
                <w:b/>
                <w:bCs/>
                <w:color w:val="FFFFFF"/>
                <w:sz w:val="14"/>
                <w:szCs w:val="14"/>
                <w:vertAlign w:val="superscript"/>
              </w:rPr>
              <w:t>3</w:t>
            </w:r>
            <w:r w:rsidRPr="006F1D04">
              <w:rPr>
                <w:rFonts w:ascii="Arial" w:hAnsi="Arial" w:cs="Arial"/>
                <w:b/>
                <w:bCs/>
                <w:color w:val="FFFFFF"/>
                <w:sz w:val="14"/>
                <w:szCs w:val="14"/>
              </w:rPr>
              <w:t>)</w:t>
            </w:r>
          </w:p>
        </w:tc>
      </w:tr>
      <w:tr w:rsidR="00AE0248" w:rsidRPr="006F1D04" w:rsidTr="000F0DA7">
        <w:trPr>
          <w:trHeight w:val="300"/>
          <w:jc w:val="center"/>
        </w:trPr>
        <w:tc>
          <w:tcPr>
            <w:tcW w:w="2437" w:type="dxa"/>
            <w:vMerge/>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2003</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2004</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2005</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2006</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2007</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2008</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2009</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2010</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2011</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2012</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SEQ: North Toowoomba</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5.2</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4.4</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3.7</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3.6</w:t>
            </w: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SEQ: Rocklea</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4.6</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6.3</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4.4</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3.9</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4.3</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3.7</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10.4</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sz w:val="14"/>
                <w:szCs w:val="14"/>
              </w:rPr>
            </w:pPr>
            <w:r w:rsidRPr="006F1D04">
              <w:rPr>
                <w:rFonts w:ascii="Arial" w:hAnsi="Arial" w:cs="Arial"/>
                <w:b/>
                <w:color w:val="FF0000"/>
                <w:sz w:val="14"/>
                <w:szCs w:val="14"/>
              </w:rPr>
              <w:t>8.3</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SEQ: South Brisbane</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10.4</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6.8</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6.8</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SEQ: Springwood</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5.3</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5.3</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4.5</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4.6</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4.3</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5.1</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4.5</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4.6</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4.4</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SEQ: Woolloongabba</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8.4</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8.3</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8.7</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7.8</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SEQ: Wynnum N</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4.0</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4.8</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4.1</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Gladstone: South Gladstone</w:t>
            </w: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sz w:val="14"/>
                <w:szCs w:val="14"/>
              </w:rPr>
            </w:pPr>
            <w:r w:rsidRPr="006F1D04">
              <w:rPr>
                <w:rFonts w:ascii="Arial" w:hAnsi="Arial" w:cs="Arial"/>
                <w:b/>
                <w:color w:val="FF0000"/>
                <w:sz w:val="14"/>
                <w:szCs w:val="14"/>
              </w:rPr>
              <w:t>9.2</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6.1</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7.5</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5.3</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Gladstone: Clinton</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5.1</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sz w:val="14"/>
                <w:szCs w:val="14"/>
              </w:rPr>
            </w:pPr>
            <w:r w:rsidRPr="006F1D04">
              <w:rPr>
                <w:rFonts w:ascii="Arial" w:hAnsi="Arial" w:cs="Arial"/>
                <w:b/>
                <w:color w:val="FF0000"/>
                <w:sz w:val="14"/>
                <w:szCs w:val="14"/>
              </w:rPr>
              <w:t>9.8</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7.1</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 xml:space="preserve">Gladstone: </w:t>
            </w:r>
            <w:proofErr w:type="spellStart"/>
            <w:r w:rsidRPr="006F1D04">
              <w:rPr>
                <w:rFonts w:ascii="Arial" w:hAnsi="Arial" w:cs="Arial"/>
                <w:sz w:val="14"/>
                <w:szCs w:val="14"/>
              </w:rPr>
              <w:t>Targinie</w:t>
            </w:r>
            <w:proofErr w:type="spellEnd"/>
            <w:r w:rsidRPr="006F1D04">
              <w:rPr>
                <w:rFonts w:ascii="Arial" w:hAnsi="Arial" w:cs="Arial"/>
                <w:sz w:val="14"/>
                <w:szCs w:val="14"/>
              </w:rPr>
              <w:t xml:space="preserve"> (Swans Rd)</w:t>
            </w: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5.2</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3.6</w:t>
            </w: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4.8</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Gladstone: Boat Creek</w:t>
            </w: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sz w:val="14"/>
                <w:szCs w:val="14"/>
              </w:rPr>
            </w:pPr>
            <w:r w:rsidRPr="006F1D04">
              <w:rPr>
                <w:rFonts w:ascii="Arial" w:hAnsi="Arial" w:cs="Arial"/>
                <w:b/>
                <w:color w:val="FF0000"/>
                <w:sz w:val="14"/>
                <w:szCs w:val="14"/>
              </w:rPr>
              <w:t>9.1</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6.7</w:t>
            </w: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Gladstone: Boyne Island</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4.5</w:t>
            </w:r>
          </w:p>
        </w:tc>
      </w:tr>
    </w:tbl>
    <w:p w:rsidR="00AE0248" w:rsidRPr="006F1D04" w:rsidRDefault="00AE0248" w:rsidP="00AE0248">
      <w:pPr>
        <w:spacing w:after="200" w:line="240" w:lineRule="auto"/>
        <w:rPr>
          <w:rFonts w:ascii="Arial" w:hAnsi="Arial" w:cs="Arial"/>
        </w:rPr>
      </w:pPr>
    </w:p>
    <w:p w:rsidR="00AE0248" w:rsidRPr="006F1D04" w:rsidRDefault="00AE0248" w:rsidP="00AE0248">
      <w:pPr>
        <w:pStyle w:val="Caption"/>
        <w:tabs>
          <w:tab w:val="left" w:pos="8789"/>
        </w:tabs>
        <w:ind w:left="142" w:right="237"/>
        <w:rPr>
          <w:rFonts w:ascii="Arial" w:hAnsi="Arial" w:cs="Arial"/>
        </w:rPr>
      </w:pPr>
      <w:r w:rsidRPr="006F1D04">
        <w:rPr>
          <w:rFonts w:ascii="Arial" w:hAnsi="Arial" w:cs="Arial"/>
        </w:rPr>
        <w:lastRenderedPageBreak/>
        <w:t>Table E.13: Exceedances of advisory annual mean PM</w:t>
      </w:r>
      <w:r w:rsidRPr="006F1D04">
        <w:rPr>
          <w:rFonts w:ascii="Arial" w:hAnsi="Arial" w:cs="Arial"/>
          <w:vertAlign w:val="subscript"/>
        </w:rPr>
        <w:t>2.5</w:t>
      </w:r>
      <w:r w:rsidRPr="006F1D04">
        <w:rPr>
          <w:rFonts w:ascii="Arial" w:hAnsi="Arial" w:cs="Arial"/>
        </w:rPr>
        <w:t xml:space="preserve"> standard of 8 </w:t>
      </w:r>
      <w:proofErr w:type="spellStart"/>
      <w:r w:rsidRPr="006F1D04">
        <w:rPr>
          <w:rFonts w:ascii="Arial" w:hAnsi="Arial" w:cs="Arial"/>
        </w:rPr>
        <w:t>μg</w:t>
      </w:r>
      <w:proofErr w:type="spellEnd"/>
      <w:r w:rsidRPr="006F1D04">
        <w:rPr>
          <w:rFonts w:ascii="Arial" w:hAnsi="Arial" w:cs="Arial"/>
        </w:rPr>
        <w:t>/m</w:t>
      </w:r>
      <w:r w:rsidRPr="006F1D04">
        <w:rPr>
          <w:rFonts w:ascii="Arial" w:hAnsi="Arial" w:cs="Arial"/>
          <w:vertAlign w:val="superscript"/>
        </w:rPr>
        <w:t>3</w:t>
      </w:r>
      <w:r w:rsidRPr="006F1D04">
        <w:rPr>
          <w:rFonts w:ascii="Arial" w:hAnsi="Arial" w:cs="Arial"/>
        </w:rPr>
        <w:t xml:space="preserve"> in SA (sites and years with values above 8 </w:t>
      </w:r>
      <w:proofErr w:type="spellStart"/>
      <w:r w:rsidRPr="006F1D04">
        <w:rPr>
          <w:rFonts w:ascii="Arial" w:hAnsi="Arial" w:cs="Arial"/>
        </w:rPr>
        <w:t>μg</w:t>
      </w:r>
      <w:proofErr w:type="spellEnd"/>
      <w:r w:rsidRPr="006F1D04">
        <w:rPr>
          <w:rFonts w:ascii="Arial" w:hAnsi="Arial" w:cs="Arial"/>
        </w:rPr>
        <w:t>/m</w:t>
      </w:r>
      <w:r w:rsidRPr="006F1D04">
        <w:rPr>
          <w:rFonts w:ascii="Arial" w:hAnsi="Arial" w:cs="Arial"/>
          <w:vertAlign w:val="superscript"/>
        </w:rPr>
        <w:t>3</w:t>
      </w:r>
      <w:r w:rsidRPr="006F1D04">
        <w:rPr>
          <w:rFonts w:ascii="Arial" w:hAnsi="Arial" w:cs="Arial"/>
        </w:rPr>
        <w:t xml:space="preserve"> are highlighted in red; shaded cells represent no monitoring or years with &lt;75% of data)</w:t>
      </w:r>
    </w:p>
    <w:tbl>
      <w:tblPr>
        <w:tblW w:w="8391"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437"/>
        <w:gridCol w:w="595"/>
        <w:gridCol w:w="595"/>
        <w:gridCol w:w="596"/>
        <w:gridCol w:w="595"/>
        <w:gridCol w:w="596"/>
        <w:gridCol w:w="595"/>
        <w:gridCol w:w="595"/>
        <w:gridCol w:w="596"/>
        <w:gridCol w:w="595"/>
        <w:gridCol w:w="596"/>
      </w:tblGrid>
      <w:tr w:rsidR="00AE0248" w:rsidRPr="006F1D04" w:rsidTr="000F0DA7">
        <w:trPr>
          <w:trHeight w:val="300"/>
          <w:jc w:val="center"/>
        </w:trPr>
        <w:tc>
          <w:tcPr>
            <w:tcW w:w="2437" w:type="dxa"/>
            <w:vMerge w:val="restart"/>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Monitoring site</w:t>
            </w:r>
          </w:p>
        </w:tc>
        <w:tc>
          <w:tcPr>
            <w:tcW w:w="5954" w:type="dxa"/>
            <w:gridSpan w:val="10"/>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Annual average PM</w:t>
            </w:r>
            <w:r w:rsidRPr="006F1D04">
              <w:rPr>
                <w:rFonts w:ascii="Arial" w:hAnsi="Arial" w:cs="Arial"/>
                <w:b/>
                <w:bCs/>
                <w:color w:val="FFFFFF"/>
                <w:sz w:val="14"/>
                <w:szCs w:val="14"/>
                <w:vertAlign w:val="subscript"/>
              </w:rPr>
              <w:t>2.5</w:t>
            </w:r>
            <w:r w:rsidRPr="006F1D04">
              <w:rPr>
                <w:rFonts w:ascii="Arial" w:hAnsi="Arial" w:cs="Arial"/>
                <w:b/>
                <w:bCs/>
                <w:color w:val="FFFFFF"/>
                <w:sz w:val="14"/>
                <w:szCs w:val="14"/>
              </w:rPr>
              <w:t xml:space="preserve"> concentration (</w:t>
            </w:r>
            <w:proofErr w:type="spellStart"/>
            <w:r w:rsidRPr="006F1D04">
              <w:rPr>
                <w:rFonts w:ascii="Arial" w:hAnsi="Arial" w:cs="Arial"/>
                <w:b/>
                <w:bCs/>
                <w:color w:val="FFFFFF"/>
                <w:sz w:val="14"/>
                <w:szCs w:val="14"/>
              </w:rPr>
              <w:t>μg</w:t>
            </w:r>
            <w:proofErr w:type="spellEnd"/>
            <w:r w:rsidRPr="006F1D04">
              <w:rPr>
                <w:rFonts w:ascii="Arial" w:hAnsi="Arial" w:cs="Arial"/>
                <w:b/>
                <w:bCs/>
                <w:color w:val="FFFFFF"/>
                <w:sz w:val="14"/>
                <w:szCs w:val="14"/>
              </w:rPr>
              <w:t>/m</w:t>
            </w:r>
            <w:r w:rsidRPr="006F1D04">
              <w:rPr>
                <w:rFonts w:ascii="Arial" w:hAnsi="Arial" w:cs="Arial"/>
                <w:b/>
                <w:bCs/>
                <w:color w:val="FFFFFF"/>
                <w:sz w:val="14"/>
                <w:szCs w:val="14"/>
                <w:vertAlign w:val="superscript"/>
              </w:rPr>
              <w:t>3</w:t>
            </w:r>
            <w:r w:rsidRPr="006F1D04">
              <w:rPr>
                <w:rFonts w:ascii="Arial" w:hAnsi="Arial" w:cs="Arial"/>
                <w:b/>
                <w:bCs/>
                <w:color w:val="FFFFFF"/>
                <w:sz w:val="14"/>
                <w:szCs w:val="14"/>
              </w:rPr>
              <w:t>)</w:t>
            </w:r>
          </w:p>
        </w:tc>
      </w:tr>
      <w:tr w:rsidR="00AE0248" w:rsidRPr="006F1D04" w:rsidTr="000F0DA7">
        <w:trPr>
          <w:trHeight w:val="300"/>
          <w:jc w:val="center"/>
        </w:trPr>
        <w:tc>
          <w:tcPr>
            <w:tcW w:w="2437" w:type="dxa"/>
            <w:vMerge/>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2003</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2004</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2005</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2006</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2007</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2008</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2009</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2010</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2011</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2012</w:t>
            </w:r>
          </w:p>
        </w:tc>
      </w:tr>
      <w:tr w:rsidR="00AE0248" w:rsidRPr="006F1D04" w:rsidTr="000F0DA7">
        <w:trPr>
          <w:trHeight w:hRule="exact" w:val="255"/>
          <w:jc w:val="center"/>
        </w:trPr>
        <w:tc>
          <w:tcPr>
            <w:tcW w:w="2437" w:type="dxa"/>
            <w:shd w:val="clear" w:color="auto"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Adelaide: Netley</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9.0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7.9</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sz w:val="14"/>
                <w:szCs w:val="14"/>
              </w:rPr>
            </w:pPr>
            <w:r w:rsidRPr="006F1D04">
              <w:rPr>
                <w:rFonts w:ascii="Arial" w:hAnsi="Arial" w:cs="Arial"/>
                <w:b/>
                <w:color w:val="FF0000"/>
                <w:sz w:val="14"/>
                <w:szCs w:val="14"/>
              </w:rPr>
              <w:t>8.3</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7.9</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7.7</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sz w:val="14"/>
                <w:szCs w:val="14"/>
              </w:rPr>
            </w:pPr>
            <w:r w:rsidRPr="006F1D04">
              <w:rPr>
                <w:rFonts w:ascii="Arial" w:hAnsi="Arial" w:cs="Arial"/>
                <w:b/>
                <w:color w:val="FF0000"/>
                <w:sz w:val="14"/>
                <w:szCs w:val="14"/>
              </w:rPr>
              <w:t>8.1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7.5</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7.3</w:t>
            </w:r>
          </w:p>
        </w:tc>
      </w:tr>
    </w:tbl>
    <w:p w:rsidR="00AE0248" w:rsidRPr="006F1D04" w:rsidRDefault="00AE0248" w:rsidP="00AE0248">
      <w:pPr>
        <w:spacing w:after="200" w:line="240" w:lineRule="auto"/>
        <w:rPr>
          <w:rFonts w:ascii="Arial" w:hAnsi="Arial" w:cs="Arial"/>
        </w:rPr>
      </w:pPr>
    </w:p>
    <w:p w:rsidR="00AE0248" w:rsidRPr="006F1D04" w:rsidRDefault="00AE0248" w:rsidP="00AE0248">
      <w:pPr>
        <w:pStyle w:val="Caption"/>
        <w:ind w:left="142" w:right="95"/>
        <w:rPr>
          <w:rFonts w:ascii="Arial" w:hAnsi="Arial" w:cs="Arial"/>
        </w:rPr>
      </w:pPr>
      <w:r w:rsidRPr="006F1D04">
        <w:rPr>
          <w:rFonts w:ascii="Arial" w:hAnsi="Arial" w:cs="Arial"/>
        </w:rPr>
        <w:t>Table E.14: Exceedances of advisory annual mean PM</w:t>
      </w:r>
      <w:r w:rsidRPr="006F1D04">
        <w:rPr>
          <w:rFonts w:ascii="Arial" w:hAnsi="Arial" w:cs="Arial"/>
          <w:vertAlign w:val="subscript"/>
        </w:rPr>
        <w:t>2.5</w:t>
      </w:r>
      <w:r w:rsidRPr="006F1D04">
        <w:rPr>
          <w:rFonts w:ascii="Arial" w:hAnsi="Arial" w:cs="Arial"/>
        </w:rPr>
        <w:t xml:space="preserve"> standard of 8 </w:t>
      </w:r>
      <w:proofErr w:type="spellStart"/>
      <w:r w:rsidRPr="006F1D04">
        <w:rPr>
          <w:rFonts w:ascii="Arial" w:hAnsi="Arial" w:cs="Arial"/>
        </w:rPr>
        <w:t>μg</w:t>
      </w:r>
      <w:proofErr w:type="spellEnd"/>
      <w:r w:rsidRPr="006F1D04">
        <w:rPr>
          <w:rFonts w:ascii="Arial" w:hAnsi="Arial" w:cs="Arial"/>
        </w:rPr>
        <w:t>/m</w:t>
      </w:r>
      <w:r w:rsidRPr="006F1D04">
        <w:rPr>
          <w:rFonts w:ascii="Arial" w:hAnsi="Arial" w:cs="Arial"/>
          <w:vertAlign w:val="superscript"/>
        </w:rPr>
        <w:t>3</w:t>
      </w:r>
      <w:r w:rsidRPr="006F1D04">
        <w:rPr>
          <w:rFonts w:ascii="Arial" w:hAnsi="Arial" w:cs="Arial"/>
        </w:rPr>
        <w:t xml:space="preserve"> in WA (sites and years with values above 8 </w:t>
      </w:r>
      <w:proofErr w:type="spellStart"/>
      <w:r w:rsidRPr="006F1D04">
        <w:rPr>
          <w:rFonts w:ascii="Arial" w:hAnsi="Arial" w:cs="Arial"/>
        </w:rPr>
        <w:t>μg</w:t>
      </w:r>
      <w:proofErr w:type="spellEnd"/>
      <w:r w:rsidRPr="006F1D04">
        <w:rPr>
          <w:rFonts w:ascii="Arial" w:hAnsi="Arial" w:cs="Arial"/>
        </w:rPr>
        <w:t>/m</w:t>
      </w:r>
      <w:r w:rsidRPr="006F1D04">
        <w:rPr>
          <w:rFonts w:ascii="Arial" w:hAnsi="Arial" w:cs="Arial"/>
          <w:vertAlign w:val="superscript"/>
        </w:rPr>
        <w:t>3</w:t>
      </w:r>
      <w:r w:rsidRPr="006F1D04">
        <w:rPr>
          <w:rFonts w:ascii="Arial" w:hAnsi="Arial" w:cs="Arial"/>
        </w:rPr>
        <w:t xml:space="preserve"> are highlighted in red; shaded cells represent no monitoring or years with &lt;75% of data)</w:t>
      </w:r>
    </w:p>
    <w:tbl>
      <w:tblPr>
        <w:tblW w:w="8391"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437"/>
        <w:gridCol w:w="595"/>
        <w:gridCol w:w="595"/>
        <w:gridCol w:w="596"/>
        <w:gridCol w:w="595"/>
        <w:gridCol w:w="596"/>
        <w:gridCol w:w="595"/>
        <w:gridCol w:w="595"/>
        <w:gridCol w:w="596"/>
        <w:gridCol w:w="595"/>
        <w:gridCol w:w="596"/>
      </w:tblGrid>
      <w:tr w:rsidR="00AE0248" w:rsidRPr="006F1D04" w:rsidTr="000F0DA7">
        <w:trPr>
          <w:trHeight w:val="300"/>
          <w:jc w:val="center"/>
        </w:trPr>
        <w:tc>
          <w:tcPr>
            <w:tcW w:w="2437" w:type="dxa"/>
            <w:vMerge w:val="restart"/>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Monitoring site</w:t>
            </w:r>
          </w:p>
        </w:tc>
        <w:tc>
          <w:tcPr>
            <w:tcW w:w="5954" w:type="dxa"/>
            <w:gridSpan w:val="10"/>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Annual average PM</w:t>
            </w:r>
            <w:r w:rsidRPr="006F1D04">
              <w:rPr>
                <w:rFonts w:ascii="Arial" w:hAnsi="Arial" w:cs="Arial"/>
                <w:b/>
                <w:bCs/>
                <w:color w:val="FFFFFF"/>
                <w:sz w:val="14"/>
                <w:szCs w:val="14"/>
                <w:vertAlign w:val="subscript"/>
              </w:rPr>
              <w:t>2.5</w:t>
            </w:r>
            <w:r w:rsidRPr="006F1D04">
              <w:rPr>
                <w:rFonts w:ascii="Arial" w:hAnsi="Arial" w:cs="Arial"/>
                <w:b/>
                <w:bCs/>
                <w:color w:val="FFFFFF"/>
                <w:sz w:val="14"/>
                <w:szCs w:val="14"/>
              </w:rPr>
              <w:t xml:space="preserve"> concentration (</w:t>
            </w:r>
            <w:proofErr w:type="spellStart"/>
            <w:r w:rsidRPr="006F1D04">
              <w:rPr>
                <w:rFonts w:ascii="Arial" w:hAnsi="Arial" w:cs="Arial"/>
                <w:b/>
                <w:bCs/>
                <w:color w:val="FFFFFF"/>
                <w:sz w:val="14"/>
                <w:szCs w:val="14"/>
              </w:rPr>
              <w:t>μg</w:t>
            </w:r>
            <w:proofErr w:type="spellEnd"/>
            <w:r w:rsidRPr="006F1D04">
              <w:rPr>
                <w:rFonts w:ascii="Arial" w:hAnsi="Arial" w:cs="Arial"/>
                <w:b/>
                <w:bCs/>
                <w:color w:val="FFFFFF"/>
                <w:sz w:val="14"/>
                <w:szCs w:val="14"/>
              </w:rPr>
              <w:t>/m</w:t>
            </w:r>
            <w:r w:rsidRPr="006F1D04">
              <w:rPr>
                <w:rFonts w:ascii="Arial" w:hAnsi="Arial" w:cs="Arial"/>
                <w:b/>
                <w:bCs/>
                <w:color w:val="FFFFFF"/>
                <w:sz w:val="14"/>
                <w:szCs w:val="14"/>
                <w:vertAlign w:val="superscript"/>
              </w:rPr>
              <w:t>3</w:t>
            </w:r>
            <w:r w:rsidRPr="006F1D04">
              <w:rPr>
                <w:rFonts w:ascii="Arial" w:hAnsi="Arial" w:cs="Arial"/>
                <w:b/>
                <w:bCs/>
                <w:color w:val="FFFFFF"/>
                <w:sz w:val="14"/>
                <w:szCs w:val="14"/>
              </w:rPr>
              <w:t>)</w:t>
            </w:r>
          </w:p>
        </w:tc>
      </w:tr>
      <w:tr w:rsidR="00AE0248" w:rsidRPr="006F1D04" w:rsidTr="000F0DA7">
        <w:trPr>
          <w:trHeight w:val="300"/>
          <w:jc w:val="center"/>
        </w:trPr>
        <w:tc>
          <w:tcPr>
            <w:tcW w:w="2437" w:type="dxa"/>
            <w:vMerge/>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2003</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2004</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2005</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2006</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2007</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2008</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2009</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2010</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2011</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2012</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Perth: Caversham</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4.9</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4.4</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4.6</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3.9</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4.7</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Perth: Duncraig</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5.7</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4.8</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4.7</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4.6</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4.6</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5.0</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 xml:space="preserve">Perth: </w:t>
            </w:r>
            <w:proofErr w:type="spellStart"/>
            <w:r w:rsidRPr="006F1D04">
              <w:rPr>
                <w:rFonts w:ascii="Arial" w:hAnsi="Arial" w:cs="Arial"/>
                <w:bCs/>
                <w:sz w:val="14"/>
                <w:szCs w:val="14"/>
              </w:rPr>
              <w:t>Quinns</w:t>
            </w:r>
            <w:proofErr w:type="spellEnd"/>
            <w:r w:rsidRPr="006F1D04">
              <w:rPr>
                <w:rFonts w:ascii="Arial" w:hAnsi="Arial" w:cs="Arial"/>
                <w:bCs/>
                <w:sz w:val="14"/>
                <w:szCs w:val="14"/>
              </w:rPr>
              <w:t xml:space="preserve"> Rocks</w:t>
            </w: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3.8</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4.1</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4.6</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4.6</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4.8</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Perth: South Lake</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4.7</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5.8</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Bunbury</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5.5</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6.0</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5.2</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5.6</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4.7</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4.5</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4.9</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5.4</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Busselton</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4.2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5.8</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5.3</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5.4</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5.4</w:t>
            </w:r>
          </w:p>
        </w:tc>
      </w:tr>
    </w:tbl>
    <w:p w:rsidR="00AE0248" w:rsidRPr="006F1D04" w:rsidRDefault="00AE0248" w:rsidP="00AE0248">
      <w:pPr>
        <w:spacing w:after="200" w:line="240" w:lineRule="auto"/>
        <w:rPr>
          <w:rFonts w:ascii="Arial" w:hAnsi="Arial" w:cs="Arial"/>
        </w:rPr>
      </w:pPr>
    </w:p>
    <w:p w:rsidR="00AE0248" w:rsidRPr="006F1D04" w:rsidRDefault="00AE0248" w:rsidP="00AE0248">
      <w:pPr>
        <w:pStyle w:val="Caption"/>
        <w:tabs>
          <w:tab w:val="left" w:pos="8931"/>
        </w:tabs>
        <w:ind w:left="142" w:right="95"/>
        <w:rPr>
          <w:rFonts w:ascii="Arial" w:hAnsi="Arial" w:cs="Arial"/>
        </w:rPr>
      </w:pPr>
      <w:r w:rsidRPr="006F1D04">
        <w:rPr>
          <w:rFonts w:ascii="Arial" w:hAnsi="Arial" w:cs="Arial"/>
        </w:rPr>
        <w:t>Table E.15: Exceedances of advisory annual mean PM</w:t>
      </w:r>
      <w:r w:rsidRPr="006F1D04">
        <w:rPr>
          <w:rFonts w:ascii="Arial" w:hAnsi="Arial" w:cs="Arial"/>
          <w:vertAlign w:val="subscript"/>
        </w:rPr>
        <w:t>2.5</w:t>
      </w:r>
      <w:r w:rsidRPr="006F1D04">
        <w:rPr>
          <w:rFonts w:ascii="Arial" w:hAnsi="Arial" w:cs="Arial"/>
        </w:rPr>
        <w:t xml:space="preserve"> standard of 8 </w:t>
      </w:r>
      <w:proofErr w:type="spellStart"/>
      <w:r w:rsidRPr="006F1D04">
        <w:rPr>
          <w:rFonts w:ascii="Arial" w:hAnsi="Arial" w:cs="Arial"/>
        </w:rPr>
        <w:t>μg</w:t>
      </w:r>
      <w:proofErr w:type="spellEnd"/>
      <w:r w:rsidRPr="006F1D04">
        <w:rPr>
          <w:rFonts w:ascii="Arial" w:hAnsi="Arial" w:cs="Arial"/>
        </w:rPr>
        <w:t>/m</w:t>
      </w:r>
      <w:r w:rsidRPr="006F1D04">
        <w:rPr>
          <w:rFonts w:ascii="Arial" w:hAnsi="Arial" w:cs="Arial"/>
          <w:vertAlign w:val="superscript"/>
        </w:rPr>
        <w:t>3</w:t>
      </w:r>
      <w:r w:rsidRPr="006F1D04">
        <w:rPr>
          <w:rFonts w:ascii="Arial" w:hAnsi="Arial" w:cs="Arial"/>
        </w:rPr>
        <w:t xml:space="preserve"> in TAS (sites and years with values above 8 </w:t>
      </w:r>
      <w:proofErr w:type="spellStart"/>
      <w:r w:rsidRPr="006F1D04">
        <w:rPr>
          <w:rFonts w:ascii="Arial" w:hAnsi="Arial" w:cs="Arial"/>
        </w:rPr>
        <w:t>μg</w:t>
      </w:r>
      <w:proofErr w:type="spellEnd"/>
      <w:r w:rsidRPr="006F1D04">
        <w:rPr>
          <w:rFonts w:ascii="Arial" w:hAnsi="Arial" w:cs="Arial"/>
        </w:rPr>
        <w:t>/m</w:t>
      </w:r>
      <w:r w:rsidRPr="006F1D04">
        <w:rPr>
          <w:rFonts w:ascii="Arial" w:hAnsi="Arial" w:cs="Arial"/>
          <w:vertAlign w:val="superscript"/>
        </w:rPr>
        <w:t>3</w:t>
      </w:r>
      <w:r w:rsidRPr="006F1D04">
        <w:rPr>
          <w:rFonts w:ascii="Arial" w:hAnsi="Arial" w:cs="Arial"/>
        </w:rPr>
        <w:t xml:space="preserve"> are highlighted in red; shaded cells represent no monitoring or years with &lt;75% of data)</w:t>
      </w:r>
    </w:p>
    <w:tbl>
      <w:tblPr>
        <w:tblW w:w="8391"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437"/>
        <w:gridCol w:w="595"/>
        <w:gridCol w:w="595"/>
        <w:gridCol w:w="596"/>
        <w:gridCol w:w="595"/>
        <w:gridCol w:w="596"/>
        <w:gridCol w:w="595"/>
        <w:gridCol w:w="595"/>
        <w:gridCol w:w="596"/>
        <w:gridCol w:w="595"/>
        <w:gridCol w:w="596"/>
      </w:tblGrid>
      <w:tr w:rsidR="00AE0248" w:rsidRPr="006F1D04" w:rsidTr="000F0DA7">
        <w:trPr>
          <w:trHeight w:val="300"/>
          <w:jc w:val="center"/>
        </w:trPr>
        <w:tc>
          <w:tcPr>
            <w:tcW w:w="2437" w:type="dxa"/>
            <w:vMerge w:val="restart"/>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Monitoring site</w:t>
            </w:r>
          </w:p>
        </w:tc>
        <w:tc>
          <w:tcPr>
            <w:tcW w:w="5954" w:type="dxa"/>
            <w:gridSpan w:val="10"/>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Annual average PM</w:t>
            </w:r>
            <w:r w:rsidRPr="006F1D04">
              <w:rPr>
                <w:rFonts w:ascii="Arial" w:hAnsi="Arial" w:cs="Arial"/>
                <w:b/>
                <w:bCs/>
                <w:color w:val="FFFFFF"/>
                <w:sz w:val="14"/>
                <w:szCs w:val="14"/>
                <w:vertAlign w:val="subscript"/>
              </w:rPr>
              <w:t>2.5</w:t>
            </w:r>
            <w:r w:rsidRPr="006F1D04">
              <w:rPr>
                <w:rFonts w:ascii="Arial" w:hAnsi="Arial" w:cs="Arial"/>
                <w:b/>
                <w:bCs/>
                <w:color w:val="FFFFFF"/>
                <w:sz w:val="14"/>
                <w:szCs w:val="14"/>
              </w:rPr>
              <w:t xml:space="preserve"> concentration (</w:t>
            </w:r>
            <w:proofErr w:type="spellStart"/>
            <w:r w:rsidRPr="006F1D04">
              <w:rPr>
                <w:rFonts w:ascii="Arial" w:hAnsi="Arial" w:cs="Arial"/>
                <w:b/>
                <w:bCs/>
                <w:color w:val="FFFFFF"/>
                <w:sz w:val="14"/>
                <w:szCs w:val="14"/>
              </w:rPr>
              <w:t>μg</w:t>
            </w:r>
            <w:proofErr w:type="spellEnd"/>
            <w:r w:rsidRPr="006F1D04">
              <w:rPr>
                <w:rFonts w:ascii="Arial" w:hAnsi="Arial" w:cs="Arial"/>
                <w:b/>
                <w:bCs/>
                <w:color w:val="FFFFFF"/>
                <w:sz w:val="14"/>
                <w:szCs w:val="14"/>
              </w:rPr>
              <w:t>/m</w:t>
            </w:r>
            <w:r w:rsidRPr="006F1D04">
              <w:rPr>
                <w:rFonts w:ascii="Arial" w:hAnsi="Arial" w:cs="Arial"/>
                <w:b/>
                <w:bCs/>
                <w:color w:val="FFFFFF"/>
                <w:sz w:val="14"/>
                <w:szCs w:val="14"/>
                <w:vertAlign w:val="superscript"/>
              </w:rPr>
              <w:t>3</w:t>
            </w:r>
            <w:r w:rsidRPr="006F1D04">
              <w:rPr>
                <w:rFonts w:ascii="Arial" w:hAnsi="Arial" w:cs="Arial"/>
                <w:b/>
                <w:bCs/>
                <w:color w:val="FFFFFF"/>
                <w:sz w:val="14"/>
                <w:szCs w:val="14"/>
              </w:rPr>
              <w:t>)</w:t>
            </w:r>
          </w:p>
        </w:tc>
      </w:tr>
      <w:tr w:rsidR="00AE0248" w:rsidRPr="006F1D04" w:rsidTr="000F0DA7">
        <w:trPr>
          <w:trHeight w:val="300"/>
          <w:jc w:val="center"/>
        </w:trPr>
        <w:tc>
          <w:tcPr>
            <w:tcW w:w="2437" w:type="dxa"/>
            <w:vMerge/>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2003</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2004</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2005</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2006</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2007</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2008</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2009</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2010</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2011</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2012</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Launceston: Ti Tree Bend</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sz w:val="14"/>
                <w:szCs w:val="14"/>
              </w:rPr>
            </w:pPr>
            <w:r w:rsidRPr="006F1D04">
              <w:rPr>
                <w:rFonts w:ascii="Arial" w:hAnsi="Arial" w:cs="Arial"/>
                <w:b/>
                <w:color w:val="FF0000"/>
                <w:sz w:val="14"/>
                <w:szCs w:val="14"/>
              </w:rPr>
              <w:t>10.4</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9.5</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8.8</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7.5</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sz w:val="14"/>
                <w:szCs w:val="14"/>
              </w:rPr>
            </w:pPr>
            <w:r w:rsidRPr="006F1D04">
              <w:rPr>
                <w:rFonts w:ascii="Arial" w:hAnsi="Arial" w:cs="Arial"/>
                <w:b/>
                <w:color w:val="FF0000"/>
                <w:sz w:val="14"/>
                <w:szCs w:val="14"/>
              </w:rPr>
              <w:t>8.3</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7.5</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sz w:val="14"/>
                <w:szCs w:val="14"/>
              </w:rPr>
            </w:pPr>
            <w:r w:rsidRPr="006F1D04">
              <w:rPr>
                <w:rFonts w:ascii="Arial" w:hAnsi="Arial" w:cs="Arial"/>
                <w:b/>
                <w:color w:val="FF0000"/>
                <w:sz w:val="14"/>
                <w:szCs w:val="14"/>
              </w:rPr>
              <w:t>8.3</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Hobart: New Town</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7.6</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7.3</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7.1</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6.2</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6.5</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George Town</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7.7</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6.9</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7.2</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Cape Grim (ANSTO)</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5.5</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5.3</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5.5</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5.6</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5.7</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5.5</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5.9</w:t>
            </w:r>
          </w:p>
        </w:tc>
      </w:tr>
    </w:tbl>
    <w:p w:rsidR="00AE0248" w:rsidRPr="006F1D04" w:rsidRDefault="00AE0248" w:rsidP="00AE0248">
      <w:pPr>
        <w:spacing w:after="200" w:line="240" w:lineRule="auto"/>
        <w:rPr>
          <w:rFonts w:ascii="Arial" w:hAnsi="Arial" w:cs="Arial"/>
        </w:rPr>
      </w:pPr>
    </w:p>
    <w:p w:rsidR="00AE0248" w:rsidRPr="006F1D04" w:rsidRDefault="00AE0248" w:rsidP="00AE0248">
      <w:pPr>
        <w:pStyle w:val="Caption"/>
        <w:tabs>
          <w:tab w:val="left" w:pos="8931"/>
          <w:tab w:val="left" w:pos="9072"/>
        </w:tabs>
        <w:ind w:left="142" w:right="95"/>
        <w:rPr>
          <w:rFonts w:ascii="Arial" w:hAnsi="Arial" w:cs="Arial"/>
        </w:rPr>
      </w:pPr>
      <w:r w:rsidRPr="006F1D04">
        <w:rPr>
          <w:rFonts w:ascii="Arial" w:hAnsi="Arial" w:cs="Arial"/>
        </w:rPr>
        <w:t>Table E.16: Exceedances of advisory annual mean PM</w:t>
      </w:r>
      <w:r w:rsidRPr="006F1D04">
        <w:rPr>
          <w:rFonts w:ascii="Arial" w:hAnsi="Arial" w:cs="Arial"/>
          <w:vertAlign w:val="subscript"/>
        </w:rPr>
        <w:t>2.5</w:t>
      </w:r>
      <w:r w:rsidRPr="006F1D04">
        <w:rPr>
          <w:rFonts w:ascii="Arial" w:hAnsi="Arial" w:cs="Arial"/>
        </w:rPr>
        <w:t xml:space="preserve"> standard of 8 </w:t>
      </w:r>
      <w:proofErr w:type="spellStart"/>
      <w:r w:rsidRPr="006F1D04">
        <w:rPr>
          <w:rFonts w:ascii="Arial" w:hAnsi="Arial" w:cs="Arial"/>
        </w:rPr>
        <w:t>μg</w:t>
      </w:r>
      <w:proofErr w:type="spellEnd"/>
      <w:r w:rsidRPr="006F1D04">
        <w:rPr>
          <w:rFonts w:ascii="Arial" w:hAnsi="Arial" w:cs="Arial"/>
        </w:rPr>
        <w:t>/m</w:t>
      </w:r>
      <w:r w:rsidRPr="006F1D04">
        <w:rPr>
          <w:rFonts w:ascii="Arial" w:hAnsi="Arial" w:cs="Arial"/>
          <w:vertAlign w:val="superscript"/>
        </w:rPr>
        <w:t>3</w:t>
      </w:r>
      <w:r w:rsidRPr="006F1D04">
        <w:rPr>
          <w:rFonts w:ascii="Arial" w:hAnsi="Arial" w:cs="Arial"/>
        </w:rPr>
        <w:t xml:space="preserve"> in NT (sites and years with values above 8 </w:t>
      </w:r>
      <w:proofErr w:type="spellStart"/>
      <w:r w:rsidRPr="006F1D04">
        <w:rPr>
          <w:rFonts w:ascii="Arial" w:hAnsi="Arial" w:cs="Arial"/>
        </w:rPr>
        <w:t>μg</w:t>
      </w:r>
      <w:proofErr w:type="spellEnd"/>
      <w:r w:rsidRPr="006F1D04">
        <w:rPr>
          <w:rFonts w:ascii="Arial" w:hAnsi="Arial" w:cs="Arial"/>
        </w:rPr>
        <w:t>/m</w:t>
      </w:r>
      <w:r w:rsidRPr="006F1D04">
        <w:rPr>
          <w:rFonts w:ascii="Arial" w:hAnsi="Arial" w:cs="Arial"/>
          <w:vertAlign w:val="superscript"/>
        </w:rPr>
        <w:t>3</w:t>
      </w:r>
      <w:r w:rsidRPr="006F1D04">
        <w:rPr>
          <w:rFonts w:ascii="Arial" w:hAnsi="Arial" w:cs="Arial"/>
        </w:rPr>
        <w:t xml:space="preserve"> are highlighted in red; shaded cells represent no monitoring or years with &lt;75% of data)</w:t>
      </w:r>
    </w:p>
    <w:tbl>
      <w:tblPr>
        <w:tblW w:w="8391"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437"/>
        <w:gridCol w:w="595"/>
        <w:gridCol w:w="595"/>
        <w:gridCol w:w="596"/>
        <w:gridCol w:w="595"/>
        <w:gridCol w:w="596"/>
        <w:gridCol w:w="595"/>
        <w:gridCol w:w="595"/>
        <w:gridCol w:w="596"/>
        <w:gridCol w:w="595"/>
        <w:gridCol w:w="596"/>
      </w:tblGrid>
      <w:tr w:rsidR="00AE0248" w:rsidRPr="006F1D04" w:rsidTr="000F0DA7">
        <w:trPr>
          <w:trHeight w:val="300"/>
          <w:jc w:val="center"/>
        </w:trPr>
        <w:tc>
          <w:tcPr>
            <w:tcW w:w="2437" w:type="dxa"/>
            <w:vMerge w:val="restart"/>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Monitoring site</w:t>
            </w:r>
          </w:p>
        </w:tc>
        <w:tc>
          <w:tcPr>
            <w:tcW w:w="5954" w:type="dxa"/>
            <w:gridSpan w:val="10"/>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Annual average PM</w:t>
            </w:r>
            <w:r w:rsidRPr="006F1D04">
              <w:rPr>
                <w:rFonts w:ascii="Arial" w:hAnsi="Arial" w:cs="Arial"/>
                <w:b/>
                <w:bCs/>
                <w:color w:val="FFFFFF"/>
                <w:sz w:val="14"/>
                <w:szCs w:val="14"/>
                <w:vertAlign w:val="subscript"/>
              </w:rPr>
              <w:t>2.5</w:t>
            </w:r>
            <w:r w:rsidRPr="006F1D04">
              <w:rPr>
                <w:rFonts w:ascii="Arial" w:hAnsi="Arial" w:cs="Arial"/>
                <w:b/>
                <w:bCs/>
                <w:color w:val="FFFFFF"/>
                <w:sz w:val="14"/>
                <w:szCs w:val="14"/>
              </w:rPr>
              <w:t xml:space="preserve"> concentration (</w:t>
            </w:r>
            <w:proofErr w:type="spellStart"/>
            <w:r w:rsidRPr="006F1D04">
              <w:rPr>
                <w:rFonts w:ascii="Arial" w:hAnsi="Arial" w:cs="Arial"/>
                <w:b/>
                <w:bCs/>
                <w:color w:val="FFFFFF"/>
                <w:sz w:val="14"/>
                <w:szCs w:val="14"/>
              </w:rPr>
              <w:t>μg</w:t>
            </w:r>
            <w:proofErr w:type="spellEnd"/>
            <w:r w:rsidRPr="006F1D04">
              <w:rPr>
                <w:rFonts w:ascii="Arial" w:hAnsi="Arial" w:cs="Arial"/>
                <w:b/>
                <w:bCs/>
                <w:color w:val="FFFFFF"/>
                <w:sz w:val="14"/>
                <w:szCs w:val="14"/>
              </w:rPr>
              <w:t>/m</w:t>
            </w:r>
            <w:r w:rsidRPr="006F1D04">
              <w:rPr>
                <w:rFonts w:ascii="Arial" w:hAnsi="Arial" w:cs="Arial"/>
                <w:b/>
                <w:bCs/>
                <w:color w:val="FFFFFF"/>
                <w:sz w:val="14"/>
                <w:szCs w:val="14"/>
                <w:vertAlign w:val="superscript"/>
              </w:rPr>
              <w:t>3</w:t>
            </w:r>
            <w:r w:rsidRPr="006F1D04">
              <w:rPr>
                <w:rFonts w:ascii="Arial" w:hAnsi="Arial" w:cs="Arial"/>
                <w:b/>
                <w:bCs/>
                <w:color w:val="FFFFFF"/>
                <w:sz w:val="14"/>
                <w:szCs w:val="14"/>
              </w:rPr>
              <w:t>)</w:t>
            </w:r>
          </w:p>
        </w:tc>
      </w:tr>
      <w:tr w:rsidR="00AE0248" w:rsidRPr="006F1D04" w:rsidTr="000F0DA7">
        <w:trPr>
          <w:trHeight w:val="300"/>
          <w:jc w:val="center"/>
        </w:trPr>
        <w:tc>
          <w:tcPr>
            <w:tcW w:w="2437" w:type="dxa"/>
            <w:vMerge/>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2003</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2004</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2005</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2006</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2007</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2008</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2009</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2010</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2011</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2012</w:t>
            </w: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Darwin: Casuarina</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sz w:val="14"/>
                <w:szCs w:val="14"/>
              </w:rPr>
            </w:pPr>
            <w:r w:rsidRPr="006F1D04">
              <w:rPr>
                <w:rFonts w:ascii="Arial" w:hAnsi="Arial" w:cs="Arial"/>
                <w:b/>
                <w:color w:val="FF0000"/>
                <w:sz w:val="14"/>
                <w:szCs w:val="14"/>
              </w:rPr>
              <w:t>8.3</w:t>
            </w:r>
          </w:p>
        </w:tc>
        <w:tc>
          <w:tcPr>
            <w:tcW w:w="596"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r>
      <w:tr w:rsidR="00AE0248" w:rsidRPr="006F1D04" w:rsidTr="000F0DA7">
        <w:trPr>
          <w:trHeight w:hRule="exact" w:val="255"/>
          <w:jc w:val="center"/>
        </w:trPr>
        <w:tc>
          <w:tcPr>
            <w:tcW w:w="2437"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Darwin: Palmerston</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10.2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11.8</w:t>
            </w:r>
          </w:p>
        </w:tc>
      </w:tr>
    </w:tbl>
    <w:p w:rsidR="00AE0248" w:rsidRPr="006F1D04" w:rsidRDefault="00AE0248" w:rsidP="00AE0248">
      <w:pPr>
        <w:spacing w:after="200" w:line="240" w:lineRule="auto"/>
        <w:rPr>
          <w:rFonts w:ascii="Arial" w:hAnsi="Arial" w:cs="Arial"/>
        </w:rPr>
      </w:pPr>
    </w:p>
    <w:p w:rsidR="00AE0248" w:rsidRPr="006F1D04" w:rsidRDefault="00AE0248" w:rsidP="00AE0248">
      <w:pPr>
        <w:pStyle w:val="Caption"/>
        <w:ind w:left="142" w:right="95"/>
        <w:rPr>
          <w:rFonts w:ascii="Arial" w:hAnsi="Arial" w:cs="Arial"/>
        </w:rPr>
      </w:pPr>
      <w:r w:rsidRPr="006F1D04">
        <w:rPr>
          <w:rFonts w:ascii="Arial" w:hAnsi="Arial" w:cs="Arial"/>
        </w:rPr>
        <w:t>Table E.17: Exceedances of advisory annual mean PM</w:t>
      </w:r>
      <w:r w:rsidRPr="006F1D04">
        <w:rPr>
          <w:rFonts w:ascii="Arial" w:hAnsi="Arial" w:cs="Arial"/>
          <w:vertAlign w:val="subscript"/>
        </w:rPr>
        <w:t>2.5</w:t>
      </w:r>
      <w:r w:rsidRPr="006F1D04">
        <w:rPr>
          <w:rFonts w:ascii="Arial" w:hAnsi="Arial" w:cs="Arial"/>
        </w:rPr>
        <w:t xml:space="preserve"> standard of 8 </w:t>
      </w:r>
      <w:proofErr w:type="spellStart"/>
      <w:r w:rsidRPr="006F1D04">
        <w:rPr>
          <w:rFonts w:ascii="Arial" w:hAnsi="Arial" w:cs="Arial"/>
        </w:rPr>
        <w:t>μg</w:t>
      </w:r>
      <w:proofErr w:type="spellEnd"/>
      <w:r w:rsidRPr="006F1D04">
        <w:rPr>
          <w:rFonts w:ascii="Arial" w:hAnsi="Arial" w:cs="Arial"/>
        </w:rPr>
        <w:t>/m</w:t>
      </w:r>
      <w:r w:rsidRPr="006F1D04">
        <w:rPr>
          <w:rFonts w:ascii="Arial" w:hAnsi="Arial" w:cs="Arial"/>
          <w:vertAlign w:val="superscript"/>
        </w:rPr>
        <w:t>3</w:t>
      </w:r>
      <w:r w:rsidRPr="006F1D04">
        <w:rPr>
          <w:rFonts w:ascii="Arial" w:hAnsi="Arial" w:cs="Arial"/>
        </w:rPr>
        <w:t xml:space="preserve"> in ACT (sites and years with values above 8 </w:t>
      </w:r>
      <w:proofErr w:type="spellStart"/>
      <w:r w:rsidRPr="006F1D04">
        <w:rPr>
          <w:rFonts w:ascii="Arial" w:hAnsi="Arial" w:cs="Arial"/>
        </w:rPr>
        <w:t>μg</w:t>
      </w:r>
      <w:proofErr w:type="spellEnd"/>
      <w:r w:rsidRPr="006F1D04">
        <w:rPr>
          <w:rFonts w:ascii="Arial" w:hAnsi="Arial" w:cs="Arial"/>
        </w:rPr>
        <w:t>/m</w:t>
      </w:r>
      <w:r w:rsidRPr="006F1D04">
        <w:rPr>
          <w:rFonts w:ascii="Arial" w:hAnsi="Arial" w:cs="Arial"/>
          <w:vertAlign w:val="superscript"/>
        </w:rPr>
        <w:t>3</w:t>
      </w:r>
      <w:r w:rsidRPr="006F1D04">
        <w:rPr>
          <w:rFonts w:ascii="Arial" w:hAnsi="Arial" w:cs="Arial"/>
        </w:rPr>
        <w:t xml:space="preserve"> are highlighted in red; shaded cells represent no monitoring or years with &lt;75% of data)</w:t>
      </w:r>
    </w:p>
    <w:tbl>
      <w:tblPr>
        <w:tblW w:w="8391"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437"/>
        <w:gridCol w:w="595"/>
        <w:gridCol w:w="595"/>
        <w:gridCol w:w="596"/>
        <w:gridCol w:w="595"/>
        <w:gridCol w:w="596"/>
        <w:gridCol w:w="595"/>
        <w:gridCol w:w="595"/>
        <w:gridCol w:w="596"/>
        <w:gridCol w:w="595"/>
        <w:gridCol w:w="596"/>
      </w:tblGrid>
      <w:tr w:rsidR="00AE0248" w:rsidRPr="006F1D04" w:rsidTr="000F0DA7">
        <w:trPr>
          <w:trHeight w:val="300"/>
          <w:jc w:val="center"/>
        </w:trPr>
        <w:tc>
          <w:tcPr>
            <w:tcW w:w="2437" w:type="dxa"/>
            <w:vMerge w:val="restart"/>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Monitoring site</w:t>
            </w:r>
          </w:p>
        </w:tc>
        <w:tc>
          <w:tcPr>
            <w:tcW w:w="5954" w:type="dxa"/>
            <w:gridSpan w:val="10"/>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Annual average PM</w:t>
            </w:r>
            <w:r w:rsidRPr="006F1D04">
              <w:rPr>
                <w:rFonts w:ascii="Arial" w:hAnsi="Arial" w:cs="Arial"/>
                <w:b/>
                <w:bCs/>
                <w:color w:val="FFFFFF"/>
                <w:sz w:val="14"/>
                <w:szCs w:val="14"/>
                <w:vertAlign w:val="subscript"/>
              </w:rPr>
              <w:t>2.5</w:t>
            </w:r>
            <w:r w:rsidRPr="006F1D04">
              <w:rPr>
                <w:rFonts w:ascii="Arial" w:hAnsi="Arial" w:cs="Arial"/>
                <w:b/>
                <w:bCs/>
                <w:color w:val="FFFFFF"/>
                <w:sz w:val="14"/>
                <w:szCs w:val="14"/>
              </w:rPr>
              <w:t xml:space="preserve"> concentration (</w:t>
            </w:r>
            <w:proofErr w:type="spellStart"/>
            <w:r w:rsidRPr="006F1D04">
              <w:rPr>
                <w:rFonts w:ascii="Arial" w:hAnsi="Arial" w:cs="Arial"/>
                <w:b/>
                <w:bCs/>
                <w:color w:val="FFFFFF"/>
                <w:sz w:val="14"/>
                <w:szCs w:val="14"/>
              </w:rPr>
              <w:t>μg</w:t>
            </w:r>
            <w:proofErr w:type="spellEnd"/>
            <w:r w:rsidRPr="006F1D04">
              <w:rPr>
                <w:rFonts w:ascii="Arial" w:hAnsi="Arial" w:cs="Arial"/>
                <w:b/>
                <w:bCs/>
                <w:color w:val="FFFFFF"/>
                <w:sz w:val="14"/>
                <w:szCs w:val="14"/>
              </w:rPr>
              <w:t>/m</w:t>
            </w:r>
            <w:r w:rsidRPr="006F1D04">
              <w:rPr>
                <w:rFonts w:ascii="Arial" w:hAnsi="Arial" w:cs="Arial"/>
                <w:b/>
                <w:bCs/>
                <w:color w:val="FFFFFF"/>
                <w:sz w:val="14"/>
                <w:szCs w:val="14"/>
                <w:vertAlign w:val="superscript"/>
              </w:rPr>
              <w:t>3</w:t>
            </w:r>
            <w:r w:rsidRPr="006F1D04">
              <w:rPr>
                <w:rFonts w:ascii="Arial" w:hAnsi="Arial" w:cs="Arial"/>
                <w:b/>
                <w:bCs/>
                <w:color w:val="FFFFFF"/>
                <w:sz w:val="14"/>
                <w:szCs w:val="14"/>
              </w:rPr>
              <w:t>)</w:t>
            </w:r>
          </w:p>
        </w:tc>
      </w:tr>
      <w:tr w:rsidR="00AE0248" w:rsidRPr="006F1D04" w:rsidTr="000F0DA7">
        <w:trPr>
          <w:trHeight w:val="300"/>
          <w:jc w:val="center"/>
        </w:trPr>
        <w:tc>
          <w:tcPr>
            <w:tcW w:w="2437" w:type="dxa"/>
            <w:vMerge/>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2003</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2004</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2005</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2006</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2007</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2008</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2009</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2010</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2011</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2012</w:t>
            </w:r>
          </w:p>
        </w:tc>
      </w:tr>
      <w:tr w:rsidR="00AE0248" w:rsidRPr="006F1D04" w:rsidTr="000F0DA7">
        <w:trPr>
          <w:trHeight w:hRule="exact" w:val="255"/>
          <w:jc w:val="center"/>
        </w:trPr>
        <w:tc>
          <w:tcPr>
            <w:tcW w:w="2437" w:type="dxa"/>
            <w:shd w:val="clear" w:color="auto" w:fill="auto"/>
            <w:noWrap/>
            <w:tcMar>
              <w:left w:w="28" w:type="dxa"/>
              <w:right w:w="28" w:type="dxa"/>
            </w:tcMar>
            <w:vAlign w:val="center"/>
          </w:tcPr>
          <w:p w:rsidR="00AE0248" w:rsidRPr="006F1D04" w:rsidRDefault="00AE0248" w:rsidP="000F0DA7">
            <w:pPr>
              <w:spacing w:after="0" w:line="240" w:lineRule="auto"/>
              <w:rPr>
                <w:rFonts w:ascii="Arial" w:hAnsi="Arial" w:cs="Arial"/>
                <w:bCs/>
                <w:sz w:val="14"/>
                <w:szCs w:val="14"/>
              </w:rPr>
            </w:pPr>
            <w:r w:rsidRPr="006F1D04">
              <w:rPr>
                <w:rFonts w:ascii="Arial" w:hAnsi="Arial" w:cs="Arial"/>
                <w:bCs/>
                <w:sz w:val="14"/>
                <w:szCs w:val="14"/>
              </w:rPr>
              <w:t>Canberra: Monash</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sz w:val="14"/>
                <w:szCs w:val="14"/>
              </w:rPr>
            </w:pPr>
            <w:r w:rsidRPr="006F1D04">
              <w:rPr>
                <w:rFonts w:ascii="Arial" w:hAnsi="Arial" w:cs="Arial"/>
                <w:b/>
                <w:color w:val="FF0000"/>
                <w:sz w:val="14"/>
                <w:szCs w:val="14"/>
              </w:rPr>
              <w:t>8.2</w:t>
            </w: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7.9</w:t>
            </w: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6.3</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6.7</w:t>
            </w:r>
          </w:p>
        </w:tc>
      </w:tr>
    </w:tbl>
    <w:p w:rsidR="00AE0248" w:rsidRPr="006F1D04" w:rsidRDefault="00AE0248" w:rsidP="00AE0248">
      <w:pPr>
        <w:spacing w:after="200" w:line="240" w:lineRule="auto"/>
        <w:rPr>
          <w:rFonts w:ascii="Arial" w:hAnsi="Arial" w:cs="Arial"/>
        </w:rPr>
      </w:pPr>
    </w:p>
    <w:p w:rsidR="00AE0248" w:rsidRPr="006F1D04" w:rsidRDefault="00AE0248" w:rsidP="00AE0248">
      <w:pPr>
        <w:spacing w:after="200" w:line="240" w:lineRule="auto"/>
        <w:rPr>
          <w:rFonts w:ascii="Arial" w:hAnsi="Arial" w:cs="Arial"/>
        </w:rPr>
      </w:pPr>
    </w:p>
    <w:p w:rsidR="00AE0248" w:rsidRPr="006F1D04" w:rsidRDefault="00AE0248" w:rsidP="00AE0248">
      <w:pPr>
        <w:spacing w:after="200" w:line="240" w:lineRule="auto"/>
        <w:rPr>
          <w:rFonts w:ascii="Arial" w:hAnsi="Arial" w:cs="Arial"/>
        </w:rPr>
      </w:pPr>
    </w:p>
    <w:p w:rsidR="00AE0248" w:rsidRPr="006574FD" w:rsidRDefault="00AE0248" w:rsidP="00AE0248">
      <w:pPr>
        <w:spacing w:after="360" w:line="240" w:lineRule="auto"/>
        <w:rPr>
          <w:rFonts w:ascii="Arial" w:hAnsi="Arial" w:cs="Arial"/>
          <w:b/>
          <w:i/>
          <w:color w:val="0070C0"/>
          <w:sz w:val="20"/>
          <w:szCs w:val="20"/>
        </w:rPr>
      </w:pPr>
      <w:r w:rsidRPr="006F1D04">
        <w:rPr>
          <w:rFonts w:ascii="Arial" w:hAnsi="Arial" w:cs="Arial"/>
        </w:rPr>
        <w:br w:type="page"/>
      </w:r>
      <w:r w:rsidRPr="006574FD">
        <w:rPr>
          <w:rFonts w:ascii="Arial" w:hAnsi="Arial" w:cs="Arial"/>
          <w:b/>
          <w:i/>
          <w:color w:val="0070C0"/>
          <w:sz w:val="20"/>
          <w:szCs w:val="20"/>
        </w:rPr>
        <w:lastRenderedPageBreak/>
        <w:t>Advisory 24-hour PM</w:t>
      </w:r>
      <w:r w:rsidRPr="006574FD">
        <w:rPr>
          <w:rFonts w:ascii="Arial" w:hAnsi="Arial" w:cs="Arial"/>
          <w:b/>
          <w:i/>
          <w:color w:val="0070C0"/>
          <w:sz w:val="20"/>
          <w:szCs w:val="20"/>
          <w:vertAlign w:val="subscript"/>
        </w:rPr>
        <w:t>2.5</w:t>
      </w:r>
      <w:r w:rsidRPr="006574FD">
        <w:rPr>
          <w:rFonts w:ascii="Arial" w:hAnsi="Arial" w:cs="Arial"/>
          <w:b/>
          <w:i/>
          <w:color w:val="0070C0"/>
          <w:sz w:val="20"/>
          <w:szCs w:val="20"/>
        </w:rPr>
        <w:t xml:space="preserve"> standard (assuming no exceedances allowed)</w:t>
      </w:r>
    </w:p>
    <w:p w:rsidR="00AE0248" w:rsidRPr="006F1D04" w:rsidRDefault="00AE0248" w:rsidP="00AE0248">
      <w:pPr>
        <w:pStyle w:val="Caption"/>
        <w:tabs>
          <w:tab w:val="left" w:pos="8647"/>
        </w:tabs>
        <w:ind w:left="426" w:right="521"/>
        <w:rPr>
          <w:rFonts w:ascii="Arial" w:hAnsi="Arial" w:cs="Arial"/>
        </w:rPr>
      </w:pPr>
      <w:r w:rsidRPr="006F1D04">
        <w:rPr>
          <w:rFonts w:ascii="Arial" w:hAnsi="Arial" w:cs="Arial"/>
        </w:rPr>
        <w:t>Table E.18: Exceedances of advisory 24-hour PM</w:t>
      </w:r>
      <w:r w:rsidRPr="006F1D04">
        <w:rPr>
          <w:rFonts w:ascii="Arial" w:hAnsi="Arial" w:cs="Arial"/>
          <w:vertAlign w:val="subscript"/>
        </w:rPr>
        <w:t>2.5</w:t>
      </w:r>
      <w:r w:rsidRPr="006F1D04">
        <w:rPr>
          <w:rFonts w:ascii="Arial" w:hAnsi="Arial" w:cs="Arial"/>
        </w:rPr>
        <w:t xml:space="preserve"> standard in NSW (sites and years with any exceedances are highlighted in red; shaded cells represent no monitoring or years with &lt;75% of data)</w:t>
      </w:r>
    </w:p>
    <w:tbl>
      <w:tblPr>
        <w:tblW w:w="821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256"/>
        <w:gridCol w:w="595"/>
        <w:gridCol w:w="595"/>
        <w:gridCol w:w="596"/>
        <w:gridCol w:w="595"/>
        <w:gridCol w:w="596"/>
        <w:gridCol w:w="595"/>
        <w:gridCol w:w="595"/>
        <w:gridCol w:w="596"/>
        <w:gridCol w:w="595"/>
        <w:gridCol w:w="596"/>
      </w:tblGrid>
      <w:tr w:rsidR="00AE0248" w:rsidRPr="006F1D04" w:rsidTr="000F0DA7">
        <w:trPr>
          <w:trHeight w:val="300"/>
          <w:jc w:val="center"/>
        </w:trPr>
        <w:tc>
          <w:tcPr>
            <w:tcW w:w="2256" w:type="dxa"/>
            <w:vMerge w:val="restart"/>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Monitoring site</w:t>
            </w:r>
          </w:p>
        </w:tc>
        <w:tc>
          <w:tcPr>
            <w:tcW w:w="5954" w:type="dxa"/>
            <w:gridSpan w:val="10"/>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Number of exceedances of 24-hour mean PM</w:t>
            </w:r>
            <w:r w:rsidRPr="006F1D04">
              <w:rPr>
                <w:rFonts w:ascii="Arial" w:hAnsi="Arial" w:cs="Arial"/>
                <w:b/>
                <w:bCs/>
                <w:color w:val="FFFFFF"/>
                <w:sz w:val="14"/>
                <w:szCs w:val="14"/>
                <w:vertAlign w:val="subscript"/>
              </w:rPr>
              <w:t>2.5</w:t>
            </w:r>
            <w:r w:rsidRPr="006F1D04">
              <w:rPr>
                <w:rFonts w:ascii="Arial" w:hAnsi="Arial" w:cs="Arial"/>
                <w:b/>
                <w:bCs/>
                <w:color w:val="FFFFFF"/>
                <w:sz w:val="14"/>
                <w:szCs w:val="14"/>
              </w:rPr>
              <w:t xml:space="preserve"> of 25 </w:t>
            </w:r>
            <w:proofErr w:type="spellStart"/>
            <w:r w:rsidRPr="006F1D04">
              <w:rPr>
                <w:rFonts w:ascii="Arial" w:hAnsi="Arial" w:cs="Arial"/>
                <w:b/>
                <w:bCs/>
                <w:color w:val="FFFFFF"/>
                <w:sz w:val="14"/>
                <w:szCs w:val="14"/>
              </w:rPr>
              <w:t>μg</w:t>
            </w:r>
            <w:proofErr w:type="spellEnd"/>
            <w:r w:rsidRPr="006F1D04">
              <w:rPr>
                <w:rFonts w:ascii="Arial" w:hAnsi="Arial" w:cs="Arial"/>
                <w:b/>
                <w:bCs/>
                <w:color w:val="FFFFFF"/>
                <w:sz w:val="14"/>
                <w:szCs w:val="14"/>
              </w:rPr>
              <w:t>/m</w:t>
            </w:r>
            <w:r w:rsidRPr="006F1D04">
              <w:rPr>
                <w:rFonts w:ascii="Arial" w:hAnsi="Arial" w:cs="Arial"/>
                <w:b/>
                <w:bCs/>
                <w:color w:val="FFFFFF"/>
                <w:sz w:val="14"/>
                <w:szCs w:val="14"/>
                <w:vertAlign w:val="superscript"/>
              </w:rPr>
              <w:t>3</w:t>
            </w:r>
            <w:r w:rsidRPr="006F1D04">
              <w:rPr>
                <w:rFonts w:ascii="Arial" w:hAnsi="Arial" w:cs="Arial"/>
                <w:b/>
                <w:bCs/>
                <w:color w:val="FFFFFF"/>
                <w:sz w:val="14"/>
                <w:szCs w:val="14"/>
              </w:rPr>
              <w:t xml:space="preserve"> per year</w:t>
            </w:r>
          </w:p>
        </w:tc>
      </w:tr>
      <w:tr w:rsidR="00AE0248" w:rsidRPr="006F1D04" w:rsidTr="000F0DA7">
        <w:trPr>
          <w:trHeight w:val="300"/>
          <w:jc w:val="center"/>
        </w:trPr>
        <w:tc>
          <w:tcPr>
            <w:tcW w:w="2256" w:type="dxa"/>
            <w:vMerge/>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2003</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2004</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2005</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2006</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2007</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2008</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2009</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2010</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2011</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2012</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Sydney: Chullora</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Sydney: Earlwood</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5</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Sydney: Liverpool</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4</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3</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Sydney: Richmond</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4</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w:t>
            </w:r>
          </w:p>
        </w:tc>
        <w:tc>
          <w:tcPr>
            <w:tcW w:w="596"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Sydney: Westmead</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Sydney: Woolooware</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3</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Lower Hunter: Beresfield</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3</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4</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Lower Hunter: Wallsend</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4</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Upper Hunter: Camberwell</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Upper Hunter: Muswellbrook</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4</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3</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Upper Hunter: Singleton</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6"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6"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Illawarra: Warrawong</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4</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Illawarra: Wollongong</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5</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Regional NSW: Wagga Wagga</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r w:rsidRPr="006F1D04">
              <w:rPr>
                <w:rFonts w:ascii="Arial" w:hAnsi="Arial" w:cs="Arial"/>
                <w:color w:val="000000"/>
                <w:sz w:val="14"/>
                <w:szCs w:val="14"/>
              </w:rPr>
              <w:t>0</w:t>
            </w:r>
          </w:p>
        </w:tc>
      </w:tr>
    </w:tbl>
    <w:p w:rsidR="00AE0248" w:rsidRPr="006F1D04" w:rsidRDefault="00AE0248" w:rsidP="00AE0248">
      <w:pPr>
        <w:spacing w:after="200" w:line="240" w:lineRule="auto"/>
        <w:rPr>
          <w:rFonts w:ascii="Arial" w:hAnsi="Arial" w:cs="Arial"/>
        </w:rPr>
      </w:pPr>
    </w:p>
    <w:p w:rsidR="00AE0248" w:rsidRPr="006F1D04" w:rsidRDefault="00AE0248" w:rsidP="00AE0248">
      <w:pPr>
        <w:pStyle w:val="Caption"/>
        <w:tabs>
          <w:tab w:val="left" w:pos="8647"/>
        </w:tabs>
        <w:ind w:left="426" w:right="521"/>
        <w:rPr>
          <w:rFonts w:ascii="Arial" w:hAnsi="Arial" w:cs="Arial"/>
        </w:rPr>
      </w:pPr>
      <w:r w:rsidRPr="006F1D04">
        <w:rPr>
          <w:rFonts w:ascii="Arial" w:hAnsi="Arial" w:cs="Arial"/>
        </w:rPr>
        <w:t>Table E.19: Exceedances of advisory 24-hour PM</w:t>
      </w:r>
      <w:r w:rsidRPr="006F1D04">
        <w:rPr>
          <w:rFonts w:ascii="Arial" w:hAnsi="Arial" w:cs="Arial"/>
          <w:vertAlign w:val="subscript"/>
        </w:rPr>
        <w:t>2.5</w:t>
      </w:r>
      <w:r w:rsidRPr="006F1D04">
        <w:rPr>
          <w:rFonts w:ascii="Arial" w:hAnsi="Arial" w:cs="Arial"/>
        </w:rPr>
        <w:t xml:space="preserve"> standard in VIC (sites and years with any exceedances are highlighted in red; shaded cells represent no monitoring or years with &lt;75% of data)</w:t>
      </w:r>
    </w:p>
    <w:tbl>
      <w:tblPr>
        <w:tblW w:w="821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256"/>
        <w:gridCol w:w="595"/>
        <w:gridCol w:w="595"/>
        <w:gridCol w:w="596"/>
        <w:gridCol w:w="595"/>
        <w:gridCol w:w="596"/>
        <w:gridCol w:w="595"/>
        <w:gridCol w:w="595"/>
        <w:gridCol w:w="596"/>
        <w:gridCol w:w="595"/>
        <w:gridCol w:w="596"/>
      </w:tblGrid>
      <w:tr w:rsidR="00AE0248" w:rsidRPr="006F1D04" w:rsidTr="000F0DA7">
        <w:trPr>
          <w:trHeight w:val="300"/>
          <w:jc w:val="center"/>
        </w:trPr>
        <w:tc>
          <w:tcPr>
            <w:tcW w:w="2256" w:type="dxa"/>
            <w:vMerge w:val="restart"/>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Monitoring site</w:t>
            </w:r>
          </w:p>
        </w:tc>
        <w:tc>
          <w:tcPr>
            <w:tcW w:w="5954" w:type="dxa"/>
            <w:gridSpan w:val="10"/>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Number of exceedances of 24-hour mean PM</w:t>
            </w:r>
            <w:r w:rsidRPr="006F1D04">
              <w:rPr>
                <w:rFonts w:ascii="Arial" w:hAnsi="Arial" w:cs="Arial"/>
                <w:b/>
                <w:bCs/>
                <w:color w:val="FFFFFF"/>
                <w:sz w:val="14"/>
                <w:szCs w:val="14"/>
                <w:vertAlign w:val="subscript"/>
              </w:rPr>
              <w:t>2.5</w:t>
            </w:r>
            <w:r w:rsidRPr="006F1D04">
              <w:rPr>
                <w:rFonts w:ascii="Arial" w:hAnsi="Arial" w:cs="Arial"/>
                <w:b/>
                <w:bCs/>
                <w:color w:val="FFFFFF"/>
                <w:sz w:val="14"/>
                <w:szCs w:val="14"/>
              </w:rPr>
              <w:t xml:space="preserve"> of 25 </w:t>
            </w:r>
            <w:proofErr w:type="spellStart"/>
            <w:r w:rsidRPr="006F1D04">
              <w:rPr>
                <w:rFonts w:ascii="Arial" w:hAnsi="Arial" w:cs="Arial"/>
                <w:b/>
                <w:bCs/>
                <w:color w:val="FFFFFF"/>
                <w:sz w:val="14"/>
                <w:szCs w:val="14"/>
              </w:rPr>
              <w:t>μg</w:t>
            </w:r>
            <w:proofErr w:type="spellEnd"/>
            <w:r w:rsidRPr="006F1D04">
              <w:rPr>
                <w:rFonts w:ascii="Arial" w:hAnsi="Arial" w:cs="Arial"/>
                <w:b/>
                <w:bCs/>
                <w:color w:val="FFFFFF"/>
                <w:sz w:val="14"/>
                <w:szCs w:val="14"/>
              </w:rPr>
              <w:t>/m</w:t>
            </w:r>
            <w:r w:rsidRPr="006F1D04">
              <w:rPr>
                <w:rFonts w:ascii="Arial" w:hAnsi="Arial" w:cs="Arial"/>
                <w:b/>
                <w:bCs/>
                <w:color w:val="FFFFFF"/>
                <w:sz w:val="14"/>
                <w:szCs w:val="14"/>
                <w:vertAlign w:val="superscript"/>
              </w:rPr>
              <w:t>3</w:t>
            </w:r>
            <w:r w:rsidRPr="006F1D04">
              <w:rPr>
                <w:rFonts w:ascii="Arial" w:hAnsi="Arial" w:cs="Arial"/>
                <w:b/>
                <w:bCs/>
                <w:color w:val="FFFFFF"/>
                <w:sz w:val="14"/>
                <w:szCs w:val="14"/>
              </w:rPr>
              <w:t xml:space="preserve"> per year</w:t>
            </w:r>
          </w:p>
        </w:tc>
      </w:tr>
      <w:tr w:rsidR="00AE0248" w:rsidRPr="006F1D04" w:rsidTr="000F0DA7">
        <w:trPr>
          <w:trHeight w:val="300"/>
          <w:jc w:val="center"/>
        </w:trPr>
        <w:tc>
          <w:tcPr>
            <w:tcW w:w="2256" w:type="dxa"/>
            <w:vMerge/>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2003</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2004</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2005</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2006</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2007</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2008</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2009</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2010</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2011</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2012</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Pt Phil.: Alphington</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4</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19</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7</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9</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3</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Pt Phil.: Footscray</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7</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18</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8</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6</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3</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w:t>
            </w:r>
          </w:p>
        </w:tc>
      </w:tr>
    </w:tbl>
    <w:p w:rsidR="00AE0248" w:rsidRPr="006F1D04" w:rsidRDefault="00AE0248" w:rsidP="00AE0248">
      <w:pPr>
        <w:spacing w:after="200" w:line="240" w:lineRule="auto"/>
        <w:rPr>
          <w:rFonts w:ascii="Arial" w:hAnsi="Arial" w:cs="Arial"/>
        </w:rPr>
      </w:pPr>
    </w:p>
    <w:p w:rsidR="00AE0248" w:rsidRPr="006F1D04" w:rsidRDefault="00AE0248" w:rsidP="00AE0248">
      <w:pPr>
        <w:pStyle w:val="Caption"/>
        <w:tabs>
          <w:tab w:val="left" w:pos="8647"/>
        </w:tabs>
        <w:ind w:left="426" w:right="521"/>
        <w:rPr>
          <w:rFonts w:ascii="Arial" w:hAnsi="Arial" w:cs="Arial"/>
        </w:rPr>
      </w:pPr>
      <w:r w:rsidRPr="006F1D04">
        <w:rPr>
          <w:rFonts w:ascii="Arial" w:hAnsi="Arial" w:cs="Arial"/>
        </w:rPr>
        <w:t>Table E.20: Exceedances of advisory 24-hour PM</w:t>
      </w:r>
      <w:r w:rsidRPr="006F1D04">
        <w:rPr>
          <w:rFonts w:ascii="Arial" w:hAnsi="Arial" w:cs="Arial"/>
          <w:vertAlign w:val="subscript"/>
        </w:rPr>
        <w:t>2.5</w:t>
      </w:r>
      <w:r w:rsidRPr="006F1D04">
        <w:rPr>
          <w:rFonts w:ascii="Arial" w:hAnsi="Arial" w:cs="Arial"/>
        </w:rPr>
        <w:t xml:space="preserve"> standard in QLD (sites and years with any exceedances are highlighted in red; shaded cells represent no monitoring or years with &lt;75% of data)</w:t>
      </w:r>
    </w:p>
    <w:tbl>
      <w:tblPr>
        <w:tblW w:w="821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256"/>
        <w:gridCol w:w="595"/>
        <w:gridCol w:w="595"/>
        <w:gridCol w:w="596"/>
        <w:gridCol w:w="595"/>
        <w:gridCol w:w="596"/>
        <w:gridCol w:w="595"/>
        <w:gridCol w:w="595"/>
        <w:gridCol w:w="596"/>
        <w:gridCol w:w="595"/>
        <w:gridCol w:w="596"/>
      </w:tblGrid>
      <w:tr w:rsidR="00AE0248" w:rsidRPr="006F1D04" w:rsidTr="000F0DA7">
        <w:trPr>
          <w:trHeight w:val="300"/>
          <w:jc w:val="center"/>
        </w:trPr>
        <w:tc>
          <w:tcPr>
            <w:tcW w:w="2256" w:type="dxa"/>
            <w:vMerge w:val="restart"/>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Monitoring site</w:t>
            </w:r>
          </w:p>
        </w:tc>
        <w:tc>
          <w:tcPr>
            <w:tcW w:w="5954" w:type="dxa"/>
            <w:gridSpan w:val="10"/>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Number of exceedances of 24-hour mean PM</w:t>
            </w:r>
            <w:r w:rsidRPr="006F1D04">
              <w:rPr>
                <w:rFonts w:ascii="Arial" w:hAnsi="Arial" w:cs="Arial"/>
                <w:b/>
                <w:bCs/>
                <w:color w:val="FFFFFF"/>
                <w:sz w:val="14"/>
                <w:szCs w:val="14"/>
                <w:vertAlign w:val="subscript"/>
              </w:rPr>
              <w:t>2.5</w:t>
            </w:r>
            <w:r w:rsidRPr="006F1D04">
              <w:rPr>
                <w:rFonts w:ascii="Arial" w:hAnsi="Arial" w:cs="Arial"/>
                <w:b/>
                <w:bCs/>
                <w:color w:val="FFFFFF"/>
                <w:sz w:val="14"/>
                <w:szCs w:val="14"/>
              </w:rPr>
              <w:t xml:space="preserve"> of 25 </w:t>
            </w:r>
            <w:proofErr w:type="spellStart"/>
            <w:r w:rsidRPr="006F1D04">
              <w:rPr>
                <w:rFonts w:ascii="Arial" w:hAnsi="Arial" w:cs="Arial"/>
                <w:b/>
                <w:bCs/>
                <w:color w:val="FFFFFF"/>
                <w:sz w:val="14"/>
                <w:szCs w:val="14"/>
              </w:rPr>
              <w:t>μg</w:t>
            </w:r>
            <w:proofErr w:type="spellEnd"/>
            <w:r w:rsidRPr="006F1D04">
              <w:rPr>
                <w:rFonts w:ascii="Arial" w:hAnsi="Arial" w:cs="Arial"/>
                <w:b/>
                <w:bCs/>
                <w:color w:val="FFFFFF"/>
                <w:sz w:val="14"/>
                <w:szCs w:val="14"/>
              </w:rPr>
              <w:t>/m</w:t>
            </w:r>
            <w:r w:rsidRPr="006F1D04">
              <w:rPr>
                <w:rFonts w:ascii="Arial" w:hAnsi="Arial" w:cs="Arial"/>
                <w:b/>
                <w:bCs/>
                <w:color w:val="FFFFFF"/>
                <w:sz w:val="14"/>
                <w:szCs w:val="14"/>
                <w:vertAlign w:val="superscript"/>
              </w:rPr>
              <w:t>3</w:t>
            </w:r>
            <w:r w:rsidRPr="006F1D04">
              <w:rPr>
                <w:rFonts w:ascii="Arial" w:hAnsi="Arial" w:cs="Arial"/>
                <w:b/>
                <w:bCs/>
                <w:color w:val="FFFFFF"/>
                <w:sz w:val="14"/>
                <w:szCs w:val="14"/>
              </w:rPr>
              <w:t xml:space="preserve"> per year</w:t>
            </w:r>
          </w:p>
        </w:tc>
      </w:tr>
      <w:tr w:rsidR="00AE0248" w:rsidRPr="006F1D04" w:rsidTr="000F0DA7">
        <w:trPr>
          <w:trHeight w:val="300"/>
          <w:jc w:val="center"/>
        </w:trPr>
        <w:tc>
          <w:tcPr>
            <w:tcW w:w="2256" w:type="dxa"/>
            <w:vMerge/>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2003</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2004</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2005</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2006</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2007</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2008</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2009</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2010</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2011</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2012</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SEQ: North Toowoomba</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SEQ: Rocklea</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5</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6</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SEQ: South Brisbane</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6</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3</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SEQ: Springwood</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3</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SEQ: Woolloongabba</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3</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3</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3</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SEQ: Wynnum N</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3</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Gladstone: South Gladstone</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7</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9</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Gladstone: Clinton</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14</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 xml:space="preserve">Gladstone: </w:t>
            </w:r>
            <w:proofErr w:type="spellStart"/>
            <w:r w:rsidRPr="006F1D04">
              <w:rPr>
                <w:rFonts w:ascii="Arial" w:hAnsi="Arial" w:cs="Arial"/>
                <w:color w:val="000000"/>
                <w:sz w:val="14"/>
                <w:szCs w:val="14"/>
              </w:rPr>
              <w:t>Targinie</w:t>
            </w:r>
            <w:proofErr w:type="spellEnd"/>
            <w:r w:rsidRPr="006F1D04">
              <w:rPr>
                <w:rFonts w:ascii="Arial" w:hAnsi="Arial" w:cs="Arial"/>
                <w:color w:val="000000"/>
                <w:sz w:val="14"/>
                <w:szCs w:val="14"/>
              </w:rPr>
              <w:t xml:space="preserve"> (Swans Rd)</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4</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Gladstone: Boat Creek</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Gladstone: Boyne Island</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7</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3</w:t>
            </w:r>
          </w:p>
        </w:tc>
      </w:tr>
    </w:tbl>
    <w:p w:rsidR="00AE0248" w:rsidRPr="006F1D04" w:rsidRDefault="00AE0248" w:rsidP="00AE0248">
      <w:pPr>
        <w:spacing w:after="200" w:line="240" w:lineRule="auto"/>
        <w:rPr>
          <w:rFonts w:ascii="Arial" w:hAnsi="Arial" w:cs="Arial"/>
        </w:rPr>
      </w:pPr>
    </w:p>
    <w:p w:rsidR="00AE0248" w:rsidRPr="006F1D04" w:rsidRDefault="00AE0248" w:rsidP="00AE0248">
      <w:pPr>
        <w:pStyle w:val="Caption"/>
        <w:tabs>
          <w:tab w:val="left" w:pos="8647"/>
        </w:tabs>
        <w:ind w:left="426" w:right="521"/>
        <w:rPr>
          <w:rFonts w:ascii="Arial" w:hAnsi="Arial" w:cs="Arial"/>
        </w:rPr>
      </w:pPr>
      <w:r w:rsidRPr="006F1D04">
        <w:rPr>
          <w:rFonts w:ascii="Arial" w:hAnsi="Arial" w:cs="Arial"/>
        </w:rPr>
        <w:t>Table E.21: Exceedances of advisory 24-hour PM</w:t>
      </w:r>
      <w:r w:rsidRPr="006F1D04">
        <w:rPr>
          <w:rFonts w:ascii="Arial" w:hAnsi="Arial" w:cs="Arial"/>
          <w:vertAlign w:val="subscript"/>
        </w:rPr>
        <w:t>2.5</w:t>
      </w:r>
      <w:r w:rsidRPr="006F1D04">
        <w:rPr>
          <w:rFonts w:ascii="Arial" w:hAnsi="Arial" w:cs="Arial"/>
        </w:rPr>
        <w:t xml:space="preserve"> standard in SA (sites and years with any exceedances are highlighted in red; shaded cells represent no monitoring or years with &lt;75% of data)</w:t>
      </w:r>
    </w:p>
    <w:tbl>
      <w:tblPr>
        <w:tblW w:w="821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256"/>
        <w:gridCol w:w="595"/>
        <w:gridCol w:w="595"/>
        <w:gridCol w:w="596"/>
        <w:gridCol w:w="595"/>
        <w:gridCol w:w="596"/>
        <w:gridCol w:w="595"/>
        <w:gridCol w:w="595"/>
        <w:gridCol w:w="596"/>
        <w:gridCol w:w="595"/>
        <w:gridCol w:w="596"/>
      </w:tblGrid>
      <w:tr w:rsidR="00AE0248" w:rsidRPr="006F1D04" w:rsidTr="000F0DA7">
        <w:trPr>
          <w:trHeight w:val="300"/>
          <w:jc w:val="center"/>
        </w:trPr>
        <w:tc>
          <w:tcPr>
            <w:tcW w:w="2256" w:type="dxa"/>
            <w:vMerge w:val="restart"/>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Monitoring site</w:t>
            </w:r>
          </w:p>
        </w:tc>
        <w:tc>
          <w:tcPr>
            <w:tcW w:w="5954" w:type="dxa"/>
            <w:gridSpan w:val="10"/>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Number of exceedances of 24-hour mean PM</w:t>
            </w:r>
            <w:r w:rsidRPr="006F1D04">
              <w:rPr>
                <w:rFonts w:ascii="Arial" w:hAnsi="Arial" w:cs="Arial"/>
                <w:b/>
                <w:bCs/>
                <w:color w:val="FFFFFF"/>
                <w:sz w:val="14"/>
                <w:szCs w:val="14"/>
                <w:vertAlign w:val="subscript"/>
              </w:rPr>
              <w:t>2.5</w:t>
            </w:r>
            <w:r w:rsidRPr="006F1D04">
              <w:rPr>
                <w:rFonts w:ascii="Arial" w:hAnsi="Arial" w:cs="Arial"/>
                <w:b/>
                <w:bCs/>
                <w:color w:val="FFFFFF"/>
                <w:sz w:val="14"/>
                <w:szCs w:val="14"/>
              </w:rPr>
              <w:t xml:space="preserve"> of 25 </w:t>
            </w:r>
            <w:proofErr w:type="spellStart"/>
            <w:r w:rsidRPr="006F1D04">
              <w:rPr>
                <w:rFonts w:ascii="Arial" w:hAnsi="Arial" w:cs="Arial"/>
                <w:b/>
                <w:bCs/>
                <w:color w:val="FFFFFF"/>
                <w:sz w:val="14"/>
                <w:szCs w:val="14"/>
              </w:rPr>
              <w:t>μg</w:t>
            </w:r>
            <w:proofErr w:type="spellEnd"/>
            <w:r w:rsidRPr="006F1D04">
              <w:rPr>
                <w:rFonts w:ascii="Arial" w:hAnsi="Arial" w:cs="Arial"/>
                <w:b/>
                <w:bCs/>
                <w:color w:val="FFFFFF"/>
                <w:sz w:val="14"/>
                <w:szCs w:val="14"/>
              </w:rPr>
              <w:t>/m</w:t>
            </w:r>
            <w:r w:rsidRPr="006F1D04">
              <w:rPr>
                <w:rFonts w:ascii="Arial" w:hAnsi="Arial" w:cs="Arial"/>
                <w:b/>
                <w:bCs/>
                <w:color w:val="FFFFFF"/>
                <w:sz w:val="14"/>
                <w:szCs w:val="14"/>
                <w:vertAlign w:val="superscript"/>
              </w:rPr>
              <w:t>3</w:t>
            </w:r>
            <w:r w:rsidRPr="006F1D04">
              <w:rPr>
                <w:rFonts w:ascii="Arial" w:hAnsi="Arial" w:cs="Arial"/>
                <w:b/>
                <w:bCs/>
                <w:color w:val="FFFFFF"/>
                <w:sz w:val="14"/>
                <w:szCs w:val="14"/>
              </w:rPr>
              <w:t xml:space="preserve"> per year</w:t>
            </w:r>
          </w:p>
        </w:tc>
      </w:tr>
      <w:tr w:rsidR="00AE0248" w:rsidRPr="006F1D04" w:rsidTr="000F0DA7">
        <w:trPr>
          <w:trHeight w:val="300"/>
          <w:jc w:val="center"/>
        </w:trPr>
        <w:tc>
          <w:tcPr>
            <w:tcW w:w="2256" w:type="dxa"/>
            <w:vMerge/>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2003</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2004</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2005</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2006</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2007</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2008</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2009</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2010</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2011</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2012</w:t>
            </w:r>
          </w:p>
        </w:tc>
      </w:tr>
      <w:tr w:rsidR="00AE0248" w:rsidRPr="006F1D04" w:rsidTr="000F0DA7">
        <w:trPr>
          <w:trHeight w:hRule="exact" w:val="255"/>
          <w:jc w:val="center"/>
        </w:trPr>
        <w:tc>
          <w:tcPr>
            <w:tcW w:w="2256" w:type="dxa"/>
            <w:shd w:val="clear" w:color="auto"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Adelaide: Netley</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r>
    </w:tbl>
    <w:p w:rsidR="00AE0248" w:rsidRPr="006F1D04" w:rsidRDefault="00AE0248" w:rsidP="00AE0248">
      <w:pPr>
        <w:pStyle w:val="Caption"/>
        <w:tabs>
          <w:tab w:val="left" w:pos="8647"/>
        </w:tabs>
        <w:ind w:left="426" w:right="521"/>
        <w:rPr>
          <w:rFonts w:ascii="Arial" w:hAnsi="Arial" w:cs="Arial"/>
        </w:rPr>
      </w:pPr>
      <w:r w:rsidRPr="006F1D04">
        <w:rPr>
          <w:rFonts w:ascii="Arial" w:hAnsi="Arial" w:cs="Arial"/>
        </w:rPr>
        <w:lastRenderedPageBreak/>
        <w:t>Table E.22: Exceedances of advisory 24-hour PM</w:t>
      </w:r>
      <w:r w:rsidRPr="006F1D04">
        <w:rPr>
          <w:rFonts w:ascii="Arial" w:hAnsi="Arial" w:cs="Arial"/>
          <w:vertAlign w:val="subscript"/>
        </w:rPr>
        <w:t>2.5</w:t>
      </w:r>
      <w:r w:rsidRPr="006F1D04">
        <w:rPr>
          <w:rFonts w:ascii="Arial" w:hAnsi="Arial" w:cs="Arial"/>
        </w:rPr>
        <w:t xml:space="preserve"> standard in WA (sites and years with any exceedances are highlighted in red; shaded cells represent no monitoring or years with &lt;75% of data)</w:t>
      </w:r>
    </w:p>
    <w:tbl>
      <w:tblPr>
        <w:tblW w:w="821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256"/>
        <w:gridCol w:w="595"/>
        <w:gridCol w:w="595"/>
        <w:gridCol w:w="596"/>
        <w:gridCol w:w="595"/>
        <w:gridCol w:w="596"/>
        <w:gridCol w:w="595"/>
        <w:gridCol w:w="595"/>
        <w:gridCol w:w="596"/>
        <w:gridCol w:w="595"/>
        <w:gridCol w:w="596"/>
      </w:tblGrid>
      <w:tr w:rsidR="00AE0248" w:rsidRPr="006F1D04" w:rsidTr="000F0DA7">
        <w:trPr>
          <w:trHeight w:val="300"/>
          <w:jc w:val="center"/>
        </w:trPr>
        <w:tc>
          <w:tcPr>
            <w:tcW w:w="2256" w:type="dxa"/>
            <w:vMerge w:val="restart"/>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Monitoring site</w:t>
            </w:r>
          </w:p>
        </w:tc>
        <w:tc>
          <w:tcPr>
            <w:tcW w:w="5954" w:type="dxa"/>
            <w:gridSpan w:val="10"/>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Number of exceedances of 24-hour mean PM</w:t>
            </w:r>
            <w:r w:rsidRPr="006F1D04">
              <w:rPr>
                <w:rFonts w:ascii="Arial" w:hAnsi="Arial" w:cs="Arial"/>
                <w:b/>
                <w:bCs/>
                <w:color w:val="FFFFFF"/>
                <w:sz w:val="14"/>
                <w:szCs w:val="14"/>
                <w:vertAlign w:val="subscript"/>
              </w:rPr>
              <w:t>2.5</w:t>
            </w:r>
            <w:r w:rsidRPr="006F1D04">
              <w:rPr>
                <w:rFonts w:ascii="Arial" w:hAnsi="Arial" w:cs="Arial"/>
                <w:b/>
                <w:bCs/>
                <w:color w:val="FFFFFF"/>
                <w:sz w:val="14"/>
                <w:szCs w:val="14"/>
              </w:rPr>
              <w:t xml:space="preserve"> of 25 </w:t>
            </w:r>
            <w:proofErr w:type="spellStart"/>
            <w:r w:rsidRPr="006F1D04">
              <w:rPr>
                <w:rFonts w:ascii="Arial" w:hAnsi="Arial" w:cs="Arial"/>
                <w:b/>
                <w:bCs/>
                <w:color w:val="FFFFFF"/>
                <w:sz w:val="14"/>
                <w:szCs w:val="14"/>
              </w:rPr>
              <w:t>μg</w:t>
            </w:r>
            <w:proofErr w:type="spellEnd"/>
            <w:r w:rsidRPr="006F1D04">
              <w:rPr>
                <w:rFonts w:ascii="Arial" w:hAnsi="Arial" w:cs="Arial"/>
                <w:b/>
                <w:bCs/>
                <w:color w:val="FFFFFF"/>
                <w:sz w:val="14"/>
                <w:szCs w:val="14"/>
              </w:rPr>
              <w:t>/m</w:t>
            </w:r>
            <w:r w:rsidRPr="006F1D04">
              <w:rPr>
                <w:rFonts w:ascii="Arial" w:hAnsi="Arial" w:cs="Arial"/>
                <w:b/>
                <w:bCs/>
                <w:color w:val="FFFFFF"/>
                <w:sz w:val="14"/>
                <w:szCs w:val="14"/>
                <w:vertAlign w:val="superscript"/>
              </w:rPr>
              <w:t>3</w:t>
            </w:r>
            <w:r w:rsidRPr="006F1D04">
              <w:rPr>
                <w:rFonts w:ascii="Arial" w:hAnsi="Arial" w:cs="Arial"/>
                <w:b/>
                <w:bCs/>
                <w:color w:val="FFFFFF"/>
                <w:sz w:val="14"/>
                <w:szCs w:val="14"/>
              </w:rPr>
              <w:t xml:space="preserve"> per year</w:t>
            </w:r>
          </w:p>
        </w:tc>
      </w:tr>
      <w:tr w:rsidR="00AE0248" w:rsidRPr="006F1D04" w:rsidTr="000F0DA7">
        <w:trPr>
          <w:trHeight w:val="300"/>
          <w:jc w:val="center"/>
        </w:trPr>
        <w:tc>
          <w:tcPr>
            <w:tcW w:w="2256" w:type="dxa"/>
            <w:vMerge/>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2003</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2004</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2005</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2006</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2007</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2008</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2009</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2010</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2011</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2012</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Perth: Caversham</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3</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Perth: Duncraig</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4</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 xml:space="preserve">Perth: </w:t>
            </w:r>
            <w:proofErr w:type="spellStart"/>
            <w:r w:rsidRPr="006F1D04">
              <w:rPr>
                <w:rFonts w:ascii="Arial" w:hAnsi="Arial" w:cs="Arial"/>
                <w:bCs/>
                <w:color w:val="000000"/>
                <w:sz w:val="14"/>
                <w:szCs w:val="14"/>
              </w:rPr>
              <w:t>Quinns</w:t>
            </w:r>
            <w:proofErr w:type="spellEnd"/>
            <w:r w:rsidRPr="006F1D04">
              <w:rPr>
                <w:rFonts w:ascii="Arial" w:hAnsi="Arial" w:cs="Arial"/>
                <w:bCs/>
                <w:color w:val="000000"/>
                <w:sz w:val="14"/>
                <w:szCs w:val="14"/>
              </w:rPr>
              <w:t xml:space="preserve"> Rock</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3</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Perth: South Lake</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3</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sz w:val="14"/>
                <w:szCs w:val="14"/>
              </w:rPr>
            </w:pPr>
            <w:r w:rsidRPr="006F1D04">
              <w:rPr>
                <w:rFonts w:ascii="Arial" w:hAnsi="Arial" w:cs="Arial"/>
                <w:sz w:val="14"/>
                <w:szCs w:val="14"/>
              </w:rPr>
              <w:t>Bunbury</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5</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3</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6</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3</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4</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3</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Busselton</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11</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5</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5</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4</w:t>
            </w:r>
          </w:p>
        </w:tc>
      </w:tr>
    </w:tbl>
    <w:p w:rsidR="00AE0248" w:rsidRPr="006F1D04" w:rsidRDefault="00AE0248" w:rsidP="00AE0248">
      <w:pPr>
        <w:spacing w:after="200" w:line="240" w:lineRule="auto"/>
        <w:rPr>
          <w:rFonts w:ascii="Arial" w:hAnsi="Arial" w:cs="Arial"/>
        </w:rPr>
      </w:pPr>
    </w:p>
    <w:p w:rsidR="00AE0248" w:rsidRPr="006F1D04" w:rsidRDefault="00AE0248" w:rsidP="00AE0248">
      <w:pPr>
        <w:pStyle w:val="Caption"/>
        <w:tabs>
          <w:tab w:val="left" w:pos="8647"/>
        </w:tabs>
        <w:ind w:left="426" w:right="521"/>
        <w:rPr>
          <w:rFonts w:ascii="Arial" w:hAnsi="Arial" w:cs="Arial"/>
        </w:rPr>
      </w:pPr>
      <w:r w:rsidRPr="006F1D04">
        <w:rPr>
          <w:rFonts w:ascii="Arial" w:hAnsi="Arial" w:cs="Arial"/>
        </w:rPr>
        <w:t>Table E.23: Exceedances of advisory 24-hour PM</w:t>
      </w:r>
      <w:r w:rsidRPr="006F1D04">
        <w:rPr>
          <w:rFonts w:ascii="Arial" w:hAnsi="Arial" w:cs="Arial"/>
          <w:vertAlign w:val="subscript"/>
        </w:rPr>
        <w:t>2.5</w:t>
      </w:r>
      <w:r w:rsidRPr="006F1D04">
        <w:rPr>
          <w:rFonts w:ascii="Arial" w:hAnsi="Arial" w:cs="Arial"/>
        </w:rPr>
        <w:t xml:space="preserve"> standard in TAS (sites and years with any exceedances are highlighted in red; shaded cells represent no monitoring or years with &lt;75% of data)</w:t>
      </w:r>
    </w:p>
    <w:tbl>
      <w:tblPr>
        <w:tblW w:w="821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256"/>
        <w:gridCol w:w="595"/>
        <w:gridCol w:w="595"/>
        <w:gridCol w:w="596"/>
        <w:gridCol w:w="595"/>
        <w:gridCol w:w="596"/>
        <w:gridCol w:w="595"/>
        <w:gridCol w:w="595"/>
        <w:gridCol w:w="596"/>
        <w:gridCol w:w="595"/>
        <w:gridCol w:w="596"/>
      </w:tblGrid>
      <w:tr w:rsidR="00AE0248" w:rsidRPr="006F1D04" w:rsidTr="000F0DA7">
        <w:trPr>
          <w:trHeight w:val="300"/>
          <w:jc w:val="center"/>
        </w:trPr>
        <w:tc>
          <w:tcPr>
            <w:tcW w:w="2256" w:type="dxa"/>
            <w:vMerge w:val="restart"/>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Monitoring site</w:t>
            </w:r>
          </w:p>
        </w:tc>
        <w:tc>
          <w:tcPr>
            <w:tcW w:w="5954" w:type="dxa"/>
            <w:gridSpan w:val="10"/>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Number of exceedances of 24-hour mean PM</w:t>
            </w:r>
            <w:r w:rsidRPr="006F1D04">
              <w:rPr>
                <w:rFonts w:ascii="Arial" w:hAnsi="Arial" w:cs="Arial"/>
                <w:b/>
                <w:bCs/>
                <w:color w:val="FFFFFF"/>
                <w:sz w:val="14"/>
                <w:szCs w:val="14"/>
                <w:vertAlign w:val="subscript"/>
              </w:rPr>
              <w:t>2.5</w:t>
            </w:r>
            <w:r w:rsidRPr="006F1D04">
              <w:rPr>
                <w:rFonts w:ascii="Arial" w:hAnsi="Arial" w:cs="Arial"/>
                <w:b/>
                <w:bCs/>
                <w:color w:val="FFFFFF"/>
                <w:sz w:val="14"/>
                <w:szCs w:val="14"/>
              </w:rPr>
              <w:t xml:space="preserve"> of 25 </w:t>
            </w:r>
            <w:proofErr w:type="spellStart"/>
            <w:r w:rsidRPr="006F1D04">
              <w:rPr>
                <w:rFonts w:ascii="Arial" w:hAnsi="Arial" w:cs="Arial"/>
                <w:b/>
                <w:bCs/>
                <w:color w:val="FFFFFF"/>
                <w:sz w:val="14"/>
                <w:szCs w:val="14"/>
              </w:rPr>
              <w:t>μg</w:t>
            </w:r>
            <w:proofErr w:type="spellEnd"/>
            <w:r w:rsidRPr="006F1D04">
              <w:rPr>
                <w:rFonts w:ascii="Arial" w:hAnsi="Arial" w:cs="Arial"/>
                <w:b/>
                <w:bCs/>
                <w:color w:val="FFFFFF"/>
                <w:sz w:val="14"/>
                <w:szCs w:val="14"/>
              </w:rPr>
              <w:t>/m</w:t>
            </w:r>
            <w:r w:rsidRPr="006F1D04">
              <w:rPr>
                <w:rFonts w:ascii="Arial" w:hAnsi="Arial" w:cs="Arial"/>
                <w:b/>
                <w:bCs/>
                <w:color w:val="FFFFFF"/>
                <w:sz w:val="14"/>
                <w:szCs w:val="14"/>
                <w:vertAlign w:val="superscript"/>
              </w:rPr>
              <w:t>3</w:t>
            </w:r>
            <w:r w:rsidRPr="006F1D04">
              <w:rPr>
                <w:rFonts w:ascii="Arial" w:hAnsi="Arial" w:cs="Arial"/>
                <w:b/>
                <w:bCs/>
                <w:color w:val="FFFFFF"/>
                <w:sz w:val="14"/>
                <w:szCs w:val="14"/>
              </w:rPr>
              <w:t xml:space="preserve"> per year</w:t>
            </w:r>
          </w:p>
        </w:tc>
      </w:tr>
      <w:tr w:rsidR="00AE0248" w:rsidRPr="006F1D04" w:rsidTr="000F0DA7">
        <w:trPr>
          <w:trHeight w:val="300"/>
          <w:jc w:val="center"/>
        </w:trPr>
        <w:tc>
          <w:tcPr>
            <w:tcW w:w="2256" w:type="dxa"/>
            <w:vMerge/>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2003</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2004</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2005</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2006</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2007</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2008</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2009</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2010</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2011</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2012</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Launceston: Ti Tree Bend</w:t>
            </w:r>
          </w:p>
        </w:tc>
        <w:tc>
          <w:tcPr>
            <w:tcW w:w="595" w:type="dxa"/>
            <w:shd w:val="clear" w:color="auto" w:fill="D9D9D9"/>
            <w:noWrap/>
            <w:tcMar>
              <w:left w:w="28" w:type="dxa"/>
              <w:right w:w="28" w:type="dxa"/>
            </w:tcMar>
            <w:vAlign w:val="bottom"/>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auto" w:fill="D9D9D9"/>
            <w:noWrap/>
            <w:tcMar>
              <w:left w:w="28" w:type="dxa"/>
              <w:right w:w="28" w:type="dxa"/>
            </w:tcMar>
            <w:vAlign w:val="bottom"/>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tcBorders>
              <w:bottom w:val="single" w:sz="4" w:space="0" w:color="0070C0"/>
            </w:tcBorders>
            <w:shd w:val="clear" w:color="auto" w:fill="D9D9D9"/>
            <w:noWrap/>
            <w:tcMar>
              <w:left w:w="28" w:type="dxa"/>
              <w:right w:w="28" w:type="dxa"/>
            </w:tcMar>
            <w:vAlign w:val="bottom"/>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35</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20</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17</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11</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6</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16</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Hobart: New Town</w:t>
            </w:r>
          </w:p>
        </w:tc>
        <w:tc>
          <w:tcPr>
            <w:tcW w:w="595" w:type="dxa"/>
            <w:shd w:val="clear" w:color="auto" w:fill="D9D9D9"/>
            <w:noWrap/>
            <w:tcMar>
              <w:left w:w="28" w:type="dxa"/>
              <w:right w:w="28" w:type="dxa"/>
            </w:tcMar>
            <w:vAlign w:val="bottom"/>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tcBorders>
              <w:bottom w:val="single" w:sz="4" w:space="0" w:color="0070C0"/>
            </w:tcBorders>
            <w:shd w:val="clear" w:color="auto" w:fill="D9D9D9"/>
            <w:noWrap/>
            <w:tcMar>
              <w:left w:w="28" w:type="dxa"/>
              <w:right w:w="28" w:type="dxa"/>
            </w:tcMar>
            <w:vAlign w:val="bottom"/>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tcBorders>
              <w:bottom w:val="single" w:sz="4" w:space="0" w:color="0070C0"/>
            </w:tcBorders>
            <w:shd w:val="clear" w:color="auto" w:fill="D9D9D9"/>
            <w:noWrap/>
            <w:tcMar>
              <w:left w:w="28" w:type="dxa"/>
              <w:right w:w="28" w:type="dxa"/>
            </w:tcMar>
            <w:vAlign w:val="bottom"/>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tcBorders>
              <w:bottom w:val="single" w:sz="4" w:space="0" w:color="0070C0"/>
            </w:tcBorders>
            <w:shd w:val="clear" w:color="auto" w:fill="D9D9D9"/>
            <w:noWrap/>
            <w:tcMar>
              <w:left w:w="28" w:type="dxa"/>
              <w:right w:w="28" w:type="dxa"/>
            </w:tcMar>
            <w:vAlign w:val="bottom"/>
          </w:tcPr>
          <w:p w:rsidR="00AE0248" w:rsidRPr="006F1D04" w:rsidRDefault="00AE0248" w:rsidP="000F0DA7">
            <w:pPr>
              <w:spacing w:after="0" w:line="240" w:lineRule="auto"/>
              <w:jc w:val="center"/>
              <w:rPr>
                <w:rFonts w:ascii="Arial" w:hAnsi="Arial" w:cs="Arial"/>
                <w:sz w:val="14"/>
                <w:szCs w:val="14"/>
              </w:rPr>
            </w:pP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7</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9</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4</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w:t>
            </w: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0</w:t>
            </w:r>
          </w:p>
        </w:tc>
        <w:tc>
          <w:tcPr>
            <w:tcW w:w="596"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3</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color w:val="000000"/>
                <w:sz w:val="14"/>
                <w:szCs w:val="14"/>
              </w:rPr>
            </w:pPr>
            <w:r w:rsidRPr="006F1D04">
              <w:rPr>
                <w:rFonts w:ascii="Arial" w:hAnsi="Arial" w:cs="Arial"/>
                <w:color w:val="000000"/>
                <w:sz w:val="14"/>
                <w:szCs w:val="14"/>
              </w:rPr>
              <w:t>George Town</w:t>
            </w:r>
          </w:p>
        </w:tc>
        <w:tc>
          <w:tcPr>
            <w:tcW w:w="595" w:type="dxa"/>
            <w:shd w:val="clear" w:color="auto" w:fill="D9D9D9"/>
            <w:noWrap/>
            <w:tcMar>
              <w:left w:w="28" w:type="dxa"/>
              <w:right w:w="28" w:type="dxa"/>
            </w:tcMar>
            <w:vAlign w:val="bottom"/>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auto" w:fill="D9D9D9"/>
            <w:noWrap/>
            <w:tcMar>
              <w:left w:w="28" w:type="dxa"/>
              <w:right w:w="28" w:type="dxa"/>
            </w:tcMar>
            <w:vAlign w:val="bottom"/>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shd w:val="clear" w:color="auto" w:fill="D9D9D9"/>
            <w:noWrap/>
            <w:tcMar>
              <w:left w:w="28" w:type="dxa"/>
              <w:right w:w="28" w:type="dxa"/>
            </w:tcMar>
            <w:vAlign w:val="bottom"/>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auto" w:fill="D9D9D9"/>
            <w:noWrap/>
            <w:tcMar>
              <w:left w:w="28" w:type="dxa"/>
              <w:right w:w="28" w:type="dxa"/>
            </w:tcMar>
            <w:vAlign w:val="bottom"/>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6" w:type="dxa"/>
            <w:shd w:val="clear" w:color="auto" w:fill="D9D9D9"/>
            <w:noWrap/>
            <w:tcMar>
              <w:left w:w="28" w:type="dxa"/>
              <w:right w:w="28" w:type="dxa"/>
            </w:tcMar>
            <w:vAlign w:val="bottom"/>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6</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5</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sz w:val="14"/>
                <w:szCs w:val="14"/>
              </w:rPr>
            </w:pPr>
            <w:r w:rsidRPr="006F1D04">
              <w:rPr>
                <w:rFonts w:ascii="Arial" w:hAnsi="Arial" w:cs="Arial"/>
                <w:sz w:val="14"/>
                <w:szCs w:val="14"/>
              </w:rPr>
              <w:t> </w:t>
            </w:r>
          </w:p>
        </w:tc>
      </w:tr>
    </w:tbl>
    <w:p w:rsidR="00AE0248" w:rsidRPr="006F1D04" w:rsidRDefault="00AE0248" w:rsidP="00AE0248">
      <w:pPr>
        <w:spacing w:after="200" w:line="240" w:lineRule="auto"/>
        <w:rPr>
          <w:rFonts w:ascii="Arial" w:hAnsi="Arial" w:cs="Arial"/>
        </w:rPr>
      </w:pPr>
    </w:p>
    <w:p w:rsidR="00AE0248" w:rsidRPr="006F1D04" w:rsidRDefault="00AE0248" w:rsidP="00AE0248">
      <w:pPr>
        <w:pStyle w:val="Caption"/>
        <w:tabs>
          <w:tab w:val="left" w:pos="8647"/>
        </w:tabs>
        <w:ind w:left="426" w:right="521"/>
        <w:rPr>
          <w:rFonts w:ascii="Arial" w:hAnsi="Arial" w:cs="Arial"/>
        </w:rPr>
      </w:pPr>
      <w:r w:rsidRPr="006F1D04">
        <w:rPr>
          <w:rFonts w:ascii="Arial" w:hAnsi="Arial" w:cs="Arial"/>
        </w:rPr>
        <w:t>Table E.25: Exceedances of advisory 24-hour PM</w:t>
      </w:r>
      <w:r w:rsidRPr="006F1D04">
        <w:rPr>
          <w:rFonts w:ascii="Arial" w:hAnsi="Arial" w:cs="Arial"/>
          <w:vertAlign w:val="subscript"/>
        </w:rPr>
        <w:t>2.5</w:t>
      </w:r>
      <w:r w:rsidRPr="006F1D04">
        <w:rPr>
          <w:rFonts w:ascii="Arial" w:hAnsi="Arial" w:cs="Arial"/>
        </w:rPr>
        <w:t xml:space="preserve"> standard in NT (sites and years with any exceedances are highlighted in red; shaded cells represent no monitoring or years with &lt;75% of data)</w:t>
      </w:r>
    </w:p>
    <w:tbl>
      <w:tblPr>
        <w:tblW w:w="821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256"/>
        <w:gridCol w:w="595"/>
        <w:gridCol w:w="595"/>
        <w:gridCol w:w="596"/>
        <w:gridCol w:w="595"/>
        <w:gridCol w:w="596"/>
        <w:gridCol w:w="595"/>
        <w:gridCol w:w="595"/>
        <w:gridCol w:w="596"/>
        <w:gridCol w:w="595"/>
        <w:gridCol w:w="596"/>
      </w:tblGrid>
      <w:tr w:rsidR="00AE0248" w:rsidRPr="006F1D04" w:rsidTr="000F0DA7">
        <w:trPr>
          <w:trHeight w:val="300"/>
          <w:jc w:val="center"/>
        </w:trPr>
        <w:tc>
          <w:tcPr>
            <w:tcW w:w="2256" w:type="dxa"/>
            <w:vMerge w:val="restart"/>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Monitoring site</w:t>
            </w:r>
          </w:p>
        </w:tc>
        <w:tc>
          <w:tcPr>
            <w:tcW w:w="5954" w:type="dxa"/>
            <w:gridSpan w:val="10"/>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Number of exceedances of 24-hour mean PM</w:t>
            </w:r>
            <w:r w:rsidRPr="006F1D04">
              <w:rPr>
                <w:rFonts w:ascii="Arial" w:hAnsi="Arial" w:cs="Arial"/>
                <w:b/>
                <w:bCs/>
                <w:color w:val="FFFFFF"/>
                <w:sz w:val="14"/>
                <w:szCs w:val="14"/>
                <w:vertAlign w:val="subscript"/>
              </w:rPr>
              <w:t>2.5</w:t>
            </w:r>
            <w:r w:rsidRPr="006F1D04">
              <w:rPr>
                <w:rFonts w:ascii="Arial" w:hAnsi="Arial" w:cs="Arial"/>
                <w:b/>
                <w:bCs/>
                <w:color w:val="FFFFFF"/>
                <w:sz w:val="14"/>
                <w:szCs w:val="14"/>
              </w:rPr>
              <w:t xml:space="preserve"> of 25 </w:t>
            </w:r>
            <w:proofErr w:type="spellStart"/>
            <w:r w:rsidRPr="006F1D04">
              <w:rPr>
                <w:rFonts w:ascii="Arial" w:hAnsi="Arial" w:cs="Arial"/>
                <w:b/>
                <w:bCs/>
                <w:color w:val="FFFFFF"/>
                <w:sz w:val="14"/>
                <w:szCs w:val="14"/>
              </w:rPr>
              <w:t>μg</w:t>
            </w:r>
            <w:proofErr w:type="spellEnd"/>
            <w:r w:rsidRPr="006F1D04">
              <w:rPr>
                <w:rFonts w:ascii="Arial" w:hAnsi="Arial" w:cs="Arial"/>
                <w:b/>
                <w:bCs/>
                <w:color w:val="FFFFFF"/>
                <w:sz w:val="14"/>
                <w:szCs w:val="14"/>
              </w:rPr>
              <w:t>/m</w:t>
            </w:r>
            <w:r w:rsidRPr="006F1D04">
              <w:rPr>
                <w:rFonts w:ascii="Arial" w:hAnsi="Arial" w:cs="Arial"/>
                <w:b/>
                <w:bCs/>
                <w:color w:val="FFFFFF"/>
                <w:sz w:val="14"/>
                <w:szCs w:val="14"/>
                <w:vertAlign w:val="superscript"/>
              </w:rPr>
              <w:t>3</w:t>
            </w:r>
            <w:r w:rsidRPr="006F1D04">
              <w:rPr>
                <w:rFonts w:ascii="Arial" w:hAnsi="Arial" w:cs="Arial"/>
                <w:b/>
                <w:bCs/>
                <w:color w:val="FFFFFF"/>
                <w:sz w:val="14"/>
                <w:szCs w:val="14"/>
              </w:rPr>
              <w:t xml:space="preserve"> per year</w:t>
            </w:r>
          </w:p>
        </w:tc>
      </w:tr>
      <w:tr w:rsidR="00AE0248" w:rsidRPr="006F1D04" w:rsidTr="000F0DA7">
        <w:trPr>
          <w:trHeight w:val="300"/>
          <w:jc w:val="center"/>
        </w:trPr>
        <w:tc>
          <w:tcPr>
            <w:tcW w:w="2256" w:type="dxa"/>
            <w:vMerge/>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2003</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2004</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2005</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2006</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2007</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2008</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2009</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2010</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2011</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2012</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Darwin: Casuarina</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FF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FF0000"/>
                <w:sz w:val="14"/>
                <w:szCs w:val="14"/>
              </w:rPr>
            </w:pPr>
          </w:p>
        </w:tc>
        <w:tc>
          <w:tcPr>
            <w:tcW w:w="595" w:type="dxa"/>
            <w:tcBorders>
              <w:bottom w:val="single" w:sz="4" w:space="0" w:color="0070C0"/>
            </w:tcBorders>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5</w:t>
            </w:r>
          </w:p>
        </w:tc>
        <w:tc>
          <w:tcPr>
            <w:tcW w:w="596" w:type="dxa"/>
            <w:tcBorders>
              <w:bottom w:val="single" w:sz="4" w:space="0" w:color="0070C0"/>
            </w:tcBorders>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Darwin: Palmerston</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B05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B05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15</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24</w:t>
            </w:r>
          </w:p>
        </w:tc>
      </w:tr>
    </w:tbl>
    <w:p w:rsidR="00AE0248" w:rsidRPr="006F1D04" w:rsidRDefault="00AE0248" w:rsidP="00AE0248">
      <w:pPr>
        <w:spacing w:after="200" w:line="240" w:lineRule="auto"/>
        <w:rPr>
          <w:rFonts w:ascii="Arial" w:hAnsi="Arial" w:cs="Arial"/>
        </w:rPr>
      </w:pPr>
    </w:p>
    <w:p w:rsidR="00AE0248" w:rsidRPr="006F1D04" w:rsidRDefault="00AE0248" w:rsidP="00AE0248">
      <w:pPr>
        <w:pStyle w:val="Caption"/>
        <w:tabs>
          <w:tab w:val="left" w:pos="8647"/>
        </w:tabs>
        <w:ind w:left="426" w:right="521"/>
        <w:rPr>
          <w:rFonts w:ascii="Arial" w:hAnsi="Arial" w:cs="Arial"/>
        </w:rPr>
      </w:pPr>
      <w:r w:rsidRPr="006F1D04">
        <w:rPr>
          <w:rFonts w:ascii="Arial" w:hAnsi="Arial" w:cs="Arial"/>
        </w:rPr>
        <w:t>Table E.25: Exceedances of advisory 24-hour PM</w:t>
      </w:r>
      <w:r w:rsidRPr="006F1D04">
        <w:rPr>
          <w:rFonts w:ascii="Arial" w:hAnsi="Arial" w:cs="Arial"/>
          <w:vertAlign w:val="subscript"/>
        </w:rPr>
        <w:t>2.5</w:t>
      </w:r>
      <w:r w:rsidRPr="006F1D04">
        <w:rPr>
          <w:rFonts w:ascii="Arial" w:hAnsi="Arial" w:cs="Arial"/>
        </w:rPr>
        <w:t xml:space="preserve"> standard in ACT (sites and years with any exceedances are highlighted in red; shaded cells represent no monitoring or years with &lt;75% of data)</w:t>
      </w:r>
    </w:p>
    <w:tbl>
      <w:tblPr>
        <w:tblW w:w="821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256"/>
        <w:gridCol w:w="595"/>
        <w:gridCol w:w="595"/>
        <w:gridCol w:w="596"/>
        <w:gridCol w:w="595"/>
        <w:gridCol w:w="596"/>
        <w:gridCol w:w="595"/>
        <w:gridCol w:w="595"/>
        <w:gridCol w:w="596"/>
        <w:gridCol w:w="595"/>
        <w:gridCol w:w="596"/>
      </w:tblGrid>
      <w:tr w:rsidR="00AE0248" w:rsidRPr="006F1D04" w:rsidTr="000F0DA7">
        <w:trPr>
          <w:trHeight w:val="300"/>
          <w:jc w:val="center"/>
        </w:trPr>
        <w:tc>
          <w:tcPr>
            <w:tcW w:w="2256" w:type="dxa"/>
            <w:vMerge w:val="restart"/>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r w:rsidRPr="006F1D04">
              <w:rPr>
                <w:rFonts w:ascii="Arial" w:hAnsi="Arial" w:cs="Arial"/>
                <w:b/>
                <w:color w:val="FFFFFF"/>
                <w:sz w:val="14"/>
                <w:szCs w:val="14"/>
              </w:rPr>
              <w:t>Monitoring site</w:t>
            </w:r>
          </w:p>
        </w:tc>
        <w:tc>
          <w:tcPr>
            <w:tcW w:w="5954" w:type="dxa"/>
            <w:gridSpan w:val="10"/>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Number of exceedances of 24-hour mean PM</w:t>
            </w:r>
            <w:r w:rsidRPr="006F1D04">
              <w:rPr>
                <w:rFonts w:ascii="Arial" w:hAnsi="Arial" w:cs="Arial"/>
                <w:b/>
                <w:bCs/>
                <w:color w:val="FFFFFF"/>
                <w:sz w:val="14"/>
                <w:szCs w:val="14"/>
                <w:vertAlign w:val="subscript"/>
              </w:rPr>
              <w:t>2.5</w:t>
            </w:r>
            <w:r w:rsidRPr="006F1D04">
              <w:rPr>
                <w:rFonts w:ascii="Arial" w:hAnsi="Arial" w:cs="Arial"/>
                <w:b/>
                <w:bCs/>
                <w:color w:val="FFFFFF"/>
                <w:sz w:val="14"/>
                <w:szCs w:val="14"/>
              </w:rPr>
              <w:t xml:space="preserve"> of 25 </w:t>
            </w:r>
            <w:proofErr w:type="spellStart"/>
            <w:r w:rsidRPr="006F1D04">
              <w:rPr>
                <w:rFonts w:ascii="Arial" w:hAnsi="Arial" w:cs="Arial"/>
                <w:b/>
                <w:bCs/>
                <w:color w:val="FFFFFF"/>
                <w:sz w:val="14"/>
                <w:szCs w:val="14"/>
              </w:rPr>
              <w:t>μg</w:t>
            </w:r>
            <w:proofErr w:type="spellEnd"/>
            <w:r w:rsidRPr="006F1D04">
              <w:rPr>
                <w:rFonts w:ascii="Arial" w:hAnsi="Arial" w:cs="Arial"/>
                <w:b/>
                <w:bCs/>
                <w:color w:val="FFFFFF"/>
                <w:sz w:val="14"/>
                <w:szCs w:val="14"/>
              </w:rPr>
              <w:t>/m</w:t>
            </w:r>
            <w:r w:rsidRPr="006F1D04">
              <w:rPr>
                <w:rFonts w:ascii="Arial" w:hAnsi="Arial" w:cs="Arial"/>
                <w:b/>
                <w:bCs/>
                <w:color w:val="FFFFFF"/>
                <w:sz w:val="14"/>
                <w:szCs w:val="14"/>
                <w:vertAlign w:val="superscript"/>
              </w:rPr>
              <w:t>3</w:t>
            </w:r>
            <w:r w:rsidRPr="006F1D04">
              <w:rPr>
                <w:rFonts w:ascii="Arial" w:hAnsi="Arial" w:cs="Arial"/>
                <w:b/>
                <w:bCs/>
                <w:color w:val="FFFFFF"/>
                <w:sz w:val="14"/>
                <w:szCs w:val="14"/>
              </w:rPr>
              <w:t xml:space="preserve"> per year</w:t>
            </w:r>
          </w:p>
        </w:tc>
      </w:tr>
      <w:tr w:rsidR="00AE0248" w:rsidRPr="006F1D04" w:rsidTr="000F0DA7">
        <w:trPr>
          <w:trHeight w:val="300"/>
          <w:jc w:val="center"/>
        </w:trPr>
        <w:tc>
          <w:tcPr>
            <w:tcW w:w="2256" w:type="dxa"/>
            <w:vMerge/>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FFFF"/>
                <w:sz w:val="14"/>
                <w:szCs w:val="14"/>
              </w:rPr>
            </w:pP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2003</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2004</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2005</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2006</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2007</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2008</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2009</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2010</w:t>
            </w:r>
          </w:p>
        </w:tc>
        <w:tc>
          <w:tcPr>
            <w:tcW w:w="595"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2011</w:t>
            </w:r>
          </w:p>
        </w:tc>
        <w:tc>
          <w:tcPr>
            <w:tcW w:w="596" w:type="dxa"/>
            <w:tcBorders>
              <w:bottom w:val="single" w:sz="4" w:space="0" w:color="0070C0"/>
            </w:tcBorders>
            <w:shd w:val="clear" w:color="auto" w:fill="0070C0"/>
            <w:noWrap/>
            <w:tcMar>
              <w:left w:w="28" w:type="dxa"/>
              <w:right w:w="28" w:type="dxa"/>
            </w:tcMar>
            <w:vAlign w:val="center"/>
          </w:tcPr>
          <w:p w:rsidR="00AE0248" w:rsidRPr="006F1D04" w:rsidRDefault="00AE0248" w:rsidP="000F0DA7">
            <w:pPr>
              <w:spacing w:after="0" w:line="240" w:lineRule="auto"/>
              <w:jc w:val="center"/>
              <w:rPr>
                <w:rFonts w:ascii="Arial" w:hAnsi="Arial" w:cs="Arial"/>
                <w:b/>
                <w:bCs/>
                <w:color w:val="FFFFFF"/>
                <w:sz w:val="14"/>
                <w:szCs w:val="14"/>
              </w:rPr>
            </w:pPr>
            <w:r w:rsidRPr="006F1D04">
              <w:rPr>
                <w:rFonts w:ascii="Arial" w:hAnsi="Arial" w:cs="Arial"/>
                <w:b/>
                <w:bCs/>
                <w:color w:val="FFFFFF"/>
                <w:sz w:val="14"/>
                <w:szCs w:val="14"/>
              </w:rPr>
              <w:t>2012</w:t>
            </w:r>
          </w:p>
        </w:tc>
      </w:tr>
      <w:tr w:rsidR="00AE0248" w:rsidRPr="006F1D04" w:rsidTr="000F0DA7">
        <w:trPr>
          <w:trHeight w:hRule="exact" w:val="255"/>
          <w:jc w:val="center"/>
        </w:trPr>
        <w:tc>
          <w:tcPr>
            <w:tcW w:w="2256" w:type="dxa"/>
            <w:shd w:val="clear" w:color="000000" w:fill="auto"/>
            <w:noWrap/>
            <w:tcMar>
              <w:left w:w="28" w:type="dxa"/>
              <w:right w:w="28" w:type="dxa"/>
            </w:tcMar>
            <w:vAlign w:val="center"/>
          </w:tcPr>
          <w:p w:rsidR="00AE0248" w:rsidRPr="006F1D04" w:rsidRDefault="00AE0248" w:rsidP="000F0DA7">
            <w:pPr>
              <w:spacing w:after="0" w:line="240" w:lineRule="auto"/>
              <w:rPr>
                <w:rFonts w:ascii="Arial" w:hAnsi="Arial" w:cs="Arial"/>
                <w:bCs/>
                <w:color w:val="000000"/>
                <w:sz w:val="14"/>
                <w:szCs w:val="14"/>
              </w:rPr>
            </w:pPr>
            <w:r w:rsidRPr="006F1D04">
              <w:rPr>
                <w:rFonts w:ascii="Arial" w:hAnsi="Arial" w:cs="Arial"/>
                <w:bCs/>
                <w:color w:val="000000"/>
                <w:sz w:val="14"/>
                <w:szCs w:val="14"/>
              </w:rPr>
              <w:t>Canberra: Monash</w:t>
            </w: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color w:val="000000"/>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15</w:t>
            </w: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20</w:t>
            </w:r>
          </w:p>
        </w:tc>
        <w:tc>
          <w:tcPr>
            <w:tcW w:w="596"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p>
        </w:tc>
        <w:tc>
          <w:tcPr>
            <w:tcW w:w="595" w:type="dxa"/>
            <w:shd w:val="clear" w:color="auto" w:fill="D9D9D9"/>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2</w:t>
            </w:r>
          </w:p>
        </w:tc>
        <w:tc>
          <w:tcPr>
            <w:tcW w:w="595"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4</w:t>
            </w:r>
          </w:p>
        </w:tc>
        <w:tc>
          <w:tcPr>
            <w:tcW w:w="596" w:type="dxa"/>
            <w:shd w:val="clear" w:color="auto" w:fill="auto"/>
            <w:noWrap/>
            <w:tcMar>
              <w:left w:w="28" w:type="dxa"/>
              <w:right w:w="28" w:type="dxa"/>
            </w:tcMar>
            <w:vAlign w:val="center"/>
          </w:tcPr>
          <w:p w:rsidR="00AE0248" w:rsidRPr="006F1D04" w:rsidRDefault="00AE0248" w:rsidP="000F0DA7">
            <w:pPr>
              <w:spacing w:after="0" w:line="240" w:lineRule="auto"/>
              <w:jc w:val="center"/>
              <w:rPr>
                <w:rFonts w:ascii="Arial" w:hAnsi="Arial" w:cs="Arial"/>
                <w:b/>
                <w:color w:val="FF0000"/>
                <w:sz w:val="14"/>
                <w:szCs w:val="14"/>
              </w:rPr>
            </w:pPr>
            <w:r w:rsidRPr="006F1D04">
              <w:rPr>
                <w:rFonts w:ascii="Arial" w:hAnsi="Arial" w:cs="Arial"/>
                <w:b/>
                <w:color w:val="FF0000"/>
                <w:sz w:val="14"/>
                <w:szCs w:val="14"/>
              </w:rPr>
              <w:t>3</w:t>
            </w:r>
          </w:p>
        </w:tc>
      </w:tr>
    </w:tbl>
    <w:p w:rsidR="00AE0248" w:rsidRPr="006F1D04" w:rsidRDefault="00AE0248" w:rsidP="00AE0248">
      <w:pPr>
        <w:spacing w:after="200" w:line="240" w:lineRule="auto"/>
        <w:rPr>
          <w:rFonts w:ascii="Arial" w:hAnsi="Arial" w:cs="Arial"/>
        </w:rPr>
      </w:pPr>
    </w:p>
    <w:p w:rsidR="00537F0A" w:rsidRPr="006F1D04" w:rsidRDefault="00537F0A" w:rsidP="00AE0248">
      <w:pPr>
        <w:spacing w:after="360"/>
        <w:rPr>
          <w:rFonts w:ascii="Arial" w:hAnsi="Arial" w:cs="Arial"/>
        </w:rPr>
      </w:pPr>
    </w:p>
    <w:p w:rsidR="00DE3906" w:rsidRPr="006F1D04" w:rsidRDefault="00DE3906" w:rsidP="00DE3906">
      <w:pPr>
        <w:rPr>
          <w:rFonts w:ascii="Arial" w:hAnsi="Arial" w:cs="Arial"/>
        </w:rPr>
      </w:pPr>
    </w:p>
    <w:p w:rsidR="00537F0A" w:rsidRPr="006F1D04" w:rsidRDefault="00537F0A" w:rsidP="00DE3906">
      <w:pPr>
        <w:rPr>
          <w:rFonts w:ascii="Arial" w:hAnsi="Arial" w:cs="Arial"/>
        </w:rPr>
      </w:pPr>
    </w:p>
    <w:p w:rsidR="00537F0A" w:rsidRPr="006F1D04" w:rsidRDefault="00537F0A" w:rsidP="00DE3906">
      <w:pPr>
        <w:rPr>
          <w:rFonts w:ascii="Arial" w:hAnsi="Arial" w:cs="Arial"/>
        </w:rPr>
        <w:sectPr w:rsidR="00537F0A" w:rsidRPr="006F1D04" w:rsidSect="006A5626">
          <w:headerReference w:type="even" r:id="rId192"/>
          <w:footerReference w:type="even" r:id="rId193"/>
          <w:footerReference w:type="default" r:id="rId194"/>
          <w:headerReference w:type="first" r:id="rId195"/>
          <w:pgSz w:w="11906" w:h="16838" w:code="9"/>
          <w:pgMar w:top="1440" w:right="1440" w:bottom="1440" w:left="1440" w:header="284" w:footer="170" w:gutter="0"/>
          <w:cols w:space="255"/>
          <w:docGrid w:linePitch="360"/>
        </w:sectPr>
      </w:pPr>
    </w:p>
    <w:p w:rsidR="00DE3906" w:rsidRPr="006F1D04" w:rsidRDefault="00CD2AEC" w:rsidP="00DE3906">
      <w:pPr>
        <w:pStyle w:val="Heading6"/>
        <w:rPr>
          <w:rStyle w:val="Strong"/>
          <w:rFonts w:ascii="Arial" w:hAnsi="Arial" w:cs="Arial"/>
          <w:b/>
          <w:bCs/>
        </w:rPr>
        <w:sectPr w:rsidR="00DE3906" w:rsidRPr="006F1D04" w:rsidSect="006A5626">
          <w:headerReference w:type="even" r:id="rId196"/>
          <w:footerReference w:type="default" r:id="rId197"/>
          <w:headerReference w:type="first" r:id="rId198"/>
          <w:pgSz w:w="11906" w:h="16838" w:code="9"/>
          <w:pgMar w:top="1440" w:right="1440" w:bottom="1440" w:left="1440" w:header="284" w:footer="170" w:gutter="0"/>
          <w:cols w:space="255"/>
          <w:vAlign w:val="center"/>
          <w:docGrid w:linePitch="360"/>
        </w:sectPr>
      </w:pPr>
      <w:r w:rsidRPr="006F1D04">
        <w:rPr>
          <w:rStyle w:val="Strong"/>
          <w:rFonts w:ascii="Arial" w:hAnsi="Arial" w:cs="Arial"/>
          <w:b/>
          <w:bCs/>
        </w:rPr>
        <w:lastRenderedPageBreak/>
        <w:tab/>
      </w:r>
      <w:r w:rsidR="00292CEB" w:rsidRPr="006F1D04">
        <w:rPr>
          <w:rStyle w:val="Strong"/>
          <w:rFonts w:ascii="Arial" w:hAnsi="Arial" w:cs="Arial"/>
          <w:b/>
          <w:bCs/>
        </w:rPr>
        <w:tab/>
      </w:r>
      <w:bookmarkStart w:id="258" w:name="_Toc394011186"/>
      <w:r w:rsidR="0053199F" w:rsidRPr="006F1D04">
        <w:rPr>
          <w:rStyle w:val="Strong"/>
          <w:rFonts w:ascii="Arial" w:hAnsi="Arial" w:cs="Arial"/>
          <w:b/>
          <w:bCs/>
        </w:rPr>
        <w:t>Summary of questions for consultation</w:t>
      </w:r>
      <w:bookmarkEnd w:id="258"/>
    </w:p>
    <w:p w:rsidR="008839CB" w:rsidRPr="006F1D04" w:rsidRDefault="008839CB" w:rsidP="008839CB">
      <w:pPr>
        <w:rPr>
          <w:rFonts w:ascii="Arial" w:hAnsi="Arial" w:cs="Arial"/>
          <w:b/>
        </w:rPr>
      </w:pPr>
      <w:r w:rsidRPr="006F1D04">
        <w:rPr>
          <w:rFonts w:ascii="Arial" w:hAnsi="Arial" w:cs="Arial"/>
          <w:b/>
        </w:rPr>
        <w:lastRenderedPageBreak/>
        <w:t>Chapter 2: Characteristics and measurement of airborne PM</w:t>
      </w:r>
    </w:p>
    <w:p w:rsidR="008839CB" w:rsidRPr="006F1D04" w:rsidRDefault="008839CB" w:rsidP="008839CB">
      <w:pPr>
        <w:pStyle w:val="BulletArrows"/>
        <w:numPr>
          <w:ilvl w:val="0"/>
          <w:numId w:val="1"/>
        </w:numPr>
        <w:rPr>
          <w:rFonts w:ascii="Arial" w:hAnsi="Arial"/>
        </w:rPr>
      </w:pPr>
      <w:r w:rsidRPr="006F1D04">
        <w:rPr>
          <w:rFonts w:ascii="Arial" w:hAnsi="Arial"/>
        </w:rPr>
        <w:t>The characteristics of airborne PM are described in some detail. Would any further information on airborne PM characteristics assist in informing action to reduce airborne PM? If so, please provide details.</w:t>
      </w:r>
    </w:p>
    <w:p w:rsidR="008839CB" w:rsidRPr="006F1D04" w:rsidRDefault="008839CB" w:rsidP="00916BBC">
      <w:pPr>
        <w:pStyle w:val="BulletArrows"/>
        <w:numPr>
          <w:ilvl w:val="0"/>
          <w:numId w:val="1"/>
        </w:numPr>
        <w:spacing w:after="320"/>
        <w:ind w:left="714" w:hanging="357"/>
        <w:rPr>
          <w:rFonts w:ascii="Arial" w:hAnsi="Arial"/>
        </w:rPr>
      </w:pPr>
      <w:r w:rsidRPr="006F1D04">
        <w:rPr>
          <w:rFonts w:ascii="Arial" w:hAnsi="Arial"/>
        </w:rPr>
        <w:t>Please provide any additional Australia-specific aspects of PM measurement that you believe are important to the actions to reduce airborne PM being considered in this Impact Statement.</w:t>
      </w:r>
    </w:p>
    <w:p w:rsidR="008839CB" w:rsidRPr="006F1D04" w:rsidRDefault="008839CB" w:rsidP="008839CB">
      <w:pPr>
        <w:pStyle w:val="BulletArrows"/>
        <w:spacing w:after="240"/>
        <w:rPr>
          <w:rFonts w:ascii="Arial" w:hAnsi="Arial"/>
          <w:b/>
        </w:rPr>
      </w:pPr>
      <w:r w:rsidRPr="006F1D04">
        <w:rPr>
          <w:rFonts w:ascii="Arial" w:hAnsi="Arial"/>
          <w:b/>
        </w:rPr>
        <w:t>Chapter 3:</w:t>
      </w:r>
      <w:r w:rsidRPr="006F1D04">
        <w:rPr>
          <w:rFonts w:ascii="Arial" w:hAnsi="Arial"/>
        </w:rPr>
        <w:t xml:space="preserve"> </w:t>
      </w:r>
      <w:r w:rsidRPr="006F1D04">
        <w:rPr>
          <w:rFonts w:ascii="Arial" w:hAnsi="Arial"/>
          <w:b/>
        </w:rPr>
        <w:t>Health effects and monetary costs of airborne PM</w:t>
      </w:r>
    </w:p>
    <w:p w:rsidR="008839CB" w:rsidRPr="006F1D04" w:rsidRDefault="008839CB" w:rsidP="003279A3">
      <w:pPr>
        <w:pStyle w:val="BulletArrows"/>
        <w:numPr>
          <w:ilvl w:val="0"/>
          <w:numId w:val="1"/>
        </w:numPr>
        <w:spacing w:after="320"/>
        <w:ind w:left="714" w:hanging="357"/>
        <w:rPr>
          <w:rFonts w:ascii="Arial" w:hAnsi="Arial"/>
        </w:rPr>
      </w:pPr>
      <w:r>
        <w:rPr>
          <w:rFonts w:ascii="Arial" w:hAnsi="Arial"/>
        </w:rPr>
        <w:t>Is there any</w:t>
      </w:r>
      <w:r w:rsidRPr="006F1D04">
        <w:rPr>
          <w:rFonts w:ascii="Arial" w:hAnsi="Arial"/>
        </w:rPr>
        <w:t xml:space="preserve"> </w:t>
      </w:r>
      <w:proofErr w:type="spellStart"/>
      <w:r w:rsidRPr="006F1D04">
        <w:rPr>
          <w:rFonts w:ascii="Arial" w:hAnsi="Arial"/>
        </w:rPr>
        <w:t>any</w:t>
      </w:r>
      <w:proofErr w:type="spellEnd"/>
      <w:r w:rsidRPr="006F1D04">
        <w:rPr>
          <w:rFonts w:ascii="Arial" w:hAnsi="Arial"/>
        </w:rPr>
        <w:t xml:space="preserve"> additional Australia-specific information on the health effects or monetary costs of PM</w:t>
      </w:r>
      <w:r>
        <w:rPr>
          <w:rFonts w:ascii="Arial" w:hAnsi="Arial"/>
        </w:rPr>
        <w:t xml:space="preserve"> that should be included</w:t>
      </w:r>
      <w:r w:rsidRPr="006F1D04">
        <w:rPr>
          <w:rFonts w:ascii="Arial" w:hAnsi="Arial"/>
        </w:rPr>
        <w:t>? If so, please provide details.</w:t>
      </w:r>
    </w:p>
    <w:p w:rsidR="008839CB" w:rsidRPr="006F1D04" w:rsidRDefault="008839CB" w:rsidP="008839CB">
      <w:pPr>
        <w:pStyle w:val="BulletArrows"/>
        <w:spacing w:after="240"/>
        <w:rPr>
          <w:rFonts w:ascii="Arial" w:hAnsi="Arial"/>
          <w:b/>
        </w:rPr>
      </w:pPr>
      <w:r w:rsidRPr="006F1D04">
        <w:rPr>
          <w:rFonts w:ascii="Arial" w:hAnsi="Arial"/>
          <w:b/>
        </w:rPr>
        <w:t>Chapter 4: Policy context and legislation</w:t>
      </w:r>
    </w:p>
    <w:p w:rsidR="008839CB" w:rsidRPr="001B40BD" w:rsidRDefault="008839CB" w:rsidP="008839CB">
      <w:pPr>
        <w:pStyle w:val="BulletArrows"/>
        <w:numPr>
          <w:ilvl w:val="0"/>
          <w:numId w:val="1"/>
        </w:numPr>
        <w:rPr>
          <w:rFonts w:ascii="Arial" w:hAnsi="Arial"/>
        </w:rPr>
      </w:pPr>
      <w:r w:rsidRPr="001B40BD">
        <w:rPr>
          <w:rFonts w:ascii="Arial" w:hAnsi="Arial"/>
        </w:rPr>
        <w:t xml:space="preserve">Have all aspects of the current air quality management framework in Australia been adequately described? If not, please </w:t>
      </w:r>
      <w:r>
        <w:rPr>
          <w:rFonts w:ascii="Arial" w:hAnsi="Arial"/>
        </w:rPr>
        <w:t>provide further details</w:t>
      </w:r>
      <w:r w:rsidRPr="001B40BD">
        <w:rPr>
          <w:rFonts w:ascii="Arial" w:hAnsi="Arial"/>
        </w:rPr>
        <w:t>.</w:t>
      </w:r>
    </w:p>
    <w:p w:rsidR="008839CB" w:rsidRPr="001B40BD" w:rsidRDefault="008839CB" w:rsidP="008839CB">
      <w:pPr>
        <w:pStyle w:val="BulletArrows"/>
        <w:numPr>
          <w:ilvl w:val="0"/>
          <w:numId w:val="1"/>
        </w:numPr>
        <w:rPr>
          <w:rFonts w:ascii="Arial" w:hAnsi="Arial"/>
        </w:rPr>
      </w:pPr>
      <w:r w:rsidRPr="001B40BD">
        <w:rPr>
          <w:rFonts w:ascii="Arial" w:hAnsi="Arial"/>
        </w:rPr>
        <w:t>Have any significant regulatory developments, local or international, been overlooked? Please provide information.</w:t>
      </w:r>
    </w:p>
    <w:p w:rsidR="008839CB" w:rsidRPr="006F1D04" w:rsidRDefault="008839CB" w:rsidP="008839CB">
      <w:pPr>
        <w:pStyle w:val="BulletArrows"/>
        <w:numPr>
          <w:ilvl w:val="0"/>
          <w:numId w:val="1"/>
        </w:numPr>
        <w:spacing w:after="360"/>
        <w:rPr>
          <w:rFonts w:ascii="Arial" w:hAnsi="Arial"/>
        </w:rPr>
      </w:pPr>
      <w:r>
        <w:rPr>
          <w:rFonts w:ascii="Arial" w:hAnsi="Arial"/>
          <w:color w:val="auto"/>
          <w:szCs w:val="18"/>
        </w:rPr>
        <w:t>What are your</w:t>
      </w:r>
      <w:r w:rsidRPr="006F1D04">
        <w:rPr>
          <w:rFonts w:ascii="Arial" w:hAnsi="Arial"/>
          <w:color w:val="auto"/>
          <w:szCs w:val="18"/>
        </w:rPr>
        <w:t xml:space="preserve"> views on the feasibility of an exposure-reduction framework</w:t>
      </w:r>
      <w:r>
        <w:rPr>
          <w:rFonts w:ascii="Arial" w:hAnsi="Arial"/>
          <w:color w:val="auto"/>
          <w:szCs w:val="18"/>
        </w:rPr>
        <w:t xml:space="preserve"> for PM</w:t>
      </w:r>
      <w:r w:rsidRPr="006F1D04">
        <w:rPr>
          <w:rFonts w:ascii="Arial" w:hAnsi="Arial"/>
          <w:color w:val="auto"/>
          <w:szCs w:val="18"/>
        </w:rPr>
        <w:t xml:space="preserve"> in Australia?</w:t>
      </w:r>
    </w:p>
    <w:p w:rsidR="008839CB" w:rsidRPr="006F1D04" w:rsidRDefault="008839CB" w:rsidP="008839CB">
      <w:pPr>
        <w:pStyle w:val="BulletArrows"/>
        <w:spacing w:after="240"/>
        <w:rPr>
          <w:rFonts w:ascii="Arial" w:hAnsi="Arial"/>
          <w:b/>
        </w:rPr>
      </w:pPr>
      <w:r w:rsidRPr="006F1D04">
        <w:rPr>
          <w:rFonts w:ascii="Arial" w:hAnsi="Arial"/>
          <w:b/>
        </w:rPr>
        <w:t>Chapter 5: Airborne PM in Australia</w:t>
      </w:r>
    </w:p>
    <w:p w:rsidR="008839CB" w:rsidRPr="006F1D04" w:rsidRDefault="008839CB" w:rsidP="008839CB">
      <w:pPr>
        <w:pStyle w:val="BulletArrows"/>
        <w:numPr>
          <w:ilvl w:val="0"/>
          <w:numId w:val="1"/>
        </w:numPr>
        <w:rPr>
          <w:rFonts w:ascii="Arial" w:hAnsi="Arial"/>
        </w:rPr>
      </w:pPr>
      <w:r w:rsidRPr="006F1D04">
        <w:rPr>
          <w:rFonts w:ascii="Arial" w:hAnsi="Arial"/>
        </w:rPr>
        <w:t>Do you think that any additional information on emissions and ambient PM concentrations in Australia is required to inform the actions being considered for reducing airborne PM?</w:t>
      </w:r>
    </w:p>
    <w:p w:rsidR="008839CB" w:rsidRPr="006F1D04" w:rsidRDefault="008839CB" w:rsidP="008839CB">
      <w:pPr>
        <w:pStyle w:val="BulletArrows"/>
        <w:numPr>
          <w:ilvl w:val="0"/>
          <w:numId w:val="1"/>
        </w:numPr>
        <w:spacing w:after="360"/>
        <w:rPr>
          <w:rFonts w:ascii="Arial" w:hAnsi="Arial"/>
        </w:rPr>
      </w:pPr>
      <w:r w:rsidRPr="006F1D04">
        <w:rPr>
          <w:rFonts w:ascii="Arial" w:hAnsi="Arial"/>
        </w:rPr>
        <w:t xml:space="preserve">Are there </w:t>
      </w:r>
      <w:r>
        <w:rPr>
          <w:rFonts w:ascii="Arial" w:hAnsi="Arial"/>
        </w:rPr>
        <w:t xml:space="preserve">other issues </w:t>
      </w:r>
      <w:r w:rsidRPr="006F1D04">
        <w:rPr>
          <w:rFonts w:ascii="Arial" w:hAnsi="Arial"/>
        </w:rPr>
        <w:t>that have not been considered or have not been attributed sufficient weight in the discussion?</w:t>
      </w:r>
    </w:p>
    <w:p w:rsidR="008839CB" w:rsidRPr="006F1D04" w:rsidRDefault="008839CB" w:rsidP="008839CB">
      <w:pPr>
        <w:pStyle w:val="BulletArrows"/>
        <w:spacing w:after="240"/>
        <w:rPr>
          <w:rFonts w:ascii="Arial" w:hAnsi="Arial"/>
          <w:b/>
        </w:rPr>
      </w:pPr>
      <w:r w:rsidRPr="006F1D04">
        <w:rPr>
          <w:rFonts w:ascii="Arial" w:hAnsi="Arial"/>
          <w:b/>
        </w:rPr>
        <w:t>Chapter 6: The problem and the case for government intervention</w:t>
      </w:r>
    </w:p>
    <w:p w:rsidR="008839CB" w:rsidRPr="006F1D04" w:rsidRDefault="008839CB" w:rsidP="008839CB">
      <w:pPr>
        <w:pStyle w:val="BulletArrows"/>
        <w:numPr>
          <w:ilvl w:val="0"/>
          <w:numId w:val="1"/>
        </w:numPr>
        <w:spacing w:after="360"/>
        <w:rPr>
          <w:rFonts w:ascii="Arial" w:hAnsi="Arial"/>
        </w:rPr>
      </w:pPr>
      <w:r w:rsidRPr="006F1D04">
        <w:rPr>
          <w:rFonts w:ascii="Arial" w:hAnsi="Arial"/>
        </w:rPr>
        <w:t xml:space="preserve">Do you agree that </w:t>
      </w:r>
      <w:r>
        <w:rPr>
          <w:rFonts w:ascii="Arial" w:hAnsi="Arial"/>
        </w:rPr>
        <w:t>further</w:t>
      </w:r>
      <w:r w:rsidRPr="006F1D04">
        <w:rPr>
          <w:rFonts w:ascii="Arial" w:hAnsi="Arial"/>
        </w:rPr>
        <w:t xml:space="preserve"> government involvement is required to address the potential future health impacts and costs of airborne PM?</w:t>
      </w:r>
    </w:p>
    <w:p w:rsidR="008839CB" w:rsidRPr="006F1D04" w:rsidRDefault="008839CB" w:rsidP="008839CB">
      <w:pPr>
        <w:rPr>
          <w:rFonts w:ascii="Arial" w:hAnsi="Arial" w:cs="Arial"/>
          <w:b/>
        </w:rPr>
      </w:pPr>
      <w:r w:rsidRPr="006F1D04">
        <w:rPr>
          <w:rFonts w:ascii="Arial" w:hAnsi="Arial" w:cs="Arial"/>
          <w:b/>
        </w:rPr>
        <w:t>Chapter 7: Statement of options</w:t>
      </w:r>
    </w:p>
    <w:p w:rsidR="008839CB" w:rsidRPr="006F1D04" w:rsidRDefault="00916BBC" w:rsidP="008839CB">
      <w:pPr>
        <w:pStyle w:val="BulletArrows"/>
        <w:numPr>
          <w:ilvl w:val="0"/>
          <w:numId w:val="1"/>
        </w:numPr>
        <w:rPr>
          <w:rFonts w:ascii="Arial" w:hAnsi="Arial"/>
        </w:rPr>
      </w:pPr>
      <w:r w:rsidRPr="00916BBC">
        <w:rPr>
          <w:rFonts w:ascii="Arial" w:hAnsi="Arial"/>
          <w:color w:val="auto"/>
        </w:rPr>
        <w:t>Do you agree that the AAQ NEPM framework is an important element in the management actions to address ambient air quality in Australia?</w:t>
      </w:r>
    </w:p>
    <w:p w:rsidR="008839CB" w:rsidRPr="006F1D04" w:rsidRDefault="008839CB" w:rsidP="008839CB">
      <w:pPr>
        <w:pStyle w:val="BulletArrows"/>
        <w:numPr>
          <w:ilvl w:val="0"/>
          <w:numId w:val="1"/>
        </w:numPr>
        <w:rPr>
          <w:rFonts w:ascii="Arial" w:hAnsi="Arial"/>
        </w:rPr>
      </w:pPr>
      <w:r w:rsidRPr="006F1D04">
        <w:rPr>
          <w:rFonts w:ascii="Arial" w:hAnsi="Arial"/>
        </w:rPr>
        <w:t>Have any options for the metrics, averaging times, and values of the standards been overlooked?</w:t>
      </w:r>
    </w:p>
    <w:p w:rsidR="008839CB" w:rsidRPr="006F1D04" w:rsidRDefault="008839CB" w:rsidP="008839CB">
      <w:pPr>
        <w:pStyle w:val="BulletArrows"/>
        <w:numPr>
          <w:ilvl w:val="0"/>
          <w:numId w:val="1"/>
        </w:numPr>
        <w:rPr>
          <w:rFonts w:ascii="Arial" w:hAnsi="Arial"/>
        </w:rPr>
      </w:pPr>
      <w:r w:rsidRPr="006F1D04">
        <w:rPr>
          <w:rFonts w:ascii="Arial" w:hAnsi="Arial"/>
        </w:rPr>
        <w:t>Do you agree that the metrics and values of PM standards selected for analysis are appropriate for Australia?</w:t>
      </w:r>
    </w:p>
    <w:p w:rsidR="008839CB" w:rsidRPr="006F1D04" w:rsidRDefault="008839CB" w:rsidP="008839CB">
      <w:pPr>
        <w:pStyle w:val="BulletArrows"/>
        <w:numPr>
          <w:ilvl w:val="0"/>
          <w:numId w:val="1"/>
        </w:numPr>
        <w:rPr>
          <w:rFonts w:ascii="Arial" w:hAnsi="Arial"/>
        </w:rPr>
      </w:pPr>
      <w:r w:rsidRPr="006F1D04">
        <w:rPr>
          <w:rFonts w:ascii="Arial" w:hAnsi="Arial"/>
        </w:rPr>
        <w:t xml:space="preserve">Do you consider the options outlined for the form of the standards to be </w:t>
      </w:r>
      <w:r>
        <w:rPr>
          <w:rFonts w:ascii="Arial" w:hAnsi="Arial"/>
        </w:rPr>
        <w:t>feasible for</w:t>
      </w:r>
      <w:r w:rsidRPr="006F1D04">
        <w:rPr>
          <w:rFonts w:ascii="Arial" w:hAnsi="Arial"/>
        </w:rPr>
        <w:t xml:space="preserve"> Australia? Have any options been overlooked?</w:t>
      </w:r>
    </w:p>
    <w:p w:rsidR="008839CB" w:rsidRPr="006F1D04" w:rsidRDefault="008839CB" w:rsidP="008839CB">
      <w:pPr>
        <w:pStyle w:val="BulletArrows"/>
        <w:numPr>
          <w:ilvl w:val="0"/>
          <w:numId w:val="1"/>
        </w:numPr>
        <w:rPr>
          <w:rFonts w:ascii="Arial" w:hAnsi="Arial"/>
        </w:rPr>
      </w:pPr>
      <w:r w:rsidRPr="006F1D04">
        <w:rPr>
          <w:rFonts w:ascii="Arial" w:hAnsi="Arial"/>
        </w:rPr>
        <w:t>Is there any other information relating to the options for an exposure-reduction framework that should be considered?</w:t>
      </w:r>
    </w:p>
    <w:p w:rsidR="008839CB" w:rsidRPr="006F1D04" w:rsidRDefault="008839CB" w:rsidP="008839CB">
      <w:pPr>
        <w:rPr>
          <w:rFonts w:ascii="Arial" w:hAnsi="Arial" w:cs="Arial"/>
          <w:b/>
          <w:sz w:val="2"/>
          <w:szCs w:val="2"/>
        </w:rPr>
      </w:pPr>
    </w:p>
    <w:p w:rsidR="008839CB" w:rsidRPr="006F1D04" w:rsidRDefault="008839CB" w:rsidP="008839CB">
      <w:pPr>
        <w:rPr>
          <w:rFonts w:ascii="Arial" w:hAnsi="Arial" w:cs="Arial"/>
          <w:b/>
        </w:rPr>
      </w:pPr>
      <w:r w:rsidRPr="006F1D04">
        <w:rPr>
          <w:rFonts w:ascii="Arial" w:hAnsi="Arial" w:cs="Arial"/>
          <w:b/>
        </w:rPr>
        <w:t>Chapter 8 Impact analysis</w:t>
      </w:r>
    </w:p>
    <w:p w:rsidR="008839CB" w:rsidRPr="006F1D04" w:rsidRDefault="008839CB" w:rsidP="008839CB">
      <w:pPr>
        <w:pStyle w:val="BulletArrows"/>
        <w:numPr>
          <w:ilvl w:val="0"/>
          <w:numId w:val="1"/>
        </w:numPr>
        <w:rPr>
          <w:rFonts w:ascii="Arial" w:hAnsi="Arial"/>
        </w:rPr>
      </w:pPr>
      <w:r w:rsidRPr="006F1D04">
        <w:rPr>
          <w:rFonts w:ascii="Arial" w:hAnsi="Arial"/>
        </w:rPr>
        <w:t xml:space="preserve">Have all health, environmental, economic and social impacts </w:t>
      </w:r>
      <w:r>
        <w:rPr>
          <w:rFonts w:ascii="Arial" w:hAnsi="Arial"/>
        </w:rPr>
        <w:t xml:space="preserve">of PM in Australia </w:t>
      </w:r>
      <w:r w:rsidRPr="006F1D04">
        <w:rPr>
          <w:rFonts w:ascii="Arial" w:hAnsi="Arial"/>
        </w:rPr>
        <w:t>been identified? If not, please provide reasons and suggestions for additional analyses.</w:t>
      </w:r>
    </w:p>
    <w:p w:rsidR="008839CB" w:rsidRPr="006F1D04" w:rsidRDefault="008839CB" w:rsidP="008839CB">
      <w:pPr>
        <w:pStyle w:val="BulletArrows"/>
        <w:numPr>
          <w:ilvl w:val="0"/>
          <w:numId w:val="1"/>
        </w:numPr>
        <w:spacing w:after="360"/>
        <w:rPr>
          <w:rFonts w:ascii="Arial" w:hAnsi="Arial"/>
        </w:rPr>
      </w:pPr>
      <w:r w:rsidRPr="006F1D04">
        <w:rPr>
          <w:rFonts w:ascii="Arial" w:hAnsi="Arial"/>
        </w:rPr>
        <w:t xml:space="preserve">Have all key assumptions been correctly identified and included in the analysis? If not, please </w:t>
      </w:r>
      <w:r>
        <w:rPr>
          <w:rFonts w:ascii="Arial" w:hAnsi="Arial"/>
        </w:rPr>
        <w:t>provide details</w:t>
      </w:r>
      <w:r w:rsidRPr="006F1D04">
        <w:rPr>
          <w:rFonts w:ascii="Arial" w:hAnsi="Arial"/>
        </w:rPr>
        <w:t>.</w:t>
      </w:r>
    </w:p>
    <w:p w:rsidR="008839CB" w:rsidRPr="006F1D04" w:rsidRDefault="008839CB" w:rsidP="008839CB">
      <w:pPr>
        <w:rPr>
          <w:rFonts w:ascii="Arial" w:hAnsi="Arial" w:cs="Arial"/>
          <w:b/>
        </w:rPr>
      </w:pPr>
      <w:r w:rsidRPr="006F1D04">
        <w:rPr>
          <w:rFonts w:ascii="Arial" w:hAnsi="Arial" w:cs="Arial"/>
          <w:b/>
        </w:rPr>
        <w:lastRenderedPageBreak/>
        <w:t>Chapter 9: Preferred options</w:t>
      </w:r>
    </w:p>
    <w:p w:rsidR="008839CB" w:rsidRPr="006F1D04" w:rsidRDefault="008839CB" w:rsidP="008839CB">
      <w:pPr>
        <w:pStyle w:val="BulletArrows"/>
        <w:numPr>
          <w:ilvl w:val="0"/>
          <w:numId w:val="1"/>
        </w:numPr>
        <w:rPr>
          <w:rFonts w:ascii="Arial" w:hAnsi="Arial"/>
        </w:rPr>
      </w:pPr>
      <w:r w:rsidRPr="006F1D04">
        <w:rPr>
          <w:rFonts w:ascii="Arial" w:hAnsi="Arial"/>
        </w:rPr>
        <w:t>Do you agree with the introduction of an annual PM</w:t>
      </w:r>
      <w:r w:rsidRPr="006F1D04">
        <w:rPr>
          <w:rFonts w:ascii="Arial" w:hAnsi="Arial"/>
          <w:vertAlign w:val="subscript"/>
        </w:rPr>
        <w:t>10</w:t>
      </w:r>
      <w:r w:rsidRPr="006F1D04">
        <w:rPr>
          <w:rFonts w:ascii="Arial" w:hAnsi="Arial"/>
        </w:rPr>
        <w:t xml:space="preserve"> standard, given the apparent adverse health effects of coarse particles and their prevalence in some regions?</w:t>
      </w:r>
    </w:p>
    <w:p w:rsidR="008839CB" w:rsidRPr="006F1D04" w:rsidRDefault="008839CB" w:rsidP="008839CB">
      <w:pPr>
        <w:pStyle w:val="BulletArrows"/>
        <w:numPr>
          <w:ilvl w:val="0"/>
          <w:numId w:val="1"/>
        </w:numPr>
        <w:rPr>
          <w:rFonts w:ascii="Arial" w:hAnsi="Arial"/>
        </w:rPr>
      </w:pPr>
      <w:r w:rsidRPr="006F1D04">
        <w:rPr>
          <w:rFonts w:ascii="Arial" w:hAnsi="Arial"/>
        </w:rPr>
        <w:t xml:space="preserve">Do you support </w:t>
      </w:r>
      <w:r>
        <w:rPr>
          <w:rFonts w:ascii="Arial" w:hAnsi="Arial"/>
        </w:rPr>
        <w:t>upgrading the current AAQ NEPM advisory reporting standards for PM</w:t>
      </w:r>
      <w:r w:rsidRPr="00E07636">
        <w:rPr>
          <w:rFonts w:ascii="Arial" w:hAnsi="Arial"/>
          <w:vertAlign w:val="subscript"/>
        </w:rPr>
        <w:t>2.5</w:t>
      </w:r>
      <w:r w:rsidRPr="00E07636">
        <w:rPr>
          <w:rFonts w:ascii="Arial" w:hAnsi="Arial"/>
        </w:rPr>
        <w:t xml:space="preserve"> </w:t>
      </w:r>
      <w:r>
        <w:rPr>
          <w:rFonts w:ascii="Arial" w:hAnsi="Arial"/>
        </w:rPr>
        <w:t>to compliance standards?</w:t>
      </w:r>
    </w:p>
    <w:p w:rsidR="008839CB" w:rsidRPr="006F1D04" w:rsidRDefault="008839CB" w:rsidP="008839CB">
      <w:pPr>
        <w:pStyle w:val="BulletArrows"/>
        <w:numPr>
          <w:ilvl w:val="0"/>
          <w:numId w:val="1"/>
        </w:numPr>
        <w:rPr>
          <w:rFonts w:ascii="Arial" w:hAnsi="Arial"/>
        </w:rPr>
      </w:pPr>
      <w:r w:rsidRPr="006F1D04">
        <w:rPr>
          <w:rFonts w:ascii="Arial" w:hAnsi="Arial"/>
        </w:rPr>
        <w:t>Do you support the preferred numerical values for new/revised 24-hour and annual PM</w:t>
      </w:r>
      <w:r w:rsidRPr="006F1D04">
        <w:rPr>
          <w:rFonts w:ascii="Arial" w:hAnsi="Arial"/>
          <w:vertAlign w:val="subscript"/>
        </w:rPr>
        <w:t>2.5</w:t>
      </w:r>
      <w:r w:rsidRPr="006F1D04">
        <w:rPr>
          <w:rFonts w:ascii="Arial" w:hAnsi="Arial"/>
        </w:rPr>
        <w:t xml:space="preserve"> and PM</w:t>
      </w:r>
      <w:r w:rsidRPr="006F1D04">
        <w:rPr>
          <w:rFonts w:ascii="Arial" w:hAnsi="Arial"/>
          <w:vertAlign w:val="subscript"/>
        </w:rPr>
        <w:t>10</w:t>
      </w:r>
      <w:r w:rsidRPr="006F1D04">
        <w:rPr>
          <w:rFonts w:ascii="Arial" w:hAnsi="Arial"/>
        </w:rPr>
        <w:t xml:space="preserve"> standards? Which value for the 24-hour PM</w:t>
      </w:r>
      <w:r w:rsidRPr="006F1D04">
        <w:rPr>
          <w:rFonts w:ascii="Arial" w:hAnsi="Arial"/>
          <w:vertAlign w:val="subscript"/>
        </w:rPr>
        <w:t>10</w:t>
      </w:r>
      <w:r w:rsidRPr="006F1D04">
        <w:rPr>
          <w:rFonts w:ascii="Arial" w:hAnsi="Arial"/>
        </w:rPr>
        <w:t xml:space="preserve"> standard do you consider to be the most appropriate, and why?</w:t>
      </w:r>
    </w:p>
    <w:p w:rsidR="008839CB" w:rsidRPr="006F1D04" w:rsidRDefault="008839CB" w:rsidP="008839CB">
      <w:pPr>
        <w:pStyle w:val="BulletArrows"/>
        <w:numPr>
          <w:ilvl w:val="0"/>
          <w:numId w:val="1"/>
        </w:numPr>
        <w:rPr>
          <w:rFonts w:ascii="Arial" w:hAnsi="Arial"/>
        </w:rPr>
      </w:pPr>
      <w:r w:rsidRPr="006F1D04">
        <w:rPr>
          <w:rFonts w:ascii="Arial" w:hAnsi="Arial"/>
        </w:rPr>
        <w:t>What is your preferred option for the form of the 24-hour PM</w:t>
      </w:r>
      <w:r w:rsidRPr="006F1D04">
        <w:rPr>
          <w:rFonts w:ascii="Arial" w:hAnsi="Arial"/>
          <w:vertAlign w:val="subscript"/>
        </w:rPr>
        <w:t>10</w:t>
      </w:r>
      <w:r w:rsidRPr="006F1D04">
        <w:rPr>
          <w:rFonts w:ascii="Arial" w:hAnsi="Arial"/>
        </w:rPr>
        <w:t xml:space="preserve"> and PM</w:t>
      </w:r>
      <w:r w:rsidRPr="006F1D04">
        <w:rPr>
          <w:rFonts w:ascii="Arial" w:hAnsi="Arial"/>
          <w:vertAlign w:val="subscript"/>
        </w:rPr>
        <w:t>2.5</w:t>
      </w:r>
      <w:r w:rsidRPr="006F1D04">
        <w:rPr>
          <w:rFonts w:ascii="Arial" w:hAnsi="Arial"/>
        </w:rPr>
        <w:t xml:space="preserve"> standards? Should the options be trialled?</w:t>
      </w:r>
    </w:p>
    <w:p w:rsidR="008839CB" w:rsidRPr="006F1D04" w:rsidRDefault="008839CB" w:rsidP="008839CB">
      <w:pPr>
        <w:pStyle w:val="BulletArrows"/>
        <w:numPr>
          <w:ilvl w:val="0"/>
          <w:numId w:val="1"/>
        </w:numPr>
        <w:rPr>
          <w:rFonts w:ascii="Arial" w:hAnsi="Arial"/>
        </w:rPr>
      </w:pPr>
      <w:r>
        <w:rPr>
          <w:rFonts w:ascii="Arial" w:hAnsi="Arial"/>
        </w:rPr>
        <w:t>Do you have any comments regarding the possible inclusion of PM metrics, other than PM</w:t>
      </w:r>
      <w:r w:rsidRPr="00E07636">
        <w:rPr>
          <w:rFonts w:ascii="Arial" w:hAnsi="Arial"/>
          <w:vertAlign w:val="subscript"/>
        </w:rPr>
        <w:t>10</w:t>
      </w:r>
      <w:r>
        <w:rPr>
          <w:rFonts w:ascii="Arial" w:hAnsi="Arial"/>
        </w:rPr>
        <w:t xml:space="preserve"> and PM</w:t>
      </w:r>
      <w:r w:rsidRPr="00E07636">
        <w:rPr>
          <w:rFonts w:ascii="Arial" w:hAnsi="Arial"/>
          <w:vertAlign w:val="subscript"/>
        </w:rPr>
        <w:t>2.5</w:t>
      </w:r>
      <w:r>
        <w:rPr>
          <w:rFonts w:ascii="Arial" w:hAnsi="Arial"/>
        </w:rPr>
        <w:t>, in the future?</w:t>
      </w:r>
    </w:p>
    <w:p w:rsidR="008839CB" w:rsidRPr="006F1D04" w:rsidRDefault="008839CB" w:rsidP="008839CB">
      <w:pPr>
        <w:pStyle w:val="BulletArrows"/>
        <w:numPr>
          <w:ilvl w:val="0"/>
          <w:numId w:val="1"/>
        </w:numPr>
        <w:rPr>
          <w:rFonts w:ascii="Arial" w:hAnsi="Arial"/>
        </w:rPr>
      </w:pPr>
      <w:r w:rsidRPr="006F1D04">
        <w:rPr>
          <w:rFonts w:ascii="Arial" w:hAnsi="Arial"/>
        </w:rPr>
        <w:t>Do you agree with the preferred form of the exposure-reduction framework under which an exposure index based on monitoring would be used to track population exposure for major urban areas?</w:t>
      </w:r>
    </w:p>
    <w:p w:rsidR="0053199F" w:rsidRPr="006F1D04" w:rsidRDefault="0053199F" w:rsidP="0053199F">
      <w:pPr>
        <w:rPr>
          <w:rFonts w:ascii="Arial" w:hAnsi="Arial" w:cs="Arial"/>
          <w:b/>
        </w:rPr>
      </w:pPr>
    </w:p>
    <w:p w:rsidR="007C26BE" w:rsidRPr="006F1D04" w:rsidRDefault="007C26BE" w:rsidP="002D6564">
      <w:pPr>
        <w:rPr>
          <w:rFonts w:ascii="Arial" w:hAnsi="Arial" w:cs="Arial"/>
        </w:rPr>
      </w:pPr>
    </w:p>
    <w:p w:rsidR="007C26BE" w:rsidRPr="006F1D04" w:rsidRDefault="007C26BE" w:rsidP="002D6564">
      <w:pPr>
        <w:rPr>
          <w:rFonts w:ascii="Arial" w:hAnsi="Arial" w:cs="Arial"/>
        </w:rPr>
      </w:pPr>
    </w:p>
    <w:p w:rsidR="007827B1" w:rsidRPr="006F1D04" w:rsidRDefault="007827B1">
      <w:pPr>
        <w:rPr>
          <w:rFonts w:ascii="Arial" w:hAnsi="Arial" w:cs="Arial"/>
        </w:rPr>
      </w:pPr>
    </w:p>
    <w:sectPr w:rsidR="007827B1" w:rsidRPr="006F1D04" w:rsidSect="006A5626">
      <w:pgSz w:w="11906" w:h="16838" w:code="9"/>
      <w:pgMar w:top="1440" w:right="1440" w:bottom="1440" w:left="1440" w:header="284" w:footer="170" w:gutter="0"/>
      <w:cols w:space="25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182E" w:rsidRDefault="0085182E" w:rsidP="008E4E91">
      <w:r>
        <w:separator/>
      </w:r>
    </w:p>
  </w:endnote>
  <w:endnote w:type="continuationSeparator" w:id="0">
    <w:p w:rsidR="0085182E" w:rsidRDefault="0085182E" w:rsidP="008E4E9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8E618AA7-C9F2-4C88-B7B3-E21DA3C818D1}"/>
    <w:embedBold r:id="rId2" w:fontKey="{7E3043AB-E349-4752-8707-9842EA6445CB}"/>
    <w:embedItalic r:id="rId3" w:fontKey="{F44048F1-D97F-4219-BDEF-DB099EE8FAD8}"/>
    <w:embedBoldItalic r:id="rId4" w:fontKey="{FEB3E69D-185E-402F-BB8E-9CD49C9095AD}"/>
  </w:font>
  <w:font w:name="Verdana">
    <w:panose1 w:val="020B0604030504040204"/>
    <w:charset w:val="00"/>
    <w:family w:val="swiss"/>
    <w:pitch w:val="variable"/>
    <w:sig w:usb0="A10006FF" w:usb1="4000205B" w:usb2="00000010" w:usb3="00000000" w:csb0="0000019F" w:csb1="00000000"/>
    <w:embedRegular r:id="rId5" w:fontKey="{FF844AF1-8910-4E35-9B6C-6D672795A114}"/>
    <w:embedBold r:id="rId6" w:fontKey="{E3327A23-163E-4934-96A0-E4FC1B3E23BD}"/>
  </w:font>
  <w:font w:name="Arial">
    <w:panose1 w:val="020B0604020202020204"/>
    <w:charset w:val="00"/>
    <w:family w:val="swiss"/>
    <w:pitch w:val="variable"/>
    <w:sig w:usb0="E0002AFF" w:usb1="C0007843" w:usb2="00000009" w:usb3="00000000" w:csb0="000001FF" w:csb1="00000000"/>
  </w:font>
  <w:font w:name="Century Gothic Bold">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embedRegular r:id="rId7" w:fontKey="{C15EDAF4-8326-430F-B91F-BCA1C4C1C0D9}"/>
  </w:font>
  <w:font w:name="Segoe UI">
    <w:panose1 w:val="020B0502040204020203"/>
    <w:charset w:val="00"/>
    <w:family w:val="swiss"/>
    <w:pitch w:val="variable"/>
    <w:sig w:usb0="E10022FF" w:usb1="C000E47F" w:usb2="00000029" w:usb3="00000000" w:csb0="000001DF" w:csb1="00000000"/>
    <w:embedBold r:id="rId8" w:fontKey="{3322CFFE-998B-4D2E-84CA-28FC6AFA1311}"/>
  </w:font>
  <w:font w:name="Calibri">
    <w:panose1 w:val="020F0502020204030204"/>
    <w:charset w:val="00"/>
    <w:family w:val="swiss"/>
    <w:pitch w:val="variable"/>
    <w:sig w:usb0="E00002FF" w:usb1="4000ACFF" w:usb2="00000001" w:usb3="00000000" w:csb0="0000019F" w:csb1="00000000"/>
    <w:embedRegular r:id="rId9" w:fontKey="{4A05428C-BCB3-41B4-A11A-4CEF88CF5017}"/>
    <w:embedBold r:id="rId10" w:fontKey="{AFB7EEA2-10FC-4240-8E51-8D0193FB817D}"/>
  </w:font>
  <w:font w:name="Book Antiqua">
    <w:panose1 w:val="02040602050305030304"/>
    <w:charset w:val="00"/>
    <w:family w:val="roman"/>
    <w:pitch w:val="variable"/>
    <w:sig w:usb0="00000287" w:usb1="00000000" w:usb2="00000000" w:usb3="00000000" w:csb0="0000009F" w:csb1="00000000"/>
    <w:embedRegular r:id="rId11" w:fontKey="{384B03E7-1F72-42FD-9C94-2FC447E2719D}"/>
  </w:font>
  <w:font w:name="Arial Narrow">
    <w:panose1 w:val="020B0606020202030204"/>
    <w:charset w:val="00"/>
    <w:family w:val="swiss"/>
    <w:pitch w:val="variable"/>
    <w:sig w:usb0="00000287" w:usb1="00000800" w:usb2="00000000" w:usb3="00000000" w:csb0="0000009F" w:csb1="00000000"/>
    <w:embedRegular r:id="rId12" w:fontKey="{FF96E96D-BC3D-4E3C-B203-A22FE5390AE6}"/>
  </w:font>
  <w:font w:name="Garamond">
    <w:panose1 w:val="02020404030301010803"/>
    <w:charset w:val="00"/>
    <w:family w:val="roman"/>
    <w:pitch w:val="variable"/>
    <w:sig w:usb0="00000287" w:usb1="00000000" w:usb2="00000000" w:usb3="00000000" w:csb0="0000009F" w:csb1="00000000"/>
    <w:embedRegular r:id="rId13" w:fontKey="{BB669FC2-5C51-4B8D-AA35-FD7FBCED448C}"/>
  </w:font>
  <w:font w:name="Palatino Linotype">
    <w:panose1 w:val="02040502050505030304"/>
    <w:charset w:val="00"/>
    <w:family w:val="roman"/>
    <w:pitch w:val="variable"/>
    <w:sig w:usb0="E0000287" w:usb1="40000013" w:usb2="00000000" w:usb3="00000000" w:csb0="0000019F" w:csb1="00000000"/>
    <w:embedRegular r:id="rId14" w:fontKey="{2C2E65C9-BB58-4995-95C3-29595F1B9059}"/>
  </w:font>
  <w:font w:name="Adobe Garamond Pro">
    <w:panose1 w:val="00000000000000000000"/>
    <w:charset w:val="00"/>
    <w:family w:val="roman"/>
    <w:notTrueType/>
    <w:pitch w:val="variable"/>
    <w:sig w:usb0="00000007" w:usb1="00000001" w:usb2="00000000" w:usb3="00000000" w:csb0="00000093" w:csb1="00000000"/>
  </w:font>
  <w:font w:name="MiloOT-Text">
    <w:altName w:val="Arial"/>
    <w:panose1 w:val="00000000000000000000"/>
    <w:charset w:val="A1"/>
    <w:family w:val="swiss"/>
    <w:notTrueType/>
    <w:pitch w:val="default"/>
    <w:sig w:usb0="00000083" w:usb1="00000000" w:usb2="00000000" w:usb3="00000000" w:csb0="00000009" w:csb1="00000000"/>
  </w:font>
  <w:font w:name="ArialM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embedRegular r:id="rId15" w:fontKey="{842FDB68-8CD9-4000-8511-B9DA97AEF7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8E4E91" w:rsidRDefault="0085182E" w:rsidP="001969CB">
    <w:pPr>
      <w:pStyle w:val="Footer"/>
      <w:pBdr>
        <w:top w:val="none" w:sz="0" w:space="0" w:color="auto"/>
      </w:pBdr>
      <w:rPr>
        <w:rStyle w:val="PageNumber"/>
        <w:rFonts w:ascii="Century Gothic" w:hAnsi="Century Gothic"/>
        <w:sz w:val="18"/>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85182E" w:rsidRDefault="0085182E" w:rsidP="0085182E">
    <w:pPr>
      <w:pStyle w:val="FooterText"/>
    </w:pPr>
    <w:r>
      <w:t>Introduction</w:t>
    </w:r>
    <w:r w:rsidRPr="00CD39A2">
      <w:tab/>
    </w:r>
    <w:r w:rsidR="00BF6019" w:rsidRPr="00CD39A2">
      <w:fldChar w:fldCharType="begin"/>
    </w:r>
    <w:r w:rsidRPr="00CD39A2">
      <w:instrText xml:space="preserve"> PAGE   \* MERGEFORMAT </w:instrText>
    </w:r>
    <w:r w:rsidR="00BF6019" w:rsidRPr="00CD39A2">
      <w:fldChar w:fldCharType="separate"/>
    </w:r>
    <w:r w:rsidR="00A73165">
      <w:t>1</w:t>
    </w:r>
    <w:r w:rsidR="00BF6019" w:rsidRPr="00CD39A2">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CD39A2" w:rsidRDefault="0085182E" w:rsidP="0085182E">
    <w:pPr>
      <w:pStyle w:val="FooterText"/>
    </w:pPr>
    <w:r>
      <w:t>Characteristics and measurement of airborne particulate matter</w:t>
    </w:r>
    <w:r w:rsidRPr="00CD39A2">
      <w:tab/>
    </w:r>
    <w:r w:rsidR="00BF6019" w:rsidRPr="00CD39A2">
      <w:fldChar w:fldCharType="begin"/>
    </w:r>
    <w:r w:rsidRPr="00CD39A2">
      <w:instrText xml:space="preserve"> PAGE   \* MERGEFORMAT </w:instrText>
    </w:r>
    <w:r w:rsidR="00BF6019" w:rsidRPr="00CD39A2">
      <w:fldChar w:fldCharType="separate"/>
    </w:r>
    <w:r w:rsidR="00A73165">
      <w:t>7</w:t>
    </w:r>
    <w:r w:rsidR="00BF6019" w:rsidRPr="00CD39A2">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CD39A2" w:rsidRDefault="0085182E" w:rsidP="0085182E">
    <w:pPr>
      <w:pStyle w:val="FooterText"/>
    </w:pPr>
    <w:r w:rsidRPr="006523DC">
      <w:t xml:space="preserve">Effects and monetary costs of airborne </w:t>
    </w:r>
    <w:r>
      <w:t>p</w:t>
    </w:r>
    <w:r w:rsidRPr="006523DC">
      <w:t>articulate matter</w:t>
    </w:r>
    <w:r w:rsidRPr="00CD39A2">
      <w:tab/>
    </w:r>
    <w:r w:rsidR="00BF6019" w:rsidRPr="00CD39A2">
      <w:fldChar w:fldCharType="begin"/>
    </w:r>
    <w:r w:rsidRPr="00CD39A2">
      <w:instrText xml:space="preserve"> PAGE   \* MERGEFORMAT </w:instrText>
    </w:r>
    <w:r w:rsidR="00BF6019" w:rsidRPr="00CD39A2">
      <w:fldChar w:fldCharType="separate"/>
    </w:r>
    <w:r w:rsidR="00A73165">
      <w:t>15</w:t>
    </w:r>
    <w:r w:rsidR="00BF6019" w:rsidRPr="00CD39A2">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CD39A2" w:rsidRDefault="0085182E" w:rsidP="0085182E">
    <w:pPr>
      <w:pStyle w:val="FooterText"/>
    </w:pPr>
    <w:r w:rsidRPr="006523DC">
      <w:t>Policy context and legislation</w:t>
    </w:r>
    <w:r w:rsidRPr="00CD39A2">
      <w:tab/>
    </w:r>
    <w:r w:rsidR="00BF6019" w:rsidRPr="00CD39A2">
      <w:fldChar w:fldCharType="begin"/>
    </w:r>
    <w:r w:rsidRPr="00CD39A2">
      <w:instrText xml:space="preserve"> PAGE   \* MERGEFORMAT </w:instrText>
    </w:r>
    <w:r w:rsidR="00BF6019" w:rsidRPr="00CD39A2">
      <w:fldChar w:fldCharType="separate"/>
    </w:r>
    <w:r w:rsidR="00A73165">
      <w:t>33</w:t>
    </w:r>
    <w:r w:rsidR="00BF6019" w:rsidRPr="00CD39A2">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CD39A2" w:rsidRDefault="0085182E" w:rsidP="0085182E">
    <w:pPr>
      <w:pStyle w:val="FooterText"/>
    </w:pPr>
    <w:r w:rsidRPr="006523DC">
      <w:t>Airborne particulate matter in Australia</w:t>
    </w:r>
    <w:r w:rsidRPr="00CD39A2">
      <w:tab/>
    </w:r>
    <w:r w:rsidR="00BF6019" w:rsidRPr="00CD39A2">
      <w:fldChar w:fldCharType="begin"/>
    </w:r>
    <w:r w:rsidRPr="00CD39A2">
      <w:instrText xml:space="preserve"> PAGE   \* MERGEFORMAT </w:instrText>
    </w:r>
    <w:r w:rsidR="00BF6019" w:rsidRPr="00CD39A2">
      <w:fldChar w:fldCharType="separate"/>
    </w:r>
    <w:r w:rsidR="00A73165">
      <w:t>51</w:t>
    </w:r>
    <w:r w:rsidR="00BF6019" w:rsidRPr="00CD39A2">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CD39A2" w:rsidRDefault="0085182E" w:rsidP="0085182E">
    <w:pPr>
      <w:pStyle w:val="FooterText"/>
    </w:pPr>
    <w:r w:rsidRPr="006523DC">
      <w:t>Statement of the problem and the case for government intervention</w:t>
    </w:r>
    <w:r w:rsidRPr="00CD39A2">
      <w:tab/>
    </w:r>
    <w:r w:rsidR="00BF6019" w:rsidRPr="00CD39A2">
      <w:fldChar w:fldCharType="begin"/>
    </w:r>
    <w:r w:rsidRPr="00CD39A2">
      <w:instrText xml:space="preserve"> PAGE   \* MERGEFORMAT </w:instrText>
    </w:r>
    <w:r w:rsidR="00BF6019" w:rsidRPr="00CD39A2">
      <w:fldChar w:fldCharType="separate"/>
    </w:r>
    <w:r w:rsidR="00A73165">
      <w:t>55</w:t>
    </w:r>
    <w:r w:rsidR="00BF6019" w:rsidRPr="00CD39A2">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CD39A2" w:rsidRDefault="0085182E" w:rsidP="0085182E">
    <w:pPr>
      <w:pStyle w:val="FooterText"/>
    </w:pPr>
    <w:r w:rsidRPr="006523DC">
      <w:t>Discussion of possible approaches and options</w:t>
    </w:r>
    <w:r w:rsidRPr="00CD39A2">
      <w:tab/>
    </w:r>
    <w:r w:rsidR="00BF6019" w:rsidRPr="00CD39A2">
      <w:fldChar w:fldCharType="begin"/>
    </w:r>
    <w:r w:rsidRPr="00CD39A2">
      <w:instrText xml:space="preserve"> PAGE   \* MERGEFORMAT </w:instrText>
    </w:r>
    <w:r w:rsidR="00BF6019" w:rsidRPr="00CD39A2">
      <w:fldChar w:fldCharType="separate"/>
    </w:r>
    <w:r w:rsidR="00A73165">
      <w:t>63</w:t>
    </w:r>
    <w:r w:rsidR="00BF6019" w:rsidRPr="00CD39A2">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CD39A2" w:rsidRDefault="0085182E" w:rsidP="0085182E">
    <w:pPr>
      <w:pStyle w:val="FooterText"/>
    </w:pPr>
    <w:r w:rsidRPr="006523DC">
      <w:t>Impact analysis</w:t>
    </w:r>
    <w:r w:rsidRPr="00CD39A2">
      <w:tab/>
    </w:r>
    <w:r w:rsidR="00BF6019" w:rsidRPr="00CD39A2">
      <w:fldChar w:fldCharType="begin"/>
    </w:r>
    <w:r w:rsidRPr="00CD39A2">
      <w:instrText xml:space="preserve"> PAGE   \* MERGEFORMAT </w:instrText>
    </w:r>
    <w:r w:rsidR="00BF6019" w:rsidRPr="00CD39A2">
      <w:fldChar w:fldCharType="separate"/>
    </w:r>
    <w:r w:rsidR="00A73165">
      <w:t>71</w:t>
    </w:r>
    <w:r w:rsidR="00BF6019" w:rsidRPr="00CD39A2">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0D62B6" w:rsidRDefault="0085182E" w:rsidP="000D62B6"/>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0D62B6" w:rsidRDefault="0085182E" w:rsidP="000D62B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85182E" w:rsidP="00D32C73"/>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CD39A2" w:rsidRDefault="00BF6019" w:rsidP="0085182E">
    <w:pPr>
      <w:pStyle w:val="FooterText"/>
    </w:pPr>
    <w:r w:rsidRPr="00CD39A2">
      <w:fldChar w:fldCharType="begin"/>
    </w:r>
    <w:r w:rsidR="0085182E" w:rsidRPr="00CD39A2">
      <w:instrText xml:space="preserve"> PAGE   \* MERGEFORMAT </w:instrText>
    </w:r>
    <w:r w:rsidRPr="00CD39A2">
      <w:fldChar w:fldCharType="separate"/>
    </w:r>
    <w:r w:rsidR="00A73165">
      <w:t>78</w:t>
    </w:r>
    <w:r w:rsidRPr="00CD39A2">
      <w:fldChar w:fldCharType="end"/>
    </w:r>
    <w:r w:rsidR="0085182E">
      <w:tab/>
      <w:t>Impact statement on the draft variation to the AAQ NEPM</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CD39A2" w:rsidRDefault="0085182E" w:rsidP="0085182E">
    <w:pPr>
      <w:pStyle w:val="FooterText"/>
    </w:pPr>
    <w:r w:rsidRPr="006523DC">
      <w:t>Impact analysis</w:t>
    </w:r>
    <w:r w:rsidRPr="00CD39A2">
      <w:tab/>
    </w:r>
    <w:r w:rsidR="00BF6019" w:rsidRPr="00CD39A2">
      <w:fldChar w:fldCharType="begin"/>
    </w:r>
    <w:r w:rsidRPr="00CD39A2">
      <w:instrText xml:space="preserve"> PAGE   \* MERGEFORMAT </w:instrText>
    </w:r>
    <w:r w:rsidR="00BF6019" w:rsidRPr="00CD39A2">
      <w:fldChar w:fldCharType="separate"/>
    </w:r>
    <w:r w:rsidR="00A73165">
      <w:t>77</w:t>
    </w:r>
    <w:r w:rsidR="00BF6019" w:rsidRPr="00CD39A2">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0D62B6" w:rsidRDefault="0085182E" w:rsidP="000D62B6"/>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0D62B6" w:rsidRDefault="0085182E" w:rsidP="000D62B6"/>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CD39A2" w:rsidRDefault="00BF6019" w:rsidP="0085182E">
    <w:pPr>
      <w:pStyle w:val="FooterText"/>
    </w:pPr>
    <w:r w:rsidRPr="00CD39A2">
      <w:fldChar w:fldCharType="begin"/>
    </w:r>
    <w:r w:rsidR="0085182E" w:rsidRPr="00CD39A2">
      <w:instrText xml:space="preserve"> PAGE   \* MERGEFORMAT </w:instrText>
    </w:r>
    <w:r w:rsidRPr="00CD39A2">
      <w:fldChar w:fldCharType="separate"/>
    </w:r>
    <w:r w:rsidR="00A73165">
      <w:t>84</w:t>
    </w:r>
    <w:r w:rsidRPr="00CD39A2">
      <w:fldChar w:fldCharType="end"/>
    </w:r>
    <w:r w:rsidR="0085182E">
      <w:tab/>
      <w:t>Impact statement on the draft variation to the AAQ NEPM</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CD39A2" w:rsidRDefault="0085182E" w:rsidP="0085182E">
    <w:pPr>
      <w:pStyle w:val="FooterText"/>
    </w:pPr>
    <w:r w:rsidRPr="006523DC">
      <w:t>Impact analysis</w:t>
    </w:r>
    <w:r w:rsidRPr="00CD39A2">
      <w:tab/>
    </w:r>
    <w:r w:rsidR="00BF6019" w:rsidRPr="00CD39A2">
      <w:fldChar w:fldCharType="begin"/>
    </w:r>
    <w:r w:rsidRPr="00CD39A2">
      <w:instrText xml:space="preserve"> PAGE   \* MERGEFORMAT </w:instrText>
    </w:r>
    <w:r w:rsidR="00BF6019" w:rsidRPr="00CD39A2">
      <w:fldChar w:fldCharType="separate"/>
    </w:r>
    <w:r w:rsidR="00A73165">
      <w:t>85</w:t>
    </w:r>
    <w:r w:rsidR="00BF6019" w:rsidRPr="00CD39A2">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0D62B6" w:rsidRDefault="0085182E" w:rsidP="000D62B6"/>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0D62B6" w:rsidRDefault="0085182E" w:rsidP="000D62B6"/>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CD39A2" w:rsidRDefault="0085182E" w:rsidP="0085182E">
    <w:pPr>
      <w:pStyle w:val="FooterText"/>
    </w:pPr>
    <w:r w:rsidRPr="006523DC">
      <w:t>Impact analysis</w:t>
    </w:r>
    <w:r w:rsidRPr="00CD39A2">
      <w:tab/>
    </w:r>
    <w:r w:rsidR="00BF6019">
      <w:fldChar w:fldCharType="begin"/>
    </w:r>
    <w:r>
      <w:instrText xml:space="preserve"> PAGE  \* Arabic  \* MERGEFORMAT </w:instrText>
    </w:r>
    <w:r w:rsidR="00BF6019">
      <w:fldChar w:fldCharType="separate"/>
    </w:r>
    <w:r w:rsidR="00A73165">
      <w:t>87</w:t>
    </w:r>
    <w:r w:rsidR="00BF6019">
      <w:fldChar w:fldCharType="end"/>
    </w:r>
  </w:p>
  <w:p w:rsidR="0085182E" w:rsidRPr="00CD39A2" w:rsidRDefault="0085182E" w:rsidP="0085182E">
    <w:pPr>
      <w:pStyle w:val="FooterText"/>
    </w:pPr>
    <w:r w:rsidRPr="00CD39A2">
      <w:tab/>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CD39A2" w:rsidRDefault="00BF6019" w:rsidP="0085182E">
    <w:pPr>
      <w:pStyle w:val="FooterText"/>
    </w:pPr>
    <w:r w:rsidRPr="00CD39A2">
      <w:fldChar w:fldCharType="begin"/>
    </w:r>
    <w:r w:rsidR="0085182E" w:rsidRPr="00CD39A2">
      <w:instrText xml:space="preserve"> PAGE   \* MERGEFORMAT </w:instrText>
    </w:r>
    <w:r w:rsidRPr="00CD39A2">
      <w:fldChar w:fldCharType="separate"/>
    </w:r>
    <w:r w:rsidR="00A73165">
      <w:t>118</w:t>
    </w:r>
    <w:r w:rsidRPr="00CD39A2">
      <w:fldChar w:fldCharType="end"/>
    </w:r>
    <w:r w:rsidR="0085182E">
      <w:tab/>
      <w:t>Impact statement on the draft variation to the AAQ NEPM</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CD39A2" w:rsidRDefault="0085182E" w:rsidP="0085182E">
    <w:pPr>
      <w:pStyle w:val="FooterText"/>
    </w:pPr>
    <w:r w:rsidRPr="00CD39A2">
      <w:tab/>
    </w:r>
    <w:r w:rsidR="00BF6019" w:rsidRPr="00CD39A2">
      <w:fldChar w:fldCharType="begin"/>
    </w:r>
    <w:r w:rsidRPr="00CD39A2">
      <w:instrText xml:space="preserve"> PAGE   \* MERGEFORMAT </w:instrText>
    </w:r>
    <w:r w:rsidR="00BF6019" w:rsidRPr="00CD39A2">
      <w:fldChar w:fldCharType="separate"/>
    </w:r>
    <w:r>
      <w:t>iii</w:t>
    </w:r>
    <w:r w:rsidR="00BF6019" w:rsidRPr="00CD39A2">
      <w:fldChar w:fldCharType="end"/>
    </w:r>
    <w:r w:rsidRPr="00CD39A2">
      <w:br/>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CD39A2" w:rsidRDefault="0085182E" w:rsidP="0085182E">
    <w:pPr>
      <w:pStyle w:val="FooterText"/>
    </w:pPr>
    <w:r w:rsidRPr="006523DC">
      <w:t>Impact analysis</w:t>
    </w:r>
    <w:r w:rsidRPr="00CD39A2">
      <w:tab/>
    </w:r>
    <w:r w:rsidR="00BF6019" w:rsidRPr="00CD39A2">
      <w:fldChar w:fldCharType="begin"/>
    </w:r>
    <w:r w:rsidRPr="00CD39A2">
      <w:instrText xml:space="preserve"> PAGE   \* MERGEFORMAT </w:instrText>
    </w:r>
    <w:r w:rsidR="00BF6019" w:rsidRPr="00CD39A2">
      <w:fldChar w:fldCharType="separate"/>
    </w:r>
    <w:r>
      <w:t>87</w:t>
    </w:r>
    <w:r w:rsidR="00BF6019" w:rsidRPr="00CD39A2">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CD39A2" w:rsidRDefault="0085182E" w:rsidP="0085182E">
    <w:pPr>
      <w:pStyle w:val="FooterText"/>
    </w:pPr>
    <w:r w:rsidRPr="006523DC">
      <w:t xml:space="preserve">Preferred </w:t>
    </w:r>
    <w:r>
      <w:t>o</w:t>
    </w:r>
    <w:r w:rsidRPr="006523DC">
      <w:t>ptions</w:t>
    </w:r>
    <w:r w:rsidRPr="00CD39A2">
      <w:tab/>
    </w:r>
    <w:r w:rsidR="00BF6019" w:rsidRPr="00CD39A2">
      <w:fldChar w:fldCharType="begin"/>
    </w:r>
    <w:r w:rsidRPr="00CD39A2">
      <w:instrText xml:space="preserve"> PAGE   \* MERGEFORMAT </w:instrText>
    </w:r>
    <w:r w:rsidR="00BF6019" w:rsidRPr="00CD39A2">
      <w:fldChar w:fldCharType="separate"/>
    </w:r>
    <w:r w:rsidR="00A73165">
      <w:t>89</w:t>
    </w:r>
    <w:r w:rsidR="00BF6019" w:rsidRPr="00CD39A2">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CD39A2" w:rsidRDefault="0085182E" w:rsidP="0085182E">
    <w:pPr>
      <w:pStyle w:val="FooterText"/>
    </w:pPr>
    <w:r>
      <w:t>Consultation</w:t>
    </w:r>
    <w:r w:rsidRPr="00CD39A2">
      <w:tab/>
    </w:r>
    <w:r w:rsidR="00BF6019" w:rsidRPr="00CD39A2">
      <w:fldChar w:fldCharType="begin"/>
    </w:r>
    <w:r w:rsidRPr="00CD39A2">
      <w:instrText xml:space="preserve"> PAGE   \* MERGEFORMAT </w:instrText>
    </w:r>
    <w:r w:rsidR="00BF6019" w:rsidRPr="00CD39A2">
      <w:fldChar w:fldCharType="separate"/>
    </w:r>
    <w:r w:rsidR="00A73165">
      <w:t>93</w:t>
    </w:r>
    <w:r w:rsidR="00BF6019" w:rsidRPr="00CD39A2">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CD39A2" w:rsidRDefault="0085182E" w:rsidP="0085182E">
    <w:pPr>
      <w:pStyle w:val="FooterText"/>
    </w:pPr>
    <w:r>
      <w:t>List of technical terms and abbreviations</w:t>
    </w:r>
    <w:r w:rsidRPr="00CD39A2">
      <w:tab/>
    </w:r>
    <w:r w:rsidR="00BF6019" w:rsidRPr="00CD39A2">
      <w:fldChar w:fldCharType="begin"/>
    </w:r>
    <w:r w:rsidRPr="00CD39A2">
      <w:instrText xml:space="preserve"> PAGE   \* MERGEFORMAT </w:instrText>
    </w:r>
    <w:r w:rsidR="00BF6019" w:rsidRPr="00CD39A2">
      <w:fldChar w:fldCharType="separate"/>
    </w:r>
    <w:r w:rsidR="00A73165">
      <w:t>95</w:t>
    </w:r>
    <w:r w:rsidR="00BF6019" w:rsidRPr="00CD39A2">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CD39A2" w:rsidRDefault="0085182E" w:rsidP="0085182E">
    <w:pPr>
      <w:pStyle w:val="FooterText"/>
    </w:pPr>
    <w:r>
      <w:t>References</w:t>
    </w:r>
    <w:r w:rsidRPr="00CD39A2">
      <w:tab/>
    </w:r>
    <w:r w:rsidR="00BF6019" w:rsidRPr="00CD39A2">
      <w:fldChar w:fldCharType="begin"/>
    </w:r>
    <w:r w:rsidRPr="00CD39A2">
      <w:instrText xml:space="preserve"> PAGE   \* MERGEFORMAT </w:instrText>
    </w:r>
    <w:r w:rsidR="00BF6019" w:rsidRPr="00CD39A2">
      <w:fldChar w:fldCharType="separate"/>
    </w:r>
    <w:r w:rsidR="00A73165">
      <w:t>101</w:t>
    </w:r>
    <w:r w:rsidR="00BF6019" w:rsidRPr="00CD39A2">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CD39A2" w:rsidRDefault="0085182E" w:rsidP="0085182E">
    <w:pPr>
      <w:pStyle w:val="FooterText"/>
    </w:pPr>
    <w:r>
      <w:t xml:space="preserve">Appendix A: </w:t>
    </w:r>
    <w:r w:rsidRPr="00692A6D">
      <w:t>Recommendations from the 2011 AAQ NEPM review</w:t>
    </w:r>
    <w:r w:rsidRPr="00CD39A2">
      <w:tab/>
    </w:r>
    <w:r w:rsidR="00BF6019" w:rsidRPr="00CD39A2">
      <w:fldChar w:fldCharType="begin"/>
    </w:r>
    <w:r w:rsidRPr="00CD39A2">
      <w:instrText xml:space="preserve"> PAGE   \* MERGEFORMAT </w:instrText>
    </w:r>
    <w:r w:rsidR="00BF6019" w:rsidRPr="00CD39A2">
      <w:fldChar w:fldCharType="separate"/>
    </w:r>
    <w:r w:rsidR="00A73165">
      <w:t>107</w:t>
    </w:r>
    <w:r w:rsidR="00BF6019" w:rsidRPr="00CD39A2">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CD39A2" w:rsidRDefault="0085182E" w:rsidP="0085182E">
    <w:pPr>
      <w:pStyle w:val="FooterText"/>
    </w:pPr>
    <w:r>
      <w:t xml:space="preserve">Appendix B: </w:t>
    </w:r>
    <w:r w:rsidRPr="006523DC">
      <w:rPr>
        <w:rStyle w:val="Strong"/>
        <w:b w:val="0"/>
        <w:bCs w:val="0"/>
      </w:rPr>
      <w:t>Monitoring methods for PM</w:t>
    </w:r>
    <w:r w:rsidRPr="006523DC">
      <w:rPr>
        <w:rStyle w:val="Strong"/>
        <w:b w:val="0"/>
        <w:bCs w:val="0"/>
        <w:vertAlign w:val="subscript"/>
      </w:rPr>
      <w:t>10</w:t>
    </w:r>
    <w:r w:rsidRPr="006523DC">
      <w:rPr>
        <w:rStyle w:val="Strong"/>
        <w:b w:val="0"/>
        <w:bCs w:val="0"/>
      </w:rPr>
      <w:t xml:space="preserve"> and PM</w:t>
    </w:r>
    <w:r w:rsidRPr="006523DC">
      <w:rPr>
        <w:rStyle w:val="Strong"/>
        <w:b w:val="0"/>
        <w:bCs w:val="0"/>
        <w:vertAlign w:val="subscript"/>
      </w:rPr>
      <w:t>2.5</w:t>
    </w:r>
    <w:r w:rsidRPr="00CD39A2">
      <w:tab/>
    </w:r>
    <w:r w:rsidR="00BF6019" w:rsidRPr="00CD39A2">
      <w:fldChar w:fldCharType="begin"/>
    </w:r>
    <w:r w:rsidRPr="00CD39A2">
      <w:instrText xml:space="preserve"> PAGE   \* MERGEFORMAT </w:instrText>
    </w:r>
    <w:r w:rsidR="00BF6019" w:rsidRPr="00CD39A2">
      <w:fldChar w:fldCharType="separate"/>
    </w:r>
    <w:r w:rsidR="00A73165">
      <w:t>111</w:t>
    </w:r>
    <w:r w:rsidR="00BF6019" w:rsidRPr="00CD39A2">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CD39A2" w:rsidRDefault="0085182E" w:rsidP="0085182E">
    <w:pPr>
      <w:pStyle w:val="FooterText"/>
    </w:pPr>
    <w:r>
      <w:t>Appendix C: enHealth recommendations</w:t>
    </w:r>
    <w:r w:rsidRPr="00CD39A2">
      <w:tab/>
    </w:r>
    <w:r w:rsidR="00BF6019" w:rsidRPr="00CD39A2">
      <w:fldChar w:fldCharType="begin"/>
    </w:r>
    <w:r w:rsidRPr="00CD39A2">
      <w:instrText xml:space="preserve"> PAGE   \* MERGEFORMAT </w:instrText>
    </w:r>
    <w:r w:rsidR="00BF6019" w:rsidRPr="00CD39A2">
      <w:fldChar w:fldCharType="separate"/>
    </w:r>
    <w:r w:rsidR="00A73165">
      <w:t>115</w:t>
    </w:r>
    <w:r w:rsidR="00BF6019" w:rsidRPr="00CD39A2">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CD39A2" w:rsidRDefault="0085182E" w:rsidP="0085182E">
    <w:pPr>
      <w:pStyle w:val="FooterText"/>
    </w:pPr>
    <w:r>
      <w:t xml:space="preserve">Appendix D: </w:t>
    </w:r>
    <w:r w:rsidRPr="006523DC">
      <w:rPr>
        <w:rStyle w:val="Strong"/>
        <w:b w:val="0"/>
        <w:bCs w:val="0"/>
      </w:rPr>
      <w:t>PM</w:t>
    </w:r>
    <w:r w:rsidRPr="006523DC">
      <w:rPr>
        <w:rStyle w:val="Strong"/>
        <w:b w:val="0"/>
        <w:bCs w:val="0"/>
        <w:vertAlign w:val="subscript"/>
      </w:rPr>
      <w:t>10</w:t>
    </w:r>
    <w:r w:rsidRPr="006523DC">
      <w:rPr>
        <w:rStyle w:val="Strong"/>
        <w:b w:val="0"/>
        <w:bCs w:val="0"/>
      </w:rPr>
      <w:t xml:space="preserve"> and PM</w:t>
    </w:r>
    <w:r w:rsidRPr="006523DC">
      <w:rPr>
        <w:rStyle w:val="Strong"/>
        <w:b w:val="0"/>
        <w:bCs w:val="0"/>
        <w:vertAlign w:val="subscript"/>
      </w:rPr>
      <w:t>2.5</w:t>
    </w:r>
    <w:r w:rsidRPr="006523DC">
      <w:rPr>
        <w:rStyle w:val="Strong"/>
        <w:b w:val="0"/>
        <w:bCs w:val="0"/>
      </w:rPr>
      <w:t xml:space="preserve"> monitoring sites in </w:t>
    </w:r>
    <w:r>
      <w:rPr>
        <w:rStyle w:val="Strong"/>
        <w:b w:val="0"/>
        <w:bCs w:val="0"/>
      </w:rPr>
      <w:t>A</w:t>
    </w:r>
    <w:r w:rsidRPr="006523DC">
      <w:rPr>
        <w:rStyle w:val="Strong"/>
        <w:b w:val="0"/>
        <w:bCs w:val="0"/>
      </w:rPr>
      <w:t>ustralia</w:t>
    </w:r>
    <w:r w:rsidRPr="00CD39A2">
      <w:tab/>
    </w:r>
    <w:r w:rsidR="00BF6019" w:rsidRPr="00CD39A2">
      <w:fldChar w:fldCharType="begin"/>
    </w:r>
    <w:r w:rsidRPr="00CD39A2">
      <w:instrText xml:space="preserve"> PAGE   \* MERGEFORMAT </w:instrText>
    </w:r>
    <w:r w:rsidR="00BF6019" w:rsidRPr="00CD39A2">
      <w:fldChar w:fldCharType="separate"/>
    </w:r>
    <w:r w:rsidR="00A73165">
      <w:t>117</w:t>
    </w:r>
    <w:r w:rsidR="00BF6019" w:rsidRPr="00CD39A2">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0D62B6" w:rsidRDefault="0085182E" w:rsidP="000D62B6"/>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8F3F88" w:rsidRDefault="00BF6019" w:rsidP="0085182E">
    <w:pPr>
      <w:pStyle w:val="FooterText"/>
    </w:pPr>
    <w:r w:rsidRPr="00CD39A2">
      <w:fldChar w:fldCharType="begin"/>
    </w:r>
    <w:r w:rsidR="0085182E" w:rsidRPr="00CD39A2">
      <w:instrText xml:space="preserve"> PAGE   \* MERGEFORMAT </w:instrText>
    </w:r>
    <w:r w:rsidRPr="00CD39A2">
      <w:fldChar w:fldCharType="separate"/>
    </w:r>
    <w:r w:rsidR="00A73165">
      <w:t>xx</w:t>
    </w:r>
    <w:r w:rsidRPr="00CD39A2">
      <w:fldChar w:fldCharType="end"/>
    </w:r>
    <w:r w:rsidR="0085182E">
      <w:tab/>
      <w:t>Impact statement on the draft variation to the AAQ NEPM</w: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0D62B6" w:rsidRDefault="0085182E" w:rsidP="000D62B6"/>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CD39A2" w:rsidRDefault="00BF6019" w:rsidP="0085182E">
    <w:pPr>
      <w:pStyle w:val="FooterText"/>
    </w:pPr>
    <w:r w:rsidRPr="00CD39A2">
      <w:fldChar w:fldCharType="begin"/>
    </w:r>
    <w:r w:rsidR="0085182E" w:rsidRPr="00CD39A2">
      <w:instrText xml:space="preserve"> PAGE   \* MERGEFORMAT </w:instrText>
    </w:r>
    <w:r w:rsidRPr="00CD39A2">
      <w:fldChar w:fldCharType="separate"/>
    </w:r>
    <w:r w:rsidR="0085182E">
      <w:t>124</w:t>
    </w:r>
    <w:r w:rsidRPr="00CD39A2">
      <w:fldChar w:fldCharType="end"/>
    </w:r>
    <w:r w:rsidR="0085182E">
      <w:tab/>
    </w:r>
    <w:r w:rsidR="0085182E" w:rsidRPr="00467ED4">
      <w:t>Information Report to enable NEPC decision on whether to vary the PM standards in the AAQ NEPM</w: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CD39A2" w:rsidRDefault="0085182E" w:rsidP="0085182E">
    <w:pPr>
      <w:pStyle w:val="FooterText"/>
    </w:pPr>
    <w:r>
      <w:t xml:space="preserve">Appendix E: Analysis of </w:t>
    </w:r>
    <w:r w:rsidRPr="006523DC">
      <w:rPr>
        <w:rStyle w:val="Strong"/>
        <w:b w:val="0"/>
        <w:bCs w:val="0"/>
      </w:rPr>
      <w:t>PM</w:t>
    </w:r>
    <w:r w:rsidRPr="006523DC">
      <w:rPr>
        <w:rStyle w:val="Strong"/>
        <w:b w:val="0"/>
        <w:bCs w:val="0"/>
        <w:vertAlign w:val="subscript"/>
      </w:rPr>
      <w:t>10</w:t>
    </w:r>
    <w:r w:rsidRPr="006523DC">
      <w:rPr>
        <w:rStyle w:val="Strong"/>
        <w:b w:val="0"/>
        <w:bCs w:val="0"/>
      </w:rPr>
      <w:t xml:space="preserve"> and PM</w:t>
    </w:r>
    <w:r w:rsidRPr="006523DC">
      <w:rPr>
        <w:rStyle w:val="Strong"/>
        <w:b w:val="0"/>
        <w:bCs w:val="0"/>
        <w:vertAlign w:val="subscript"/>
      </w:rPr>
      <w:t>2.5</w:t>
    </w:r>
    <w:r w:rsidRPr="006523DC">
      <w:rPr>
        <w:rStyle w:val="Strong"/>
        <w:b w:val="0"/>
        <w:bCs w:val="0"/>
      </w:rPr>
      <w:t xml:space="preserve"> monitoring </w:t>
    </w:r>
    <w:r>
      <w:rPr>
        <w:rStyle w:val="Strong"/>
        <w:b w:val="0"/>
        <w:bCs w:val="0"/>
      </w:rPr>
      <w:t>data</w:t>
    </w:r>
    <w:r w:rsidRPr="00CD39A2">
      <w:tab/>
    </w:r>
    <w:r w:rsidR="00BF6019" w:rsidRPr="00CD39A2">
      <w:fldChar w:fldCharType="begin"/>
    </w:r>
    <w:r w:rsidRPr="00CD39A2">
      <w:instrText xml:space="preserve"> PAGE   \* MERGEFORMAT </w:instrText>
    </w:r>
    <w:r w:rsidR="00BF6019" w:rsidRPr="00CD39A2">
      <w:fldChar w:fldCharType="separate"/>
    </w:r>
    <w:r w:rsidR="00A73165">
      <w:t>125</w:t>
    </w:r>
    <w:r w:rsidR="00BF6019" w:rsidRPr="00CD39A2">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CD39A2" w:rsidRDefault="00BF6019" w:rsidP="0085182E">
    <w:pPr>
      <w:pStyle w:val="FooterText"/>
    </w:pPr>
    <w:r w:rsidRPr="00CD39A2">
      <w:fldChar w:fldCharType="begin"/>
    </w:r>
    <w:r w:rsidR="0085182E" w:rsidRPr="00CD39A2">
      <w:instrText xml:space="preserve"> PAGE   \* MERGEFORMAT </w:instrText>
    </w:r>
    <w:r w:rsidRPr="00CD39A2">
      <w:fldChar w:fldCharType="separate"/>
    </w:r>
    <w:r w:rsidR="00A73165">
      <w:t>150</w:t>
    </w:r>
    <w:r w:rsidRPr="00CD39A2">
      <w:fldChar w:fldCharType="end"/>
    </w:r>
    <w:r w:rsidR="0085182E">
      <w:tab/>
      <w:t>Impact statement on the draft variation to the AAQ NEPM</w: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CD39A2" w:rsidRDefault="0085182E" w:rsidP="0085182E">
    <w:pPr>
      <w:pStyle w:val="FooterText"/>
    </w:pPr>
    <w:r>
      <w:t xml:space="preserve">Appendix E: Analysis of </w:t>
    </w:r>
    <w:r w:rsidRPr="006523DC">
      <w:rPr>
        <w:rStyle w:val="Strong"/>
        <w:b w:val="0"/>
        <w:bCs w:val="0"/>
      </w:rPr>
      <w:t>PM</w:t>
    </w:r>
    <w:r w:rsidRPr="006523DC">
      <w:rPr>
        <w:rStyle w:val="Strong"/>
        <w:b w:val="0"/>
        <w:bCs w:val="0"/>
        <w:vertAlign w:val="subscript"/>
      </w:rPr>
      <w:t>10</w:t>
    </w:r>
    <w:r w:rsidRPr="006523DC">
      <w:rPr>
        <w:rStyle w:val="Strong"/>
        <w:b w:val="0"/>
        <w:bCs w:val="0"/>
      </w:rPr>
      <w:t xml:space="preserve"> and PM</w:t>
    </w:r>
    <w:r w:rsidRPr="006523DC">
      <w:rPr>
        <w:rStyle w:val="Strong"/>
        <w:b w:val="0"/>
        <w:bCs w:val="0"/>
        <w:vertAlign w:val="subscript"/>
      </w:rPr>
      <w:t>2.5</w:t>
    </w:r>
    <w:r w:rsidRPr="006523DC">
      <w:rPr>
        <w:rStyle w:val="Strong"/>
        <w:b w:val="0"/>
        <w:bCs w:val="0"/>
      </w:rPr>
      <w:t xml:space="preserve"> monitoring </w:t>
    </w:r>
    <w:r>
      <w:rPr>
        <w:rStyle w:val="Strong"/>
        <w:b w:val="0"/>
        <w:bCs w:val="0"/>
      </w:rPr>
      <w:t>data</w:t>
    </w:r>
    <w:r w:rsidRPr="00CD39A2">
      <w:tab/>
    </w:r>
    <w:r w:rsidR="00BF6019" w:rsidRPr="00CD39A2">
      <w:fldChar w:fldCharType="begin"/>
    </w:r>
    <w:r w:rsidRPr="00CD39A2">
      <w:instrText xml:space="preserve"> PAGE   \* MERGEFORMAT </w:instrText>
    </w:r>
    <w:r w:rsidR="00BF6019" w:rsidRPr="00CD39A2">
      <w:fldChar w:fldCharType="separate"/>
    </w:r>
    <w:r w:rsidR="00A73165">
      <w:t>147</w:t>
    </w:r>
    <w:r w:rsidR="00BF6019" w:rsidRPr="00CD39A2">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CD39A2" w:rsidRDefault="0085182E" w:rsidP="0085182E">
    <w:pPr>
      <w:pStyle w:val="FooterText"/>
    </w:pPr>
    <w:r>
      <w:t>Appendix F: Summary of questions for consultation</w:t>
    </w:r>
    <w:r w:rsidRPr="00CD39A2">
      <w:tab/>
    </w:r>
    <w:r w:rsidR="00BF6019" w:rsidRPr="00CD39A2">
      <w:fldChar w:fldCharType="begin"/>
    </w:r>
    <w:r w:rsidRPr="00CD39A2">
      <w:instrText xml:space="preserve"> PAGE   \* MERGEFORMAT </w:instrText>
    </w:r>
    <w:r w:rsidR="00BF6019" w:rsidRPr="00CD39A2">
      <w:fldChar w:fldCharType="separate"/>
    </w:r>
    <w:r w:rsidR="00A73165">
      <w:t>151</w:t>
    </w:r>
    <w:r w:rsidR="00BF6019" w:rsidRPr="00CD39A2">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CD39A2" w:rsidRDefault="0085182E" w:rsidP="0085182E">
    <w:pPr>
      <w:pStyle w:val="FooterText"/>
    </w:pPr>
    <w:r>
      <w:t>Contents</w:t>
    </w:r>
    <w:r w:rsidRPr="00CD39A2">
      <w:tab/>
    </w:r>
    <w:r w:rsidR="00BF6019" w:rsidRPr="00CD39A2">
      <w:fldChar w:fldCharType="begin"/>
    </w:r>
    <w:r w:rsidRPr="00CD39A2">
      <w:instrText xml:space="preserve"> PAGE   \* MERGEFORMAT </w:instrText>
    </w:r>
    <w:r w:rsidR="00BF6019" w:rsidRPr="00CD39A2">
      <w:fldChar w:fldCharType="separate"/>
    </w:r>
    <w:r w:rsidR="00A73165">
      <w:t>v</w:t>
    </w:r>
    <w:r w:rsidR="00BF6019" w:rsidRPr="00CD39A2">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CD39A2" w:rsidRDefault="0085182E" w:rsidP="0085182E">
    <w:pPr>
      <w:pStyle w:val="FooterText"/>
    </w:pPr>
    <w:r>
      <w:t>Executive summary</w:t>
    </w:r>
    <w:r w:rsidRPr="00CD39A2">
      <w:tab/>
    </w:r>
    <w:r w:rsidR="00BF6019" w:rsidRPr="00CD39A2">
      <w:fldChar w:fldCharType="begin"/>
    </w:r>
    <w:r w:rsidRPr="00CD39A2">
      <w:instrText xml:space="preserve"> PAGE   \* MERGEFORMAT </w:instrText>
    </w:r>
    <w:r w:rsidR="00BF6019" w:rsidRPr="00CD39A2">
      <w:fldChar w:fldCharType="separate"/>
    </w:r>
    <w:r w:rsidR="00A73165">
      <w:t>xix</w:t>
    </w:r>
    <w:r w:rsidR="00BF6019" w:rsidRPr="00CD39A2">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0654E5" w:rsidRDefault="0085182E" w:rsidP="000654E5"/>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0654E5" w:rsidRDefault="0085182E" w:rsidP="000654E5"/>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8F3F88" w:rsidRDefault="00BF6019" w:rsidP="0085182E">
    <w:pPr>
      <w:pStyle w:val="FooterText"/>
    </w:pPr>
    <w:r w:rsidRPr="00CD39A2">
      <w:fldChar w:fldCharType="begin"/>
    </w:r>
    <w:r w:rsidR="0085182E" w:rsidRPr="00CD39A2">
      <w:instrText xml:space="preserve"> PAGE   \* MERGEFORMAT </w:instrText>
    </w:r>
    <w:r w:rsidRPr="00CD39A2">
      <w:fldChar w:fldCharType="separate"/>
    </w:r>
    <w:r w:rsidR="00A73165">
      <w:t>70</w:t>
    </w:r>
    <w:r w:rsidRPr="00CD39A2">
      <w:fldChar w:fldCharType="end"/>
    </w:r>
    <w:r w:rsidR="0085182E">
      <w:tab/>
      <w:t>Impact statement on the draft variation to the AAQ NEPM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182E" w:rsidRDefault="0085182E" w:rsidP="008E4E91">
      <w:r>
        <w:separator/>
      </w:r>
    </w:p>
  </w:footnote>
  <w:footnote w:type="continuationSeparator" w:id="0">
    <w:p w:rsidR="0085182E" w:rsidRDefault="0085182E" w:rsidP="008E4E91">
      <w:r>
        <w:continuationSeparator/>
      </w:r>
    </w:p>
  </w:footnote>
  <w:footnote w:id="1">
    <w:p w:rsidR="0085182E" w:rsidRPr="006D5588" w:rsidRDefault="0085182E" w:rsidP="004E5382">
      <w:pPr>
        <w:pStyle w:val="FootnoteText"/>
        <w:spacing w:after="60" w:line="240" w:lineRule="auto"/>
        <w:rPr>
          <w:sz w:val="16"/>
          <w:szCs w:val="16"/>
        </w:rPr>
      </w:pPr>
      <w:r w:rsidRPr="006D5588">
        <w:rPr>
          <w:rStyle w:val="FootnoteReference"/>
          <w:sz w:val="16"/>
          <w:szCs w:val="16"/>
        </w:rPr>
        <w:footnoteRef/>
      </w:r>
      <w:r>
        <w:rPr>
          <w:sz w:val="16"/>
          <w:szCs w:val="16"/>
        </w:rPr>
        <w:t xml:space="preserve"> </w:t>
      </w:r>
      <w:r w:rsidRPr="00F92559">
        <w:rPr>
          <w:color w:val="0076C0"/>
          <w:sz w:val="16"/>
          <w:szCs w:val="16"/>
        </w:rPr>
        <w:t>http://www.comlaw.gov.au/Details/C2004H03935/Download</w:t>
      </w:r>
    </w:p>
  </w:footnote>
  <w:footnote w:id="2">
    <w:p w:rsidR="0085182E" w:rsidRPr="00263A56" w:rsidRDefault="0085182E" w:rsidP="00AC6943">
      <w:pPr>
        <w:pStyle w:val="FootnoteText"/>
        <w:spacing w:after="40" w:line="240" w:lineRule="auto"/>
        <w:rPr>
          <w:sz w:val="16"/>
          <w:szCs w:val="16"/>
        </w:rPr>
      </w:pPr>
      <w:r w:rsidRPr="00263A56">
        <w:rPr>
          <w:rStyle w:val="FootnoteReference"/>
          <w:sz w:val="16"/>
          <w:szCs w:val="16"/>
        </w:rPr>
        <w:footnoteRef/>
      </w:r>
      <w:r>
        <w:rPr>
          <w:sz w:val="16"/>
          <w:szCs w:val="16"/>
        </w:rPr>
        <w:t xml:space="preserve"> 'Criteria </w:t>
      </w:r>
      <w:r w:rsidRPr="00263A56">
        <w:rPr>
          <w:sz w:val="16"/>
          <w:szCs w:val="16"/>
        </w:rPr>
        <w:t xml:space="preserve">pollutants' is a term used internationally to describe common air pollutants that have been regulated and are used as indicators of air quality. The standards for these pollutants are based on criteria that relate to </w:t>
      </w:r>
      <w:r>
        <w:rPr>
          <w:sz w:val="16"/>
          <w:szCs w:val="16"/>
        </w:rPr>
        <w:t xml:space="preserve">well-documented </w:t>
      </w:r>
      <w:r w:rsidRPr="00263A56">
        <w:rPr>
          <w:sz w:val="16"/>
          <w:szCs w:val="16"/>
        </w:rPr>
        <w:t>health and/or environmental effects. The criteria air pollutants tend to be common to most geographical areas.</w:t>
      </w:r>
    </w:p>
  </w:footnote>
  <w:footnote w:id="3">
    <w:p w:rsidR="0085182E" w:rsidRPr="006D5588" w:rsidRDefault="0085182E" w:rsidP="008631BE">
      <w:pPr>
        <w:pStyle w:val="FootnoteText"/>
        <w:spacing w:after="40" w:line="240" w:lineRule="auto"/>
      </w:pPr>
      <w:r w:rsidRPr="006D5588">
        <w:rPr>
          <w:rStyle w:val="FootnoteReference"/>
          <w:sz w:val="16"/>
          <w:szCs w:val="16"/>
        </w:rPr>
        <w:footnoteRef/>
      </w:r>
      <w:r w:rsidRPr="006D5588">
        <w:rPr>
          <w:sz w:val="16"/>
          <w:szCs w:val="16"/>
        </w:rPr>
        <w:t xml:space="preserve"> Natio</w:t>
      </w:r>
      <w:bookmarkStart w:id="7" w:name="_GoBack"/>
      <w:bookmarkEnd w:id="7"/>
      <w:r w:rsidRPr="006D5588">
        <w:rPr>
          <w:sz w:val="16"/>
          <w:szCs w:val="16"/>
        </w:rPr>
        <w:t>nal Environment Protection (Ambient Air Quality) Measure variation (2003), Gazette 2003, no. S190.</w:t>
      </w:r>
    </w:p>
  </w:footnote>
  <w:footnote w:id="4">
    <w:p w:rsidR="0085182E" w:rsidRPr="00043DE9" w:rsidRDefault="0085182E" w:rsidP="00043DE9">
      <w:pPr>
        <w:pStyle w:val="FootnoteText"/>
        <w:spacing w:after="40" w:line="240" w:lineRule="auto"/>
        <w:rPr>
          <w:sz w:val="16"/>
          <w:szCs w:val="16"/>
        </w:rPr>
      </w:pPr>
      <w:r w:rsidRPr="00043DE9">
        <w:rPr>
          <w:rStyle w:val="FootnoteReference"/>
          <w:sz w:val="16"/>
          <w:szCs w:val="16"/>
        </w:rPr>
        <w:footnoteRef/>
      </w:r>
      <w:r w:rsidRPr="00043DE9">
        <w:rPr>
          <w:sz w:val="16"/>
          <w:szCs w:val="16"/>
        </w:rPr>
        <w:t xml:space="preserve"> Excluding any climate-related effects of </w:t>
      </w:r>
      <w:r>
        <w:rPr>
          <w:sz w:val="16"/>
          <w:szCs w:val="16"/>
        </w:rPr>
        <w:t>greenhouse gas emissions</w:t>
      </w:r>
      <w:r w:rsidRPr="00043DE9">
        <w:rPr>
          <w:sz w:val="16"/>
          <w:szCs w:val="16"/>
        </w:rPr>
        <w:t>.</w:t>
      </w:r>
    </w:p>
  </w:footnote>
  <w:footnote w:id="5">
    <w:p w:rsidR="0085182E" w:rsidRPr="0074290F" w:rsidRDefault="0085182E" w:rsidP="009A32E1">
      <w:pPr>
        <w:pStyle w:val="FootnoteText"/>
        <w:spacing w:after="40" w:line="240" w:lineRule="auto"/>
        <w:rPr>
          <w:sz w:val="16"/>
          <w:szCs w:val="16"/>
        </w:rPr>
      </w:pPr>
      <w:r w:rsidRPr="0074290F">
        <w:rPr>
          <w:rStyle w:val="FootnoteReference"/>
          <w:sz w:val="16"/>
          <w:szCs w:val="16"/>
        </w:rPr>
        <w:footnoteRef/>
      </w:r>
      <w:r w:rsidRPr="0074290F">
        <w:rPr>
          <w:sz w:val="16"/>
          <w:szCs w:val="16"/>
        </w:rPr>
        <w:t xml:space="preserve"> Particles may contain carcinogenic substances such as polycyclic aromatic hydrocarbons (PAHs) or heavy metals.</w:t>
      </w:r>
    </w:p>
  </w:footnote>
  <w:footnote w:id="6">
    <w:p w:rsidR="0085182E" w:rsidRPr="00CB41AA" w:rsidRDefault="0085182E" w:rsidP="00CB41AA">
      <w:pPr>
        <w:spacing w:after="0" w:line="240" w:lineRule="auto"/>
        <w:rPr>
          <w:sz w:val="16"/>
          <w:szCs w:val="16"/>
        </w:rPr>
      </w:pPr>
      <w:r w:rsidRPr="004C7D30">
        <w:rPr>
          <w:rStyle w:val="FootnoteReference"/>
          <w:sz w:val="16"/>
          <w:szCs w:val="16"/>
        </w:rPr>
        <w:footnoteRef/>
      </w:r>
      <w:r w:rsidRPr="004C7D30">
        <w:rPr>
          <w:sz w:val="16"/>
          <w:szCs w:val="16"/>
        </w:rPr>
        <w:t xml:space="preserve"> The report from the REVIHAAP project is presented in terms of answers to 24 questions that were relevant to the ongoing review of European Union (EU) policies on air pollution, and to the health aspects of these policies. The project reviewed the scientific literature for PM, ground-level ozone, NO</w:t>
      </w:r>
      <w:r w:rsidRPr="004C7D30">
        <w:rPr>
          <w:sz w:val="16"/>
          <w:szCs w:val="16"/>
          <w:vertAlign w:val="subscript"/>
        </w:rPr>
        <w:t>2</w:t>
      </w:r>
      <w:r w:rsidRPr="004C7D30">
        <w:rPr>
          <w:sz w:val="16"/>
          <w:szCs w:val="16"/>
        </w:rPr>
        <w:t>, SO</w:t>
      </w:r>
      <w:r w:rsidRPr="004C7D30">
        <w:rPr>
          <w:sz w:val="16"/>
          <w:szCs w:val="16"/>
          <w:vertAlign w:val="subscript"/>
        </w:rPr>
        <w:t>2</w:t>
      </w:r>
      <w:r w:rsidRPr="004C7D30">
        <w:rPr>
          <w:sz w:val="16"/>
          <w:szCs w:val="16"/>
        </w:rPr>
        <w:t>, individual metals and PAHs published after the 2005 global update of the WHO air quality guidelines.</w:t>
      </w:r>
    </w:p>
  </w:footnote>
  <w:footnote w:id="7">
    <w:p w:rsidR="0085182E" w:rsidRPr="00B54267" w:rsidRDefault="0085182E" w:rsidP="00953C44">
      <w:pPr>
        <w:pStyle w:val="FootnoteText"/>
        <w:spacing w:after="40" w:line="240" w:lineRule="auto"/>
        <w:rPr>
          <w:sz w:val="16"/>
          <w:szCs w:val="16"/>
        </w:rPr>
      </w:pPr>
      <w:r w:rsidRPr="00400538">
        <w:rPr>
          <w:rStyle w:val="FootnoteReference"/>
          <w:sz w:val="16"/>
          <w:szCs w:val="16"/>
        </w:rPr>
        <w:footnoteRef/>
      </w:r>
      <w:r w:rsidRPr="00400538">
        <w:rPr>
          <w:sz w:val="16"/>
          <w:szCs w:val="16"/>
        </w:rPr>
        <w:t xml:space="preserve"> </w:t>
      </w:r>
      <w:proofErr w:type="spellStart"/>
      <w:proofErr w:type="gramStart"/>
      <w:r w:rsidRPr="00400538">
        <w:rPr>
          <w:sz w:val="16"/>
          <w:szCs w:val="16"/>
        </w:rPr>
        <w:t>enHealth</w:t>
      </w:r>
      <w:proofErr w:type="spellEnd"/>
      <w:proofErr w:type="gramEnd"/>
      <w:r w:rsidRPr="00400538">
        <w:rPr>
          <w:sz w:val="16"/>
          <w:szCs w:val="16"/>
        </w:rPr>
        <w:t xml:space="preserve"> is a standing committee that falls under the auspices of Australian Health Protection Principal Committee (AHPPC). It includes representatives from Commonwealth, </w:t>
      </w:r>
      <w:r>
        <w:rPr>
          <w:sz w:val="16"/>
          <w:szCs w:val="16"/>
        </w:rPr>
        <w:t>s</w:t>
      </w:r>
      <w:r w:rsidRPr="00400538">
        <w:rPr>
          <w:sz w:val="16"/>
          <w:szCs w:val="16"/>
        </w:rPr>
        <w:t xml:space="preserve">tate and </w:t>
      </w:r>
      <w:r>
        <w:rPr>
          <w:sz w:val="16"/>
          <w:szCs w:val="16"/>
        </w:rPr>
        <w:t>t</w:t>
      </w:r>
      <w:r w:rsidRPr="00400538">
        <w:rPr>
          <w:sz w:val="16"/>
          <w:szCs w:val="16"/>
        </w:rPr>
        <w:t>erritory health departments, the New Zealand Ministry of Health, and the National Health and Medical Research Counc</w:t>
      </w:r>
      <w:r>
        <w:rPr>
          <w:sz w:val="16"/>
          <w:szCs w:val="16"/>
        </w:rPr>
        <w:t xml:space="preserve">il. </w:t>
      </w:r>
      <w:proofErr w:type="spellStart"/>
      <w:proofErr w:type="gramStart"/>
      <w:r>
        <w:rPr>
          <w:sz w:val="16"/>
          <w:szCs w:val="16"/>
        </w:rPr>
        <w:t>enHealth</w:t>
      </w:r>
      <w:proofErr w:type="spellEnd"/>
      <w:proofErr w:type="gramEnd"/>
      <w:r>
        <w:rPr>
          <w:sz w:val="16"/>
          <w:szCs w:val="16"/>
        </w:rPr>
        <w:t xml:space="preserve"> provides </w:t>
      </w:r>
      <w:r w:rsidRPr="00400538">
        <w:rPr>
          <w:sz w:val="16"/>
          <w:szCs w:val="16"/>
        </w:rPr>
        <w:t>environmental health p</w:t>
      </w:r>
      <w:r>
        <w:rPr>
          <w:sz w:val="16"/>
          <w:szCs w:val="16"/>
        </w:rPr>
        <w:t xml:space="preserve">olicy advice, implements </w:t>
      </w:r>
      <w:r w:rsidRPr="00400538">
        <w:rPr>
          <w:sz w:val="16"/>
          <w:szCs w:val="16"/>
        </w:rPr>
        <w:t xml:space="preserve">the National Environmental Health Strategy, </w:t>
      </w:r>
      <w:r>
        <w:rPr>
          <w:sz w:val="16"/>
          <w:szCs w:val="16"/>
        </w:rPr>
        <w:t>consults</w:t>
      </w:r>
      <w:r w:rsidRPr="00B54267">
        <w:rPr>
          <w:sz w:val="16"/>
          <w:szCs w:val="16"/>
        </w:rPr>
        <w:t xml:space="preserve"> with key stakeholders</w:t>
      </w:r>
      <w:r>
        <w:rPr>
          <w:sz w:val="16"/>
          <w:szCs w:val="16"/>
        </w:rPr>
        <w:t>, and develops and coordinates</w:t>
      </w:r>
      <w:r w:rsidRPr="00B54267">
        <w:rPr>
          <w:sz w:val="16"/>
          <w:szCs w:val="16"/>
        </w:rPr>
        <w:t xml:space="preserve"> research, information and practical resources on environmental health matters at a national level.</w:t>
      </w:r>
    </w:p>
  </w:footnote>
  <w:footnote w:id="8">
    <w:p w:rsidR="0085182E" w:rsidRDefault="0085182E" w:rsidP="00953C44">
      <w:pPr>
        <w:pStyle w:val="FootnoteText"/>
        <w:spacing w:after="0"/>
      </w:pPr>
      <w:r w:rsidRPr="00B54267">
        <w:rPr>
          <w:rStyle w:val="FootnoteReference"/>
          <w:sz w:val="16"/>
          <w:szCs w:val="16"/>
        </w:rPr>
        <w:footnoteRef/>
      </w:r>
      <w:r w:rsidRPr="00B54267">
        <w:rPr>
          <w:sz w:val="16"/>
          <w:szCs w:val="16"/>
        </w:rPr>
        <w:t xml:space="preserve"> </w:t>
      </w:r>
      <w:r>
        <w:rPr>
          <w:sz w:val="16"/>
          <w:szCs w:val="16"/>
        </w:rPr>
        <w:t>Stated in a l</w:t>
      </w:r>
      <w:r w:rsidRPr="00013124">
        <w:rPr>
          <w:sz w:val="16"/>
          <w:szCs w:val="16"/>
        </w:rPr>
        <w:t xml:space="preserve">etter from </w:t>
      </w:r>
      <w:proofErr w:type="spellStart"/>
      <w:r w:rsidRPr="00013124">
        <w:rPr>
          <w:sz w:val="16"/>
          <w:szCs w:val="16"/>
        </w:rPr>
        <w:t>enHealth</w:t>
      </w:r>
      <w:proofErr w:type="spellEnd"/>
      <w:r w:rsidRPr="00013124">
        <w:rPr>
          <w:sz w:val="16"/>
          <w:szCs w:val="16"/>
        </w:rPr>
        <w:t xml:space="preserve"> to Mr Barry </w:t>
      </w:r>
      <w:proofErr w:type="spellStart"/>
      <w:r w:rsidRPr="00013124">
        <w:rPr>
          <w:sz w:val="16"/>
          <w:szCs w:val="16"/>
        </w:rPr>
        <w:t>Buffier</w:t>
      </w:r>
      <w:proofErr w:type="spellEnd"/>
      <w:r w:rsidRPr="00013124">
        <w:rPr>
          <w:sz w:val="16"/>
          <w:szCs w:val="16"/>
        </w:rPr>
        <w:t xml:space="preserve"> of th</w:t>
      </w:r>
      <w:r>
        <w:rPr>
          <w:sz w:val="16"/>
          <w:szCs w:val="16"/>
        </w:rPr>
        <w:t>e Air Thematic Oversight Group on 4 October 2013.</w:t>
      </w:r>
    </w:p>
  </w:footnote>
  <w:footnote w:id="9">
    <w:p w:rsidR="0085182E" w:rsidRPr="00DC5EBC" w:rsidRDefault="0085182E" w:rsidP="00014CE1">
      <w:pPr>
        <w:pStyle w:val="FootnoteText"/>
        <w:spacing w:after="0" w:line="240" w:lineRule="auto"/>
        <w:rPr>
          <w:sz w:val="16"/>
          <w:szCs w:val="16"/>
        </w:rPr>
      </w:pPr>
      <w:r w:rsidRPr="00DC5EBC">
        <w:rPr>
          <w:rStyle w:val="FootnoteReference"/>
          <w:sz w:val="16"/>
          <w:szCs w:val="16"/>
        </w:rPr>
        <w:footnoteRef/>
      </w:r>
      <w:r w:rsidRPr="00DC5EBC">
        <w:rPr>
          <w:sz w:val="16"/>
          <w:szCs w:val="16"/>
        </w:rPr>
        <w:t xml:space="preserve"> The concept of the ‘</w:t>
      </w:r>
      <w:proofErr w:type="spellStart"/>
      <w:r w:rsidRPr="00DC5EBC">
        <w:rPr>
          <w:sz w:val="16"/>
          <w:szCs w:val="16"/>
        </w:rPr>
        <w:t>airshed</w:t>
      </w:r>
      <w:proofErr w:type="spellEnd"/>
      <w:r w:rsidRPr="00DC5EBC">
        <w:rPr>
          <w:sz w:val="16"/>
          <w:szCs w:val="16"/>
        </w:rPr>
        <w:t xml:space="preserve">’ is used frequently in the context of air quality management in Australia. An </w:t>
      </w:r>
      <w:proofErr w:type="spellStart"/>
      <w:r w:rsidRPr="00DC5EBC">
        <w:rPr>
          <w:sz w:val="16"/>
          <w:szCs w:val="16"/>
        </w:rPr>
        <w:t>airshed</w:t>
      </w:r>
      <w:proofErr w:type="spellEnd"/>
      <w:r w:rsidRPr="00DC5EBC">
        <w:rPr>
          <w:sz w:val="16"/>
          <w:szCs w:val="16"/>
        </w:rPr>
        <w:t xml:space="preserve"> is</w:t>
      </w:r>
      <w:r>
        <w:rPr>
          <w:sz w:val="16"/>
          <w:szCs w:val="16"/>
        </w:rPr>
        <w:t xml:space="preserve"> the</w:t>
      </w:r>
      <w:r w:rsidRPr="00DC5EBC">
        <w:rPr>
          <w:sz w:val="16"/>
          <w:szCs w:val="16"/>
        </w:rPr>
        <w:t xml:space="preserve"> body of air</w:t>
      </w:r>
      <w:r>
        <w:rPr>
          <w:sz w:val="16"/>
          <w:szCs w:val="16"/>
        </w:rPr>
        <w:t xml:space="preserve"> that lies above a particular geographic area and behaves in a broadly coherent way with respect to the dispersion of air pollutants. </w:t>
      </w:r>
      <w:proofErr w:type="spellStart"/>
      <w:r>
        <w:rPr>
          <w:sz w:val="16"/>
          <w:szCs w:val="16"/>
        </w:rPr>
        <w:t>Airsheds</w:t>
      </w:r>
      <w:proofErr w:type="spellEnd"/>
      <w:r>
        <w:rPr>
          <w:sz w:val="16"/>
          <w:szCs w:val="16"/>
        </w:rPr>
        <w:t xml:space="preserve"> are typically </w:t>
      </w:r>
      <w:r w:rsidRPr="00DC5EBC">
        <w:rPr>
          <w:sz w:val="16"/>
          <w:szCs w:val="16"/>
        </w:rPr>
        <w:t>bounded b</w:t>
      </w:r>
      <w:r>
        <w:rPr>
          <w:sz w:val="16"/>
          <w:szCs w:val="16"/>
        </w:rPr>
        <w:t xml:space="preserve">y meteorology and topography, often leading to the containment of air pollutants. However, pollutants having a long atmospheric lifetime can be transported between different </w:t>
      </w:r>
      <w:proofErr w:type="spellStart"/>
      <w:r>
        <w:rPr>
          <w:sz w:val="16"/>
          <w:szCs w:val="16"/>
        </w:rPr>
        <w:t>airsheds</w:t>
      </w:r>
      <w:proofErr w:type="spellEnd"/>
      <w:r>
        <w:rPr>
          <w:sz w:val="16"/>
          <w:szCs w:val="16"/>
        </w:rPr>
        <w:t>.</w:t>
      </w:r>
    </w:p>
  </w:footnote>
  <w:footnote w:id="10">
    <w:p w:rsidR="0085182E" w:rsidRPr="00D53F43" w:rsidRDefault="0085182E" w:rsidP="00D53F43">
      <w:pPr>
        <w:pStyle w:val="FootnoteText"/>
        <w:spacing w:after="0" w:line="240" w:lineRule="auto"/>
        <w:rPr>
          <w:sz w:val="16"/>
          <w:szCs w:val="16"/>
        </w:rPr>
      </w:pPr>
      <w:r w:rsidRPr="00D53F43">
        <w:rPr>
          <w:rStyle w:val="FootnoteReference"/>
          <w:sz w:val="16"/>
          <w:szCs w:val="16"/>
        </w:rPr>
        <w:footnoteRef/>
      </w:r>
      <w:r w:rsidRPr="00D53F43">
        <w:rPr>
          <w:sz w:val="16"/>
          <w:szCs w:val="16"/>
        </w:rPr>
        <w:t xml:space="preserve"> </w:t>
      </w:r>
      <w:r>
        <w:rPr>
          <w:sz w:val="16"/>
          <w:szCs w:val="16"/>
        </w:rPr>
        <w:t>P</w:t>
      </w:r>
      <w:r w:rsidRPr="009A7467">
        <w:rPr>
          <w:sz w:val="16"/>
          <w:szCs w:val="16"/>
        </w:rPr>
        <w:t>erformance monitoring stations should be sited, to the extent practicable, in acco</w:t>
      </w:r>
      <w:r>
        <w:rPr>
          <w:sz w:val="16"/>
          <w:szCs w:val="16"/>
        </w:rPr>
        <w:t>rdance with the requirements of</w:t>
      </w:r>
      <w:r w:rsidRPr="009A7467">
        <w:rPr>
          <w:sz w:val="16"/>
          <w:szCs w:val="16"/>
        </w:rPr>
        <w:t xml:space="preserve"> Australian Standard AS2922</w:t>
      </w:r>
      <w:r>
        <w:rPr>
          <w:sz w:val="16"/>
          <w:szCs w:val="16"/>
        </w:rPr>
        <w:t>–</w:t>
      </w:r>
      <w:r w:rsidRPr="009A7467">
        <w:rPr>
          <w:sz w:val="16"/>
          <w:szCs w:val="16"/>
        </w:rPr>
        <w:t>1987(Ambient Air</w:t>
      </w:r>
      <w:r>
        <w:rPr>
          <w:sz w:val="16"/>
          <w:szCs w:val="16"/>
        </w:rPr>
        <w:t xml:space="preserve"> – </w:t>
      </w:r>
      <w:r w:rsidRPr="009A7467">
        <w:rPr>
          <w:sz w:val="16"/>
          <w:szCs w:val="16"/>
        </w:rPr>
        <w:t>Guide for Siting of Sampling Units).</w:t>
      </w:r>
    </w:p>
  </w:footnote>
  <w:footnote w:id="11">
    <w:p w:rsidR="0085182E" w:rsidRPr="0018254A" w:rsidRDefault="0085182E" w:rsidP="00E33B69">
      <w:pPr>
        <w:pStyle w:val="FootnoteText"/>
        <w:spacing w:after="40" w:line="240" w:lineRule="auto"/>
        <w:rPr>
          <w:sz w:val="16"/>
          <w:szCs w:val="16"/>
        </w:rPr>
      </w:pPr>
      <w:r w:rsidRPr="0018254A">
        <w:rPr>
          <w:rStyle w:val="FootnoteReference"/>
          <w:sz w:val="16"/>
          <w:szCs w:val="16"/>
        </w:rPr>
        <w:footnoteRef/>
      </w:r>
      <w:r w:rsidRPr="0018254A">
        <w:rPr>
          <w:sz w:val="16"/>
          <w:szCs w:val="16"/>
        </w:rPr>
        <w:t xml:space="preserve"> Not demonstrated relates to whether there were sufficient data available for a pollutant at the monitoring station to enable an assessment.</w:t>
      </w:r>
    </w:p>
  </w:footnote>
  <w:footnote w:id="12">
    <w:p w:rsidR="0085182E" w:rsidRPr="000C0713" w:rsidRDefault="0085182E" w:rsidP="000C0713">
      <w:pPr>
        <w:pStyle w:val="FootnoteText"/>
        <w:spacing w:after="40" w:line="240" w:lineRule="auto"/>
        <w:rPr>
          <w:sz w:val="16"/>
          <w:szCs w:val="16"/>
        </w:rPr>
      </w:pPr>
      <w:r w:rsidRPr="000C0713">
        <w:rPr>
          <w:rStyle w:val="FootnoteReference"/>
          <w:sz w:val="16"/>
          <w:szCs w:val="16"/>
        </w:rPr>
        <w:footnoteRef/>
      </w:r>
      <w:r w:rsidRPr="000C0713">
        <w:rPr>
          <w:sz w:val="16"/>
          <w:szCs w:val="16"/>
        </w:rPr>
        <w:t xml:space="preserve"> </w:t>
      </w:r>
      <w:r>
        <w:rPr>
          <w:sz w:val="16"/>
          <w:szCs w:val="16"/>
        </w:rPr>
        <w:t>The NEPM review did note</w:t>
      </w:r>
      <w:r w:rsidRPr="000C0713">
        <w:rPr>
          <w:sz w:val="16"/>
          <w:szCs w:val="16"/>
        </w:rPr>
        <w:t xml:space="preserve"> that areas impacted by industrial emissions could be included as part of a population exposure monitoring regime</w:t>
      </w:r>
      <w:r>
        <w:rPr>
          <w:sz w:val="16"/>
          <w:szCs w:val="16"/>
        </w:rPr>
        <w:t>,</w:t>
      </w:r>
      <w:r w:rsidRPr="000C0713">
        <w:rPr>
          <w:sz w:val="16"/>
          <w:szCs w:val="16"/>
        </w:rPr>
        <w:t xml:space="preserve"> as the general population also </w:t>
      </w:r>
      <w:r>
        <w:rPr>
          <w:sz w:val="16"/>
          <w:szCs w:val="16"/>
        </w:rPr>
        <w:t>includes these sub-populations.</w:t>
      </w:r>
    </w:p>
  </w:footnote>
  <w:footnote w:id="13">
    <w:p w:rsidR="0085182E" w:rsidRPr="007A0C4F" w:rsidRDefault="0085182E" w:rsidP="00A54686">
      <w:pPr>
        <w:keepLines/>
        <w:spacing w:after="40" w:line="240" w:lineRule="auto"/>
        <w:rPr>
          <w:sz w:val="16"/>
          <w:szCs w:val="16"/>
        </w:rPr>
      </w:pPr>
      <w:r w:rsidRPr="007A0C4F">
        <w:rPr>
          <w:rStyle w:val="FootnoteReference"/>
          <w:sz w:val="16"/>
          <w:szCs w:val="16"/>
        </w:rPr>
        <w:footnoteRef/>
      </w:r>
      <w:r w:rsidRPr="007A0C4F">
        <w:rPr>
          <w:sz w:val="16"/>
          <w:szCs w:val="16"/>
        </w:rPr>
        <w:t xml:space="preserve"> </w:t>
      </w:r>
      <w:r w:rsidRPr="00A54686">
        <w:rPr>
          <w:spacing w:val="-3"/>
          <w:sz w:val="16"/>
          <w:szCs w:val="16"/>
        </w:rPr>
        <w:t>A percentile is a value below which a given percentage of observations in a sample fall. For example, the 90</w:t>
      </w:r>
      <w:r w:rsidRPr="00A54686">
        <w:rPr>
          <w:spacing w:val="-3"/>
          <w:sz w:val="16"/>
          <w:szCs w:val="16"/>
          <w:vertAlign w:val="superscript"/>
        </w:rPr>
        <w:t>th</w:t>
      </w:r>
      <w:r w:rsidRPr="00A54686">
        <w:rPr>
          <w:spacing w:val="-3"/>
          <w:sz w:val="16"/>
          <w:szCs w:val="16"/>
        </w:rPr>
        <w:t xml:space="preserve"> percentile is the value below which 90% of the observations may be found. </w:t>
      </w:r>
      <w:r w:rsidRPr="00A54686">
        <w:rPr>
          <w:spacing w:val="-3"/>
          <w:sz w:val="16"/>
          <w:szCs w:val="16"/>
          <w:lang w:eastAsia="en-US"/>
        </w:rPr>
        <w:t>The 50</w:t>
      </w:r>
      <w:r w:rsidRPr="00A54686">
        <w:rPr>
          <w:spacing w:val="-3"/>
          <w:sz w:val="16"/>
          <w:szCs w:val="16"/>
          <w:vertAlign w:val="superscript"/>
          <w:lang w:eastAsia="en-US"/>
        </w:rPr>
        <w:t>th</w:t>
      </w:r>
      <w:r w:rsidRPr="00A54686">
        <w:rPr>
          <w:spacing w:val="-3"/>
          <w:sz w:val="16"/>
          <w:szCs w:val="16"/>
          <w:lang w:eastAsia="en-US"/>
        </w:rPr>
        <w:t xml:space="preserve"> percentile is the same as the median. In terms of 24-hour PM concentrations, the sample for a given year consists of 365 values (or 366 in a leap year). Given that 98% of the 24-hour values fall below the 98</w:t>
      </w:r>
      <w:r w:rsidRPr="00A54686">
        <w:rPr>
          <w:spacing w:val="-3"/>
          <w:sz w:val="16"/>
          <w:szCs w:val="16"/>
          <w:vertAlign w:val="superscript"/>
          <w:lang w:eastAsia="en-US"/>
        </w:rPr>
        <w:t>th</w:t>
      </w:r>
      <w:r w:rsidRPr="00A54686">
        <w:rPr>
          <w:spacing w:val="-3"/>
          <w:sz w:val="16"/>
          <w:szCs w:val="16"/>
          <w:lang w:eastAsia="en-US"/>
        </w:rPr>
        <w:t xml:space="preserve"> percentile value, in a standard year this means that 357.7 (i.e. 0.98 x 365) values fall below the 98</w:t>
      </w:r>
      <w:r w:rsidRPr="00A54686">
        <w:rPr>
          <w:spacing w:val="-3"/>
          <w:sz w:val="16"/>
          <w:szCs w:val="16"/>
          <w:vertAlign w:val="superscript"/>
          <w:lang w:eastAsia="en-US"/>
        </w:rPr>
        <w:t>th</w:t>
      </w:r>
      <w:r w:rsidRPr="00A54686">
        <w:rPr>
          <w:spacing w:val="-3"/>
          <w:sz w:val="16"/>
          <w:szCs w:val="16"/>
          <w:lang w:eastAsia="en-US"/>
        </w:rPr>
        <w:t xml:space="preserve"> percentile value. If an air quality standard is set as the 98</w:t>
      </w:r>
      <w:r w:rsidRPr="00A54686">
        <w:rPr>
          <w:spacing w:val="-3"/>
          <w:sz w:val="16"/>
          <w:szCs w:val="16"/>
          <w:vertAlign w:val="superscript"/>
          <w:lang w:eastAsia="en-US"/>
        </w:rPr>
        <w:t>th</w:t>
      </w:r>
      <w:r w:rsidRPr="00A54686">
        <w:rPr>
          <w:spacing w:val="-3"/>
          <w:sz w:val="16"/>
          <w:szCs w:val="16"/>
          <w:lang w:eastAsia="en-US"/>
        </w:rPr>
        <w:t xml:space="preserve"> percentile of the 24-hour values, this means that 357.7 values must be below that value. In other words, 7.3 exceedance days are permitted. It is not practical to consider fractions of a day in this context, however and therefore this would be rounded down to 7 days.</w:t>
      </w:r>
    </w:p>
  </w:footnote>
  <w:footnote w:id="14">
    <w:p w:rsidR="0085182E" w:rsidRDefault="0085182E" w:rsidP="004B5F6E">
      <w:pPr>
        <w:pStyle w:val="FootnoteText"/>
        <w:spacing w:after="40" w:line="240" w:lineRule="auto"/>
      </w:pPr>
      <w:r>
        <w:rPr>
          <w:rStyle w:val="FootnoteReference"/>
        </w:rPr>
        <w:footnoteRef/>
      </w:r>
      <w:r>
        <w:t xml:space="preserve"> </w:t>
      </w:r>
      <w:r w:rsidRPr="001D709E">
        <w:rPr>
          <w:sz w:val="16"/>
          <w:szCs w:val="16"/>
        </w:rPr>
        <w:t>These secondary standards are not to be confused with secondary PM.</w:t>
      </w:r>
    </w:p>
  </w:footnote>
  <w:footnote w:id="15">
    <w:p w:rsidR="0085182E" w:rsidRPr="00B43F1B" w:rsidRDefault="0085182E" w:rsidP="00B43F1B">
      <w:pPr>
        <w:pStyle w:val="FootnoteText"/>
        <w:spacing w:after="40" w:line="240" w:lineRule="auto"/>
        <w:rPr>
          <w:sz w:val="16"/>
          <w:szCs w:val="16"/>
        </w:rPr>
      </w:pPr>
      <w:r w:rsidRPr="00B43F1B">
        <w:rPr>
          <w:rStyle w:val="FootnoteReference"/>
          <w:sz w:val="16"/>
          <w:szCs w:val="16"/>
        </w:rPr>
        <w:footnoteRef/>
      </w:r>
      <w:r w:rsidRPr="00B43F1B">
        <w:rPr>
          <w:sz w:val="16"/>
          <w:szCs w:val="16"/>
        </w:rPr>
        <w:t xml:space="preserve"> European air quality policy is currently undergoing a thorough review to assess its effectiveness and future direction</w:t>
      </w:r>
      <w:r>
        <w:rPr>
          <w:sz w:val="16"/>
          <w:szCs w:val="16"/>
        </w:rPr>
        <w:t xml:space="preserve"> (see</w:t>
      </w:r>
      <w:r w:rsidRPr="00B43F1B">
        <w:rPr>
          <w:sz w:val="16"/>
          <w:szCs w:val="16"/>
        </w:rPr>
        <w:t xml:space="preserve"> </w:t>
      </w:r>
      <w:r w:rsidRPr="00B43F1B">
        <w:rPr>
          <w:color w:val="0070C0"/>
          <w:sz w:val="16"/>
          <w:szCs w:val="16"/>
        </w:rPr>
        <w:t>http://ec.europa.eu/environment/air/review_air_policy.htm</w:t>
      </w:r>
      <w:r>
        <w:rPr>
          <w:color w:val="0070C0"/>
          <w:sz w:val="16"/>
          <w:szCs w:val="16"/>
        </w:rPr>
        <w:t>).</w:t>
      </w:r>
    </w:p>
  </w:footnote>
  <w:footnote w:id="16">
    <w:p w:rsidR="0085182E" w:rsidRDefault="0085182E" w:rsidP="00D6640D">
      <w:pPr>
        <w:pStyle w:val="FootnoteText"/>
        <w:spacing w:after="40" w:line="240" w:lineRule="auto"/>
      </w:pPr>
      <w:r w:rsidRPr="009B09E8">
        <w:rPr>
          <w:rStyle w:val="FootnoteReference"/>
          <w:sz w:val="16"/>
          <w:szCs w:val="16"/>
        </w:rPr>
        <w:footnoteRef/>
      </w:r>
      <w:r w:rsidRPr="009B09E8">
        <w:rPr>
          <w:sz w:val="16"/>
          <w:szCs w:val="16"/>
        </w:rPr>
        <w:t xml:space="preserve"> PM</w:t>
      </w:r>
      <w:r w:rsidRPr="009B09E8">
        <w:rPr>
          <w:sz w:val="16"/>
          <w:szCs w:val="16"/>
          <w:vertAlign w:val="subscript"/>
        </w:rPr>
        <w:t>10</w:t>
      </w:r>
      <w:r w:rsidRPr="009B09E8">
        <w:rPr>
          <w:sz w:val="16"/>
          <w:szCs w:val="16"/>
        </w:rPr>
        <w:t xml:space="preserve"> concentrations in Australian cities are below the standards for most of the time</w:t>
      </w:r>
      <w:r>
        <w:rPr>
          <w:sz w:val="16"/>
          <w:szCs w:val="16"/>
        </w:rPr>
        <w:t>;</w:t>
      </w:r>
      <w:r w:rsidRPr="009B09E8">
        <w:rPr>
          <w:sz w:val="16"/>
          <w:szCs w:val="16"/>
        </w:rPr>
        <w:t xml:space="preserve"> </w:t>
      </w:r>
      <w:r>
        <w:rPr>
          <w:sz w:val="16"/>
          <w:szCs w:val="16"/>
        </w:rPr>
        <w:t>h</w:t>
      </w:r>
      <w:r w:rsidRPr="009B09E8">
        <w:rPr>
          <w:sz w:val="16"/>
          <w:szCs w:val="16"/>
        </w:rPr>
        <w:t>igh observed PM concentrations are typically a resu</w:t>
      </w:r>
      <w:r>
        <w:rPr>
          <w:sz w:val="16"/>
          <w:szCs w:val="16"/>
        </w:rPr>
        <w:t>lt of bush fires an</w:t>
      </w:r>
      <w:r w:rsidRPr="0012534B">
        <w:rPr>
          <w:sz w:val="16"/>
          <w:szCs w:val="16"/>
        </w:rPr>
        <w:t>d dust storms</w:t>
      </w:r>
      <w:r w:rsidRPr="0012534B">
        <w:rPr>
          <w:b/>
          <w:sz w:val="16"/>
          <w:szCs w:val="16"/>
        </w:rPr>
        <w:t xml:space="preserve"> (DSEWPC 2011).</w:t>
      </w:r>
    </w:p>
  </w:footnote>
  <w:footnote w:id="17">
    <w:p w:rsidR="0085182E" w:rsidRPr="009B09E8" w:rsidRDefault="0085182E" w:rsidP="00810588">
      <w:pPr>
        <w:pStyle w:val="FootnoteText"/>
        <w:spacing w:after="0" w:line="240" w:lineRule="auto"/>
        <w:rPr>
          <w:sz w:val="16"/>
          <w:szCs w:val="16"/>
        </w:rPr>
      </w:pPr>
      <w:r w:rsidRPr="009B09E8">
        <w:rPr>
          <w:rStyle w:val="FootnoteReference"/>
          <w:sz w:val="16"/>
          <w:szCs w:val="16"/>
        </w:rPr>
        <w:footnoteRef/>
      </w:r>
      <w:r w:rsidRPr="009B09E8">
        <w:rPr>
          <w:sz w:val="16"/>
          <w:szCs w:val="16"/>
        </w:rPr>
        <w:t xml:space="preserve"> Population exposure refers to the exposure of the population as a whole to ambient air pollution, rather than the personal exposure of individuals. Population exposure is especially important for non-threshold pollutants such as PM</w:t>
      </w:r>
      <w:r w:rsidRPr="009B09E8">
        <w:rPr>
          <w:sz w:val="16"/>
          <w:szCs w:val="16"/>
          <w:vertAlign w:val="subscript"/>
        </w:rPr>
        <w:t>10</w:t>
      </w:r>
      <w:r w:rsidRPr="009B09E8">
        <w:rPr>
          <w:sz w:val="16"/>
          <w:szCs w:val="16"/>
        </w:rPr>
        <w:t xml:space="preserve"> and PM</w:t>
      </w:r>
      <w:r w:rsidRPr="009B09E8">
        <w:rPr>
          <w:sz w:val="16"/>
          <w:szCs w:val="16"/>
          <w:vertAlign w:val="subscript"/>
        </w:rPr>
        <w:t>2.5</w:t>
      </w:r>
      <w:r w:rsidRPr="009B09E8">
        <w:rPr>
          <w:sz w:val="16"/>
          <w:szCs w:val="16"/>
        </w:rPr>
        <w:t>.</w:t>
      </w:r>
    </w:p>
  </w:footnote>
  <w:footnote w:id="18">
    <w:p w:rsidR="0085182E" w:rsidRPr="000A380F" w:rsidRDefault="0085182E" w:rsidP="00DB5D5F">
      <w:pPr>
        <w:pStyle w:val="FootnoteText"/>
        <w:spacing w:after="40" w:line="240" w:lineRule="auto"/>
        <w:rPr>
          <w:sz w:val="16"/>
          <w:szCs w:val="16"/>
          <w:lang w:val="en-GB"/>
        </w:rPr>
      </w:pPr>
      <w:r w:rsidRPr="000A380F">
        <w:rPr>
          <w:rStyle w:val="FootnoteReference"/>
          <w:sz w:val="16"/>
          <w:szCs w:val="16"/>
        </w:rPr>
        <w:footnoteRef/>
      </w:r>
      <w:r w:rsidRPr="000A380F">
        <w:rPr>
          <w:sz w:val="16"/>
          <w:szCs w:val="16"/>
        </w:rPr>
        <w:t xml:space="preserve"> </w:t>
      </w:r>
      <w:r w:rsidRPr="000A380F">
        <w:rPr>
          <w:sz w:val="16"/>
          <w:szCs w:val="16"/>
          <w:lang w:val="en-GB"/>
        </w:rPr>
        <w:t>For example, the 2010 AEI is calculated as the three-year running mean concentration averaged over all sampling points for the years 2008, 2009 and 2010.</w:t>
      </w:r>
    </w:p>
  </w:footnote>
  <w:footnote w:id="19">
    <w:p w:rsidR="0085182E" w:rsidRPr="00AF3A0F" w:rsidRDefault="0085182E" w:rsidP="00DB5D5F">
      <w:pPr>
        <w:pStyle w:val="FootnoteText"/>
        <w:spacing w:after="40" w:line="240" w:lineRule="auto"/>
        <w:rPr>
          <w:sz w:val="16"/>
          <w:szCs w:val="16"/>
          <w:lang w:val="en-GB"/>
        </w:rPr>
      </w:pPr>
      <w:r w:rsidRPr="000A380F">
        <w:rPr>
          <w:rStyle w:val="FootnoteReference"/>
          <w:sz w:val="16"/>
          <w:szCs w:val="16"/>
        </w:rPr>
        <w:footnoteRef/>
      </w:r>
      <w:r w:rsidRPr="000A380F">
        <w:rPr>
          <w:sz w:val="16"/>
          <w:szCs w:val="16"/>
        </w:rPr>
        <w:t xml:space="preserve"> </w:t>
      </w:r>
      <w:r w:rsidRPr="000A380F">
        <w:rPr>
          <w:sz w:val="16"/>
          <w:szCs w:val="16"/>
          <w:lang w:val="en-GB"/>
        </w:rPr>
        <w:t xml:space="preserve">Targets within EU Directives have a different </w:t>
      </w:r>
      <w:r>
        <w:rPr>
          <w:sz w:val="16"/>
          <w:szCs w:val="16"/>
          <w:lang w:val="en-GB"/>
        </w:rPr>
        <w:t>legal status from limit values.</w:t>
      </w:r>
      <w:r w:rsidRPr="000A380F">
        <w:rPr>
          <w:sz w:val="16"/>
          <w:szCs w:val="16"/>
          <w:lang w:val="en-GB"/>
        </w:rPr>
        <w:t xml:space="preserve"> Limit values are legally enforceable upon Member States, whereas there is no mandatory requirement to comply</w:t>
      </w:r>
      <w:r>
        <w:rPr>
          <w:sz w:val="16"/>
          <w:szCs w:val="16"/>
          <w:lang w:val="en-GB"/>
        </w:rPr>
        <w:t xml:space="preserve"> with target v</w:t>
      </w:r>
      <w:r w:rsidRPr="000A380F">
        <w:rPr>
          <w:sz w:val="16"/>
          <w:szCs w:val="16"/>
          <w:lang w:val="en-GB"/>
        </w:rPr>
        <w:t>alues.</w:t>
      </w:r>
    </w:p>
  </w:footnote>
  <w:footnote w:id="20">
    <w:p w:rsidR="0085182E" w:rsidRPr="00DB5D5F" w:rsidRDefault="0085182E" w:rsidP="00DB5D5F">
      <w:pPr>
        <w:pStyle w:val="FootnoteText"/>
        <w:spacing w:after="0" w:line="240" w:lineRule="auto"/>
        <w:rPr>
          <w:sz w:val="16"/>
          <w:szCs w:val="16"/>
        </w:rPr>
      </w:pPr>
      <w:r w:rsidRPr="00DB5D5F">
        <w:rPr>
          <w:rStyle w:val="FootnoteReference"/>
          <w:sz w:val="16"/>
          <w:szCs w:val="16"/>
        </w:rPr>
        <w:footnoteRef/>
      </w:r>
      <w:r w:rsidRPr="00DB5D5F">
        <w:rPr>
          <w:sz w:val="16"/>
          <w:szCs w:val="16"/>
        </w:rPr>
        <w:t xml:space="preserve"> Defra: UK Department for Environment, Food and Rural Affairs/IGCB: UK Interdepartmental Group on Costs and Benefits</w:t>
      </w:r>
    </w:p>
  </w:footnote>
  <w:footnote w:id="21">
    <w:p w:rsidR="0085182E" w:rsidRPr="00744747" w:rsidRDefault="0085182E" w:rsidP="00744747">
      <w:pPr>
        <w:pStyle w:val="FootnoteText"/>
        <w:spacing w:after="40" w:line="240" w:lineRule="auto"/>
        <w:rPr>
          <w:sz w:val="16"/>
          <w:szCs w:val="16"/>
        </w:rPr>
      </w:pPr>
      <w:r w:rsidRPr="00744747">
        <w:rPr>
          <w:rStyle w:val="FootnoteReference"/>
          <w:sz w:val="16"/>
          <w:szCs w:val="16"/>
        </w:rPr>
        <w:footnoteRef/>
      </w:r>
      <w:r w:rsidRPr="00744747">
        <w:rPr>
          <w:sz w:val="16"/>
          <w:szCs w:val="16"/>
        </w:rPr>
        <w:t xml:space="preserve"> The main requirement was to extend the time period for the Victoria projections from 2030 to 2036.</w:t>
      </w:r>
    </w:p>
  </w:footnote>
  <w:footnote w:id="22">
    <w:p w:rsidR="0085182E" w:rsidRPr="009F3C3E" w:rsidRDefault="0085182E" w:rsidP="006B4A70">
      <w:pPr>
        <w:pStyle w:val="FootnoteText"/>
        <w:spacing w:after="0" w:line="240" w:lineRule="auto"/>
        <w:rPr>
          <w:sz w:val="16"/>
          <w:szCs w:val="16"/>
        </w:rPr>
      </w:pPr>
      <w:r w:rsidRPr="009F3C3E">
        <w:rPr>
          <w:rStyle w:val="FootnoteReference"/>
          <w:sz w:val="16"/>
          <w:szCs w:val="16"/>
        </w:rPr>
        <w:footnoteRef/>
      </w:r>
      <w:r w:rsidRPr="009F3C3E">
        <w:rPr>
          <w:sz w:val="16"/>
          <w:szCs w:val="16"/>
        </w:rPr>
        <w:t xml:space="preserve"> </w:t>
      </w:r>
      <w:r w:rsidRPr="009F3C3E">
        <w:rPr>
          <w:color w:val="0070C0"/>
          <w:sz w:val="16"/>
          <w:szCs w:val="16"/>
        </w:rPr>
        <w:t>http://www.abs.gov.au/AUSSTATS/abs@.nsf/DetailsPage/5220.02010-11</w:t>
      </w:r>
    </w:p>
  </w:footnote>
  <w:footnote w:id="23">
    <w:p w:rsidR="0085182E" w:rsidRPr="00CE7705" w:rsidRDefault="0085182E" w:rsidP="00CE7705">
      <w:pPr>
        <w:pStyle w:val="FootnoteText"/>
        <w:spacing w:after="40" w:line="240" w:lineRule="auto"/>
        <w:rPr>
          <w:sz w:val="16"/>
          <w:szCs w:val="16"/>
        </w:rPr>
      </w:pPr>
      <w:r w:rsidRPr="00CE7705">
        <w:rPr>
          <w:rStyle w:val="FootnoteReference"/>
          <w:sz w:val="16"/>
          <w:szCs w:val="16"/>
        </w:rPr>
        <w:footnoteRef/>
      </w:r>
      <w:r w:rsidRPr="00CE7705">
        <w:rPr>
          <w:sz w:val="16"/>
          <w:szCs w:val="16"/>
        </w:rPr>
        <w:t xml:space="preserve"> Different conclusions might be drawn if the form of the standard involved allowed exceedances.</w:t>
      </w:r>
    </w:p>
  </w:footnote>
  <w:footnote w:id="24">
    <w:p w:rsidR="0085182E" w:rsidRPr="008C0E5D" w:rsidRDefault="0085182E" w:rsidP="00915100">
      <w:pPr>
        <w:pStyle w:val="FootnoteText"/>
        <w:spacing w:after="40" w:line="240" w:lineRule="auto"/>
        <w:rPr>
          <w:sz w:val="16"/>
          <w:szCs w:val="16"/>
        </w:rPr>
      </w:pPr>
      <w:r w:rsidRPr="008C0E5D">
        <w:rPr>
          <w:rStyle w:val="FootnoteReference"/>
          <w:sz w:val="16"/>
          <w:szCs w:val="16"/>
        </w:rPr>
        <w:footnoteRef/>
      </w:r>
      <w:r>
        <w:rPr>
          <w:color w:val="0070C0"/>
          <w:spacing w:val="-10"/>
          <w:sz w:val="16"/>
          <w:szCs w:val="16"/>
        </w:rPr>
        <w:t xml:space="preserve"> </w:t>
      </w:r>
      <w:r w:rsidRPr="002A2116">
        <w:rPr>
          <w:color w:val="0070C0"/>
          <w:spacing w:val="-10"/>
          <w:sz w:val="16"/>
          <w:szCs w:val="16"/>
        </w:rPr>
        <w:t>http://www.ansto.gov.au/discovering_ansto/what_does_ansto_do/live_weather_and_pollution_data/aerosol_sampling_program</w:t>
      </w:r>
    </w:p>
  </w:footnote>
  <w:footnote w:id="25">
    <w:p w:rsidR="0085182E" w:rsidRPr="002E6900" w:rsidRDefault="0085182E" w:rsidP="002D146E">
      <w:pPr>
        <w:pStyle w:val="FootnoteText"/>
        <w:spacing w:after="0" w:line="240" w:lineRule="auto"/>
        <w:rPr>
          <w:sz w:val="16"/>
          <w:szCs w:val="16"/>
        </w:rPr>
      </w:pPr>
      <w:r w:rsidRPr="002E6900">
        <w:rPr>
          <w:rStyle w:val="FootnoteReference"/>
          <w:sz w:val="16"/>
          <w:szCs w:val="16"/>
        </w:rPr>
        <w:footnoteRef/>
      </w:r>
      <w:r w:rsidRPr="002E6900">
        <w:rPr>
          <w:sz w:val="16"/>
          <w:szCs w:val="16"/>
        </w:rPr>
        <w:t xml:space="preserve"> </w:t>
      </w:r>
      <w:r>
        <w:rPr>
          <w:sz w:val="16"/>
          <w:szCs w:val="16"/>
        </w:rPr>
        <w:t>As noted earlier, natural PM can</w:t>
      </w:r>
      <w:r w:rsidRPr="002E6900">
        <w:rPr>
          <w:sz w:val="16"/>
          <w:szCs w:val="16"/>
        </w:rPr>
        <w:t xml:space="preserve"> also</w:t>
      </w:r>
      <w:r>
        <w:rPr>
          <w:sz w:val="16"/>
          <w:szCs w:val="16"/>
        </w:rPr>
        <w:t xml:space="preserve"> be</w:t>
      </w:r>
      <w:r w:rsidRPr="002E6900">
        <w:rPr>
          <w:sz w:val="16"/>
          <w:szCs w:val="16"/>
        </w:rPr>
        <w:t xml:space="preserve"> either primary or secondary in origin.</w:t>
      </w:r>
    </w:p>
  </w:footnote>
  <w:footnote w:id="26">
    <w:p w:rsidR="0085182E" w:rsidRPr="00403557" w:rsidRDefault="0085182E" w:rsidP="00403557">
      <w:pPr>
        <w:pStyle w:val="FootnoteText"/>
        <w:spacing w:after="0" w:line="240" w:lineRule="auto"/>
        <w:rPr>
          <w:sz w:val="16"/>
          <w:szCs w:val="16"/>
        </w:rPr>
      </w:pPr>
      <w:r w:rsidRPr="00403557">
        <w:rPr>
          <w:rStyle w:val="FootnoteReference"/>
          <w:sz w:val="16"/>
          <w:szCs w:val="16"/>
        </w:rPr>
        <w:footnoteRef/>
      </w:r>
      <w:r>
        <w:rPr>
          <w:sz w:val="16"/>
          <w:szCs w:val="16"/>
        </w:rPr>
        <w:t xml:space="preserve"> </w:t>
      </w:r>
      <w:r w:rsidRPr="00403557">
        <w:rPr>
          <w:sz w:val="16"/>
          <w:szCs w:val="16"/>
        </w:rPr>
        <w:t>A market failure is where, in the absence of government intervention, the free market does not allocate goods and services in a way that maximises welfare for all of society. Therefore, government intervention to address the market failure can improve the efficiency of resource allocation.</w:t>
      </w:r>
    </w:p>
  </w:footnote>
  <w:footnote w:id="27">
    <w:p w:rsidR="0085182E" w:rsidRPr="00561E61" w:rsidRDefault="0085182E" w:rsidP="0068403A">
      <w:pPr>
        <w:pStyle w:val="FootnoteText"/>
        <w:spacing w:after="40" w:line="240" w:lineRule="auto"/>
        <w:rPr>
          <w:sz w:val="16"/>
          <w:szCs w:val="16"/>
        </w:rPr>
      </w:pPr>
      <w:r w:rsidRPr="00561E61">
        <w:rPr>
          <w:rStyle w:val="FootnoteReference"/>
          <w:sz w:val="16"/>
          <w:szCs w:val="16"/>
        </w:rPr>
        <w:footnoteRef/>
      </w:r>
      <w:r w:rsidRPr="00561E61">
        <w:rPr>
          <w:sz w:val="16"/>
          <w:szCs w:val="16"/>
        </w:rPr>
        <w:t xml:space="preserve"> There are no sanctions specified in the </w:t>
      </w:r>
      <w:r>
        <w:rPr>
          <w:sz w:val="16"/>
          <w:szCs w:val="16"/>
        </w:rPr>
        <w:t xml:space="preserve">AAQ </w:t>
      </w:r>
      <w:r w:rsidRPr="00561E61">
        <w:rPr>
          <w:sz w:val="16"/>
          <w:szCs w:val="16"/>
        </w:rPr>
        <w:t>NEPM against jurisdictions that do not provide reports or do not comply with the standards and goals.</w:t>
      </w:r>
    </w:p>
  </w:footnote>
  <w:footnote w:id="28">
    <w:p w:rsidR="0085182E" w:rsidRPr="00D2046F" w:rsidRDefault="0085182E" w:rsidP="00D2046F">
      <w:pPr>
        <w:pStyle w:val="FootnoteText"/>
        <w:spacing w:after="0" w:line="240" w:lineRule="auto"/>
        <w:rPr>
          <w:sz w:val="16"/>
          <w:szCs w:val="16"/>
        </w:rPr>
      </w:pPr>
      <w:r w:rsidRPr="00D2046F">
        <w:rPr>
          <w:rStyle w:val="FootnoteReference"/>
          <w:sz w:val="16"/>
          <w:szCs w:val="16"/>
        </w:rPr>
        <w:footnoteRef/>
      </w:r>
      <w:r w:rsidRPr="00D2046F">
        <w:rPr>
          <w:sz w:val="16"/>
          <w:szCs w:val="16"/>
        </w:rPr>
        <w:t xml:space="preserve"> The concept of ‘attributable’ health impacts due to air pollution exposure is an important one. The impacts of air pollution on health cannot be determined directly, and must be estimated in an exposed population by applying health risk values from the scientific literature.</w:t>
      </w:r>
    </w:p>
  </w:footnote>
  <w:footnote w:id="29">
    <w:p w:rsidR="0085182E" w:rsidRPr="00097BCF" w:rsidRDefault="0085182E" w:rsidP="001B0B14">
      <w:pPr>
        <w:pStyle w:val="FootnoteText"/>
        <w:spacing w:after="60" w:line="240" w:lineRule="auto"/>
        <w:rPr>
          <w:sz w:val="16"/>
          <w:szCs w:val="16"/>
        </w:rPr>
      </w:pPr>
      <w:r w:rsidRPr="00097BCF">
        <w:rPr>
          <w:rStyle w:val="FootnoteReference"/>
          <w:sz w:val="16"/>
          <w:szCs w:val="16"/>
        </w:rPr>
        <w:footnoteRef/>
      </w:r>
      <w:r>
        <w:rPr>
          <w:sz w:val="16"/>
          <w:szCs w:val="16"/>
        </w:rPr>
        <w:t xml:space="preserve"> T</w:t>
      </w:r>
      <w:r w:rsidRPr="00097BCF">
        <w:rPr>
          <w:sz w:val="16"/>
          <w:szCs w:val="16"/>
        </w:rPr>
        <w:t>he 5</w:t>
      </w:r>
      <w:r w:rsidRPr="00C07A3C">
        <w:rPr>
          <w:sz w:val="16"/>
          <w:szCs w:val="16"/>
          <w:vertAlign w:val="superscript"/>
        </w:rPr>
        <w:t>th</w:t>
      </w:r>
      <w:r w:rsidRPr="00097BCF">
        <w:rPr>
          <w:sz w:val="16"/>
          <w:szCs w:val="16"/>
        </w:rPr>
        <w:t xml:space="preserve"> percentile of 24-hour concentration over the period 2006</w:t>
      </w:r>
      <w:r>
        <w:rPr>
          <w:sz w:val="16"/>
          <w:szCs w:val="16"/>
        </w:rPr>
        <w:t>–</w:t>
      </w:r>
      <w:r w:rsidRPr="00097BCF">
        <w:rPr>
          <w:sz w:val="16"/>
          <w:szCs w:val="16"/>
        </w:rPr>
        <w:t>2010 was adopted as a proxy for the region-sp</w:t>
      </w:r>
      <w:r>
        <w:rPr>
          <w:sz w:val="16"/>
          <w:szCs w:val="16"/>
        </w:rPr>
        <w:t>ecific background concentration</w:t>
      </w:r>
      <w:r w:rsidRPr="00097BCF">
        <w:rPr>
          <w:sz w:val="16"/>
          <w:szCs w:val="16"/>
        </w:rPr>
        <w:t>, and these were subsequently averaged over all regions to give national values.</w:t>
      </w:r>
    </w:p>
  </w:footnote>
  <w:footnote w:id="30">
    <w:p w:rsidR="0085182E" w:rsidRPr="001B0B14" w:rsidRDefault="0085182E" w:rsidP="001B0B14">
      <w:pPr>
        <w:pStyle w:val="FootnoteText"/>
        <w:spacing w:after="0" w:line="240" w:lineRule="auto"/>
        <w:rPr>
          <w:sz w:val="16"/>
          <w:szCs w:val="16"/>
        </w:rPr>
      </w:pPr>
      <w:r>
        <w:rPr>
          <w:rStyle w:val="FootnoteReference"/>
        </w:rPr>
        <w:footnoteRef/>
      </w:r>
      <w:r>
        <w:t xml:space="preserve"> </w:t>
      </w:r>
      <w:r w:rsidRPr="001B0B14">
        <w:rPr>
          <w:sz w:val="16"/>
          <w:szCs w:val="16"/>
        </w:rPr>
        <w:t>The effects of long-term exposure to PM</w:t>
      </w:r>
      <w:r w:rsidRPr="001B0B14">
        <w:rPr>
          <w:sz w:val="16"/>
          <w:szCs w:val="16"/>
          <w:vertAlign w:val="subscript"/>
        </w:rPr>
        <w:t>10</w:t>
      </w:r>
      <w:r>
        <w:rPr>
          <w:sz w:val="16"/>
          <w:szCs w:val="16"/>
        </w:rPr>
        <w:t xml:space="preserve"> </w:t>
      </w:r>
      <w:r w:rsidRPr="001B0B14">
        <w:rPr>
          <w:sz w:val="16"/>
          <w:szCs w:val="16"/>
        </w:rPr>
        <w:t>we</w:t>
      </w:r>
      <w:r>
        <w:rPr>
          <w:sz w:val="16"/>
          <w:szCs w:val="16"/>
        </w:rPr>
        <w:t xml:space="preserve">re included in the original HRA but not </w:t>
      </w:r>
      <w:r w:rsidRPr="001B0B14">
        <w:rPr>
          <w:sz w:val="16"/>
          <w:szCs w:val="16"/>
        </w:rPr>
        <w:t>in the Summary for Policy Makers</w:t>
      </w:r>
      <w:r>
        <w:rPr>
          <w:sz w:val="16"/>
          <w:szCs w:val="16"/>
        </w:rPr>
        <w:t>, which focused on non-</w:t>
      </w:r>
      <w:r w:rsidRPr="00097BCF">
        <w:rPr>
          <w:sz w:val="16"/>
          <w:szCs w:val="16"/>
        </w:rPr>
        <w:t>overlapping health outcomes. Long-term exposure to PM</w:t>
      </w:r>
      <w:r w:rsidRPr="00097BCF">
        <w:rPr>
          <w:sz w:val="16"/>
          <w:szCs w:val="16"/>
          <w:vertAlign w:val="subscript"/>
        </w:rPr>
        <w:t>10</w:t>
      </w:r>
      <w:r w:rsidRPr="00097BCF">
        <w:rPr>
          <w:sz w:val="16"/>
          <w:szCs w:val="16"/>
        </w:rPr>
        <w:t xml:space="preserve"> is associated with mortality, but to avoid do</w:t>
      </w:r>
      <w:r>
        <w:rPr>
          <w:sz w:val="16"/>
          <w:szCs w:val="16"/>
        </w:rPr>
        <w:t>uble counting the summary included</w:t>
      </w:r>
      <w:r w:rsidRPr="00097BCF">
        <w:rPr>
          <w:sz w:val="16"/>
          <w:szCs w:val="16"/>
        </w:rPr>
        <w:t xml:space="preserve"> only long-term exposure to PM</w:t>
      </w:r>
      <w:r w:rsidRPr="00097BCF">
        <w:rPr>
          <w:sz w:val="16"/>
          <w:szCs w:val="16"/>
          <w:vertAlign w:val="subscript"/>
        </w:rPr>
        <w:t>2.5</w:t>
      </w:r>
      <w:r w:rsidRPr="00097BCF">
        <w:rPr>
          <w:sz w:val="16"/>
          <w:szCs w:val="16"/>
        </w:rPr>
        <w:t xml:space="preserve"> and mortality, as the evidence indicates</w:t>
      </w:r>
      <w:r>
        <w:rPr>
          <w:sz w:val="16"/>
          <w:szCs w:val="16"/>
        </w:rPr>
        <w:t xml:space="preserve"> that</w:t>
      </w:r>
      <w:r w:rsidRPr="00097BCF">
        <w:rPr>
          <w:sz w:val="16"/>
          <w:szCs w:val="16"/>
        </w:rPr>
        <w:t xml:space="preserve"> this metric has the strongest association with mortality</w:t>
      </w:r>
      <w:r w:rsidRPr="001B0B14">
        <w:rPr>
          <w:sz w:val="16"/>
          <w:szCs w:val="16"/>
        </w:rPr>
        <w:t>.</w:t>
      </w:r>
    </w:p>
  </w:footnote>
  <w:footnote w:id="31">
    <w:p w:rsidR="0085182E" w:rsidRPr="00A527AF" w:rsidRDefault="0085182E" w:rsidP="00A527AF">
      <w:pPr>
        <w:pStyle w:val="FootnoteText"/>
        <w:spacing w:after="40" w:line="240" w:lineRule="auto"/>
        <w:rPr>
          <w:sz w:val="16"/>
          <w:szCs w:val="16"/>
        </w:rPr>
      </w:pPr>
      <w:r w:rsidRPr="00A527AF">
        <w:rPr>
          <w:rStyle w:val="FootnoteReference"/>
          <w:sz w:val="16"/>
          <w:szCs w:val="16"/>
        </w:rPr>
        <w:footnoteRef/>
      </w:r>
      <w:r w:rsidRPr="00A527AF">
        <w:rPr>
          <w:sz w:val="16"/>
          <w:szCs w:val="16"/>
        </w:rPr>
        <w:t xml:space="preserve"> This could be overlap with short-term PM</w:t>
      </w:r>
      <w:r w:rsidRPr="00A527AF">
        <w:rPr>
          <w:sz w:val="16"/>
          <w:szCs w:val="16"/>
          <w:vertAlign w:val="subscript"/>
        </w:rPr>
        <w:t>2.5</w:t>
      </w:r>
      <w:r w:rsidRPr="00A527AF">
        <w:rPr>
          <w:sz w:val="16"/>
          <w:szCs w:val="16"/>
        </w:rPr>
        <w:t xml:space="preserve"> exposure and asthma </w:t>
      </w:r>
      <w:r>
        <w:rPr>
          <w:sz w:val="16"/>
          <w:szCs w:val="16"/>
        </w:rPr>
        <w:t>emergency department</w:t>
      </w:r>
      <w:r w:rsidRPr="00A527AF">
        <w:rPr>
          <w:sz w:val="16"/>
          <w:szCs w:val="16"/>
        </w:rPr>
        <w:t xml:space="preserve"> visits.</w:t>
      </w:r>
    </w:p>
  </w:footnote>
  <w:footnote w:id="32">
    <w:p w:rsidR="0085182E" w:rsidRPr="009D0158" w:rsidRDefault="0085182E" w:rsidP="00DE4099">
      <w:pPr>
        <w:pStyle w:val="FootnoteText"/>
        <w:spacing w:after="0" w:line="240" w:lineRule="auto"/>
        <w:rPr>
          <w:sz w:val="16"/>
          <w:szCs w:val="16"/>
        </w:rPr>
      </w:pPr>
      <w:r w:rsidRPr="009D0158">
        <w:rPr>
          <w:rStyle w:val="FootnoteReference"/>
          <w:sz w:val="16"/>
          <w:szCs w:val="16"/>
        </w:rPr>
        <w:footnoteRef/>
      </w:r>
      <w:r>
        <w:rPr>
          <w:sz w:val="16"/>
          <w:szCs w:val="16"/>
        </w:rPr>
        <w:t xml:space="preserve"> The PV</w:t>
      </w:r>
      <w:r w:rsidRPr="009D0158">
        <w:rPr>
          <w:sz w:val="16"/>
          <w:szCs w:val="16"/>
        </w:rPr>
        <w:t xml:space="preserve"> of a stream of monetary values over time is a metric that provides an aggregate total figure over the whole time horizon</w:t>
      </w:r>
      <w:r>
        <w:rPr>
          <w:sz w:val="16"/>
          <w:szCs w:val="16"/>
        </w:rPr>
        <w:t>,</w:t>
      </w:r>
      <w:r w:rsidRPr="009D0158">
        <w:rPr>
          <w:sz w:val="16"/>
          <w:szCs w:val="16"/>
        </w:rPr>
        <w:t xml:space="preserve"> taking into account that values in the future are worth less than values today (</w:t>
      </w:r>
      <w:r w:rsidRPr="002A2116">
        <w:rPr>
          <w:sz w:val="16"/>
          <w:szCs w:val="16"/>
        </w:rPr>
        <w:t>e.g</w:t>
      </w:r>
      <w:r w:rsidRPr="006C2948">
        <w:rPr>
          <w:sz w:val="16"/>
          <w:szCs w:val="16"/>
        </w:rPr>
        <w:t>.</w:t>
      </w:r>
      <w:r w:rsidRPr="009D0158">
        <w:rPr>
          <w:sz w:val="16"/>
          <w:szCs w:val="16"/>
        </w:rPr>
        <w:t xml:space="preserve"> a dollar today is worth more than a dollar tomorrow).</w:t>
      </w:r>
    </w:p>
  </w:footnote>
  <w:footnote w:id="33">
    <w:p w:rsidR="0085182E" w:rsidRPr="00E95684" w:rsidRDefault="0085182E" w:rsidP="00DE4099">
      <w:pPr>
        <w:pStyle w:val="FootnoteText"/>
        <w:spacing w:after="0" w:line="240" w:lineRule="auto"/>
        <w:rPr>
          <w:sz w:val="16"/>
          <w:szCs w:val="16"/>
        </w:rPr>
      </w:pPr>
      <w:r w:rsidRPr="00E95684">
        <w:rPr>
          <w:rStyle w:val="FootnoteReference"/>
          <w:sz w:val="16"/>
          <w:szCs w:val="16"/>
        </w:rPr>
        <w:footnoteRef/>
      </w:r>
      <w:r w:rsidRPr="00E95684">
        <w:rPr>
          <w:sz w:val="16"/>
          <w:szCs w:val="16"/>
        </w:rPr>
        <w:t xml:space="preserve"> As emissions incre</w:t>
      </w:r>
      <w:r>
        <w:rPr>
          <w:sz w:val="16"/>
          <w:szCs w:val="16"/>
        </w:rPr>
        <w:t xml:space="preserve">ased slightly during </w:t>
      </w:r>
      <w:r w:rsidRPr="00E95684">
        <w:rPr>
          <w:sz w:val="16"/>
          <w:szCs w:val="16"/>
        </w:rPr>
        <w:t>2011</w:t>
      </w:r>
      <w:r>
        <w:rPr>
          <w:sz w:val="16"/>
          <w:szCs w:val="16"/>
        </w:rPr>
        <w:t>–</w:t>
      </w:r>
      <w:r w:rsidRPr="00E95684">
        <w:rPr>
          <w:sz w:val="16"/>
          <w:szCs w:val="16"/>
        </w:rPr>
        <w:t xml:space="preserve">2036, this reduction must be due to a change in </w:t>
      </w:r>
      <w:r>
        <w:rPr>
          <w:sz w:val="16"/>
          <w:szCs w:val="16"/>
        </w:rPr>
        <w:t xml:space="preserve">the spatial distribution of </w:t>
      </w:r>
      <w:r w:rsidRPr="00E95684">
        <w:rPr>
          <w:sz w:val="16"/>
          <w:szCs w:val="16"/>
        </w:rPr>
        <w:t xml:space="preserve">population </w:t>
      </w:r>
      <w:r w:rsidRPr="00B13CFD">
        <w:rPr>
          <w:sz w:val="16"/>
          <w:szCs w:val="16"/>
        </w:rPr>
        <w:t>(</w:t>
      </w:r>
      <w:r w:rsidRPr="002A2116">
        <w:rPr>
          <w:sz w:val="16"/>
          <w:szCs w:val="16"/>
        </w:rPr>
        <w:t>i.e</w:t>
      </w:r>
      <w:r w:rsidRPr="00B13CFD">
        <w:rPr>
          <w:sz w:val="16"/>
          <w:szCs w:val="16"/>
        </w:rPr>
        <w:t>. p</w:t>
      </w:r>
      <w:r w:rsidRPr="00E95684">
        <w:rPr>
          <w:sz w:val="16"/>
          <w:szCs w:val="16"/>
        </w:rPr>
        <w:t>eople moving away from areas with higher concentrations to areas with lower concentrations).</w:t>
      </w:r>
    </w:p>
  </w:footnote>
  <w:footnote w:id="34">
    <w:p w:rsidR="0085182E" w:rsidRPr="00204822" w:rsidRDefault="0085182E" w:rsidP="00204822">
      <w:pPr>
        <w:pStyle w:val="FootnoteText"/>
        <w:spacing w:after="40" w:line="240" w:lineRule="auto"/>
        <w:rPr>
          <w:sz w:val="16"/>
          <w:szCs w:val="16"/>
        </w:rPr>
      </w:pPr>
      <w:r w:rsidRPr="00204822">
        <w:rPr>
          <w:rStyle w:val="FootnoteReference"/>
          <w:sz w:val="16"/>
          <w:szCs w:val="16"/>
        </w:rPr>
        <w:footnoteRef/>
      </w:r>
      <w:r w:rsidRPr="00204822">
        <w:rPr>
          <w:sz w:val="16"/>
          <w:szCs w:val="16"/>
        </w:rPr>
        <w:t xml:space="preserve"> Here, the term micro-environment is used to refer to a specific type of location </w:t>
      </w:r>
      <w:r w:rsidRPr="00B13CFD">
        <w:rPr>
          <w:sz w:val="16"/>
          <w:szCs w:val="16"/>
        </w:rPr>
        <w:t>(</w:t>
      </w:r>
      <w:r w:rsidRPr="002A2116">
        <w:rPr>
          <w:sz w:val="16"/>
          <w:szCs w:val="16"/>
        </w:rPr>
        <w:t>e.g</w:t>
      </w:r>
      <w:r w:rsidRPr="00B13CFD">
        <w:rPr>
          <w:sz w:val="16"/>
          <w:szCs w:val="16"/>
        </w:rPr>
        <w:t>. i</w:t>
      </w:r>
      <w:r w:rsidRPr="00204822">
        <w:rPr>
          <w:sz w:val="16"/>
          <w:szCs w:val="16"/>
        </w:rPr>
        <w:t>ndoors at home, outdoors in a city centre) with specific pollutant concentrations.</w:t>
      </w:r>
    </w:p>
  </w:footnote>
  <w:footnote w:id="35">
    <w:p w:rsidR="0085182E" w:rsidRPr="00D162E6" w:rsidRDefault="0085182E" w:rsidP="00D162E6">
      <w:pPr>
        <w:pStyle w:val="FootnoteText"/>
        <w:spacing w:after="0" w:line="240" w:lineRule="auto"/>
        <w:rPr>
          <w:sz w:val="16"/>
          <w:szCs w:val="16"/>
        </w:rPr>
      </w:pPr>
      <w:r w:rsidRPr="00D162E6">
        <w:rPr>
          <w:rStyle w:val="FootnoteReference"/>
          <w:sz w:val="16"/>
          <w:szCs w:val="16"/>
        </w:rPr>
        <w:footnoteRef/>
      </w:r>
      <w:r w:rsidRPr="00D162E6">
        <w:rPr>
          <w:sz w:val="16"/>
          <w:szCs w:val="16"/>
        </w:rPr>
        <w:t xml:space="preserve"> </w:t>
      </w:r>
      <w:r>
        <w:rPr>
          <w:sz w:val="16"/>
          <w:szCs w:val="16"/>
        </w:rPr>
        <w:t>A</w:t>
      </w:r>
      <w:r w:rsidRPr="00D162E6">
        <w:rPr>
          <w:sz w:val="16"/>
          <w:szCs w:val="16"/>
        </w:rPr>
        <w:t>ll costs are discounted by a factor that depends on the y</w:t>
      </w:r>
      <w:r>
        <w:rPr>
          <w:sz w:val="16"/>
          <w:szCs w:val="16"/>
        </w:rPr>
        <w:t>ear in which they are incurred. C</w:t>
      </w:r>
      <w:r w:rsidRPr="00D162E6">
        <w:rPr>
          <w:sz w:val="16"/>
          <w:szCs w:val="16"/>
        </w:rPr>
        <w:t xml:space="preserve">osts </w:t>
      </w:r>
      <w:r>
        <w:rPr>
          <w:sz w:val="16"/>
          <w:szCs w:val="16"/>
        </w:rPr>
        <w:t xml:space="preserve">incurred </w:t>
      </w:r>
      <w:r w:rsidRPr="00D162E6">
        <w:rPr>
          <w:sz w:val="16"/>
          <w:szCs w:val="16"/>
        </w:rPr>
        <w:t>further into the future are discounted more heavily t</w:t>
      </w:r>
      <w:r>
        <w:rPr>
          <w:sz w:val="16"/>
          <w:szCs w:val="16"/>
        </w:rPr>
        <w:t>han costs closer to the present</w:t>
      </w:r>
      <w:r w:rsidRPr="00D162E6">
        <w:rPr>
          <w:sz w:val="16"/>
          <w:szCs w:val="16"/>
        </w:rPr>
        <w:t>.</w:t>
      </w:r>
    </w:p>
  </w:footnote>
  <w:footnote w:id="36">
    <w:p w:rsidR="0085182E" w:rsidRPr="00B06941" w:rsidRDefault="0085182E" w:rsidP="00236133">
      <w:pPr>
        <w:pStyle w:val="FootnoteText"/>
        <w:spacing w:after="0" w:line="240" w:lineRule="auto"/>
        <w:rPr>
          <w:sz w:val="16"/>
          <w:szCs w:val="16"/>
        </w:rPr>
      </w:pPr>
      <w:r w:rsidRPr="00B06941">
        <w:rPr>
          <w:rStyle w:val="FootnoteReference"/>
          <w:sz w:val="16"/>
          <w:szCs w:val="16"/>
        </w:rPr>
        <w:footnoteRef/>
      </w:r>
      <w:r w:rsidRPr="00B06941">
        <w:rPr>
          <w:sz w:val="16"/>
          <w:szCs w:val="16"/>
        </w:rPr>
        <w:t xml:space="preserve"> In Western Australia, this adjustment has also historically (and incorrectly) been applied to the PM</w:t>
      </w:r>
      <w:r w:rsidRPr="00B06941">
        <w:rPr>
          <w:sz w:val="16"/>
          <w:szCs w:val="16"/>
          <w:vertAlign w:val="subscript"/>
        </w:rPr>
        <w:t>2.5</w:t>
      </w:r>
      <w:r w:rsidRPr="00B06941">
        <w:rPr>
          <w:sz w:val="16"/>
          <w:szCs w:val="16"/>
        </w:rPr>
        <w:t xml:space="preserve"> data as well as the PM</w:t>
      </w:r>
      <w:r w:rsidRPr="00B06941">
        <w:rPr>
          <w:sz w:val="16"/>
          <w:szCs w:val="16"/>
          <w:vertAlign w:val="subscript"/>
        </w:rPr>
        <w:t>10</w:t>
      </w:r>
      <w:r w:rsidRPr="00B06941">
        <w:rPr>
          <w:sz w:val="16"/>
          <w:szCs w:val="16"/>
        </w:rPr>
        <w:t xml:space="preserve"> data.</w:t>
      </w:r>
    </w:p>
  </w:footnote>
  <w:footnote w:id="37">
    <w:p w:rsidR="0085182E" w:rsidRPr="0082018B" w:rsidRDefault="0085182E" w:rsidP="00236133">
      <w:pPr>
        <w:pStyle w:val="FootnoteText"/>
        <w:spacing w:after="0" w:line="240" w:lineRule="auto"/>
        <w:rPr>
          <w:sz w:val="16"/>
          <w:szCs w:val="16"/>
        </w:rPr>
      </w:pPr>
      <w:r w:rsidRPr="0082018B">
        <w:rPr>
          <w:rStyle w:val="FootnoteReference"/>
          <w:sz w:val="16"/>
          <w:szCs w:val="16"/>
        </w:rPr>
        <w:footnoteRef/>
      </w:r>
      <w:r w:rsidRPr="0082018B">
        <w:rPr>
          <w:sz w:val="16"/>
          <w:szCs w:val="16"/>
        </w:rPr>
        <w:t xml:space="preserve"> The purge filter can also provide a time-integrated particulate matter sample that can be used for subsequent chemical analysis.</w:t>
      </w:r>
    </w:p>
  </w:footnote>
  <w:footnote w:id="38">
    <w:p w:rsidR="0085182E" w:rsidRPr="004938E4" w:rsidRDefault="0085182E" w:rsidP="00236133">
      <w:pPr>
        <w:pStyle w:val="FootnoteText"/>
        <w:spacing w:after="0" w:line="240" w:lineRule="auto"/>
        <w:rPr>
          <w:sz w:val="16"/>
          <w:szCs w:val="16"/>
        </w:rPr>
      </w:pPr>
      <w:r w:rsidRPr="004938E4">
        <w:rPr>
          <w:rStyle w:val="FootnoteReference"/>
          <w:sz w:val="16"/>
          <w:szCs w:val="16"/>
        </w:rPr>
        <w:footnoteRef/>
      </w:r>
      <w:r w:rsidRPr="004938E4">
        <w:rPr>
          <w:sz w:val="16"/>
          <w:szCs w:val="16"/>
        </w:rPr>
        <w:t xml:space="preserve"> This includes the 1.3 correction factor that was used in the UK prior to the widespread adoption of the FDMS.</w:t>
      </w:r>
    </w:p>
  </w:footnote>
  <w:footnote w:id="39">
    <w:p w:rsidR="0085182E" w:rsidRPr="00617C9C" w:rsidRDefault="0085182E" w:rsidP="00236133">
      <w:pPr>
        <w:pStyle w:val="FootnoteText"/>
        <w:spacing w:after="60" w:line="240" w:lineRule="auto"/>
        <w:rPr>
          <w:sz w:val="16"/>
          <w:szCs w:val="16"/>
        </w:rPr>
      </w:pPr>
      <w:r w:rsidRPr="00617C9C">
        <w:rPr>
          <w:rStyle w:val="FootnoteReference"/>
          <w:sz w:val="16"/>
          <w:szCs w:val="16"/>
        </w:rPr>
        <w:footnoteRef/>
      </w:r>
      <w:r w:rsidRPr="00617C9C">
        <w:rPr>
          <w:sz w:val="16"/>
          <w:szCs w:val="16"/>
        </w:rPr>
        <w:t xml:space="preserve"> </w:t>
      </w:r>
      <w:r w:rsidRPr="00617C9C">
        <w:rPr>
          <w:color w:val="0070C0"/>
          <w:sz w:val="16"/>
          <w:szCs w:val="16"/>
        </w:rPr>
        <w:t>http://www.epa.gov/ttnamti1/files/ambient/criteria/reference-equivalent-methods-list.pdf</w:t>
      </w:r>
    </w:p>
  </w:footnote>
  <w:footnote w:id="40">
    <w:p w:rsidR="0085182E" w:rsidRPr="00583B8B" w:rsidRDefault="0085182E" w:rsidP="00583B8B">
      <w:pPr>
        <w:pStyle w:val="FootnoteText"/>
        <w:spacing w:after="40" w:line="240" w:lineRule="auto"/>
        <w:rPr>
          <w:sz w:val="16"/>
          <w:szCs w:val="16"/>
        </w:rPr>
      </w:pPr>
      <w:r w:rsidRPr="00583B8B">
        <w:rPr>
          <w:rStyle w:val="FootnoteReference"/>
          <w:sz w:val="16"/>
          <w:szCs w:val="16"/>
        </w:rPr>
        <w:footnoteRef/>
      </w:r>
      <w:r w:rsidRPr="00583B8B">
        <w:rPr>
          <w:sz w:val="16"/>
          <w:szCs w:val="16"/>
        </w:rPr>
        <w:t xml:space="preserve"> </w:t>
      </w:r>
      <w:hyperlink r:id="rId1" w:history="1">
        <w:r w:rsidRPr="004E1701">
          <w:rPr>
            <w:rStyle w:val="Hyperlink"/>
            <w:sz w:val="16"/>
            <w:szCs w:val="16"/>
          </w:rPr>
          <w:t>www.environment.nsw.gov.au/air/nepm/summary.htm</w:t>
        </w:r>
      </w:hyperlink>
    </w:p>
  </w:footnote>
  <w:footnote w:id="41">
    <w:p w:rsidR="0085182E" w:rsidRPr="005734FD" w:rsidRDefault="0085182E" w:rsidP="00583B8B">
      <w:pPr>
        <w:pStyle w:val="FootnoteText"/>
        <w:spacing w:after="40" w:line="240" w:lineRule="auto"/>
        <w:rPr>
          <w:sz w:val="16"/>
          <w:szCs w:val="16"/>
        </w:rPr>
      </w:pPr>
      <w:r w:rsidRPr="00583B8B">
        <w:rPr>
          <w:rStyle w:val="FootnoteReference"/>
          <w:sz w:val="16"/>
          <w:szCs w:val="16"/>
        </w:rPr>
        <w:footnoteRef/>
      </w:r>
      <w:hyperlink r:id="rId2" w:history="1">
        <w:r w:rsidRPr="004E1701">
          <w:rPr>
            <w:rStyle w:val="Hyperlink"/>
            <w:sz w:val="16"/>
            <w:szCs w:val="16"/>
          </w:rPr>
          <w:t>www.ansto.gov.au/Resources/Localenvironment/Atmosphericmonitoring/Fineparticlepollution/index.htm</w:t>
        </w:r>
      </w:hyperlink>
    </w:p>
  </w:footnote>
  <w:footnote w:id="42">
    <w:p w:rsidR="0085182E" w:rsidRPr="00A172BE" w:rsidRDefault="0085182E" w:rsidP="00107C26">
      <w:pPr>
        <w:pStyle w:val="FootnoteText"/>
        <w:spacing w:after="40" w:line="240" w:lineRule="auto"/>
        <w:rPr>
          <w:sz w:val="16"/>
          <w:szCs w:val="16"/>
        </w:rPr>
      </w:pPr>
      <w:r w:rsidRPr="00A172BE">
        <w:rPr>
          <w:rStyle w:val="FootnoteReference"/>
          <w:sz w:val="16"/>
          <w:szCs w:val="16"/>
        </w:rPr>
        <w:footnoteRef/>
      </w:r>
      <w:r w:rsidRPr="00A172BE">
        <w:rPr>
          <w:sz w:val="16"/>
          <w:szCs w:val="16"/>
        </w:rPr>
        <w:t xml:space="preserve"> Clause 18 (5) of the AAQ NEPM specifies that the annual report for a pollutant must include the percentage of data available in the reporting period. An average concentration can be valid only if it is based on at least 75% of the expected samples in the averaging period</w:t>
      </w:r>
      <w:r>
        <w:rPr>
          <w:sz w:val="16"/>
          <w:szCs w:val="16"/>
        </w:rPr>
        <w:t xml:space="preserve">. The </w:t>
      </w:r>
      <w:r w:rsidRPr="00A172BE">
        <w:rPr>
          <w:sz w:val="16"/>
          <w:szCs w:val="16"/>
        </w:rPr>
        <w:t xml:space="preserve">75% data availability </w:t>
      </w:r>
      <w:r>
        <w:rPr>
          <w:sz w:val="16"/>
          <w:szCs w:val="16"/>
        </w:rPr>
        <w:t xml:space="preserve">criterion </w:t>
      </w:r>
      <w:r w:rsidRPr="00A172BE">
        <w:rPr>
          <w:sz w:val="16"/>
          <w:szCs w:val="16"/>
        </w:rPr>
        <w:t>is specified as an absolute minimum requirement for data completeness</w:t>
      </w:r>
      <w:r>
        <w:rPr>
          <w:sz w:val="16"/>
          <w:szCs w:val="16"/>
        </w:rPr>
        <w:t xml:space="preserve"> </w:t>
      </w:r>
      <w:r w:rsidRPr="00A172BE">
        <w:rPr>
          <w:b/>
          <w:sz w:val="16"/>
          <w:szCs w:val="16"/>
        </w:rPr>
        <w:t>(PRC 2001</w:t>
      </w:r>
      <w:r>
        <w:rPr>
          <w:b/>
          <w:sz w:val="16"/>
          <w:szCs w:val="16"/>
        </w:rPr>
        <w:t>b</w:t>
      </w:r>
      <w:r w:rsidRPr="00A172BE">
        <w:rPr>
          <w:b/>
          <w:sz w:val="16"/>
          <w:szCs w:val="16"/>
        </w:rPr>
        <w:t>)</w:t>
      </w:r>
      <w:r w:rsidRPr="00A172BE">
        <w:rPr>
          <w:sz w:val="16"/>
          <w:szCs w:val="16"/>
        </w:rPr>
        <w:t>.</w:t>
      </w:r>
    </w:p>
  </w:footnote>
  <w:footnote w:id="43">
    <w:p w:rsidR="0085182E" w:rsidRPr="00B75D26" w:rsidRDefault="0085182E" w:rsidP="00D22244">
      <w:pPr>
        <w:pStyle w:val="FootnoteText"/>
        <w:spacing w:after="0" w:line="240" w:lineRule="auto"/>
        <w:rPr>
          <w:sz w:val="16"/>
          <w:szCs w:val="16"/>
        </w:rPr>
      </w:pPr>
      <w:r w:rsidRPr="00B75D26">
        <w:rPr>
          <w:rStyle w:val="FootnoteReference"/>
          <w:sz w:val="16"/>
          <w:szCs w:val="16"/>
        </w:rPr>
        <w:footnoteRef/>
      </w:r>
      <w:r>
        <w:rPr>
          <w:sz w:val="16"/>
          <w:szCs w:val="16"/>
        </w:rPr>
        <w:t xml:space="preserve"> The</w:t>
      </w:r>
      <w:r w:rsidRPr="00B75D26">
        <w:rPr>
          <w:sz w:val="16"/>
          <w:szCs w:val="16"/>
        </w:rPr>
        <w:t xml:space="preserve"> confidence interval indicates</w:t>
      </w:r>
      <w:r>
        <w:rPr>
          <w:sz w:val="16"/>
          <w:szCs w:val="16"/>
        </w:rPr>
        <w:t xml:space="preserve"> the reliability of an estimate</w:t>
      </w:r>
      <w:r w:rsidRPr="00B75D26">
        <w:rPr>
          <w:sz w:val="16"/>
          <w:szCs w:val="16"/>
        </w:rPr>
        <w:t>. A 95% confidence interval shows the range of values within which the real value can be said to fall with a 95% level of confidence. Given that the confidence level is based on the data, it does not take into account any systematic errors or bias in the sampling.</w:t>
      </w:r>
    </w:p>
  </w:footnote>
  <w:footnote w:id="44">
    <w:p w:rsidR="0085182E" w:rsidRPr="00CC4524" w:rsidRDefault="0085182E">
      <w:pPr>
        <w:pStyle w:val="FootnoteText"/>
        <w:rPr>
          <w:sz w:val="16"/>
          <w:szCs w:val="16"/>
        </w:rPr>
      </w:pPr>
      <w:r w:rsidRPr="00CC4524">
        <w:rPr>
          <w:rStyle w:val="FootnoteReference"/>
          <w:sz w:val="16"/>
          <w:szCs w:val="16"/>
        </w:rPr>
        <w:footnoteRef/>
      </w:r>
      <w:r w:rsidRPr="00CC4524">
        <w:rPr>
          <w:sz w:val="16"/>
          <w:szCs w:val="16"/>
        </w:rPr>
        <w:t xml:space="preserve"> For PM</w:t>
      </w:r>
      <w:r w:rsidRPr="00CC4524">
        <w:rPr>
          <w:sz w:val="16"/>
          <w:szCs w:val="16"/>
          <w:vertAlign w:val="subscript"/>
        </w:rPr>
        <w:t>2.5</w:t>
      </w:r>
      <w:r w:rsidRPr="00CC4524">
        <w:rPr>
          <w:sz w:val="16"/>
          <w:szCs w:val="16"/>
        </w:rPr>
        <w:t xml:space="preserve"> it was assumed that no exceedances of the 24-hour standard would be allowed.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10" o:spid="_x0000_s2108" type="#_x0000_t136" style="position:absolute;margin-left:0;margin-top:0;width:454.5pt;height:181.8pt;rotation:315;z-index:-251698176;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18" o:spid="_x0000_s2116" type="#_x0000_t136" style="position:absolute;margin-left:0;margin-top:0;width:454.5pt;height:181.8pt;rotation:315;z-index:-251689984;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0C3C41" w:rsidRDefault="00BF6019" w:rsidP="000C3C41">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22" o:spid="_x0000_s2120" type="#_x0000_t136" style="position:absolute;margin-left:0;margin-top:0;width:454.5pt;height:181.8pt;rotation:315;z-index:-251685888;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r>
      <w:rPr>
        <w:noProof/>
      </w:rPr>
      <w:pict>
        <v:shapetype id="_x0000_t202" coordsize="21600,21600" o:spt="202" path="m,l,21600r21600,l21600,xe">
          <v:stroke joinstyle="miter"/>
          <v:path gradientshapeok="t" o:connecttype="rect"/>
        </v:shapetype>
        <v:shape id="Text Box 9" o:spid="_x0000_s2223" type="#_x0000_t202" style="position:absolute;margin-left:702pt;margin-top:54.75pt;width:45pt;height:457.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" filled="f" stroked="f">
          <v:textbox style="layout-flow:vertical-ideographic">
            <w:txbxContent>
              <w:p w:rsidR="0085182E" w:rsidRPr="000C3C41" w:rsidRDefault="0085182E" w:rsidP="00A248F9">
                <w:pPr>
                  <w:pStyle w:val="Header"/>
                </w:pPr>
              </w:p>
            </w:txbxContent>
          </v:textbox>
        </v:shape>
      </w:pict>
    </w:r>
    <w:r>
      <w:rPr>
        <w:noProof/>
      </w:rPr>
      <w:pict>
        <v:shape id="Text Box 8" o:spid="_x0000_s2222" type="#_x0000_t202" style="position:absolute;margin-left:-67.35pt;margin-top:54.4pt;width:45pt;height:457.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" filled="f" stroked="f">
          <v:textbox style="layout-flow:vertical-ideographic">
            <w:txbxContent>
              <w:p w:rsidR="0085182E" w:rsidRPr="000C3C41" w:rsidRDefault="00BF6019" w:rsidP="0085182E">
                <w:pPr>
                  <w:pStyle w:val="FooterText"/>
                </w:pPr>
                <w:r w:rsidRPr="00CD39A2">
                  <w:fldChar w:fldCharType="begin"/>
                </w:r>
                <w:r w:rsidR="0085182E" w:rsidRPr="00CD39A2">
                  <w:instrText xml:space="preserve"> PAGE   \* MERGEFORMAT </w:instrText>
                </w:r>
                <w:r w:rsidRPr="00CD39A2">
                  <w:fldChar w:fldCharType="separate"/>
                </w:r>
                <w:r w:rsidR="0085182E">
                  <w:t>2</w:t>
                </w:r>
                <w:r w:rsidRPr="00CD39A2">
                  <w:fldChar w:fldCharType="end"/>
                </w:r>
                <w:r w:rsidR="0085182E">
                  <w:tab/>
                </w:r>
              </w:p>
            </w:txbxContent>
          </v:textbox>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E46723" w:rsidRDefault="00BF6019" w:rsidP="00E46723">
    <w:r>
      <w:rPr>
        <w:noProof/>
      </w:rPr>
      <w:pict>
        <v:shapetype id="_x0000_t202" coordsize="21600,21600" o:spt="202" path="m,l,21600r21600,l21600,xe">
          <v:stroke joinstyle="miter"/>
          <v:path gradientshapeok="t" o:connecttype="rect"/>
        </v:shapetype>
        <v:shape id="Text Box 15" o:spid="_x0000_s2221" type="#_x0000_t202" style="position:absolute;margin-left:5.45pt;margin-top:74.55pt;width:45.05pt;height:446.15pt;z-index:2517299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" filled="f" stroked="f">
          <v:textbox style="layout-flow:vertical-ideographic">
            <w:txbxContent>
              <w:p w:rsidR="0085182E" w:rsidRPr="00A86FF2" w:rsidRDefault="0085182E" w:rsidP="00E46723">
                <w:pPr>
                  <w:pStyle w:val="Footer"/>
                  <w:tabs>
                    <w:tab w:val="right" w:pos="9356"/>
                  </w:tabs>
                </w:pPr>
              </w:p>
            </w:txbxContent>
          </v:textbox>
          <w10:wrap anchorx="margin" anchory="page"/>
        </v:shape>
      </w:pict>
    </w:r>
    <w:r>
      <w:rPr>
        <w:noProof/>
      </w:rPr>
      <w:pict>
        <v:shape id="Text Box 16" o:spid="_x0000_s2220" type="#_x0000_t202" style="position:absolute;margin-left:-75.1pt;margin-top:74.55pt;width:45.05pt;height:446.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" filled="f" stroked="f">
          <v:textbox style="layout-flow:vertical-ideographic">
            <w:txbxContent>
              <w:p w:rsidR="0085182E" w:rsidRPr="00A86FF2" w:rsidRDefault="0085182E" w:rsidP="0085182E">
                <w:pPr>
                  <w:pStyle w:val="FooterText"/>
                </w:pPr>
                <w:r>
                  <w:t>Executive summary</w:t>
                </w:r>
                <w:r>
                  <w:tab/>
                </w:r>
                <w:r w:rsidR="00BF6019" w:rsidRPr="00A86FF2">
                  <w:fldChar w:fldCharType="begin"/>
                </w:r>
                <w:r w:rsidRPr="00A86FF2">
                  <w:instrText xml:space="preserve"> PAGE </w:instrText>
                </w:r>
                <w:r w:rsidR="00BF6019" w:rsidRPr="00A86FF2">
                  <w:fldChar w:fldCharType="separate"/>
                </w:r>
                <w:r w:rsidR="00A73165">
                  <w:t>xxi</w:t>
                </w:r>
                <w:r w:rsidR="00BF6019" w:rsidRPr="00A86FF2">
                  <w:fldChar w:fldCharType="end"/>
                </w:r>
              </w:p>
            </w:txbxContent>
          </v:textbox>
          <w10:wrap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21" o:spid="_x0000_s2119" type="#_x0000_t136" style="position:absolute;margin-left:0;margin-top:0;width:454.5pt;height:181.8pt;rotation:315;z-index:-251686912;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27" o:spid="_x0000_s2125" type="#_x0000_t136" style="position:absolute;margin-left:0;margin-top:0;width:454.5pt;height:181.8pt;rotation:315;z-index:-251683840;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09" o:spid="_x0000_s2107" type="#_x0000_t136" style="position:absolute;margin-left:0;margin-top:0;width:454.5pt;height:181.8pt;rotation:315;z-index:-251699200;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30" o:spid="_x0000_s2128" type="#_x0000_t136" style="position:absolute;margin-left:0;margin-top:0;width:454.5pt;height:181.8pt;rotation:315;z-index:-251680768;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33" o:spid="_x0000_s2131" type="#_x0000_t136" style="position:absolute;margin-left:0;margin-top:0;width:454.5pt;height:181.8pt;rotation:315;z-index:-251677696;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36" o:spid="_x0000_s2134" type="#_x0000_t136" style="position:absolute;margin-left:0;margin-top:0;width:454.5pt;height:181.8pt;rotation:315;z-index:-251674624;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39" o:spid="_x0000_s2137" type="#_x0000_t136" style="position:absolute;margin-left:0;margin-top:0;width:454.5pt;height:181.8pt;rotation:315;z-index:-251671552;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42" o:spid="_x0000_s2140" type="#_x0000_t136" style="position:absolute;margin-left:0;margin-top:0;width:454.5pt;height:181.8pt;rotation:315;z-index:-251668480;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45" o:spid="_x0000_s2143" type="#_x0000_t136" style="position:absolute;margin-left:0;margin-top:0;width:454.5pt;height:181.8pt;rotation:315;z-index:-251665408;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48" o:spid="_x0000_s2146" type="#_x0000_t136" style="position:absolute;margin-left:0;margin-top:0;width:454.5pt;height:181.8pt;rotation:315;z-index:-251662336;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E46723" w:rsidRDefault="00BF6019" w:rsidP="00E46723">
    <w:r>
      <w:rPr>
        <w:noProof/>
      </w:rPr>
      <w:pict>
        <v:shapetype id="_x0000_t202" coordsize="21600,21600" o:spt="202" path="m,l,21600r21600,l21600,xe">
          <v:stroke joinstyle="miter"/>
          <v:path gradientshapeok="t" o:connecttype="rect"/>
        </v:shapetype>
        <v:shape id="Text Box 7" o:spid="_x0000_s2219" type="#_x0000_t202" style="position:absolute;margin-left:5.45pt;margin-top:74.55pt;width:45.05pt;height:446.15pt;z-index:2517268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" filled="f" stroked="f">
          <v:textbox style="layout-flow:vertical-ideographic">
            <w:txbxContent>
              <w:p w:rsidR="0085182E" w:rsidRPr="00A86FF2" w:rsidRDefault="0085182E" w:rsidP="00E46723">
                <w:pPr>
                  <w:pStyle w:val="Footer"/>
                  <w:tabs>
                    <w:tab w:val="right" w:pos="9356"/>
                  </w:tabs>
                </w:pPr>
              </w:p>
            </w:txbxContent>
          </v:textbox>
          <w10:wrap anchorx="margin" anchory="page"/>
        </v:shape>
      </w:pict>
    </w:r>
    <w:r>
      <w:rPr>
        <w:noProof/>
      </w:rPr>
      <w:pict>
        <v:shape id="_x0000_s2218" type="#_x0000_t202" style="position:absolute;margin-left:-75.1pt;margin-top:74.55pt;width:45.05pt;height:446.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" filled="f" stroked="f">
          <v:textbox style="layout-flow:vertical-ideographic">
            <w:txbxContent>
              <w:p w:rsidR="0085182E" w:rsidRPr="00A86FF2" w:rsidRDefault="00BF6019" w:rsidP="0085182E">
                <w:pPr>
                  <w:pStyle w:val="FooterText"/>
                </w:pPr>
                <w:r w:rsidRPr="00A86FF2">
                  <w:fldChar w:fldCharType="begin"/>
                </w:r>
                <w:r w:rsidR="0085182E" w:rsidRPr="00A86FF2">
                  <w:instrText xml:space="preserve"> PAGE </w:instrText>
                </w:r>
                <w:r w:rsidRPr="00A86FF2">
                  <w:fldChar w:fldCharType="separate"/>
                </w:r>
                <w:r w:rsidR="00A73165">
                  <w:t>72</w:t>
                </w:r>
                <w:r w:rsidRPr="00A86FF2">
                  <w:fldChar w:fldCharType="end"/>
                </w:r>
                <w:r w:rsidR="0085182E">
                  <w:tab/>
                </w:r>
                <w:r w:rsidR="0085182E" w:rsidRPr="005D2403">
                  <w:t>Impact statement on the draft variation to the AAQ NEPM</w:t>
                </w:r>
              </w:p>
            </w:txbxContent>
          </v:textbox>
          <w10:wrap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0D62B6" w:rsidRDefault="00BF6019" w:rsidP="000D62B6">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53" o:spid="_x0000_s2151" type="#_x0000_t136" style="position:absolute;margin-left:0;margin-top:0;width:454.5pt;height:181.8pt;rotation:315;z-index:-251657216;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r>
      <w:rPr>
        <w:noProof/>
      </w:rPr>
      <w:pict>
        <v:shapetype id="_x0000_t202" coordsize="21600,21600" o:spt="202" path="m,l,21600r21600,l21600,xe">
          <v:stroke joinstyle="miter"/>
          <v:path gradientshapeok="t" o:connecttype="rect"/>
        </v:shapetype>
        <v:shape id="Text Box 45" o:spid="_x0000_s2217" type="#_x0000_t202" style="position:absolute;margin-left:702pt;margin-top:54.75pt;width:45pt;height:457.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" filled="f" stroked="f">
          <v:textbox style="layout-flow:vertical-ideographic">
            <w:txbxContent>
              <w:p w:rsidR="0085182E" w:rsidRPr="000C3C41" w:rsidRDefault="0085182E" w:rsidP="000D62B6">
                <w:pPr>
                  <w:pStyle w:val="Header"/>
                </w:pPr>
              </w:p>
            </w:txbxContent>
          </v:textbox>
        </v:shape>
      </w:pict>
    </w:r>
    <w:r>
      <w:rPr>
        <w:noProof/>
      </w:rPr>
      <w:pict>
        <v:shape id="Text Box 44" o:spid="_x0000_s2216" type="#_x0000_t202" style="position:absolute;margin-left:-67.35pt;margin-top:54.4pt;width:45pt;height:457.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" filled="f" stroked="f">
          <v:textbox style="layout-flow:vertical-ideographic">
            <w:txbxContent>
              <w:p w:rsidR="0085182E" w:rsidRPr="000C3C41" w:rsidRDefault="0085182E" w:rsidP="0085182E">
                <w:pPr>
                  <w:pStyle w:val="FooterText"/>
                </w:pPr>
                <w:r w:rsidRPr="006523DC">
                  <w:t>Impact analysis</w:t>
                </w:r>
                <w:r>
                  <w:tab/>
                </w:r>
                <w:r w:rsidR="00BF6019" w:rsidRPr="00CD39A2">
                  <w:fldChar w:fldCharType="begin"/>
                </w:r>
                <w:r w:rsidRPr="00CD39A2">
                  <w:instrText xml:space="preserve"> PAGE   \* MERGEFORMAT </w:instrText>
                </w:r>
                <w:r w:rsidR="00BF6019" w:rsidRPr="00CD39A2">
                  <w:fldChar w:fldCharType="separate"/>
                </w:r>
                <w:r>
                  <w:t>71</w:t>
                </w:r>
                <w:r w:rsidR="00BF6019" w:rsidRPr="00CD39A2">
                  <w:fldChar w:fldCharType="end"/>
                </w:r>
              </w:p>
            </w:txbxContent>
          </v:textbox>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E93055" w:rsidRDefault="00BF6019" w:rsidP="006574FD">
    <w:pP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14" o:spid="_x0000_s2112" type="#_x0000_t136" style="position:absolute;left:0;text-align:left;margin-left:0;margin-top:0;width:454.5pt;height:181.8pt;rotation:315;z-index:-251694080;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51" o:spid="_x0000_s2149" type="#_x0000_t136" style="position:absolute;margin-left:0;margin-top:0;width:454.5pt;height:181.8pt;rotation:315;z-index:-251659264;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54" o:spid="_x0000_s2152" type="#_x0000_t136" style="position:absolute;margin-left:0;margin-top:0;width:454.5pt;height:181.8pt;rotation:315;z-index:-251656192;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7F6D6C" w:rsidRDefault="00BF6019" w:rsidP="007F6D6C">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58" o:spid="_x0000_s2156" type="#_x0000_t136" style="position:absolute;margin-left:0;margin-top:0;width:454.5pt;height:181.8pt;rotation:315;z-index:-251652096;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r>
      <w:rPr>
        <w:noProof/>
      </w:rPr>
      <w:pict>
        <v:shapetype id="_x0000_t202" coordsize="21600,21600" o:spt="202" path="m,l,21600r21600,l21600,xe">
          <v:stroke joinstyle="miter"/>
          <v:path gradientshapeok="t" o:connecttype="rect"/>
        </v:shapetype>
        <v:shape id="Text Box 28" o:spid="_x0000_s2215" type="#_x0000_t202" style="position:absolute;margin-left:702pt;margin-top:54.75pt;width:45pt;height:457.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" filled="f" stroked="f">
          <v:textbox style="layout-flow:vertical-ideographic">
            <w:txbxContent>
              <w:p w:rsidR="0085182E" w:rsidRPr="000C3C41" w:rsidRDefault="0085182E" w:rsidP="007F6D6C">
                <w:pPr>
                  <w:pStyle w:val="Header"/>
                </w:pPr>
              </w:p>
            </w:txbxContent>
          </v:textbox>
        </v:shape>
      </w:pict>
    </w:r>
    <w:r>
      <w:rPr>
        <w:noProof/>
      </w:rPr>
      <w:pict>
        <v:shape id="Text Box 27" o:spid="_x0000_s2214" type="#_x0000_t202" style="position:absolute;margin-left:-67.35pt;margin-top:54.4pt;width:45pt;height:457.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" filled="f" stroked="f">
          <v:textbox style="layout-flow:vertical-ideographic">
            <w:txbxContent>
              <w:p w:rsidR="0085182E" w:rsidRPr="000C3C41" w:rsidRDefault="0085182E" w:rsidP="0085182E">
                <w:pPr>
                  <w:pStyle w:val="FooterText"/>
                </w:pPr>
                <w:r w:rsidRPr="008F3F88">
                  <w:t>140</w:t>
                </w:r>
                <w:r w:rsidRPr="008F3F88">
                  <w:tab/>
                  <w:t>Draft Impact Statment on variation to PM standards in the AAQ NEPM</w:t>
                </w:r>
              </w:p>
            </w:txbxContent>
          </v:textbox>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E46723" w:rsidRDefault="00BF6019" w:rsidP="00E46723">
    <w:r>
      <w:rPr>
        <w:noProof/>
      </w:rPr>
      <w:pict>
        <v:shapetype id="_x0000_t202" coordsize="21600,21600" o:spt="202" path="m,l,21600r21600,l21600,xe">
          <v:stroke joinstyle="miter"/>
          <v:path gradientshapeok="t" o:connecttype="rect"/>
        </v:shapetype>
        <v:shape id="Text Box 18" o:spid="_x0000_s2213" type="#_x0000_t202" style="position:absolute;margin-left:5.45pt;margin-top:74.55pt;width:45.05pt;height:446.15pt;z-index:2517329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" filled="f" stroked="f">
          <v:textbox style="layout-flow:vertical-ideographic">
            <w:txbxContent>
              <w:p w:rsidR="0085182E" w:rsidRPr="00A86FF2" w:rsidRDefault="0085182E" w:rsidP="00E46723">
                <w:pPr>
                  <w:pStyle w:val="Footer"/>
                  <w:tabs>
                    <w:tab w:val="right" w:pos="9356"/>
                  </w:tabs>
                </w:pPr>
              </w:p>
            </w:txbxContent>
          </v:textbox>
          <w10:wrap anchorx="margin" anchory="page"/>
        </v:shape>
      </w:pict>
    </w:r>
    <w:r>
      <w:rPr>
        <w:noProof/>
      </w:rPr>
      <w:pict>
        <v:shape id="Text Box 80" o:spid="_x0000_s2212" type="#_x0000_t202" style="position:absolute;margin-left:-75.1pt;margin-top:74.55pt;width:45.05pt;height:446.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" filled="f" stroked="f">
          <v:textbox style="layout-flow:vertical-ideographic">
            <w:txbxContent>
              <w:p w:rsidR="0085182E" w:rsidRPr="00A86FF2" w:rsidRDefault="0085182E" w:rsidP="0085182E">
                <w:pPr>
                  <w:pStyle w:val="FooterText"/>
                </w:pPr>
                <w:r w:rsidRPr="00E46723">
                  <w:t>Impact analysis</w:t>
                </w:r>
                <w:r w:rsidRPr="00E46723">
                  <w:tab/>
                </w:r>
                <w:r w:rsidR="00BF6019">
                  <w:fldChar w:fldCharType="begin"/>
                </w:r>
                <w:r>
                  <w:instrText xml:space="preserve"> PAGE   \* MERGEFORMAT </w:instrText>
                </w:r>
                <w:r w:rsidR="00BF6019">
                  <w:fldChar w:fldCharType="separate"/>
                </w:r>
                <w:r w:rsidR="00A73165">
                  <w:t>79</w:t>
                </w:r>
                <w:r w:rsidR="00BF6019">
                  <w:fldChar w:fldCharType="end"/>
                </w:r>
              </w:p>
            </w:txbxContent>
          </v:textbox>
          <w10:wrap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57" o:spid="_x0000_s2155" type="#_x0000_t136" style="position:absolute;margin-left:0;margin-top:0;width:454.5pt;height:181.8pt;rotation:315;z-index:-251653120;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60" o:spid="_x0000_s2158" type="#_x0000_t136" style="position:absolute;margin-left:0;margin-top:0;width:454.5pt;height:181.8pt;rotation:315;z-index:-251650048;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12" o:spid="_x0000_s2110" type="#_x0000_t136" style="position:absolute;margin-left:0;margin-top:0;width:454.5pt;height:181.8pt;rotation:315;z-index:-251696128;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E46723" w:rsidRDefault="00BF6019" w:rsidP="00E46723">
    <w:r>
      <w:rPr>
        <w:noProof/>
      </w:rPr>
      <w:pict>
        <v:shapetype id="_x0000_t202" coordsize="21600,21600" o:spt="202" path="m,l,21600r21600,l21600,xe">
          <v:stroke joinstyle="miter"/>
          <v:path gradientshapeok="t" o:connecttype="rect"/>
        </v:shapetype>
        <v:shape id="Text Box 3" o:spid="_x0000_s2211" type="#_x0000_t202" style="position:absolute;margin-left:5.45pt;margin-top:74.55pt;width:45.05pt;height:446.15pt;z-index:251723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" filled="f" stroked="f">
          <v:textbox style="layout-flow:vertical-ideographic">
            <w:txbxContent>
              <w:p w:rsidR="0085182E" w:rsidRPr="00A86FF2" w:rsidRDefault="0085182E" w:rsidP="00E46723">
                <w:pPr>
                  <w:pStyle w:val="Footer"/>
                  <w:tabs>
                    <w:tab w:val="right" w:pos="9356"/>
                  </w:tabs>
                </w:pPr>
              </w:p>
            </w:txbxContent>
          </v:textbox>
          <w10:wrap anchorx="margin" anchory="page"/>
        </v:shape>
      </w:pict>
    </w:r>
    <w:r>
      <w:rPr>
        <w:noProof/>
      </w:rPr>
      <w:pict>
        <v:shape id="Text Box 4" o:spid="_x0000_s2210" type="#_x0000_t202" style="position:absolute;margin-left:-75.1pt;margin-top:74.55pt;width:45.05pt;height:446.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" filled="f" stroked="f">
          <v:textbox style="layout-flow:vertical-ideographic">
            <w:txbxContent>
              <w:p w:rsidR="0085182E" w:rsidRPr="00A86FF2" w:rsidRDefault="00BF6019" w:rsidP="0085182E">
                <w:pPr>
                  <w:pStyle w:val="FooterText"/>
                </w:pPr>
                <w:r w:rsidRPr="00A86FF2">
                  <w:fldChar w:fldCharType="begin"/>
                </w:r>
                <w:r w:rsidR="0085182E" w:rsidRPr="00A86FF2">
                  <w:instrText xml:space="preserve"> PAGE </w:instrText>
                </w:r>
                <w:r w:rsidRPr="00A86FF2">
                  <w:fldChar w:fldCharType="separate"/>
                </w:r>
                <w:r w:rsidR="00A73165">
                  <w:t>86</w:t>
                </w:r>
                <w:r w:rsidRPr="00A86FF2">
                  <w:fldChar w:fldCharType="end"/>
                </w:r>
                <w:r w:rsidR="0085182E">
                  <w:tab/>
                </w:r>
                <w:r w:rsidR="0085182E" w:rsidRPr="005D2403">
                  <w:t>Impact statement on the draft variation to the AAQ NEPM</w:t>
                </w:r>
              </w:p>
            </w:txbxContent>
          </v:textbox>
          <w10:wrap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0D62B6" w:rsidRDefault="00BF6019" w:rsidP="000D62B6">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65" o:spid="_x0000_s2163" type="#_x0000_t136" style="position:absolute;margin-left:0;margin-top:0;width:454.5pt;height:181.8pt;rotation:315;z-index:-251644928;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r>
      <w:rPr>
        <w:noProof/>
      </w:rPr>
      <w:pict>
        <v:shapetype id="_x0000_t202" coordsize="21600,21600" o:spt="202" path="m,l,21600r21600,l21600,xe">
          <v:stroke joinstyle="miter"/>
          <v:path gradientshapeok="t" o:connecttype="rect"/>
        </v:shapetype>
        <v:shape id="Text Box 51" o:spid="_x0000_s2209" type="#_x0000_t202" style="position:absolute;margin-left:702pt;margin-top:54.75pt;width:45pt;height:457.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" filled="f" stroked="f">
          <v:textbox style="layout-flow:vertical-ideographic">
            <w:txbxContent>
              <w:p w:rsidR="0085182E" w:rsidRPr="000C3C41" w:rsidRDefault="0085182E" w:rsidP="000D62B6">
                <w:pPr>
                  <w:pStyle w:val="Header"/>
                </w:pPr>
              </w:p>
            </w:txbxContent>
          </v:textbox>
        </v:shape>
      </w:pict>
    </w:r>
    <w:r>
      <w:rPr>
        <w:noProof/>
      </w:rPr>
      <w:pict>
        <v:shape id="Text Box 50" o:spid="_x0000_s2208" type="#_x0000_t202" style="position:absolute;margin-left:-67.35pt;margin-top:54.4pt;width:45pt;height:457.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" filled="f" stroked="f">
          <v:textbox style="layout-flow:vertical-ideographic">
            <w:txbxContent>
              <w:p w:rsidR="0085182E" w:rsidRPr="000C3C41" w:rsidRDefault="0085182E" w:rsidP="0085182E">
                <w:pPr>
                  <w:pStyle w:val="FooterText"/>
                </w:pPr>
                <w:r w:rsidRPr="006523DC">
                  <w:t>Impact analysis</w:t>
                </w:r>
                <w:r>
                  <w:tab/>
                </w:r>
                <w:r w:rsidR="00BF6019" w:rsidRPr="00CD39A2">
                  <w:fldChar w:fldCharType="begin"/>
                </w:r>
                <w:r w:rsidRPr="00CD39A2">
                  <w:instrText xml:space="preserve"> PAGE   \* MERGEFORMAT </w:instrText>
                </w:r>
                <w:r w:rsidR="00BF6019" w:rsidRPr="00CD39A2">
                  <w:fldChar w:fldCharType="separate"/>
                </w:r>
                <w:r>
                  <w:t>85</w:t>
                </w:r>
                <w:r w:rsidR="00BF6019" w:rsidRPr="00CD39A2">
                  <w:fldChar w:fldCharType="end"/>
                </w:r>
              </w:p>
            </w:txbxContent>
          </v:textbox>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63" o:spid="_x0000_s2161" type="#_x0000_t136" style="position:absolute;margin-left:0;margin-top:0;width:454.5pt;height:181.8pt;rotation:315;z-index:-251646976;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67" o:spid="_x0000_s2165" type="#_x0000_t136" style="position:absolute;margin-left:0;margin-top:0;width:454.5pt;height:181.8pt;rotation:315;z-index:-251642880;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66" o:spid="_x0000_s2164" type="#_x0000_t136" style="position:absolute;margin-left:0;margin-top:0;width:454.5pt;height:181.8pt;rotation:315;z-index:-251643904;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69" o:spid="_x0000_s2167" type="#_x0000_t136" style="position:absolute;margin-left:0;margin-top:0;width:454.5pt;height:181.8pt;rotation:315;z-index:-251640832;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72" o:spid="_x0000_s2170" type="#_x0000_t136" style="position:absolute;margin-left:0;margin-top:0;width:454.5pt;height:181.8pt;rotation:315;z-index:-251637760;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75" o:spid="_x0000_s2173" type="#_x0000_t136" style="position:absolute;margin-left:0;margin-top:0;width:454.5pt;height:181.8pt;rotation:315;z-index:-251634688;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78" o:spid="_x0000_s2176" type="#_x0000_t136" style="position:absolute;margin-left:0;margin-top:0;width:454.5pt;height:181.8pt;rotation:315;z-index:-251631616;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81" o:spid="_x0000_s2179" type="#_x0000_t136" style="position:absolute;margin-left:0;margin-top:0;width:454.5pt;height:181.8pt;rotation:315;z-index:-251628544;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84" o:spid="_x0000_s2182" type="#_x0000_t136" style="position:absolute;margin-left:0;margin-top:0;width:454.5pt;height:181.8pt;rotation:315;z-index:-251625472;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87" o:spid="_x0000_s2185" type="#_x0000_t136" style="position:absolute;margin-left:0;margin-top:0;width:454.5pt;height:181.8pt;rotation:315;z-index:-251622400;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90" o:spid="_x0000_s2188" type="#_x0000_t136" style="position:absolute;margin-left:0;margin-top:0;width:454.5pt;height:181.8pt;rotation:315;z-index:-251619328;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93" o:spid="_x0000_s2191" type="#_x0000_t136" style="position:absolute;margin-left:0;margin-top:0;width:454.5pt;height:181.8pt;rotation:315;z-index:-251616256;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D2403" w:rsidRDefault="00BF6019" w:rsidP="005D2403">
    <w:r>
      <w:rPr>
        <w:noProof/>
      </w:rPr>
      <w:pict>
        <v:shapetype id="_x0000_t202" coordsize="21600,21600" o:spt="202" path="m,l,21600r21600,l21600,xe">
          <v:stroke joinstyle="miter"/>
          <v:path gradientshapeok="t" o:connecttype="rect"/>
        </v:shapetype>
        <v:shape id="Text Box 2" o:spid="_x0000_s2207" type="#_x0000_t202" style="position:absolute;margin-left:5.45pt;margin-top:74.55pt;width:45.05pt;height:446.15pt;z-index:2517207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" filled="f" stroked="f">
          <v:textbox style="layout-flow:vertical-ideographic">
            <w:txbxContent>
              <w:p w:rsidR="0085182E" w:rsidRPr="00A86FF2" w:rsidRDefault="0085182E" w:rsidP="005D2403">
                <w:pPr>
                  <w:pStyle w:val="Footer"/>
                  <w:tabs>
                    <w:tab w:val="right" w:pos="9356"/>
                  </w:tabs>
                </w:pPr>
              </w:p>
            </w:txbxContent>
          </v:textbox>
          <w10:wrap anchorx="margin" anchory="page"/>
        </v:shape>
      </w:pict>
    </w:r>
    <w:r>
      <w:rPr>
        <w:noProof/>
      </w:rPr>
      <w:pict>
        <v:shape id="Text Box 1" o:spid="_x0000_s2206" type="#_x0000_t202" style="position:absolute;margin-left:-75.1pt;margin-top:74.55pt;width:45.05pt;height:446.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" filled="f" stroked="f">
          <v:textbox style="layout-flow:vertical-ideographic">
            <w:txbxContent>
              <w:p w:rsidR="0085182E" w:rsidRPr="00A86FF2" w:rsidRDefault="00BF6019" w:rsidP="0085182E">
                <w:pPr>
                  <w:pStyle w:val="FooterText"/>
                </w:pPr>
                <w:r w:rsidRPr="00A86FF2">
                  <w:fldChar w:fldCharType="begin"/>
                </w:r>
                <w:r w:rsidR="0085182E" w:rsidRPr="00A86FF2">
                  <w:instrText xml:space="preserve"> PAGE </w:instrText>
                </w:r>
                <w:r w:rsidRPr="00A86FF2">
                  <w:fldChar w:fldCharType="separate"/>
                </w:r>
                <w:r w:rsidR="00A73165">
                  <w:t>124</w:t>
                </w:r>
                <w:r w:rsidRPr="00A86FF2">
                  <w:fldChar w:fldCharType="end"/>
                </w:r>
                <w:r w:rsidR="0085182E">
                  <w:tab/>
                </w:r>
                <w:r w:rsidR="0085182E" w:rsidRPr="005D2403">
                  <w:t>Impact statement on the draft variation to the AAQ NEPM</w:t>
                </w:r>
              </w:p>
            </w:txbxContent>
          </v:textbox>
          <w10:wrap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E46723" w:rsidRDefault="00BF6019" w:rsidP="00E46723">
    <w:r>
      <w:rPr>
        <w:noProof/>
      </w:rPr>
      <w:pict>
        <v:shapetype id="_x0000_t202" coordsize="21600,21600" o:spt="202" path="m,l,21600r21600,l21600,xe">
          <v:stroke joinstyle="miter"/>
          <v:path gradientshapeok="t" o:connecttype="rect"/>
        </v:shapetype>
        <v:shape id="Text Box 81" o:spid="_x0000_s2205" type="#_x0000_t202" style="position:absolute;margin-left:5.45pt;margin-top:74.55pt;width:45.05pt;height:446.15pt;z-index:251736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" filled="f" stroked="f">
          <v:textbox style="layout-flow:vertical-ideographic">
            <w:txbxContent>
              <w:p w:rsidR="0085182E" w:rsidRPr="00A86FF2" w:rsidRDefault="0085182E" w:rsidP="00E46723">
                <w:pPr>
                  <w:pStyle w:val="Footer"/>
                  <w:tabs>
                    <w:tab w:val="right" w:pos="9356"/>
                  </w:tabs>
                </w:pPr>
              </w:p>
            </w:txbxContent>
          </v:textbox>
          <w10:wrap anchorx="margin" anchory="page"/>
        </v:shape>
      </w:pict>
    </w:r>
    <w:r>
      <w:rPr>
        <w:noProof/>
      </w:rPr>
      <w:pict>
        <v:shape id="Text Box 82" o:spid="_x0000_s2204" type="#_x0000_t202" style="position:absolute;margin-left:-75.1pt;margin-top:74.55pt;width:45.05pt;height:446.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" filled="f" stroked="f">
          <v:textbox style="layout-flow:vertical-ideographic">
            <w:txbxContent>
              <w:p w:rsidR="0085182E" w:rsidRPr="00A86FF2" w:rsidRDefault="0085182E" w:rsidP="0085182E">
                <w:pPr>
                  <w:pStyle w:val="FooterText"/>
                </w:pPr>
                <w:r w:rsidRPr="00E46723">
                  <w:t>Appendix D: PM</w:t>
                </w:r>
                <w:r>
                  <w:rPr>
                    <w:vertAlign w:val="subscript"/>
                  </w:rPr>
                  <w:t>10</w:t>
                </w:r>
                <w:r w:rsidRPr="00E46723">
                  <w:t xml:space="preserve"> and PM</w:t>
                </w:r>
                <w:r>
                  <w:rPr>
                    <w:vertAlign w:val="subscript"/>
                  </w:rPr>
                  <w:t>2.5</w:t>
                </w:r>
                <w:r w:rsidRPr="00E46723">
                  <w:t xml:space="preserve"> monitoring sites in Australia</w:t>
                </w:r>
                <w:r w:rsidRPr="00E46723">
                  <w:tab/>
                </w:r>
                <w:r w:rsidR="00BF6019">
                  <w:fldChar w:fldCharType="begin"/>
                </w:r>
                <w:r>
                  <w:instrText xml:space="preserve"> PAGE   \* MERGEFORMAT </w:instrText>
                </w:r>
                <w:r w:rsidR="00BF6019">
                  <w:fldChar w:fldCharType="separate"/>
                </w:r>
                <w:r w:rsidR="00A73165">
                  <w:t>123</w:t>
                </w:r>
                <w:r w:rsidR="00BF6019">
                  <w:fldChar w:fldCharType="end"/>
                </w:r>
              </w:p>
            </w:txbxContent>
          </v:textbox>
          <w10:wrap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96" o:spid="_x0000_s2194" type="#_x0000_t136" style="position:absolute;margin-left:0;margin-top:0;width:454.5pt;height:181.8pt;rotation:315;z-index:-251613184;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rsidP="00467ED4">
    <w:pP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6000" o:spid="_x0000_s2198" type="#_x0000_t136" style="position:absolute;left:0;text-align:left;margin-left:0;margin-top:0;width:454.5pt;height:181.8pt;rotation:315;z-index:-251609088;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p w:rsidR="0085182E" w:rsidRPr="00E93055" w:rsidRDefault="0085182E" w:rsidP="00467ED4">
    <w:pPr>
      <w:pStyle w:val="Header"/>
      <w:pBdr>
        <w:bottom w:val="single" w:sz="4" w:space="11" w:color="0076C0"/>
      </w:pBdr>
      <w:jc w:val="right"/>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99" o:spid="_x0000_s2197" type="#_x0000_t136" style="position:absolute;margin-left:0;margin-top:0;width:454.5pt;height:181.8pt;rotation:315;z-index:-251610112;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6002" o:spid="_x0000_s2200" type="#_x0000_t136" style="position:absolute;margin-left:0;margin-top:0;width:454.5pt;height:181.8pt;rotation:315;z-index:-251607040;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5915" o:spid="_x0000_s2113" type="#_x0000_t136" style="position:absolute;margin-left:0;margin-top:0;width:454.5pt;height:181.8pt;rotation:315;z-index:-251693056;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Default="00BF60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6005" o:spid="_x0000_s2203" type="#_x0000_t136" style="position:absolute;margin-left:0;margin-top:0;width:454.5pt;height:181.8pt;rotation:315;z-index:-251603968;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2E" w:rsidRPr="005C0566" w:rsidRDefault="0085182E" w:rsidP="005C056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7E424B0"/>
    <w:lvl w:ilvl="0">
      <w:start w:val="1"/>
      <w:numFmt w:val="decimal"/>
      <w:lvlText w:val="%1."/>
      <w:lvlJc w:val="left"/>
      <w:pPr>
        <w:tabs>
          <w:tab w:val="num" w:pos="1492"/>
        </w:tabs>
        <w:ind w:left="1492" w:hanging="360"/>
      </w:pPr>
    </w:lvl>
  </w:abstractNum>
  <w:abstractNum w:abstractNumId="1">
    <w:nsid w:val="FFFFFF7D"/>
    <w:multiLevelType w:val="singleLevel"/>
    <w:tmpl w:val="64F22F64"/>
    <w:lvl w:ilvl="0">
      <w:start w:val="1"/>
      <w:numFmt w:val="decimal"/>
      <w:lvlText w:val="%1."/>
      <w:lvlJc w:val="left"/>
      <w:pPr>
        <w:tabs>
          <w:tab w:val="num" w:pos="1209"/>
        </w:tabs>
        <w:ind w:left="1209" w:hanging="360"/>
      </w:pPr>
    </w:lvl>
  </w:abstractNum>
  <w:abstractNum w:abstractNumId="2">
    <w:nsid w:val="FFFFFF7E"/>
    <w:multiLevelType w:val="singleLevel"/>
    <w:tmpl w:val="D93C87BA"/>
    <w:lvl w:ilvl="0">
      <w:start w:val="1"/>
      <w:numFmt w:val="decimal"/>
      <w:lvlText w:val="%1."/>
      <w:lvlJc w:val="left"/>
      <w:pPr>
        <w:tabs>
          <w:tab w:val="num" w:pos="926"/>
        </w:tabs>
        <w:ind w:left="926" w:hanging="360"/>
      </w:pPr>
    </w:lvl>
  </w:abstractNum>
  <w:abstractNum w:abstractNumId="3">
    <w:nsid w:val="FFFFFF7F"/>
    <w:multiLevelType w:val="singleLevel"/>
    <w:tmpl w:val="1E2E3EE8"/>
    <w:lvl w:ilvl="0">
      <w:start w:val="1"/>
      <w:numFmt w:val="decimal"/>
      <w:lvlText w:val="%1."/>
      <w:lvlJc w:val="left"/>
      <w:pPr>
        <w:tabs>
          <w:tab w:val="num" w:pos="643"/>
        </w:tabs>
        <w:ind w:left="643" w:hanging="360"/>
      </w:pPr>
    </w:lvl>
  </w:abstractNum>
  <w:abstractNum w:abstractNumId="4">
    <w:nsid w:val="FFFFFF80"/>
    <w:multiLevelType w:val="singleLevel"/>
    <w:tmpl w:val="33EE786A"/>
    <w:lvl w:ilvl="0">
      <w:start w:val="1"/>
      <w:numFmt w:val="bullet"/>
      <w:lvlText w:val=""/>
      <w:lvlJc w:val="left"/>
      <w:pPr>
        <w:tabs>
          <w:tab w:val="num" w:pos="1492"/>
        </w:tabs>
        <w:ind w:left="1492" w:hanging="360"/>
      </w:pPr>
      <w:rPr>
        <w:rFonts w:ascii="Symbol" w:hAnsi="Symbol" w:hint="default"/>
      </w:rPr>
    </w:lvl>
  </w:abstractNum>
  <w:abstractNum w:abstractNumId="5">
    <w:nsid w:val="FFFFFF88"/>
    <w:multiLevelType w:val="singleLevel"/>
    <w:tmpl w:val="CD4EBB04"/>
    <w:lvl w:ilvl="0">
      <w:start w:val="1"/>
      <w:numFmt w:val="decimal"/>
      <w:lvlText w:val="%1."/>
      <w:lvlJc w:val="left"/>
      <w:pPr>
        <w:tabs>
          <w:tab w:val="num" w:pos="360"/>
        </w:tabs>
        <w:ind w:left="360" w:hanging="360"/>
      </w:pPr>
    </w:lvl>
  </w:abstractNum>
  <w:abstractNum w:abstractNumId="6">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7">
    <w:nsid w:val="001A22AC"/>
    <w:multiLevelType w:val="hybridMultilevel"/>
    <w:tmpl w:val="BC52447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09B629E"/>
    <w:multiLevelType w:val="hybridMultilevel"/>
    <w:tmpl w:val="3956F20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19438DC"/>
    <w:multiLevelType w:val="hybridMultilevel"/>
    <w:tmpl w:val="64220B42"/>
    <w:lvl w:ilvl="0" w:tplc="1168373C">
      <w:start w:val="1"/>
      <w:numFmt w:val="lowerLetter"/>
      <w:lvlText w:val="(%1)"/>
      <w:lvlJc w:val="left"/>
      <w:pPr>
        <w:ind w:left="720" w:hanging="360"/>
      </w:pPr>
      <w:rPr>
        <w:rFonts w:hint="default"/>
      </w:rPr>
    </w:lvl>
    <w:lvl w:ilvl="1" w:tplc="807C8D08" w:tentative="1">
      <w:start w:val="1"/>
      <w:numFmt w:val="lowerLetter"/>
      <w:lvlText w:val="%2."/>
      <w:lvlJc w:val="left"/>
      <w:pPr>
        <w:ind w:left="1440" w:hanging="360"/>
      </w:pPr>
    </w:lvl>
    <w:lvl w:ilvl="2" w:tplc="1038A8F8" w:tentative="1">
      <w:start w:val="1"/>
      <w:numFmt w:val="lowerRoman"/>
      <w:lvlText w:val="%3."/>
      <w:lvlJc w:val="right"/>
      <w:pPr>
        <w:ind w:left="2160" w:hanging="180"/>
      </w:pPr>
    </w:lvl>
    <w:lvl w:ilvl="3" w:tplc="C56E995C" w:tentative="1">
      <w:start w:val="1"/>
      <w:numFmt w:val="decimal"/>
      <w:lvlText w:val="%4."/>
      <w:lvlJc w:val="left"/>
      <w:pPr>
        <w:ind w:left="2880" w:hanging="360"/>
      </w:pPr>
    </w:lvl>
    <w:lvl w:ilvl="4" w:tplc="E2A67DF8" w:tentative="1">
      <w:start w:val="1"/>
      <w:numFmt w:val="lowerLetter"/>
      <w:lvlText w:val="%5."/>
      <w:lvlJc w:val="left"/>
      <w:pPr>
        <w:ind w:left="3600" w:hanging="360"/>
      </w:pPr>
    </w:lvl>
    <w:lvl w:ilvl="5" w:tplc="18F835E4" w:tentative="1">
      <w:start w:val="1"/>
      <w:numFmt w:val="lowerRoman"/>
      <w:lvlText w:val="%6."/>
      <w:lvlJc w:val="right"/>
      <w:pPr>
        <w:ind w:left="4320" w:hanging="180"/>
      </w:pPr>
    </w:lvl>
    <w:lvl w:ilvl="6" w:tplc="CCA0C0C4" w:tentative="1">
      <w:start w:val="1"/>
      <w:numFmt w:val="decimal"/>
      <w:lvlText w:val="%7."/>
      <w:lvlJc w:val="left"/>
      <w:pPr>
        <w:ind w:left="5040" w:hanging="360"/>
      </w:pPr>
    </w:lvl>
    <w:lvl w:ilvl="7" w:tplc="9C669BA6" w:tentative="1">
      <w:start w:val="1"/>
      <w:numFmt w:val="lowerLetter"/>
      <w:lvlText w:val="%8."/>
      <w:lvlJc w:val="left"/>
      <w:pPr>
        <w:ind w:left="5760" w:hanging="360"/>
      </w:pPr>
    </w:lvl>
    <w:lvl w:ilvl="8" w:tplc="A0D82B08" w:tentative="1">
      <w:start w:val="1"/>
      <w:numFmt w:val="lowerRoman"/>
      <w:lvlText w:val="%9."/>
      <w:lvlJc w:val="right"/>
      <w:pPr>
        <w:ind w:left="6480" w:hanging="180"/>
      </w:pPr>
    </w:lvl>
  </w:abstractNum>
  <w:abstractNum w:abstractNumId="10">
    <w:nsid w:val="029F3AAF"/>
    <w:multiLevelType w:val="hybridMultilevel"/>
    <w:tmpl w:val="3424D512"/>
    <w:lvl w:ilvl="0" w:tplc="0C09000B">
      <w:start w:val="1"/>
      <w:numFmt w:val="bullet"/>
      <w:lvlText w:val=""/>
      <w:lvlJc w:val="left"/>
      <w:pPr>
        <w:ind w:left="1080" w:hanging="360"/>
      </w:pPr>
      <w:rPr>
        <w:rFonts w:ascii="Wingdings" w:hAnsi="Wingdings" w:hint="default"/>
        <w:color w:val="auto"/>
        <w:sz w:val="18"/>
        <w:szCs w:val="18"/>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start w:val="1"/>
      <w:numFmt w:val="bullet"/>
      <w:lvlText w:val=""/>
      <w:lvlJc w:val="left"/>
      <w:pPr>
        <w:tabs>
          <w:tab w:val="num" w:pos="2880"/>
        </w:tabs>
        <w:ind w:left="2880" w:hanging="360"/>
      </w:pPr>
      <w:rPr>
        <w:rFonts w:ascii="Wingdings" w:hAnsi="Wingdings" w:hint="default"/>
      </w:rPr>
    </w:lvl>
    <w:lvl w:ilvl="3" w:tplc="0C09000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1">
    <w:nsid w:val="03046DAA"/>
    <w:multiLevelType w:val="hybridMultilevel"/>
    <w:tmpl w:val="E634F20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4415242"/>
    <w:multiLevelType w:val="hybridMultilevel"/>
    <w:tmpl w:val="CFBCE9C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54F58A5"/>
    <w:multiLevelType w:val="hybridMultilevel"/>
    <w:tmpl w:val="D786BDFA"/>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05885F1D"/>
    <w:multiLevelType w:val="hybridMultilevel"/>
    <w:tmpl w:val="52504A8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615738E"/>
    <w:multiLevelType w:val="hybridMultilevel"/>
    <w:tmpl w:val="D3921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067977AC"/>
    <w:multiLevelType w:val="hybridMultilevel"/>
    <w:tmpl w:val="BFE67C4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06D53898"/>
    <w:multiLevelType w:val="hybridMultilevel"/>
    <w:tmpl w:val="185CC5DE"/>
    <w:lvl w:ilvl="0" w:tplc="E79620B8">
      <w:start w:val="1"/>
      <w:numFmt w:val="bullet"/>
      <w:pStyle w:val="Bulletedlist"/>
      <w:lvlText w:val=""/>
      <w:lvlJc w:val="left"/>
      <w:pPr>
        <w:tabs>
          <w:tab w:val="num" w:pos="1080"/>
        </w:tabs>
        <w:ind w:left="1080" w:hanging="360"/>
      </w:pPr>
      <w:rPr>
        <w:rFonts w:ascii="Symbol" w:hAnsi="Symbol" w:hint="default"/>
        <w:color w:val="auto"/>
        <w:sz w:val="16"/>
        <w:szCs w:val="16"/>
      </w:rPr>
    </w:lvl>
    <w:lvl w:ilvl="1" w:tplc="8FE4C90E">
      <w:numFmt w:val="bullet"/>
      <w:lvlText w:val=""/>
      <w:lvlJc w:val="left"/>
      <w:pPr>
        <w:tabs>
          <w:tab w:val="num" w:pos="1440"/>
        </w:tabs>
        <w:ind w:left="1440" w:hanging="360"/>
      </w:pPr>
      <w:rPr>
        <w:rFonts w:ascii="Symbol" w:hAnsi="Symbol" w:hint="default"/>
        <w:color w:val="auto"/>
        <w:sz w:val="16"/>
        <w:szCs w:val="16"/>
      </w:rPr>
    </w:lvl>
    <w:lvl w:ilvl="2" w:tplc="ABBE3940" w:tentative="1">
      <w:start w:val="1"/>
      <w:numFmt w:val="bullet"/>
      <w:lvlText w:val=""/>
      <w:lvlJc w:val="left"/>
      <w:pPr>
        <w:tabs>
          <w:tab w:val="num" w:pos="2160"/>
        </w:tabs>
        <w:ind w:left="2160" w:hanging="360"/>
      </w:pPr>
      <w:rPr>
        <w:rFonts w:ascii="Wingdings" w:hAnsi="Wingdings" w:hint="default"/>
      </w:rPr>
    </w:lvl>
    <w:lvl w:ilvl="3" w:tplc="CD06187C" w:tentative="1">
      <w:start w:val="1"/>
      <w:numFmt w:val="bullet"/>
      <w:lvlText w:val=""/>
      <w:lvlJc w:val="left"/>
      <w:pPr>
        <w:tabs>
          <w:tab w:val="num" w:pos="2880"/>
        </w:tabs>
        <w:ind w:left="2880" w:hanging="360"/>
      </w:pPr>
      <w:rPr>
        <w:rFonts w:ascii="Symbol" w:hAnsi="Symbol" w:hint="default"/>
      </w:rPr>
    </w:lvl>
    <w:lvl w:ilvl="4" w:tplc="9DDA38AE" w:tentative="1">
      <w:start w:val="1"/>
      <w:numFmt w:val="bullet"/>
      <w:lvlText w:val="o"/>
      <w:lvlJc w:val="left"/>
      <w:pPr>
        <w:tabs>
          <w:tab w:val="num" w:pos="3600"/>
        </w:tabs>
        <w:ind w:left="3600" w:hanging="360"/>
      </w:pPr>
      <w:rPr>
        <w:rFonts w:ascii="Courier New" w:hAnsi="Courier New" w:cs="Courier New" w:hint="default"/>
      </w:rPr>
    </w:lvl>
    <w:lvl w:ilvl="5" w:tplc="E62A7166" w:tentative="1">
      <w:start w:val="1"/>
      <w:numFmt w:val="bullet"/>
      <w:lvlText w:val=""/>
      <w:lvlJc w:val="left"/>
      <w:pPr>
        <w:tabs>
          <w:tab w:val="num" w:pos="4320"/>
        </w:tabs>
        <w:ind w:left="4320" w:hanging="360"/>
      </w:pPr>
      <w:rPr>
        <w:rFonts w:ascii="Wingdings" w:hAnsi="Wingdings" w:hint="default"/>
      </w:rPr>
    </w:lvl>
    <w:lvl w:ilvl="6" w:tplc="AF7E0538" w:tentative="1">
      <w:start w:val="1"/>
      <w:numFmt w:val="bullet"/>
      <w:lvlText w:val=""/>
      <w:lvlJc w:val="left"/>
      <w:pPr>
        <w:tabs>
          <w:tab w:val="num" w:pos="5040"/>
        </w:tabs>
        <w:ind w:left="5040" w:hanging="360"/>
      </w:pPr>
      <w:rPr>
        <w:rFonts w:ascii="Symbol" w:hAnsi="Symbol" w:hint="default"/>
      </w:rPr>
    </w:lvl>
    <w:lvl w:ilvl="7" w:tplc="B0C4E69E" w:tentative="1">
      <w:start w:val="1"/>
      <w:numFmt w:val="bullet"/>
      <w:lvlText w:val="o"/>
      <w:lvlJc w:val="left"/>
      <w:pPr>
        <w:tabs>
          <w:tab w:val="num" w:pos="5760"/>
        </w:tabs>
        <w:ind w:left="5760" w:hanging="360"/>
      </w:pPr>
      <w:rPr>
        <w:rFonts w:ascii="Courier New" w:hAnsi="Courier New" w:cs="Courier New" w:hint="default"/>
      </w:rPr>
    </w:lvl>
    <w:lvl w:ilvl="8" w:tplc="DE38BDD2" w:tentative="1">
      <w:start w:val="1"/>
      <w:numFmt w:val="bullet"/>
      <w:lvlText w:val=""/>
      <w:lvlJc w:val="left"/>
      <w:pPr>
        <w:tabs>
          <w:tab w:val="num" w:pos="6480"/>
        </w:tabs>
        <w:ind w:left="6480" w:hanging="360"/>
      </w:pPr>
      <w:rPr>
        <w:rFonts w:ascii="Wingdings" w:hAnsi="Wingdings" w:hint="default"/>
      </w:rPr>
    </w:lvl>
  </w:abstractNum>
  <w:abstractNum w:abstractNumId="18">
    <w:nsid w:val="07A03451"/>
    <w:multiLevelType w:val="hybridMultilevel"/>
    <w:tmpl w:val="662AE65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08B0075B"/>
    <w:multiLevelType w:val="hybridMultilevel"/>
    <w:tmpl w:val="B742DDFA"/>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09FD5B16"/>
    <w:multiLevelType w:val="hybridMultilevel"/>
    <w:tmpl w:val="FAF413AE"/>
    <w:lvl w:ilvl="0" w:tplc="0CA67D5A">
      <w:numFmt w:val="bullet"/>
      <w:pStyle w:val="PELTableBullet"/>
      <w:lvlText w:val="-"/>
      <w:lvlJc w:val="left"/>
      <w:pPr>
        <w:ind w:left="720" w:hanging="360"/>
      </w:pPr>
      <w:rPr>
        <w:rFonts w:ascii="Century Gothic" w:eastAsia="Times New Roman" w:hAnsi="Century Gothic" w:cs="Century Gothic"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1">
    <w:nsid w:val="0B5F7933"/>
    <w:multiLevelType w:val="hybridMultilevel"/>
    <w:tmpl w:val="D5E42CA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0E4B779C"/>
    <w:multiLevelType w:val="multilevel"/>
    <w:tmpl w:val="2A403AFA"/>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430"/>
        </w:tabs>
        <w:ind w:left="1430" w:hanging="720"/>
      </w:pPr>
      <w:rPr>
        <w:b/>
        <w:bCs w:val="0"/>
        <w:i w:val="0"/>
        <w:iCs w:val="0"/>
        <w:caps w:val="0"/>
        <w:smallCaps w:val="0"/>
        <w:strike w:val="0"/>
        <w:dstrike w:val="0"/>
        <w:noProof w:val="0"/>
        <w:vanish w:val="0"/>
        <w:color w:val="0070C0"/>
        <w:spacing w:val="0"/>
        <w:kern w:val="0"/>
        <w:position w:val="0"/>
        <w:u w:val="none"/>
        <w:effect w:val="none"/>
        <w:vertAlign w:val="baseline"/>
        <w:em w:val="none"/>
        <w:specVanish w:val="0"/>
      </w:rPr>
    </w:lvl>
    <w:lvl w:ilvl="3">
      <w:start w:val="1"/>
      <w:numFmt w:val="decimal"/>
      <w:pStyle w:val="Heading4"/>
      <w:lvlText w:val="%1.%2.%3.%4"/>
      <w:lvlJc w:val="left"/>
      <w:pPr>
        <w:tabs>
          <w:tab w:val="num" w:pos="1574"/>
        </w:tabs>
        <w:ind w:left="1574" w:hanging="864"/>
      </w:pPr>
      <w:rPr>
        <w:rFonts w:hint="default"/>
        <w:color w:val="0070C0"/>
      </w:rPr>
    </w:lvl>
    <w:lvl w:ilvl="4">
      <w:start w:val="1"/>
      <w:numFmt w:val="decimal"/>
      <w:pStyle w:val="Heading5"/>
      <w:lvlText w:val="%1.%2.%3.%4.%5"/>
      <w:lvlJc w:val="left"/>
      <w:pPr>
        <w:tabs>
          <w:tab w:val="num" w:pos="1008"/>
        </w:tabs>
        <w:ind w:left="1008" w:hanging="1008"/>
      </w:pPr>
      <w:rPr>
        <w:rFonts w:hint="default"/>
      </w:rPr>
    </w:lvl>
    <w:lvl w:ilvl="5">
      <w:start w:val="1"/>
      <w:numFmt w:val="upperLetter"/>
      <w:pStyle w:val="Heading6"/>
      <w:suff w:val="nothing"/>
      <w:lvlText w:val="Appendix %6"/>
      <w:lvlJc w:val="left"/>
      <w:pPr>
        <w:ind w:left="2002" w:hanging="1151"/>
      </w:pPr>
      <w:rPr>
        <w:b/>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pStyle w:val="Heading7"/>
      <w:lvlText w:val="%6.%7"/>
      <w:lvlJc w:val="left"/>
      <w:pPr>
        <w:tabs>
          <w:tab w:val="num" w:pos="1296"/>
        </w:tabs>
        <w:ind w:left="1296" w:hanging="1296"/>
      </w:pPr>
      <w:rPr>
        <w:rFonts w:hint="default"/>
      </w:rPr>
    </w:lvl>
    <w:lvl w:ilvl="7">
      <w:start w:val="1"/>
      <w:numFmt w:val="decimal"/>
      <w:pStyle w:val="Heading8"/>
      <w:lvlText w:val="%6.%7.%8"/>
      <w:lvlJc w:val="left"/>
      <w:pPr>
        <w:tabs>
          <w:tab w:val="num" w:pos="1440"/>
        </w:tabs>
        <w:ind w:left="1440" w:hanging="1440"/>
      </w:pPr>
      <w:rPr>
        <w:rFonts w:hint="default"/>
      </w:rPr>
    </w:lvl>
    <w:lvl w:ilvl="8">
      <w:start w:val="1"/>
      <w:numFmt w:val="decimal"/>
      <w:pStyle w:val="Heading9"/>
      <w:lvlText w:val="%6.%7.%8.%9"/>
      <w:lvlJc w:val="left"/>
      <w:pPr>
        <w:tabs>
          <w:tab w:val="num" w:pos="1584"/>
        </w:tabs>
        <w:ind w:left="1584" w:hanging="1584"/>
      </w:pPr>
      <w:rPr>
        <w:rFonts w:hint="default"/>
      </w:rPr>
    </w:lvl>
  </w:abstractNum>
  <w:abstractNum w:abstractNumId="23">
    <w:nsid w:val="0FA3065A"/>
    <w:multiLevelType w:val="hybridMultilevel"/>
    <w:tmpl w:val="C5643B98"/>
    <w:lvl w:ilvl="0" w:tplc="605AF43A">
      <w:start w:val="1"/>
      <w:numFmt w:val="bullet"/>
      <w:lvlText w:val=""/>
      <w:lvlJc w:val="left"/>
      <w:pPr>
        <w:ind w:left="360" w:hanging="360"/>
      </w:pPr>
      <w:rPr>
        <w:rFonts w:ascii="Wingdings" w:hAnsi="Wingdings" w:hint="default"/>
        <w:color w:val="AEBC37"/>
      </w:rPr>
    </w:lvl>
    <w:lvl w:ilvl="1" w:tplc="0C090003">
      <w:start w:val="1"/>
      <w:numFmt w:val="lowerLetter"/>
      <w:lvlText w:val="%2."/>
      <w:lvlJc w:val="left"/>
      <w:pPr>
        <w:tabs>
          <w:tab w:val="num" w:pos="1440"/>
        </w:tabs>
        <w:ind w:left="1440" w:hanging="360"/>
      </w:pPr>
      <w:rPr>
        <w:rFonts w:hint="default"/>
        <w:b w:val="0"/>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lowerLetter"/>
      <w:lvlText w:val="(%4)"/>
      <w:lvlJc w:val="left"/>
      <w:pPr>
        <w:ind w:left="2880" w:hanging="360"/>
      </w:pPr>
      <w:rPr>
        <w:rFonts w:hint="default"/>
        <w:color w:val="auto"/>
        <w:sz w:val="14"/>
        <w:szCs w:val="14"/>
      </w:rPr>
    </w:lvl>
    <w:lvl w:ilvl="4" w:tplc="0C090003">
      <w:start w:val="3"/>
      <w:numFmt w:val="bullet"/>
      <w:lvlText w:val=""/>
      <w:lvlJc w:val="left"/>
      <w:pPr>
        <w:ind w:left="3600" w:hanging="360"/>
      </w:pPr>
      <w:rPr>
        <w:rFonts w:ascii="Symbol" w:eastAsia="Times New Roman" w:hAnsi="Symbol" w:cs="Times New Roman" w:hint="default"/>
      </w:rPr>
    </w:lvl>
    <w:lvl w:ilvl="5" w:tplc="0C090005">
      <w:start w:val="1"/>
      <w:numFmt w:val="lowerLetter"/>
      <w:lvlText w:val="(%6)"/>
      <w:lvlJc w:val="left"/>
      <w:pPr>
        <w:ind w:left="4320" w:hanging="360"/>
      </w:pPr>
      <w:rPr>
        <w:rFonts w:ascii="Century Gothic" w:eastAsia="Times New Roman" w:hAnsi="Century Gothic" w:cs="Times New Roman"/>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101C3920"/>
    <w:multiLevelType w:val="hybridMultilevel"/>
    <w:tmpl w:val="748CA78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125D1E6A"/>
    <w:multiLevelType w:val="hybridMultilevel"/>
    <w:tmpl w:val="1C14A92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1301397D"/>
    <w:multiLevelType w:val="hybridMultilevel"/>
    <w:tmpl w:val="D404352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132402C2"/>
    <w:multiLevelType w:val="hybridMultilevel"/>
    <w:tmpl w:val="E600547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14715D66"/>
    <w:multiLevelType w:val="hybridMultilevel"/>
    <w:tmpl w:val="AF3E531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14FD5214"/>
    <w:multiLevelType w:val="hybridMultilevel"/>
    <w:tmpl w:val="15C8DB9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16A3132F"/>
    <w:multiLevelType w:val="hybridMultilevel"/>
    <w:tmpl w:val="62E0AD3C"/>
    <w:lvl w:ilvl="0" w:tplc="0C09000B">
      <w:start w:val="1"/>
      <w:numFmt w:val="bullet"/>
      <w:lvlText w:val=""/>
      <w:lvlJc w:val="left"/>
      <w:pPr>
        <w:ind w:left="720" w:hanging="360"/>
      </w:pPr>
      <w:rPr>
        <w:rFonts w:ascii="Wingdings" w:hAnsi="Wingdings" w:hint="default"/>
        <w:color w:val="auto"/>
        <w:sz w:val="18"/>
        <w:szCs w:val="18"/>
      </w:rPr>
    </w:lvl>
    <w:lvl w:ilvl="1" w:tplc="0C09000B">
      <w:start w:val="1"/>
      <w:numFmt w:val="bullet"/>
      <w:lvlText w:val=""/>
      <w:lvlJc w:val="left"/>
      <w:pPr>
        <w:tabs>
          <w:tab w:val="num" w:pos="1800"/>
        </w:tabs>
        <w:ind w:left="1800" w:hanging="360"/>
      </w:pPr>
      <w:rPr>
        <w:rFonts w:ascii="Wingdings" w:hAnsi="Wingdings" w:hint="default"/>
      </w:r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1">
    <w:nsid w:val="16D80B38"/>
    <w:multiLevelType w:val="hybridMultilevel"/>
    <w:tmpl w:val="144C21F6"/>
    <w:lvl w:ilvl="0" w:tplc="06F2D9A4">
      <w:start w:val="1"/>
      <w:numFmt w:val="bullet"/>
      <w:lvlText w:val=""/>
      <w:lvlJc w:val="left"/>
      <w:pPr>
        <w:ind w:left="720" w:hanging="360"/>
      </w:pPr>
      <w:rPr>
        <w:rFonts w:ascii="Wingdings" w:hAnsi="Wingdings" w:hint="default"/>
      </w:rPr>
    </w:lvl>
    <w:lvl w:ilvl="1" w:tplc="FF5AC26A">
      <w:start w:val="1"/>
      <w:numFmt w:val="bullet"/>
      <w:lvlText w:val="o"/>
      <w:lvlJc w:val="left"/>
      <w:pPr>
        <w:ind w:left="1440" w:hanging="360"/>
      </w:pPr>
      <w:rPr>
        <w:rFonts w:ascii="Courier New" w:hAnsi="Courier New" w:cs="Courier New" w:hint="default"/>
      </w:rPr>
    </w:lvl>
    <w:lvl w:ilvl="2" w:tplc="D2327E5C">
      <w:start w:val="1"/>
      <w:numFmt w:val="bullet"/>
      <w:lvlText w:val=""/>
      <w:lvlJc w:val="left"/>
      <w:pPr>
        <w:ind w:left="2160" w:hanging="360"/>
      </w:pPr>
      <w:rPr>
        <w:rFonts w:ascii="Wingdings" w:hAnsi="Wingdings" w:hint="default"/>
      </w:rPr>
    </w:lvl>
    <w:lvl w:ilvl="3" w:tplc="2D8008C0">
      <w:start w:val="1"/>
      <w:numFmt w:val="bullet"/>
      <w:lvlText w:val=""/>
      <w:lvlJc w:val="left"/>
      <w:pPr>
        <w:ind w:left="2880" w:hanging="360"/>
      </w:pPr>
      <w:rPr>
        <w:rFonts w:ascii="Symbol" w:hAnsi="Symbol" w:hint="default"/>
      </w:rPr>
    </w:lvl>
    <w:lvl w:ilvl="4" w:tplc="28F22EDC">
      <w:start w:val="1"/>
      <w:numFmt w:val="bullet"/>
      <w:lvlText w:val="o"/>
      <w:lvlJc w:val="left"/>
      <w:pPr>
        <w:ind w:left="3600" w:hanging="360"/>
      </w:pPr>
      <w:rPr>
        <w:rFonts w:ascii="Courier New" w:hAnsi="Courier New" w:cs="Courier New" w:hint="default"/>
      </w:rPr>
    </w:lvl>
    <w:lvl w:ilvl="5" w:tplc="292E23CA">
      <w:start w:val="1"/>
      <w:numFmt w:val="bullet"/>
      <w:lvlText w:val=""/>
      <w:lvlJc w:val="left"/>
      <w:pPr>
        <w:ind w:left="4320" w:hanging="360"/>
      </w:pPr>
      <w:rPr>
        <w:rFonts w:ascii="Wingdings" w:hAnsi="Wingdings" w:hint="default"/>
      </w:rPr>
    </w:lvl>
    <w:lvl w:ilvl="6" w:tplc="827E9D04">
      <w:start w:val="1"/>
      <w:numFmt w:val="bullet"/>
      <w:lvlText w:val=""/>
      <w:lvlJc w:val="left"/>
      <w:pPr>
        <w:ind w:left="5040" w:hanging="360"/>
      </w:pPr>
      <w:rPr>
        <w:rFonts w:ascii="Symbol" w:hAnsi="Symbol" w:hint="default"/>
      </w:rPr>
    </w:lvl>
    <w:lvl w:ilvl="7" w:tplc="4BF8C6FA">
      <w:start w:val="1"/>
      <w:numFmt w:val="bullet"/>
      <w:lvlText w:val="o"/>
      <w:lvlJc w:val="left"/>
      <w:pPr>
        <w:ind w:left="5760" w:hanging="360"/>
      </w:pPr>
      <w:rPr>
        <w:rFonts w:ascii="Courier New" w:hAnsi="Courier New" w:cs="Courier New" w:hint="default"/>
      </w:rPr>
    </w:lvl>
    <w:lvl w:ilvl="8" w:tplc="DB4A3D8A">
      <w:start w:val="1"/>
      <w:numFmt w:val="bullet"/>
      <w:lvlText w:val=""/>
      <w:lvlJc w:val="left"/>
      <w:pPr>
        <w:ind w:left="6480" w:hanging="360"/>
      </w:pPr>
      <w:rPr>
        <w:rFonts w:ascii="Wingdings" w:hAnsi="Wingdings" w:hint="default"/>
      </w:rPr>
    </w:lvl>
  </w:abstractNum>
  <w:abstractNum w:abstractNumId="32">
    <w:nsid w:val="17C17C66"/>
    <w:multiLevelType w:val="hybridMultilevel"/>
    <w:tmpl w:val="654CB114"/>
    <w:lvl w:ilvl="0" w:tplc="7A4E6B48">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18355346"/>
    <w:multiLevelType w:val="hybridMultilevel"/>
    <w:tmpl w:val="CB88C016"/>
    <w:lvl w:ilvl="0" w:tplc="0C09000B">
      <w:start w:val="1"/>
      <w:numFmt w:val="bullet"/>
      <w:lvlText w:val=""/>
      <w:lvlJc w:val="left"/>
      <w:pPr>
        <w:ind w:left="720" w:hanging="360"/>
      </w:pPr>
      <w:rPr>
        <w:rFonts w:ascii="Wingdings" w:hAnsi="Wingdings" w:hint="default"/>
        <w:color w:val="auto"/>
        <w:sz w:val="18"/>
        <w:szCs w:val="18"/>
      </w:rPr>
    </w:lvl>
    <w:lvl w:ilvl="1" w:tplc="0C090003">
      <w:start w:val="1"/>
      <w:numFmt w:val="bullet"/>
      <w:lvlText w:val="o"/>
      <w:lvlJc w:val="left"/>
      <w:pPr>
        <w:tabs>
          <w:tab w:val="num" w:pos="1800"/>
        </w:tabs>
        <w:ind w:left="1800" w:hanging="360"/>
      </w:pPr>
      <w:rPr>
        <w:rFonts w:ascii="Courier New" w:hAnsi="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4">
    <w:nsid w:val="18606030"/>
    <w:multiLevelType w:val="hybridMultilevel"/>
    <w:tmpl w:val="7624E4D0"/>
    <w:lvl w:ilvl="0" w:tplc="938C10CA">
      <w:start w:val="1"/>
      <w:numFmt w:val="lowerLetter"/>
      <w:lvlText w:val="(%1)"/>
      <w:lvlJc w:val="left"/>
      <w:pPr>
        <w:ind w:left="720" w:hanging="360"/>
      </w:pPr>
      <w:rPr>
        <w:rFonts w:ascii="Century Gothic" w:hAnsi="Century Gothic" w:hint="default"/>
        <w:color w:val="auto"/>
        <w:sz w:val="18"/>
        <w:szCs w:val="18"/>
      </w:rPr>
    </w:lvl>
    <w:lvl w:ilvl="1" w:tplc="6972B3E0">
      <w:start w:val="1"/>
      <w:numFmt w:val="lowerLetter"/>
      <w:lvlText w:val="%2."/>
      <w:lvlJc w:val="left"/>
      <w:pPr>
        <w:ind w:left="1440" w:hanging="360"/>
      </w:pPr>
    </w:lvl>
    <w:lvl w:ilvl="2" w:tplc="04090005" w:tentative="1">
      <w:start w:val="1"/>
      <w:numFmt w:val="lowerRoman"/>
      <w:lvlText w:val="%3."/>
      <w:lvlJc w:val="right"/>
      <w:pPr>
        <w:ind w:left="2160" w:hanging="180"/>
      </w:pPr>
    </w:lvl>
    <w:lvl w:ilvl="3" w:tplc="8160D9DE" w:tentative="1">
      <w:start w:val="1"/>
      <w:numFmt w:val="decimal"/>
      <w:lvlText w:val="%4."/>
      <w:lvlJc w:val="left"/>
      <w:pPr>
        <w:ind w:left="2880" w:hanging="360"/>
      </w:pPr>
    </w:lvl>
    <w:lvl w:ilvl="4" w:tplc="386A829C" w:tentative="1">
      <w:start w:val="1"/>
      <w:numFmt w:val="lowerLetter"/>
      <w:lvlText w:val="%5."/>
      <w:lvlJc w:val="left"/>
      <w:pPr>
        <w:ind w:left="3600" w:hanging="360"/>
      </w:pPr>
    </w:lvl>
    <w:lvl w:ilvl="5" w:tplc="888E4ADA"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5">
    <w:nsid w:val="1A2E1BE0"/>
    <w:multiLevelType w:val="hybridMultilevel"/>
    <w:tmpl w:val="07BCFCE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1A932D7A"/>
    <w:multiLevelType w:val="hybridMultilevel"/>
    <w:tmpl w:val="B906ACA0"/>
    <w:lvl w:ilvl="0" w:tplc="0C090003">
      <w:start w:val="1"/>
      <w:numFmt w:val="bullet"/>
      <w:lvlText w:val="o"/>
      <w:lvlJc w:val="left"/>
      <w:pPr>
        <w:ind w:left="720" w:hanging="360"/>
      </w:pPr>
      <w:rPr>
        <w:rFonts w:ascii="Courier New" w:hAnsi="Courier New" w:hint="default"/>
        <w:color w:val="auto"/>
        <w:sz w:val="18"/>
        <w:szCs w:val="18"/>
      </w:rPr>
    </w:lvl>
    <w:lvl w:ilvl="1" w:tplc="0C090003">
      <w:start w:val="1"/>
      <w:numFmt w:val="bullet"/>
      <w:lvlText w:val="o"/>
      <w:lvlJc w:val="left"/>
      <w:pPr>
        <w:tabs>
          <w:tab w:val="num" w:pos="1800"/>
        </w:tabs>
        <w:ind w:left="1800" w:hanging="360"/>
      </w:pPr>
      <w:rPr>
        <w:rFonts w:ascii="Courier New" w:hAnsi="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7">
    <w:nsid w:val="1AAD22B8"/>
    <w:multiLevelType w:val="hybridMultilevel"/>
    <w:tmpl w:val="55EA7F1E"/>
    <w:lvl w:ilvl="0" w:tplc="0C09000B">
      <w:start w:val="1"/>
      <w:numFmt w:val="bullet"/>
      <w:lvlText w:val=""/>
      <w:lvlJc w:val="left"/>
      <w:pPr>
        <w:ind w:left="720" w:hanging="360"/>
      </w:pPr>
      <w:rPr>
        <w:rFonts w:ascii="Wingdings" w:hAnsi="Wingdings" w:hint="default"/>
        <w:color w:val="auto"/>
        <w:sz w:val="18"/>
        <w:szCs w:val="18"/>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8">
    <w:nsid w:val="1CEF44CE"/>
    <w:multiLevelType w:val="hybridMultilevel"/>
    <w:tmpl w:val="8ED4F24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1E4457CA"/>
    <w:multiLevelType w:val="hybridMultilevel"/>
    <w:tmpl w:val="6A3A8FA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nsid w:val="1F745BC2"/>
    <w:multiLevelType w:val="multilevel"/>
    <w:tmpl w:val="E5E89F92"/>
    <w:numStyleLink w:val="BulletList"/>
  </w:abstractNum>
  <w:abstractNum w:abstractNumId="41">
    <w:nsid w:val="1FE5523D"/>
    <w:multiLevelType w:val="hybridMultilevel"/>
    <w:tmpl w:val="5D10C42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2065030B"/>
    <w:multiLevelType w:val="hybridMultilevel"/>
    <w:tmpl w:val="E8405DD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20ED5DB9"/>
    <w:multiLevelType w:val="hybridMultilevel"/>
    <w:tmpl w:val="A3F68D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21393FA9"/>
    <w:multiLevelType w:val="hybridMultilevel"/>
    <w:tmpl w:val="D710243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244C3307"/>
    <w:multiLevelType w:val="hybridMultilevel"/>
    <w:tmpl w:val="2828DAB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25112C5A"/>
    <w:multiLevelType w:val="hybridMultilevel"/>
    <w:tmpl w:val="88943382"/>
    <w:lvl w:ilvl="0" w:tplc="0C09000B">
      <w:start w:val="1"/>
      <w:numFmt w:val="bullet"/>
      <w:lvlText w:val=""/>
      <w:lvlJc w:val="left"/>
      <w:pPr>
        <w:ind w:left="720" w:hanging="360"/>
      </w:pPr>
      <w:rPr>
        <w:rFonts w:ascii="Wingdings" w:hAnsi="Wingdings" w:hint="default"/>
        <w:color w:val="auto"/>
        <w:sz w:val="18"/>
        <w:szCs w:val="18"/>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7">
    <w:nsid w:val="26802C75"/>
    <w:multiLevelType w:val="hybridMultilevel"/>
    <w:tmpl w:val="74B843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278A1543"/>
    <w:multiLevelType w:val="hybridMultilevel"/>
    <w:tmpl w:val="DAC8E760"/>
    <w:lvl w:ilvl="0" w:tplc="8D08DA62">
      <w:start w:val="1"/>
      <w:numFmt w:val="lowerLetter"/>
      <w:lvlText w:val="(%1)"/>
      <w:lvlJc w:val="left"/>
      <w:pPr>
        <w:ind w:left="4320" w:hanging="360"/>
      </w:pPr>
      <w:rPr>
        <w:rFonts w:ascii="Century Gothic" w:eastAsia="Times New Roman" w:hAnsi="Century Gothic"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2AD153B9"/>
    <w:multiLevelType w:val="hybridMultilevel"/>
    <w:tmpl w:val="4BC2DE70"/>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2F674F74"/>
    <w:multiLevelType w:val="hybridMultilevel"/>
    <w:tmpl w:val="976EE650"/>
    <w:lvl w:ilvl="0" w:tplc="0C090003">
      <w:start w:val="1"/>
      <w:numFmt w:val="bullet"/>
      <w:lvlText w:val="o"/>
      <w:lvlJc w:val="left"/>
      <w:pPr>
        <w:ind w:left="720" w:hanging="360"/>
      </w:pPr>
      <w:rPr>
        <w:rFonts w:ascii="Courier New" w:hAnsi="Courier New" w:cs="Courier New" w:hint="default"/>
        <w:color w:val="auto"/>
        <w:sz w:val="18"/>
        <w:szCs w:val="18"/>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51">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30F2678B"/>
    <w:multiLevelType w:val="hybridMultilevel"/>
    <w:tmpl w:val="2AFECB5A"/>
    <w:lvl w:ilvl="0" w:tplc="0C09000B">
      <w:start w:val="1"/>
      <w:numFmt w:val="bullet"/>
      <w:lvlText w:val=""/>
      <w:lvlJc w:val="left"/>
      <w:pPr>
        <w:ind w:left="1080" w:hanging="360"/>
      </w:pPr>
      <w:rPr>
        <w:rFonts w:ascii="Wingdings" w:hAnsi="Wingdings" w:hint="default"/>
        <w:color w:val="auto"/>
        <w:sz w:val="18"/>
        <w:szCs w:val="18"/>
      </w:rPr>
    </w:lvl>
    <w:lvl w:ilvl="1" w:tplc="0C090003">
      <w:start w:val="1"/>
      <w:numFmt w:val="bullet"/>
      <w:lvlText w:val="o"/>
      <w:lvlJc w:val="left"/>
      <w:pPr>
        <w:tabs>
          <w:tab w:val="num" w:pos="2160"/>
        </w:tabs>
        <w:ind w:left="2160" w:hanging="360"/>
      </w:pPr>
      <w:rPr>
        <w:rFonts w:ascii="Courier New" w:hAnsi="Courier New" w:hint="default"/>
      </w:rPr>
    </w:lvl>
    <w:lvl w:ilvl="2" w:tplc="0C090005">
      <w:start w:val="1"/>
      <w:numFmt w:val="bullet"/>
      <w:lvlText w:val=""/>
      <w:lvlJc w:val="left"/>
      <w:pPr>
        <w:tabs>
          <w:tab w:val="num" w:pos="2880"/>
        </w:tabs>
        <w:ind w:left="2880" w:hanging="360"/>
      </w:pPr>
      <w:rPr>
        <w:rFonts w:ascii="Wingdings" w:hAnsi="Wingdings" w:hint="default"/>
      </w:rPr>
    </w:lvl>
    <w:lvl w:ilvl="3" w:tplc="0C09000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53">
    <w:nsid w:val="325E6B84"/>
    <w:multiLevelType w:val="hybridMultilevel"/>
    <w:tmpl w:val="CFB4A9A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nsid w:val="33E81747"/>
    <w:multiLevelType w:val="multilevel"/>
    <w:tmpl w:val="0D2236DA"/>
    <w:lvl w:ilvl="0">
      <w:start w:val="1"/>
      <w:numFmt w:val="bullet"/>
      <w:pStyle w:val="Bullet1"/>
      <w:lvlText w:val=""/>
      <w:lvlJc w:val="left"/>
      <w:pPr>
        <w:ind w:left="1440" w:hanging="360"/>
      </w:pPr>
      <w:rPr>
        <w:rFonts w:ascii="Wingdings" w:hAnsi="Wingdings" w:hint="default"/>
      </w:rPr>
    </w:lvl>
    <w:lvl w:ilvl="1">
      <w:start w:val="1"/>
      <w:numFmt w:val="bullet"/>
      <w:pStyle w:val="Bullet2"/>
      <w:lvlText w:val="o"/>
      <w:lvlJc w:val="left"/>
      <w:pPr>
        <w:ind w:left="2160" w:hanging="360"/>
      </w:pPr>
      <w:rPr>
        <w:rFonts w:ascii="Courier New" w:hAnsi="Courier New" w:cs="Courier New" w:hint="default"/>
      </w:rPr>
    </w:lvl>
    <w:lvl w:ilvl="2">
      <w:start w:val="1"/>
      <w:numFmt w:val="bullet"/>
      <w:pStyle w:val="Bullet3"/>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5">
    <w:nsid w:val="383B7A39"/>
    <w:multiLevelType w:val="hybridMultilevel"/>
    <w:tmpl w:val="81B80A7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38637034"/>
    <w:multiLevelType w:val="hybridMultilevel"/>
    <w:tmpl w:val="7B665598"/>
    <w:lvl w:ilvl="0" w:tplc="888E4ADA">
      <w:start w:val="1"/>
      <w:numFmt w:val="bullet"/>
      <w:lvlText w:val=""/>
      <w:lvlJc w:val="left"/>
      <w:pPr>
        <w:ind w:left="761" w:hanging="360"/>
      </w:pPr>
      <w:rPr>
        <w:rFonts w:ascii="Wingdings" w:hAnsi="Wingdings" w:hint="default"/>
      </w:rPr>
    </w:lvl>
    <w:lvl w:ilvl="1" w:tplc="0C090019" w:tentative="1">
      <w:start w:val="1"/>
      <w:numFmt w:val="bullet"/>
      <w:lvlText w:val="o"/>
      <w:lvlJc w:val="left"/>
      <w:pPr>
        <w:ind w:left="1481" w:hanging="360"/>
      </w:pPr>
      <w:rPr>
        <w:rFonts w:ascii="Courier New" w:hAnsi="Courier New" w:cs="Courier New" w:hint="default"/>
      </w:rPr>
    </w:lvl>
    <w:lvl w:ilvl="2" w:tplc="0C09001B" w:tentative="1">
      <w:start w:val="1"/>
      <w:numFmt w:val="bullet"/>
      <w:lvlText w:val=""/>
      <w:lvlJc w:val="left"/>
      <w:pPr>
        <w:ind w:left="2201" w:hanging="360"/>
      </w:pPr>
      <w:rPr>
        <w:rFonts w:ascii="Wingdings" w:hAnsi="Wingdings" w:hint="default"/>
      </w:rPr>
    </w:lvl>
    <w:lvl w:ilvl="3" w:tplc="0C09000F" w:tentative="1">
      <w:start w:val="1"/>
      <w:numFmt w:val="bullet"/>
      <w:lvlText w:val=""/>
      <w:lvlJc w:val="left"/>
      <w:pPr>
        <w:ind w:left="2921" w:hanging="360"/>
      </w:pPr>
      <w:rPr>
        <w:rFonts w:ascii="Symbol" w:hAnsi="Symbol" w:hint="default"/>
      </w:rPr>
    </w:lvl>
    <w:lvl w:ilvl="4" w:tplc="0C090019" w:tentative="1">
      <w:start w:val="1"/>
      <w:numFmt w:val="bullet"/>
      <w:lvlText w:val="o"/>
      <w:lvlJc w:val="left"/>
      <w:pPr>
        <w:ind w:left="3641" w:hanging="360"/>
      </w:pPr>
      <w:rPr>
        <w:rFonts w:ascii="Courier New" w:hAnsi="Courier New" w:cs="Courier New" w:hint="default"/>
      </w:rPr>
    </w:lvl>
    <w:lvl w:ilvl="5" w:tplc="0C09001B" w:tentative="1">
      <w:start w:val="1"/>
      <w:numFmt w:val="bullet"/>
      <w:lvlText w:val=""/>
      <w:lvlJc w:val="left"/>
      <w:pPr>
        <w:ind w:left="4361" w:hanging="360"/>
      </w:pPr>
      <w:rPr>
        <w:rFonts w:ascii="Wingdings" w:hAnsi="Wingdings" w:hint="default"/>
      </w:rPr>
    </w:lvl>
    <w:lvl w:ilvl="6" w:tplc="0C09000F" w:tentative="1">
      <w:start w:val="1"/>
      <w:numFmt w:val="bullet"/>
      <w:lvlText w:val=""/>
      <w:lvlJc w:val="left"/>
      <w:pPr>
        <w:ind w:left="5081" w:hanging="360"/>
      </w:pPr>
      <w:rPr>
        <w:rFonts w:ascii="Symbol" w:hAnsi="Symbol" w:hint="default"/>
      </w:rPr>
    </w:lvl>
    <w:lvl w:ilvl="7" w:tplc="0C090019" w:tentative="1">
      <w:start w:val="1"/>
      <w:numFmt w:val="bullet"/>
      <w:lvlText w:val="o"/>
      <w:lvlJc w:val="left"/>
      <w:pPr>
        <w:ind w:left="5801" w:hanging="360"/>
      </w:pPr>
      <w:rPr>
        <w:rFonts w:ascii="Courier New" w:hAnsi="Courier New" w:cs="Courier New" w:hint="default"/>
      </w:rPr>
    </w:lvl>
    <w:lvl w:ilvl="8" w:tplc="0C09001B" w:tentative="1">
      <w:start w:val="1"/>
      <w:numFmt w:val="bullet"/>
      <w:lvlText w:val=""/>
      <w:lvlJc w:val="left"/>
      <w:pPr>
        <w:ind w:left="6521" w:hanging="360"/>
      </w:pPr>
      <w:rPr>
        <w:rFonts w:ascii="Wingdings" w:hAnsi="Wingdings" w:hint="default"/>
      </w:rPr>
    </w:lvl>
  </w:abstractNum>
  <w:abstractNum w:abstractNumId="57">
    <w:nsid w:val="39176A66"/>
    <w:multiLevelType w:val="hybridMultilevel"/>
    <w:tmpl w:val="571079F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39F8106E"/>
    <w:multiLevelType w:val="hybridMultilevel"/>
    <w:tmpl w:val="233C25CA"/>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3B7116E8"/>
    <w:multiLevelType w:val="hybridMultilevel"/>
    <w:tmpl w:val="48624D08"/>
    <w:lvl w:ilvl="0" w:tplc="7C36B72A">
      <w:start w:val="1"/>
      <w:numFmt w:val="lowerLetter"/>
      <w:lvlText w:val="(%1)"/>
      <w:lvlJc w:val="left"/>
      <w:pPr>
        <w:ind w:left="644" w:hanging="360"/>
      </w:pPr>
      <w:rPr>
        <w:rFonts w:hint="default"/>
      </w:rPr>
    </w:lvl>
    <w:lvl w:ilvl="1" w:tplc="4FBC4D92" w:tentative="1">
      <w:start w:val="1"/>
      <w:numFmt w:val="lowerLetter"/>
      <w:lvlText w:val="%2."/>
      <w:lvlJc w:val="left"/>
      <w:pPr>
        <w:ind w:left="1364" w:hanging="360"/>
      </w:pPr>
    </w:lvl>
    <w:lvl w:ilvl="2" w:tplc="721E6250" w:tentative="1">
      <w:start w:val="1"/>
      <w:numFmt w:val="lowerRoman"/>
      <w:lvlText w:val="%3."/>
      <w:lvlJc w:val="right"/>
      <w:pPr>
        <w:ind w:left="2084" w:hanging="180"/>
      </w:pPr>
    </w:lvl>
    <w:lvl w:ilvl="3" w:tplc="118A5FCA" w:tentative="1">
      <w:start w:val="1"/>
      <w:numFmt w:val="decimal"/>
      <w:lvlText w:val="%4."/>
      <w:lvlJc w:val="left"/>
      <w:pPr>
        <w:ind w:left="2804" w:hanging="360"/>
      </w:pPr>
    </w:lvl>
    <w:lvl w:ilvl="4" w:tplc="595ECC3E" w:tentative="1">
      <w:start w:val="1"/>
      <w:numFmt w:val="lowerLetter"/>
      <w:lvlText w:val="%5."/>
      <w:lvlJc w:val="left"/>
      <w:pPr>
        <w:ind w:left="3524" w:hanging="360"/>
      </w:pPr>
    </w:lvl>
    <w:lvl w:ilvl="5" w:tplc="F43E7A20" w:tentative="1">
      <w:start w:val="1"/>
      <w:numFmt w:val="lowerRoman"/>
      <w:lvlText w:val="%6."/>
      <w:lvlJc w:val="right"/>
      <w:pPr>
        <w:ind w:left="4244" w:hanging="180"/>
      </w:pPr>
    </w:lvl>
    <w:lvl w:ilvl="6" w:tplc="BF467866" w:tentative="1">
      <w:start w:val="1"/>
      <w:numFmt w:val="decimal"/>
      <w:lvlText w:val="%7."/>
      <w:lvlJc w:val="left"/>
      <w:pPr>
        <w:ind w:left="4964" w:hanging="360"/>
      </w:pPr>
    </w:lvl>
    <w:lvl w:ilvl="7" w:tplc="591CF3CC" w:tentative="1">
      <w:start w:val="1"/>
      <w:numFmt w:val="lowerLetter"/>
      <w:lvlText w:val="%8."/>
      <w:lvlJc w:val="left"/>
      <w:pPr>
        <w:ind w:left="5684" w:hanging="360"/>
      </w:pPr>
    </w:lvl>
    <w:lvl w:ilvl="8" w:tplc="980EBBFA" w:tentative="1">
      <w:start w:val="1"/>
      <w:numFmt w:val="lowerRoman"/>
      <w:lvlText w:val="%9."/>
      <w:lvlJc w:val="right"/>
      <w:pPr>
        <w:ind w:left="6404" w:hanging="180"/>
      </w:pPr>
    </w:lvl>
  </w:abstractNum>
  <w:abstractNum w:abstractNumId="60">
    <w:nsid w:val="3DC86E62"/>
    <w:multiLevelType w:val="hybridMultilevel"/>
    <w:tmpl w:val="C454738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nsid w:val="3DF35606"/>
    <w:multiLevelType w:val="hybridMultilevel"/>
    <w:tmpl w:val="FEA232F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nsid w:val="3E770BC2"/>
    <w:multiLevelType w:val="hybridMultilevel"/>
    <w:tmpl w:val="2C5056BA"/>
    <w:lvl w:ilvl="0" w:tplc="0C09000B">
      <w:start w:val="1"/>
      <w:numFmt w:val="bullet"/>
      <w:lvlText w:val=""/>
      <w:lvlJc w:val="left"/>
      <w:pPr>
        <w:ind w:left="720" w:hanging="360"/>
      </w:pPr>
      <w:rPr>
        <w:rFonts w:ascii="Wingdings" w:hAnsi="Wingdings" w:hint="default"/>
        <w:color w:val="auto"/>
        <w:sz w:val="18"/>
        <w:szCs w:val="18"/>
      </w:rPr>
    </w:lvl>
    <w:lvl w:ilvl="1" w:tplc="0C09000B">
      <w:start w:val="1"/>
      <w:numFmt w:val="bullet"/>
      <w:lvlText w:val=""/>
      <w:lvlJc w:val="left"/>
      <w:pPr>
        <w:tabs>
          <w:tab w:val="num" w:pos="1800"/>
        </w:tabs>
        <w:ind w:left="1800" w:hanging="360"/>
      </w:pPr>
      <w:rPr>
        <w:rFonts w:ascii="Wingdings" w:hAnsi="Wingdings" w:hint="default"/>
      </w:r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63">
    <w:nsid w:val="405409AD"/>
    <w:multiLevelType w:val="hybridMultilevel"/>
    <w:tmpl w:val="E1F2B556"/>
    <w:lvl w:ilvl="0" w:tplc="0C090003">
      <w:start w:val="1"/>
      <w:numFmt w:val="bullet"/>
      <w:lvlText w:val="o"/>
      <w:lvlJc w:val="left"/>
      <w:pPr>
        <w:ind w:left="1080" w:hanging="360"/>
      </w:pPr>
      <w:rPr>
        <w:rFonts w:ascii="Courier New" w:hAnsi="Courier New" w:cs="Courier New" w:hint="default"/>
        <w:color w:val="auto"/>
        <w:sz w:val="18"/>
        <w:szCs w:val="18"/>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start w:val="1"/>
      <w:numFmt w:val="bullet"/>
      <w:lvlText w:val=""/>
      <w:lvlJc w:val="left"/>
      <w:pPr>
        <w:tabs>
          <w:tab w:val="num" w:pos="2880"/>
        </w:tabs>
        <w:ind w:left="2880" w:hanging="360"/>
      </w:pPr>
      <w:rPr>
        <w:rFonts w:ascii="Wingdings" w:hAnsi="Wingdings" w:hint="default"/>
      </w:rPr>
    </w:lvl>
    <w:lvl w:ilvl="3" w:tplc="0C09000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64">
    <w:nsid w:val="424212C8"/>
    <w:multiLevelType w:val="hybridMultilevel"/>
    <w:tmpl w:val="523C533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42A33A7A"/>
    <w:multiLevelType w:val="hybridMultilevel"/>
    <w:tmpl w:val="38184BAE"/>
    <w:lvl w:ilvl="0" w:tplc="912A7E72">
      <w:start w:val="1"/>
      <w:numFmt w:val="bullet"/>
      <w:lvlText w:val=""/>
      <w:lvlJc w:val="left"/>
      <w:pPr>
        <w:tabs>
          <w:tab w:val="num" w:pos="1080"/>
        </w:tabs>
        <w:ind w:left="1080" w:hanging="360"/>
      </w:pPr>
      <w:rPr>
        <w:rFonts w:ascii="Symbol" w:hAnsi="Symbol" w:hint="default"/>
        <w:color w:val="auto"/>
      </w:rPr>
    </w:lvl>
    <w:lvl w:ilvl="1" w:tplc="0C090019">
      <w:start w:val="1"/>
      <w:numFmt w:val="bullet"/>
      <w:lvlText w:val=""/>
      <w:lvlJc w:val="left"/>
      <w:pPr>
        <w:tabs>
          <w:tab w:val="num" w:pos="1440"/>
        </w:tabs>
        <w:ind w:left="1440" w:hanging="360"/>
      </w:pPr>
      <w:rPr>
        <w:rFonts w:ascii="Symbol" w:hAnsi="Symbol" w:hint="default"/>
        <w:color w:val="auto"/>
      </w:rPr>
    </w:lvl>
    <w:lvl w:ilvl="2" w:tplc="0C09001B" w:tentative="1">
      <w:start w:val="1"/>
      <w:numFmt w:val="lowerRoman"/>
      <w:lvlText w:val="%3."/>
      <w:lvlJc w:val="right"/>
      <w:pPr>
        <w:tabs>
          <w:tab w:val="num" w:pos="2160"/>
        </w:tabs>
        <w:ind w:left="2160" w:hanging="180"/>
      </w:pPr>
      <w:rPr>
        <w:rFonts w:cs="Times New Roman"/>
      </w:rPr>
    </w:lvl>
    <w:lvl w:ilvl="3" w:tplc="0C09000F">
      <w:start w:val="1"/>
      <w:numFmt w:val="decimal"/>
      <w:pStyle w:val="L1PB"/>
      <w:lvlText w:val="%4."/>
      <w:lvlJc w:val="left"/>
      <w:pPr>
        <w:tabs>
          <w:tab w:val="num" w:pos="2880"/>
        </w:tabs>
        <w:ind w:left="2880" w:hanging="360"/>
      </w:pPr>
      <w:rPr>
        <w:rFonts w:cs="Times New Roman" w:hint="default"/>
      </w:rPr>
    </w:lvl>
    <w:lvl w:ilvl="4" w:tplc="0C090019">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66">
    <w:nsid w:val="439618A4"/>
    <w:multiLevelType w:val="hybridMultilevel"/>
    <w:tmpl w:val="27B815D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43CA695C"/>
    <w:multiLevelType w:val="hybridMultilevel"/>
    <w:tmpl w:val="C76C1A86"/>
    <w:lvl w:ilvl="0" w:tplc="B7F6FF8C">
      <w:start w:val="1"/>
      <w:numFmt w:val="low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68">
    <w:nsid w:val="442D3037"/>
    <w:multiLevelType w:val="hybridMultilevel"/>
    <w:tmpl w:val="EC6A371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45E77B27"/>
    <w:multiLevelType w:val="hybridMultilevel"/>
    <w:tmpl w:val="90DE0EC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nsid w:val="46185645"/>
    <w:multiLevelType w:val="hybridMultilevel"/>
    <w:tmpl w:val="D60E7D36"/>
    <w:lvl w:ilvl="0" w:tplc="0C09000B">
      <w:start w:val="1"/>
      <w:numFmt w:val="bullet"/>
      <w:lvlText w:val=""/>
      <w:lvlJc w:val="left"/>
      <w:pPr>
        <w:ind w:left="720" w:hanging="360"/>
      </w:pPr>
      <w:rPr>
        <w:rFonts w:ascii="Wingdings" w:hAnsi="Wingdings" w:hint="default"/>
        <w:color w:val="auto"/>
        <w:sz w:val="18"/>
        <w:szCs w:val="18"/>
      </w:rPr>
    </w:lvl>
    <w:lvl w:ilvl="1" w:tplc="0C090003">
      <w:start w:val="1"/>
      <w:numFmt w:val="bullet"/>
      <w:lvlText w:val="o"/>
      <w:lvlJc w:val="left"/>
      <w:pPr>
        <w:tabs>
          <w:tab w:val="num" w:pos="1800"/>
        </w:tabs>
        <w:ind w:left="1800" w:hanging="360"/>
      </w:pPr>
      <w:rPr>
        <w:rFonts w:ascii="Courier New" w:hAnsi="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71">
    <w:nsid w:val="46FF7575"/>
    <w:multiLevelType w:val="hybridMultilevel"/>
    <w:tmpl w:val="B552825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47460465"/>
    <w:multiLevelType w:val="hybridMultilevel"/>
    <w:tmpl w:val="6DA247AA"/>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nsid w:val="4867568E"/>
    <w:multiLevelType w:val="hybridMultilevel"/>
    <w:tmpl w:val="A95E099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48FA7478"/>
    <w:multiLevelType w:val="multilevel"/>
    <w:tmpl w:val="2A741D82"/>
    <w:lvl w:ilvl="0">
      <w:start w:val="1"/>
      <w:numFmt w:val="decimal"/>
      <w:lvlText w:val="ES%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3.%2"/>
      <w:lvlJc w:val="left"/>
      <w:pPr>
        <w:tabs>
          <w:tab w:val="num" w:pos="720"/>
        </w:tabs>
        <w:ind w:left="720" w:hanging="720"/>
      </w:pPr>
      <w:rPr>
        <w:rFonts w:hint="default"/>
      </w:rPr>
    </w:lvl>
    <w:lvl w:ilvl="3">
      <w:start w:val="1"/>
      <w:numFmt w:val="decimal"/>
      <w:lvlText w:val="%1.%2.%4.%3"/>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5">
    <w:nsid w:val="4A542F25"/>
    <w:multiLevelType w:val="hybridMultilevel"/>
    <w:tmpl w:val="C856378C"/>
    <w:lvl w:ilvl="0" w:tplc="0C090003">
      <w:start w:val="1"/>
      <w:numFmt w:val="bullet"/>
      <w:lvlText w:val="o"/>
      <w:lvlJc w:val="left"/>
      <w:pPr>
        <w:ind w:left="720" w:hanging="360"/>
      </w:pPr>
      <w:rPr>
        <w:rFonts w:ascii="Courier New" w:hAnsi="Courier New" w:hint="default"/>
        <w:color w:val="auto"/>
        <w:sz w:val="18"/>
        <w:szCs w:val="18"/>
      </w:rPr>
    </w:lvl>
    <w:lvl w:ilvl="1" w:tplc="0C090003">
      <w:start w:val="1"/>
      <w:numFmt w:val="bullet"/>
      <w:lvlText w:val="o"/>
      <w:lvlJc w:val="left"/>
      <w:pPr>
        <w:tabs>
          <w:tab w:val="num" w:pos="1800"/>
        </w:tabs>
        <w:ind w:left="1800" w:hanging="360"/>
      </w:pPr>
      <w:rPr>
        <w:rFonts w:ascii="Courier New" w:hAnsi="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76">
    <w:nsid w:val="4B4F60C9"/>
    <w:multiLevelType w:val="hybridMultilevel"/>
    <w:tmpl w:val="76BEF0D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nsid w:val="4BD03BB1"/>
    <w:multiLevelType w:val="hybridMultilevel"/>
    <w:tmpl w:val="8E003D40"/>
    <w:lvl w:ilvl="0" w:tplc="0C09000B">
      <w:start w:val="1"/>
      <w:numFmt w:val="bullet"/>
      <w:lvlText w:val=""/>
      <w:lvlJc w:val="left"/>
      <w:pPr>
        <w:ind w:left="720" w:hanging="360"/>
      </w:pPr>
      <w:rPr>
        <w:rFonts w:ascii="Wingdings" w:hAnsi="Wingdings" w:hint="default"/>
        <w:color w:val="auto"/>
        <w:sz w:val="18"/>
        <w:szCs w:val="18"/>
      </w:rPr>
    </w:lvl>
    <w:lvl w:ilvl="1" w:tplc="0C090003">
      <w:start w:val="1"/>
      <w:numFmt w:val="bullet"/>
      <w:lvlText w:val="o"/>
      <w:lvlJc w:val="left"/>
      <w:pPr>
        <w:tabs>
          <w:tab w:val="num" w:pos="1800"/>
        </w:tabs>
        <w:ind w:left="1800" w:hanging="360"/>
      </w:pPr>
      <w:rPr>
        <w:rFonts w:ascii="Courier New" w:hAnsi="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78">
    <w:nsid w:val="4BDA37FC"/>
    <w:multiLevelType w:val="hybridMultilevel"/>
    <w:tmpl w:val="03A07ED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4CA80391"/>
    <w:multiLevelType w:val="hybridMultilevel"/>
    <w:tmpl w:val="1DDA8174"/>
    <w:lvl w:ilvl="0" w:tplc="0C09000B">
      <w:start w:val="1"/>
      <w:numFmt w:val="bullet"/>
      <w:lvlText w:val=""/>
      <w:lvlJc w:val="left"/>
      <w:pPr>
        <w:ind w:left="720" w:hanging="360"/>
      </w:pPr>
      <w:rPr>
        <w:rFonts w:ascii="Wingdings" w:hAnsi="Wingdings" w:hint="default"/>
        <w:color w:val="auto"/>
        <w:sz w:val="18"/>
        <w:szCs w:val="18"/>
      </w:rPr>
    </w:lvl>
    <w:lvl w:ilvl="1" w:tplc="0C090003">
      <w:start w:val="1"/>
      <w:numFmt w:val="bullet"/>
      <w:lvlText w:val="o"/>
      <w:lvlJc w:val="left"/>
      <w:pPr>
        <w:tabs>
          <w:tab w:val="num" w:pos="1800"/>
        </w:tabs>
        <w:ind w:left="1800" w:hanging="360"/>
      </w:pPr>
      <w:rPr>
        <w:rFonts w:ascii="Courier New" w:hAnsi="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80">
    <w:nsid w:val="4E252272"/>
    <w:multiLevelType w:val="hybridMultilevel"/>
    <w:tmpl w:val="5EF08022"/>
    <w:lvl w:ilvl="0" w:tplc="0C090003">
      <w:start w:val="1"/>
      <w:numFmt w:val="bullet"/>
      <w:lvlText w:val="o"/>
      <w:lvlJc w:val="left"/>
      <w:pPr>
        <w:ind w:left="720" w:hanging="360"/>
      </w:pPr>
      <w:rPr>
        <w:rFonts w:ascii="Courier New" w:hAnsi="Courier New" w:hint="default"/>
        <w:color w:val="auto"/>
        <w:sz w:val="18"/>
        <w:szCs w:val="18"/>
      </w:rPr>
    </w:lvl>
    <w:lvl w:ilvl="1" w:tplc="0C090003">
      <w:start w:val="1"/>
      <w:numFmt w:val="bullet"/>
      <w:lvlText w:val="o"/>
      <w:lvlJc w:val="left"/>
      <w:pPr>
        <w:tabs>
          <w:tab w:val="num" w:pos="1800"/>
        </w:tabs>
        <w:ind w:left="1800" w:hanging="360"/>
      </w:pPr>
      <w:rPr>
        <w:rFonts w:ascii="Courier New" w:hAnsi="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81">
    <w:nsid w:val="50592B33"/>
    <w:multiLevelType w:val="hybridMultilevel"/>
    <w:tmpl w:val="FCB2ED9E"/>
    <w:lvl w:ilvl="0" w:tplc="0C090003">
      <w:start w:val="1"/>
      <w:numFmt w:val="bullet"/>
      <w:lvlText w:val="o"/>
      <w:lvlJc w:val="left"/>
      <w:pPr>
        <w:ind w:left="1080" w:hanging="360"/>
      </w:pPr>
      <w:rPr>
        <w:rFonts w:ascii="Courier New" w:hAnsi="Courier New" w:hint="default"/>
        <w:color w:val="auto"/>
        <w:sz w:val="18"/>
        <w:szCs w:val="18"/>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start w:val="1"/>
      <w:numFmt w:val="bullet"/>
      <w:lvlText w:val=""/>
      <w:lvlJc w:val="left"/>
      <w:pPr>
        <w:tabs>
          <w:tab w:val="num" w:pos="2880"/>
        </w:tabs>
        <w:ind w:left="2880" w:hanging="360"/>
      </w:pPr>
      <w:rPr>
        <w:rFonts w:ascii="Wingdings" w:hAnsi="Wingdings" w:hint="default"/>
      </w:rPr>
    </w:lvl>
    <w:lvl w:ilvl="3" w:tplc="0C09000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82">
    <w:nsid w:val="50B90BD8"/>
    <w:multiLevelType w:val="hybridMultilevel"/>
    <w:tmpl w:val="15BAC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526A7231"/>
    <w:multiLevelType w:val="hybridMultilevel"/>
    <w:tmpl w:val="7B26DB30"/>
    <w:lvl w:ilvl="0" w:tplc="C0CCFC62">
      <w:start w:val="1"/>
      <w:numFmt w:val="bullet"/>
      <w:pStyle w:val="RptBullet-Level1"/>
      <w:lvlText w:val=""/>
      <w:lvlJc w:val="left"/>
      <w:pPr>
        <w:tabs>
          <w:tab w:val="num" w:pos="504"/>
        </w:tabs>
        <w:ind w:left="504" w:hanging="360"/>
      </w:pPr>
      <w:rPr>
        <w:rFonts w:ascii="Symbol" w:hAnsi="Symbol" w:hint="default"/>
        <w:color w:val="000000"/>
        <w:sz w:val="20"/>
      </w:rPr>
    </w:lvl>
    <w:lvl w:ilvl="1" w:tplc="0C090019">
      <w:start w:val="1"/>
      <w:numFmt w:val="bullet"/>
      <w:lvlText w:val="-"/>
      <w:lvlJc w:val="left"/>
      <w:pPr>
        <w:tabs>
          <w:tab w:val="num" w:pos="2160"/>
        </w:tabs>
        <w:ind w:left="2160" w:hanging="360"/>
      </w:pPr>
      <w:rPr>
        <w:rFonts w:hint="default"/>
      </w:rPr>
    </w:lvl>
    <w:lvl w:ilvl="2" w:tplc="0C09001B">
      <w:start w:val="1"/>
      <w:numFmt w:val="bullet"/>
      <w:lvlText w:val=""/>
      <w:lvlJc w:val="left"/>
      <w:pPr>
        <w:tabs>
          <w:tab w:val="num" w:pos="2880"/>
        </w:tabs>
        <w:ind w:left="2880" w:hanging="360"/>
      </w:pPr>
      <w:rPr>
        <w:rFonts w:ascii="Wingdings" w:hAnsi="Wingdings" w:hint="default"/>
      </w:rPr>
    </w:lvl>
    <w:lvl w:ilvl="3" w:tplc="0C09000F" w:tentative="1">
      <w:start w:val="1"/>
      <w:numFmt w:val="bullet"/>
      <w:lvlText w:val=""/>
      <w:lvlJc w:val="left"/>
      <w:pPr>
        <w:tabs>
          <w:tab w:val="num" w:pos="3600"/>
        </w:tabs>
        <w:ind w:left="3600" w:hanging="360"/>
      </w:pPr>
      <w:rPr>
        <w:rFonts w:ascii="Symbol" w:hAnsi="Symbol" w:hint="default"/>
      </w:rPr>
    </w:lvl>
    <w:lvl w:ilvl="4" w:tplc="0C090019" w:tentative="1">
      <w:start w:val="1"/>
      <w:numFmt w:val="bullet"/>
      <w:lvlText w:val="o"/>
      <w:lvlJc w:val="left"/>
      <w:pPr>
        <w:tabs>
          <w:tab w:val="num" w:pos="4320"/>
        </w:tabs>
        <w:ind w:left="4320" w:hanging="360"/>
      </w:pPr>
      <w:rPr>
        <w:rFonts w:ascii="Courier New" w:hAnsi="Courier New" w:hint="default"/>
      </w:rPr>
    </w:lvl>
    <w:lvl w:ilvl="5" w:tplc="0C09001B" w:tentative="1">
      <w:start w:val="1"/>
      <w:numFmt w:val="bullet"/>
      <w:lvlText w:val=""/>
      <w:lvlJc w:val="left"/>
      <w:pPr>
        <w:tabs>
          <w:tab w:val="num" w:pos="5040"/>
        </w:tabs>
        <w:ind w:left="5040" w:hanging="360"/>
      </w:pPr>
      <w:rPr>
        <w:rFonts w:ascii="Wingdings" w:hAnsi="Wingdings" w:hint="default"/>
      </w:rPr>
    </w:lvl>
    <w:lvl w:ilvl="6" w:tplc="0C09000F" w:tentative="1">
      <w:start w:val="1"/>
      <w:numFmt w:val="bullet"/>
      <w:lvlText w:val=""/>
      <w:lvlJc w:val="left"/>
      <w:pPr>
        <w:tabs>
          <w:tab w:val="num" w:pos="5760"/>
        </w:tabs>
        <w:ind w:left="5760" w:hanging="360"/>
      </w:pPr>
      <w:rPr>
        <w:rFonts w:ascii="Symbol" w:hAnsi="Symbol" w:hint="default"/>
      </w:rPr>
    </w:lvl>
    <w:lvl w:ilvl="7" w:tplc="0C090019" w:tentative="1">
      <w:start w:val="1"/>
      <w:numFmt w:val="bullet"/>
      <w:lvlText w:val="o"/>
      <w:lvlJc w:val="left"/>
      <w:pPr>
        <w:tabs>
          <w:tab w:val="num" w:pos="6480"/>
        </w:tabs>
        <w:ind w:left="6480" w:hanging="360"/>
      </w:pPr>
      <w:rPr>
        <w:rFonts w:ascii="Courier New" w:hAnsi="Courier New" w:hint="default"/>
      </w:rPr>
    </w:lvl>
    <w:lvl w:ilvl="8" w:tplc="0C09001B" w:tentative="1">
      <w:start w:val="1"/>
      <w:numFmt w:val="bullet"/>
      <w:lvlText w:val=""/>
      <w:lvlJc w:val="left"/>
      <w:pPr>
        <w:tabs>
          <w:tab w:val="num" w:pos="7200"/>
        </w:tabs>
        <w:ind w:left="7200" w:hanging="360"/>
      </w:pPr>
      <w:rPr>
        <w:rFonts w:ascii="Wingdings" w:hAnsi="Wingdings" w:hint="default"/>
      </w:rPr>
    </w:lvl>
  </w:abstractNum>
  <w:abstractNum w:abstractNumId="84">
    <w:nsid w:val="546861AE"/>
    <w:multiLevelType w:val="hybridMultilevel"/>
    <w:tmpl w:val="46AC8C2A"/>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nsid w:val="55DD44AB"/>
    <w:multiLevelType w:val="hybridMultilevel"/>
    <w:tmpl w:val="1CBEF5CE"/>
    <w:lvl w:ilvl="0" w:tplc="0C090003">
      <w:start w:val="1"/>
      <w:numFmt w:val="bullet"/>
      <w:lvlText w:val="o"/>
      <w:lvlJc w:val="left"/>
      <w:pPr>
        <w:ind w:left="717" w:hanging="360"/>
      </w:pPr>
      <w:rPr>
        <w:rFonts w:ascii="Courier New" w:hAnsi="Courier New"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86">
    <w:nsid w:val="56AF43C1"/>
    <w:multiLevelType w:val="hybridMultilevel"/>
    <w:tmpl w:val="64220B42"/>
    <w:lvl w:ilvl="0" w:tplc="D43CBC66">
      <w:start w:val="1"/>
      <w:numFmt w:val="lowerLetter"/>
      <w:lvlText w:val="(%1)"/>
      <w:lvlJc w:val="left"/>
      <w:pPr>
        <w:ind w:left="720" w:hanging="360"/>
      </w:pPr>
      <w:rPr>
        <w:rFonts w:hint="default"/>
      </w:rPr>
    </w:lvl>
    <w:lvl w:ilvl="1" w:tplc="32344AC4" w:tentative="1">
      <w:start w:val="1"/>
      <w:numFmt w:val="lowerLetter"/>
      <w:lvlText w:val="%2."/>
      <w:lvlJc w:val="left"/>
      <w:pPr>
        <w:ind w:left="1440" w:hanging="360"/>
      </w:pPr>
    </w:lvl>
    <w:lvl w:ilvl="2" w:tplc="A8C41A22" w:tentative="1">
      <w:start w:val="1"/>
      <w:numFmt w:val="lowerRoman"/>
      <w:lvlText w:val="%3."/>
      <w:lvlJc w:val="right"/>
      <w:pPr>
        <w:ind w:left="2160" w:hanging="180"/>
      </w:pPr>
    </w:lvl>
    <w:lvl w:ilvl="3" w:tplc="05C247A8" w:tentative="1">
      <w:start w:val="1"/>
      <w:numFmt w:val="decimal"/>
      <w:lvlText w:val="%4."/>
      <w:lvlJc w:val="left"/>
      <w:pPr>
        <w:ind w:left="2880" w:hanging="360"/>
      </w:pPr>
    </w:lvl>
    <w:lvl w:ilvl="4" w:tplc="4C9213A0" w:tentative="1">
      <w:start w:val="1"/>
      <w:numFmt w:val="lowerLetter"/>
      <w:lvlText w:val="%5."/>
      <w:lvlJc w:val="left"/>
      <w:pPr>
        <w:ind w:left="3600" w:hanging="360"/>
      </w:pPr>
    </w:lvl>
    <w:lvl w:ilvl="5" w:tplc="5E88EAE4" w:tentative="1">
      <w:start w:val="1"/>
      <w:numFmt w:val="lowerRoman"/>
      <w:lvlText w:val="%6."/>
      <w:lvlJc w:val="right"/>
      <w:pPr>
        <w:ind w:left="4320" w:hanging="180"/>
      </w:pPr>
    </w:lvl>
    <w:lvl w:ilvl="6" w:tplc="BDA63D3C" w:tentative="1">
      <w:start w:val="1"/>
      <w:numFmt w:val="decimal"/>
      <w:lvlText w:val="%7."/>
      <w:lvlJc w:val="left"/>
      <w:pPr>
        <w:ind w:left="5040" w:hanging="360"/>
      </w:pPr>
    </w:lvl>
    <w:lvl w:ilvl="7" w:tplc="AB86B3B2" w:tentative="1">
      <w:start w:val="1"/>
      <w:numFmt w:val="lowerLetter"/>
      <w:lvlText w:val="%8."/>
      <w:lvlJc w:val="left"/>
      <w:pPr>
        <w:ind w:left="5760" w:hanging="360"/>
      </w:pPr>
    </w:lvl>
    <w:lvl w:ilvl="8" w:tplc="429E14EA" w:tentative="1">
      <w:start w:val="1"/>
      <w:numFmt w:val="lowerRoman"/>
      <w:lvlText w:val="%9."/>
      <w:lvlJc w:val="right"/>
      <w:pPr>
        <w:ind w:left="6480" w:hanging="180"/>
      </w:pPr>
    </w:lvl>
  </w:abstractNum>
  <w:abstractNum w:abstractNumId="87">
    <w:nsid w:val="57936E20"/>
    <w:multiLevelType w:val="hybridMultilevel"/>
    <w:tmpl w:val="7A801EF6"/>
    <w:lvl w:ilvl="0" w:tplc="46628314">
      <w:start w:val="1"/>
      <w:numFmt w:val="bullet"/>
      <w:pStyle w:val="BulletsLevel3Dash"/>
      <w:lvlText w:val="-"/>
      <w:lvlJc w:val="left"/>
      <w:pPr>
        <w:ind w:left="927" w:hanging="360"/>
      </w:pPr>
      <w:rPr>
        <w:rFonts w:ascii="Verdana" w:hAnsi="Verdana" w:hint="default"/>
        <w:color w:val="auto"/>
        <w:sz w:val="24"/>
      </w:rPr>
    </w:lvl>
    <w:lvl w:ilvl="1" w:tplc="8E1A1530"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589A424C"/>
    <w:multiLevelType w:val="multilevel"/>
    <w:tmpl w:val="EED86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430"/>
        </w:tabs>
        <w:ind w:left="1430" w:hanging="720"/>
      </w:pPr>
      <w:rPr>
        <w:b/>
        <w:bCs w:val="0"/>
        <w:i w:val="0"/>
        <w:iCs w:val="0"/>
        <w:caps w:val="0"/>
        <w:smallCaps w:val="0"/>
        <w:strike w:val="0"/>
        <w:dstrike w:val="0"/>
        <w:noProof w:val="0"/>
        <w:vanish w:val="0"/>
        <w:color w:val="0070C0"/>
        <w:spacing w:val="0"/>
        <w:kern w:val="0"/>
        <w:position w:val="0"/>
        <w:u w:val="none"/>
        <w:effect w:val="none"/>
        <w:vertAlign w:val="baseline"/>
        <w:em w:val="none"/>
        <w:specVanish w:val="0"/>
      </w:rPr>
    </w:lvl>
    <w:lvl w:ilvl="3">
      <w:start w:val="1"/>
      <w:numFmt w:val="decimal"/>
      <w:lvlText w:val="%1.%2.%3.%4"/>
      <w:lvlJc w:val="left"/>
      <w:pPr>
        <w:tabs>
          <w:tab w:val="num" w:pos="1574"/>
        </w:tabs>
        <w:ind w:left="1574" w:hanging="864"/>
      </w:pPr>
      <w:rPr>
        <w:rFonts w:hint="default"/>
        <w:color w:val="0070C0"/>
      </w:rPr>
    </w:lvl>
    <w:lvl w:ilvl="4">
      <w:start w:val="1"/>
      <w:numFmt w:val="decimal"/>
      <w:lvlText w:val="%1.%2.%3.%4.%5"/>
      <w:lvlJc w:val="left"/>
      <w:pPr>
        <w:tabs>
          <w:tab w:val="num" w:pos="1008"/>
        </w:tabs>
        <w:ind w:left="1008" w:hanging="1008"/>
      </w:pPr>
      <w:rPr>
        <w:rFonts w:hint="default"/>
      </w:rPr>
    </w:lvl>
    <w:lvl w:ilvl="5">
      <w:start w:val="1"/>
      <w:numFmt w:val="upperLetter"/>
      <w:suff w:val="nothing"/>
      <w:lvlText w:val="Appendix %6"/>
      <w:lvlJc w:val="left"/>
      <w:pPr>
        <w:ind w:left="2002" w:hanging="1151"/>
      </w:pPr>
      <w:rPr>
        <w:b/>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lvlText w:val="%6.%7"/>
      <w:lvlJc w:val="left"/>
      <w:pPr>
        <w:tabs>
          <w:tab w:val="num" w:pos="1296"/>
        </w:tabs>
        <w:ind w:left="1296" w:hanging="1296"/>
      </w:pPr>
      <w:rPr>
        <w:rFonts w:hint="default"/>
      </w:rPr>
    </w:lvl>
    <w:lvl w:ilvl="7">
      <w:start w:val="1"/>
      <w:numFmt w:val="decimal"/>
      <w:lvlText w:val="%6.%7.%8"/>
      <w:lvlJc w:val="left"/>
      <w:pPr>
        <w:tabs>
          <w:tab w:val="num" w:pos="1440"/>
        </w:tabs>
        <w:ind w:left="1440" w:hanging="1440"/>
      </w:pPr>
      <w:rPr>
        <w:rFonts w:hint="default"/>
      </w:rPr>
    </w:lvl>
    <w:lvl w:ilvl="8">
      <w:start w:val="1"/>
      <w:numFmt w:val="decimal"/>
      <w:lvlText w:val="%6.%7.%8.%9"/>
      <w:lvlJc w:val="left"/>
      <w:pPr>
        <w:tabs>
          <w:tab w:val="num" w:pos="1584"/>
        </w:tabs>
        <w:ind w:left="1584" w:hanging="1584"/>
      </w:pPr>
      <w:rPr>
        <w:rFonts w:hint="default"/>
      </w:rPr>
    </w:lvl>
  </w:abstractNum>
  <w:abstractNum w:abstractNumId="89">
    <w:nsid w:val="5A9130E4"/>
    <w:multiLevelType w:val="hybridMultilevel"/>
    <w:tmpl w:val="B42EC49C"/>
    <w:lvl w:ilvl="0" w:tplc="0CA67D5A">
      <w:start w:val="1"/>
      <w:numFmt w:val="bullet"/>
      <w:lvlText w:val=""/>
      <w:lvlJc w:val="left"/>
      <w:pPr>
        <w:ind w:left="720" w:hanging="360"/>
      </w:pPr>
      <w:rPr>
        <w:rFonts w:ascii="Wingdings" w:hAnsi="Wingdings"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90">
    <w:nsid w:val="5B56405B"/>
    <w:multiLevelType w:val="hybridMultilevel"/>
    <w:tmpl w:val="61603F9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nsid w:val="5C725D23"/>
    <w:multiLevelType w:val="hybridMultilevel"/>
    <w:tmpl w:val="ADAAD11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nsid w:val="5CA97C4B"/>
    <w:multiLevelType w:val="hybridMultilevel"/>
    <w:tmpl w:val="1B34E38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nsid w:val="5DF556A0"/>
    <w:multiLevelType w:val="hybridMultilevel"/>
    <w:tmpl w:val="22E0786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nsid w:val="626D33AD"/>
    <w:multiLevelType w:val="hybridMultilevel"/>
    <w:tmpl w:val="3F02B18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nsid w:val="63F578CE"/>
    <w:multiLevelType w:val="hybridMultilevel"/>
    <w:tmpl w:val="AD286A1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nsid w:val="65DF5C67"/>
    <w:multiLevelType w:val="hybridMultilevel"/>
    <w:tmpl w:val="4A7CF77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nsid w:val="66476D1A"/>
    <w:multiLevelType w:val="hybridMultilevel"/>
    <w:tmpl w:val="7E6A4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nsid w:val="67D07063"/>
    <w:multiLevelType w:val="hybridMultilevel"/>
    <w:tmpl w:val="9EBAD47E"/>
    <w:lvl w:ilvl="0" w:tplc="0C090003">
      <w:start w:val="1"/>
      <w:numFmt w:val="bullet"/>
      <w:lvlText w:val="o"/>
      <w:lvlJc w:val="left"/>
      <w:pPr>
        <w:ind w:left="720" w:hanging="360"/>
      </w:pPr>
      <w:rPr>
        <w:rFonts w:ascii="Courier New" w:hAnsi="Courier New" w:cs="Courier New" w:hint="default"/>
        <w:color w:val="auto"/>
        <w:sz w:val="18"/>
        <w:szCs w:val="18"/>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99">
    <w:nsid w:val="6AA3342D"/>
    <w:multiLevelType w:val="hybridMultilevel"/>
    <w:tmpl w:val="E68C274E"/>
    <w:lvl w:ilvl="0" w:tplc="0C090003">
      <w:start w:val="1"/>
      <w:numFmt w:val="bullet"/>
      <w:lvlText w:val="o"/>
      <w:lvlJc w:val="left"/>
      <w:pPr>
        <w:ind w:left="720" w:hanging="360"/>
      </w:pPr>
      <w:rPr>
        <w:rFonts w:ascii="Courier New" w:hAnsi="Courier New" w:hint="default"/>
        <w:color w:val="auto"/>
        <w:sz w:val="18"/>
        <w:szCs w:val="18"/>
      </w:rPr>
    </w:lvl>
    <w:lvl w:ilvl="1" w:tplc="0C090003">
      <w:start w:val="1"/>
      <w:numFmt w:val="bullet"/>
      <w:lvlText w:val="o"/>
      <w:lvlJc w:val="left"/>
      <w:pPr>
        <w:tabs>
          <w:tab w:val="num" w:pos="1800"/>
        </w:tabs>
        <w:ind w:left="1800" w:hanging="360"/>
      </w:pPr>
      <w:rPr>
        <w:rFonts w:ascii="Courier New" w:hAnsi="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00">
    <w:nsid w:val="6AD65C6F"/>
    <w:multiLevelType w:val="hybridMultilevel"/>
    <w:tmpl w:val="939A075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nsid w:val="6B26589E"/>
    <w:multiLevelType w:val="hybridMultilevel"/>
    <w:tmpl w:val="C68224E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nsid w:val="6C222EF4"/>
    <w:multiLevelType w:val="hybridMultilevel"/>
    <w:tmpl w:val="130C17BE"/>
    <w:lvl w:ilvl="0" w:tplc="0C090003">
      <w:start w:val="1"/>
      <w:numFmt w:val="bullet"/>
      <w:lvlText w:val="o"/>
      <w:lvlJc w:val="left"/>
      <w:pPr>
        <w:ind w:left="720" w:hanging="360"/>
      </w:pPr>
      <w:rPr>
        <w:rFonts w:ascii="Courier New" w:hAnsi="Courier New" w:hint="default"/>
        <w:color w:val="auto"/>
        <w:sz w:val="18"/>
        <w:szCs w:val="18"/>
      </w:rPr>
    </w:lvl>
    <w:lvl w:ilvl="1" w:tplc="0C090003">
      <w:start w:val="1"/>
      <w:numFmt w:val="bullet"/>
      <w:lvlText w:val="o"/>
      <w:lvlJc w:val="left"/>
      <w:pPr>
        <w:tabs>
          <w:tab w:val="num" w:pos="1800"/>
        </w:tabs>
        <w:ind w:left="1800" w:hanging="360"/>
      </w:pPr>
      <w:rPr>
        <w:rFonts w:ascii="Courier New" w:hAnsi="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03">
    <w:nsid w:val="6C6B083C"/>
    <w:multiLevelType w:val="hybridMultilevel"/>
    <w:tmpl w:val="0914C15A"/>
    <w:lvl w:ilvl="0" w:tplc="0C090003">
      <w:start w:val="1"/>
      <w:numFmt w:val="bullet"/>
      <w:lvlText w:val="o"/>
      <w:lvlJc w:val="left"/>
      <w:pPr>
        <w:ind w:left="1080" w:hanging="360"/>
      </w:pPr>
      <w:rPr>
        <w:rFonts w:ascii="Courier New" w:hAnsi="Courier New" w:cs="Courier New" w:hint="default"/>
        <w:color w:val="auto"/>
        <w:sz w:val="18"/>
        <w:szCs w:val="18"/>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start w:val="1"/>
      <w:numFmt w:val="bullet"/>
      <w:lvlText w:val=""/>
      <w:lvlJc w:val="left"/>
      <w:pPr>
        <w:tabs>
          <w:tab w:val="num" w:pos="2880"/>
        </w:tabs>
        <w:ind w:left="2880" w:hanging="360"/>
      </w:pPr>
      <w:rPr>
        <w:rFonts w:ascii="Wingdings" w:hAnsi="Wingdings" w:hint="default"/>
      </w:rPr>
    </w:lvl>
    <w:lvl w:ilvl="3" w:tplc="0C09000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04">
    <w:nsid w:val="6D064E41"/>
    <w:multiLevelType w:val="hybridMultilevel"/>
    <w:tmpl w:val="A804379A"/>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nsid w:val="6D193679"/>
    <w:multiLevelType w:val="hybridMultilevel"/>
    <w:tmpl w:val="04BACF6A"/>
    <w:lvl w:ilvl="0" w:tplc="0C090003">
      <w:start w:val="1"/>
      <w:numFmt w:val="bullet"/>
      <w:lvlText w:val="o"/>
      <w:lvlJc w:val="left"/>
      <w:pPr>
        <w:ind w:left="1080" w:hanging="360"/>
      </w:pPr>
      <w:rPr>
        <w:rFonts w:ascii="Courier New" w:hAnsi="Courier New" w:hint="default"/>
        <w:color w:val="auto"/>
        <w:sz w:val="18"/>
        <w:szCs w:val="18"/>
      </w:rPr>
    </w:lvl>
    <w:lvl w:ilvl="1" w:tplc="0C090003">
      <w:start w:val="1"/>
      <w:numFmt w:val="bullet"/>
      <w:lvlText w:val="o"/>
      <w:lvlJc w:val="left"/>
      <w:pPr>
        <w:tabs>
          <w:tab w:val="num" w:pos="2160"/>
        </w:tabs>
        <w:ind w:left="2160" w:hanging="360"/>
      </w:pPr>
      <w:rPr>
        <w:rFonts w:ascii="Courier New" w:hAnsi="Courier New" w:hint="default"/>
      </w:rPr>
    </w:lvl>
    <w:lvl w:ilvl="2" w:tplc="0C090005">
      <w:start w:val="1"/>
      <w:numFmt w:val="bullet"/>
      <w:lvlText w:val=""/>
      <w:lvlJc w:val="left"/>
      <w:pPr>
        <w:tabs>
          <w:tab w:val="num" w:pos="2880"/>
        </w:tabs>
        <w:ind w:left="2880" w:hanging="360"/>
      </w:pPr>
      <w:rPr>
        <w:rFonts w:ascii="Wingdings" w:hAnsi="Wingdings" w:hint="default"/>
      </w:rPr>
    </w:lvl>
    <w:lvl w:ilvl="3" w:tplc="0C09000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06">
    <w:nsid w:val="6D620574"/>
    <w:multiLevelType w:val="hybridMultilevel"/>
    <w:tmpl w:val="06065A00"/>
    <w:lvl w:ilvl="0" w:tplc="5FCEDA16">
      <w:start w:val="1"/>
      <w:numFmt w:val="bullet"/>
      <w:lvlText w:val=""/>
      <w:lvlJc w:val="left"/>
      <w:pPr>
        <w:ind w:left="761" w:hanging="360"/>
      </w:pPr>
      <w:rPr>
        <w:rFonts w:ascii="Wingdings" w:hAnsi="Wingdings" w:hint="default"/>
      </w:rPr>
    </w:lvl>
    <w:lvl w:ilvl="1" w:tplc="4058DC30" w:tentative="1">
      <w:start w:val="1"/>
      <w:numFmt w:val="bullet"/>
      <w:lvlText w:val="o"/>
      <w:lvlJc w:val="left"/>
      <w:pPr>
        <w:ind w:left="1481" w:hanging="360"/>
      </w:pPr>
      <w:rPr>
        <w:rFonts w:ascii="Courier New" w:hAnsi="Courier New" w:cs="Courier New" w:hint="default"/>
      </w:rPr>
    </w:lvl>
    <w:lvl w:ilvl="2" w:tplc="AFC83A10" w:tentative="1">
      <w:start w:val="1"/>
      <w:numFmt w:val="bullet"/>
      <w:lvlText w:val=""/>
      <w:lvlJc w:val="left"/>
      <w:pPr>
        <w:ind w:left="2201" w:hanging="360"/>
      </w:pPr>
      <w:rPr>
        <w:rFonts w:ascii="Wingdings" w:hAnsi="Wingdings" w:hint="default"/>
      </w:rPr>
    </w:lvl>
    <w:lvl w:ilvl="3" w:tplc="E4065386" w:tentative="1">
      <w:start w:val="1"/>
      <w:numFmt w:val="bullet"/>
      <w:lvlText w:val=""/>
      <w:lvlJc w:val="left"/>
      <w:pPr>
        <w:ind w:left="2921" w:hanging="360"/>
      </w:pPr>
      <w:rPr>
        <w:rFonts w:ascii="Symbol" w:hAnsi="Symbol" w:hint="default"/>
      </w:rPr>
    </w:lvl>
    <w:lvl w:ilvl="4" w:tplc="D292CA06" w:tentative="1">
      <w:start w:val="1"/>
      <w:numFmt w:val="bullet"/>
      <w:lvlText w:val="o"/>
      <w:lvlJc w:val="left"/>
      <w:pPr>
        <w:ind w:left="3641" w:hanging="360"/>
      </w:pPr>
      <w:rPr>
        <w:rFonts w:ascii="Courier New" w:hAnsi="Courier New" w:cs="Courier New" w:hint="default"/>
      </w:rPr>
    </w:lvl>
    <w:lvl w:ilvl="5" w:tplc="FCA86E50" w:tentative="1">
      <w:start w:val="1"/>
      <w:numFmt w:val="bullet"/>
      <w:lvlText w:val=""/>
      <w:lvlJc w:val="left"/>
      <w:pPr>
        <w:ind w:left="4361" w:hanging="360"/>
      </w:pPr>
      <w:rPr>
        <w:rFonts w:ascii="Wingdings" w:hAnsi="Wingdings" w:hint="default"/>
      </w:rPr>
    </w:lvl>
    <w:lvl w:ilvl="6" w:tplc="537A09D4" w:tentative="1">
      <w:start w:val="1"/>
      <w:numFmt w:val="bullet"/>
      <w:lvlText w:val=""/>
      <w:lvlJc w:val="left"/>
      <w:pPr>
        <w:ind w:left="5081" w:hanging="360"/>
      </w:pPr>
      <w:rPr>
        <w:rFonts w:ascii="Symbol" w:hAnsi="Symbol" w:hint="default"/>
      </w:rPr>
    </w:lvl>
    <w:lvl w:ilvl="7" w:tplc="5C00F7EC" w:tentative="1">
      <w:start w:val="1"/>
      <w:numFmt w:val="bullet"/>
      <w:lvlText w:val="o"/>
      <w:lvlJc w:val="left"/>
      <w:pPr>
        <w:ind w:left="5801" w:hanging="360"/>
      </w:pPr>
      <w:rPr>
        <w:rFonts w:ascii="Courier New" w:hAnsi="Courier New" w:cs="Courier New" w:hint="default"/>
      </w:rPr>
    </w:lvl>
    <w:lvl w:ilvl="8" w:tplc="B6C67A18" w:tentative="1">
      <w:start w:val="1"/>
      <w:numFmt w:val="bullet"/>
      <w:lvlText w:val=""/>
      <w:lvlJc w:val="left"/>
      <w:pPr>
        <w:ind w:left="6521" w:hanging="360"/>
      </w:pPr>
      <w:rPr>
        <w:rFonts w:ascii="Wingdings" w:hAnsi="Wingdings" w:hint="default"/>
      </w:rPr>
    </w:lvl>
  </w:abstractNum>
  <w:abstractNum w:abstractNumId="107">
    <w:nsid w:val="6FFF58EE"/>
    <w:multiLevelType w:val="hybridMultilevel"/>
    <w:tmpl w:val="C76C1A86"/>
    <w:lvl w:ilvl="0" w:tplc="0C09000B">
      <w:start w:val="1"/>
      <w:numFmt w:val="lowerLetter"/>
      <w:lvlText w:val="(%1)"/>
      <w:lvlJc w:val="left"/>
      <w:pPr>
        <w:ind w:left="1080" w:hanging="360"/>
      </w:pPr>
      <w:rPr>
        <w:rFonts w:hint="default"/>
      </w:rPr>
    </w:lvl>
    <w:lvl w:ilvl="1" w:tplc="0C090003" w:tentative="1">
      <w:start w:val="1"/>
      <w:numFmt w:val="lowerLetter"/>
      <w:lvlText w:val="%2."/>
      <w:lvlJc w:val="left"/>
      <w:pPr>
        <w:ind w:left="1800" w:hanging="360"/>
      </w:pPr>
    </w:lvl>
    <w:lvl w:ilvl="2" w:tplc="0C090005" w:tentative="1">
      <w:start w:val="1"/>
      <w:numFmt w:val="lowerRoman"/>
      <w:lvlText w:val="%3."/>
      <w:lvlJc w:val="right"/>
      <w:pPr>
        <w:ind w:left="2520" w:hanging="180"/>
      </w:pPr>
    </w:lvl>
    <w:lvl w:ilvl="3" w:tplc="0C090001" w:tentative="1">
      <w:start w:val="1"/>
      <w:numFmt w:val="decimal"/>
      <w:lvlText w:val="%4."/>
      <w:lvlJc w:val="left"/>
      <w:pPr>
        <w:ind w:left="3240" w:hanging="360"/>
      </w:pPr>
    </w:lvl>
    <w:lvl w:ilvl="4" w:tplc="0C090003" w:tentative="1">
      <w:start w:val="1"/>
      <w:numFmt w:val="lowerLetter"/>
      <w:lvlText w:val="%5."/>
      <w:lvlJc w:val="left"/>
      <w:pPr>
        <w:ind w:left="3960" w:hanging="360"/>
      </w:pPr>
    </w:lvl>
    <w:lvl w:ilvl="5" w:tplc="0C090005" w:tentative="1">
      <w:start w:val="1"/>
      <w:numFmt w:val="lowerRoman"/>
      <w:lvlText w:val="%6."/>
      <w:lvlJc w:val="right"/>
      <w:pPr>
        <w:ind w:left="4680" w:hanging="180"/>
      </w:pPr>
    </w:lvl>
    <w:lvl w:ilvl="6" w:tplc="0C090001" w:tentative="1">
      <w:start w:val="1"/>
      <w:numFmt w:val="decimal"/>
      <w:lvlText w:val="%7."/>
      <w:lvlJc w:val="left"/>
      <w:pPr>
        <w:ind w:left="5400" w:hanging="360"/>
      </w:pPr>
    </w:lvl>
    <w:lvl w:ilvl="7" w:tplc="0C090003" w:tentative="1">
      <w:start w:val="1"/>
      <w:numFmt w:val="lowerLetter"/>
      <w:lvlText w:val="%8."/>
      <w:lvlJc w:val="left"/>
      <w:pPr>
        <w:ind w:left="6120" w:hanging="360"/>
      </w:pPr>
    </w:lvl>
    <w:lvl w:ilvl="8" w:tplc="0C090005" w:tentative="1">
      <w:start w:val="1"/>
      <w:numFmt w:val="lowerRoman"/>
      <w:lvlText w:val="%9."/>
      <w:lvlJc w:val="right"/>
      <w:pPr>
        <w:ind w:left="6840" w:hanging="180"/>
      </w:pPr>
    </w:lvl>
  </w:abstractNum>
  <w:abstractNum w:abstractNumId="108">
    <w:nsid w:val="70096C08"/>
    <w:multiLevelType w:val="hybridMultilevel"/>
    <w:tmpl w:val="788C17C6"/>
    <w:lvl w:ilvl="0" w:tplc="0C09000B">
      <w:start w:val="1"/>
      <w:numFmt w:val="bullet"/>
      <w:lvlText w:val=""/>
      <w:lvlJc w:val="left"/>
      <w:pPr>
        <w:ind w:left="720" w:hanging="360"/>
      </w:pPr>
      <w:rPr>
        <w:rFonts w:ascii="Wingdings" w:hAnsi="Wingdings" w:hint="default"/>
        <w:color w:val="auto"/>
        <w:sz w:val="18"/>
        <w:szCs w:val="18"/>
      </w:rPr>
    </w:lvl>
    <w:lvl w:ilvl="1" w:tplc="0C090003">
      <w:start w:val="1"/>
      <w:numFmt w:val="bullet"/>
      <w:lvlText w:val="o"/>
      <w:lvlJc w:val="left"/>
      <w:pPr>
        <w:tabs>
          <w:tab w:val="num" w:pos="1800"/>
        </w:tabs>
        <w:ind w:left="1800" w:hanging="360"/>
      </w:pPr>
      <w:rPr>
        <w:rFonts w:ascii="Courier New" w:hAnsi="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09">
    <w:nsid w:val="70820379"/>
    <w:multiLevelType w:val="hybridMultilevel"/>
    <w:tmpl w:val="CC660C7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nsid w:val="70EB4038"/>
    <w:multiLevelType w:val="hybridMultilevel"/>
    <w:tmpl w:val="DA84BA6C"/>
    <w:lvl w:ilvl="0" w:tplc="0C090003">
      <w:start w:val="1"/>
      <w:numFmt w:val="bullet"/>
      <w:lvlText w:val="o"/>
      <w:lvlJc w:val="left"/>
      <w:pPr>
        <w:ind w:left="1080" w:hanging="360"/>
      </w:pPr>
      <w:rPr>
        <w:rFonts w:ascii="Courier New" w:hAnsi="Courier New" w:cs="Courier New" w:hint="default"/>
        <w:color w:val="auto"/>
        <w:sz w:val="18"/>
        <w:szCs w:val="18"/>
      </w:rPr>
    </w:lvl>
    <w:lvl w:ilvl="1" w:tplc="0C09000B">
      <w:start w:val="1"/>
      <w:numFmt w:val="bullet"/>
      <w:lvlText w:val=""/>
      <w:lvlJc w:val="left"/>
      <w:pPr>
        <w:tabs>
          <w:tab w:val="num" w:pos="2160"/>
        </w:tabs>
        <w:ind w:left="2160" w:hanging="360"/>
      </w:pPr>
      <w:rPr>
        <w:rFonts w:ascii="Wingdings" w:hAnsi="Wingdings" w:hint="default"/>
      </w:rPr>
    </w:lvl>
    <w:lvl w:ilvl="2" w:tplc="0C090005">
      <w:start w:val="1"/>
      <w:numFmt w:val="bullet"/>
      <w:lvlText w:val=""/>
      <w:lvlJc w:val="left"/>
      <w:pPr>
        <w:tabs>
          <w:tab w:val="num" w:pos="2880"/>
        </w:tabs>
        <w:ind w:left="2880" w:hanging="360"/>
      </w:pPr>
      <w:rPr>
        <w:rFonts w:ascii="Wingdings" w:hAnsi="Wingdings" w:hint="default"/>
      </w:rPr>
    </w:lvl>
    <w:lvl w:ilvl="3" w:tplc="0C09000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11">
    <w:nsid w:val="7104638E"/>
    <w:multiLevelType w:val="hybridMultilevel"/>
    <w:tmpl w:val="25B021F4"/>
    <w:lvl w:ilvl="0" w:tplc="605AF43A">
      <w:start w:val="1"/>
      <w:numFmt w:val="bullet"/>
      <w:lvlText w:val=""/>
      <w:lvlJc w:val="left"/>
      <w:pPr>
        <w:ind w:left="360" w:hanging="360"/>
      </w:pPr>
      <w:rPr>
        <w:rFonts w:ascii="Wingdings" w:hAnsi="Wingdings" w:hint="default"/>
        <w:color w:val="AEBC37"/>
      </w:rPr>
    </w:lvl>
    <w:lvl w:ilvl="1" w:tplc="7A4E6B48">
      <w:start w:val="1"/>
      <w:numFmt w:val="bullet"/>
      <w:lvlText w:val=""/>
      <w:lvlJc w:val="left"/>
      <w:pPr>
        <w:tabs>
          <w:tab w:val="num" w:pos="1440"/>
        </w:tabs>
        <w:ind w:left="1440" w:hanging="360"/>
      </w:pPr>
      <w:rPr>
        <w:rFonts w:ascii="Wingdings" w:hAnsi="Wingdings" w:hint="default"/>
        <w:b w:val="0"/>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lowerLetter"/>
      <w:lvlText w:val="(%4)"/>
      <w:lvlJc w:val="left"/>
      <w:pPr>
        <w:ind w:left="2880" w:hanging="360"/>
      </w:pPr>
      <w:rPr>
        <w:rFonts w:hint="default"/>
        <w:color w:val="auto"/>
        <w:sz w:val="14"/>
        <w:szCs w:val="14"/>
      </w:rPr>
    </w:lvl>
    <w:lvl w:ilvl="4" w:tplc="0C090003">
      <w:start w:val="3"/>
      <w:numFmt w:val="bullet"/>
      <w:lvlText w:val=""/>
      <w:lvlJc w:val="left"/>
      <w:pPr>
        <w:ind w:left="3600" w:hanging="360"/>
      </w:pPr>
      <w:rPr>
        <w:rFonts w:ascii="Symbol" w:eastAsia="Times New Roman" w:hAnsi="Symbol" w:cs="Times New Roman" w:hint="default"/>
      </w:rPr>
    </w:lvl>
    <w:lvl w:ilvl="5" w:tplc="0C090005">
      <w:start w:val="1"/>
      <w:numFmt w:val="lowerLetter"/>
      <w:lvlText w:val="(%6)"/>
      <w:lvlJc w:val="left"/>
      <w:pPr>
        <w:ind w:left="4320" w:hanging="360"/>
      </w:pPr>
      <w:rPr>
        <w:rFonts w:ascii="Century Gothic" w:eastAsia="Times New Roman" w:hAnsi="Century Gothic" w:cs="Times New Roman"/>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2">
    <w:nsid w:val="728B0D5C"/>
    <w:multiLevelType w:val="hybridMultilevel"/>
    <w:tmpl w:val="8432F8DE"/>
    <w:lvl w:ilvl="0" w:tplc="0C09000B">
      <w:start w:val="1"/>
      <w:numFmt w:val="bullet"/>
      <w:lvlText w:val=""/>
      <w:lvlJc w:val="left"/>
      <w:pPr>
        <w:ind w:left="720" w:hanging="360"/>
      </w:pPr>
      <w:rPr>
        <w:rFonts w:ascii="Wingdings" w:hAnsi="Wingdings" w:hint="default"/>
        <w:color w:val="auto"/>
        <w:sz w:val="18"/>
        <w:szCs w:val="18"/>
      </w:rPr>
    </w:lvl>
    <w:lvl w:ilvl="1" w:tplc="0C090003">
      <w:start w:val="1"/>
      <w:numFmt w:val="bullet"/>
      <w:lvlText w:val="o"/>
      <w:lvlJc w:val="left"/>
      <w:pPr>
        <w:tabs>
          <w:tab w:val="num" w:pos="1800"/>
        </w:tabs>
        <w:ind w:left="1800" w:hanging="360"/>
      </w:pPr>
      <w:rPr>
        <w:rFonts w:ascii="Courier New" w:hAnsi="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13">
    <w:nsid w:val="73014EB7"/>
    <w:multiLevelType w:val="hybridMultilevel"/>
    <w:tmpl w:val="31BA05A8"/>
    <w:lvl w:ilvl="0" w:tplc="0C09000B">
      <w:start w:val="1"/>
      <w:numFmt w:val="lowerLetter"/>
      <w:lvlText w:val="(%1)"/>
      <w:lvlJc w:val="left"/>
      <w:pPr>
        <w:ind w:left="1241" w:hanging="360"/>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14">
    <w:nsid w:val="739A1ED0"/>
    <w:multiLevelType w:val="hybridMultilevel"/>
    <w:tmpl w:val="0116E39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nsid w:val="73E1489D"/>
    <w:multiLevelType w:val="hybridMultilevel"/>
    <w:tmpl w:val="E0E2CB0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nsid w:val="73EB3D12"/>
    <w:multiLevelType w:val="hybridMultilevel"/>
    <w:tmpl w:val="DAC8E760"/>
    <w:lvl w:ilvl="0" w:tplc="C0CCFC62">
      <w:start w:val="1"/>
      <w:numFmt w:val="lowerLetter"/>
      <w:lvlText w:val="(%1)"/>
      <w:lvlJc w:val="left"/>
      <w:pPr>
        <w:ind w:left="4320" w:hanging="360"/>
      </w:pPr>
      <w:rPr>
        <w:rFonts w:ascii="Century Gothic" w:eastAsia="Times New Roman" w:hAnsi="Century Gothic" w:cs="Times New Roman"/>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nsid w:val="74250498"/>
    <w:multiLevelType w:val="hybridMultilevel"/>
    <w:tmpl w:val="97CE5C0E"/>
    <w:lvl w:ilvl="0" w:tplc="0C021B3A">
      <w:start w:val="1"/>
      <w:numFmt w:val="lowerLetter"/>
      <w:lvlText w:val="(%1)"/>
      <w:lvlJc w:val="left"/>
      <w:pPr>
        <w:ind w:left="720" w:hanging="360"/>
      </w:pPr>
      <w:rPr>
        <w:rFonts w:ascii="Century Gothic" w:hAnsi="Century Gothic" w:hint="default"/>
        <w:color w:val="auto"/>
        <w:sz w:val="18"/>
        <w:szCs w:val="18"/>
      </w:rPr>
    </w:lvl>
    <w:lvl w:ilvl="1" w:tplc="0C090019">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nsid w:val="74A70CEE"/>
    <w:multiLevelType w:val="hybridMultilevel"/>
    <w:tmpl w:val="84485430"/>
    <w:lvl w:ilvl="0" w:tplc="0C09000B">
      <w:start w:val="1"/>
      <w:numFmt w:val="bullet"/>
      <w:lvlText w:val=""/>
      <w:lvlJc w:val="left"/>
      <w:pPr>
        <w:ind w:left="1080" w:hanging="360"/>
      </w:pPr>
      <w:rPr>
        <w:rFonts w:ascii="Wingdings" w:hAnsi="Wingdings" w:hint="default"/>
        <w:color w:val="auto"/>
        <w:sz w:val="18"/>
        <w:szCs w:val="18"/>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start w:val="1"/>
      <w:numFmt w:val="bullet"/>
      <w:lvlText w:val=""/>
      <w:lvlJc w:val="left"/>
      <w:pPr>
        <w:tabs>
          <w:tab w:val="num" w:pos="2880"/>
        </w:tabs>
        <w:ind w:left="2880" w:hanging="360"/>
      </w:pPr>
      <w:rPr>
        <w:rFonts w:ascii="Wingdings" w:hAnsi="Wingdings" w:hint="default"/>
      </w:rPr>
    </w:lvl>
    <w:lvl w:ilvl="3" w:tplc="0C09000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19">
    <w:nsid w:val="74AB2773"/>
    <w:multiLevelType w:val="hybridMultilevel"/>
    <w:tmpl w:val="FB70B732"/>
    <w:lvl w:ilvl="0" w:tplc="888E4ADA">
      <w:start w:val="1"/>
      <w:numFmt w:val="bullet"/>
      <w:pStyle w:val="BulletCircles"/>
      <w:lvlText w:val="o"/>
      <w:lvlJc w:val="left"/>
      <w:pPr>
        <w:ind w:left="644" w:hanging="360"/>
      </w:pPr>
      <w:rPr>
        <w:rFonts w:ascii="Courier New" w:hAnsi="Courier New" w:hint="default"/>
        <w:color w:val="auto"/>
        <w:sz w:val="24"/>
      </w:rPr>
    </w:lvl>
    <w:lvl w:ilvl="1" w:tplc="0C090019" w:tentative="1">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120">
    <w:nsid w:val="7690416C"/>
    <w:multiLevelType w:val="hybridMultilevel"/>
    <w:tmpl w:val="07A0EA62"/>
    <w:lvl w:ilvl="0" w:tplc="0C09000B">
      <w:start w:val="1"/>
      <w:numFmt w:val="bullet"/>
      <w:lvlText w:val=""/>
      <w:lvlJc w:val="left"/>
      <w:pPr>
        <w:ind w:left="720" w:hanging="360"/>
      </w:pPr>
      <w:rPr>
        <w:rFonts w:ascii="Wingdings" w:hAnsi="Wingdings" w:hint="default"/>
        <w:color w:val="auto"/>
        <w:sz w:val="18"/>
        <w:szCs w:val="18"/>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21">
    <w:nsid w:val="772753EA"/>
    <w:multiLevelType w:val="hybridMultilevel"/>
    <w:tmpl w:val="E4866D70"/>
    <w:lvl w:ilvl="0" w:tplc="8D08DA62">
      <w:start w:val="1"/>
      <w:numFmt w:val="lowerLetter"/>
      <w:lvlText w:val="(%1)"/>
      <w:lvlJc w:val="left"/>
      <w:pPr>
        <w:ind w:left="1241" w:hanging="360"/>
      </w:pPr>
      <w:rPr>
        <w:rFonts w:hint="default"/>
      </w:rPr>
    </w:lvl>
    <w:lvl w:ilvl="1" w:tplc="5CC4248C" w:tentative="1">
      <w:start w:val="1"/>
      <w:numFmt w:val="lowerLetter"/>
      <w:lvlText w:val="%2."/>
      <w:lvlJc w:val="left"/>
      <w:pPr>
        <w:ind w:left="1961" w:hanging="360"/>
      </w:pPr>
    </w:lvl>
    <w:lvl w:ilvl="2" w:tplc="0C09001B" w:tentative="1">
      <w:start w:val="1"/>
      <w:numFmt w:val="lowerRoman"/>
      <w:lvlText w:val="%3."/>
      <w:lvlJc w:val="right"/>
      <w:pPr>
        <w:ind w:left="2681" w:hanging="180"/>
      </w:pPr>
    </w:lvl>
    <w:lvl w:ilvl="3" w:tplc="0C09000F" w:tentative="1">
      <w:start w:val="1"/>
      <w:numFmt w:val="decimal"/>
      <w:lvlText w:val="%4."/>
      <w:lvlJc w:val="left"/>
      <w:pPr>
        <w:ind w:left="3401" w:hanging="360"/>
      </w:pPr>
    </w:lvl>
    <w:lvl w:ilvl="4" w:tplc="0C090019" w:tentative="1">
      <w:start w:val="1"/>
      <w:numFmt w:val="lowerLetter"/>
      <w:lvlText w:val="%5."/>
      <w:lvlJc w:val="left"/>
      <w:pPr>
        <w:ind w:left="4121" w:hanging="360"/>
      </w:pPr>
    </w:lvl>
    <w:lvl w:ilvl="5" w:tplc="0C09001B" w:tentative="1">
      <w:start w:val="1"/>
      <w:numFmt w:val="lowerRoman"/>
      <w:lvlText w:val="%6."/>
      <w:lvlJc w:val="right"/>
      <w:pPr>
        <w:ind w:left="4841" w:hanging="180"/>
      </w:pPr>
    </w:lvl>
    <w:lvl w:ilvl="6" w:tplc="0C09000F" w:tentative="1">
      <w:start w:val="1"/>
      <w:numFmt w:val="decimal"/>
      <w:lvlText w:val="%7."/>
      <w:lvlJc w:val="left"/>
      <w:pPr>
        <w:ind w:left="5561" w:hanging="360"/>
      </w:pPr>
    </w:lvl>
    <w:lvl w:ilvl="7" w:tplc="0C090019" w:tentative="1">
      <w:start w:val="1"/>
      <w:numFmt w:val="lowerLetter"/>
      <w:lvlText w:val="%8."/>
      <w:lvlJc w:val="left"/>
      <w:pPr>
        <w:ind w:left="6281" w:hanging="360"/>
      </w:pPr>
    </w:lvl>
    <w:lvl w:ilvl="8" w:tplc="0C09001B" w:tentative="1">
      <w:start w:val="1"/>
      <w:numFmt w:val="lowerRoman"/>
      <w:lvlText w:val="%9."/>
      <w:lvlJc w:val="right"/>
      <w:pPr>
        <w:ind w:left="7001" w:hanging="180"/>
      </w:pPr>
    </w:lvl>
  </w:abstractNum>
  <w:abstractNum w:abstractNumId="122">
    <w:nsid w:val="793A779E"/>
    <w:multiLevelType w:val="hybridMultilevel"/>
    <w:tmpl w:val="56B6E6E2"/>
    <w:lvl w:ilvl="0" w:tplc="7A4E6B48">
      <w:start w:val="1"/>
      <w:numFmt w:val="bullet"/>
      <w:lvlText w:val=""/>
      <w:lvlJc w:val="left"/>
      <w:pPr>
        <w:ind w:left="720" w:hanging="360"/>
      </w:pPr>
      <w:rPr>
        <w:rFonts w:ascii="Wingdings" w:hAnsi="Wingdings"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23">
    <w:nsid w:val="79417307"/>
    <w:multiLevelType w:val="hybridMultilevel"/>
    <w:tmpl w:val="22D490A6"/>
    <w:lvl w:ilvl="0" w:tplc="0C021B3A">
      <w:start w:val="1"/>
      <w:numFmt w:val="bullet"/>
      <w:lvlText w:val=""/>
      <w:lvlJc w:val="left"/>
      <w:pPr>
        <w:ind w:left="360" w:hanging="360"/>
      </w:pPr>
      <w:rPr>
        <w:rFonts w:ascii="Wingdings" w:hAnsi="Wingdings" w:hint="default"/>
        <w:color w:val="AEBC37"/>
      </w:rPr>
    </w:lvl>
    <w:lvl w:ilvl="1" w:tplc="0C090019">
      <w:start w:val="1"/>
      <w:numFmt w:val="lowerLetter"/>
      <w:lvlText w:val="%2."/>
      <w:lvlJc w:val="left"/>
      <w:pPr>
        <w:tabs>
          <w:tab w:val="num" w:pos="1440"/>
        </w:tabs>
        <w:ind w:left="1440" w:hanging="360"/>
      </w:pPr>
      <w:rPr>
        <w:rFonts w:hint="default"/>
        <w:b w:val="0"/>
      </w:rPr>
    </w:lvl>
    <w:lvl w:ilvl="2" w:tplc="0C09001B">
      <w:start w:val="1"/>
      <w:numFmt w:val="bullet"/>
      <w:lvlText w:val=""/>
      <w:lvlJc w:val="left"/>
      <w:pPr>
        <w:tabs>
          <w:tab w:val="num" w:pos="2160"/>
        </w:tabs>
        <w:ind w:left="2160" w:hanging="360"/>
      </w:pPr>
      <w:rPr>
        <w:rFonts w:ascii="Wingdings" w:hAnsi="Wingdings" w:hint="default"/>
      </w:rPr>
    </w:lvl>
    <w:lvl w:ilvl="3" w:tplc="0C09000F">
      <w:start w:val="1"/>
      <w:numFmt w:val="lowerLetter"/>
      <w:lvlText w:val="(%4)"/>
      <w:lvlJc w:val="left"/>
      <w:pPr>
        <w:ind w:left="2880" w:hanging="360"/>
      </w:pPr>
      <w:rPr>
        <w:rFonts w:hint="default"/>
        <w:color w:val="auto"/>
        <w:sz w:val="14"/>
        <w:szCs w:val="14"/>
      </w:rPr>
    </w:lvl>
    <w:lvl w:ilvl="4" w:tplc="0C090019">
      <w:start w:val="3"/>
      <w:numFmt w:val="bullet"/>
      <w:lvlText w:val=""/>
      <w:lvlJc w:val="left"/>
      <w:pPr>
        <w:ind w:left="3600" w:hanging="360"/>
      </w:pPr>
      <w:rPr>
        <w:rFonts w:ascii="Symbol" w:eastAsia="Times New Roman" w:hAnsi="Symbol" w:cs="Times New Roman" w:hint="default"/>
      </w:rPr>
    </w:lvl>
    <w:lvl w:ilvl="5" w:tplc="0C09001B">
      <w:start w:val="1"/>
      <w:numFmt w:val="lowerLetter"/>
      <w:lvlText w:val="(%6)"/>
      <w:lvlJc w:val="left"/>
      <w:pPr>
        <w:ind w:left="4320" w:hanging="360"/>
      </w:pPr>
      <w:rPr>
        <w:rFonts w:ascii="Century Gothic" w:eastAsia="Times New Roman" w:hAnsi="Century Gothic" w:cs="Times New Roman"/>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124">
    <w:nsid w:val="7A850A05"/>
    <w:multiLevelType w:val="hybridMultilevel"/>
    <w:tmpl w:val="1EA4F08A"/>
    <w:lvl w:ilvl="0" w:tplc="0C09000B">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5">
    <w:nsid w:val="7AB95DF3"/>
    <w:multiLevelType w:val="hybridMultilevel"/>
    <w:tmpl w:val="083656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nsid w:val="7CF64360"/>
    <w:multiLevelType w:val="hybridMultilevel"/>
    <w:tmpl w:val="0602DAE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nsid w:val="7F5D7541"/>
    <w:multiLevelType w:val="hybridMultilevel"/>
    <w:tmpl w:val="46CEA5CE"/>
    <w:lvl w:ilvl="0" w:tplc="0C09000B">
      <w:start w:val="1"/>
      <w:numFmt w:val="lowerLetter"/>
      <w:lvlText w:val="(%1)"/>
      <w:lvlJc w:val="left"/>
      <w:pPr>
        <w:ind w:left="720" w:hanging="360"/>
      </w:pPr>
      <w:rPr>
        <w:rFonts w:ascii="Century Gothic" w:hAnsi="Century Gothic" w:cs="Arial"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28">
    <w:nsid w:val="7F6C393B"/>
    <w:multiLevelType w:val="hybridMultilevel"/>
    <w:tmpl w:val="7FC41C96"/>
    <w:lvl w:ilvl="0" w:tplc="0C09000B">
      <w:start w:val="1"/>
      <w:numFmt w:val="bullet"/>
      <w:lvlText w:val=""/>
      <w:lvlJc w:val="left"/>
      <w:pPr>
        <w:ind w:left="644"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num w:numId="1">
    <w:abstractNumId w:val="62"/>
  </w:num>
  <w:num w:numId="2">
    <w:abstractNumId w:val="22"/>
  </w:num>
  <w:num w:numId="3">
    <w:abstractNumId w:val="62"/>
  </w:num>
  <w:num w:numId="4">
    <w:abstractNumId w:val="119"/>
  </w:num>
  <w:num w:numId="5">
    <w:abstractNumId w:val="87"/>
  </w:num>
  <w:num w:numId="6">
    <w:abstractNumId w:val="74"/>
  </w:num>
  <w:num w:numId="7">
    <w:abstractNumId w:val="22"/>
  </w:num>
  <w:num w:numId="8">
    <w:abstractNumId w:val="20"/>
  </w:num>
  <w:num w:numId="9">
    <w:abstractNumId w:val="6"/>
  </w:num>
  <w:num w:numId="10">
    <w:abstractNumId w:val="40"/>
  </w:num>
  <w:num w:numId="11">
    <w:abstractNumId w:val="65"/>
  </w:num>
  <w:num w:numId="12">
    <w:abstractNumId w:val="23"/>
  </w:num>
  <w:num w:numId="13">
    <w:abstractNumId w:val="17"/>
  </w:num>
  <w:num w:numId="14">
    <w:abstractNumId w:val="121"/>
  </w:num>
  <w:num w:numId="15">
    <w:abstractNumId w:val="83"/>
  </w:num>
  <w:num w:numId="16">
    <w:abstractNumId w:val="123"/>
  </w:num>
  <w:num w:numId="17">
    <w:abstractNumId w:val="127"/>
  </w:num>
  <w:num w:numId="18">
    <w:abstractNumId w:val="48"/>
  </w:num>
  <w:num w:numId="19">
    <w:abstractNumId w:val="54"/>
  </w:num>
  <w:num w:numId="20">
    <w:abstractNumId w:val="59"/>
  </w:num>
  <w:num w:numId="21">
    <w:abstractNumId w:val="122"/>
  </w:num>
  <w:num w:numId="22">
    <w:abstractNumId w:val="89"/>
  </w:num>
  <w:num w:numId="23">
    <w:abstractNumId w:val="67"/>
  </w:num>
  <w:num w:numId="24">
    <w:abstractNumId w:val="9"/>
  </w:num>
  <w:num w:numId="25">
    <w:abstractNumId w:val="86"/>
  </w:num>
  <w:num w:numId="26">
    <w:abstractNumId w:val="107"/>
  </w:num>
  <w:num w:numId="27">
    <w:abstractNumId w:val="106"/>
  </w:num>
  <w:num w:numId="28">
    <w:abstractNumId w:val="56"/>
  </w:num>
  <w:num w:numId="29">
    <w:abstractNumId w:val="34"/>
  </w:num>
  <w:num w:numId="30">
    <w:abstractNumId w:val="117"/>
  </w:num>
  <w:num w:numId="31">
    <w:abstractNumId w:val="31"/>
  </w:num>
  <w:num w:numId="32">
    <w:abstractNumId w:val="116"/>
  </w:num>
  <w:num w:numId="33">
    <w:abstractNumId w:val="113"/>
  </w:num>
  <w:num w:numId="34">
    <w:abstractNumId w:val="5"/>
  </w:num>
  <w:num w:numId="35">
    <w:abstractNumId w:val="3"/>
  </w:num>
  <w:num w:numId="36">
    <w:abstractNumId w:val="2"/>
  </w:num>
  <w:num w:numId="37">
    <w:abstractNumId w:val="1"/>
  </w:num>
  <w:num w:numId="38">
    <w:abstractNumId w:val="0"/>
  </w:num>
  <w:num w:numId="39">
    <w:abstractNumId w:val="88"/>
  </w:num>
  <w:num w:numId="40">
    <w:abstractNumId w:val="111"/>
  </w:num>
  <w:num w:numId="41">
    <w:abstractNumId w:val="39"/>
  </w:num>
  <w:num w:numId="42">
    <w:abstractNumId w:val="49"/>
  </w:num>
  <w:num w:numId="43">
    <w:abstractNumId w:val="104"/>
  </w:num>
  <w:num w:numId="44">
    <w:abstractNumId w:val="58"/>
  </w:num>
  <w:num w:numId="45">
    <w:abstractNumId w:val="32"/>
  </w:num>
  <w:num w:numId="46">
    <w:abstractNumId w:val="28"/>
  </w:num>
  <w:num w:numId="47">
    <w:abstractNumId w:val="97"/>
  </w:num>
  <w:num w:numId="48">
    <w:abstractNumId w:val="82"/>
  </w:num>
  <w:num w:numId="49">
    <w:abstractNumId w:val="51"/>
  </w:num>
  <w:num w:numId="50">
    <w:abstractNumId w:val="7"/>
  </w:num>
  <w:num w:numId="51">
    <w:abstractNumId w:val="43"/>
  </w:num>
  <w:num w:numId="52">
    <w:abstractNumId w:val="125"/>
  </w:num>
  <w:num w:numId="53">
    <w:abstractNumId w:val="94"/>
  </w:num>
  <w:num w:numId="54">
    <w:abstractNumId w:val="64"/>
  </w:num>
  <w:num w:numId="55">
    <w:abstractNumId w:val="100"/>
  </w:num>
  <w:num w:numId="56">
    <w:abstractNumId w:val="11"/>
  </w:num>
  <w:num w:numId="57">
    <w:abstractNumId w:val="24"/>
  </w:num>
  <w:num w:numId="58">
    <w:abstractNumId w:val="126"/>
  </w:num>
  <w:num w:numId="59">
    <w:abstractNumId w:val="114"/>
  </w:num>
  <w:num w:numId="60">
    <w:abstractNumId w:val="95"/>
  </w:num>
  <w:num w:numId="61">
    <w:abstractNumId w:val="124"/>
  </w:num>
  <w:num w:numId="62">
    <w:abstractNumId w:val="55"/>
  </w:num>
  <w:num w:numId="63">
    <w:abstractNumId w:val="68"/>
  </w:num>
  <w:num w:numId="64">
    <w:abstractNumId w:val="15"/>
  </w:num>
  <w:num w:numId="65">
    <w:abstractNumId w:val="25"/>
  </w:num>
  <w:num w:numId="66">
    <w:abstractNumId w:val="27"/>
  </w:num>
  <w:num w:numId="67">
    <w:abstractNumId w:val="29"/>
  </w:num>
  <w:num w:numId="68">
    <w:abstractNumId w:val="33"/>
  </w:num>
  <w:num w:numId="69">
    <w:abstractNumId w:val="75"/>
  </w:num>
  <w:num w:numId="70">
    <w:abstractNumId w:val="70"/>
  </w:num>
  <w:num w:numId="71">
    <w:abstractNumId w:val="85"/>
  </w:num>
  <w:num w:numId="72">
    <w:abstractNumId w:val="79"/>
  </w:num>
  <w:num w:numId="73">
    <w:abstractNumId w:val="99"/>
  </w:num>
  <w:num w:numId="74">
    <w:abstractNumId w:val="76"/>
  </w:num>
  <w:num w:numId="75">
    <w:abstractNumId w:val="13"/>
  </w:num>
  <w:num w:numId="76">
    <w:abstractNumId w:val="91"/>
  </w:num>
  <w:num w:numId="77">
    <w:abstractNumId w:val="77"/>
  </w:num>
  <w:num w:numId="78">
    <w:abstractNumId w:val="80"/>
  </w:num>
  <w:num w:numId="79">
    <w:abstractNumId w:val="112"/>
  </w:num>
  <w:num w:numId="80">
    <w:abstractNumId w:val="36"/>
  </w:num>
  <w:num w:numId="81">
    <w:abstractNumId w:val="108"/>
  </w:num>
  <w:num w:numId="82">
    <w:abstractNumId w:val="102"/>
  </w:num>
  <w:num w:numId="83">
    <w:abstractNumId w:val="26"/>
  </w:num>
  <w:num w:numId="84">
    <w:abstractNumId w:val="53"/>
  </w:num>
  <w:num w:numId="85">
    <w:abstractNumId w:val="101"/>
  </w:num>
  <w:num w:numId="86">
    <w:abstractNumId w:val="16"/>
  </w:num>
  <w:num w:numId="87">
    <w:abstractNumId w:val="21"/>
  </w:num>
  <w:num w:numId="88">
    <w:abstractNumId w:val="78"/>
  </w:num>
  <w:num w:numId="89">
    <w:abstractNumId w:val="19"/>
  </w:num>
  <w:num w:numId="90">
    <w:abstractNumId w:val="10"/>
  </w:num>
  <w:num w:numId="91">
    <w:abstractNumId w:val="103"/>
  </w:num>
  <w:num w:numId="92">
    <w:abstractNumId w:val="110"/>
  </w:num>
  <w:num w:numId="93">
    <w:abstractNumId w:val="118"/>
  </w:num>
  <w:num w:numId="94">
    <w:abstractNumId w:val="63"/>
  </w:num>
  <w:num w:numId="95">
    <w:abstractNumId w:val="90"/>
  </w:num>
  <w:num w:numId="96">
    <w:abstractNumId w:val="92"/>
  </w:num>
  <w:num w:numId="97">
    <w:abstractNumId w:val="57"/>
  </w:num>
  <w:num w:numId="98">
    <w:abstractNumId w:val="73"/>
  </w:num>
  <w:num w:numId="99">
    <w:abstractNumId w:val="72"/>
  </w:num>
  <w:num w:numId="100">
    <w:abstractNumId w:val="84"/>
  </w:num>
  <w:num w:numId="101">
    <w:abstractNumId w:val="45"/>
  </w:num>
  <w:num w:numId="102">
    <w:abstractNumId w:val="35"/>
  </w:num>
  <w:num w:numId="103">
    <w:abstractNumId w:val="109"/>
  </w:num>
  <w:num w:numId="104">
    <w:abstractNumId w:val="38"/>
  </w:num>
  <w:num w:numId="105">
    <w:abstractNumId w:val="120"/>
  </w:num>
  <w:num w:numId="106">
    <w:abstractNumId w:val="98"/>
  </w:num>
  <w:num w:numId="107">
    <w:abstractNumId w:val="93"/>
  </w:num>
  <w:num w:numId="108">
    <w:abstractNumId w:val="47"/>
  </w:num>
  <w:num w:numId="109">
    <w:abstractNumId w:val="71"/>
  </w:num>
  <w:num w:numId="110">
    <w:abstractNumId w:val="66"/>
  </w:num>
  <w:num w:numId="111">
    <w:abstractNumId w:val="18"/>
  </w:num>
  <w:num w:numId="112">
    <w:abstractNumId w:val="128"/>
  </w:num>
  <w:num w:numId="113">
    <w:abstractNumId w:val="69"/>
  </w:num>
  <w:num w:numId="114">
    <w:abstractNumId w:val="30"/>
  </w:num>
  <w:num w:numId="115">
    <w:abstractNumId w:val="37"/>
  </w:num>
  <w:num w:numId="116">
    <w:abstractNumId w:val="50"/>
  </w:num>
  <w:num w:numId="117">
    <w:abstractNumId w:val="60"/>
  </w:num>
  <w:num w:numId="118">
    <w:abstractNumId w:val="8"/>
  </w:num>
  <w:num w:numId="119">
    <w:abstractNumId w:val="14"/>
  </w:num>
  <w:num w:numId="120">
    <w:abstractNumId w:val="41"/>
  </w:num>
  <w:num w:numId="121">
    <w:abstractNumId w:val="44"/>
  </w:num>
  <w:num w:numId="122">
    <w:abstractNumId w:val="46"/>
  </w:num>
  <w:num w:numId="123">
    <w:abstractNumId w:val="81"/>
  </w:num>
  <w:num w:numId="124">
    <w:abstractNumId w:val="52"/>
  </w:num>
  <w:num w:numId="125">
    <w:abstractNumId w:val="105"/>
  </w:num>
  <w:num w:numId="126">
    <w:abstractNumId w:val="96"/>
  </w:num>
  <w:num w:numId="127">
    <w:abstractNumId w:val="61"/>
  </w:num>
  <w:num w:numId="128">
    <w:abstractNumId w:val="12"/>
  </w:num>
  <w:num w:numId="129">
    <w:abstractNumId w:val="42"/>
  </w:num>
  <w:num w:numId="130">
    <w:abstractNumId w:val="115"/>
  </w:num>
  <w:num w:numId="131">
    <w:abstractNumId w:val="4"/>
  </w:num>
  <w:numIdMacAtCleanup w:val="1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mirrorMargins/>
  <w:hideSpellingErrors/>
  <w:hideGrammaticalErrors/>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proofState w:spelling="clean" w:grammar="clean"/>
  <w:attachedTemplate r:id="rId1"/>
  <w:mailMerge>
    <w:mainDocumentType w:val="formLetters"/>
    <w:dataType w:val="textFile"/>
    <w:activeRecord w:val="-1"/>
    <w:odso/>
  </w:mailMerge>
  <w:defaultTabStop w:val="720"/>
  <w:evenAndOddHeaders/>
  <w:drawingGridHorizontalSpacing w:val="90"/>
  <w:drawingGridVerticalSpacing w:val="181"/>
  <w:displayHorizontalDrawingGridEvery w:val="2"/>
  <w:noPunctuationKerning/>
  <w:characterSpacingControl w:val="doNotCompress"/>
  <w:hdrShapeDefaults>
    <o:shapedefaults v:ext="edit" spidmax="2234">
      <o:colormru v:ext="edit" colors="#c2d82e,#404a05,#9ca800,#4d4d4d"/>
    </o:shapedefaults>
    <o:shapelayout v:ext="edit">
      <o:idmap v:ext="edit" data="2"/>
    </o:shapelayout>
  </w:hdrShapeDefaults>
  <w:footnotePr>
    <w:footnote w:id="-1"/>
    <w:footnote w:id="0"/>
  </w:footnotePr>
  <w:endnotePr>
    <w:endnote w:id="-1"/>
    <w:endnote w:id="0"/>
  </w:endnotePr>
  <w:compat/>
  <w:rsids>
    <w:rsidRoot w:val="00455853"/>
    <w:rsid w:val="000016C3"/>
    <w:rsid w:val="00001830"/>
    <w:rsid w:val="00001A68"/>
    <w:rsid w:val="00001FEB"/>
    <w:rsid w:val="00002132"/>
    <w:rsid w:val="00002D6C"/>
    <w:rsid w:val="00003287"/>
    <w:rsid w:val="000032DF"/>
    <w:rsid w:val="00003665"/>
    <w:rsid w:val="000045DF"/>
    <w:rsid w:val="000045E0"/>
    <w:rsid w:val="00004757"/>
    <w:rsid w:val="00005956"/>
    <w:rsid w:val="00005C0B"/>
    <w:rsid w:val="00006018"/>
    <w:rsid w:val="00007528"/>
    <w:rsid w:val="00007800"/>
    <w:rsid w:val="00007A80"/>
    <w:rsid w:val="00007E9E"/>
    <w:rsid w:val="00010022"/>
    <w:rsid w:val="00010AC9"/>
    <w:rsid w:val="0001122A"/>
    <w:rsid w:val="00012505"/>
    <w:rsid w:val="00012F76"/>
    <w:rsid w:val="00013124"/>
    <w:rsid w:val="000138EA"/>
    <w:rsid w:val="00013908"/>
    <w:rsid w:val="00013964"/>
    <w:rsid w:val="00013D2A"/>
    <w:rsid w:val="0001457A"/>
    <w:rsid w:val="00014A5B"/>
    <w:rsid w:val="00014CE1"/>
    <w:rsid w:val="00015383"/>
    <w:rsid w:val="00015461"/>
    <w:rsid w:val="00015470"/>
    <w:rsid w:val="00016295"/>
    <w:rsid w:val="000166BE"/>
    <w:rsid w:val="0001713C"/>
    <w:rsid w:val="0001741B"/>
    <w:rsid w:val="000206E1"/>
    <w:rsid w:val="00020868"/>
    <w:rsid w:val="00020BAD"/>
    <w:rsid w:val="000210DF"/>
    <w:rsid w:val="00021722"/>
    <w:rsid w:val="000223A0"/>
    <w:rsid w:val="00022B40"/>
    <w:rsid w:val="0002300B"/>
    <w:rsid w:val="000234B6"/>
    <w:rsid w:val="000238A1"/>
    <w:rsid w:val="00023A10"/>
    <w:rsid w:val="00023F7E"/>
    <w:rsid w:val="000247A1"/>
    <w:rsid w:val="000247CE"/>
    <w:rsid w:val="00024A88"/>
    <w:rsid w:val="00024BEB"/>
    <w:rsid w:val="00024BFF"/>
    <w:rsid w:val="00026145"/>
    <w:rsid w:val="00026167"/>
    <w:rsid w:val="00026CC9"/>
    <w:rsid w:val="00027299"/>
    <w:rsid w:val="000301E8"/>
    <w:rsid w:val="000303A2"/>
    <w:rsid w:val="000313EB"/>
    <w:rsid w:val="00031B32"/>
    <w:rsid w:val="00031D2C"/>
    <w:rsid w:val="00032291"/>
    <w:rsid w:val="00032AB0"/>
    <w:rsid w:val="00033AAA"/>
    <w:rsid w:val="00033E4D"/>
    <w:rsid w:val="000342FA"/>
    <w:rsid w:val="00034D30"/>
    <w:rsid w:val="00034DE0"/>
    <w:rsid w:val="00035FAA"/>
    <w:rsid w:val="00036A7F"/>
    <w:rsid w:val="00036B97"/>
    <w:rsid w:val="00036D68"/>
    <w:rsid w:val="00036E8F"/>
    <w:rsid w:val="00037587"/>
    <w:rsid w:val="000377CC"/>
    <w:rsid w:val="0004029E"/>
    <w:rsid w:val="000402B1"/>
    <w:rsid w:val="0004079A"/>
    <w:rsid w:val="00040C12"/>
    <w:rsid w:val="00041B2B"/>
    <w:rsid w:val="00041B66"/>
    <w:rsid w:val="000421A3"/>
    <w:rsid w:val="00042F36"/>
    <w:rsid w:val="00043300"/>
    <w:rsid w:val="000436F8"/>
    <w:rsid w:val="00043DE9"/>
    <w:rsid w:val="00043E4B"/>
    <w:rsid w:val="00043F65"/>
    <w:rsid w:val="0004476F"/>
    <w:rsid w:val="00044CED"/>
    <w:rsid w:val="00044D45"/>
    <w:rsid w:val="00044F27"/>
    <w:rsid w:val="00045372"/>
    <w:rsid w:val="000457D9"/>
    <w:rsid w:val="00045905"/>
    <w:rsid w:val="00046416"/>
    <w:rsid w:val="00046857"/>
    <w:rsid w:val="00047622"/>
    <w:rsid w:val="00047EEE"/>
    <w:rsid w:val="000500EC"/>
    <w:rsid w:val="00050260"/>
    <w:rsid w:val="0005081E"/>
    <w:rsid w:val="00051582"/>
    <w:rsid w:val="000516BA"/>
    <w:rsid w:val="00051A8A"/>
    <w:rsid w:val="000528E8"/>
    <w:rsid w:val="00052DC1"/>
    <w:rsid w:val="00052F8A"/>
    <w:rsid w:val="00053AC9"/>
    <w:rsid w:val="000546E9"/>
    <w:rsid w:val="00054F38"/>
    <w:rsid w:val="00055316"/>
    <w:rsid w:val="00055F84"/>
    <w:rsid w:val="0005661A"/>
    <w:rsid w:val="00056A41"/>
    <w:rsid w:val="00056DFD"/>
    <w:rsid w:val="00057C71"/>
    <w:rsid w:val="00057DC3"/>
    <w:rsid w:val="000607F2"/>
    <w:rsid w:val="00060F3D"/>
    <w:rsid w:val="000612E5"/>
    <w:rsid w:val="000616B7"/>
    <w:rsid w:val="000635B1"/>
    <w:rsid w:val="000640D2"/>
    <w:rsid w:val="000642B9"/>
    <w:rsid w:val="00064474"/>
    <w:rsid w:val="0006451B"/>
    <w:rsid w:val="0006490F"/>
    <w:rsid w:val="000649CB"/>
    <w:rsid w:val="000650E6"/>
    <w:rsid w:val="000654E5"/>
    <w:rsid w:val="000655C4"/>
    <w:rsid w:val="00065F76"/>
    <w:rsid w:val="0006622B"/>
    <w:rsid w:val="000667F9"/>
    <w:rsid w:val="00066E0B"/>
    <w:rsid w:val="00066F52"/>
    <w:rsid w:val="0006724E"/>
    <w:rsid w:val="00067309"/>
    <w:rsid w:val="0006737D"/>
    <w:rsid w:val="00067955"/>
    <w:rsid w:val="00067FD6"/>
    <w:rsid w:val="00070BEF"/>
    <w:rsid w:val="00071DD5"/>
    <w:rsid w:val="000729EB"/>
    <w:rsid w:val="00072E47"/>
    <w:rsid w:val="00073A48"/>
    <w:rsid w:val="00073BBB"/>
    <w:rsid w:val="00074010"/>
    <w:rsid w:val="00074014"/>
    <w:rsid w:val="00074407"/>
    <w:rsid w:val="000745CA"/>
    <w:rsid w:val="00074856"/>
    <w:rsid w:val="000748D0"/>
    <w:rsid w:val="00074AFF"/>
    <w:rsid w:val="00074CDB"/>
    <w:rsid w:val="00074DA1"/>
    <w:rsid w:val="000756F1"/>
    <w:rsid w:val="00075AD5"/>
    <w:rsid w:val="000764F1"/>
    <w:rsid w:val="000766DF"/>
    <w:rsid w:val="000767F2"/>
    <w:rsid w:val="00076A08"/>
    <w:rsid w:val="00077581"/>
    <w:rsid w:val="00077737"/>
    <w:rsid w:val="00077DED"/>
    <w:rsid w:val="00081251"/>
    <w:rsid w:val="00081D45"/>
    <w:rsid w:val="000820A9"/>
    <w:rsid w:val="00082550"/>
    <w:rsid w:val="00082B84"/>
    <w:rsid w:val="00083DF0"/>
    <w:rsid w:val="00084226"/>
    <w:rsid w:val="00084486"/>
    <w:rsid w:val="00084AD7"/>
    <w:rsid w:val="00084E8D"/>
    <w:rsid w:val="00085CAA"/>
    <w:rsid w:val="00086003"/>
    <w:rsid w:val="000861A2"/>
    <w:rsid w:val="00086A4B"/>
    <w:rsid w:val="00086A5A"/>
    <w:rsid w:val="00086E19"/>
    <w:rsid w:val="00087129"/>
    <w:rsid w:val="00087181"/>
    <w:rsid w:val="0008728B"/>
    <w:rsid w:val="000876EF"/>
    <w:rsid w:val="000879DA"/>
    <w:rsid w:val="00087E6A"/>
    <w:rsid w:val="000907AE"/>
    <w:rsid w:val="00090D47"/>
    <w:rsid w:val="00090F5D"/>
    <w:rsid w:val="00091189"/>
    <w:rsid w:val="00091347"/>
    <w:rsid w:val="00091705"/>
    <w:rsid w:val="00091855"/>
    <w:rsid w:val="00091D96"/>
    <w:rsid w:val="000920F9"/>
    <w:rsid w:val="000925E1"/>
    <w:rsid w:val="000925E4"/>
    <w:rsid w:val="00092705"/>
    <w:rsid w:val="00092966"/>
    <w:rsid w:val="0009368E"/>
    <w:rsid w:val="000937EE"/>
    <w:rsid w:val="00093D3D"/>
    <w:rsid w:val="000947F0"/>
    <w:rsid w:val="0009484B"/>
    <w:rsid w:val="00094B5E"/>
    <w:rsid w:val="000953A4"/>
    <w:rsid w:val="0009576D"/>
    <w:rsid w:val="00095B16"/>
    <w:rsid w:val="0009644A"/>
    <w:rsid w:val="00097BCF"/>
    <w:rsid w:val="00097F38"/>
    <w:rsid w:val="000A01EB"/>
    <w:rsid w:val="000A0C84"/>
    <w:rsid w:val="000A0E6A"/>
    <w:rsid w:val="000A1004"/>
    <w:rsid w:val="000A1347"/>
    <w:rsid w:val="000A1387"/>
    <w:rsid w:val="000A146E"/>
    <w:rsid w:val="000A1966"/>
    <w:rsid w:val="000A1991"/>
    <w:rsid w:val="000A2ED5"/>
    <w:rsid w:val="000A380F"/>
    <w:rsid w:val="000A3A79"/>
    <w:rsid w:val="000A3C6F"/>
    <w:rsid w:val="000A3F8F"/>
    <w:rsid w:val="000A4E72"/>
    <w:rsid w:val="000A4FAC"/>
    <w:rsid w:val="000A569A"/>
    <w:rsid w:val="000A5805"/>
    <w:rsid w:val="000A5A34"/>
    <w:rsid w:val="000A6210"/>
    <w:rsid w:val="000A6288"/>
    <w:rsid w:val="000A751F"/>
    <w:rsid w:val="000A75B0"/>
    <w:rsid w:val="000B0432"/>
    <w:rsid w:val="000B0444"/>
    <w:rsid w:val="000B12CD"/>
    <w:rsid w:val="000B1AC8"/>
    <w:rsid w:val="000B245D"/>
    <w:rsid w:val="000B2C90"/>
    <w:rsid w:val="000B3332"/>
    <w:rsid w:val="000B3379"/>
    <w:rsid w:val="000B339D"/>
    <w:rsid w:val="000B3D88"/>
    <w:rsid w:val="000B3ED4"/>
    <w:rsid w:val="000B4319"/>
    <w:rsid w:val="000B43D8"/>
    <w:rsid w:val="000B44D2"/>
    <w:rsid w:val="000B4F8E"/>
    <w:rsid w:val="000B52CB"/>
    <w:rsid w:val="000B5AAB"/>
    <w:rsid w:val="000B6036"/>
    <w:rsid w:val="000B6A34"/>
    <w:rsid w:val="000B6E95"/>
    <w:rsid w:val="000B7A0D"/>
    <w:rsid w:val="000B7CFC"/>
    <w:rsid w:val="000C05AD"/>
    <w:rsid w:val="000C0713"/>
    <w:rsid w:val="000C0C72"/>
    <w:rsid w:val="000C0CB9"/>
    <w:rsid w:val="000C2474"/>
    <w:rsid w:val="000C27AE"/>
    <w:rsid w:val="000C2F64"/>
    <w:rsid w:val="000C3457"/>
    <w:rsid w:val="000C3B11"/>
    <w:rsid w:val="000C3C41"/>
    <w:rsid w:val="000C3D62"/>
    <w:rsid w:val="000C3DA4"/>
    <w:rsid w:val="000C47E5"/>
    <w:rsid w:val="000C6856"/>
    <w:rsid w:val="000C6C42"/>
    <w:rsid w:val="000C6E34"/>
    <w:rsid w:val="000C7700"/>
    <w:rsid w:val="000C7A18"/>
    <w:rsid w:val="000C7A3B"/>
    <w:rsid w:val="000D027B"/>
    <w:rsid w:val="000D0BB5"/>
    <w:rsid w:val="000D0FC6"/>
    <w:rsid w:val="000D197A"/>
    <w:rsid w:val="000D1A2F"/>
    <w:rsid w:val="000D1A3B"/>
    <w:rsid w:val="000D1B22"/>
    <w:rsid w:val="000D1F23"/>
    <w:rsid w:val="000D2483"/>
    <w:rsid w:val="000D24FC"/>
    <w:rsid w:val="000D33B0"/>
    <w:rsid w:val="000D35D0"/>
    <w:rsid w:val="000D3C69"/>
    <w:rsid w:val="000D464E"/>
    <w:rsid w:val="000D46A3"/>
    <w:rsid w:val="000D4B21"/>
    <w:rsid w:val="000D4EB9"/>
    <w:rsid w:val="000D55D1"/>
    <w:rsid w:val="000D6259"/>
    <w:rsid w:val="000D62B6"/>
    <w:rsid w:val="000D6A8E"/>
    <w:rsid w:val="000D779E"/>
    <w:rsid w:val="000E017E"/>
    <w:rsid w:val="000E0C3B"/>
    <w:rsid w:val="000E0D63"/>
    <w:rsid w:val="000E2100"/>
    <w:rsid w:val="000E2AFB"/>
    <w:rsid w:val="000E3180"/>
    <w:rsid w:val="000E3A53"/>
    <w:rsid w:val="000E3ACD"/>
    <w:rsid w:val="000E421B"/>
    <w:rsid w:val="000E5DE4"/>
    <w:rsid w:val="000E614D"/>
    <w:rsid w:val="000E6570"/>
    <w:rsid w:val="000E672E"/>
    <w:rsid w:val="000E69DD"/>
    <w:rsid w:val="000E6DD0"/>
    <w:rsid w:val="000E6FD3"/>
    <w:rsid w:val="000E7083"/>
    <w:rsid w:val="000E742A"/>
    <w:rsid w:val="000E7F00"/>
    <w:rsid w:val="000F05A3"/>
    <w:rsid w:val="000F096F"/>
    <w:rsid w:val="000F0DA7"/>
    <w:rsid w:val="000F12BF"/>
    <w:rsid w:val="000F33F2"/>
    <w:rsid w:val="000F3542"/>
    <w:rsid w:val="000F39F1"/>
    <w:rsid w:val="000F3A76"/>
    <w:rsid w:val="000F3F7D"/>
    <w:rsid w:val="000F566A"/>
    <w:rsid w:val="000F5B52"/>
    <w:rsid w:val="000F5E90"/>
    <w:rsid w:val="000F6081"/>
    <w:rsid w:val="000F6528"/>
    <w:rsid w:val="000F67DC"/>
    <w:rsid w:val="000F6E05"/>
    <w:rsid w:val="000F763C"/>
    <w:rsid w:val="000F787E"/>
    <w:rsid w:val="000F79A7"/>
    <w:rsid w:val="000F7FD5"/>
    <w:rsid w:val="001014A1"/>
    <w:rsid w:val="001014EA"/>
    <w:rsid w:val="00101A8C"/>
    <w:rsid w:val="00101E5E"/>
    <w:rsid w:val="00102FA9"/>
    <w:rsid w:val="00103479"/>
    <w:rsid w:val="00103501"/>
    <w:rsid w:val="00103853"/>
    <w:rsid w:val="00104615"/>
    <w:rsid w:val="00104666"/>
    <w:rsid w:val="0010488D"/>
    <w:rsid w:val="00104931"/>
    <w:rsid w:val="0010515F"/>
    <w:rsid w:val="0010534D"/>
    <w:rsid w:val="00105373"/>
    <w:rsid w:val="0010547C"/>
    <w:rsid w:val="00105EF2"/>
    <w:rsid w:val="00106421"/>
    <w:rsid w:val="00106F0C"/>
    <w:rsid w:val="001075C2"/>
    <w:rsid w:val="00107A42"/>
    <w:rsid w:val="00107C26"/>
    <w:rsid w:val="00107E4D"/>
    <w:rsid w:val="001109CE"/>
    <w:rsid w:val="0011104C"/>
    <w:rsid w:val="00111F40"/>
    <w:rsid w:val="00111F91"/>
    <w:rsid w:val="001122CA"/>
    <w:rsid w:val="00112CBB"/>
    <w:rsid w:val="00112CD2"/>
    <w:rsid w:val="00112DCD"/>
    <w:rsid w:val="0011365E"/>
    <w:rsid w:val="00114574"/>
    <w:rsid w:val="00114863"/>
    <w:rsid w:val="00114AC7"/>
    <w:rsid w:val="00115495"/>
    <w:rsid w:val="00115C6F"/>
    <w:rsid w:val="00120133"/>
    <w:rsid w:val="00120447"/>
    <w:rsid w:val="0012062B"/>
    <w:rsid w:val="00120FD1"/>
    <w:rsid w:val="00121352"/>
    <w:rsid w:val="00121376"/>
    <w:rsid w:val="001214EA"/>
    <w:rsid w:val="00121616"/>
    <w:rsid w:val="00121705"/>
    <w:rsid w:val="001217FB"/>
    <w:rsid w:val="0012280F"/>
    <w:rsid w:val="00122AF8"/>
    <w:rsid w:val="00122BE2"/>
    <w:rsid w:val="00122C98"/>
    <w:rsid w:val="00122F03"/>
    <w:rsid w:val="00123A11"/>
    <w:rsid w:val="00123D00"/>
    <w:rsid w:val="00124769"/>
    <w:rsid w:val="00124A28"/>
    <w:rsid w:val="0012534B"/>
    <w:rsid w:val="0012536C"/>
    <w:rsid w:val="00125671"/>
    <w:rsid w:val="001259B7"/>
    <w:rsid w:val="00125D60"/>
    <w:rsid w:val="001267BB"/>
    <w:rsid w:val="00126A98"/>
    <w:rsid w:val="0012771C"/>
    <w:rsid w:val="001302F3"/>
    <w:rsid w:val="001309F2"/>
    <w:rsid w:val="00130A8E"/>
    <w:rsid w:val="00130E14"/>
    <w:rsid w:val="00131711"/>
    <w:rsid w:val="00131CB5"/>
    <w:rsid w:val="00132219"/>
    <w:rsid w:val="0013223D"/>
    <w:rsid w:val="00132751"/>
    <w:rsid w:val="00132D10"/>
    <w:rsid w:val="00132F39"/>
    <w:rsid w:val="00132F9E"/>
    <w:rsid w:val="0013422B"/>
    <w:rsid w:val="00134AB9"/>
    <w:rsid w:val="00134E85"/>
    <w:rsid w:val="001352AF"/>
    <w:rsid w:val="0013583D"/>
    <w:rsid w:val="00135B52"/>
    <w:rsid w:val="00136447"/>
    <w:rsid w:val="001371E8"/>
    <w:rsid w:val="00137D39"/>
    <w:rsid w:val="00137F39"/>
    <w:rsid w:val="00137FD7"/>
    <w:rsid w:val="00140AE8"/>
    <w:rsid w:val="00140BED"/>
    <w:rsid w:val="00140EA7"/>
    <w:rsid w:val="001410FD"/>
    <w:rsid w:val="00141B09"/>
    <w:rsid w:val="00141C0C"/>
    <w:rsid w:val="00141E7C"/>
    <w:rsid w:val="00142200"/>
    <w:rsid w:val="00142543"/>
    <w:rsid w:val="00142686"/>
    <w:rsid w:val="00142BE0"/>
    <w:rsid w:val="001431B4"/>
    <w:rsid w:val="0014336B"/>
    <w:rsid w:val="001433FD"/>
    <w:rsid w:val="001438BC"/>
    <w:rsid w:val="00143901"/>
    <w:rsid w:val="001439BE"/>
    <w:rsid w:val="00143A82"/>
    <w:rsid w:val="00143FF3"/>
    <w:rsid w:val="00143FFA"/>
    <w:rsid w:val="0014403F"/>
    <w:rsid w:val="001448BB"/>
    <w:rsid w:val="001451E9"/>
    <w:rsid w:val="0014541D"/>
    <w:rsid w:val="00145D2D"/>
    <w:rsid w:val="001469C4"/>
    <w:rsid w:val="00146F42"/>
    <w:rsid w:val="00147CFC"/>
    <w:rsid w:val="001501E7"/>
    <w:rsid w:val="00150AF9"/>
    <w:rsid w:val="0015150E"/>
    <w:rsid w:val="00151F1F"/>
    <w:rsid w:val="001524D4"/>
    <w:rsid w:val="0015273E"/>
    <w:rsid w:val="00152AAA"/>
    <w:rsid w:val="001530D7"/>
    <w:rsid w:val="00153169"/>
    <w:rsid w:val="0015480D"/>
    <w:rsid w:val="00154A39"/>
    <w:rsid w:val="00154BD0"/>
    <w:rsid w:val="00154EB2"/>
    <w:rsid w:val="00155998"/>
    <w:rsid w:val="00156085"/>
    <w:rsid w:val="001560EF"/>
    <w:rsid w:val="00156603"/>
    <w:rsid w:val="00156C9E"/>
    <w:rsid w:val="0015742E"/>
    <w:rsid w:val="001577BE"/>
    <w:rsid w:val="00157F54"/>
    <w:rsid w:val="0016036F"/>
    <w:rsid w:val="00160515"/>
    <w:rsid w:val="00160955"/>
    <w:rsid w:val="00160CF6"/>
    <w:rsid w:val="0016103C"/>
    <w:rsid w:val="00161059"/>
    <w:rsid w:val="00161212"/>
    <w:rsid w:val="001622F9"/>
    <w:rsid w:val="0016244D"/>
    <w:rsid w:val="00162542"/>
    <w:rsid w:val="001627AA"/>
    <w:rsid w:val="0016286B"/>
    <w:rsid w:val="00162CC5"/>
    <w:rsid w:val="00163050"/>
    <w:rsid w:val="001630DE"/>
    <w:rsid w:val="00163176"/>
    <w:rsid w:val="00163D24"/>
    <w:rsid w:val="00164A3B"/>
    <w:rsid w:val="00164EC8"/>
    <w:rsid w:val="00165FD4"/>
    <w:rsid w:val="00166C0D"/>
    <w:rsid w:val="00166F7D"/>
    <w:rsid w:val="0016717D"/>
    <w:rsid w:val="00167420"/>
    <w:rsid w:val="00167853"/>
    <w:rsid w:val="001679A4"/>
    <w:rsid w:val="00167D2A"/>
    <w:rsid w:val="00170858"/>
    <w:rsid w:val="00170A2E"/>
    <w:rsid w:val="00170F0B"/>
    <w:rsid w:val="00172688"/>
    <w:rsid w:val="00172F96"/>
    <w:rsid w:val="00173AB1"/>
    <w:rsid w:val="00174028"/>
    <w:rsid w:val="00174B85"/>
    <w:rsid w:val="00174B96"/>
    <w:rsid w:val="0017505E"/>
    <w:rsid w:val="0017509A"/>
    <w:rsid w:val="00175F27"/>
    <w:rsid w:val="00177098"/>
    <w:rsid w:val="00177A6C"/>
    <w:rsid w:val="00177B50"/>
    <w:rsid w:val="00177DFE"/>
    <w:rsid w:val="00180972"/>
    <w:rsid w:val="00181904"/>
    <w:rsid w:val="0018195D"/>
    <w:rsid w:val="00181A4B"/>
    <w:rsid w:val="00181CF5"/>
    <w:rsid w:val="0018208E"/>
    <w:rsid w:val="0018254A"/>
    <w:rsid w:val="001830F9"/>
    <w:rsid w:val="00183694"/>
    <w:rsid w:val="00183A34"/>
    <w:rsid w:val="00183CB2"/>
    <w:rsid w:val="00183D5E"/>
    <w:rsid w:val="00184904"/>
    <w:rsid w:val="00184B5D"/>
    <w:rsid w:val="00186B25"/>
    <w:rsid w:val="001879F0"/>
    <w:rsid w:val="00187B33"/>
    <w:rsid w:val="001901C9"/>
    <w:rsid w:val="0019087B"/>
    <w:rsid w:val="00190FC0"/>
    <w:rsid w:val="00191D93"/>
    <w:rsid w:val="0019218A"/>
    <w:rsid w:val="0019250D"/>
    <w:rsid w:val="001928BB"/>
    <w:rsid w:val="001929E4"/>
    <w:rsid w:val="001932FB"/>
    <w:rsid w:val="00193370"/>
    <w:rsid w:val="00193870"/>
    <w:rsid w:val="00194C1A"/>
    <w:rsid w:val="0019523F"/>
    <w:rsid w:val="00195F8C"/>
    <w:rsid w:val="0019653A"/>
    <w:rsid w:val="0019675A"/>
    <w:rsid w:val="00196905"/>
    <w:rsid w:val="001969CB"/>
    <w:rsid w:val="00197630"/>
    <w:rsid w:val="00197875"/>
    <w:rsid w:val="00197CE7"/>
    <w:rsid w:val="001A0FDD"/>
    <w:rsid w:val="001A1145"/>
    <w:rsid w:val="001A14FA"/>
    <w:rsid w:val="001A1859"/>
    <w:rsid w:val="001A1D6B"/>
    <w:rsid w:val="001A21C5"/>
    <w:rsid w:val="001A2302"/>
    <w:rsid w:val="001A297E"/>
    <w:rsid w:val="001A3B17"/>
    <w:rsid w:val="001A4434"/>
    <w:rsid w:val="001A4593"/>
    <w:rsid w:val="001A48B9"/>
    <w:rsid w:val="001A4DE5"/>
    <w:rsid w:val="001A4E3E"/>
    <w:rsid w:val="001A7DF7"/>
    <w:rsid w:val="001A7E8D"/>
    <w:rsid w:val="001B0A7A"/>
    <w:rsid w:val="001B0B14"/>
    <w:rsid w:val="001B0B83"/>
    <w:rsid w:val="001B15E1"/>
    <w:rsid w:val="001B160A"/>
    <w:rsid w:val="001B2E7C"/>
    <w:rsid w:val="001B2EC7"/>
    <w:rsid w:val="001B2F7F"/>
    <w:rsid w:val="001B34EA"/>
    <w:rsid w:val="001B3806"/>
    <w:rsid w:val="001B3AA3"/>
    <w:rsid w:val="001B5BC3"/>
    <w:rsid w:val="001B5C15"/>
    <w:rsid w:val="001B6454"/>
    <w:rsid w:val="001B66F6"/>
    <w:rsid w:val="001B733B"/>
    <w:rsid w:val="001B745B"/>
    <w:rsid w:val="001B747D"/>
    <w:rsid w:val="001B767C"/>
    <w:rsid w:val="001B7A9A"/>
    <w:rsid w:val="001B7BEB"/>
    <w:rsid w:val="001B7F64"/>
    <w:rsid w:val="001C0E4C"/>
    <w:rsid w:val="001C0FD7"/>
    <w:rsid w:val="001C105D"/>
    <w:rsid w:val="001C19E9"/>
    <w:rsid w:val="001C32C5"/>
    <w:rsid w:val="001C340F"/>
    <w:rsid w:val="001C34C3"/>
    <w:rsid w:val="001C4A9C"/>
    <w:rsid w:val="001C4CCD"/>
    <w:rsid w:val="001C5379"/>
    <w:rsid w:val="001C59C6"/>
    <w:rsid w:val="001C5A83"/>
    <w:rsid w:val="001C633D"/>
    <w:rsid w:val="001C71E5"/>
    <w:rsid w:val="001C734F"/>
    <w:rsid w:val="001C77DC"/>
    <w:rsid w:val="001D058D"/>
    <w:rsid w:val="001D0D8B"/>
    <w:rsid w:val="001D101E"/>
    <w:rsid w:val="001D14F6"/>
    <w:rsid w:val="001D15CC"/>
    <w:rsid w:val="001D1AEE"/>
    <w:rsid w:val="001D2485"/>
    <w:rsid w:val="001D26DE"/>
    <w:rsid w:val="001D2FD6"/>
    <w:rsid w:val="001D307E"/>
    <w:rsid w:val="001D338E"/>
    <w:rsid w:val="001D4812"/>
    <w:rsid w:val="001D4BAB"/>
    <w:rsid w:val="001D4CC5"/>
    <w:rsid w:val="001D4F9D"/>
    <w:rsid w:val="001D503C"/>
    <w:rsid w:val="001D5143"/>
    <w:rsid w:val="001D6514"/>
    <w:rsid w:val="001D66AE"/>
    <w:rsid w:val="001D709E"/>
    <w:rsid w:val="001D71DD"/>
    <w:rsid w:val="001D75C2"/>
    <w:rsid w:val="001D7642"/>
    <w:rsid w:val="001D783D"/>
    <w:rsid w:val="001D7AAA"/>
    <w:rsid w:val="001D7B5B"/>
    <w:rsid w:val="001E088F"/>
    <w:rsid w:val="001E0CD2"/>
    <w:rsid w:val="001E0DB8"/>
    <w:rsid w:val="001E12E9"/>
    <w:rsid w:val="001E13A1"/>
    <w:rsid w:val="001E1EDA"/>
    <w:rsid w:val="001E256A"/>
    <w:rsid w:val="001E2D55"/>
    <w:rsid w:val="001E40EC"/>
    <w:rsid w:val="001E4256"/>
    <w:rsid w:val="001E42C5"/>
    <w:rsid w:val="001E465B"/>
    <w:rsid w:val="001E4732"/>
    <w:rsid w:val="001E5247"/>
    <w:rsid w:val="001E5613"/>
    <w:rsid w:val="001E5A6E"/>
    <w:rsid w:val="001E5C5C"/>
    <w:rsid w:val="001E6B06"/>
    <w:rsid w:val="001E7B85"/>
    <w:rsid w:val="001F07D9"/>
    <w:rsid w:val="001F27F1"/>
    <w:rsid w:val="001F3384"/>
    <w:rsid w:val="001F33DD"/>
    <w:rsid w:val="001F3471"/>
    <w:rsid w:val="001F3575"/>
    <w:rsid w:val="001F4238"/>
    <w:rsid w:val="001F4B08"/>
    <w:rsid w:val="001F5120"/>
    <w:rsid w:val="001F5174"/>
    <w:rsid w:val="001F55F0"/>
    <w:rsid w:val="001F5806"/>
    <w:rsid w:val="001F5942"/>
    <w:rsid w:val="001F5BB2"/>
    <w:rsid w:val="001F6359"/>
    <w:rsid w:val="001F6E09"/>
    <w:rsid w:val="001F6E80"/>
    <w:rsid w:val="001F7237"/>
    <w:rsid w:val="001F77AF"/>
    <w:rsid w:val="001F7ABE"/>
    <w:rsid w:val="0020021B"/>
    <w:rsid w:val="0020086E"/>
    <w:rsid w:val="00200918"/>
    <w:rsid w:val="00200C36"/>
    <w:rsid w:val="0020188E"/>
    <w:rsid w:val="00201D4B"/>
    <w:rsid w:val="00201E78"/>
    <w:rsid w:val="002030E0"/>
    <w:rsid w:val="002035BB"/>
    <w:rsid w:val="00203740"/>
    <w:rsid w:val="002042BF"/>
    <w:rsid w:val="00204822"/>
    <w:rsid w:val="00204CBF"/>
    <w:rsid w:val="00204E44"/>
    <w:rsid w:val="002057C5"/>
    <w:rsid w:val="002058ED"/>
    <w:rsid w:val="00206061"/>
    <w:rsid w:val="0020654B"/>
    <w:rsid w:val="002072FD"/>
    <w:rsid w:val="0020740F"/>
    <w:rsid w:val="002075A4"/>
    <w:rsid w:val="0020760E"/>
    <w:rsid w:val="00207638"/>
    <w:rsid w:val="00207759"/>
    <w:rsid w:val="00210385"/>
    <w:rsid w:val="002104F4"/>
    <w:rsid w:val="002107C5"/>
    <w:rsid w:val="00210CAF"/>
    <w:rsid w:val="00210E9B"/>
    <w:rsid w:val="002110AE"/>
    <w:rsid w:val="00211589"/>
    <w:rsid w:val="00212581"/>
    <w:rsid w:val="0021258C"/>
    <w:rsid w:val="00212AF4"/>
    <w:rsid w:val="00212DAA"/>
    <w:rsid w:val="002132BB"/>
    <w:rsid w:val="00213383"/>
    <w:rsid w:val="00213417"/>
    <w:rsid w:val="0021376E"/>
    <w:rsid w:val="00213BDA"/>
    <w:rsid w:val="00213C84"/>
    <w:rsid w:val="002144D6"/>
    <w:rsid w:val="0021477B"/>
    <w:rsid w:val="00214BBA"/>
    <w:rsid w:val="00214D5E"/>
    <w:rsid w:val="002155A1"/>
    <w:rsid w:val="002157C4"/>
    <w:rsid w:val="00215D7E"/>
    <w:rsid w:val="00215DBF"/>
    <w:rsid w:val="0021650A"/>
    <w:rsid w:val="00216A27"/>
    <w:rsid w:val="002178D8"/>
    <w:rsid w:val="00220AA8"/>
    <w:rsid w:val="00220CD9"/>
    <w:rsid w:val="00220D7D"/>
    <w:rsid w:val="002224E3"/>
    <w:rsid w:val="00222B41"/>
    <w:rsid w:val="00223DC6"/>
    <w:rsid w:val="002249C3"/>
    <w:rsid w:val="00224A08"/>
    <w:rsid w:val="00224D05"/>
    <w:rsid w:val="00224EC4"/>
    <w:rsid w:val="002253D7"/>
    <w:rsid w:val="0022596B"/>
    <w:rsid w:val="00225A92"/>
    <w:rsid w:val="00225DC8"/>
    <w:rsid w:val="00225F09"/>
    <w:rsid w:val="00225FD0"/>
    <w:rsid w:val="00227487"/>
    <w:rsid w:val="002274B1"/>
    <w:rsid w:val="00230257"/>
    <w:rsid w:val="00230A43"/>
    <w:rsid w:val="00230B71"/>
    <w:rsid w:val="00230E6B"/>
    <w:rsid w:val="00231287"/>
    <w:rsid w:val="00231B5F"/>
    <w:rsid w:val="00232040"/>
    <w:rsid w:val="00232472"/>
    <w:rsid w:val="00232622"/>
    <w:rsid w:val="00233086"/>
    <w:rsid w:val="002334F0"/>
    <w:rsid w:val="00233A9F"/>
    <w:rsid w:val="00233D09"/>
    <w:rsid w:val="00234067"/>
    <w:rsid w:val="002342F1"/>
    <w:rsid w:val="00234962"/>
    <w:rsid w:val="00235006"/>
    <w:rsid w:val="00235169"/>
    <w:rsid w:val="00235863"/>
    <w:rsid w:val="00236133"/>
    <w:rsid w:val="002364CE"/>
    <w:rsid w:val="0023675D"/>
    <w:rsid w:val="00237151"/>
    <w:rsid w:val="00237704"/>
    <w:rsid w:val="00237D22"/>
    <w:rsid w:val="002402A4"/>
    <w:rsid w:val="00240348"/>
    <w:rsid w:val="002405FD"/>
    <w:rsid w:val="00240611"/>
    <w:rsid w:val="002409EB"/>
    <w:rsid w:val="00240D35"/>
    <w:rsid w:val="00241069"/>
    <w:rsid w:val="0024176D"/>
    <w:rsid w:val="00241C59"/>
    <w:rsid w:val="00242544"/>
    <w:rsid w:val="00242720"/>
    <w:rsid w:val="00242E78"/>
    <w:rsid w:val="002431EC"/>
    <w:rsid w:val="00243539"/>
    <w:rsid w:val="0024366A"/>
    <w:rsid w:val="002440F9"/>
    <w:rsid w:val="00244132"/>
    <w:rsid w:val="00244494"/>
    <w:rsid w:val="00244A5A"/>
    <w:rsid w:val="00244A6E"/>
    <w:rsid w:val="00244AB8"/>
    <w:rsid w:val="00244E19"/>
    <w:rsid w:val="00244F8C"/>
    <w:rsid w:val="00245202"/>
    <w:rsid w:val="00245968"/>
    <w:rsid w:val="00245C48"/>
    <w:rsid w:val="00246AF7"/>
    <w:rsid w:val="002472F5"/>
    <w:rsid w:val="002474BC"/>
    <w:rsid w:val="00247617"/>
    <w:rsid w:val="00247B89"/>
    <w:rsid w:val="00247DCE"/>
    <w:rsid w:val="00247E2C"/>
    <w:rsid w:val="002504F7"/>
    <w:rsid w:val="00250B0F"/>
    <w:rsid w:val="00250C42"/>
    <w:rsid w:val="00250EFC"/>
    <w:rsid w:val="00251545"/>
    <w:rsid w:val="00251682"/>
    <w:rsid w:val="00252209"/>
    <w:rsid w:val="002525E8"/>
    <w:rsid w:val="00254F99"/>
    <w:rsid w:val="0025565D"/>
    <w:rsid w:val="00255E44"/>
    <w:rsid w:val="0025673F"/>
    <w:rsid w:val="00256C00"/>
    <w:rsid w:val="00257481"/>
    <w:rsid w:val="00260C6B"/>
    <w:rsid w:val="00261322"/>
    <w:rsid w:val="00261C4A"/>
    <w:rsid w:val="002629CD"/>
    <w:rsid w:val="00262C2F"/>
    <w:rsid w:val="0026300F"/>
    <w:rsid w:val="002635A0"/>
    <w:rsid w:val="002638F4"/>
    <w:rsid w:val="00263A56"/>
    <w:rsid w:val="00263C1A"/>
    <w:rsid w:val="0026424D"/>
    <w:rsid w:val="00264CC3"/>
    <w:rsid w:val="002656FC"/>
    <w:rsid w:val="00265AC7"/>
    <w:rsid w:val="00265B71"/>
    <w:rsid w:val="00265F38"/>
    <w:rsid w:val="00265F63"/>
    <w:rsid w:val="00266016"/>
    <w:rsid w:val="002662B1"/>
    <w:rsid w:val="00266305"/>
    <w:rsid w:val="00266B46"/>
    <w:rsid w:val="00266CF7"/>
    <w:rsid w:val="002673F8"/>
    <w:rsid w:val="00267798"/>
    <w:rsid w:val="00267800"/>
    <w:rsid w:val="00267B7C"/>
    <w:rsid w:val="00267C37"/>
    <w:rsid w:val="00270A63"/>
    <w:rsid w:val="00271292"/>
    <w:rsid w:val="00271378"/>
    <w:rsid w:val="00271551"/>
    <w:rsid w:val="002715AB"/>
    <w:rsid w:val="00271BED"/>
    <w:rsid w:val="00272881"/>
    <w:rsid w:val="00272893"/>
    <w:rsid w:val="002729FB"/>
    <w:rsid w:val="00273321"/>
    <w:rsid w:val="002737C8"/>
    <w:rsid w:val="0027398B"/>
    <w:rsid w:val="00274510"/>
    <w:rsid w:val="00274CCD"/>
    <w:rsid w:val="002766BC"/>
    <w:rsid w:val="00276901"/>
    <w:rsid w:val="00276A95"/>
    <w:rsid w:val="00277429"/>
    <w:rsid w:val="00277FA9"/>
    <w:rsid w:val="002803D9"/>
    <w:rsid w:val="002808DF"/>
    <w:rsid w:val="00280B4D"/>
    <w:rsid w:val="00282B15"/>
    <w:rsid w:val="00282D0C"/>
    <w:rsid w:val="00282F32"/>
    <w:rsid w:val="0028441D"/>
    <w:rsid w:val="002844C1"/>
    <w:rsid w:val="002848B7"/>
    <w:rsid w:val="002848DB"/>
    <w:rsid w:val="00284AC3"/>
    <w:rsid w:val="002850AE"/>
    <w:rsid w:val="00285C69"/>
    <w:rsid w:val="002861CF"/>
    <w:rsid w:val="0028635B"/>
    <w:rsid w:val="00286403"/>
    <w:rsid w:val="0028730F"/>
    <w:rsid w:val="002876FA"/>
    <w:rsid w:val="00287BD1"/>
    <w:rsid w:val="0029022B"/>
    <w:rsid w:val="002905FA"/>
    <w:rsid w:val="00290924"/>
    <w:rsid w:val="00290F1C"/>
    <w:rsid w:val="00291068"/>
    <w:rsid w:val="002914B8"/>
    <w:rsid w:val="00291B85"/>
    <w:rsid w:val="0029228B"/>
    <w:rsid w:val="00292487"/>
    <w:rsid w:val="0029278F"/>
    <w:rsid w:val="00292CEB"/>
    <w:rsid w:val="00292D96"/>
    <w:rsid w:val="0029321A"/>
    <w:rsid w:val="002936E2"/>
    <w:rsid w:val="00293888"/>
    <w:rsid w:val="00293ADD"/>
    <w:rsid w:val="00293D48"/>
    <w:rsid w:val="002941C3"/>
    <w:rsid w:val="0029440D"/>
    <w:rsid w:val="00294A4E"/>
    <w:rsid w:val="00294BE7"/>
    <w:rsid w:val="00294CC0"/>
    <w:rsid w:val="00294F45"/>
    <w:rsid w:val="00295369"/>
    <w:rsid w:val="00295465"/>
    <w:rsid w:val="00295702"/>
    <w:rsid w:val="00295949"/>
    <w:rsid w:val="00295C06"/>
    <w:rsid w:val="002969BD"/>
    <w:rsid w:val="00296D32"/>
    <w:rsid w:val="00296EE1"/>
    <w:rsid w:val="00297924"/>
    <w:rsid w:val="00297E50"/>
    <w:rsid w:val="002A0859"/>
    <w:rsid w:val="002A0F77"/>
    <w:rsid w:val="002A16D7"/>
    <w:rsid w:val="002A16F1"/>
    <w:rsid w:val="002A1B2A"/>
    <w:rsid w:val="002A1EDD"/>
    <w:rsid w:val="002A2078"/>
    <w:rsid w:val="002A2116"/>
    <w:rsid w:val="002A2272"/>
    <w:rsid w:val="002A24FD"/>
    <w:rsid w:val="002A2609"/>
    <w:rsid w:val="002A2AD2"/>
    <w:rsid w:val="002A3FAD"/>
    <w:rsid w:val="002A4663"/>
    <w:rsid w:val="002A504E"/>
    <w:rsid w:val="002A5B1A"/>
    <w:rsid w:val="002A6234"/>
    <w:rsid w:val="002A637A"/>
    <w:rsid w:val="002A63FE"/>
    <w:rsid w:val="002A6525"/>
    <w:rsid w:val="002A66A2"/>
    <w:rsid w:val="002A6DDE"/>
    <w:rsid w:val="002A7474"/>
    <w:rsid w:val="002A7B2B"/>
    <w:rsid w:val="002B06DB"/>
    <w:rsid w:val="002B1459"/>
    <w:rsid w:val="002B1F8C"/>
    <w:rsid w:val="002B1F8D"/>
    <w:rsid w:val="002B2693"/>
    <w:rsid w:val="002B2BCD"/>
    <w:rsid w:val="002B33AB"/>
    <w:rsid w:val="002B3708"/>
    <w:rsid w:val="002B37CF"/>
    <w:rsid w:val="002B3809"/>
    <w:rsid w:val="002B405F"/>
    <w:rsid w:val="002B44AD"/>
    <w:rsid w:val="002B5D16"/>
    <w:rsid w:val="002B6007"/>
    <w:rsid w:val="002B66FA"/>
    <w:rsid w:val="002B70EE"/>
    <w:rsid w:val="002B77E4"/>
    <w:rsid w:val="002B793C"/>
    <w:rsid w:val="002B7980"/>
    <w:rsid w:val="002C003A"/>
    <w:rsid w:val="002C03E8"/>
    <w:rsid w:val="002C0694"/>
    <w:rsid w:val="002C0850"/>
    <w:rsid w:val="002C0C24"/>
    <w:rsid w:val="002C0D7D"/>
    <w:rsid w:val="002C13B7"/>
    <w:rsid w:val="002C1D86"/>
    <w:rsid w:val="002C20E0"/>
    <w:rsid w:val="002C24EE"/>
    <w:rsid w:val="002C2B50"/>
    <w:rsid w:val="002C316E"/>
    <w:rsid w:val="002C350C"/>
    <w:rsid w:val="002C384C"/>
    <w:rsid w:val="002C43F4"/>
    <w:rsid w:val="002C4660"/>
    <w:rsid w:val="002C4DD6"/>
    <w:rsid w:val="002C5920"/>
    <w:rsid w:val="002C5AF6"/>
    <w:rsid w:val="002C5F09"/>
    <w:rsid w:val="002C63D2"/>
    <w:rsid w:val="002C67D3"/>
    <w:rsid w:val="002C6E11"/>
    <w:rsid w:val="002C6E3A"/>
    <w:rsid w:val="002C709F"/>
    <w:rsid w:val="002C7498"/>
    <w:rsid w:val="002C7BCB"/>
    <w:rsid w:val="002D02FE"/>
    <w:rsid w:val="002D04EF"/>
    <w:rsid w:val="002D146E"/>
    <w:rsid w:val="002D18D8"/>
    <w:rsid w:val="002D1E93"/>
    <w:rsid w:val="002D24AF"/>
    <w:rsid w:val="002D262F"/>
    <w:rsid w:val="002D2B0C"/>
    <w:rsid w:val="002D2F8A"/>
    <w:rsid w:val="002D36C3"/>
    <w:rsid w:val="002D397B"/>
    <w:rsid w:val="002D42E4"/>
    <w:rsid w:val="002D4400"/>
    <w:rsid w:val="002D456E"/>
    <w:rsid w:val="002D4BF6"/>
    <w:rsid w:val="002D5372"/>
    <w:rsid w:val="002D5945"/>
    <w:rsid w:val="002D5964"/>
    <w:rsid w:val="002D597E"/>
    <w:rsid w:val="002D6564"/>
    <w:rsid w:val="002D6909"/>
    <w:rsid w:val="002D6D14"/>
    <w:rsid w:val="002D74D3"/>
    <w:rsid w:val="002D7D5E"/>
    <w:rsid w:val="002E04A4"/>
    <w:rsid w:val="002E1128"/>
    <w:rsid w:val="002E199F"/>
    <w:rsid w:val="002E1EBD"/>
    <w:rsid w:val="002E2699"/>
    <w:rsid w:val="002E35F2"/>
    <w:rsid w:val="002E53B8"/>
    <w:rsid w:val="002E56B3"/>
    <w:rsid w:val="002E57B3"/>
    <w:rsid w:val="002E591C"/>
    <w:rsid w:val="002E6EFF"/>
    <w:rsid w:val="002E78B5"/>
    <w:rsid w:val="002F0242"/>
    <w:rsid w:val="002F032E"/>
    <w:rsid w:val="002F0405"/>
    <w:rsid w:val="002F0C15"/>
    <w:rsid w:val="002F138D"/>
    <w:rsid w:val="002F1652"/>
    <w:rsid w:val="002F21A3"/>
    <w:rsid w:val="002F2D82"/>
    <w:rsid w:val="002F2F39"/>
    <w:rsid w:val="002F3A05"/>
    <w:rsid w:val="002F3B28"/>
    <w:rsid w:val="002F3CF1"/>
    <w:rsid w:val="002F4169"/>
    <w:rsid w:val="002F41A6"/>
    <w:rsid w:val="002F4455"/>
    <w:rsid w:val="002F45DF"/>
    <w:rsid w:val="002F635D"/>
    <w:rsid w:val="002F658C"/>
    <w:rsid w:val="002F7BF4"/>
    <w:rsid w:val="002F7F12"/>
    <w:rsid w:val="003004CE"/>
    <w:rsid w:val="00300D7B"/>
    <w:rsid w:val="003018CD"/>
    <w:rsid w:val="00301A95"/>
    <w:rsid w:val="003029B3"/>
    <w:rsid w:val="0030300C"/>
    <w:rsid w:val="0030304C"/>
    <w:rsid w:val="0030309D"/>
    <w:rsid w:val="0030311B"/>
    <w:rsid w:val="00305479"/>
    <w:rsid w:val="003055AC"/>
    <w:rsid w:val="0030636C"/>
    <w:rsid w:val="00307F9B"/>
    <w:rsid w:val="0031043C"/>
    <w:rsid w:val="00310C98"/>
    <w:rsid w:val="00310E33"/>
    <w:rsid w:val="0031177D"/>
    <w:rsid w:val="00311E0C"/>
    <w:rsid w:val="0031210D"/>
    <w:rsid w:val="00312561"/>
    <w:rsid w:val="00312B71"/>
    <w:rsid w:val="00313793"/>
    <w:rsid w:val="00313EA0"/>
    <w:rsid w:val="003146B5"/>
    <w:rsid w:val="0031476C"/>
    <w:rsid w:val="003149DD"/>
    <w:rsid w:val="00314A88"/>
    <w:rsid w:val="00315373"/>
    <w:rsid w:val="0031568F"/>
    <w:rsid w:val="003157A1"/>
    <w:rsid w:val="003158A2"/>
    <w:rsid w:val="00315B1B"/>
    <w:rsid w:val="003162C9"/>
    <w:rsid w:val="003166CE"/>
    <w:rsid w:val="0031723E"/>
    <w:rsid w:val="00317B57"/>
    <w:rsid w:val="00317C6B"/>
    <w:rsid w:val="0032006D"/>
    <w:rsid w:val="00321235"/>
    <w:rsid w:val="00321264"/>
    <w:rsid w:val="003213CA"/>
    <w:rsid w:val="0032203C"/>
    <w:rsid w:val="003220C8"/>
    <w:rsid w:val="0032228B"/>
    <w:rsid w:val="00322497"/>
    <w:rsid w:val="00322ACF"/>
    <w:rsid w:val="00322EC5"/>
    <w:rsid w:val="00322EFB"/>
    <w:rsid w:val="00322FE0"/>
    <w:rsid w:val="00323E69"/>
    <w:rsid w:val="00324110"/>
    <w:rsid w:val="003248C0"/>
    <w:rsid w:val="00324925"/>
    <w:rsid w:val="0032493A"/>
    <w:rsid w:val="00324FD2"/>
    <w:rsid w:val="0032559E"/>
    <w:rsid w:val="00325FBD"/>
    <w:rsid w:val="00326559"/>
    <w:rsid w:val="003279A3"/>
    <w:rsid w:val="00327CE2"/>
    <w:rsid w:val="0033001D"/>
    <w:rsid w:val="0033009A"/>
    <w:rsid w:val="00330425"/>
    <w:rsid w:val="00330B89"/>
    <w:rsid w:val="00330F77"/>
    <w:rsid w:val="00331104"/>
    <w:rsid w:val="0033156F"/>
    <w:rsid w:val="003318C6"/>
    <w:rsid w:val="00331AE9"/>
    <w:rsid w:val="00331FCA"/>
    <w:rsid w:val="003325DE"/>
    <w:rsid w:val="003328D6"/>
    <w:rsid w:val="003329A0"/>
    <w:rsid w:val="00332CC1"/>
    <w:rsid w:val="00333704"/>
    <w:rsid w:val="00333ACA"/>
    <w:rsid w:val="00333CE1"/>
    <w:rsid w:val="00333ED6"/>
    <w:rsid w:val="0033436B"/>
    <w:rsid w:val="003348CF"/>
    <w:rsid w:val="00334B9F"/>
    <w:rsid w:val="00334E06"/>
    <w:rsid w:val="003354BF"/>
    <w:rsid w:val="003356A7"/>
    <w:rsid w:val="0033738F"/>
    <w:rsid w:val="0033746E"/>
    <w:rsid w:val="00337688"/>
    <w:rsid w:val="00337BE6"/>
    <w:rsid w:val="003403DA"/>
    <w:rsid w:val="00340514"/>
    <w:rsid w:val="00341627"/>
    <w:rsid w:val="00341FCD"/>
    <w:rsid w:val="003426CF"/>
    <w:rsid w:val="00342A0E"/>
    <w:rsid w:val="003430BF"/>
    <w:rsid w:val="00343994"/>
    <w:rsid w:val="003450F7"/>
    <w:rsid w:val="0034533B"/>
    <w:rsid w:val="00346351"/>
    <w:rsid w:val="00347478"/>
    <w:rsid w:val="00347E2C"/>
    <w:rsid w:val="00350193"/>
    <w:rsid w:val="0035023C"/>
    <w:rsid w:val="003509A5"/>
    <w:rsid w:val="00350AA6"/>
    <w:rsid w:val="003510AB"/>
    <w:rsid w:val="0035116E"/>
    <w:rsid w:val="0035118C"/>
    <w:rsid w:val="00351603"/>
    <w:rsid w:val="00352299"/>
    <w:rsid w:val="0035412B"/>
    <w:rsid w:val="00354410"/>
    <w:rsid w:val="0035563C"/>
    <w:rsid w:val="00355B79"/>
    <w:rsid w:val="00355CB4"/>
    <w:rsid w:val="00357FAD"/>
    <w:rsid w:val="003600BD"/>
    <w:rsid w:val="003609A3"/>
    <w:rsid w:val="00360F4C"/>
    <w:rsid w:val="003611C8"/>
    <w:rsid w:val="00361BAF"/>
    <w:rsid w:val="00361D8C"/>
    <w:rsid w:val="00361F79"/>
    <w:rsid w:val="00362434"/>
    <w:rsid w:val="003629A2"/>
    <w:rsid w:val="0036316E"/>
    <w:rsid w:val="003632B5"/>
    <w:rsid w:val="00363735"/>
    <w:rsid w:val="00363BCA"/>
    <w:rsid w:val="00364C2E"/>
    <w:rsid w:val="00364E6A"/>
    <w:rsid w:val="00364F5C"/>
    <w:rsid w:val="003656D8"/>
    <w:rsid w:val="00365845"/>
    <w:rsid w:val="003659A5"/>
    <w:rsid w:val="00365BBE"/>
    <w:rsid w:val="00365D29"/>
    <w:rsid w:val="00366D9B"/>
    <w:rsid w:val="00366E2F"/>
    <w:rsid w:val="00366E75"/>
    <w:rsid w:val="003672DF"/>
    <w:rsid w:val="003678E4"/>
    <w:rsid w:val="00367D6F"/>
    <w:rsid w:val="00370118"/>
    <w:rsid w:val="00370A25"/>
    <w:rsid w:val="00370A3D"/>
    <w:rsid w:val="0037135E"/>
    <w:rsid w:val="0037199A"/>
    <w:rsid w:val="0037297F"/>
    <w:rsid w:val="00372B29"/>
    <w:rsid w:val="00372B6A"/>
    <w:rsid w:val="00372D16"/>
    <w:rsid w:val="00373B82"/>
    <w:rsid w:val="00373DB1"/>
    <w:rsid w:val="00374349"/>
    <w:rsid w:val="003747AA"/>
    <w:rsid w:val="00374B24"/>
    <w:rsid w:val="00374DFA"/>
    <w:rsid w:val="00375542"/>
    <w:rsid w:val="00375CE7"/>
    <w:rsid w:val="00375E0E"/>
    <w:rsid w:val="00375EFA"/>
    <w:rsid w:val="0037616C"/>
    <w:rsid w:val="0037630B"/>
    <w:rsid w:val="00376561"/>
    <w:rsid w:val="00377E8E"/>
    <w:rsid w:val="00380084"/>
    <w:rsid w:val="00380FBB"/>
    <w:rsid w:val="00382032"/>
    <w:rsid w:val="00382142"/>
    <w:rsid w:val="0038240D"/>
    <w:rsid w:val="00382C87"/>
    <w:rsid w:val="00383034"/>
    <w:rsid w:val="00383CFE"/>
    <w:rsid w:val="00383F48"/>
    <w:rsid w:val="0038441C"/>
    <w:rsid w:val="00386991"/>
    <w:rsid w:val="00386E49"/>
    <w:rsid w:val="00386F31"/>
    <w:rsid w:val="0038759F"/>
    <w:rsid w:val="003879C8"/>
    <w:rsid w:val="00387A6E"/>
    <w:rsid w:val="00387FB5"/>
    <w:rsid w:val="003904B1"/>
    <w:rsid w:val="00390C4E"/>
    <w:rsid w:val="00391265"/>
    <w:rsid w:val="0039273C"/>
    <w:rsid w:val="00392DA0"/>
    <w:rsid w:val="00392DE3"/>
    <w:rsid w:val="00392DEA"/>
    <w:rsid w:val="00392E5C"/>
    <w:rsid w:val="00393124"/>
    <w:rsid w:val="00393B78"/>
    <w:rsid w:val="00393D69"/>
    <w:rsid w:val="00393DAE"/>
    <w:rsid w:val="00393F9C"/>
    <w:rsid w:val="003941BE"/>
    <w:rsid w:val="0039442F"/>
    <w:rsid w:val="00394789"/>
    <w:rsid w:val="00395ACA"/>
    <w:rsid w:val="00396017"/>
    <w:rsid w:val="00396040"/>
    <w:rsid w:val="00397389"/>
    <w:rsid w:val="003974D3"/>
    <w:rsid w:val="00397A41"/>
    <w:rsid w:val="003A01AF"/>
    <w:rsid w:val="003A023F"/>
    <w:rsid w:val="003A02DF"/>
    <w:rsid w:val="003A1C92"/>
    <w:rsid w:val="003A1D58"/>
    <w:rsid w:val="003A2426"/>
    <w:rsid w:val="003A247A"/>
    <w:rsid w:val="003A2656"/>
    <w:rsid w:val="003A30E4"/>
    <w:rsid w:val="003A347D"/>
    <w:rsid w:val="003A3765"/>
    <w:rsid w:val="003A3B07"/>
    <w:rsid w:val="003A4291"/>
    <w:rsid w:val="003A4476"/>
    <w:rsid w:val="003A56F5"/>
    <w:rsid w:val="003A58B6"/>
    <w:rsid w:val="003A5BFF"/>
    <w:rsid w:val="003A73B4"/>
    <w:rsid w:val="003A7A05"/>
    <w:rsid w:val="003A7A32"/>
    <w:rsid w:val="003B04C4"/>
    <w:rsid w:val="003B098E"/>
    <w:rsid w:val="003B1620"/>
    <w:rsid w:val="003B16BF"/>
    <w:rsid w:val="003B16D0"/>
    <w:rsid w:val="003B28E9"/>
    <w:rsid w:val="003B29B3"/>
    <w:rsid w:val="003B344E"/>
    <w:rsid w:val="003B3712"/>
    <w:rsid w:val="003B3998"/>
    <w:rsid w:val="003B3F6C"/>
    <w:rsid w:val="003B6048"/>
    <w:rsid w:val="003B62D0"/>
    <w:rsid w:val="003B669B"/>
    <w:rsid w:val="003B69DD"/>
    <w:rsid w:val="003B6EC5"/>
    <w:rsid w:val="003B7211"/>
    <w:rsid w:val="003B7317"/>
    <w:rsid w:val="003B7452"/>
    <w:rsid w:val="003B7737"/>
    <w:rsid w:val="003B7A4F"/>
    <w:rsid w:val="003C008F"/>
    <w:rsid w:val="003C0575"/>
    <w:rsid w:val="003C094E"/>
    <w:rsid w:val="003C0C79"/>
    <w:rsid w:val="003C0DAD"/>
    <w:rsid w:val="003C0EC5"/>
    <w:rsid w:val="003C16C3"/>
    <w:rsid w:val="003C18FC"/>
    <w:rsid w:val="003C1BC2"/>
    <w:rsid w:val="003C22A6"/>
    <w:rsid w:val="003C245B"/>
    <w:rsid w:val="003C25AD"/>
    <w:rsid w:val="003C2D33"/>
    <w:rsid w:val="003C3971"/>
    <w:rsid w:val="003C3BD6"/>
    <w:rsid w:val="003C42F4"/>
    <w:rsid w:val="003C450D"/>
    <w:rsid w:val="003C532F"/>
    <w:rsid w:val="003C5678"/>
    <w:rsid w:val="003C5698"/>
    <w:rsid w:val="003C5F4E"/>
    <w:rsid w:val="003C62DF"/>
    <w:rsid w:val="003C6342"/>
    <w:rsid w:val="003C635B"/>
    <w:rsid w:val="003C6361"/>
    <w:rsid w:val="003C64CB"/>
    <w:rsid w:val="003C660E"/>
    <w:rsid w:val="003C675A"/>
    <w:rsid w:val="003C6875"/>
    <w:rsid w:val="003C6BD6"/>
    <w:rsid w:val="003C7137"/>
    <w:rsid w:val="003C71BD"/>
    <w:rsid w:val="003D05EC"/>
    <w:rsid w:val="003D09F6"/>
    <w:rsid w:val="003D0CBB"/>
    <w:rsid w:val="003D0E88"/>
    <w:rsid w:val="003D1AC1"/>
    <w:rsid w:val="003D2B0E"/>
    <w:rsid w:val="003D318F"/>
    <w:rsid w:val="003D33A9"/>
    <w:rsid w:val="003D3F3F"/>
    <w:rsid w:val="003D506D"/>
    <w:rsid w:val="003D54D7"/>
    <w:rsid w:val="003D5664"/>
    <w:rsid w:val="003D5974"/>
    <w:rsid w:val="003D62F9"/>
    <w:rsid w:val="003D64EA"/>
    <w:rsid w:val="003D74F9"/>
    <w:rsid w:val="003D7752"/>
    <w:rsid w:val="003D786B"/>
    <w:rsid w:val="003D7F92"/>
    <w:rsid w:val="003E0176"/>
    <w:rsid w:val="003E1027"/>
    <w:rsid w:val="003E106E"/>
    <w:rsid w:val="003E1255"/>
    <w:rsid w:val="003E2047"/>
    <w:rsid w:val="003E3349"/>
    <w:rsid w:val="003E3514"/>
    <w:rsid w:val="003E37B3"/>
    <w:rsid w:val="003E3A72"/>
    <w:rsid w:val="003E426C"/>
    <w:rsid w:val="003E44C5"/>
    <w:rsid w:val="003E4FD8"/>
    <w:rsid w:val="003E65EC"/>
    <w:rsid w:val="003E66AD"/>
    <w:rsid w:val="003E67EB"/>
    <w:rsid w:val="003E76AC"/>
    <w:rsid w:val="003E7767"/>
    <w:rsid w:val="003E7977"/>
    <w:rsid w:val="003E79C1"/>
    <w:rsid w:val="003E7B74"/>
    <w:rsid w:val="003F0093"/>
    <w:rsid w:val="003F07BE"/>
    <w:rsid w:val="003F0E05"/>
    <w:rsid w:val="003F0E4C"/>
    <w:rsid w:val="003F1652"/>
    <w:rsid w:val="003F1AC7"/>
    <w:rsid w:val="003F1DCF"/>
    <w:rsid w:val="003F2136"/>
    <w:rsid w:val="003F3E26"/>
    <w:rsid w:val="003F4221"/>
    <w:rsid w:val="003F4359"/>
    <w:rsid w:val="003F516E"/>
    <w:rsid w:val="003F55FC"/>
    <w:rsid w:val="003F5775"/>
    <w:rsid w:val="003F577F"/>
    <w:rsid w:val="003F59D9"/>
    <w:rsid w:val="003F5E78"/>
    <w:rsid w:val="003F61B9"/>
    <w:rsid w:val="003F626A"/>
    <w:rsid w:val="003F666D"/>
    <w:rsid w:val="003F70B0"/>
    <w:rsid w:val="003F78EA"/>
    <w:rsid w:val="003F79D3"/>
    <w:rsid w:val="00400538"/>
    <w:rsid w:val="0040059A"/>
    <w:rsid w:val="00400CE9"/>
    <w:rsid w:val="00400E63"/>
    <w:rsid w:val="004015F0"/>
    <w:rsid w:val="00401DD1"/>
    <w:rsid w:val="004021BB"/>
    <w:rsid w:val="00402947"/>
    <w:rsid w:val="00402B83"/>
    <w:rsid w:val="004032FF"/>
    <w:rsid w:val="00403468"/>
    <w:rsid w:val="00403557"/>
    <w:rsid w:val="004044AF"/>
    <w:rsid w:val="00404574"/>
    <w:rsid w:val="00404FD2"/>
    <w:rsid w:val="004059C8"/>
    <w:rsid w:val="00405B9C"/>
    <w:rsid w:val="00405CFD"/>
    <w:rsid w:val="004065F6"/>
    <w:rsid w:val="004069A9"/>
    <w:rsid w:val="00406B34"/>
    <w:rsid w:val="00406BA8"/>
    <w:rsid w:val="00406EA5"/>
    <w:rsid w:val="00407215"/>
    <w:rsid w:val="00407823"/>
    <w:rsid w:val="00407C19"/>
    <w:rsid w:val="00410DEC"/>
    <w:rsid w:val="00410EA0"/>
    <w:rsid w:val="00410F34"/>
    <w:rsid w:val="00411656"/>
    <w:rsid w:val="00411FBA"/>
    <w:rsid w:val="004123EC"/>
    <w:rsid w:val="0041253C"/>
    <w:rsid w:val="00412807"/>
    <w:rsid w:val="004137CD"/>
    <w:rsid w:val="0041384C"/>
    <w:rsid w:val="0041390D"/>
    <w:rsid w:val="004139A7"/>
    <w:rsid w:val="00414561"/>
    <w:rsid w:val="00414B31"/>
    <w:rsid w:val="004150F6"/>
    <w:rsid w:val="00415507"/>
    <w:rsid w:val="00415EDF"/>
    <w:rsid w:val="00416902"/>
    <w:rsid w:val="00417252"/>
    <w:rsid w:val="0041757F"/>
    <w:rsid w:val="00417710"/>
    <w:rsid w:val="00417827"/>
    <w:rsid w:val="00417F40"/>
    <w:rsid w:val="00420EF6"/>
    <w:rsid w:val="0042196F"/>
    <w:rsid w:val="00421A04"/>
    <w:rsid w:val="00421CDD"/>
    <w:rsid w:val="00422263"/>
    <w:rsid w:val="00422463"/>
    <w:rsid w:val="0042281D"/>
    <w:rsid w:val="00422A50"/>
    <w:rsid w:val="00422C77"/>
    <w:rsid w:val="0042365E"/>
    <w:rsid w:val="00423BC0"/>
    <w:rsid w:val="00423C30"/>
    <w:rsid w:val="004245BF"/>
    <w:rsid w:val="00424B07"/>
    <w:rsid w:val="0042503B"/>
    <w:rsid w:val="004252E3"/>
    <w:rsid w:val="00425921"/>
    <w:rsid w:val="0042619D"/>
    <w:rsid w:val="00426B5E"/>
    <w:rsid w:val="004272F8"/>
    <w:rsid w:val="0042761B"/>
    <w:rsid w:val="00427B3B"/>
    <w:rsid w:val="00427FA7"/>
    <w:rsid w:val="00431140"/>
    <w:rsid w:val="00431156"/>
    <w:rsid w:val="004312E0"/>
    <w:rsid w:val="00431929"/>
    <w:rsid w:val="00431B1A"/>
    <w:rsid w:val="00432813"/>
    <w:rsid w:val="0043291D"/>
    <w:rsid w:val="004330D8"/>
    <w:rsid w:val="00433399"/>
    <w:rsid w:val="00433B4E"/>
    <w:rsid w:val="00433D4A"/>
    <w:rsid w:val="0043400A"/>
    <w:rsid w:val="00434E73"/>
    <w:rsid w:val="00436139"/>
    <w:rsid w:val="00436191"/>
    <w:rsid w:val="00436799"/>
    <w:rsid w:val="00436822"/>
    <w:rsid w:val="004369E8"/>
    <w:rsid w:val="004374AF"/>
    <w:rsid w:val="00440779"/>
    <w:rsid w:val="00440901"/>
    <w:rsid w:val="00440DA4"/>
    <w:rsid w:val="0044368A"/>
    <w:rsid w:val="004437A9"/>
    <w:rsid w:val="00443F5C"/>
    <w:rsid w:val="00444111"/>
    <w:rsid w:val="0044450A"/>
    <w:rsid w:val="004449D3"/>
    <w:rsid w:val="00444CB6"/>
    <w:rsid w:val="00444D2B"/>
    <w:rsid w:val="004450DC"/>
    <w:rsid w:val="00445592"/>
    <w:rsid w:val="00445997"/>
    <w:rsid w:val="00445DB0"/>
    <w:rsid w:val="004460A9"/>
    <w:rsid w:val="0044643F"/>
    <w:rsid w:val="004478CB"/>
    <w:rsid w:val="00447A63"/>
    <w:rsid w:val="00447E27"/>
    <w:rsid w:val="00450B9B"/>
    <w:rsid w:val="00450DA3"/>
    <w:rsid w:val="004515E8"/>
    <w:rsid w:val="00452206"/>
    <w:rsid w:val="0045300B"/>
    <w:rsid w:val="00454FFD"/>
    <w:rsid w:val="0045521C"/>
    <w:rsid w:val="0045561A"/>
    <w:rsid w:val="00455853"/>
    <w:rsid w:val="004558F8"/>
    <w:rsid w:val="00455C01"/>
    <w:rsid w:val="00455E21"/>
    <w:rsid w:val="00455ED5"/>
    <w:rsid w:val="00456334"/>
    <w:rsid w:val="00456B7C"/>
    <w:rsid w:val="00457700"/>
    <w:rsid w:val="00457856"/>
    <w:rsid w:val="0046027F"/>
    <w:rsid w:val="00460375"/>
    <w:rsid w:val="0046052E"/>
    <w:rsid w:val="00460D68"/>
    <w:rsid w:val="00462A17"/>
    <w:rsid w:val="00463854"/>
    <w:rsid w:val="00463F1B"/>
    <w:rsid w:val="004648B3"/>
    <w:rsid w:val="004649C3"/>
    <w:rsid w:val="00465689"/>
    <w:rsid w:val="00465F35"/>
    <w:rsid w:val="00466145"/>
    <w:rsid w:val="0046664D"/>
    <w:rsid w:val="004669E4"/>
    <w:rsid w:val="00466CAD"/>
    <w:rsid w:val="004671FE"/>
    <w:rsid w:val="00467D6D"/>
    <w:rsid w:val="00467ED4"/>
    <w:rsid w:val="00470432"/>
    <w:rsid w:val="004706B8"/>
    <w:rsid w:val="0047072C"/>
    <w:rsid w:val="0047080A"/>
    <w:rsid w:val="00470849"/>
    <w:rsid w:val="004709CA"/>
    <w:rsid w:val="004713AD"/>
    <w:rsid w:val="00471627"/>
    <w:rsid w:val="00472601"/>
    <w:rsid w:val="004726C9"/>
    <w:rsid w:val="00472C51"/>
    <w:rsid w:val="00473B18"/>
    <w:rsid w:val="00475261"/>
    <w:rsid w:val="0047557D"/>
    <w:rsid w:val="00475676"/>
    <w:rsid w:val="004757B3"/>
    <w:rsid w:val="00475999"/>
    <w:rsid w:val="004762BB"/>
    <w:rsid w:val="00476B47"/>
    <w:rsid w:val="00476BA6"/>
    <w:rsid w:val="00476CCD"/>
    <w:rsid w:val="00476E27"/>
    <w:rsid w:val="0047716A"/>
    <w:rsid w:val="004771CF"/>
    <w:rsid w:val="004773AE"/>
    <w:rsid w:val="00477716"/>
    <w:rsid w:val="004806B6"/>
    <w:rsid w:val="004806CD"/>
    <w:rsid w:val="00481A60"/>
    <w:rsid w:val="00481FC6"/>
    <w:rsid w:val="004822A5"/>
    <w:rsid w:val="00482841"/>
    <w:rsid w:val="00482A78"/>
    <w:rsid w:val="00482B1F"/>
    <w:rsid w:val="004834EA"/>
    <w:rsid w:val="00483529"/>
    <w:rsid w:val="0048444D"/>
    <w:rsid w:val="00484EE7"/>
    <w:rsid w:val="004851BF"/>
    <w:rsid w:val="004856A3"/>
    <w:rsid w:val="00485704"/>
    <w:rsid w:val="004868F1"/>
    <w:rsid w:val="00486AFC"/>
    <w:rsid w:val="00486D53"/>
    <w:rsid w:val="0048798A"/>
    <w:rsid w:val="004879DF"/>
    <w:rsid w:val="00487C06"/>
    <w:rsid w:val="0049014D"/>
    <w:rsid w:val="00490498"/>
    <w:rsid w:val="00491187"/>
    <w:rsid w:val="004914C9"/>
    <w:rsid w:val="00492957"/>
    <w:rsid w:val="00492ABC"/>
    <w:rsid w:val="00492C16"/>
    <w:rsid w:val="00492E1F"/>
    <w:rsid w:val="00492F73"/>
    <w:rsid w:val="00493178"/>
    <w:rsid w:val="00493433"/>
    <w:rsid w:val="004938E4"/>
    <w:rsid w:val="00493AC1"/>
    <w:rsid w:val="00494695"/>
    <w:rsid w:val="00495C02"/>
    <w:rsid w:val="00495E81"/>
    <w:rsid w:val="0049677F"/>
    <w:rsid w:val="00496BD0"/>
    <w:rsid w:val="00496D52"/>
    <w:rsid w:val="00497B32"/>
    <w:rsid w:val="00497B5B"/>
    <w:rsid w:val="00497BF0"/>
    <w:rsid w:val="004A0B8D"/>
    <w:rsid w:val="004A163D"/>
    <w:rsid w:val="004A1852"/>
    <w:rsid w:val="004A1B5F"/>
    <w:rsid w:val="004A21F0"/>
    <w:rsid w:val="004A23E7"/>
    <w:rsid w:val="004A2BBA"/>
    <w:rsid w:val="004A3371"/>
    <w:rsid w:val="004A3826"/>
    <w:rsid w:val="004A3842"/>
    <w:rsid w:val="004A3913"/>
    <w:rsid w:val="004A3EC6"/>
    <w:rsid w:val="004A45E4"/>
    <w:rsid w:val="004A5082"/>
    <w:rsid w:val="004A6AA6"/>
    <w:rsid w:val="004A6F3B"/>
    <w:rsid w:val="004A7240"/>
    <w:rsid w:val="004B003D"/>
    <w:rsid w:val="004B07CA"/>
    <w:rsid w:val="004B0A89"/>
    <w:rsid w:val="004B13DB"/>
    <w:rsid w:val="004B157D"/>
    <w:rsid w:val="004B170A"/>
    <w:rsid w:val="004B1942"/>
    <w:rsid w:val="004B19E0"/>
    <w:rsid w:val="004B1A82"/>
    <w:rsid w:val="004B275D"/>
    <w:rsid w:val="004B2B25"/>
    <w:rsid w:val="004B2F45"/>
    <w:rsid w:val="004B31F3"/>
    <w:rsid w:val="004B41AF"/>
    <w:rsid w:val="004B43FA"/>
    <w:rsid w:val="004B4815"/>
    <w:rsid w:val="004B4980"/>
    <w:rsid w:val="004B4989"/>
    <w:rsid w:val="004B4BE9"/>
    <w:rsid w:val="004B50B7"/>
    <w:rsid w:val="004B510F"/>
    <w:rsid w:val="004B54E5"/>
    <w:rsid w:val="004B558A"/>
    <w:rsid w:val="004B58C5"/>
    <w:rsid w:val="004B5DCE"/>
    <w:rsid w:val="004B5DE7"/>
    <w:rsid w:val="004B5F6E"/>
    <w:rsid w:val="004B6B23"/>
    <w:rsid w:val="004B6BD1"/>
    <w:rsid w:val="004B6DC0"/>
    <w:rsid w:val="004B6DF0"/>
    <w:rsid w:val="004B721D"/>
    <w:rsid w:val="004B7340"/>
    <w:rsid w:val="004B7CFB"/>
    <w:rsid w:val="004C00B6"/>
    <w:rsid w:val="004C05D6"/>
    <w:rsid w:val="004C05E1"/>
    <w:rsid w:val="004C191C"/>
    <w:rsid w:val="004C1DDB"/>
    <w:rsid w:val="004C1E74"/>
    <w:rsid w:val="004C247A"/>
    <w:rsid w:val="004C28F4"/>
    <w:rsid w:val="004C2CC8"/>
    <w:rsid w:val="004C3F55"/>
    <w:rsid w:val="004C4071"/>
    <w:rsid w:val="004C4153"/>
    <w:rsid w:val="004C4799"/>
    <w:rsid w:val="004C48DA"/>
    <w:rsid w:val="004C4C1A"/>
    <w:rsid w:val="004C4C3A"/>
    <w:rsid w:val="004C5445"/>
    <w:rsid w:val="004C54FE"/>
    <w:rsid w:val="004C5FDF"/>
    <w:rsid w:val="004C6019"/>
    <w:rsid w:val="004C635D"/>
    <w:rsid w:val="004C71A6"/>
    <w:rsid w:val="004C7D30"/>
    <w:rsid w:val="004C7EEA"/>
    <w:rsid w:val="004C7F57"/>
    <w:rsid w:val="004D05A6"/>
    <w:rsid w:val="004D0847"/>
    <w:rsid w:val="004D10AD"/>
    <w:rsid w:val="004D1BCE"/>
    <w:rsid w:val="004D1F8D"/>
    <w:rsid w:val="004D2D4C"/>
    <w:rsid w:val="004D37D4"/>
    <w:rsid w:val="004D3BAA"/>
    <w:rsid w:val="004D3DBE"/>
    <w:rsid w:val="004D4CB4"/>
    <w:rsid w:val="004D58FB"/>
    <w:rsid w:val="004D5D75"/>
    <w:rsid w:val="004D5DE2"/>
    <w:rsid w:val="004D64EB"/>
    <w:rsid w:val="004D734D"/>
    <w:rsid w:val="004E0946"/>
    <w:rsid w:val="004E1701"/>
    <w:rsid w:val="004E192A"/>
    <w:rsid w:val="004E1E8D"/>
    <w:rsid w:val="004E1FA3"/>
    <w:rsid w:val="004E2170"/>
    <w:rsid w:val="004E22B8"/>
    <w:rsid w:val="004E25B6"/>
    <w:rsid w:val="004E2958"/>
    <w:rsid w:val="004E2ADB"/>
    <w:rsid w:val="004E3133"/>
    <w:rsid w:val="004E327A"/>
    <w:rsid w:val="004E3532"/>
    <w:rsid w:val="004E3599"/>
    <w:rsid w:val="004E3E7D"/>
    <w:rsid w:val="004E466B"/>
    <w:rsid w:val="004E4F7F"/>
    <w:rsid w:val="004E5382"/>
    <w:rsid w:val="004E545C"/>
    <w:rsid w:val="004E553B"/>
    <w:rsid w:val="004E62F3"/>
    <w:rsid w:val="004E66D7"/>
    <w:rsid w:val="004E6B3C"/>
    <w:rsid w:val="004E6E5A"/>
    <w:rsid w:val="004E7257"/>
    <w:rsid w:val="004E78EB"/>
    <w:rsid w:val="004F0F08"/>
    <w:rsid w:val="004F1183"/>
    <w:rsid w:val="004F1201"/>
    <w:rsid w:val="004F1D32"/>
    <w:rsid w:val="004F1D5B"/>
    <w:rsid w:val="004F2234"/>
    <w:rsid w:val="004F27AC"/>
    <w:rsid w:val="004F2853"/>
    <w:rsid w:val="004F57CC"/>
    <w:rsid w:val="004F58F6"/>
    <w:rsid w:val="004F608C"/>
    <w:rsid w:val="004F6ABA"/>
    <w:rsid w:val="004F720E"/>
    <w:rsid w:val="004F7B22"/>
    <w:rsid w:val="00501093"/>
    <w:rsid w:val="00501584"/>
    <w:rsid w:val="00501C90"/>
    <w:rsid w:val="00502560"/>
    <w:rsid w:val="005026B2"/>
    <w:rsid w:val="0050270C"/>
    <w:rsid w:val="00502805"/>
    <w:rsid w:val="0050387B"/>
    <w:rsid w:val="00503F0B"/>
    <w:rsid w:val="00504103"/>
    <w:rsid w:val="00505041"/>
    <w:rsid w:val="005051F3"/>
    <w:rsid w:val="005053F1"/>
    <w:rsid w:val="0050581F"/>
    <w:rsid w:val="00505F07"/>
    <w:rsid w:val="00506162"/>
    <w:rsid w:val="00507220"/>
    <w:rsid w:val="005072DF"/>
    <w:rsid w:val="0051052C"/>
    <w:rsid w:val="00510A9D"/>
    <w:rsid w:val="00510DBD"/>
    <w:rsid w:val="005116DD"/>
    <w:rsid w:val="00511B80"/>
    <w:rsid w:val="00511F07"/>
    <w:rsid w:val="00511F41"/>
    <w:rsid w:val="005123C6"/>
    <w:rsid w:val="00512DDD"/>
    <w:rsid w:val="00513350"/>
    <w:rsid w:val="0051353A"/>
    <w:rsid w:val="00513901"/>
    <w:rsid w:val="00513D50"/>
    <w:rsid w:val="00513DE0"/>
    <w:rsid w:val="00514048"/>
    <w:rsid w:val="005145AB"/>
    <w:rsid w:val="00514AF1"/>
    <w:rsid w:val="00514BA1"/>
    <w:rsid w:val="00514C17"/>
    <w:rsid w:val="00514EC6"/>
    <w:rsid w:val="00515E2D"/>
    <w:rsid w:val="00516D2A"/>
    <w:rsid w:val="00516DCA"/>
    <w:rsid w:val="0051724E"/>
    <w:rsid w:val="0051750E"/>
    <w:rsid w:val="00517CDA"/>
    <w:rsid w:val="0052102C"/>
    <w:rsid w:val="00521106"/>
    <w:rsid w:val="005215A7"/>
    <w:rsid w:val="00522328"/>
    <w:rsid w:val="005223BD"/>
    <w:rsid w:val="00522AFF"/>
    <w:rsid w:val="0052371C"/>
    <w:rsid w:val="00523CEA"/>
    <w:rsid w:val="00524962"/>
    <w:rsid w:val="00524A43"/>
    <w:rsid w:val="00524BA8"/>
    <w:rsid w:val="0052568C"/>
    <w:rsid w:val="00526B05"/>
    <w:rsid w:val="00526BB0"/>
    <w:rsid w:val="00526DBF"/>
    <w:rsid w:val="00527CB8"/>
    <w:rsid w:val="00527D72"/>
    <w:rsid w:val="00527DB6"/>
    <w:rsid w:val="00530B23"/>
    <w:rsid w:val="0053184F"/>
    <w:rsid w:val="0053199F"/>
    <w:rsid w:val="00531A43"/>
    <w:rsid w:val="00531C73"/>
    <w:rsid w:val="00531ED0"/>
    <w:rsid w:val="005323EF"/>
    <w:rsid w:val="005337BD"/>
    <w:rsid w:val="00534989"/>
    <w:rsid w:val="0053498B"/>
    <w:rsid w:val="0053533C"/>
    <w:rsid w:val="00535EDD"/>
    <w:rsid w:val="005360B4"/>
    <w:rsid w:val="0053740F"/>
    <w:rsid w:val="00537467"/>
    <w:rsid w:val="005375CF"/>
    <w:rsid w:val="005376E5"/>
    <w:rsid w:val="005379E5"/>
    <w:rsid w:val="00537DAD"/>
    <w:rsid w:val="00537E28"/>
    <w:rsid w:val="00537F0A"/>
    <w:rsid w:val="0054013C"/>
    <w:rsid w:val="005403D7"/>
    <w:rsid w:val="005406FF"/>
    <w:rsid w:val="005419E1"/>
    <w:rsid w:val="00541A3B"/>
    <w:rsid w:val="00541A69"/>
    <w:rsid w:val="0054235E"/>
    <w:rsid w:val="005425C9"/>
    <w:rsid w:val="0054291D"/>
    <w:rsid w:val="0054298D"/>
    <w:rsid w:val="00543904"/>
    <w:rsid w:val="005439E1"/>
    <w:rsid w:val="0054406D"/>
    <w:rsid w:val="0054473E"/>
    <w:rsid w:val="00545920"/>
    <w:rsid w:val="00546013"/>
    <w:rsid w:val="005464D6"/>
    <w:rsid w:val="00546577"/>
    <w:rsid w:val="00547091"/>
    <w:rsid w:val="005471CE"/>
    <w:rsid w:val="005475B0"/>
    <w:rsid w:val="00547AB6"/>
    <w:rsid w:val="0055019E"/>
    <w:rsid w:val="00550C29"/>
    <w:rsid w:val="005521A7"/>
    <w:rsid w:val="005523DC"/>
    <w:rsid w:val="00552866"/>
    <w:rsid w:val="00552D8C"/>
    <w:rsid w:val="00553B34"/>
    <w:rsid w:val="00553FBC"/>
    <w:rsid w:val="0055402B"/>
    <w:rsid w:val="005559AC"/>
    <w:rsid w:val="00555D23"/>
    <w:rsid w:val="005569BC"/>
    <w:rsid w:val="00556B60"/>
    <w:rsid w:val="00556E9C"/>
    <w:rsid w:val="00556F52"/>
    <w:rsid w:val="00557017"/>
    <w:rsid w:val="00557112"/>
    <w:rsid w:val="00557580"/>
    <w:rsid w:val="00557DB1"/>
    <w:rsid w:val="00557FE2"/>
    <w:rsid w:val="00560996"/>
    <w:rsid w:val="005618BC"/>
    <w:rsid w:val="00561D7B"/>
    <w:rsid w:val="00561E61"/>
    <w:rsid w:val="00562DF2"/>
    <w:rsid w:val="005635F9"/>
    <w:rsid w:val="00563B28"/>
    <w:rsid w:val="00563F1E"/>
    <w:rsid w:val="0056411F"/>
    <w:rsid w:val="0056419D"/>
    <w:rsid w:val="005641F8"/>
    <w:rsid w:val="0056485C"/>
    <w:rsid w:val="00564F3A"/>
    <w:rsid w:val="00565051"/>
    <w:rsid w:val="00567581"/>
    <w:rsid w:val="005675F6"/>
    <w:rsid w:val="005700D1"/>
    <w:rsid w:val="005701B5"/>
    <w:rsid w:val="0057038D"/>
    <w:rsid w:val="00570555"/>
    <w:rsid w:val="005705D4"/>
    <w:rsid w:val="00570CAC"/>
    <w:rsid w:val="00570E95"/>
    <w:rsid w:val="00571046"/>
    <w:rsid w:val="0057247C"/>
    <w:rsid w:val="00572F4C"/>
    <w:rsid w:val="00573563"/>
    <w:rsid w:val="0057516F"/>
    <w:rsid w:val="00575665"/>
    <w:rsid w:val="005757D4"/>
    <w:rsid w:val="00575EA3"/>
    <w:rsid w:val="0057646F"/>
    <w:rsid w:val="0057663A"/>
    <w:rsid w:val="00577242"/>
    <w:rsid w:val="0058142E"/>
    <w:rsid w:val="005816DD"/>
    <w:rsid w:val="005823CC"/>
    <w:rsid w:val="00582791"/>
    <w:rsid w:val="005828E0"/>
    <w:rsid w:val="00582B6A"/>
    <w:rsid w:val="00582B70"/>
    <w:rsid w:val="00582CC0"/>
    <w:rsid w:val="0058362F"/>
    <w:rsid w:val="005837C9"/>
    <w:rsid w:val="00583A12"/>
    <w:rsid w:val="00583B8B"/>
    <w:rsid w:val="00583D97"/>
    <w:rsid w:val="005840E7"/>
    <w:rsid w:val="005841A9"/>
    <w:rsid w:val="00584954"/>
    <w:rsid w:val="00584F01"/>
    <w:rsid w:val="0058505B"/>
    <w:rsid w:val="005856DA"/>
    <w:rsid w:val="00585ED5"/>
    <w:rsid w:val="0058693E"/>
    <w:rsid w:val="00586C3E"/>
    <w:rsid w:val="00587039"/>
    <w:rsid w:val="005871E2"/>
    <w:rsid w:val="005873E4"/>
    <w:rsid w:val="00587BAC"/>
    <w:rsid w:val="00587E2F"/>
    <w:rsid w:val="005918F6"/>
    <w:rsid w:val="00591A35"/>
    <w:rsid w:val="00592189"/>
    <w:rsid w:val="00593114"/>
    <w:rsid w:val="00594BEC"/>
    <w:rsid w:val="00594CBF"/>
    <w:rsid w:val="00595075"/>
    <w:rsid w:val="005951D1"/>
    <w:rsid w:val="00595857"/>
    <w:rsid w:val="00595E2D"/>
    <w:rsid w:val="00596155"/>
    <w:rsid w:val="005961AC"/>
    <w:rsid w:val="00596348"/>
    <w:rsid w:val="005963F2"/>
    <w:rsid w:val="00596B06"/>
    <w:rsid w:val="00596D27"/>
    <w:rsid w:val="00596D83"/>
    <w:rsid w:val="00596E20"/>
    <w:rsid w:val="00597015"/>
    <w:rsid w:val="005973E4"/>
    <w:rsid w:val="0059747B"/>
    <w:rsid w:val="005A0431"/>
    <w:rsid w:val="005A0A13"/>
    <w:rsid w:val="005A0EF7"/>
    <w:rsid w:val="005A10D4"/>
    <w:rsid w:val="005A221B"/>
    <w:rsid w:val="005A2800"/>
    <w:rsid w:val="005A2EA6"/>
    <w:rsid w:val="005A2F3F"/>
    <w:rsid w:val="005A2F60"/>
    <w:rsid w:val="005A3A9F"/>
    <w:rsid w:val="005A3B68"/>
    <w:rsid w:val="005A3CAB"/>
    <w:rsid w:val="005A415A"/>
    <w:rsid w:val="005A4F9B"/>
    <w:rsid w:val="005A55B8"/>
    <w:rsid w:val="005A5883"/>
    <w:rsid w:val="005A5C12"/>
    <w:rsid w:val="005A64A6"/>
    <w:rsid w:val="005A6513"/>
    <w:rsid w:val="005A6568"/>
    <w:rsid w:val="005A66B5"/>
    <w:rsid w:val="005A6B20"/>
    <w:rsid w:val="005A7841"/>
    <w:rsid w:val="005A7963"/>
    <w:rsid w:val="005A7D62"/>
    <w:rsid w:val="005B0318"/>
    <w:rsid w:val="005B14DC"/>
    <w:rsid w:val="005B1DF1"/>
    <w:rsid w:val="005B1F07"/>
    <w:rsid w:val="005B2A08"/>
    <w:rsid w:val="005B306B"/>
    <w:rsid w:val="005B31C9"/>
    <w:rsid w:val="005B3693"/>
    <w:rsid w:val="005B38F9"/>
    <w:rsid w:val="005B3CB8"/>
    <w:rsid w:val="005B3EF7"/>
    <w:rsid w:val="005B40C9"/>
    <w:rsid w:val="005B421C"/>
    <w:rsid w:val="005B468E"/>
    <w:rsid w:val="005B4B81"/>
    <w:rsid w:val="005B4EA2"/>
    <w:rsid w:val="005B5425"/>
    <w:rsid w:val="005B7EDA"/>
    <w:rsid w:val="005C03CB"/>
    <w:rsid w:val="005C0566"/>
    <w:rsid w:val="005C0895"/>
    <w:rsid w:val="005C0EF3"/>
    <w:rsid w:val="005C1313"/>
    <w:rsid w:val="005C198D"/>
    <w:rsid w:val="005C2A42"/>
    <w:rsid w:val="005C314E"/>
    <w:rsid w:val="005C3330"/>
    <w:rsid w:val="005C3545"/>
    <w:rsid w:val="005C3863"/>
    <w:rsid w:val="005C5480"/>
    <w:rsid w:val="005C564D"/>
    <w:rsid w:val="005C586A"/>
    <w:rsid w:val="005C5E33"/>
    <w:rsid w:val="005C6A02"/>
    <w:rsid w:val="005C6D6F"/>
    <w:rsid w:val="005C74E9"/>
    <w:rsid w:val="005C762F"/>
    <w:rsid w:val="005D04CC"/>
    <w:rsid w:val="005D0622"/>
    <w:rsid w:val="005D0DDA"/>
    <w:rsid w:val="005D142F"/>
    <w:rsid w:val="005D21E4"/>
    <w:rsid w:val="005D2403"/>
    <w:rsid w:val="005D3EE2"/>
    <w:rsid w:val="005D4142"/>
    <w:rsid w:val="005D439F"/>
    <w:rsid w:val="005D4514"/>
    <w:rsid w:val="005D4FF0"/>
    <w:rsid w:val="005D5138"/>
    <w:rsid w:val="005D57E2"/>
    <w:rsid w:val="005D5EE0"/>
    <w:rsid w:val="005D61C7"/>
    <w:rsid w:val="005D6990"/>
    <w:rsid w:val="005D7C23"/>
    <w:rsid w:val="005E005F"/>
    <w:rsid w:val="005E03D4"/>
    <w:rsid w:val="005E0931"/>
    <w:rsid w:val="005E09D0"/>
    <w:rsid w:val="005E0A1F"/>
    <w:rsid w:val="005E0A39"/>
    <w:rsid w:val="005E0EF2"/>
    <w:rsid w:val="005E11EC"/>
    <w:rsid w:val="005E134D"/>
    <w:rsid w:val="005E18A5"/>
    <w:rsid w:val="005E18C3"/>
    <w:rsid w:val="005E1AD9"/>
    <w:rsid w:val="005E1D22"/>
    <w:rsid w:val="005E1D7D"/>
    <w:rsid w:val="005E4C36"/>
    <w:rsid w:val="005E5113"/>
    <w:rsid w:val="005E54D5"/>
    <w:rsid w:val="005E567C"/>
    <w:rsid w:val="005E61F7"/>
    <w:rsid w:val="005E64DE"/>
    <w:rsid w:val="005E663A"/>
    <w:rsid w:val="005E66DD"/>
    <w:rsid w:val="005E6BFF"/>
    <w:rsid w:val="005E705D"/>
    <w:rsid w:val="005E79AB"/>
    <w:rsid w:val="005E7B00"/>
    <w:rsid w:val="005F19D1"/>
    <w:rsid w:val="005F19E6"/>
    <w:rsid w:val="005F1E36"/>
    <w:rsid w:val="005F2170"/>
    <w:rsid w:val="005F2631"/>
    <w:rsid w:val="005F2D01"/>
    <w:rsid w:val="005F2D8F"/>
    <w:rsid w:val="005F37D9"/>
    <w:rsid w:val="005F37FC"/>
    <w:rsid w:val="005F43FC"/>
    <w:rsid w:val="005F4E59"/>
    <w:rsid w:val="005F530A"/>
    <w:rsid w:val="005F5551"/>
    <w:rsid w:val="005F585C"/>
    <w:rsid w:val="005F589C"/>
    <w:rsid w:val="005F592C"/>
    <w:rsid w:val="005F68BE"/>
    <w:rsid w:val="005F6D6E"/>
    <w:rsid w:val="005F6EA6"/>
    <w:rsid w:val="006009CC"/>
    <w:rsid w:val="00600E3A"/>
    <w:rsid w:val="00600F21"/>
    <w:rsid w:val="0060176B"/>
    <w:rsid w:val="0060198B"/>
    <w:rsid w:val="006019DF"/>
    <w:rsid w:val="00602481"/>
    <w:rsid w:val="0060287D"/>
    <w:rsid w:val="006030F7"/>
    <w:rsid w:val="006038D6"/>
    <w:rsid w:val="00604103"/>
    <w:rsid w:val="00604108"/>
    <w:rsid w:val="0060432E"/>
    <w:rsid w:val="00604C52"/>
    <w:rsid w:val="00604D48"/>
    <w:rsid w:val="00604FE8"/>
    <w:rsid w:val="006058B3"/>
    <w:rsid w:val="006058C4"/>
    <w:rsid w:val="00606C77"/>
    <w:rsid w:val="0060719A"/>
    <w:rsid w:val="00607628"/>
    <w:rsid w:val="00607C0F"/>
    <w:rsid w:val="00610592"/>
    <w:rsid w:val="00610BA8"/>
    <w:rsid w:val="006111BA"/>
    <w:rsid w:val="006111E3"/>
    <w:rsid w:val="00611B01"/>
    <w:rsid w:val="00611B54"/>
    <w:rsid w:val="00612FEC"/>
    <w:rsid w:val="00613247"/>
    <w:rsid w:val="00613B1D"/>
    <w:rsid w:val="0061427E"/>
    <w:rsid w:val="0061469D"/>
    <w:rsid w:val="006164E2"/>
    <w:rsid w:val="00616E3B"/>
    <w:rsid w:val="00616F19"/>
    <w:rsid w:val="00617878"/>
    <w:rsid w:val="006178A5"/>
    <w:rsid w:val="00617975"/>
    <w:rsid w:val="00617C9C"/>
    <w:rsid w:val="00617D71"/>
    <w:rsid w:val="00617DE1"/>
    <w:rsid w:val="006202E7"/>
    <w:rsid w:val="00620A36"/>
    <w:rsid w:val="00620B42"/>
    <w:rsid w:val="00621184"/>
    <w:rsid w:val="00621AB8"/>
    <w:rsid w:val="00621F9B"/>
    <w:rsid w:val="006238D7"/>
    <w:rsid w:val="00623EE8"/>
    <w:rsid w:val="00624176"/>
    <w:rsid w:val="00625F28"/>
    <w:rsid w:val="006262C8"/>
    <w:rsid w:val="00626ED2"/>
    <w:rsid w:val="006272D9"/>
    <w:rsid w:val="006277B9"/>
    <w:rsid w:val="00630138"/>
    <w:rsid w:val="006306B1"/>
    <w:rsid w:val="00630CBD"/>
    <w:rsid w:val="00630F7F"/>
    <w:rsid w:val="0063196C"/>
    <w:rsid w:val="00631BEF"/>
    <w:rsid w:val="00632F50"/>
    <w:rsid w:val="006338C4"/>
    <w:rsid w:val="006346C5"/>
    <w:rsid w:val="00634BE8"/>
    <w:rsid w:val="00634C04"/>
    <w:rsid w:val="00634EC3"/>
    <w:rsid w:val="00634F04"/>
    <w:rsid w:val="00634F80"/>
    <w:rsid w:val="00636BFE"/>
    <w:rsid w:val="006371D9"/>
    <w:rsid w:val="00637491"/>
    <w:rsid w:val="00637F32"/>
    <w:rsid w:val="006401D6"/>
    <w:rsid w:val="006402DF"/>
    <w:rsid w:val="00640540"/>
    <w:rsid w:val="00640B37"/>
    <w:rsid w:val="00641483"/>
    <w:rsid w:val="006421F5"/>
    <w:rsid w:val="00642327"/>
    <w:rsid w:val="00642492"/>
    <w:rsid w:val="0064254D"/>
    <w:rsid w:val="00642805"/>
    <w:rsid w:val="006431AC"/>
    <w:rsid w:val="00643870"/>
    <w:rsid w:val="00643C5E"/>
    <w:rsid w:val="0064401A"/>
    <w:rsid w:val="00644372"/>
    <w:rsid w:val="0064549B"/>
    <w:rsid w:val="00645663"/>
    <w:rsid w:val="00650852"/>
    <w:rsid w:val="00650FD5"/>
    <w:rsid w:val="006523DC"/>
    <w:rsid w:val="006525BE"/>
    <w:rsid w:val="006529A0"/>
    <w:rsid w:val="00652E3E"/>
    <w:rsid w:val="00653AE3"/>
    <w:rsid w:val="00653C4E"/>
    <w:rsid w:val="00653EA2"/>
    <w:rsid w:val="0065407E"/>
    <w:rsid w:val="006558AF"/>
    <w:rsid w:val="0065596F"/>
    <w:rsid w:val="00656848"/>
    <w:rsid w:val="006568B6"/>
    <w:rsid w:val="00656BCD"/>
    <w:rsid w:val="00656E0B"/>
    <w:rsid w:val="006574FD"/>
    <w:rsid w:val="00657779"/>
    <w:rsid w:val="006579CC"/>
    <w:rsid w:val="00657A22"/>
    <w:rsid w:val="00662112"/>
    <w:rsid w:val="0066281E"/>
    <w:rsid w:val="00662A67"/>
    <w:rsid w:val="00663761"/>
    <w:rsid w:val="006638DA"/>
    <w:rsid w:val="00663AF6"/>
    <w:rsid w:val="00663C59"/>
    <w:rsid w:val="00664624"/>
    <w:rsid w:val="006650E0"/>
    <w:rsid w:val="00665670"/>
    <w:rsid w:val="0066620A"/>
    <w:rsid w:val="006662E3"/>
    <w:rsid w:val="00666686"/>
    <w:rsid w:val="00666836"/>
    <w:rsid w:val="00666A50"/>
    <w:rsid w:val="00666BF9"/>
    <w:rsid w:val="0066705C"/>
    <w:rsid w:val="00667DD0"/>
    <w:rsid w:val="00667FA6"/>
    <w:rsid w:val="00670C3D"/>
    <w:rsid w:val="00670D5F"/>
    <w:rsid w:val="00671D1C"/>
    <w:rsid w:val="00671D83"/>
    <w:rsid w:val="0067398A"/>
    <w:rsid w:val="00673CDE"/>
    <w:rsid w:val="00673D80"/>
    <w:rsid w:val="006747E3"/>
    <w:rsid w:val="00674E20"/>
    <w:rsid w:val="0067518A"/>
    <w:rsid w:val="00675850"/>
    <w:rsid w:val="00675FE1"/>
    <w:rsid w:val="0067610C"/>
    <w:rsid w:val="006766BE"/>
    <w:rsid w:val="00676F08"/>
    <w:rsid w:val="006770A3"/>
    <w:rsid w:val="0067726D"/>
    <w:rsid w:val="0067737B"/>
    <w:rsid w:val="00677692"/>
    <w:rsid w:val="00677EB4"/>
    <w:rsid w:val="0068008B"/>
    <w:rsid w:val="00680F5B"/>
    <w:rsid w:val="006810B5"/>
    <w:rsid w:val="00681339"/>
    <w:rsid w:val="006816A6"/>
    <w:rsid w:val="0068172C"/>
    <w:rsid w:val="00681A78"/>
    <w:rsid w:val="00681B2A"/>
    <w:rsid w:val="00682058"/>
    <w:rsid w:val="0068285B"/>
    <w:rsid w:val="00682A1F"/>
    <w:rsid w:val="00682E02"/>
    <w:rsid w:val="00683ABD"/>
    <w:rsid w:val="00683ACC"/>
    <w:rsid w:val="0068403A"/>
    <w:rsid w:val="00684796"/>
    <w:rsid w:val="006863ED"/>
    <w:rsid w:val="00687B43"/>
    <w:rsid w:val="00687D72"/>
    <w:rsid w:val="00690915"/>
    <w:rsid w:val="00692A6D"/>
    <w:rsid w:val="00692CDC"/>
    <w:rsid w:val="0069307B"/>
    <w:rsid w:val="006931DC"/>
    <w:rsid w:val="00693331"/>
    <w:rsid w:val="00693615"/>
    <w:rsid w:val="0069362F"/>
    <w:rsid w:val="00693A8D"/>
    <w:rsid w:val="00693BE6"/>
    <w:rsid w:val="00693D0D"/>
    <w:rsid w:val="006946FF"/>
    <w:rsid w:val="006949B4"/>
    <w:rsid w:val="00694BEE"/>
    <w:rsid w:val="00694D35"/>
    <w:rsid w:val="00695584"/>
    <w:rsid w:val="00695DB0"/>
    <w:rsid w:val="00695FFB"/>
    <w:rsid w:val="00697254"/>
    <w:rsid w:val="006978E9"/>
    <w:rsid w:val="00697DC5"/>
    <w:rsid w:val="006A02EC"/>
    <w:rsid w:val="006A0725"/>
    <w:rsid w:val="006A0BD0"/>
    <w:rsid w:val="006A0EEF"/>
    <w:rsid w:val="006A13FC"/>
    <w:rsid w:val="006A2072"/>
    <w:rsid w:val="006A5018"/>
    <w:rsid w:val="006A50C9"/>
    <w:rsid w:val="006A559A"/>
    <w:rsid w:val="006A5626"/>
    <w:rsid w:val="006A5657"/>
    <w:rsid w:val="006A5CE5"/>
    <w:rsid w:val="006A6008"/>
    <w:rsid w:val="006A67B9"/>
    <w:rsid w:val="006A68AB"/>
    <w:rsid w:val="006A6C42"/>
    <w:rsid w:val="006A71B0"/>
    <w:rsid w:val="006A768F"/>
    <w:rsid w:val="006B0574"/>
    <w:rsid w:val="006B0EAA"/>
    <w:rsid w:val="006B1795"/>
    <w:rsid w:val="006B17CF"/>
    <w:rsid w:val="006B22D6"/>
    <w:rsid w:val="006B42C1"/>
    <w:rsid w:val="006B4A56"/>
    <w:rsid w:val="006B4A70"/>
    <w:rsid w:val="006B52DE"/>
    <w:rsid w:val="006B57C6"/>
    <w:rsid w:val="006B648E"/>
    <w:rsid w:val="006B6594"/>
    <w:rsid w:val="006B7773"/>
    <w:rsid w:val="006B7F08"/>
    <w:rsid w:val="006C0292"/>
    <w:rsid w:val="006C073B"/>
    <w:rsid w:val="006C0AC9"/>
    <w:rsid w:val="006C1023"/>
    <w:rsid w:val="006C154B"/>
    <w:rsid w:val="006C1597"/>
    <w:rsid w:val="006C17EF"/>
    <w:rsid w:val="006C1A76"/>
    <w:rsid w:val="006C1E67"/>
    <w:rsid w:val="006C1F63"/>
    <w:rsid w:val="006C2948"/>
    <w:rsid w:val="006C2F95"/>
    <w:rsid w:val="006C358B"/>
    <w:rsid w:val="006C3597"/>
    <w:rsid w:val="006C36B4"/>
    <w:rsid w:val="006C36C5"/>
    <w:rsid w:val="006C5358"/>
    <w:rsid w:val="006C538A"/>
    <w:rsid w:val="006C5768"/>
    <w:rsid w:val="006C5840"/>
    <w:rsid w:val="006C5B24"/>
    <w:rsid w:val="006C5CC2"/>
    <w:rsid w:val="006C6466"/>
    <w:rsid w:val="006C6904"/>
    <w:rsid w:val="006C728E"/>
    <w:rsid w:val="006C7561"/>
    <w:rsid w:val="006C7ABA"/>
    <w:rsid w:val="006C7B45"/>
    <w:rsid w:val="006C7F73"/>
    <w:rsid w:val="006D1C7C"/>
    <w:rsid w:val="006D231B"/>
    <w:rsid w:val="006D2BFC"/>
    <w:rsid w:val="006D2F20"/>
    <w:rsid w:val="006D3490"/>
    <w:rsid w:val="006D3733"/>
    <w:rsid w:val="006D38A8"/>
    <w:rsid w:val="006D38CB"/>
    <w:rsid w:val="006D430D"/>
    <w:rsid w:val="006D47AB"/>
    <w:rsid w:val="006D4961"/>
    <w:rsid w:val="006D4BFA"/>
    <w:rsid w:val="006D4E4D"/>
    <w:rsid w:val="006D5490"/>
    <w:rsid w:val="006D5FFD"/>
    <w:rsid w:val="006D6665"/>
    <w:rsid w:val="006D6ACA"/>
    <w:rsid w:val="006D70DA"/>
    <w:rsid w:val="006D726F"/>
    <w:rsid w:val="006D7837"/>
    <w:rsid w:val="006D793D"/>
    <w:rsid w:val="006D7C37"/>
    <w:rsid w:val="006D7F17"/>
    <w:rsid w:val="006E0A9A"/>
    <w:rsid w:val="006E0C96"/>
    <w:rsid w:val="006E0D42"/>
    <w:rsid w:val="006E0DA3"/>
    <w:rsid w:val="006E0F78"/>
    <w:rsid w:val="006E11F4"/>
    <w:rsid w:val="006E130B"/>
    <w:rsid w:val="006E1F01"/>
    <w:rsid w:val="006E2071"/>
    <w:rsid w:val="006E2A76"/>
    <w:rsid w:val="006E2CEE"/>
    <w:rsid w:val="006E2DD0"/>
    <w:rsid w:val="006E32D1"/>
    <w:rsid w:val="006E3429"/>
    <w:rsid w:val="006E3956"/>
    <w:rsid w:val="006E4223"/>
    <w:rsid w:val="006E4833"/>
    <w:rsid w:val="006E4DD0"/>
    <w:rsid w:val="006E56AB"/>
    <w:rsid w:val="006E5AFB"/>
    <w:rsid w:val="006E5B95"/>
    <w:rsid w:val="006E5DB6"/>
    <w:rsid w:val="006E64A6"/>
    <w:rsid w:val="006E6CF7"/>
    <w:rsid w:val="006E6E56"/>
    <w:rsid w:val="006F0ACF"/>
    <w:rsid w:val="006F0C27"/>
    <w:rsid w:val="006F1137"/>
    <w:rsid w:val="006F1C4E"/>
    <w:rsid w:val="006F1D04"/>
    <w:rsid w:val="006F1F11"/>
    <w:rsid w:val="006F20CC"/>
    <w:rsid w:val="006F24E9"/>
    <w:rsid w:val="006F250E"/>
    <w:rsid w:val="006F2547"/>
    <w:rsid w:val="006F2D72"/>
    <w:rsid w:val="006F2F9A"/>
    <w:rsid w:val="006F2FE0"/>
    <w:rsid w:val="006F388E"/>
    <w:rsid w:val="006F425B"/>
    <w:rsid w:val="006F4283"/>
    <w:rsid w:val="006F436B"/>
    <w:rsid w:val="006F4560"/>
    <w:rsid w:val="006F6E73"/>
    <w:rsid w:val="006F6E76"/>
    <w:rsid w:val="006F7263"/>
    <w:rsid w:val="006F79E8"/>
    <w:rsid w:val="0070006E"/>
    <w:rsid w:val="007004F5"/>
    <w:rsid w:val="00700E6D"/>
    <w:rsid w:val="00701144"/>
    <w:rsid w:val="00701246"/>
    <w:rsid w:val="00702BB7"/>
    <w:rsid w:val="00702E8D"/>
    <w:rsid w:val="00703691"/>
    <w:rsid w:val="007039D1"/>
    <w:rsid w:val="00703B76"/>
    <w:rsid w:val="00704643"/>
    <w:rsid w:val="00704675"/>
    <w:rsid w:val="007048ED"/>
    <w:rsid w:val="00704C64"/>
    <w:rsid w:val="00705943"/>
    <w:rsid w:val="00705B6C"/>
    <w:rsid w:val="00705D03"/>
    <w:rsid w:val="00705D05"/>
    <w:rsid w:val="007061B5"/>
    <w:rsid w:val="0070675D"/>
    <w:rsid w:val="007068C2"/>
    <w:rsid w:val="007069E5"/>
    <w:rsid w:val="007069F0"/>
    <w:rsid w:val="00706B29"/>
    <w:rsid w:val="00706E1A"/>
    <w:rsid w:val="0070702A"/>
    <w:rsid w:val="00707163"/>
    <w:rsid w:val="00707B19"/>
    <w:rsid w:val="00707D1E"/>
    <w:rsid w:val="00710FBF"/>
    <w:rsid w:val="0071149C"/>
    <w:rsid w:val="00711CED"/>
    <w:rsid w:val="007123CC"/>
    <w:rsid w:val="00713750"/>
    <w:rsid w:val="00713F9F"/>
    <w:rsid w:val="007140E9"/>
    <w:rsid w:val="00714D99"/>
    <w:rsid w:val="00714DE5"/>
    <w:rsid w:val="007153E5"/>
    <w:rsid w:val="0071568F"/>
    <w:rsid w:val="007158F0"/>
    <w:rsid w:val="00715A99"/>
    <w:rsid w:val="00715E28"/>
    <w:rsid w:val="007162BE"/>
    <w:rsid w:val="0071655B"/>
    <w:rsid w:val="00716CE1"/>
    <w:rsid w:val="0071716F"/>
    <w:rsid w:val="00717619"/>
    <w:rsid w:val="00717D7E"/>
    <w:rsid w:val="00717E63"/>
    <w:rsid w:val="00717EFC"/>
    <w:rsid w:val="00720645"/>
    <w:rsid w:val="00720C7B"/>
    <w:rsid w:val="007210E4"/>
    <w:rsid w:val="00721151"/>
    <w:rsid w:val="00721523"/>
    <w:rsid w:val="00721CAA"/>
    <w:rsid w:val="00721E92"/>
    <w:rsid w:val="0072215E"/>
    <w:rsid w:val="00722402"/>
    <w:rsid w:val="00722D21"/>
    <w:rsid w:val="00723136"/>
    <w:rsid w:val="00723257"/>
    <w:rsid w:val="00723273"/>
    <w:rsid w:val="0072341A"/>
    <w:rsid w:val="00724C18"/>
    <w:rsid w:val="007260FD"/>
    <w:rsid w:val="0072630C"/>
    <w:rsid w:val="00726CCB"/>
    <w:rsid w:val="0072770C"/>
    <w:rsid w:val="00727A35"/>
    <w:rsid w:val="00730ACE"/>
    <w:rsid w:val="00731A02"/>
    <w:rsid w:val="00731CBE"/>
    <w:rsid w:val="00732352"/>
    <w:rsid w:val="0073286A"/>
    <w:rsid w:val="00732C4C"/>
    <w:rsid w:val="0073317A"/>
    <w:rsid w:val="007335DC"/>
    <w:rsid w:val="00734191"/>
    <w:rsid w:val="00734B47"/>
    <w:rsid w:val="007352CE"/>
    <w:rsid w:val="0073532C"/>
    <w:rsid w:val="007359CF"/>
    <w:rsid w:val="007366ED"/>
    <w:rsid w:val="00737D6A"/>
    <w:rsid w:val="00740E73"/>
    <w:rsid w:val="00740F2A"/>
    <w:rsid w:val="0074135A"/>
    <w:rsid w:val="00741DCA"/>
    <w:rsid w:val="00741F2C"/>
    <w:rsid w:val="007423A4"/>
    <w:rsid w:val="007428E2"/>
    <w:rsid w:val="0074290F"/>
    <w:rsid w:val="00742C7D"/>
    <w:rsid w:val="007435F3"/>
    <w:rsid w:val="00743F96"/>
    <w:rsid w:val="007442DE"/>
    <w:rsid w:val="00744747"/>
    <w:rsid w:val="0074475A"/>
    <w:rsid w:val="00744B27"/>
    <w:rsid w:val="00744C59"/>
    <w:rsid w:val="00744F71"/>
    <w:rsid w:val="007455EB"/>
    <w:rsid w:val="00746136"/>
    <w:rsid w:val="00746297"/>
    <w:rsid w:val="007468F3"/>
    <w:rsid w:val="00746A1E"/>
    <w:rsid w:val="00746D53"/>
    <w:rsid w:val="0074716A"/>
    <w:rsid w:val="00750839"/>
    <w:rsid w:val="00750D38"/>
    <w:rsid w:val="00751300"/>
    <w:rsid w:val="007514A7"/>
    <w:rsid w:val="007517CD"/>
    <w:rsid w:val="007522F0"/>
    <w:rsid w:val="00752569"/>
    <w:rsid w:val="007526CD"/>
    <w:rsid w:val="00752E17"/>
    <w:rsid w:val="00753397"/>
    <w:rsid w:val="00753818"/>
    <w:rsid w:val="00753911"/>
    <w:rsid w:val="00753BCC"/>
    <w:rsid w:val="007546B8"/>
    <w:rsid w:val="00754B04"/>
    <w:rsid w:val="00754F4A"/>
    <w:rsid w:val="0075580F"/>
    <w:rsid w:val="00755FF1"/>
    <w:rsid w:val="00756F5C"/>
    <w:rsid w:val="00757FAE"/>
    <w:rsid w:val="00760F7F"/>
    <w:rsid w:val="0076113F"/>
    <w:rsid w:val="007619D3"/>
    <w:rsid w:val="007620B0"/>
    <w:rsid w:val="007623CE"/>
    <w:rsid w:val="0076328F"/>
    <w:rsid w:val="0076369E"/>
    <w:rsid w:val="00763A84"/>
    <w:rsid w:val="00763EB4"/>
    <w:rsid w:val="007642E9"/>
    <w:rsid w:val="00764628"/>
    <w:rsid w:val="00764934"/>
    <w:rsid w:val="0076512C"/>
    <w:rsid w:val="00765802"/>
    <w:rsid w:val="007668C3"/>
    <w:rsid w:val="0076761B"/>
    <w:rsid w:val="00770615"/>
    <w:rsid w:val="00770B72"/>
    <w:rsid w:val="007715A9"/>
    <w:rsid w:val="00771793"/>
    <w:rsid w:val="00771CFB"/>
    <w:rsid w:val="007729A8"/>
    <w:rsid w:val="00772C73"/>
    <w:rsid w:val="00772F79"/>
    <w:rsid w:val="0077325E"/>
    <w:rsid w:val="00774347"/>
    <w:rsid w:val="00774E7F"/>
    <w:rsid w:val="0077531F"/>
    <w:rsid w:val="00776791"/>
    <w:rsid w:val="007773FF"/>
    <w:rsid w:val="00777515"/>
    <w:rsid w:val="00777833"/>
    <w:rsid w:val="0077795D"/>
    <w:rsid w:val="00777DA8"/>
    <w:rsid w:val="00777FE4"/>
    <w:rsid w:val="0078055C"/>
    <w:rsid w:val="0078071F"/>
    <w:rsid w:val="00780DD9"/>
    <w:rsid w:val="0078171C"/>
    <w:rsid w:val="0078190A"/>
    <w:rsid w:val="00781CC3"/>
    <w:rsid w:val="00781D76"/>
    <w:rsid w:val="007827B1"/>
    <w:rsid w:val="0078299A"/>
    <w:rsid w:val="00782B1B"/>
    <w:rsid w:val="00782BA8"/>
    <w:rsid w:val="0078301B"/>
    <w:rsid w:val="007831E5"/>
    <w:rsid w:val="0078327D"/>
    <w:rsid w:val="00783995"/>
    <w:rsid w:val="00783DD6"/>
    <w:rsid w:val="0078456C"/>
    <w:rsid w:val="00784C6B"/>
    <w:rsid w:val="00784EC2"/>
    <w:rsid w:val="007852FE"/>
    <w:rsid w:val="007856A0"/>
    <w:rsid w:val="00785C1A"/>
    <w:rsid w:val="00786495"/>
    <w:rsid w:val="00786A25"/>
    <w:rsid w:val="00786A5F"/>
    <w:rsid w:val="00786BAB"/>
    <w:rsid w:val="00786FF0"/>
    <w:rsid w:val="0079042D"/>
    <w:rsid w:val="007907FF"/>
    <w:rsid w:val="00790F5F"/>
    <w:rsid w:val="00791527"/>
    <w:rsid w:val="00791C3A"/>
    <w:rsid w:val="00792303"/>
    <w:rsid w:val="00792527"/>
    <w:rsid w:val="00792971"/>
    <w:rsid w:val="0079344B"/>
    <w:rsid w:val="00793A47"/>
    <w:rsid w:val="00793A88"/>
    <w:rsid w:val="00793B10"/>
    <w:rsid w:val="007949CA"/>
    <w:rsid w:val="00794AFD"/>
    <w:rsid w:val="00795121"/>
    <w:rsid w:val="007958F9"/>
    <w:rsid w:val="00795920"/>
    <w:rsid w:val="007961C7"/>
    <w:rsid w:val="00796BFB"/>
    <w:rsid w:val="00796C21"/>
    <w:rsid w:val="00796D65"/>
    <w:rsid w:val="0079718B"/>
    <w:rsid w:val="007A014D"/>
    <w:rsid w:val="007A0424"/>
    <w:rsid w:val="007A0626"/>
    <w:rsid w:val="007A07B8"/>
    <w:rsid w:val="007A07F1"/>
    <w:rsid w:val="007A08A6"/>
    <w:rsid w:val="007A0AF6"/>
    <w:rsid w:val="007A0C4F"/>
    <w:rsid w:val="007A0FFD"/>
    <w:rsid w:val="007A1D77"/>
    <w:rsid w:val="007A204B"/>
    <w:rsid w:val="007A292F"/>
    <w:rsid w:val="007A30CF"/>
    <w:rsid w:val="007A3229"/>
    <w:rsid w:val="007A36CD"/>
    <w:rsid w:val="007A37BC"/>
    <w:rsid w:val="007A3AD9"/>
    <w:rsid w:val="007A4DE1"/>
    <w:rsid w:val="007A5991"/>
    <w:rsid w:val="007A609A"/>
    <w:rsid w:val="007A6429"/>
    <w:rsid w:val="007A7472"/>
    <w:rsid w:val="007A74DC"/>
    <w:rsid w:val="007A75F5"/>
    <w:rsid w:val="007A766B"/>
    <w:rsid w:val="007A779E"/>
    <w:rsid w:val="007A7A28"/>
    <w:rsid w:val="007A7E0B"/>
    <w:rsid w:val="007B02EB"/>
    <w:rsid w:val="007B07E9"/>
    <w:rsid w:val="007B0867"/>
    <w:rsid w:val="007B0D42"/>
    <w:rsid w:val="007B14CF"/>
    <w:rsid w:val="007B1A5E"/>
    <w:rsid w:val="007B1E02"/>
    <w:rsid w:val="007B1F44"/>
    <w:rsid w:val="007B1F8D"/>
    <w:rsid w:val="007B2307"/>
    <w:rsid w:val="007B2F96"/>
    <w:rsid w:val="007B33DB"/>
    <w:rsid w:val="007B3A3B"/>
    <w:rsid w:val="007B4A08"/>
    <w:rsid w:val="007B4B0F"/>
    <w:rsid w:val="007B5969"/>
    <w:rsid w:val="007B6BB9"/>
    <w:rsid w:val="007B7983"/>
    <w:rsid w:val="007B7E5E"/>
    <w:rsid w:val="007C03DB"/>
    <w:rsid w:val="007C092D"/>
    <w:rsid w:val="007C173C"/>
    <w:rsid w:val="007C1769"/>
    <w:rsid w:val="007C1B4A"/>
    <w:rsid w:val="007C1BE1"/>
    <w:rsid w:val="007C1E5E"/>
    <w:rsid w:val="007C20BB"/>
    <w:rsid w:val="007C2330"/>
    <w:rsid w:val="007C26BE"/>
    <w:rsid w:val="007C2D10"/>
    <w:rsid w:val="007C3171"/>
    <w:rsid w:val="007C3877"/>
    <w:rsid w:val="007C3DC2"/>
    <w:rsid w:val="007C4134"/>
    <w:rsid w:val="007C48C4"/>
    <w:rsid w:val="007C54BC"/>
    <w:rsid w:val="007C5635"/>
    <w:rsid w:val="007C57B0"/>
    <w:rsid w:val="007C63F3"/>
    <w:rsid w:val="007C642A"/>
    <w:rsid w:val="007C6557"/>
    <w:rsid w:val="007C67F7"/>
    <w:rsid w:val="007C79BB"/>
    <w:rsid w:val="007C7C2B"/>
    <w:rsid w:val="007D0A4D"/>
    <w:rsid w:val="007D0E5F"/>
    <w:rsid w:val="007D34D0"/>
    <w:rsid w:val="007D3AA9"/>
    <w:rsid w:val="007D3B1E"/>
    <w:rsid w:val="007D45C3"/>
    <w:rsid w:val="007D46F6"/>
    <w:rsid w:val="007D49B1"/>
    <w:rsid w:val="007D4F73"/>
    <w:rsid w:val="007D5240"/>
    <w:rsid w:val="007D539B"/>
    <w:rsid w:val="007D57CD"/>
    <w:rsid w:val="007D5A29"/>
    <w:rsid w:val="007D6E33"/>
    <w:rsid w:val="007D7209"/>
    <w:rsid w:val="007D75DE"/>
    <w:rsid w:val="007D7FC7"/>
    <w:rsid w:val="007E0377"/>
    <w:rsid w:val="007E077A"/>
    <w:rsid w:val="007E07F8"/>
    <w:rsid w:val="007E1856"/>
    <w:rsid w:val="007E1FDD"/>
    <w:rsid w:val="007E20C8"/>
    <w:rsid w:val="007E2616"/>
    <w:rsid w:val="007E28F8"/>
    <w:rsid w:val="007E2912"/>
    <w:rsid w:val="007E2A1E"/>
    <w:rsid w:val="007E352C"/>
    <w:rsid w:val="007E3EBD"/>
    <w:rsid w:val="007E4363"/>
    <w:rsid w:val="007E436B"/>
    <w:rsid w:val="007E4611"/>
    <w:rsid w:val="007E4BBF"/>
    <w:rsid w:val="007E4C79"/>
    <w:rsid w:val="007E528B"/>
    <w:rsid w:val="007E7D40"/>
    <w:rsid w:val="007E7F62"/>
    <w:rsid w:val="007F022D"/>
    <w:rsid w:val="007F0971"/>
    <w:rsid w:val="007F0B7F"/>
    <w:rsid w:val="007F0C28"/>
    <w:rsid w:val="007F0C62"/>
    <w:rsid w:val="007F17C9"/>
    <w:rsid w:val="007F19FD"/>
    <w:rsid w:val="007F29A2"/>
    <w:rsid w:val="007F2F97"/>
    <w:rsid w:val="007F30D5"/>
    <w:rsid w:val="007F449E"/>
    <w:rsid w:val="007F4590"/>
    <w:rsid w:val="007F5E60"/>
    <w:rsid w:val="007F61B2"/>
    <w:rsid w:val="007F664F"/>
    <w:rsid w:val="007F67BE"/>
    <w:rsid w:val="007F6D6C"/>
    <w:rsid w:val="007F72FA"/>
    <w:rsid w:val="007F7A07"/>
    <w:rsid w:val="008001CB"/>
    <w:rsid w:val="008005CD"/>
    <w:rsid w:val="00800AFB"/>
    <w:rsid w:val="008019B7"/>
    <w:rsid w:val="00801BF2"/>
    <w:rsid w:val="0080295D"/>
    <w:rsid w:val="008029FD"/>
    <w:rsid w:val="0080325D"/>
    <w:rsid w:val="0080337E"/>
    <w:rsid w:val="00803460"/>
    <w:rsid w:val="008040FD"/>
    <w:rsid w:val="008046DF"/>
    <w:rsid w:val="00804B6B"/>
    <w:rsid w:val="0080504E"/>
    <w:rsid w:val="00805209"/>
    <w:rsid w:val="0080559A"/>
    <w:rsid w:val="008056AF"/>
    <w:rsid w:val="00805AC4"/>
    <w:rsid w:val="008061BE"/>
    <w:rsid w:val="0080643D"/>
    <w:rsid w:val="00806804"/>
    <w:rsid w:val="0080682A"/>
    <w:rsid w:val="00806FBC"/>
    <w:rsid w:val="008070C3"/>
    <w:rsid w:val="008073F5"/>
    <w:rsid w:val="008100E8"/>
    <w:rsid w:val="00810588"/>
    <w:rsid w:val="0081093B"/>
    <w:rsid w:val="0081177A"/>
    <w:rsid w:val="00812AE7"/>
    <w:rsid w:val="00813119"/>
    <w:rsid w:val="0081334F"/>
    <w:rsid w:val="0081338E"/>
    <w:rsid w:val="00813595"/>
    <w:rsid w:val="00813D1B"/>
    <w:rsid w:val="0081475A"/>
    <w:rsid w:val="0081478B"/>
    <w:rsid w:val="00814864"/>
    <w:rsid w:val="00814918"/>
    <w:rsid w:val="008155F8"/>
    <w:rsid w:val="008159DC"/>
    <w:rsid w:val="00815A73"/>
    <w:rsid w:val="008164C0"/>
    <w:rsid w:val="00816C98"/>
    <w:rsid w:val="00817998"/>
    <w:rsid w:val="008179BB"/>
    <w:rsid w:val="00817E02"/>
    <w:rsid w:val="0082018B"/>
    <w:rsid w:val="008201A6"/>
    <w:rsid w:val="008204C0"/>
    <w:rsid w:val="008207FD"/>
    <w:rsid w:val="00820DED"/>
    <w:rsid w:val="00820E5B"/>
    <w:rsid w:val="008213EF"/>
    <w:rsid w:val="008217B2"/>
    <w:rsid w:val="00821B17"/>
    <w:rsid w:val="00822340"/>
    <w:rsid w:val="008224B6"/>
    <w:rsid w:val="00822647"/>
    <w:rsid w:val="0082271E"/>
    <w:rsid w:val="00822A22"/>
    <w:rsid w:val="00824331"/>
    <w:rsid w:val="00824AB5"/>
    <w:rsid w:val="00824AD1"/>
    <w:rsid w:val="0082581E"/>
    <w:rsid w:val="008263F4"/>
    <w:rsid w:val="0082644E"/>
    <w:rsid w:val="00827315"/>
    <w:rsid w:val="00827764"/>
    <w:rsid w:val="008279FF"/>
    <w:rsid w:val="00827B6B"/>
    <w:rsid w:val="00827E8B"/>
    <w:rsid w:val="00827FC4"/>
    <w:rsid w:val="00831378"/>
    <w:rsid w:val="008313AA"/>
    <w:rsid w:val="008314E9"/>
    <w:rsid w:val="00831F8F"/>
    <w:rsid w:val="00832BFA"/>
    <w:rsid w:val="008337EC"/>
    <w:rsid w:val="008343E0"/>
    <w:rsid w:val="00834633"/>
    <w:rsid w:val="0083475A"/>
    <w:rsid w:val="008348DB"/>
    <w:rsid w:val="008348F4"/>
    <w:rsid w:val="00834F0A"/>
    <w:rsid w:val="00835E4A"/>
    <w:rsid w:val="00836191"/>
    <w:rsid w:val="008367FD"/>
    <w:rsid w:val="00836A68"/>
    <w:rsid w:val="00837213"/>
    <w:rsid w:val="008374A3"/>
    <w:rsid w:val="008377C9"/>
    <w:rsid w:val="008379B9"/>
    <w:rsid w:val="00837C54"/>
    <w:rsid w:val="00837D4A"/>
    <w:rsid w:val="00837E10"/>
    <w:rsid w:val="00837E20"/>
    <w:rsid w:val="00840A59"/>
    <w:rsid w:val="00841BFA"/>
    <w:rsid w:val="00842143"/>
    <w:rsid w:val="00842447"/>
    <w:rsid w:val="00842A45"/>
    <w:rsid w:val="00843091"/>
    <w:rsid w:val="00843179"/>
    <w:rsid w:val="00843F3A"/>
    <w:rsid w:val="008441E4"/>
    <w:rsid w:val="008449A5"/>
    <w:rsid w:val="00845DA5"/>
    <w:rsid w:val="00845F2B"/>
    <w:rsid w:val="008461F2"/>
    <w:rsid w:val="00846375"/>
    <w:rsid w:val="008465EC"/>
    <w:rsid w:val="0084684A"/>
    <w:rsid w:val="00846BBE"/>
    <w:rsid w:val="00847485"/>
    <w:rsid w:val="00847C07"/>
    <w:rsid w:val="008501B3"/>
    <w:rsid w:val="0085041A"/>
    <w:rsid w:val="00850C1A"/>
    <w:rsid w:val="0085182E"/>
    <w:rsid w:val="00851AB3"/>
    <w:rsid w:val="008528D4"/>
    <w:rsid w:val="00853112"/>
    <w:rsid w:val="00853A23"/>
    <w:rsid w:val="00853E58"/>
    <w:rsid w:val="00853FD4"/>
    <w:rsid w:val="00854308"/>
    <w:rsid w:val="0085483E"/>
    <w:rsid w:val="00855206"/>
    <w:rsid w:val="00855795"/>
    <w:rsid w:val="00855FD1"/>
    <w:rsid w:val="00856468"/>
    <w:rsid w:val="00856A2F"/>
    <w:rsid w:val="00856BEB"/>
    <w:rsid w:val="00857387"/>
    <w:rsid w:val="008576C7"/>
    <w:rsid w:val="00857EAA"/>
    <w:rsid w:val="00860A89"/>
    <w:rsid w:val="00860BA0"/>
    <w:rsid w:val="00860D23"/>
    <w:rsid w:val="00860E6F"/>
    <w:rsid w:val="008613B4"/>
    <w:rsid w:val="00861AB8"/>
    <w:rsid w:val="00861BCA"/>
    <w:rsid w:val="00861E65"/>
    <w:rsid w:val="0086292A"/>
    <w:rsid w:val="008631BE"/>
    <w:rsid w:val="00863232"/>
    <w:rsid w:val="00863724"/>
    <w:rsid w:val="008638AE"/>
    <w:rsid w:val="00863C9B"/>
    <w:rsid w:val="00864BCD"/>
    <w:rsid w:val="00864EBB"/>
    <w:rsid w:val="00866B5D"/>
    <w:rsid w:val="008673DE"/>
    <w:rsid w:val="00867D8C"/>
    <w:rsid w:val="00867F31"/>
    <w:rsid w:val="0087009C"/>
    <w:rsid w:val="00870176"/>
    <w:rsid w:val="0087069C"/>
    <w:rsid w:val="00870728"/>
    <w:rsid w:val="0087080F"/>
    <w:rsid w:val="00870F46"/>
    <w:rsid w:val="00871190"/>
    <w:rsid w:val="008712A6"/>
    <w:rsid w:val="008716E5"/>
    <w:rsid w:val="00871E02"/>
    <w:rsid w:val="008724A3"/>
    <w:rsid w:val="00872E91"/>
    <w:rsid w:val="00873025"/>
    <w:rsid w:val="00873CE7"/>
    <w:rsid w:val="00873D22"/>
    <w:rsid w:val="00873F52"/>
    <w:rsid w:val="00874267"/>
    <w:rsid w:val="0087442F"/>
    <w:rsid w:val="00874601"/>
    <w:rsid w:val="00874882"/>
    <w:rsid w:val="00874AA3"/>
    <w:rsid w:val="008765CE"/>
    <w:rsid w:val="00877257"/>
    <w:rsid w:val="008804B9"/>
    <w:rsid w:val="008807CE"/>
    <w:rsid w:val="00880811"/>
    <w:rsid w:val="00880ABB"/>
    <w:rsid w:val="00880FFC"/>
    <w:rsid w:val="00881CDB"/>
    <w:rsid w:val="00881F31"/>
    <w:rsid w:val="00882A90"/>
    <w:rsid w:val="00882C6E"/>
    <w:rsid w:val="00882C7A"/>
    <w:rsid w:val="008830C8"/>
    <w:rsid w:val="008839CB"/>
    <w:rsid w:val="00883F66"/>
    <w:rsid w:val="008854A2"/>
    <w:rsid w:val="00885A44"/>
    <w:rsid w:val="00885B82"/>
    <w:rsid w:val="00885E60"/>
    <w:rsid w:val="008866CF"/>
    <w:rsid w:val="00886759"/>
    <w:rsid w:val="00886FAA"/>
    <w:rsid w:val="0088702F"/>
    <w:rsid w:val="008874AA"/>
    <w:rsid w:val="008901BD"/>
    <w:rsid w:val="00890257"/>
    <w:rsid w:val="00890B49"/>
    <w:rsid w:val="00890ED8"/>
    <w:rsid w:val="00891045"/>
    <w:rsid w:val="008910F7"/>
    <w:rsid w:val="0089113B"/>
    <w:rsid w:val="008912ED"/>
    <w:rsid w:val="00891897"/>
    <w:rsid w:val="00891FCB"/>
    <w:rsid w:val="0089220B"/>
    <w:rsid w:val="008928C4"/>
    <w:rsid w:val="008937BE"/>
    <w:rsid w:val="0089419D"/>
    <w:rsid w:val="008941CD"/>
    <w:rsid w:val="00894DDE"/>
    <w:rsid w:val="00894E2B"/>
    <w:rsid w:val="008957B5"/>
    <w:rsid w:val="00895C6E"/>
    <w:rsid w:val="00895E9D"/>
    <w:rsid w:val="00896AC5"/>
    <w:rsid w:val="00896CDE"/>
    <w:rsid w:val="00897B46"/>
    <w:rsid w:val="008A053E"/>
    <w:rsid w:val="008A07B0"/>
    <w:rsid w:val="008A1D47"/>
    <w:rsid w:val="008A2139"/>
    <w:rsid w:val="008A23E1"/>
    <w:rsid w:val="008A2EC0"/>
    <w:rsid w:val="008A31D3"/>
    <w:rsid w:val="008A31F5"/>
    <w:rsid w:val="008A477E"/>
    <w:rsid w:val="008A5314"/>
    <w:rsid w:val="008A5F7F"/>
    <w:rsid w:val="008A605F"/>
    <w:rsid w:val="008A654B"/>
    <w:rsid w:val="008A6ADE"/>
    <w:rsid w:val="008A7008"/>
    <w:rsid w:val="008A7B43"/>
    <w:rsid w:val="008A7D5F"/>
    <w:rsid w:val="008B0A61"/>
    <w:rsid w:val="008B0E81"/>
    <w:rsid w:val="008B13D0"/>
    <w:rsid w:val="008B1500"/>
    <w:rsid w:val="008B1BFD"/>
    <w:rsid w:val="008B1E68"/>
    <w:rsid w:val="008B2591"/>
    <w:rsid w:val="008B328E"/>
    <w:rsid w:val="008B39B1"/>
    <w:rsid w:val="008B3A16"/>
    <w:rsid w:val="008B3E44"/>
    <w:rsid w:val="008B434D"/>
    <w:rsid w:val="008B4A82"/>
    <w:rsid w:val="008B59F8"/>
    <w:rsid w:val="008B5E1E"/>
    <w:rsid w:val="008B6143"/>
    <w:rsid w:val="008B630A"/>
    <w:rsid w:val="008B68F3"/>
    <w:rsid w:val="008B6D30"/>
    <w:rsid w:val="008B6E75"/>
    <w:rsid w:val="008C000B"/>
    <w:rsid w:val="008C073A"/>
    <w:rsid w:val="008C081B"/>
    <w:rsid w:val="008C0E17"/>
    <w:rsid w:val="008C17CE"/>
    <w:rsid w:val="008C268A"/>
    <w:rsid w:val="008C2EA4"/>
    <w:rsid w:val="008C3034"/>
    <w:rsid w:val="008C389E"/>
    <w:rsid w:val="008C4FA2"/>
    <w:rsid w:val="008C559B"/>
    <w:rsid w:val="008C5A49"/>
    <w:rsid w:val="008C5FB0"/>
    <w:rsid w:val="008C60C2"/>
    <w:rsid w:val="008C61E3"/>
    <w:rsid w:val="008C7197"/>
    <w:rsid w:val="008C7304"/>
    <w:rsid w:val="008C76C2"/>
    <w:rsid w:val="008C7BE8"/>
    <w:rsid w:val="008C7C8E"/>
    <w:rsid w:val="008C7E34"/>
    <w:rsid w:val="008D003F"/>
    <w:rsid w:val="008D0059"/>
    <w:rsid w:val="008D0FEC"/>
    <w:rsid w:val="008D1C0F"/>
    <w:rsid w:val="008D2841"/>
    <w:rsid w:val="008D2851"/>
    <w:rsid w:val="008D361C"/>
    <w:rsid w:val="008D3EFD"/>
    <w:rsid w:val="008D41ED"/>
    <w:rsid w:val="008D47AE"/>
    <w:rsid w:val="008D617F"/>
    <w:rsid w:val="008D6B7B"/>
    <w:rsid w:val="008D70B7"/>
    <w:rsid w:val="008D70C1"/>
    <w:rsid w:val="008E055E"/>
    <w:rsid w:val="008E1885"/>
    <w:rsid w:val="008E188D"/>
    <w:rsid w:val="008E1914"/>
    <w:rsid w:val="008E1972"/>
    <w:rsid w:val="008E1B4F"/>
    <w:rsid w:val="008E208E"/>
    <w:rsid w:val="008E2A65"/>
    <w:rsid w:val="008E39AC"/>
    <w:rsid w:val="008E3BC7"/>
    <w:rsid w:val="008E3CF4"/>
    <w:rsid w:val="008E481F"/>
    <w:rsid w:val="008E4E91"/>
    <w:rsid w:val="008E521D"/>
    <w:rsid w:val="008E5AD8"/>
    <w:rsid w:val="008E61F2"/>
    <w:rsid w:val="008E6559"/>
    <w:rsid w:val="008E678D"/>
    <w:rsid w:val="008E69E3"/>
    <w:rsid w:val="008F001A"/>
    <w:rsid w:val="008F0357"/>
    <w:rsid w:val="008F06A9"/>
    <w:rsid w:val="008F18D2"/>
    <w:rsid w:val="008F34A9"/>
    <w:rsid w:val="008F3F88"/>
    <w:rsid w:val="008F438C"/>
    <w:rsid w:val="008F4CA4"/>
    <w:rsid w:val="008F4DC0"/>
    <w:rsid w:val="008F562D"/>
    <w:rsid w:val="008F57EE"/>
    <w:rsid w:val="008F59D7"/>
    <w:rsid w:val="008F5E29"/>
    <w:rsid w:val="008F61C2"/>
    <w:rsid w:val="008F6BB6"/>
    <w:rsid w:val="008F6E56"/>
    <w:rsid w:val="008F7DA0"/>
    <w:rsid w:val="009002E9"/>
    <w:rsid w:val="0090032F"/>
    <w:rsid w:val="00900358"/>
    <w:rsid w:val="00900407"/>
    <w:rsid w:val="00900A73"/>
    <w:rsid w:val="00901762"/>
    <w:rsid w:val="00901FEE"/>
    <w:rsid w:val="00902456"/>
    <w:rsid w:val="0090265D"/>
    <w:rsid w:val="00902A18"/>
    <w:rsid w:val="00902F6B"/>
    <w:rsid w:val="00903072"/>
    <w:rsid w:val="009055DC"/>
    <w:rsid w:val="00905F24"/>
    <w:rsid w:val="009063EA"/>
    <w:rsid w:val="009070AA"/>
    <w:rsid w:val="00907957"/>
    <w:rsid w:val="00907961"/>
    <w:rsid w:val="00907B6C"/>
    <w:rsid w:val="00910599"/>
    <w:rsid w:val="0091063C"/>
    <w:rsid w:val="009106EC"/>
    <w:rsid w:val="00910908"/>
    <w:rsid w:val="0091103A"/>
    <w:rsid w:val="00911353"/>
    <w:rsid w:val="009116A9"/>
    <w:rsid w:val="00912331"/>
    <w:rsid w:val="0091241A"/>
    <w:rsid w:val="00912C82"/>
    <w:rsid w:val="00913422"/>
    <w:rsid w:val="00913BC0"/>
    <w:rsid w:val="00913C0C"/>
    <w:rsid w:val="00913F20"/>
    <w:rsid w:val="009141DE"/>
    <w:rsid w:val="00914ED6"/>
    <w:rsid w:val="00915100"/>
    <w:rsid w:val="00915113"/>
    <w:rsid w:val="009156EB"/>
    <w:rsid w:val="00915751"/>
    <w:rsid w:val="00915A6C"/>
    <w:rsid w:val="0091615B"/>
    <w:rsid w:val="00916BBC"/>
    <w:rsid w:val="00917271"/>
    <w:rsid w:val="00917483"/>
    <w:rsid w:val="00917CEE"/>
    <w:rsid w:val="00920118"/>
    <w:rsid w:val="00921384"/>
    <w:rsid w:val="00921728"/>
    <w:rsid w:val="00922BF4"/>
    <w:rsid w:val="00923596"/>
    <w:rsid w:val="00923D6F"/>
    <w:rsid w:val="0092462D"/>
    <w:rsid w:val="00925373"/>
    <w:rsid w:val="0092571B"/>
    <w:rsid w:val="00925C0C"/>
    <w:rsid w:val="00925CCD"/>
    <w:rsid w:val="00926C9B"/>
    <w:rsid w:val="00926CA5"/>
    <w:rsid w:val="00926E15"/>
    <w:rsid w:val="009272F2"/>
    <w:rsid w:val="00927954"/>
    <w:rsid w:val="009301E9"/>
    <w:rsid w:val="0093168D"/>
    <w:rsid w:val="00931C08"/>
    <w:rsid w:val="00931FAA"/>
    <w:rsid w:val="00932AD6"/>
    <w:rsid w:val="00932E59"/>
    <w:rsid w:val="009334F4"/>
    <w:rsid w:val="00933BEB"/>
    <w:rsid w:val="00934EB3"/>
    <w:rsid w:val="009354F7"/>
    <w:rsid w:val="00935AFD"/>
    <w:rsid w:val="00935C07"/>
    <w:rsid w:val="009362FF"/>
    <w:rsid w:val="009363BB"/>
    <w:rsid w:val="00936918"/>
    <w:rsid w:val="00937D58"/>
    <w:rsid w:val="009403EA"/>
    <w:rsid w:val="009407BD"/>
    <w:rsid w:val="00940E51"/>
    <w:rsid w:val="00942A46"/>
    <w:rsid w:val="00943208"/>
    <w:rsid w:val="00943216"/>
    <w:rsid w:val="009434A3"/>
    <w:rsid w:val="009434B5"/>
    <w:rsid w:val="00944276"/>
    <w:rsid w:val="00944564"/>
    <w:rsid w:val="0094468D"/>
    <w:rsid w:val="0094498A"/>
    <w:rsid w:val="009449CB"/>
    <w:rsid w:val="009454DD"/>
    <w:rsid w:val="009465AC"/>
    <w:rsid w:val="009468E4"/>
    <w:rsid w:val="00946A18"/>
    <w:rsid w:val="00946E27"/>
    <w:rsid w:val="00947326"/>
    <w:rsid w:val="00947BBB"/>
    <w:rsid w:val="00947EC8"/>
    <w:rsid w:val="0095082F"/>
    <w:rsid w:val="00950F3D"/>
    <w:rsid w:val="00951354"/>
    <w:rsid w:val="00951421"/>
    <w:rsid w:val="009514D8"/>
    <w:rsid w:val="009517EF"/>
    <w:rsid w:val="00951B26"/>
    <w:rsid w:val="00951E52"/>
    <w:rsid w:val="0095212E"/>
    <w:rsid w:val="00952339"/>
    <w:rsid w:val="009524BA"/>
    <w:rsid w:val="009526AA"/>
    <w:rsid w:val="00952946"/>
    <w:rsid w:val="009529E2"/>
    <w:rsid w:val="00952A02"/>
    <w:rsid w:val="00953222"/>
    <w:rsid w:val="00953AD6"/>
    <w:rsid w:val="00953C44"/>
    <w:rsid w:val="00954148"/>
    <w:rsid w:val="009543B4"/>
    <w:rsid w:val="0095445E"/>
    <w:rsid w:val="00954471"/>
    <w:rsid w:val="00954684"/>
    <w:rsid w:val="00955AC5"/>
    <w:rsid w:val="009566D6"/>
    <w:rsid w:val="00957783"/>
    <w:rsid w:val="009577E7"/>
    <w:rsid w:val="00957CC7"/>
    <w:rsid w:val="00961195"/>
    <w:rsid w:val="0096183C"/>
    <w:rsid w:val="00961873"/>
    <w:rsid w:val="00961D14"/>
    <w:rsid w:val="00961DB6"/>
    <w:rsid w:val="00962260"/>
    <w:rsid w:val="009622CC"/>
    <w:rsid w:val="009623D7"/>
    <w:rsid w:val="00962556"/>
    <w:rsid w:val="009625A3"/>
    <w:rsid w:val="00962D98"/>
    <w:rsid w:val="009635AD"/>
    <w:rsid w:val="00963A5A"/>
    <w:rsid w:val="00963C95"/>
    <w:rsid w:val="00963EC0"/>
    <w:rsid w:val="00963F45"/>
    <w:rsid w:val="00963F68"/>
    <w:rsid w:val="00964116"/>
    <w:rsid w:val="00964D73"/>
    <w:rsid w:val="00965213"/>
    <w:rsid w:val="009653C5"/>
    <w:rsid w:val="00965597"/>
    <w:rsid w:val="009655A1"/>
    <w:rsid w:val="00965909"/>
    <w:rsid w:val="00965BD3"/>
    <w:rsid w:val="00965E33"/>
    <w:rsid w:val="00965EE5"/>
    <w:rsid w:val="00966093"/>
    <w:rsid w:val="00966372"/>
    <w:rsid w:val="00966BF3"/>
    <w:rsid w:val="009703F1"/>
    <w:rsid w:val="0097042B"/>
    <w:rsid w:val="00970663"/>
    <w:rsid w:val="00970905"/>
    <w:rsid w:val="00971E5A"/>
    <w:rsid w:val="009723A4"/>
    <w:rsid w:val="0097267D"/>
    <w:rsid w:val="0097274F"/>
    <w:rsid w:val="00973BE7"/>
    <w:rsid w:val="00973D35"/>
    <w:rsid w:val="00973EEC"/>
    <w:rsid w:val="009745B4"/>
    <w:rsid w:val="00975991"/>
    <w:rsid w:val="00975A7B"/>
    <w:rsid w:val="0097646F"/>
    <w:rsid w:val="0097696D"/>
    <w:rsid w:val="00976980"/>
    <w:rsid w:val="009775D8"/>
    <w:rsid w:val="00977E79"/>
    <w:rsid w:val="00980AD3"/>
    <w:rsid w:val="00981228"/>
    <w:rsid w:val="00981AAB"/>
    <w:rsid w:val="009825D7"/>
    <w:rsid w:val="009829DC"/>
    <w:rsid w:val="00982D67"/>
    <w:rsid w:val="00982F29"/>
    <w:rsid w:val="0098372E"/>
    <w:rsid w:val="009837F3"/>
    <w:rsid w:val="00983C7F"/>
    <w:rsid w:val="00984563"/>
    <w:rsid w:val="009846AC"/>
    <w:rsid w:val="00984A2E"/>
    <w:rsid w:val="00984C33"/>
    <w:rsid w:val="00984E87"/>
    <w:rsid w:val="009858AE"/>
    <w:rsid w:val="00985DA2"/>
    <w:rsid w:val="00986570"/>
    <w:rsid w:val="0098672F"/>
    <w:rsid w:val="00986F8E"/>
    <w:rsid w:val="00987196"/>
    <w:rsid w:val="0099061C"/>
    <w:rsid w:val="00990FEE"/>
    <w:rsid w:val="009918B4"/>
    <w:rsid w:val="00992147"/>
    <w:rsid w:val="00992561"/>
    <w:rsid w:val="00992DDC"/>
    <w:rsid w:val="00993345"/>
    <w:rsid w:val="00993730"/>
    <w:rsid w:val="009938C5"/>
    <w:rsid w:val="00993955"/>
    <w:rsid w:val="00993BB0"/>
    <w:rsid w:val="00993C95"/>
    <w:rsid w:val="00993E3E"/>
    <w:rsid w:val="00993F5C"/>
    <w:rsid w:val="009942E9"/>
    <w:rsid w:val="00994916"/>
    <w:rsid w:val="00994C7D"/>
    <w:rsid w:val="0099576E"/>
    <w:rsid w:val="00995D06"/>
    <w:rsid w:val="009965D6"/>
    <w:rsid w:val="00996633"/>
    <w:rsid w:val="00997076"/>
    <w:rsid w:val="00997153"/>
    <w:rsid w:val="00997849"/>
    <w:rsid w:val="009A03FB"/>
    <w:rsid w:val="009A0717"/>
    <w:rsid w:val="009A0A1C"/>
    <w:rsid w:val="009A13D3"/>
    <w:rsid w:val="009A201A"/>
    <w:rsid w:val="009A2537"/>
    <w:rsid w:val="009A3109"/>
    <w:rsid w:val="009A32E1"/>
    <w:rsid w:val="009A369F"/>
    <w:rsid w:val="009A3B85"/>
    <w:rsid w:val="009A3FC2"/>
    <w:rsid w:val="009A4D06"/>
    <w:rsid w:val="009A4D7B"/>
    <w:rsid w:val="009A5C30"/>
    <w:rsid w:val="009A6136"/>
    <w:rsid w:val="009A61FC"/>
    <w:rsid w:val="009A67A1"/>
    <w:rsid w:val="009A6BC0"/>
    <w:rsid w:val="009A73B8"/>
    <w:rsid w:val="009A7467"/>
    <w:rsid w:val="009B0570"/>
    <w:rsid w:val="009B0937"/>
    <w:rsid w:val="009B09E8"/>
    <w:rsid w:val="009B09F9"/>
    <w:rsid w:val="009B0CBB"/>
    <w:rsid w:val="009B2877"/>
    <w:rsid w:val="009B2AF9"/>
    <w:rsid w:val="009B3BC8"/>
    <w:rsid w:val="009B4240"/>
    <w:rsid w:val="009B4764"/>
    <w:rsid w:val="009B4B5F"/>
    <w:rsid w:val="009B5493"/>
    <w:rsid w:val="009B5B2D"/>
    <w:rsid w:val="009B5BEF"/>
    <w:rsid w:val="009B5E57"/>
    <w:rsid w:val="009B63C5"/>
    <w:rsid w:val="009B6575"/>
    <w:rsid w:val="009B6878"/>
    <w:rsid w:val="009B6D35"/>
    <w:rsid w:val="009B7B9E"/>
    <w:rsid w:val="009C0151"/>
    <w:rsid w:val="009C0152"/>
    <w:rsid w:val="009C0C08"/>
    <w:rsid w:val="009C0D2F"/>
    <w:rsid w:val="009C12C8"/>
    <w:rsid w:val="009C17DB"/>
    <w:rsid w:val="009C2445"/>
    <w:rsid w:val="009C29BC"/>
    <w:rsid w:val="009C458D"/>
    <w:rsid w:val="009C5D95"/>
    <w:rsid w:val="009C5EED"/>
    <w:rsid w:val="009C60CA"/>
    <w:rsid w:val="009C759F"/>
    <w:rsid w:val="009C7661"/>
    <w:rsid w:val="009C7A60"/>
    <w:rsid w:val="009C7BE6"/>
    <w:rsid w:val="009C7BEC"/>
    <w:rsid w:val="009D2568"/>
    <w:rsid w:val="009D45DB"/>
    <w:rsid w:val="009D5558"/>
    <w:rsid w:val="009D6D4F"/>
    <w:rsid w:val="009D6E66"/>
    <w:rsid w:val="009D7565"/>
    <w:rsid w:val="009E01D4"/>
    <w:rsid w:val="009E0C8E"/>
    <w:rsid w:val="009E1816"/>
    <w:rsid w:val="009E1E59"/>
    <w:rsid w:val="009E2110"/>
    <w:rsid w:val="009E3030"/>
    <w:rsid w:val="009E3670"/>
    <w:rsid w:val="009E3734"/>
    <w:rsid w:val="009E3A5F"/>
    <w:rsid w:val="009E3C99"/>
    <w:rsid w:val="009E483B"/>
    <w:rsid w:val="009E4B50"/>
    <w:rsid w:val="009E5558"/>
    <w:rsid w:val="009E563F"/>
    <w:rsid w:val="009E5E08"/>
    <w:rsid w:val="009E6215"/>
    <w:rsid w:val="009E6598"/>
    <w:rsid w:val="009E68FF"/>
    <w:rsid w:val="009E7428"/>
    <w:rsid w:val="009F06DE"/>
    <w:rsid w:val="009F0B57"/>
    <w:rsid w:val="009F120C"/>
    <w:rsid w:val="009F12E1"/>
    <w:rsid w:val="009F163A"/>
    <w:rsid w:val="009F1CED"/>
    <w:rsid w:val="009F1EFD"/>
    <w:rsid w:val="009F219C"/>
    <w:rsid w:val="009F27E9"/>
    <w:rsid w:val="009F2A8F"/>
    <w:rsid w:val="009F3CF1"/>
    <w:rsid w:val="009F3F51"/>
    <w:rsid w:val="009F4D42"/>
    <w:rsid w:val="009F5044"/>
    <w:rsid w:val="009F5176"/>
    <w:rsid w:val="009F51C5"/>
    <w:rsid w:val="009F5734"/>
    <w:rsid w:val="009F60CF"/>
    <w:rsid w:val="009F641A"/>
    <w:rsid w:val="009F6A26"/>
    <w:rsid w:val="009F7049"/>
    <w:rsid w:val="009F76B7"/>
    <w:rsid w:val="009F7896"/>
    <w:rsid w:val="009F7CB8"/>
    <w:rsid w:val="00A00009"/>
    <w:rsid w:val="00A0007D"/>
    <w:rsid w:val="00A004A1"/>
    <w:rsid w:val="00A005D7"/>
    <w:rsid w:val="00A008A4"/>
    <w:rsid w:val="00A00906"/>
    <w:rsid w:val="00A009A6"/>
    <w:rsid w:val="00A00EC3"/>
    <w:rsid w:val="00A011A2"/>
    <w:rsid w:val="00A01593"/>
    <w:rsid w:val="00A016EA"/>
    <w:rsid w:val="00A017A8"/>
    <w:rsid w:val="00A01D0A"/>
    <w:rsid w:val="00A0254D"/>
    <w:rsid w:val="00A02AB9"/>
    <w:rsid w:val="00A03DCA"/>
    <w:rsid w:val="00A03FA3"/>
    <w:rsid w:val="00A0425A"/>
    <w:rsid w:val="00A043A0"/>
    <w:rsid w:val="00A04CE3"/>
    <w:rsid w:val="00A04CE8"/>
    <w:rsid w:val="00A04F7F"/>
    <w:rsid w:val="00A05836"/>
    <w:rsid w:val="00A05AE2"/>
    <w:rsid w:val="00A05D8A"/>
    <w:rsid w:val="00A060D0"/>
    <w:rsid w:val="00A06332"/>
    <w:rsid w:val="00A066DD"/>
    <w:rsid w:val="00A06F5D"/>
    <w:rsid w:val="00A070AE"/>
    <w:rsid w:val="00A076AC"/>
    <w:rsid w:val="00A07DCB"/>
    <w:rsid w:val="00A07FE0"/>
    <w:rsid w:val="00A10BF5"/>
    <w:rsid w:val="00A115D4"/>
    <w:rsid w:val="00A116B3"/>
    <w:rsid w:val="00A11ACA"/>
    <w:rsid w:val="00A11BC3"/>
    <w:rsid w:val="00A12A8A"/>
    <w:rsid w:val="00A12F9F"/>
    <w:rsid w:val="00A14EB1"/>
    <w:rsid w:val="00A15B83"/>
    <w:rsid w:val="00A15BC1"/>
    <w:rsid w:val="00A165C9"/>
    <w:rsid w:val="00A1675A"/>
    <w:rsid w:val="00A1727B"/>
    <w:rsid w:val="00A172BE"/>
    <w:rsid w:val="00A173AB"/>
    <w:rsid w:val="00A17B54"/>
    <w:rsid w:val="00A17B97"/>
    <w:rsid w:val="00A2011B"/>
    <w:rsid w:val="00A2062D"/>
    <w:rsid w:val="00A20B38"/>
    <w:rsid w:val="00A20C2A"/>
    <w:rsid w:val="00A21735"/>
    <w:rsid w:val="00A21A2B"/>
    <w:rsid w:val="00A22761"/>
    <w:rsid w:val="00A22914"/>
    <w:rsid w:val="00A22C06"/>
    <w:rsid w:val="00A22C39"/>
    <w:rsid w:val="00A22CBF"/>
    <w:rsid w:val="00A23018"/>
    <w:rsid w:val="00A23D36"/>
    <w:rsid w:val="00A23DA8"/>
    <w:rsid w:val="00A2448C"/>
    <w:rsid w:val="00A244B0"/>
    <w:rsid w:val="00A248F9"/>
    <w:rsid w:val="00A24978"/>
    <w:rsid w:val="00A2523A"/>
    <w:rsid w:val="00A25288"/>
    <w:rsid w:val="00A25390"/>
    <w:rsid w:val="00A25DA2"/>
    <w:rsid w:val="00A26062"/>
    <w:rsid w:val="00A266FB"/>
    <w:rsid w:val="00A26A9B"/>
    <w:rsid w:val="00A2735B"/>
    <w:rsid w:val="00A2787C"/>
    <w:rsid w:val="00A27A70"/>
    <w:rsid w:val="00A27DE0"/>
    <w:rsid w:val="00A300A7"/>
    <w:rsid w:val="00A303D8"/>
    <w:rsid w:val="00A307C7"/>
    <w:rsid w:val="00A30B8E"/>
    <w:rsid w:val="00A30C09"/>
    <w:rsid w:val="00A32CB5"/>
    <w:rsid w:val="00A33606"/>
    <w:rsid w:val="00A33B2F"/>
    <w:rsid w:val="00A33B72"/>
    <w:rsid w:val="00A34195"/>
    <w:rsid w:val="00A34B07"/>
    <w:rsid w:val="00A35198"/>
    <w:rsid w:val="00A358F2"/>
    <w:rsid w:val="00A35FFA"/>
    <w:rsid w:val="00A36383"/>
    <w:rsid w:val="00A36F3E"/>
    <w:rsid w:val="00A37344"/>
    <w:rsid w:val="00A37B0A"/>
    <w:rsid w:val="00A4012F"/>
    <w:rsid w:val="00A40C40"/>
    <w:rsid w:val="00A41175"/>
    <w:rsid w:val="00A423A9"/>
    <w:rsid w:val="00A43208"/>
    <w:rsid w:val="00A4395F"/>
    <w:rsid w:val="00A43ABF"/>
    <w:rsid w:val="00A43E8E"/>
    <w:rsid w:val="00A44748"/>
    <w:rsid w:val="00A44C9F"/>
    <w:rsid w:val="00A44CB2"/>
    <w:rsid w:val="00A44E15"/>
    <w:rsid w:val="00A4681F"/>
    <w:rsid w:val="00A46CAE"/>
    <w:rsid w:val="00A46E28"/>
    <w:rsid w:val="00A500CB"/>
    <w:rsid w:val="00A505D3"/>
    <w:rsid w:val="00A50845"/>
    <w:rsid w:val="00A50A48"/>
    <w:rsid w:val="00A5109E"/>
    <w:rsid w:val="00A5182C"/>
    <w:rsid w:val="00A524AC"/>
    <w:rsid w:val="00A525F5"/>
    <w:rsid w:val="00A527AF"/>
    <w:rsid w:val="00A53396"/>
    <w:rsid w:val="00A5359C"/>
    <w:rsid w:val="00A53611"/>
    <w:rsid w:val="00A53F73"/>
    <w:rsid w:val="00A54054"/>
    <w:rsid w:val="00A54686"/>
    <w:rsid w:val="00A5522F"/>
    <w:rsid w:val="00A556C7"/>
    <w:rsid w:val="00A55CC2"/>
    <w:rsid w:val="00A562DA"/>
    <w:rsid w:val="00A56372"/>
    <w:rsid w:val="00A56562"/>
    <w:rsid w:val="00A565DC"/>
    <w:rsid w:val="00A56787"/>
    <w:rsid w:val="00A56C5F"/>
    <w:rsid w:val="00A576C8"/>
    <w:rsid w:val="00A60774"/>
    <w:rsid w:val="00A61F30"/>
    <w:rsid w:val="00A622EA"/>
    <w:rsid w:val="00A62D15"/>
    <w:rsid w:val="00A6313E"/>
    <w:rsid w:val="00A634E3"/>
    <w:rsid w:val="00A648B5"/>
    <w:rsid w:val="00A65A1B"/>
    <w:rsid w:val="00A65E03"/>
    <w:rsid w:val="00A66938"/>
    <w:rsid w:val="00A66E7B"/>
    <w:rsid w:val="00A67D21"/>
    <w:rsid w:val="00A7023D"/>
    <w:rsid w:val="00A7075A"/>
    <w:rsid w:val="00A71443"/>
    <w:rsid w:val="00A72B6D"/>
    <w:rsid w:val="00A72D26"/>
    <w:rsid w:val="00A73165"/>
    <w:rsid w:val="00A746CD"/>
    <w:rsid w:val="00A74A17"/>
    <w:rsid w:val="00A74AC0"/>
    <w:rsid w:val="00A75665"/>
    <w:rsid w:val="00A7574B"/>
    <w:rsid w:val="00A75D7D"/>
    <w:rsid w:val="00A75F92"/>
    <w:rsid w:val="00A763C2"/>
    <w:rsid w:val="00A7654C"/>
    <w:rsid w:val="00A76D11"/>
    <w:rsid w:val="00A76D1C"/>
    <w:rsid w:val="00A76F39"/>
    <w:rsid w:val="00A7755E"/>
    <w:rsid w:val="00A77748"/>
    <w:rsid w:val="00A77CFB"/>
    <w:rsid w:val="00A8028E"/>
    <w:rsid w:val="00A80E14"/>
    <w:rsid w:val="00A81146"/>
    <w:rsid w:val="00A819F8"/>
    <w:rsid w:val="00A82B15"/>
    <w:rsid w:val="00A82F03"/>
    <w:rsid w:val="00A83241"/>
    <w:rsid w:val="00A838E3"/>
    <w:rsid w:val="00A83C94"/>
    <w:rsid w:val="00A8403C"/>
    <w:rsid w:val="00A8413F"/>
    <w:rsid w:val="00A84BFA"/>
    <w:rsid w:val="00A85A6E"/>
    <w:rsid w:val="00A85C71"/>
    <w:rsid w:val="00A85E87"/>
    <w:rsid w:val="00A868AC"/>
    <w:rsid w:val="00A86DBC"/>
    <w:rsid w:val="00A86ECC"/>
    <w:rsid w:val="00A86EE5"/>
    <w:rsid w:val="00A8702E"/>
    <w:rsid w:val="00A877A4"/>
    <w:rsid w:val="00A87BE6"/>
    <w:rsid w:val="00A90286"/>
    <w:rsid w:val="00A903B9"/>
    <w:rsid w:val="00A91C53"/>
    <w:rsid w:val="00A920F1"/>
    <w:rsid w:val="00A9249D"/>
    <w:rsid w:val="00A928AD"/>
    <w:rsid w:val="00A92B0E"/>
    <w:rsid w:val="00A935BC"/>
    <w:rsid w:val="00A93751"/>
    <w:rsid w:val="00A93D23"/>
    <w:rsid w:val="00A93DC8"/>
    <w:rsid w:val="00A94CE3"/>
    <w:rsid w:val="00A955FC"/>
    <w:rsid w:val="00A957E1"/>
    <w:rsid w:val="00A959D8"/>
    <w:rsid w:val="00A9668E"/>
    <w:rsid w:val="00A97A65"/>
    <w:rsid w:val="00A97DFE"/>
    <w:rsid w:val="00AA03EE"/>
    <w:rsid w:val="00AA07D4"/>
    <w:rsid w:val="00AA0B96"/>
    <w:rsid w:val="00AA0C0D"/>
    <w:rsid w:val="00AA0CD0"/>
    <w:rsid w:val="00AA0DC9"/>
    <w:rsid w:val="00AA0EAB"/>
    <w:rsid w:val="00AA0ED4"/>
    <w:rsid w:val="00AA184A"/>
    <w:rsid w:val="00AA1F0F"/>
    <w:rsid w:val="00AA2505"/>
    <w:rsid w:val="00AA2CAA"/>
    <w:rsid w:val="00AA320B"/>
    <w:rsid w:val="00AA37CC"/>
    <w:rsid w:val="00AA4547"/>
    <w:rsid w:val="00AA4A01"/>
    <w:rsid w:val="00AA4A12"/>
    <w:rsid w:val="00AA4D2D"/>
    <w:rsid w:val="00AA508A"/>
    <w:rsid w:val="00AA5542"/>
    <w:rsid w:val="00AA5BCD"/>
    <w:rsid w:val="00AA603E"/>
    <w:rsid w:val="00AA6331"/>
    <w:rsid w:val="00AA746A"/>
    <w:rsid w:val="00AA78E1"/>
    <w:rsid w:val="00AA7F88"/>
    <w:rsid w:val="00AB044A"/>
    <w:rsid w:val="00AB13A1"/>
    <w:rsid w:val="00AB19CA"/>
    <w:rsid w:val="00AB1E99"/>
    <w:rsid w:val="00AB29DD"/>
    <w:rsid w:val="00AB3D29"/>
    <w:rsid w:val="00AB4581"/>
    <w:rsid w:val="00AB5439"/>
    <w:rsid w:val="00AB600E"/>
    <w:rsid w:val="00AB6109"/>
    <w:rsid w:val="00AB642D"/>
    <w:rsid w:val="00AB670A"/>
    <w:rsid w:val="00AB70C5"/>
    <w:rsid w:val="00AB751F"/>
    <w:rsid w:val="00AB768C"/>
    <w:rsid w:val="00AB7C7D"/>
    <w:rsid w:val="00AC042F"/>
    <w:rsid w:val="00AC0F42"/>
    <w:rsid w:val="00AC1290"/>
    <w:rsid w:val="00AC1696"/>
    <w:rsid w:val="00AC20DD"/>
    <w:rsid w:val="00AC30AB"/>
    <w:rsid w:val="00AC30C3"/>
    <w:rsid w:val="00AC3782"/>
    <w:rsid w:val="00AC477C"/>
    <w:rsid w:val="00AC4EDB"/>
    <w:rsid w:val="00AC4F42"/>
    <w:rsid w:val="00AC5957"/>
    <w:rsid w:val="00AC5EED"/>
    <w:rsid w:val="00AC6943"/>
    <w:rsid w:val="00AC70D7"/>
    <w:rsid w:val="00AC7148"/>
    <w:rsid w:val="00AC7E62"/>
    <w:rsid w:val="00AD06DD"/>
    <w:rsid w:val="00AD0899"/>
    <w:rsid w:val="00AD140A"/>
    <w:rsid w:val="00AD1AB5"/>
    <w:rsid w:val="00AD1CEF"/>
    <w:rsid w:val="00AD22C5"/>
    <w:rsid w:val="00AD2368"/>
    <w:rsid w:val="00AD2F75"/>
    <w:rsid w:val="00AD334B"/>
    <w:rsid w:val="00AD342B"/>
    <w:rsid w:val="00AD3826"/>
    <w:rsid w:val="00AD3CE6"/>
    <w:rsid w:val="00AD4B62"/>
    <w:rsid w:val="00AD56CA"/>
    <w:rsid w:val="00AD5738"/>
    <w:rsid w:val="00AD59C8"/>
    <w:rsid w:val="00AD5DB4"/>
    <w:rsid w:val="00AD61BE"/>
    <w:rsid w:val="00AD6252"/>
    <w:rsid w:val="00AD65BB"/>
    <w:rsid w:val="00AD77C3"/>
    <w:rsid w:val="00AD77DB"/>
    <w:rsid w:val="00AD77E5"/>
    <w:rsid w:val="00AD7A17"/>
    <w:rsid w:val="00AE0248"/>
    <w:rsid w:val="00AE0503"/>
    <w:rsid w:val="00AE15F5"/>
    <w:rsid w:val="00AE20FA"/>
    <w:rsid w:val="00AE35BF"/>
    <w:rsid w:val="00AE4268"/>
    <w:rsid w:val="00AE4634"/>
    <w:rsid w:val="00AE4FA6"/>
    <w:rsid w:val="00AE5454"/>
    <w:rsid w:val="00AE5601"/>
    <w:rsid w:val="00AE58A4"/>
    <w:rsid w:val="00AE5D04"/>
    <w:rsid w:val="00AE6733"/>
    <w:rsid w:val="00AE685E"/>
    <w:rsid w:val="00AE6931"/>
    <w:rsid w:val="00AE7A83"/>
    <w:rsid w:val="00AF02FA"/>
    <w:rsid w:val="00AF07F2"/>
    <w:rsid w:val="00AF0E33"/>
    <w:rsid w:val="00AF1525"/>
    <w:rsid w:val="00AF1BD4"/>
    <w:rsid w:val="00AF3233"/>
    <w:rsid w:val="00AF32A9"/>
    <w:rsid w:val="00AF34FB"/>
    <w:rsid w:val="00AF353C"/>
    <w:rsid w:val="00AF3A0F"/>
    <w:rsid w:val="00AF4280"/>
    <w:rsid w:val="00AF577B"/>
    <w:rsid w:val="00AF582C"/>
    <w:rsid w:val="00AF5A17"/>
    <w:rsid w:val="00AF5D49"/>
    <w:rsid w:val="00AF610D"/>
    <w:rsid w:val="00AF673D"/>
    <w:rsid w:val="00B0025E"/>
    <w:rsid w:val="00B0027C"/>
    <w:rsid w:val="00B00891"/>
    <w:rsid w:val="00B00B2C"/>
    <w:rsid w:val="00B00D4B"/>
    <w:rsid w:val="00B00DD5"/>
    <w:rsid w:val="00B00F18"/>
    <w:rsid w:val="00B0158E"/>
    <w:rsid w:val="00B017ED"/>
    <w:rsid w:val="00B01C2E"/>
    <w:rsid w:val="00B02B87"/>
    <w:rsid w:val="00B02C8B"/>
    <w:rsid w:val="00B02E87"/>
    <w:rsid w:val="00B051BB"/>
    <w:rsid w:val="00B05D93"/>
    <w:rsid w:val="00B0604E"/>
    <w:rsid w:val="00B06941"/>
    <w:rsid w:val="00B06B06"/>
    <w:rsid w:val="00B06D63"/>
    <w:rsid w:val="00B06DF0"/>
    <w:rsid w:val="00B070CE"/>
    <w:rsid w:val="00B109A5"/>
    <w:rsid w:val="00B10F20"/>
    <w:rsid w:val="00B120C0"/>
    <w:rsid w:val="00B12157"/>
    <w:rsid w:val="00B12A8C"/>
    <w:rsid w:val="00B13108"/>
    <w:rsid w:val="00B13582"/>
    <w:rsid w:val="00B13911"/>
    <w:rsid w:val="00B13CFD"/>
    <w:rsid w:val="00B13FBC"/>
    <w:rsid w:val="00B14485"/>
    <w:rsid w:val="00B14803"/>
    <w:rsid w:val="00B14EB1"/>
    <w:rsid w:val="00B153F9"/>
    <w:rsid w:val="00B1542C"/>
    <w:rsid w:val="00B15CE1"/>
    <w:rsid w:val="00B15D49"/>
    <w:rsid w:val="00B16050"/>
    <w:rsid w:val="00B16DB8"/>
    <w:rsid w:val="00B175C2"/>
    <w:rsid w:val="00B200E2"/>
    <w:rsid w:val="00B210D8"/>
    <w:rsid w:val="00B21A46"/>
    <w:rsid w:val="00B22562"/>
    <w:rsid w:val="00B23C02"/>
    <w:rsid w:val="00B2507C"/>
    <w:rsid w:val="00B250C0"/>
    <w:rsid w:val="00B25429"/>
    <w:rsid w:val="00B25E43"/>
    <w:rsid w:val="00B26084"/>
    <w:rsid w:val="00B26712"/>
    <w:rsid w:val="00B268AF"/>
    <w:rsid w:val="00B279FE"/>
    <w:rsid w:val="00B27E9F"/>
    <w:rsid w:val="00B301E3"/>
    <w:rsid w:val="00B30428"/>
    <w:rsid w:val="00B3043E"/>
    <w:rsid w:val="00B3077A"/>
    <w:rsid w:val="00B30FB0"/>
    <w:rsid w:val="00B319DB"/>
    <w:rsid w:val="00B31DC0"/>
    <w:rsid w:val="00B328B2"/>
    <w:rsid w:val="00B328BF"/>
    <w:rsid w:val="00B32C1E"/>
    <w:rsid w:val="00B32EDF"/>
    <w:rsid w:val="00B3354B"/>
    <w:rsid w:val="00B34CF7"/>
    <w:rsid w:val="00B34FA8"/>
    <w:rsid w:val="00B34FEA"/>
    <w:rsid w:val="00B356FE"/>
    <w:rsid w:val="00B3624C"/>
    <w:rsid w:val="00B36683"/>
    <w:rsid w:val="00B367D1"/>
    <w:rsid w:val="00B373DC"/>
    <w:rsid w:val="00B37924"/>
    <w:rsid w:val="00B37EF3"/>
    <w:rsid w:val="00B40356"/>
    <w:rsid w:val="00B410F6"/>
    <w:rsid w:val="00B41592"/>
    <w:rsid w:val="00B416C5"/>
    <w:rsid w:val="00B41D56"/>
    <w:rsid w:val="00B42974"/>
    <w:rsid w:val="00B438D3"/>
    <w:rsid w:val="00B43F1B"/>
    <w:rsid w:val="00B44448"/>
    <w:rsid w:val="00B44693"/>
    <w:rsid w:val="00B447FA"/>
    <w:rsid w:val="00B44D0C"/>
    <w:rsid w:val="00B44F7F"/>
    <w:rsid w:val="00B4514F"/>
    <w:rsid w:val="00B452F5"/>
    <w:rsid w:val="00B45691"/>
    <w:rsid w:val="00B4596E"/>
    <w:rsid w:val="00B46389"/>
    <w:rsid w:val="00B46842"/>
    <w:rsid w:val="00B47114"/>
    <w:rsid w:val="00B47C12"/>
    <w:rsid w:val="00B5008F"/>
    <w:rsid w:val="00B50BD4"/>
    <w:rsid w:val="00B50CC5"/>
    <w:rsid w:val="00B51E8D"/>
    <w:rsid w:val="00B52791"/>
    <w:rsid w:val="00B52CCF"/>
    <w:rsid w:val="00B52D61"/>
    <w:rsid w:val="00B5301C"/>
    <w:rsid w:val="00B5396B"/>
    <w:rsid w:val="00B54267"/>
    <w:rsid w:val="00B544DA"/>
    <w:rsid w:val="00B54BA1"/>
    <w:rsid w:val="00B55BEB"/>
    <w:rsid w:val="00B55F92"/>
    <w:rsid w:val="00B57F33"/>
    <w:rsid w:val="00B60404"/>
    <w:rsid w:val="00B60E35"/>
    <w:rsid w:val="00B60EE3"/>
    <w:rsid w:val="00B61115"/>
    <w:rsid w:val="00B61727"/>
    <w:rsid w:val="00B61A8F"/>
    <w:rsid w:val="00B6257D"/>
    <w:rsid w:val="00B63751"/>
    <w:rsid w:val="00B63757"/>
    <w:rsid w:val="00B637DA"/>
    <w:rsid w:val="00B63885"/>
    <w:rsid w:val="00B63D70"/>
    <w:rsid w:val="00B64526"/>
    <w:rsid w:val="00B6483E"/>
    <w:rsid w:val="00B649B7"/>
    <w:rsid w:val="00B64C4E"/>
    <w:rsid w:val="00B65344"/>
    <w:rsid w:val="00B65414"/>
    <w:rsid w:val="00B656E1"/>
    <w:rsid w:val="00B65D5A"/>
    <w:rsid w:val="00B66AC7"/>
    <w:rsid w:val="00B70EF1"/>
    <w:rsid w:val="00B72071"/>
    <w:rsid w:val="00B72507"/>
    <w:rsid w:val="00B727DD"/>
    <w:rsid w:val="00B729DE"/>
    <w:rsid w:val="00B73174"/>
    <w:rsid w:val="00B73437"/>
    <w:rsid w:val="00B73486"/>
    <w:rsid w:val="00B7377D"/>
    <w:rsid w:val="00B73957"/>
    <w:rsid w:val="00B73EE4"/>
    <w:rsid w:val="00B74275"/>
    <w:rsid w:val="00B746EF"/>
    <w:rsid w:val="00B7478E"/>
    <w:rsid w:val="00B74924"/>
    <w:rsid w:val="00B759BE"/>
    <w:rsid w:val="00B75B5A"/>
    <w:rsid w:val="00B75D26"/>
    <w:rsid w:val="00B76C4D"/>
    <w:rsid w:val="00B76F4D"/>
    <w:rsid w:val="00B7758A"/>
    <w:rsid w:val="00B77626"/>
    <w:rsid w:val="00B80141"/>
    <w:rsid w:val="00B80B37"/>
    <w:rsid w:val="00B80B5B"/>
    <w:rsid w:val="00B81E54"/>
    <w:rsid w:val="00B82278"/>
    <w:rsid w:val="00B83102"/>
    <w:rsid w:val="00B8326D"/>
    <w:rsid w:val="00B83363"/>
    <w:rsid w:val="00B836B5"/>
    <w:rsid w:val="00B83B7C"/>
    <w:rsid w:val="00B84CDF"/>
    <w:rsid w:val="00B84D41"/>
    <w:rsid w:val="00B85CAA"/>
    <w:rsid w:val="00B8601D"/>
    <w:rsid w:val="00B863E7"/>
    <w:rsid w:val="00B8796C"/>
    <w:rsid w:val="00B9021D"/>
    <w:rsid w:val="00B902BF"/>
    <w:rsid w:val="00B90D07"/>
    <w:rsid w:val="00B913E1"/>
    <w:rsid w:val="00B91A71"/>
    <w:rsid w:val="00B92255"/>
    <w:rsid w:val="00B922D4"/>
    <w:rsid w:val="00B92E56"/>
    <w:rsid w:val="00B9362A"/>
    <w:rsid w:val="00B9383B"/>
    <w:rsid w:val="00B93D88"/>
    <w:rsid w:val="00B93F80"/>
    <w:rsid w:val="00B9418E"/>
    <w:rsid w:val="00B94333"/>
    <w:rsid w:val="00B95026"/>
    <w:rsid w:val="00B95416"/>
    <w:rsid w:val="00B95581"/>
    <w:rsid w:val="00B955CA"/>
    <w:rsid w:val="00B956E7"/>
    <w:rsid w:val="00B9576A"/>
    <w:rsid w:val="00B95C3A"/>
    <w:rsid w:val="00B95D33"/>
    <w:rsid w:val="00B963E8"/>
    <w:rsid w:val="00B96678"/>
    <w:rsid w:val="00B96AAC"/>
    <w:rsid w:val="00B97455"/>
    <w:rsid w:val="00B97636"/>
    <w:rsid w:val="00B977E4"/>
    <w:rsid w:val="00B97CB8"/>
    <w:rsid w:val="00BA0385"/>
    <w:rsid w:val="00BA0DAE"/>
    <w:rsid w:val="00BA1031"/>
    <w:rsid w:val="00BA168D"/>
    <w:rsid w:val="00BA17E4"/>
    <w:rsid w:val="00BA1AA3"/>
    <w:rsid w:val="00BA1CC8"/>
    <w:rsid w:val="00BA1CDD"/>
    <w:rsid w:val="00BA23E6"/>
    <w:rsid w:val="00BA2D24"/>
    <w:rsid w:val="00BA30D9"/>
    <w:rsid w:val="00BA3E94"/>
    <w:rsid w:val="00BA3EBC"/>
    <w:rsid w:val="00BA4254"/>
    <w:rsid w:val="00BA5012"/>
    <w:rsid w:val="00BA56DA"/>
    <w:rsid w:val="00BA5727"/>
    <w:rsid w:val="00BA59B5"/>
    <w:rsid w:val="00BA6581"/>
    <w:rsid w:val="00BA6A26"/>
    <w:rsid w:val="00BA6A52"/>
    <w:rsid w:val="00BA7ED9"/>
    <w:rsid w:val="00BB0B43"/>
    <w:rsid w:val="00BB10F8"/>
    <w:rsid w:val="00BB1CED"/>
    <w:rsid w:val="00BB1D08"/>
    <w:rsid w:val="00BB224F"/>
    <w:rsid w:val="00BB252A"/>
    <w:rsid w:val="00BB2996"/>
    <w:rsid w:val="00BB2ED4"/>
    <w:rsid w:val="00BB2F04"/>
    <w:rsid w:val="00BB300D"/>
    <w:rsid w:val="00BB3430"/>
    <w:rsid w:val="00BB3479"/>
    <w:rsid w:val="00BB5211"/>
    <w:rsid w:val="00BB5A21"/>
    <w:rsid w:val="00BB5D01"/>
    <w:rsid w:val="00BB6F64"/>
    <w:rsid w:val="00BB7F57"/>
    <w:rsid w:val="00BC0C1D"/>
    <w:rsid w:val="00BC1A07"/>
    <w:rsid w:val="00BC1B98"/>
    <w:rsid w:val="00BC2252"/>
    <w:rsid w:val="00BC2470"/>
    <w:rsid w:val="00BC28CC"/>
    <w:rsid w:val="00BC31A3"/>
    <w:rsid w:val="00BC3C4F"/>
    <w:rsid w:val="00BC4BA8"/>
    <w:rsid w:val="00BC4D8E"/>
    <w:rsid w:val="00BC5011"/>
    <w:rsid w:val="00BC519C"/>
    <w:rsid w:val="00BC57D0"/>
    <w:rsid w:val="00BC5F69"/>
    <w:rsid w:val="00BC6AA3"/>
    <w:rsid w:val="00BC716C"/>
    <w:rsid w:val="00BC7621"/>
    <w:rsid w:val="00BC78F7"/>
    <w:rsid w:val="00BC78FC"/>
    <w:rsid w:val="00BC78FE"/>
    <w:rsid w:val="00BC7EEA"/>
    <w:rsid w:val="00BD00A1"/>
    <w:rsid w:val="00BD055C"/>
    <w:rsid w:val="00BD0B1B"/>
    <w:rsid w:val="00BD11AE"/>
    <w:rsid w:val="00BD1830"/>
    <w:rsid w:val="00BD1B60"/>
    <w:rsid w:val="00BD41E4"/>
    <w:rsid w:val="00BD49D3"/>
    <w:rsid w:val="00BD4F09"/>
    <w:rsid w:val="00BD58DB"/>
    <w:rsid w:val="00BD5B84"/>
    <w:rsid w:val="00BD5F04"/>
    <w:rsid w:val="00BD6432"/>
    <w:rsid w:val="00BD6BFB"/>
    <w:rsid w:val="00BD703B"/>
    <w:rsid w:val="00BD72FB"/>
    <w:rsid w:val="00BD7571"/>
    <w:rsid w:val="00BD7BDB"/>
    <w:rsid w:val="00BD7F71"/>
    <w:rsid w:val="00BE0299"/>
    <w:rsid w:val="00BE03AA"/>
    <w:rsid w:val="00BE03B7"/>
    <w:rsid w:val="00BE0B63"/>
    <w:rsid w:val="00BE0D53"/>
    <w:rsid w:val="00BE1629"/>
    <w:rsid w:val="00BE22D0"/>
    <w:rsid w:val="00BE3579"/>
    <w:rsid w:val="00BE35F5"/>
    <w:rsid w:val="00BE3A07"/>
    <w:rsid w:val="00BE3CC0"/>
    <w:rsid w:val="00BE47AB"/>
    <w:rsid w:val="00BE4921"/>
    <w:rsid w:val="00BE4C90"/>
    <w:rsid w:val="00BE4CCC"/>
    <w:rsid w:val="00BE4D7B"/>
    <w:rsid w:val="00BE4E81"/>
    <w:rsid w:val="00BE53C5"/>
    <w:rsid w:val="00BE5CF3"/>
    <w:rsid w:val="00BE6055"/>
    <w:rsid w:val="00BE6AC6"/>
    <w:rsid w:val="00BF0A40"/>
    <w:rsid w:val="00BF0B62"/>
    <w:rsid w:val="00BF134A"/>
    <w:rsid w:val="00BF15D8"/>
    <w:rsid w:val="00BF2A4E"/>
    <w:rsid w:val="00BF2B33"/>
    <w:rsid w:val="00BF2CDA"/>
    <w:rsid w:val="00BF2F71"/>
    <w:rsid w:val="00BF4248"/>
    <w:rsid w:val="00BF4825"/>
    <w:rsid w:val="00BF4F2A"/>
    <w:rsid w:val="00BF4FD4"/>
    <w:rsid w:val="00BF560A"/>
    <w:rsid w:val="00BF5791"/>
    <w:rsid w:val="00BF5E00"/>
    <w:rsid w:val="00BF6019"/>
    <w:rsid w:val="00BF61A3"/>
    <w:rsid w:val="00BF62E0"/>
    <w:rsid w:val="00BF6F0E"/>
    <w:rsid w:val="00BF7695"/>
    <w:rsid w:val="00BF7C8D"/>
    <w:rsid w:val="00C003A9"/>
    <w:rsid w:val="00C0046A"/>
    <w:rsid w:val="00C005BF"/>
    <w:rsid w:val="00C00A75"/>
    <w:rsid w:val="00C00C0B"/>
    <w:rsid w:val="00C00E52"/>
    <w:rsid w:val="00C01259"/>
    <w:rsid w:val="00C02979"/>
    <w:rsid w:val="00C03452"/>
    <w:rsid w:val="00C03BBB"/>
    <w:rsid w:val="00C03CF3"/>
    <w:rsid w:val="00C03E4E"/>
    <w:rsid w:val="00C04365"/>
    <w:rsid w:val="00C044DF"/>
    <w:rsid w:val="00C04A3A"/>
    <w:rsid w:val="00C04E60"/>
    <w:rsid w:val="00C04EB3"/>
    <w:rsid w:val="00C04F7C"/>
    <w:rsid w:val="00C05461"/>
    <w:rsid w:val="00C057F3"/>
    <w:rsid w:val="00C0678A"/>
    <w:rsid w:val="00C0686D"/>
    <w:rsid w:val="00C06D16"/>
    <w:rsid w:val="00C06DBF"/>
    <w:rsid w:val="00C0753B"/>
    <w:rsid w:val="00C07A3C"/>
    <w:rsid w:val="00C10194"/>
    <w:rsid w:val="00C1042C"/>
    <w:rsid w:val="00C10C7D"/>
    <w:rsid w:val="00C10D25"/>
    <w:rsid w:val="00C11EFE"/>
    <w:rsid w:val="00C12476"/>
    <w:rsid w:val="00C12A1F"/>
    <w:rsid w:val="00C12AE8"/>
    <w:rsid w:val="00C12AFD"/>
    <w:rsid w:val="00C12EC2"/>
    <w:rsid w:val="00C134CC"/>
    <w:rsid w:val="00C13C8E"/>
    <w:rsid w:val="00C13E81"/>
    <w:rsid w:val="00C142FC"/>
    <w:rsid w:val="00C14793"/>
    <w:rsid w:val="00C14877"/>
    <w:rsid w:val="00C15550"/>
    <w:rsid w:val="00C16093"/>
    <w:rsid w:val="00C1709A"/>
    <w:rsid w:val="00C176F0"/>
    <w:rsid w:val="00C17A6C"/>
    <w:rsid w:val="00C2015B"/>
    <w:rsid w:val="00C2077F"/>
    <w:rsid w:val="00C20EF9"/>
    <w:rsid w:val="00C211A4"/>
    <w:rsid w:val="00C21252"/>
    <w:rsid w:val="00C21C34"/>
    <w:rsid w:val="00C223F0"/>
    <w:rsid w:val="00C22829"/>
    <w:rsid w:val="00C22A10"/>
    <w:rsid w:val="00C22A28"/>
    <w:rsid w:val="00C22D2B"/>
    <w:rsid w:val="00C232C1"/>
    <w:rsid w:val="00C23AF6"/>
    <w:rsid w:val="00C24011"/>
    <w:rsid w:val="00C248EA"/>
    <w:rsid w:val="00C24932"/>
    <w:rsid w:val="00C25080"/>
    <w:rsid w:val="00C256FE"/>
    <w:rsid w:val="00C263A9"/>
    <w:rsid w:val="00C270A1"/>
    <w:rsid w:val="00C27242"/>
    <w:rsid w:val="00C274BE"/>
    <w:rsid w:val="00C27857"/>
    <w:rsid w:val="00C27D8E"/>
    <w:rsid w:val="00C30855"/>
    <w:rsid w:val="00C310A8"/>
    <w:rsid w:val="00C31854"/>
    <w:rsid w:val="00C32FFF"/>
    <w:rsid w:val="00C33C7B"/>
    <w:rsid w:val="00C33E32"/>
    <w:rsid w:val="00C340CC"/>
    <w:rsid w:val="00C3542F"/>
    <w:rsid w:val="00C358DC"/>
    <w:rsid w:val="00C35B0C"/>
    <w:rsid w:val="00C35B82"/>
    <w:rsid w:val="00C366C2"/>
    <w:rsid w:val="00C371AE"/>
    <w:rsid w:val="00C37679"/>
    <w:rsid w:val="00C37F8E"/>
    <w:rsid w:val="00C40226"/>
    <w:rsid w:val="00C4041E"/>
    <w:rsid w:val="00C4160E"/>
    <w:rsid w:val="00C418F5"/>
    <w:rsid w:val="00C419A1"/>
    <w:rsid w:val="00C41AB6"/>
    <w:rsid w:val="00C41AD6"/>
    <w:rsid w:val="00C4209B"/>
    <w:rsid w:val="00C425CD"/>
    <w:rsid w:val="00C42992"/>
    <w:rsid w:val="00C42C7B"/>
    <w:rsid w:val="00C42CFC"/>
    <w:rsid w:val="00C431A2"/>
    <w:rsid w:val="00C43F38"/>
    <w:rsid w:val="00C44182"/>
    <w:rsid w:val="00C449FC"/>
    <w:rsid w:val="00C450A6"/>
    <w:rsid w:val="00C459D9"/>
    <w:rsid w:val="00C45FA1"/>
    <w:rsid w:val="00C46484"/>
    <w:rsid w:val="00C46A09"/>
    <w:rsid w:val="00C47317"/>
    <w:rsid w:val="00C47366"/>
    <w:rsid w:val="00C50411"/>
    <w:rsid w:val="00C51105"/>
    <w:rsid w:val="00C520BB"/>
    <w:rsid w:val="00C52102"/>
    <w:rsid w:val="00C52996"/>
    <w:rsid w:val="00C52F77"/>
    <w:rsid w:val="00C536BA"/>
    <w:rsid w:val="00C53905"/>
    <w:rsid w:val="00C53D8E"/>
    <w:rsid w:val="00C53F11"/>
    <w:rsid w:val="00C55002"/>
    <w:rsid w:val="00C55915"/>
    <w:rsid w:val="00C56225"/>
    <w:rsid w:val="00C56C07"/>
    <w:rsid w:val="00C572EC"/>
    <w:rsid w:val="00C573DA"/>
    <w:rsid w:val="00C57FBE"/>
    <w:rsid w:val="00C60488"/>
    <w:rsid w:val="00C60EDA"/>
    <w:rsid w:val="00C60FF4"/>
    <w:rsid w:val="00C612DC"/>
    <w:rsid w:val="00C63A84"/>
    <w:rsid w:val="00C64BCA"/>
    <w:rsid w:val="00C65970"/>
    <w:rsid w:val="00C65A6A"/>
    <w:rsid w:val="00C65E89"/>
    <w:rsid w:val="00C66845"/>
    <w:rsid w:val="00C66A43"/>
    <w:rsid w:val="00C66D08"/>
    <w:rsid w:val="00C66F02"/>
    <w:rsid w:val="00C67391"/>
    <w:rsid w:val="00C679B0"/>
    <w:rsid w:val="00C705DA"/>
    <w:rsid w:val="00C70E4C"/>
    <w:rsid w:val="00C70F68"/>
    <w:rsid w:val="00C71BDF"/>
    <w:rsid w:val="00C721CE"/>
    <w:rsid w:val="00C7268C"/>
    <w:rsid w:val="00C7289A"/>
    <w:rsid w:val="00C72F28"/>
    <w:rsid w:val="00C745F7"/>
    <w:rsid w:val="00C74851"/>
    <w:rsid w:val="00C74A02"/>
    <w:rsid w:val="00C74ADB"/>
    <w:rsid w:val="00C74C59"/>
    <w:rsid w:val="00C74D58"/>
    <w:rsid w:val="00C75462"/>
    <w:rsid w:val="00C758AF"/>
    <w:rsid w:val="00C75D62"/>
    <w:rsid w:val="00C75EBD"/>
    <w:rsid w:val="00C80637"/>
    <w:rsid w:val="00C80641"/>
    <w:rsid w:val="00C809F3"/>
    <w:rsid w:val="00C80E3A"/>
    <w:rsid w:val="00C80FAB"/>
    <w:rsid w:val="00C821AD"/>
    <w:rsid w:val="00C824DF"/>
    <w:rsid w:val="00C82A86"/>
    <w:rsid w:val="00C82E62"/>
    <w:rsid w:val="00C82FCE"/>
    <w:rsid w:val="00C83795"/>
    <w:rsid w:val="00C84064"/>
    <w:rsid w:val="00C84083"/>
    <w:rsid w:val="00C848CA"/>
    <w:rsid w:val="00C84CDD"/>
    <w:rsid w:val="00C856ED"/>
    <w:rsid w:val="00C8583B"/>
    <w:rsid w:val="00C861F3"/>
    <w:rsid w:val="00C86512"/>
    <w:rsid w:val="00C870A2"/>
    <w:rsid w:val="00C87E29"/>
    <w:rsid w:val="00C90053"/>
    <w:rsid w:val="00C904B3"/>
    <w:rsid w:val="00C909A5"/>
    <w:rsid w:val="00C90DA6"/>
    <w:rsid w:val="00C90E85"/>
    <w:rsid w:val="00C91CEC"/>
    <w:rsid w:val="00C920E3"/>
    <w:rsid w:val="00C92196"/>
    <w:rsid w:val="00C923F6"/>
    <w:rsid w:val="00C93193"/>
    <w:rsid w:val="00C933B2"/>
    <w:rsid w:val="00C93AD1"/>
    <w:rsid w:val="00C93EDF"/>
    <w:rsid w:val="00C94EC1"/>
    <w:rsid w:val="00C94FAC"/>
    <w:rsid w:val="00C9522A"/>
    <w:rsid w:val="00C95EE1"/>
    <w:rsid w:val="00C96E80"/>
    <w:rsid w:val="00C97E0D"/>
    <w:rsid w:val="00CA02F1"/>
    <w:rsid w:val="00CA0771"/>
    <w:rsid w:val="00CA0D37"/>
    <w:rsid w:val="00CA1365"/>
    <w:rsid w:val="00CA141F"/>
    <w:rsid w:val="00CA145E"/>
    <w:rsid w:val="00CA15CA"/>
    <w:rsid w:val="00CA1C25"/>
    <w:rsid w:val="00CA250F"/>
    <w:rsid w:val="00CA2E26"/>
    <w:rsid w:val="00CA2E83"/>
    <w:rsid w:val="00CA306F"/>
    <w:rsid w:val="00CA395B"/>
    <w:rsid w:val="00CA4491"/>
    <w:rsid w:val="00CA4CD3"/>
    <w:rsid w:val="00CA51E8"/>
    <w:rsid w:val="00CA550B"/>
    <w:rsid w:val="00CA553C"/>
    <w:rsid w:val="00CA6FE8"/>
    <w:rsid w:val="00CA73AC"/>
    <w:rsid w:val="00CA767E"/>
    <w:rsid w:val="00CA7E27"/>
    <w:rsid w:val="00CB0AAF"/>
    <w:rsid w:val="00CB0D0D"/>
    <w:rsid w:val="00CB13ED"/>
    <w:rsid w:val="00CB13F4"/>
    <w:rsid w:val="00CB147F"/>
    <w:rsid w:val="00CB29DB"/>
    <w:rsid w:val="00CB3097"/>
    <w:rsid w:val="00CB3345"/>
    <w:rsid w:val="00CB402B"/>
    <w:rsid w:val="00CB41AA"/>
    <w:rsid w:val="00CB5797"/>
    <w:rsid w:val="00CB5E2C"/>
    <w:rsid w:val="00CB6A70"/>
    <w:rsid w:val="00CB6E13"/>
    <w:rsid w:val="00CB6E85"/>
    <w:rsid w:val="00CB6F0B"/>
    <w:rsid w:val="00CB7702"/>
    <w:rsid w:val="00CC02AC"/>
    <w:rsid w:val="00CC0A0B"/>
    <w:rsid w:val="00CC0A80"/>
    <w:rsid w:val="00CC0C6C"/>
    <w:rsid w:val="00CC1995"/>
    <w:rsid w:val="00CC1A02"/>
    <w:rsid w:val="00CC1B76"/>
    <w:rsid w:val="00CC3836"/>
    <w:rsid w:val="00CC3E6D"/>
    <w:rsid w:val="00CC3FAD"/>
    <w:rsid w:val="00CC449D"/>
    <w:rsid w:val="00CC4524"/>
    <w:rsid w:val="00CC65AE"/>
    <w:rsid w:val="00CC68C1"/>
    <w:rsid w:val="00CC6A18"/>
    <w:rsid w:val="00CC725A"/>
    <w:rsid w:val="00CC7D63"/>
    <w:rsid w:val="00CC7F6F"/>
    <w:rsid w:val="00CD1121"/>
    <w:rsid w:val="00CD11FD"/>
    <w:rsid w:val="00CD1C7D"/>
    <w:rsid w:val="00CD20B5"/>
    <w:rsid w:val="00CD2AEC"/>
    <w:rsid w:val="00CD338D"/>
    <w:rsid w:val="00CD3701"/>
    <w:rsid w:val="00CD39A2"/>
    <w:rsid w:val="00CD3DDF"/>
    <w:rsid w:val="00CD4F02"/>
    <w:rsid w:val="00CD5223"/>
    <w:rsid w:val="00CD5AF6"/>
    <w:rsid w:val="00CD5CC4"/>
    <w:rsid w:val="00CD63FB"/>
    <w:rsid w:val="00CD67DC"/>
    <w:rsid w:val="00CD6F76"/>
    <w:rsid w:val="00CD7395"/>
    <w:rsid w:val="00CD7BAB"/>
    <w:rsid w:val="00CE017F"/>
    <w:rsid w:val="00CE07AF"/>
    <w:rsid w:val="00CE0CB1"/>
    <w:rsid w:val="00CE16F4"/>
    <w:rsid w:val="00CE1718"/>
    <w:rsid w:val="00CE1AA4"/>
    <w:rsid w:val="00CE1C34"/>
    <w:rsid w:val="00CE1F3B"/>
    <w:rsid w:val="00CE29DE"/>
    <w:rsid w:val="00CE2B02"/>
    <w:rsid w:val="00CE2BB5"/>
    <w:rsid w:val="00CE341C"/>
    <w:rsid w:val="00CE3683"/>
    <w:rsid w:val="00CE3DF0"/>
    <w:rsid w:val="00CE434C"/>
    <w:rsid w:val="00CE4426"/>
    <w:rsid w:val="00CE4691"/>
    <w:rsid w:val="00CE485A"/>
    <w:rsid w:val="00CE4876"/>
    <w:rsid w:val="00CE50D6"/>
    <w:rsid w:val="00CE51F6"/>
    <w:rsid w:val="00CE5832"/>
    <w:rsid w:val="00CE5A23"/>
    <w:rsid w:val="00CE64E7"/>
    <w:rsid w:val="00CE6591"/>
    <w:rsid w:val="00CE6B8D"/>
    <w:rsid w:val="00CE7705"/>
    <w:rsid w:val="00CF018B"/>
    <w:rsid w:val="00CF029A"/>
    <w:rsid w:val="00CF0529"/>
    <w:rsid w:val="00CF094D"/>
    <w:rsid w:val="00CF0B3E"/>
    <w:rsid w:val="00CF0CA5"/>
    <w:rsid w:val="00CF10B4"/>
    <w:rsid w:val="00CF10DD"/>
    <w:rsid w:val="00CF1285"/>
    <w:rsid w:val="00CF136B"/>
    <w:rsid w:val="00CF151E"/>
    <w:rsid w:val="00CF1F4A"/>
    <w:rsid w:val="00CF1FD7"/>
    <w:rsid w:val="00CF1FEF"/>
    <w:rsid w:val="00CF2111"/>
    <w:rsid w:val="00CF2468"/>
    <w:rsid w:val="00CF2A5B"/>
    <w:rsid w:val="00CF3727"/>
    <w:rsid w:val="00CF398C"/>
    <w:rsid w:val="00CF5CB2"/>
    <w:rsid w:val="00CF6FDE"/>
    <w:rsid w:val="00CF71DC"/>
    <w:rsid w:val="00CF78E4"/>
    <w:rsid w:val="00D00156"/>
    <w:rsid w:val="00D0053F"/>
    <w:rsid w:val="00D00731"/>
    <w:rsid w:val="00D019CE"/>
    <w:rsid w:val="00D01A9F"/>
    <w:rsid w:val="00D0297B"/>
    <w:rsid w:val="00D02E56"/>
    <w:rsid w:val="00D04704"/>
    <w:rsid w:val="00D051BD"/>
    <w:rsid w:val="00D05E15"/>
    <w:rsid w:val="00D060FC"/>
    <w:rsid w:val="00D06199"/>
    <w:rsid w:val="00D061EA"/>
    <w:rsid w:val="00D0654A"/>
    <w:rsid w:val="00D07147"/>
    <w:rsid w:val="00D07181"/>
    <w:rsid w:val="00D10285"/>
    <w:rsid w:val="00D10337"/>
    <w:rsid w:val="00D1078B"/>
    <w:rsid w:val="00D10C4F"/>
    <w:rsid w:val="00D1179B"/>
    <w:rsid w:val="00D11D5C"/>
    <w:rsid w:val="00D12352"/>
    <w:rsid w:val="00D13187"/>
    <w:rsid w:val="00D13376"/>
    <w:rsid w:val="00D13994"/>
    <w:rsid w:val="00D13C60"/>
    <w:rsid w:val="00D1410A"/>
    <w:rsid w:val="00D14402"/>
    <w:rsid w:val="00D14AC3"/>
    <w:rsid w:val="00D15494"/>
    <w:rsid w:val="00D15AB0"/>
    <w:rsid w:val="00D15DB6"/>
    <w:rsid w:val="00D162E6"/>
    <w:rsid w:val="00D166B1"/>
    <w:rsid w:val="00D1678B"/>
    <w:rsid w:val="00D16BB6"/>
    <w:rsid w:val="00D16C81"/>
    <w:rsid w:val="00D176C1"/>
    <w:rsid w:val="00D176FF"/>
    <w:rsid w:val="00D17ABF"/>
    <w:rsid w:val="00D17B98"/>
    <w:rsid w:val="00D2046F"/>
    <w:rsid w:val="00D206A7"/>
    <w:rsid w:val="00D21094"/>
    <w:rsid w:val="00D2197B"/>
    <w:rsid w:val="00D21A81"/>
    <w:rsid w:val="00D21DCD"/>
    <w:rsid w:val="00D21E45"/>
    <w:rsid w:val="00D22244"/>
    <w:rsid w:val="00D22885"/>
    <w:rsid w:val="00D2289D"/>
    <w:rsid w:val="00D22C1F"/>
    <w:rsid w:val="00D22D4F"/>
    <w:rsid w:val="00D2312D"/>
    <w:rsid w:val="00D236D8"/>
    <w:rsid w:val="00D244BB"/>
    <w:rsid w:val="00D2536A"/>
    <w:rsid w:val="00D26018"/>
    <w:rsid w:val="00D26227"/>
    <w:rsid w:val="00D2649C"/>
    <w:rsid w:val="00D26571"/>
    <w:rsid w:val="00D26912"/>
    <w:rsid w:val="00D270AF"/>
    <w:rsid w:val="00D27123"/>
    <w:rsid w:val="00D273F1"/>
    <w:rsid w:val="00D27AF9"/>
    <w:rsid w:val="00D27EA1"/>
    <w:rsid w:val="00D308BA"/>
    <w:rsid w:val="00D309D6"/>
    <w:rsid w:val="00D30B5E"/>
    <w:rsid w:val="00D320C6"/>
    <w:rsid w:val="00D3247F"/>
    <w:rsid w:val="00D32C73"/>
    <w:rsid w:val="00D32E36"/>
    <w:rsid w:val="00D32F92"/>
    <w:rsid w:val="00D3374E"/>
    <w:rsid w:val="00D35075"/>
    <w:rsid w:val="00D35237"/>
    <w:rsid w:val="00D3529F"/>
    <w:rsid w:val="00D35F48"/>
    <w:rsid w:val="00D37329"/>
    <w:rsid w:val="00D37E99"/>
    <w:rsid w:val="00D40359"/>
    <w:rsid w:val="00D406CC"/>
    <w:rsid w:val="00D41732"/>
    <w:rsid w:val="00D4306F"/>
    <w:rsid w:val="00D43752"/>
    <w:rsid w:val="00D44074"/>
    <w:rsid w:val="00D445C2"/>
    <w:rsid w:val="00D450A1"/>
    <w:rsid w:val="00D451BF"/>
    <w:rsid w:val="00D4520B"/>
    <w:rsid w:val="00D46562"/>
    <w:rsid w:val="00D4697F"/>
    <w:rsid w:val="00D46BEC"/>
    <w:rsid w:val="00D47B27"/>
    <w:rsid w:val="00D47BF5"/>
    <w:rsid w:val="00D50423"/>
    <w:rsid w:val="00D512EC"/>
    <w:rsid w:val="00D5282A"/>
    <w:rsid w:val="00D53EC8"/>
    <w:rsid w:val="00D53F43"/>
    <w:rsid w:val="00D5408F"/>
    <w:rsid w:val="00D54E12"/>
    <w:rsid w:val="00D551C7"/>
    <w:rsid w:val="00D551D8"/>
    <w:rsid w:val="00D555F3"/>
    <w:rsid w:val="00D559A1"/>
    <w:rsid w:val="00D55A76"/>
    <w:rsid w:val="00D55E42"/>
    <w:rsid w:val="00D564B0"/>
    <w:rsid w:val="00D56DE8"/>
    <w:rsid w:val="00D56FAA"/>
    <w:rsid w:val="00D577FF"/>
    <w:rsid w:val="00D57FE0"/>
    <w:rsid w:val="00D610DE"/>
    <w:rsid w:val="00D613C5"/>
    <w:rsid w:val="00D618DC"/>
    <w:rsid w:val="00D6198C"/>
    <w:rsid w:val="00D61B91"/>
    <w:rsid w:val="00D61B97"/>
    <w:rsid w:val="00D61F44"/>
    <w:rsid w:val="00D6203F"/>
    <w:rsid w:val="00D62F25"/>
    <w:rsid w:val="00D63A32"/>
    <w:rsid w:val="00D63AB6"/>
    <w:rsid w:val="00D63D4E"/>
    <w:rsid w:val="00D644C2"/>
    <w:rsid w:val="00D6458C"/>
    <w:rsid w:val="00D64E1C"/>
    <w:rsid w:val="00D657DB"/>
    <w:rsid w:val="00D65FEE"/>
    <w:rsid w:val="00D6640D"/>
    <w:rsid w:val="00D6671E"/>
    <w:rsid w:val="00D66FFC"/>
    <w:rsid w:val="00D67983"/>
    <w:rsid w:val="00D7005B"/>
    <w:rsid w:val="00D705C1"/>
    <w:rsid w:val="00D70DB9"/>
    <w:rsid w:val="00D7103E"/>
    <w:rsid w:val="00D710EC"/>
    <w:rsid w:val="00D71465"/>
    <w:rsid w:val="00D71D9E"/>
    <w:rsid w:val="00D71FFE"/>
    <w:rsid w:val="00D72168"/>
    <w:rsid w:val="00D724FF"/>
    <w:rsid w:val="00D72E41"/>
    <w:rsid w:val="00D732D8"/>
    <w:rsid w:val="00D7349A"/>
    <w:rsid w:val="00D73701"/>
    <w:rsid w:val="00D74357"/>
    <w:rsid w:val="00D74688"/>
    <w:rsid w:val="00D74E1A"/>
    <w:rsid w:val="00D7566F"/>
    <w:rsid w:val="00D75997"/>
    <w:rsid w:val="00D759DD"/>
    <w:rsid w:val="00D75B1C"/>
    <w:rsid w:val="00D76611"/>
    <w:rsid w:val="00D76B63"/>
    <w:rsid w:val="00D77115"/>
    <w:rsid w:val="00D808BF"/>
    <w:rsid w:val="00D815EA"/>
    <w:rsid w:val="00D81FDC"/>
    <w:rsid w:val="00D825EF"/>
    <w:rsid w:val="00D82CB1"/>
    <w:rsid w:val="00D8347D"/>
    <w:rsid w:val="00D84272"/>
    <w:rsid w:val="00D8427F"/>
    <w:rsid w:val="00D8456B"/>
    <w:rsid w:val="00D84667"/>
    <w:rsid w:val="00D84845"/>
    <w:rsid w:val="00D849B3"/>
    <w:rsid w:val="00D84E3C"/>
    <w:rsid w:val="00D854ED"/>
    <w:rsid w:val="00D856F5"/>
    <w:rsid w:val="00D85D22"/>
    <w:rsid w:val="00D85F68"/>
    <w:rsid w:val="00D8609F"/>
    <w:rsid w:val="00D86C16"/>
    <w:rsid w:val="00D86C87"/>
    <w:rsid w:val="00D86CB5"/>
    <w:rsid w:val="00D86E11"/>
    <w:rsid w:val="00D879DC"/>
    <w:rsid w:val="00D87BF6"/>
    <w:rsid w:val="00D87EA5"/>
    <w:rsid w:val="00D9173B"/>
    <w:rsid w:val="00D919AC"/>
    <w:rsid w:val="00D93AF7"/>
    <w:rsid w:val="00D93DAD"/>
    <w:rsid w:val="00D94082"/>
    <w:rsid w:val="00D94332"/>
    <w:rsid w:val="00D948FA"/>
    <w:rsid w:val="00D96260"/>
    <w:rsid w:val="00D96787"/>
    <w:rsid w:val="00D96D0F"/>
    <w:rsid w:val="00D9707B"/>
    <w:rsid w:val="00D97451"/>
    <w:rsid w:val="00D97521"/>
    <w:rsid w:val="00D9786E"/>
    <w:rsid w:val="00D97CE9"/>
    <w:rsid w:val="00D97DA5"/>
    <w:rsid w:val="00DA07AD"/>
    <w:rsid w:val="00DA0C7C"/>
    <w:rsid w:val="00DA109F"/>
    <w:rsid w:val="00DA10B2"/>
    <w:rsid w:val="00DA10C3"/>
    <w:rsid w:val="00DA11F7"/>
    <w:rsid w:val="00DA13FC"/>
    <w:rsid w:val="00DA23DB"/>
    <w:rsid w:val="00DA281D"/>
    <w:rsid w:val="00DA2820"/>
    <w:rsid w:val="00DA30AF"/>
    <w:rsid w:val="00DA3292"/>
    <w:rsid w:val="00DA3614"/>
    <w:rsid w:val="00DA3BB1"/>
    <w:rsid w:val="00DA41BD"/>
    <w:rsid w:val="00DA4414"/>
    <w:rsid w:val="00DA46AD"/>
    <w:rsid w:val="00DA611D"/>
    <w:rsid w:val="00DA64C4"/>
    <w:rsid w:val="00DB04F2"/>
    <w:rsid w:val="00DB0FB6"/>
    <w:rsid w:val="00DB1381"/>
    <w:rsid w:val="00DB17A1"/>
    <w:rsid w:val="00DB194E"/>
    <w:rsid w:val="00DB1C4D"/>
    <w:rsid w:val="00DB1DC2"/>
    <w:rsid w:val="00DB2214"/>
    <w:rsid w:val="00DB24C3"/>
    <w:rsid w:val="00DB2C38"/>
    <w:rsid w:val="00DB2C40"/>
    <w:rsid w:val="00DB3EE1"/>
    <w:rsid w:val="00DB441E"/>
    <w:rsid w:val="00DB4874"/>
    <w:rsid w:val="00DB50B6"/>
    <w:rsid w:val="00DB5C92"/>
    <w:rsid w:val="00DB5D5F"/>
    <w:rsid w:val="00DB600B"/>
    <w:rsid w:val="00DB602F"/>
    <w:rsid w:val="00DB6F5D"/>
    <w:rsid w:val="00DB733A"/>
    <w:rsid w:val="00DB75D7"/>
    <w:rsid w:val="00DB7A31"/>
    <w:rsid w:val="00DB7B94"/>
    <w:rsid w:val="00DC033E"/>
    <w:rsid w:val="00DC04D8"/>
    <w:rsid w:val="00DC050D"/>
    <w:rsid w:val="00DC07E9"/>
    <w:rsid w:val="00DC0F7E"/>
    <w:rsid w:val="00DC119A"/>
    <w:rsid w:val="00DC11E8"/>
    <w:rsid w:val="00DC1964"/>
    <w:rsid w:val="00DC1C7D"/>
    <w:rsid w:val="00DC26B5"/>
    <w:rsid w:val="00DC2BC3"/>
    <w:rsid w:val="00DC2CF5"/>
    <w:rsid w:val="00DC2F37"/>
    <w:rsid w:val="00DC2F53"/>
    <w:rsid w:val="00DC3971"/>
    <w:rsid w:val="00DC4DD9"/>
    <w:rsid w:val="00DC51CF"/>
    <w:rsid w:val="00DC55AC"/>
    <w:rsid w:val="00DC56C1"/>
    <w:rsid w:val="00DC5EBC"/>
    <w:rsid w:val="00DC6617"/>
    <w:rsid w:val="00DC70CD"/>
    <w:rsid w:val="00DC7723"/>
    <w:rsid w:val="00DC7EA9"/>
    <w:rsid w:val="00DD099B"/>
    <w:rsid w:val="00DD0B7A"/>
    <w:rsid w:val="00DD0DF2"/>
    <w:rsid w:val="00DD11B9"/>
    <w:rsid w:val="00DD1764"/>
    <w:rsid w:val="00DD1B63"/>
    <w:rsid w:val="00DD277D"/>
    <w:rsid w:val="00DD2930"/>
    <w:rsid w:val="00DD2F29"/>
    <w:rsid w:val="00DD37CD"/>
    <w:rsid w:val="00DD4788"/>
    <w:rsid w:val="00DD4D36"/>
    <w:rsid w:val="00DD4DFD"/>
    <w:rsid w:val="00DD5946"/>
    <w:rsid w:val="00DD612F"/>
    <w:rsid w:val="00DD7753"/>
    <w:rsid w:val="00DE04B6"/>
    <w:rsid w:val="00DE0603"/>
    <w:rsid w:val="00DE08C7"/>
    <w:rsid w:val="00DE10AD"/>
    <w:rsid w:val="00DE15F0"/>
    <w:rsid w:val="00DE1D6E"/>
    <w:rsid w:val="00DE22CD"/>
    <w:rsid w:val="00DE235B"/>
    <w:rsid w:val="00DE2870"/>
    <w:rsid w:val="00DE2894"/>
    <w:rsid w:val="00DE2E06"/>
    <w:rsid w:val="00DE2E2E"/>
    <w:rsid w:val="00DE385B"/>
    <w:rsid w:val="00DE3906"/>
    <w:rsid w:val="00DE3F88"/>
    <w:rsid w:val="00DE4099"/>
    <w:rsid w:val="00DE40D5"/>
    <w:rsid w:val="00DE4484"/>
    <w:rsid w:val="00DE4A02"/>
    <w:rsid w:val="00DE4B9F"/>
    <w:rsid w:val="00DE4E1E"/>
    <w:rsid w:val="00DE4EC7"/>
    <w:rsid w:val="00DE54F9"/>
    <w:rsid w:val="00DE5531"/>
    <w:rsid w:val="00DE5D63"/>
    <w:rsid w:val="00DE5DAB"/>
    <w:rsid w:val="00DE604D"/>
    <w:rsid w:val="00DE65D6"/>
    <w:rsid w:val="00DE78AE"/>
    <w:rsid w:val="00DE792D"/>
    <w:rsid w:val="00DE7AC8"/>
    <w:rsid w:val="00DE7B70"/>
    <w:rsid w:val="00DE7FA9"/>
    <w:rsid w:val="00DF02EB"/>
    <w:rsid w:val="00DF0618"/>
    <w:rsid w:val="00DF0A98"/>
    <w:rsid w:val="00DF0F13"/>
    <w:rsid w:val="00DF10A9"/>
    <w:rsid w:val="00DF1557"/>
    <w:rsid w:val="00DF181C"/>
    <w:rsid w:val="00DF1A4B"/>
    <w:rsid w:val="00DF1F83"/>
    <w:rsid w:val="00DF22A8"/>
    <w:rsid w:val="00DF2AC5"/>
    <w:rsid w:val="00DF2D10"/>
    <w:rsid w:val="00DF2DAE"/>
    <w:rsid w:val="00DF2FAF"/>
    <w:rsid w:val="00DF30EC"/>
    <w:rsid w:val="00DF3ED8"/>
    <w:rsid w:val="00DF47B2"/>
    <w:rsid w:val="00DF4917"/>
    <w:rsid w:val="00DF512E"/>
    <w:rsid w:val="00DF5155"/>
    <w:rsid w:val="00DF533A"/>
    <w:rsid w:val="00DF5A5D"/>
    <w:rsid w:val="00DF5E63"/>
    <w:rsid w:val="00DF6368"/>
    <w:rsid w:val="00DF6690"/>
    <w:rsid w:val="00DF70F4"/>
    <w:rsid w:val="00DF7F97"/>
    <w:rsid w:val="00E001A9"/>
    <w:rsid w:val="00E002A6"/>
    <w:rsid w:val="00E00680"/>
    <w:rsid w:val="00E00760"/>
    <w:rsid w:val="00E007A6"/>
    <w:rsid w:val="00E0147D"/>
    <w:rsid w:val="00E01954"/>
    <w:rsid w:val="00E027A5"/>
    <w:rsid w:val="00E0314A"/>
    <w:rsid w:val="00E031A0"/>
    <w:rsid w:val="00E033D5"/>
    <w:rsid w:val="00E03D75"/>
    <w:rsid w:val="00E040A9"/>
    <w:rsid w:val="00E047E2"/>
    <w:rsid w:val="00E0535C"/>
    <w:rsid w:val="00E0546A"/>
    <w:rsid w:val="00E05C95"/>
    <w:rsid w:val="00E05EB3"/>
    <w:rsid w:val="00E064E1"/>
    <w:rsid w:val="00E06642"/>
    <w:rsid w:val="00E067AE"/>
    <w:rsid w:val="00E06B7E"/>
    <w:rsid w:val="00E06D5A"/>
    <w:rsid w:val="00E07C80"/>
    <w:rsid w:val="00E104C7"/>
    <w:rsid w:val="00E107B6"/>
    <w:rsid w:val="00E10CE2"/>
    <w:rsid w:val="00E119C4"/>
    <w:rsid w:val="00E11ACF"/>
    <w:rsid w:val="00E12B2B"/>
    <w:rsid w:val="00E13705"/>
    <w:rsid w:val="00E13BAA"/>
    <w:rsid w:val="00E1422B"/>
    <w:rsid w:val="00E147CA"/>
    <w:rsid w:val="00E14D21"/>
    <w:rsid w:val="00E14E70"/>
    <w:rsid w:val="00E14EDD"/>
    <w:rsid w:val="00E15F4A"/>
    <w:rsid w:val="00E162F6"/>
    <w:rsid w:val="00E1688C"/>
    <w:rsid w:val="00E16A28"/>
    <w:rsid w:val="00E16B8B"/>
    <w:rsid w:val="00E17E84"/>
    <w:rsid w:val="00E203ED"/>
    <w:rsid w:val="00E20480"/>
    <w:rsid w:val="00E20748"/>
    <w:rsid w:val="00E20CEE"/>
    <w:rsid w:val="00E20E7C"/>
    <w:rsid w:val="00E2121C"/>
    <w:rsid w:val="00E21370"/>
    <w:rsid w:val="00E214C7"/>
    <w:rsid w:val="00E21727"/>
    <w:rsid w:val="00E21D8A"/>
    <w:rsid w:val="00E21F6E"/>
    <w:rsid w:val="00E22081"/>
    <w:rsid w:val="00E221B4"/>
    <w:rsid w:val="00E221C6"/>
    <w:rsid w:val="00E23231"/>
    <w:rsid w:val="00E23622"/>
    <w:rsid w:val="00E2366F"/>
    <w:rsid w:val="00E2389B"/>
    <w:rsid w:val="00E24051"/>
    <w:rsid w:val="00E2412A"/>
    <w:rsid w:val="00E24803"/>
    <w:rsid w:val="00E24A96"/>
    <w:rsid w:val="00E258EA"/>
    <w:rsid w:val="00E25CD9"/>
    <w:rsid w:val="00E25DC2"/>
    <w:rsid w:val="00E260E0"/>
    <w:rsid w:val="00E26197"/>
    <w:rsid w:val="00E26D6F"/>
    <w:rsid w:val="00E27987"/>
    <w:rsid w:val="00E311A1"/>
    <w:rsid w:val="00E31771"/>
    <w:rsid w:val="00E31B36"/>
    <w:rsid w:val="00E31DB9"/>
    <w:rsid w:val="00E322C3"/>
    <w:rsid w:val="00E32D49"/>
    <w:rsid w:val="00E339A1"/>
    <w:rsid w:val="00E33A5F"/>
    <w:rsid w:val="00E33A79"/>
    <w:rsid w:val="00E33B69"/>
    <w:rsid w:val="00E3435F"/>
    <w:rsid w:val="00E344DB"/>
    <w:rsid w:val="00E3454E"/>
    <w:rsid w:val="00E34554"/>
    <w:rsid w:val="00E34E10"/>
    <w:rsid w:val="00E34FEE"/>
    <w:rsid w:val="00E350C7"/>
    <w:rsid w:val="00E352D3"/>
    <w:rsid w:val="00E35435"/>
    <w:rsid w:val="00E3576C"/>
    <w:rsid w:val="00E35EFD"/>
    <w:rsid w:val="00E35F41"/>
    <w:rsid w:val="00E362A3"/>
    <w:rsid w:val="00E36A1F"/>
    <w:rsid w:val="00E37449"/>
    <w:rsid w:val="00E376D9"/>
    <w:rsid w:val="00E37D05"/>
    <w:rsid w:val="00E4066D"/>
    <w:rsid w:val="00E41941"/>
    <w:rsid w:val="00E41B2D"/>
    <w:rsid w:val="00E41D3C"/>
    <w:rsid w:val="00E424A7"/>
    <w:rsid w:val="00E42A59"/>
    <w:rsid w:val="00E42DA5"/>
    <w:rsid w:val="00E437C0"/>
    <w:rsid w:val="00E457B8"/>
    <w:rsid w:val="00E4638F"/>
    <w:rsid w:val="00E46723"/>
    <w:rsid w:val="00E475AD"/>
    <w:rsid w:val="00E4771F"/>
    <w:rsid w:val="00E47A9E"/>
    <w:rsid w:val="00E5015F"/>
    <w:rsid w:val="00E515AE"/>
    <w:rsid w:val="00E517A0"/>
    <w:rsid w:val="00E5181D"/>
    <w:rsid w:val="00E51E46"/>
    <w:rsid w:val="00E5291A"/>
    <w:rsid w:val="00E52C8F"/>
    <w:rsid w:val="00E53A0A"/>
    <w:rsid w:val="00E540B3"/>
    <w:rsid w:val="00E54142"/>
    <w:rsid w:val="00E5456D"/>
    <w:rsid w:val="00E5494B"/>
    <w:rsid w:val="00E551FE"/>
    <w:rsid w:val="00E55215"/>
    <w:rsid w:val="00E552C6"/>
    <w:rsid w:val="00E56217"/>
    <w:rsid w:val="00E5662C"/>
    <w:rsid w:val="00E578F5"/>
    <w:rsid w:val="00E60109"/>
    <w:rsid w:val="00E605D6"/>
    <w:rsid w:val="00E60C8D"/>
    <w:rsid w:val="00E61483"/>
    <w:rsid w:val="00E61B94"/>
    <w:rsid w:val="00E62373"/>
    <w:rsid w:val="00E62830"/>
    <w:rsid w:val="00E628B7"/>
    <w:rsid w:val="00E62AFE"/>
    <w:rsid w:val="00E64072"/>
    <w:rsid w:val="00E64557"/>
    <w:rsid w:val="00E648D0"/>
    <w:rsid w:val="00E6492A"/>
    <w:rsid w:val="00E64EB3"/>
    <w:rsid w:val="00E64F81"/>
    <w:rsid w:val="00E66081"/>
    <w:rsid w:val="00E662B4"/>
    <w:rsid w:val="00E6712B"/>
    <w:rsid w:val="00E67483"/>
    <w:rsid w:val="00E67A91"/>
    <w:rsid w:val="00E67BE6"/>
    <w:rsid w:val="00E67C73"/>
    <w:rsid w:val="00E67E5F"/>
    <w:rsid w:val="00E67E90"/>
    <w:rsid w:val="00E67F52"/>
    <w:rsid w:val="00E67FC8"/>
    <w:rsid w:val="00E70433"/>
    <w:rsid w:val="00E7101E"/>
    <w:rsid w:val="00E710D7"/>
    <w:rsid w:val="00E71490"/>
    <w:rsid w:val="00E714B5"/>
    <w:rsid w:val="00E718A8"/>
    <w:rsid w:val="00E7203C"/>
    <w:rsid w:val="00E724B2"/>
    <w:rsid w:val="00E724F7"/>
    <w:rsid w:val="00E72991"/>
    <w:rsid w:val="00E72AA1"/>
    <w:rsid w:val="00E72BC4"/>
    <w:rsid w:val="00E7469E"/>
    <w:rsid w:val="00E748E2"/>
    <w:rsid w:val="00E74A1B"/>
    <w:rsid w:val="00E74AAB"/>
    <w:rsid w:val="00E74B7D"/>
    <w:rsid w:val="00E75558"/>
    <w:rsid w:val="00E75EC5"/>
    <w:rsid w:val="00E7619F"/>
    <w:rsid w:val="00E7796A"/>
    <w:rsid w:val="00E77BC9"/>
    <w:rsid w:val="00E77D46"/>
    <w:rsid w:val="00E77E42"/>
    <w:rsid w:val="00E81231"/>
    <w:rsid w:val="00E818EC"/>
    <w:rsid w:val="00E81C0C"/>
    <w:rsid w:val="00E81EA1"/>
    <w:rsid w:val="00E829FE"/>
    <w:rsid w:val="00E82A6E"/>
    <w:rsid w:val="00E82F54"/>
    <w:rsid w:val="00E831CC"/>
    <w:rsid w:val="00E83318"/>
    <w:rsid w:val="00E838A4"/>
    <w:rsid w:val="00E83EDD"/>
    <w:rsid w:val="00E83F4F"/>
    <w:rsid w:val="00E84467"/>
    <w:rsid w:val="00E84A16"/>
    <w:rsid w:val="00E84EBE"/>
    <w:rsid w:val="00E8508A"/>
    <w:rsid w:val="00E85101"/>
    <w:rsid w:val="00E85BB0"/>
    <w:rsid w:val="00E85C8B"/>
    <w:rsid w:val="00E86FFC"/>
    <w:rsid w:val="00E87299"/>
    <w:rsid w:val="00E8756F"/>
    <w:rsid w:val="00E87D68"/>
    <w:rsid w:val="00E9101E"/>
    <w:rsid w:val="00E91E77"/>
    <w:rsid w:val="00E92473"/>
    <w:rsid w:val="00E92948"/>
    <w:rsid w:val="00E92B3C"/>
    <w:rsid w:val="00E92DE0"/>
    <w:rsid w:val="00E93055"/>
    <w:rsid w:val="00E93058"/>
    <w:rsid w:val="00E93101"/>
    <w:rsid w:val="00E9319B"/>
    <w:rsid w:val="00E93702"/>
    <w:rsid w:val="00E93CB1"/>
    <w:rsid w:val="00E93CDA"/>
    <w:rsid w:val="00E93DFB"/>
    <w:rsid w:val="00E9405A"/>
    <w:rsid w:val="00E94161"/>
    <w:rsid w:val="00E94D70"/>
    <w:rsid w:val="00E94F37"/>
    <w:rsid w:val="00E95684"/>
    <w:rsid w:val="00E959E5"/>
    <w:rsid w:val="00E95B22"/>
    <w:rsid w:val="00E963BC"/>
    <w:rsid w:val="00E971FF"/>
    <w:rsid w:val="00E97AA4"/>
    <w:rsid w:val="00EA0914"/>
    <w:rsid w:val="00EA0A58"/>
    <w:rsid w:val="00EA0EFF"/>
    <w:rsid w:val="00EA1175"/>
    <w:rsid w:val="00EA1A0C"/>
    <w:rsid w:val="00EA240D"/>
    <w:rsid w:val="00EA2C58"/>
    <w:rsid w:val="00EA2D86"/>
    <w:rsid w:val="00EA2EF7"/>
    <w:rsid w:val="00EA30E0"/>
    <w:rsid w:val="00EA38AA"/>
    <w:rsid w:val="00EA3C4A"/>
    <w:rsid w:val="00EA3C59"/>
    <w:rsid w:val="00EA3EB2"/>
    <w:rsid w:val="00EA44D0"/>
    <w:rsid w:val="00EA4F6E"/>
    <w:rsid w:val="00EA5065"/>
    <w:rsid w:val="00EA54E2"/>
    <w:rsid w:val="00EA6138"/>
    <w:rsid w:val="00EA6270"/>
    <w:rsid w:val="00EA667F"/>
    <w:rsid w:val="00EA6879"/>
    <w:rsid w:val="00EA7BA5"/>
    <w:rsid w:val="00EA7F99"/>
    <w:rsid w:val="00EB003D"/>
    <w:rsid w:val="00EB02C8"/>
    <w:rsid w:val="00EB0DFE"/>
    <w:rsid w:val="00EB199A"/>
    <w:rsid w:val="00EB2AC9"/>
    <w:rsid w:val="00EB3476"/>
    <w:rsid w:val="00EB3603"/>
    <w:rsid w:val="00EB3931"/>
    <w:rsid w:val="00EB4354"/>
    <w:rsid w:val="00EB4929"/>
    <w:rsid w:val="00EB4FE5"/>
    <w:rsid w:val="00EB52D0"/>
    <w:rsid w:val="00EB5475"/>
    <w:rsid w:val="00EB57A2"/>
    <w:rsid w:val="00EB607B"/>
    <w:rsid w:val="00EB67DD"/>
    <w:rsid w:val="00EB6A88"/>
    <w:rsid w:val="00EB6C10"/>
    <w:rsid w:val="00EB6C87"/>
    <w:rsid w:val="00EB6CA9"/>
    <w:rsid w:val="00EB6D18"/>
    <w:rsid w:val="00EB75EC"/>
    <w:rsid w:val="00EC0465"/>
    <w:rsid w:val="00EC05A7"/>
    <w:rsid w:val="00EC14BB"/>
    <w:rsid w:val="00EC1893"/>
    <w:rsid w:val="00EC1AA3"/>
    <w:rsid w:val="00EC1B4D"/>
    <w:rsid w:val="00EC1E91"/>
    <w:rsid w:val="00EC3429"/>
    <w:rsid w:val="00EC3FAA"/>
    <w:rsid w:val="00EC433E"/>
    <w:rsid w:val="00EC439D"/>
    <w:rsid w:val="00EC46E0"/>
    <w:rsid w:val="00EC4B15"/>
    <w:rsid w:val="00EC4D16"/>
    <w:rsid w:val="00EC4E40"/>
    <w:rsid w:val="00EC5137"/>
    <w:rsid w:val="00EC592A"/>
    <w:rsid w:val="00EC6193"/>
    <w:rsid w:val="00EC62FC"/>
    <w:rsid w:val="00ED11C1"/>
    <w:rsid w:val="00ED160F"/>
    <w:rsid w:val="00ED1EA2"/>
    <w:rsid w:val="00ED213B"/>
    <w:rsid w:val="00ED23F9"/>
    <w:rsid w:val="00ED2EA4"/>
    <w:rsid w:val="00ED2ED3"/>
    <w:rsid w:val="00ED3111"/>
    <w:rsid w:val="00ED35D2"/>
    <w:rsid w:val="00ED4870"/>
    <w:rsid w:val="00ED574A"/>
    <w:rsid w:val="00ED5CC0"/>
    <w:rsid w:val="00ED68E8"/>
    <w:rsid w:val="00ED7A41"/>
    <w:rsid w:val="00ED7AB4"/>
    <w:rsid w:val="00ED7F35"/>
    <w:rsid w:val="00EE0542"/>
    <w:rsid w:val="00EE0904"/>
    <w:rsid w:val="00EE196E"/>
    <w:rsid w:val="00EE2471"/>
    <w:rsid w:val="00EE28A4"/>
    <w:rsid w:val="00EE2B6F"/>
    <w:rsid w:val="00EE31D4"/>
    <w:rsid w:val="00EE3432"/>
    <w:rsid w:val="00EE35FF"/>
    <w:rsid w:val="00EE4172"/>
    <w:rsid w:val="00EE4B90"/>
    <w:rsid w:val="00EE501B"/>
    <w:rsid w:val="00EE613C"/>
    <w:rsid w:val="00EE6381"/>
    <w:rsid w:val="00EE785C"/>
    <w:rsid w:val="00EF0EF1"/>
    <w:rsid w:val="00EF1195"/>
    <w:rsid w:val="00EF1444"/>
    <w:rsid w:val="00EF14F5"/>
    <w:rsid w:val="00EF1A57"/>
    <w:rsid w:val="00EF24F8"/>
    <w:rsid w:val="00EF255F"/>
    <w:rsid w:val="00EF2562"/>
    <w:rsid w:val="00EF2E8B"/>
    <w:rsid w:val="00EF33A4"/>
    <w:rsid w:val="00EF33C6"/>
    <w:rsid w:val="00EF48B9"/>
    <w:rsid w:val="00EF514D"/>
    <w:rsid w:val="00EF5265"/>
    <w:rsid w:val="00EF5E6A"/>
    <w:rsid w:val="00EF5E73"/>
    <w:rsid w:val="00EF5F6A"/>
    <w:rsid w:val="00EF6002"/>
    <w:rsid w:val="00EF622A"/>
    <w:rsid w:val="00EF6355"/>
    <w:rsid w:val="00EF686E"/>
    <w:rsid w:val="00EF6C1A"/>
    <w:rsid w:val="00EF717C"/>
    <w:rsid w:val="00EF7630"/>
    <w:rsid w:val="00EF7EFA"/>
    <w:rsid w:val="00F000A6"/>
    <w:rsid w:val="00F00246"/>
    <w:rsid w:val="00F00A0B"/>
    <w:rsid w:val="00F00A19"/>
    <w:rsid w:val="00F01BED"/>
    <w:rsid w:val="00F01E4F"/>
    <w:rsid w:val="00F02B6F"/>
    <w:rsid w:val="00F03B2E"/>
    <w:rsid w:val="00F04A72"/>
    <w:rsid w:val="00F04AB7"/>
    <w:rsid w:val="00F04D3A"/>
    <w:rsid w:val="00F05155"/>
    <w:rsid w:val="00F052DA"/>
    <w:rsid w:val="00F05E10"/>
    <w:rsid w:val="00F066BC"/>
    <w:rsid w:val="00F06886"/>
    <w:rsid w:val="00F06BBD"/>
    <w:rsid w:val="00F06F93"/>
    <w:rsid w:val="00F103EB"/>
    <w:rsid w:val="00F1056E"/>
    <w:rsid w:val="00F10620"/>
    <w:rsid w:val="00F10DA2"/>
    <w:rsid w:val="00F12BCC"/>
    <w:rsid w:val="00F13426"/>
    <w:rsid w:val="00F13873"/>
    <w:rsid w:val="00F13B1A"/>
    <w:rsid w:val="00F13D31"/>
    <w:rsid w:val="00F14101"/>
    <w:rsid w:val="00F157E8"/>
    <w:rsid w:val="00F1596F"/>
    <w:rsid w:val="00F15DF8"/>
    <w:rsid w:val="00F160C5"/>
    <w:rsid w:val="00F16233"/>
    <w:rsid w:val="00F167A5"/>
    <w:rsid w:val="00F17AE7"/>
    <w:rsid w:val="00F20104"/>
    <w:rsid w:val="00F2051B"/>
    <w:rsid w:val="00F213C9"/>
    <w:rsid w:val="00F2158B"/>
    <w:rsid w:val="00F21DEA"/>
    <w:rsid w:val="00F22582"/>
    <w:rsid w:val="00F22943"/>
    <w:rsid w:val="00F22ADD"/>
    <w:rsid w:val="00F23151"/>
    <w:rsid w:val="00F23491"/>
    <w:rsid w:val="00F23CE7"/>
    <w:rsid w:val="00F23D64"/>
    <w:rsid w:val="00F23E06"/>
    <w:rsid w:val="00F24F5B"/>
    <w:rsid w:val="00F25609"/>
    <w:rsid w:val="00F25F73"/>
    <w:rsid w:val="00F2636E"/>
    <w:rsid w:val="00F26905"/>
    <w:rsid w:val="00F26AFF"/>
    <w:rsid w:val="00F26D08"/>
    <w:rsid w:val="00F26FF2"/>
    <w:rsid w:val="00F2740C"/>
    <w:rsid w:val="00F27F10"/>
    <w:rsid w:val="00F27F23"/>
    <w:rsid w:val="00F302A2"/>
    <w:rsid w:val="00F315A7"/>
    <w:rsid w:val="00F31951"/>
    <w:rsid w:val="00F31BFC"/>
    <w:rsid w:val="00F31D27"/>
    <w:rsid w:val="00F3202F"/>
    <w:rsid w:val="00F33F46"/>
    <w:rsid w:val="00F350E5"/>
    <w:rsid w:val="00F356C8"/>
    <w:rsid w:val="00F3583C"/>
    <w:rsid w:val="00F35B66"/>
    <w:rsid w:val="00F36151"/>
    <w:rsid w:val="00F3626F"/>
    <w:rsid w:val="00F36AA8"/>
    <w:rsid w:val="00F3709C"/>
    <w:rsid w:val="00F37B07"/>
    <w:rsid w:val="00F37B65"/>
    <w:rsid w:val="00F37BEA"/>
    <w:rsid w:val="00F37F0A"/>
    <w:rsid w:val="00F40168"/>
    <w:rsid w:val="00F40287"/>
    <w:rsid w:val="00F402A5"/>
    <w:rsid w:val="00F41392"/>
    <w:rsid w:val="00F417EF"/>
    <w:rsid w:val="00F43902"/>
    <w:rsid w:val="00F439BF"/>
    <w:rsid w:val="00F441FE"/>
    <w:rsid w:val="00F44D44"/>
    <w:rsid w:val="00F45024"/>
    <w:rsid w:val="00F45107"/>
    <w:rsid w:val="00F45A52"/>
    <w:rsid w:val="00F45B1F"/>
    <w:rsid w:val="00F4631D"/>
    <w:rsid w:val="00F4707E"/>
    <w:rsid w:val="00F4725C"/>
    <w:rsid w:val="00F47AFF"/>
    <w:rsid w:val="00F47D53"/>
    <w:rsid w:val="00F5099B"/>
    <w:rsid w:val="00F50E8F"/>
    <w:rsid w:val="00F5154C"/>
    <w:rsid w:val="00F51B58"/>
    <w:rsid w:val="00F51BBC"/>
    <w:rsid w:val="00F51E0F"/>
    <w:rsid w:val="00F51FBE"/>
    <w:rsid w:val="00F52003"/>
    <w:rsid w:val="00F5202F"/>
    <w:rsid w:val="00F5243C"/>
    <w:rsid w:val="00F53638"/>
    <w:rsid w:val="00F53A27"/>
    <w:rsid w:val="00F56493"/>
    <w:rsid w:val="00F56618"/>
    <w:rsid w:val="00F5695E"/>
    <w:rsid w:val="00F56F00"/>
    <w:rsid w:val="00F57806"/>
    <w:rsid w:val="00F57843"/>
    <w:rsid w:val="00F57955"/>
    <w:rsid w:val="00F57BBE"/>
    <w:rsid w:val="00F6061D"/>
    <w:rsid w:val="00F606A8"/>
    <w:rsid w:val="00F61726"/>
    <w:rsid w:val="00F618EB"/>
    <w:rsid w:val="00F633BC"/>
    <w:rsid w:val="00F63561"/>
    <w:rsid w:val="00F6382B"/>
    <w:rsid w:val="00F6429B"/>
    <w:rsid w:val="00F64311"/>
    <w:rsid w:val="00F64C45"/>
    <w:rsid w:val="00F64FDE"/>
    <w:rsid w:val="00F64FE8"/>
    <w:rsid w:val="00F656E0"/>
    <w:rsid w:val="00F66D21"/>
    <w:rsid w:val="00F66E18"/>
    <w:rsid w:val="00F66FF1"/>
    <w:rsid w:val="00F67101"/>
    <w:rsid w:val="00F6799D"/>
    <w:rsid w:val="00F703BB"/>
    <w:rsid w:val="00F7098D"/>
    <w:rsid w:val="00F70C54"/>
    <w:rsid w:val="00F70C69"/>
    <w:rsid w:val="00F70E99"/>
    <w:rsid w:val="00F71E14"/>
    <w:rsid w:val="00F72F0E"/>
    <w:rsid w:val="00F73565"/>
    <w:rsid w:val="00F73961"/>
    <w:rsid w:val="00F75109"/>
    <w:rsid w:val="00F75D03"/>
    <w:rsid w:val="00F765BF"/>
    <w:rsid w:val="00F767DE"/>
    <w:rsid w:val="00F769FA"/>
    <w:rsid w:val="00F8034D"/>
    <w:rsid w:val="00F80E2F"/>
    <w:rsid w:val="00F8193F"/>
    <w:rsid w:val="00F81AD9"/>
    <w:rsid w:val="00F81DA8"/>
    <w:rsid w:val="00F82B27"/>
    <w:rsid w:val="00F82E05"/>
    <w:rsid w:val="00F83B66"/>
    <w:rsid w:val="00F84402"/>
    <w:rsid w:val="00F84539"/>
    <w:rsid w:val="00F848DB"/>
    <w:rsid w:val="00F85CD7"/>
    <w:rsid w:val="00F85D28"/>
    <w:rsid w:val="00F85E11"/>
    <w:rsid w:val="00F86802"/>
    <w:rsid w:val="00F868E8"/>
    <w:rsid w:val="00F87A8C"/>
    <w:rsid w:val="00F9005F"/>
    <w:rsid w:val="00F905C7"/>
    <w:rsid w:val="00F906A3"/>
    <w:rsid w:val="00F90A9F"/>
    <w:rsid w:val="00F90F48"/>
    <w:rsid w:val="00F90FFE"/>
    <w:rsid w:val="00F91D90"/>
    <w:rsid w:val="00F91F63"/>
    <w:rsid w:val="00F92B9F"/>
    <w:rsid w:val="00F92D03"/>
    <w:rsid w:val="00F93451"/>
    <w:rsid w:val="00F93546"/>
    <w:rsid w:val="00F94060"/>
    <w:rsid w:val="00F94234"/>
    <w:rsid w:val="00F94E04"/>
    <w:rsid w:val="00F952EB"/>
    <w:rsid w:val="00F953EE"/>
    <w:rsid w:val="00F956F1"/>
    <w:rsid w:val="00F961C7"/>
    <w:rsid w:val="00F9665B"/>
    <w:rsid w:val="00F96E3B"/>
    <w:rsid w:val="00F971C2"/>
    <w:rsid w:val="00F97441"/>
    <w:rsid w:val="00F97E1F"/>
    <w:rsid w:val="00F97F64"/>
    <w:rsid w:val="00FA012F"/>
    <w:rsid w:val="00FA0D5B"/>
    <w:rsid w:val="00FA0E87"/>
    <w:rsid w:val="00FA1663"/>
    <w:rsid w:val="00FA224E"/>
    <w:rsid w:val="00FA27B1"/>
    <w:rsid w:val="00FA2A79"/>
    <w:rsid w:val="00FA2CAE"/>
    <w:rsid w:val="00FA2D7D"/>
    <w:rsid w:val="00FA3A5A"/>
    <w:rsid w:val="00FA3DCB"/>
    <w:rsid w:val="00FA4C0F"/>
    <w:rsid w:val="00FA4F19"/>
    <w:rsid w:val="00FA56A0"/>
    <w:rsid w:val="00FA56A6"/>
    <w:rsid w:val="00FA5ED2"/>
    <w:rsid w:val="00FA619C"/>
    <w:rsid w:val="00FA636C"/>
    <w:rsid w:val="00FA647D"/>
    <w:rsid w:val="00FA6795"/>
    <w:rsid w:val="00FA6AE4"/>
    <w:rsid w:val="00FA72E9"/>
    <w:rsid w:val="00FA75C3"/>
    <w:rsid w:val="00FA793F"/>
    <w:rsid w:val="00FB014F"/>
    <w:rsid w:val="00FB03E4"/>
    <w:rsid w:val="00FB1FAB"/>
    <w:rsid w:val="00FB234E"/>
    <w:rsid w:val="00FB2BDE"/>
    <w:rsid w:val="00FB4055"/>
    <w:rsid w:val="00FB45F5"/>
    <w:rsid w:val="00FB45F9"/>
    <w:rsid w:val="00FB5A7E"/>
    <w:rsid w:val="00FB69AD"/>
    <w:rsid w:val="00FB69D0"/>
    <w:rsid w:val="00FB6CE6"/>
    <w:rsid w:val="00FB7FDD"/>
    <w:rsid w:val="00FC05D5"/>
    <w:rsid w:val="00FC104E"/>
    <w:rsid w:val="00FC10C8"/>
    <w:rsid w:val="00FC17FE"/>
    <w:rsid w:val="00FC18A9"/>
    <w:rsid w:val="00FC19C6"/>
    <w:rsid w:val="00FC1ECF"/>
    <w:rsid w:val="00FC1F67"/>
    <w:rsid w:val="00FC2E07"/>
    <w:rsid w:val="00FC374F"/>
    <w:rsid w:val="00FC3BDD"/>
    <w:rsid w:val="00FC3D42"/>
    <w:rsid w:val="00FC4686"/>
    <w:rsid w:val="00FC52A9"/>
    <w:rsid w:val="00FC664E"/>
    <w:rsid w:val="00FC7015"/>
    <w:rsid w:val="00FC73B6"/>
    <w:rsid w:val="00FC74BE"/>
    <w:rsid w:val="00FC771C"/>
    <w:rsid w:val="00FC7ACD"/>
    <w:rsid w:val="00FC7D4A"/>
    <w:rsid w:val="00FD09CE"/>
    <w:rsid w:val="00FD140A"/>
    <w:rsid w:val="00FD15D3"/>
    <w:rsid w:val="00FD21D7"/>
    <w:rsid w:val="00FD2CA1"/>
    <w:rsid w:val="00FD2E78"/>
    <w:rsid w:val="00FD3584"/>
    <w:rsid w:val="00FD3AA6"/>
    <w:rsid w:val="00FD3ACC"/>
    <w:rsid w:val="00FD4FD1"/>
    <w:rsid w:val="00FD52E3"/>
    <w:rsid w:val="00FD5791"/>
    <w:rsid w:val="00FD723D"/>
    <w:rsid w:val="00FD7B7E"/>
    <w:rsid w:val="00FE024F"/>
    <w:rsid w:val="00FE0361"/>
    <w:rsid w:val="00FE0469"/>
    <w:rsid w:val="00FE04E4"/>
    <w:rsid w:val="00FE07D0"/>
    <w:rsid w:val="00FE07E1"/>
    <w:rsid w:val="00FE0B31"/>
    <w:rsid w:val="00FE1C22"/>
    <w:rsid w:val="00FE226B"/>
    <w:rsid w:val="00FE28B4"/>
    <w:rsid w:val="00FE3324"/>
    <w:rsid w:val="00FE3728"/>
    <w:rsid w:val="00FE39B6"/>
    <w:rsid w:val="00FE3A09"/>
    <w:rsid w:val="00FE4263"/>
    <w:rsid w:val="00FE4304"/>
    <w:rsid w:val="00FE4528"/>
    <w:rsid w:val="00FE5898"/>
    <w:rsid w:val="00FE5A25"/>
    <w:rsid w:val="00FE5DC7"/>
    <w:rsid w:val="00FE68C5"/>
    <w:rsid w:val="00FE6A78"/>
    <w:rsid w:val="00FE6BFE"/>
    <w:rsid w:val="00FE7704"/>
    <w:rsid w:val="00FE7FD5"/>
    <w:rsid w:val="00FF0655"/>
    <w:rsid w:val="00FF12E0"/>
    <w:rsid w:val="00FF1425"/>
    <w:rsid w:val="00FF1556"/>
    <w:rsid w:val="00FF2867"/>
    <w:rsid w:val="00FF30B7"/>
    <w:rsid w:val="00FF4B0A"/>
    <w:rsid w:val="00FF5397"/>
    <w:rsid w:val="00FF5513"/>
    <w:rsid w:val="00FF5885"/>
    <w:rsid w:val="00FF66AB"/>
    <w:rsid w:val="00FF6728"/>
    <w:rsid w:val="00FF6CF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34">
      <o:colormru v:ext="edit" colors="#c2d82e,#404a05,#9ca800,#4d4d4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Gothic" w:eastAsia="Times New Roman" w:hAnsi="Century Gothic"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semiHidden="0" w:uiPriority="0" w:unhideWhenUsed="0" w:qFormat="1"/>
    <w:lsdException w:name="footnote reference" w:uiPriority="0"/>
    <w:lsdException w:name="line number" w:uiPriority="0"/>
    <w:lsdException w:name="page number" w:uiPriority="0"/>
    <w:lsdException w:name="toa heading" w:uiPriority="0"/>
    <w:lsdException w:name="List Bullet" w:qFormat="1"/>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4013C"/>
    <w:pPr>
      <w:spacing w:after="240" w:line="276" w:lineRule="auto"/>
    </w:pPr>
    <w:rPr>
      <w:sz w:val="18"/>
      <w:szCs w:val="18"/>
    </w:rPr>
  </w:style>
  <w:style w:type="paragraph" w:styleId="Heading1">
    <w:name w:val="heading 1"/>
    <w:basedOn w:val="Normal"/>
    <w:next w:val="Normal"/>
    <w:link w:val="Heading1Char"/>
    <w:qFormat/>
    <w:rsid w:val="002C6E3A"/>
    <w:pPr>
      <w:keepNext/>
      <w:numPr>
        <w:numId w:val="7"/>
      </w:numPr>
      <w:spacing w:after="360"/>
      <w:ind w:left="431" w:right="284" w:hanging="431"/>
      <w:outlineLvl w:val="0"/>
    </w:pPr>
    <w:rPr>
      <w:rFonts w:ascii="Century Gothic Bold" w:hAnsi="Century Gothic Bold" w:cs="Arial"/>
      <w:b/>
      <w:bCs/>
      <w:caps/>
      <w:color w:val="0076C0"/>
      <w:kern w:val="32"/>
      <w:sz w:val="24"/>
      <w:szCs w:val="32"/>
    </w:rPr>
  </w:style>
  <w:style w:type="paragraph" w:styleId="Heading2">
    <w:name w:val="heading 2"/>
    <w:aliases w:val="h2,D&amp;M2,D&amp;M 2,D&amp;M Heading 2,2,Heading 2 Char1,Heading 2 Char Char,Major Heading,Major Heading1,Major Heading2,Major Heading3"/>
    <w:basedOn w:val="Heading1"/>
    <w:next w:val="Normal"/>
    <w:link w:val="Heading2Char"/>
    <w:qFormat/>
    <w:rsid w:val="00FA4C0F"/>
    <w:pPr>
      <w:numPr>
        <w:ilvl w:val="1"/>
      </w:numPr>
      <w:spacing w:before="240" w:after="240"/>
      <w:ind w:left="578" w:hanging="578"/>
      <w:jc w:val="both"/>
      <w:outlineLvl w:val="1"/>
    </w:pPr>
    <w:rPr>
      <w:bCs w:val="0"/>
      <w:caps w:val="0"/>
      <w:sz w:val="20"/>
      <w:szCs w:val="20"/>
    </w:rPr>
  </w:style>
  <w:style w:type="paragraph" w:styleId="Heading3">
    <w:name w:val="heading 3"/>
    <w:aliases w:val="h3,D&amp;M3,D&amp;M 3,D&amp;M3 Char,D&amp;M 3 Char"/>
    <w:basedOn w:val="Heading2"/>
    <w:next w:val="Normal"/>
    <w:link w:val="Heading3Char"/>
    <w:qFormat/>
    <w:rsid w:val="000F787E"/>
    <w:pPr>
      <w:numPr>
        <w:ilvl w:val="2"/>
      </w:numPr>
      <w:tabs>
        <w:tab w:val="clear" w:pos="1430"/>
        <w:tab w:val="num" w:pos="709"/>
      </w:tabs>
      <w:ind w:left="709" w:hanging="709"/>
      <w:outlineLvl w:val="2"/>
    </w:pPr>
    <w:rPr>
      <w:bCs/>
      <w:sz w:val="18"/>
      <w:szCs w:val="18"/>
    </w:rPr>
  </w:style>
  <w:style w:type="paragraph" w:styleId="Heading4">
    <w:name w:val="heading 4"/>
    <w:aliases w:val="D&amp;M4,D&amp;M 4"/>
    <w:basedOn w:val="Normal"/>
    <w:next w:val="Normal"/>
    <w:link w:val="Heading4Char"/>
    <w:qFormat/>
    <w:rsid w:val="00DB5D5F"/>
    <w:pPr>
      <w:keepNext/>
      <w:numPr>
        <w:ilvl w:val="3"/>
        <w:numId w:val="7"/>
      </w:numPr>
      <w:tabs>
        <w:tab w:val="clear" w:pos="1574"/>
      </w:tabs>
      <w:spacing w:before="240"/>
      <w:ind w:left="851" w:hanging="851"/>
      <w:outlineLvl w:val="3"/>
    </w:pPr>
    <w:rPr>
      <w:iCs/>
      <w:color w:val="0076C0"/>
    </w:rPr>
  </w:style>
  <w:style w:type="paragraph" w:styleId="Heading5">
    <w:name w:val="heading 5"/>
    <w:basedOn w:val="Normal"/>
    <w:next w:val="Normal"/>
    <w:link w:val="Heading5Char"/>
    <w:qFormat/>
    <w:rsid w:val="0054013C"/>
    <w:pPr>
      <w:numPr>
        <w:ilvl w:val="4"/>
        <w:numId w:val="7"/>
      </w:numPr>
      <w:spacing w:before="240" w:after="60"/>
      <w:outlineLvl w:val="4"/>
    </w:pPr>
    <w:rPr>
      <w:bCs/>
      <w:i/>
      <w:iCs/>
      <w:color w:val="0076C0"/>
      <w:szCs w:val="26"/>
    </w:rPr>
  </w:style>
  <w:style w:type="paragraph" w:styleId="Heading6">
    <w:name w:val="heading 6"/>
    <w:basedOn w:val="Normal"/>
    <w:next w:val="Normal"/>
    <w:link w:val="Heading6Char"/>
    <w:qFormat/>
    <w:rsid w:val="00DA11F7"/>
    <w:pPr>
      <w:keepNext/>
      <w:numPr>
        <w:ilvl w:val="5"/>
        <w:numId w:val="7"/>
      </w:numPr>
      <w:pBdr>
        <w:top w:val="single" w:sz="4" w:space="3" w:color="0076C0"/>
        <w:bottom w:val="single" w:sz="4" w:space="1" w:color="0076C0"/>
      </w:pBdr>
      <w:spacing w:before="240"/>
      <w:ind w:left="1134" w:hanging="1134"/>
      <w:outlineLvl w:val="5"/>
    </w:pPr>
    <w:rPr>
      <w:b/>
      <w:bCs/>
      <w:caps/>
      <w:sz w:val="20"/>
    </w:rPr>
  </w:style>
  <w:style w:type="paragraph" w:styleId="Heading7">
    <w:name w:val="heading 7"/>
    <w:basedOn w:val="Heading1"/>
    <w:next w:val="Normal"/>
    <w:link w:val="Heading7Char"/>
    <w:qFormat/>
    <w:rsid w:val="0072215E"/>
    <w:pPr>
      <w:numPr>
        <w:ilvl w:val="6"/>
      </w:numPr>
      <w:tabs>
        <w:tab w:val="clear" w:pos="1296"/>
        <w:tab w:val="num" w:pos="567"/>
      </w:tabs>
      <w:spacing w:after="240"/>
      <w:ind w:left="567" w:right="0" w:hanging="567"/>
      <w:jc w:val="both"/>
      <w:outlineLvl w:val="6"/>
    </w:pPr>
    <w:rPr>
      <w:szCs w:val="24"/>
    </w:rPr>
  </w:style>
  <w:style w:type="paragraph" w:styleId="Heading8">
    <w:name w:val="heading 8"/>
    <w:basedOn w:val="Heading2"/>
    <w:next w:val="Normal"/>
    <w:link w:val="Heading8Char"/>
    <w:qFormat/>
    <w:rsid w:val="0054013C"/>
    <w:pPr>
      <w:numPr>
        <w:ilvl w:val="7"/>
      </w:numPr>
      <w:tabs>
        <w:tab w:val="left" w:pos="900"/>
      </w:tabs>
      <w:ind w:right="0"/>
      <w:outlineLvl w:val="7"/>
    </w:pPr>
    <w:rPr>
      <w:iCs/>
      <w:sz w:val="22"/>
      <w:szCs w:val="24"/>
    </w:rPr>
  </w:style>
  <w:style w:type="paragraph" w:styleId="Heading9">
    <w:name w:val="heading 9"/>
    <w:basedOn w:val="Heading3"/>
    <w:next w:val="Normal"/>
    <w:link w:val="Heading9Char"/>
    <w:qFormat/>
    <w:rsid w:val="0054013C"/>
    <w:pPr>
      <w:numPr>
        <w:ilvl w:val="8"/>
      </w:numPr>
      <w:spacing w:after="60"/>
      <w:ind w:right="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C6E3A"/>
    <w:rPr>
      <w:rFonts w:ascii="Century Gothic Bold" w:hAnsi="Century Gothic Bold" w:cs="Arial"/>
      <w:b/>
      <w:bCs/>
      <w:caps/>
      <w:color w:val="0076C0"/>
      <w:kern w:val="32"/>
      <w:sz w:val="24"/>
      <w:szCs w:val="32"/>
      <w:lang w:val="en-AU" w:eastAsia="en-AU" w:bidi="ar-SA"/>
    </w:rPr>
  </w:style>
  <w:style w:type="character" w:customStyle="1" w:styleId="Heading2Char">
    <w:name w:val="Heading 2 Char"/>
    <w:aliases w:val="h2 Char,D&amp;M2 Char,D&amp;M 2 Char,D&amp;M Heading 2 Char,2 Char,Heading 2 Char1 Char,Heading 2 Char Char Char,Major Heading Char,Major Heading1 Char,Major Heading2 Char,Major Heading3 Char"/>
    <w:link w:val="Heading2"/>
    <w:rsid w:val="00FA4C0F"/>
    <w:rPr>
      <w:rFonts w:ascii="Century Gothic" w:hAnsi="Century Gothic" w:cs="Arial"/>
      <w:b/>
      <w:color w:val="0076C0"/>
      <w:kern w:val="32"/>
      <w:lang w:val="en-AU" w:eastAsia="en-AU" w:bidi="ar-SA"/>
    </w:rPr>
  </w:style>
  <w:style w:type="character" w:customStyle="1" w:styleId="Heading3Char">
    <w:name w:val="Heading 3 Char"/>
    <w:aliases w:val="h3 Char,D&amp;M3 Char1,D&amp;M 3 Char1,D&amp;M3 Char Char,D&amp;M 3 Char Char"/>
    <w:link w:val="Heading3"/>
    <w:rsid w:val="000F787E"/>
    <w:rPr>
      <w:rFonts w:ascii="Century Gothic" w:hAnsi="Century Gothic" w:cs="Arial"/>
      <w:b/>
      <w:bCs/>
      <w:color w:val="0076C0"/>
      <w:kern w:val="32"/>
      <w:sz w:val="18"/>
      <w:szCs w:val="18"/>
      <w:lang w:val="en-AU" w:eastAsia="en-AU" w:bidi="ar-SA"/>
    </w:rPr>
  </w:style>
  <w:style w:type="character" w:customStyle="1" w:styleId="Heading4Char">
    <w:name w:val="Heading 4 Char"/>
    <w:aliases w:val="D&amp;M4 Char,D&amp;M 4 Char"/>
    <w:link w:val="Heading4"/>
    <w:rsid w:val="00DB5D5F"/>
    <w:rPr>
      <w:rFonts w:ascii="Century Gothic" w:hAnsi="Century Gothic"/>
      <w:iCs/>
      <w:color w:val="0076C0"/>
      <w:sz w:val="18"/>
      <w:szCs w:val="18"/>
      <w:lang w:val="en-AU" w:eastAsia="en-AU" w:bidi="ar-SA"/>
    </w:rPr>
  </w:style>
  <w:style w:type="character" w:customStyle="1" w:styleId="Heading5Char">
    <w:name w:val="Heading 5 Char"/>
    <w:link w:val="Heading5"/>
    <w:rsid w:val="00143FF3"/>
    <w:rPr>
      <w:rFonts w:ascii="Century Gothic" w:hAnsi="Century Gothic"/>
      <w:bCs/>
      <w:i/>
      <w:iCs/>
      <w:color w:val="0076C0"/>
      <w:sz w:val="18"/>
      <w:szCs w:val="26"/>
      <w:lang w:val="en-AU" w:eastAsia="en-AU" w:bidi="ar-SA"/>
    </w:rPr>
  </w:style>
  <w:style w:type="character" w:customStyle="1" w:styleId="Heading6Char">
    <w:name w:val="Heading 6 Char"/>
    <w:link w:val="Heading6"/>
    <w:rsid w:val="00DA11F7"/>
    <w:rPr>
      <w:rFonts w:ascii="Century Gothic" w:hAnsi="Century Gothic"/>
      <w:b/>
      <w:bCs/>
      <w:caps/>
      <w:szCs w:val="18"/>
      <w:lang w:val="en-AU" w:eastAsia="en-AU" w:bidi="ar-SA"/>
    </w:rPr>
  </w:style>
  <w:style w:type="character" w:customStyle="1" w:styleId="Heading7Char">
    <w:name w:val="Heading 7 Char"/>
    <w:link w:val="Heading7"/>
    <w:rsid w:val="0072215E"/>
    <w:rPr>
      <w:rFonts w:ascii="Century Gothic" w:hAnsi="Century Gothic" w:cs="Arial"/>
      <w:b/>
      <w:bCs/>
      <w:caps/>
      <w:color w:val="0076C0"/>
      <w:kern w:val="32"/>
      <w:sz w:val="24"/>
      <w:szCs w:val="24"/>
      <w:lang w:val="en-AU" w:eastAsia="en-AU" w:bidi="ar-SA"/>
    </w:rPr>
  </w:style>
  <w:style w:type="character" w:customStyle="1" w:styleId="Heading8Char">
    <w:name w:val="Heading 8 Char"/>
    <w:link w:val="Heading8"/>
    <w:rsid w:val="00DF6690"/>
    <w:rPr>
      <w:rFonts w:ascii="Century Gothic" w:hAnsi="Century Gothic" w:cs="Arial"/>
      <w:b/>
      <w:iCs/>
      <w:color w:val="0076C0"/>
      <w:kern w:val="32"/>
      <w:sz w:val="22"/>
      <w:szCs w:val="24"/>
      <w:lang w:val="en-AU" w:eastAsia="en-AU" w:bidi="ar-SA"/>
    </w:rPr>
  </w:style>
  <w:style w:type="character" w:customStyle="1" w:styleId="Heading9Char">
    <w:name w:val="Heading 9 Char"/>
    <w:link w:val="Heading9"/>
    <w:rsid w:val="007F5E60"/>
    <w:rPr>
      <w:rFonts w:ascii="Century Gothic" w:hAnsi="Century Gothic" w:cs="Arial"/>
      <w:b/>
      <w:bCs/>
      <w:color w:val="0076C0"/>
      <w:kern w:val="32"/>
      <w:sz w:val="18"/>
      <w:szCs w:val="22"/>
      <w:lang w:val="en-AU" w:eastAsia="en-AU" w:bidi="ar-SA"/>
    </w:rPr>
  </w:style>
  <w:style w:type="paragraph" w:styleId="Footer">
    <w:name w:val="footer"/>
    <w:basedOn w:val="FootnoteText"/>
    <w:link w:val="FooterChar"/>
    <w:rsid w:val="0054013C"/>
    <w:pPr>
      <w:pBdr>
        <w:top w:val="single" w:sz="4" w:space="1" w:color="0076C0"/>
      </w:pBdr>
      <w:tabs>
        <w:tab w:val="right" w:pos="9026"/>
      </w:tabs>
      <w:spacing w:after="0"/>
      <w:ind w:right="-23"/>
    </w:pPr>
  </w:style>
  <w:style w:type="character" w:customStyle="1" w:styleId="FooterChar">
    <w:name w:val="Footer Char"/>
    <w:link w:val="Footer"/>
    <w:rsid w:val="00417710"/>
    <w:rPr>
      <w:rFonts w:ascii="Century Gothic" w:eastAsia="Times New Roman" w:hAnsi="Century Gothic" w:cs="Times New Roman"/>
      <w:lang w:val="en-AU" w:eastAsia="en-AU" w:bidi="ar-SA"/>
    </w:rPr>
  </w:style>
  <w:style w:type="paragraph" w:styleId="BodyText">
    <w:name w:val="Body Text"/>
    <w:aliases w:val="indent50"/>
    <w:basedOn w:val="Normal"/>
    <w:link w:val="BodyTextChar"/>
    <w:autoRedefine/>
    <w:semiHidden/>
    <w:rsid w:val="0054013C"/>
    <w:pPr>
      <w:ind w:left="3600" w:right="-81" w:hanging="3600"/>
    </w:pPr>
    <w:rPr>
      <w:rFonts w:cs="Arial"/>
      <w:bCs/>
      <w:color w:val="000000"/>
      <w:kern w:val="32"/>
      <w:szCs w:val="32"/>
    </w:rPr>
  </w:style>
  <w:style w:type="character" w:customStyle="1" w:styleId="BodyTextChar">
    <w:name w:val="Body Text Char"/>
    <w:aliases w:val="indent50 Char"/>
    <w:link w:val="BodyText"/>
    <w:semiHidden/>
    <w:rsid w:val="00DF6690"/>
    <w:rPr>
      <w:rFonts w:ascii="Century Gothic" w:eastAsia="Times New Roman" w:hAnsi="Century Gothic" w:cs="Arial"/>
      <w:bCs/>
      <w:color w:val="000000"/>
      <w:kern w:val="32"/>
      <w:szCs w:val="32"/>
      <w:lang w:val="en-AU" w:eastAsia="en-AU" w:bidi="ar-SA"/>
    </w:rPr>
  </w:style>
  <w:style w:type="character" w:styleId="PageNumber">
    <w:name w:val="page number"/>
    <w:semiHidden/>
    <w:rsid w:val="0054013C"/>
    <w:rPr>
      <w:rFonts w:ascii="Verdana" w:hAnsi="Verdana"/>
      <w:sz w:val="14"/>
    </w:rPr>
  </w:style>
  <w:style w:type="paragraph" w:customStyle="1" w:styleId="NormalCentered">
    <w:name w:val="Normal Centered"/>
    <w:basedOn w:val="Normal"/>
    <w:qFormat/>
    <w:rsid w:val="0054013C"/>
    <w:pPr>
      <w:jc w:val="center"/>
    </w:pPr>
    <w:rPr>
      <w:noProof/>
    </w:rPr>
  </w:style>
  <w:style w:type="character" w:styleId="Hyperlink">
    <w:name w:val="Hyperlink"/>
    <w:uiPriority w:val="99"/>
    <w:rsid w:val="0054013C"/>
    <w:rPr>
      <w:rFonts w:ascii="Century Gothic" w:hAnsi="Century Gothic"/>
      <w:sz w:val="18"/>
    </w:rPr>
  </w:style>
  <w:style w:type="paragraph" w:customStyle="1" w:styleId="BoxedHeading">
    <w:name w:val="Boxed Heading"/>
    <w:basedOn w:val="BodyText"/>
    <w:rsid w:val="0054013C"/>
    <w:pPr>
      <w:framePr w:w="8844" w:h="907" w:hRule="exact" w:hSpace="181" w:vSpace="181" w:wrap="around" w:vAnchor="text" w:hAnchor="page" w:x="1599" w:y="1691"/>
      <w:spacing w:after="0"/>
    </w:pPr>
    <w:rPr>
      <w:caps/>
      <w:color w:val="FFFFFF"/>
    </w:rPr>
  </w:style>
  <w:style w:type="paragraph" w:styleId="FootnoteText">
    <w:name w:val="footnote text"/>
    <w:aliases w:val="Footnote text,Footnote text1,Footnote text2,Footnote text11,Footnote text3,Footnote text12,Footnote text4,Footnote text13,Footnote text21,Footnote text111,Footnote text31,Footnote text121,Footnote text5,Footnote text14,Footnote text22"/>
    <w:basedOn w:val="Normal"/>
    <w:link w:val="FootnoteTextChar"/>
    <w:rsid w:val="0054013C"/>
  </w:style>
  <w:style w:type="character" w:customStyle="1" w:styleId="FootnoteTextChar">
    <w:name w:val="Footnote Text Char"/>
    <w:aliases w:val="Footnote text Char,Footnote text1 Char,Footnote text2 Char,Footnote text11 Char,Footnote text3 Char,Footnote text12 Char,Footnote text4 Char,Footnote text13 Char,Footnote text21 Char,Footnote text111 Char,Footnote text31 Char"/>
    <w:link w:val="FootnoteText"/>
    <w:rsid w:val="00DF6690"/>
    <w:rPr>
      <w:rFonts w:ascii="Century Gothic" w:eastAsia="Times New Roman" w:hAnsi="Century Gothic" w:cs="Times New Roman"/>
      <w:lang w:val="en-AU" w:eastAsia="en-AU" w:bidi="ar-SA"/>
    </w:rPr>
  </w:style>
  <w:style w:type="character" w:styleId="FollowedHyperlink">
    <w:name w:val="FollowedHyperlink"/>
    <w:semiHidden/>
    <w:rsid w:val="0054013C"/>
    <w:rPr>
      <w:color w:val="800080"/>
      <w:u w:val="single"/>
    </w:rPr>
  </w:style>
  <w:style w:type="character" w:styleId="LineNumber">
    <w:name w:val="line number"/>
    <w:basedOn w:val="DefaultParagraphFont"/>
    <w:semiHidden/>
    <w:rsid w:val="0054013C"/>
  </w:style>
  <w:style w:type="paragraph" w:customStyle="1" w:styleId="BulletArrows">
    <w:name w:val="Bullet Arrows"/>
    <w:basedOn w:val="BodyText"/>
    <w:link w:val="BulletArrowsChar"/>
    <w:qFormat/>
    <w:rsid w:val="003B3998"/>
    <w:pPr>
      <w:spacing w:after="120"/>
      <w:ind w:left="0" w:right="0" w:firstLine="0"/>
    </w:pPr>
    <w:rPr>
      <w:lang w:eastAsia="en-US"/>
    </w:rPr>
  </w:style>
  <w:style w:type="character" w:customStyle="1" w:styleId="BulletArrowsChar">
    <w:name w:val="Bullet Arrows Char"/>
    <w:link w:val="BulletArrows"/>
    <w:rsid w:val="003B3998"/>
    <w:rPr>
      <w:rFonts w:ascii="Century Gothic" w:hAnsi="Century Gothic" w:cs="Arial"/>
      <w:bCs/>
      <w:color w:val="000000"/>
      <w:kern w:val="32"/>
      <w:sz w:val="18"/>
      <w:szCs w:val="32"/>
      <w:lang w:val="en-AU" w:eastAsia="en-US" w:bidi="ar-SA"/>
    </w:rPr>
  </w:style>
  <w:style w:type="paragraph" w:styleId="DocumentMap">
    <w:name w:val="Document Map"/>
    <w:basedOn w:val="Normal"/>
    <w:link w:val="DocumentMapChar"/>
    <w:semiHidden/>
    <w:rsid w:val="0054013C"/>
    <w:pPr>
      <w:shd w:val="clear" w:color="auto" w:fill="000080"/>
    </w:pPr>
    <w:rPr>
      <w:rFonts w:ascii="Tahoma" w:hAnsi="Tahoma" w:cs="Tahoma"/>
    </w:rPr>
  </w:style>
  <w:style w:type="character" w:customStyle="1" w:styleId="DocumentMapChar">
    <w:name w:val="Document Map Char"/>
    <w:link w:val="DocumentMap"/>
    <w:semiHidden/>
    <w:rsid w:val="00DF6690"/>
    <w:rPr>
      <w:rFonts w:ascii="Tahoma" w:eastAsia="Times New Roman" w:hAnsi="Tahoma" w:cs="Tahoma"/>
      <w:shd w:val="clear" w:color="auto" w:fill="000080"/>
      <w:lang w:val="en-AU" w:eastAsia="en-AU" w:bidi="ar-SA"/>
    </w:rPr>
  </w:style>
  <w:style w:type="paragraph" w:styleId="TOC2">
    <w:name w:val="toc 2"/>
    <w:basedOn w:val="Normal"/>
    <w:next w:val="Normal"/>
    <w:uiPriority w:val="39"/>
    <w:rsid w:val="00310E33"/>
    <w:pPr>
      <w:tabs>
        <w:tab w:val="left" w:pos="567"/>
        <w:tab w:val="right" w:pos="9015"/>
      </w:tabs>
      <w:spacing w:before="20" w:after="0"/>
      <w:ind w:left="142"/>
    </w:pPr>
    <w:rPr>
      <w:noProof/>
    </w:rPr>
  </w:style>
  <w:style w:type="paragraph" w:styleId="Caption">
    <w:name w:val="caption"/>
    <w:aliases w:val=" Char,Caption-tables Char,Caption-tables,Char"/>
    <w:basedOn w:val="Normal"/>
    <w:next w:val="Normal"/>
    <w:link w:val="CaptionChar"/>
    <w:qFormat/>
    <w:rsid w:val="00E71490"/>
    <w:pPr>
      <w:keepNext/>
      <w:spacing w:before="120" w:after="120"/>
      <w:ind w:right="-23"/>
      <w:jc w:val="center"/>
    </w:pPr>
    <w:rPr>
      <w:b/>
      <w:bCs/>
      <w:color w:val="0076C0"/>
      <w:sz w:val="16"/>
      <w:szCs w:val="16"/>
    </w:rPr>
  </w:style>
  <w:style w:type="character" w:customStyle="1" w:styleId="CaptionChar">
    <w:name w:val="Caption Char"/>
    <w:aliases w:val=" Char Char,Caption-tables Char Char,Caption-tables Char1,Char Char"/>
    <w:link w:val="Caption"/>
    <w:locked/>
    <w:rsid w:val="00E71490"/>
    <w:rPr>
      <w:rFonts w:ascii="Century Gothic" w:eastAsia="Times New Roman" w:hAnsi="Century Gothic" w:cs="Times New Roman"/>
      <w:b/>
      <w:bCs/>
      <w:color w:val="0076C0"/>
      <w:sz w:val="16"/>
      <w:szCs w:val="16"/>
      <w:lang w:val="en-AU" w:eastAsia="en-AU" w:bidi="ar-SA"/>
    </w:rPr>
  </w:style>
  <w:style w:type="paragraph" w:styleId="TOC1">
    <w:name w:val="toc 1"/>
    <w:next w:val="TOC2"/>
    <w:uiPriority w:val="39"/>
    <w:rsid w:val="00310E33"/>
    <w:pPr>
      <w:pBdr>
        <w:bottom w:val="single" w:sz="4" w:space="1" w:color="0076C0"/>
        <w:between w:val="single" w:sz="4" w:space="1" w:color="0070C0"/>
      </w:pBdr>
      <w:tabs>
        <w:tab w:val="left" w:pos="284"/>
        <w:tab w:val="right" w:pos="9015"/>
      </w:tabs>
      <w:spacing w:before="120"/>
    </w:pPr>
    <w:rPr>
      <w:bCs/>
      <w:caps/>
      <w:noProof/>
      <w:sz w:val="18"/>
      <w:lang w:eastAsia="en-US"/>
    </w:rPr>
  </w:style>
  <w:style w:type="paragraph" w:styleId="TOC3">
    <w:name w:val="toc 3"/>
    <w:basedOn w:val="Normal"/>
    <w:next w:val="Normal"/>
    <w:autoRedefine/>
    <w:uiPriority w:val="39"/>
    <w:rsid w:val="00310E33"/>
    <w:pPr>
      <w:tabs>
        <w:tab w:val="left" w:pos="851"/>
        <w:tab w:val="right" w:pos="9015"/>
      </w:tabs>
      <w:spacing w:after="0"/>
      <w:ind w:left="284"/>
    </w:pPr>
    <w:rPr>
      <w:noProof/>
    </w:rPr>
  </w:style>
  <w:style w:type="paragraph" w:styleId="TOC4">
    <w:name w:val="toc 4"/>
    <w:basedOn w:val="Normal"/>
    <w:next w:val="Normal"/>
    <w:autoRedefine/>
    <w:uiPriority w:val="39"/>
    <w:rsid w:val="00C90E85"/>
    <w:pPr>
      <w:tabs>
        <w:tab w:val="left" w:pos="1276"/>
        <w:tab w:val="right" w:pos="9015"/>
      </w:tabs>
      <w:spacing w:after="0"/>
      <w:ind w:left="567"/>
    </w:pPr>
    <w:rPr>
      <w:noProof/>
    </w:rPr>
  </w:style>
  <w:style w:type="paragraph" w:styleId="TOC5">
    <w:name w:val="toc 5"/>
    <w:basedOn w:val="Normal"/>
    <w:next w:val="Normal"/>
    <w:autoRedefine/>
    <w:uiPriority w:val="39"/>
    <w:rsid w:val="0054013C"/>
    <w:pPr>
      <w:ind w:left="800"/>
    </w:pPr>
  </w:style>
  <w:style w:type="paragraph" w:styleId="TOC6">
    <w:name w:val="toc 6"/>
    <w:basedOn w:val="Normal"/>
    <w:next w:val="Normal"/>
    <w:autoRedefine/>
    <w:uiPriority w:val="39"/>
    <w:rsid w:val="0054013C"/>
    <w:pPr>
      <w:ind w:left="1000"/>
    </w:pPr>
  </w:style>
  <w:style w:type="paragraph" w:styleId="TOC7">
    <w:name w:val="toc 7"/>
    <w:basedOn w:val="Normal"/>
    <w:next w:val="Normal"/>
    <w:autoRedefine/>
    <w:uiPriority w:val="39"/>
    <w:rsid w:val="0054013C"/>
    <w:pPr>
      <w:ind w:left="1200"/>
    </w:pPr>
  </w:style>
  <w:style w:type="paragraph" w:styleId="TOC8">
    <w:name w:val="toc 8"/>
    <w:basedOn w:val="Normal"/>
    <w:next w:val="Normal"/>
    <w:autoRedefine/>
    <w:uiPriority w:val="39"/>
    <w:rsid w:val="0054013C"/>
    <w:pPr>
      <w:ind w:left="1400"/>
    </w:pPr>
  </w:style>
  <w:style w:type="paragraph" w:styleId="TOC9">
    <w:name w:val="toc 9"/>
    <w:basedOn w:val="Normal"/>
    <w:next w:val="Normal"/>
    <w:autoRedefine/>
    <w:uiPriority w:val="39"/>
    <w:rsid w:val="0054013C"/>
    <w:pPr>
      <w:ind w:left="1600"/>
    </w:pPr>
  </w:style>
  <w:style w:type="paragraph" w:customStyle="1" w:styleId="DateFrontPage">
    <w:name w:val="Date Front Page"/>
    <w:rsid w:val="0054013C"/>
    <w:rPr>
      <w:b/>
      <w:lang w:val="en-US" w:eastAsia="en-US"/>
    </w:rPr>
  </w:style>
  <w:style w:type="character" w:styleId="FootnoteReference">
    <w:name w:val="footnote reference"/>
    <w:aliases w:val="Footnote sign,Footnote sign1,EN Footnote Reference,number,SUPERS,Text Footnote Reference"/>
    <w:rsid w:val="0054013C"/>
    <w:rPr>
      <w:vertAlign w:val="superscript"/>
    </w:rPr>
  </w:style>
  <w:style w:type="paragraph" w:styleId="BodyText3">
    <w:name w:val="Body Text 3"/>
    <w:basedOn w:val="Normal"/>
    <w:link w:val="BodyText3Char"/>
    <w:semiHidden/>
    <w:rsid w:val="0054013C"/>
    <w:pPr>
      <w:tabs>
        <w:tab w:val="left" w:pos="-720"/>
      </w:tabs>
      <w:suppressAutoHyphens/>
      <w:spacing w:after="0"/>
    </w:pPr>
    <w:rPr>
      <w:rFonts w:ascii="Times New Roman" w:hAnsi="Times New Roman"/>
      <w:spacing w:val="-3"/>
      <w:sz w:val="22"/>
    </w:rPr>
  </w:style>
  <w:style w:type="character" w:customStyle="1" w:styleId="BodyText3Char">
    <w:name w:val="Body Text 3 Char"/>
    <w:link w:val="BodyText3"/>
    <w:semiHidden/>
    <w:rsid w:val="00DF6690"/>
    <w:rPr>
      <w:rFonts w:ascii="Times New Roman" w:eastAsia="Times New Roman" w:hAnsi="Times New Roman" w:cs="Times New Roman"/>
      <w:spacing w:val="-3"/>
      <w:sz w:val="22"/>
      <w:lang w:val="en-AU" w:eastAsia="en-AU" w:bidi="ar-SA"/>
    </w:rPr>
  </w:style>
  <w:style w:type="paragraph" w:customStyle="1" w:styleId="CompanyNameFrontPage">
    <w:name w:val="Company Name Front Page"/>
    <w:basedOn w:val="Normal"/>
    <w:autoRedefine/>
    <w:rsid w:val="001830F9"/>
    <w:pPr>
      <w:framePr w:hSpace="180" w:wrap="around" w:vAnchor="page" w:hAnchor="margin" w:y="4806"/>
      <w:spacing w:after="0"/>
      <w:ind w:left="3600" w:right="-79" w:hanging="3600"/>
    </w:pPr>
    <w:rPr>
      <w:rFonts w:cs="Arial"/>
      <w:b/>
      <w:bCs/>
      <w:color w:val="000000"/>
      <w:kern w:val="32"/>
      <w:sz w:val="22"/>
      <w:szCs w:val="32"/>
    </w:rPr>
  </w:style>
  <w:style w:type="paragraph" w:customStyle="1" w:styleId="TOC1forAppxBookmarks">
    <w:name w:val="TOC 1 for Appx Bookmarks"/>
    <w:basedOn w:val="TOC1"/>
    <w:rsid w:val="0054013C"/>
    <w:pPr>
      <w:pBdr>
        <w:between w:val="single" w:sz="4" w:space="1" w:color="9CA800"/>
      </w:pBdr>
    </w:pPr>
  </w:style>
  <w:style w:type="paragraph" w:styleId="BodyTextIndent">
    <w:name w:val="Body Text Indent"/>
    <w:basedOn w:val="Normal"/>
    <w:link w:val="BodyTextIndentChar"/>
    <w:semiHidden/>
    <w:rsid w:val="0054013C"/>
    <w:pPr>
      <w:widowControl w:val="0"/>
      <w:spacing w:before="60" w:after="60"/>
      <w:ind w:left="278"/>
    </w:pPr>
    <w:rPr>
      <w:rFonts w:ascii="Times New Roman" w:hAnsi="Times New Roman"/>
      <w:sz w:val="24"/>
    </w:rPr>
  </w:style>
  <w:style w:type="character" w:customStyle="1" w:styleId="BodyTextIndentChar">
    <w:name w:val="Body Text Indent Char"/>
    <w:link w:val="BodyTextIndent"/>
    <w:semiHidden/>
    <w:rsid w:val="00DF6690"/>
    <w:rPr>
      <w:rFonts w:ascii="Times New Roman" w:eastAsia="Times New Roman" w:hAnsi="Times New Roman" w:cs="Times New Roman"/>
      <w:sz w:val="24"/>
      <w:lang w:val="en-AU" w:eastAsia="en-AU" w:bidi="ar-SA"/>
    </w:rPr>
  </w:style>
  <w:style w:type="paragraph" w:styleId="BodyTextIndent2">
    <w:name w:val="Body Text Indent 2"/>
    <w:basedOn w:val="Normal"/>
    <w:link w:val="BodyTextIndent2Char"/>
    <w:semiHidden/>
    <w:rsid w:val="0054013C"/>
    <w:pPr>
      <w:tabs>
        <w:tab w:val="left" w:pos="284"/>
        <w:tab w:val="left" w:pos="454"/>
      </w:tabs>
      <w:spacing w:after="0"/>
      <w:ind w:left="284" w:hanging="284"/>
    </w:pPr>
    <w:rPr>
      <w:sz w:val="15"/>
    </w:rPr>
  </w:style>
  <w:style w:type="character" w:customStyle="1" w:styleId="BodyTextIndent2Char">
    <w:name w:val="Body Text Indent 2 Char"/>
    <w:link w:val="BodyTextIndent2"/>
    <w:semiHidden/>
    <w:rsid w:val="00DF6690"/>
    <w:rPr>
      <w:rFonts w:ascii="Century Gothic" w:eastAsia="Times New Roman" w:hAnsi="Century Gothic" w:cs="Times New Roman"/>
      <w:sz w:val="15"/>
      <w:lang w:val="en-AU" w:eastAsia="en-AU" w:bidi="ar-SA"/>
    </w:rPr>
  </w:style>
  <w:style w:type="paragraph" w:styleId="BodyTextIndent3">
    <w:name w:val="Body Text Indent 3"/>
    <w:basedOn w:val="Normal"/>
    <w:link w:val="BodyTextIndent3Char"/>
    <w:semiHidden/>
    <w:rsid w:val="0054013C"/>
    <w:pPr>
      <w:tabs>
        <w:tab w:val="left" w:pos="284"/>
        <w:tab w:val="left" w:pos="454"/>
      </w:tabs>
      <w:spacing w:after="0"/>
      <w:ind w:left="284" w:hanging="284"/>
    </w:pPr>
    <w:rPr>
      <w:sz w:val="15"/>
    </w:rPr>
  </w:style>
  <w:style w:type="character" w:customStyle="1" w:styleId="BodyTextIndent3Char">
    <w:name w:val="Body Text Indent 3 Char"/>
    <w:link w:val="BodyTextIndent3"/>
    <w:semiHidden/>
    <w:rsid w:val="00DF6690"/>
    <w:rPr>
      <w:rFonts w:ascii="Century Gothic" w:eastAsia="Times New Roman" w:hAnsi="Century Gothic" w:cs="Times New Roman"/>
      <w:sz w:val="15"/>
      <w:lang w:val="en-AU" w:eastAsia="en-AU" w:bidi="ar-SA"/>
    </w:rPr>
  </w:style>
  <w:style w:type="paragraph" w:styleId="BlockText">
    <w:name w:val="Block Text"/>
    <w:basedOn w:val="Normal"/>
    <w:semiHidden/>
    <w:rsid w:val="0054013C"/>
    <w:pPr>
      <w:tabs>
        <w:tab w:val="left" w:pos="284"/>
        <w:tab w:val="left" w:pos="454"/>
      </w:tabs>
      <w:spacing w:after="0"/>
      <w:ind w:left="284" w:right="-668" w:hanging="284"/>
    </w:pPr>
    <w:rPr>
      <w:sz w:val="15"/>
    </w:rPr>
  </w:style>
  <w:style w:type="paragraph" w:customStyle="1" w:styleId="BulletCircles">
    <w:name w:val="Bullet Circles"/>
    <w:basedOn w:val="BulletArrows"/>
    <w:rsid w:val="0054013C"/>
    <w:pPr>
      <w:numPr>
        <w:numId w:val="4"/>
      </w:numPr>
      <w:ind w:right="96"/>
    </w:pPr>
  </w:style>
  <w:style w:type="paragraph" w:customStyle="1" w:styleId="Tablefootnotetext">
    <w:name w:val="Table footnote text"/>
    <w:basedOn w:val="Normal"/>
    <w:rsid w:val="007F5E60"/>
    <w:rPr>
      <w:sz w:val="16"/>
    </w:rPr>
  </w:style>
  <w:style w:type="paragraph" w:styleId="BalloonText">
    <w:name w:val="Balloon Text"/>
    <w:basedOn w:val="Normal"/>
    <w:link w:val="BalloonTextChar"/>
    <w:uiPriority w:val="99"/>
    <w:semiHidden/>
    <w:unhideWhenUsed/>
    <w:rsid w:val="0054013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F6690"/>
    <w:rPr>
      <w:rFonts w:ascii="Tahoma" w:eastAsia="Times New Roman" w:hAnsi="Tahoma" w:cs="Tahoma"/>
      <w:sz w:val="16"/>
      <w:szCs w:val="16"/>
      <w:lang w:val="en-AU" w:eastAsia="en-AU" w:bidi="ar-SA"/>
    </w:rPr>
  </w:style>
  <w:style w:type="paragraph" w:styleId="ListParagraph">
    <w:name w:val="List Paragraph"/>
    <w:aliases w:val="Rec para"/>
    <w:basedOn w:val="Normal"/>
    <w:uiPriority w:val="34"/>
    <w:qFormat/>
    <w:rsid w:val="0054013C"/>
    <w:pPr>
      <w:ind w:left="720"/>
      <w:contextualSpacing/>
    </w:pPr>
  </w:style>
  <w:style w:type="paragraph" w:styleId="Revision">
    <w:name w:val="Revision"/>
    <w:hidden/>
    <w:uiPriority w:val="99"/>
    <w:semiHidden/>
    <w:rsid w:val="00F86802"/>
    <w:pPr>
      <w:spacing w:after="200"/>
    </w:pPr>
    <w:rPr>
      <w:rFonts w:ascii="Verdana" w:hAnsi="Verdana"/>
      <w:sz w:val="18"/>
      <w:szCs w:val="18"/>
      <w:lang w:val="en-US" w:eastAsia="en-US" w:bidi="en-US"/>
    </w:rPr>
  </w:style>
  <w:style w:type="table" w:styleId="TableGrid">
    <w:name w:val="Table Grid"/>
    <w:basedOn w:val="TableNormal"/>
    <w:uiPriority w:val="59"/>
    <w:rsid w:val="0054013C"/>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evisionHeading">
    <w:name w:val="Revision Heading"/>
    <w:basedOn w:val="Normal"/>
    <w:qFormat/>
    <w:rsid w:val="0054013C"/>
    <w:pPr>
      <w:spacing w:before="120" w:after="120"/>
    </w:pPr>
    <w:rPr>
      <w:b/>
      <w:caps/>
      <w:color w:val="FFFFFF"/>
    </w:rPr>
  </w:style>
  <w:style w:type="character" w:styleId="PlaceholderText">
    <w:name w:val="Placeholder Text"/>
    <w:uiPriority w:val="99"/>
    <w:semiHidden/>
    <w:rsid w:val="0054013C"/>
    <w:rPr>
      <w:color w:val="808080"/>
    </w:rPr>
  </w:style>
  <w:style w:type="paragraph" w:customStyle="1" w:styleId="BulletsLevel3Dash">
    <w:name w:val="Bullets Level 3 Dash"/>
    <w:basedOn w:val="BulletCircles"/>
    <w:rsid w:val="0054013C"/>
    <w:pPr>
      <w:numPr>
        <w:numId w:val="5"/>
      </w:numPr>
    </w:pPr>
  </w:style>
  <w:style w:type="paragraph" w:customStyle="1" w:styleId="HeadingTOC">
    <w:name w:val="Heading TOC"/>
    <w:basedOn w:val="Normal"/>
    <w:qFormat/>
    <w:rsid w:val="00447A63"/>
    <w:pPr>
      <w:outlineLvl w:val="0"/>
    </w:pPr>
    <w:rPr>
      <w:b/>
      <w:bCs/>
      <w:caps/>
      <w:color w:val="0076C0"/>
      <w:sz w:val="24"/>
    </w:rPr>
  </w:style>
  <w:style w:type="paragraph" w:styleId="TableofFigures">
    <w:name w:val="table of figures"/>
    <w:basedOn w:val="TOC1"/>
    <w:next w:val="Normal"/>
    <w:uiPriority w:val="99"/>
    <w:rsid w:val="0054013C"/>
    <w:pPr>
      <w:keepLines/>
      <w:pBdr>
        <w:between w:val="single" w:sz="4" w:space="1" w:color="0076C0"/>
      </w:pBdr>
      <w:spacing w:after="60"/>
      <w:ind w:left="357" w:hanging="357"/>
      <w:textboxTightWrap w:val="allLines"/>
    </w:pPr>
    <w:rPr>
      <w:caps w:val="0"/>
    </w:rPr>
  </w:style>
  <w:style w:type="paragraph" w:styleId="Header">
    <w:name w:val="header"/>
    <w:basedOn w:val="Normal"/>
    <w:link w:val="HeaderChar"/>
    <w:uiPriority w:val="99"/>
    <w:rsid w:val="0054013C"/>
    <w:pPr>
      <w:pBdr>
        <w:bottom w:val="single" w:sz="4" w:space="1" w:color="0076C0"/>
      </w:pBdr>
      <w:tabs>
        <w:tab w:val="center" w:pos="4153"/>
        <w:tab w:val="right" w:pos="8306"/>
      </w:tabs>
      <w:spacing w:after="0"/>
    </w:pPr>
  </w:style>
  <w:style w:type="character" w:customStyle="1" w:styleId="HeaderChar">
    <w:name w:val="Header Char"/>
    <w:link w:val="Header"/>
    <w:uiPriority w:val="99"/>
    <w:rsid w:val="000016C3"/>
    <w:rPr>
      <w:rFonts w:ascii="Century Gothic" w:eastAsia="Times New Roman" w:hAnsi="Century Gothic" w:cs="Times New Roman"/>
      <w:lang w:val="en-AU" w:eastAsia="en-AU" w:bidi="ar-SA"/>
    </w:rPr>
  </w:style>
  <w:style w:type="character" w:styleId="Strong">
    <w:name w:val="Strong"/>
    <w:uiPriority w:val="22"/>
    <w:qFormat/>
    <w:rsid w:val="0054013C"/>
    <w:rPr>
      <w:b/>
      <w:bCs/>
    </w:rPr>
  </w:style>
  <w:style w:type="paragraph" w:customStyle="1" w:styleId="PELTableText">
    <w:name w:val="PEL Table Text"/>
    <w:basedOn w:val="Normal"/>
    <w:qFormat/>
    <w:rsid w:val="0054013C"/>
    <w:pPr>
      <w:keepNext/>
      <w:tabs>
        <w:tab w:val="left" w:pos="6804"/>
      </w:tabs>
      <w:spacing w:before="80" w:after="0"/>
    </w:pPr>
    <w:rPr>
      <w:rFonts w:cs="Century Gothic"/>
      <w:bCs/>
      <w:kern w:val="32"/>
      <w:sz w:val="16"/>
    </w:rPr>
  </w:style>
  <w:style w:type="paragraph" w:customStyle="1" w:styleId="PELTableHeader">
    <w:name w:val="PEL Table Header"/>
    <w:basedOn w:val="Normal"/>
    <w:rsid w:val="0054013C"/>
    <w:pPr>
      <w:keepNext/>
      <w:spacing w:after="0"/>
      <w:jc w:val="center"/>
    </w:pPr>
    <w:rPr>
      <w:b/>
      <w:bCs/>
      <w:color w:val="FFFFFF"/>
      <w:sz w:val="16"/>
    </w:rPr>
  </w:style>
  <w:style w:type="paragraph" w:styleId="TOAHeading">
    <w:name w:val="toa heading"/>
    <w:basedOn w:val="Normal"/>
    <w:next w:val="Normal"/>
    <w:semiHidden/>
    <w:rsid w:val="0054013C"/>
    <w:pPr>
      <w:spacing w:before="120"/>
    </w:pPr>
    <w:rPr>
      <w:rFonts w:ascii="Arial" w:hAnsi="Arial" w:cs="Arial"/>
      <w:b/>
      <w:bCs/>
      <w:sz w:val="24"/>
      <w:szCs w:val="24"/>
    </w:rPr>
  </w:style>
  <w:style w:type="paragraph" w:styleId="CommentSubject">
    <w:name w:val="annotation subject"/>
    <w:basedOn w:val="Normal"/>
    <w:link w:val="CommentSubjectChar"/>
    <w:uiPriority w:val="99"/>
    <w:semiHidden/>
    <w:unhideWhenUsed/>
    <w:rsid w:val="0054013C"/>
    <w:pPr>
      <w:spacing w:line="240" w:lineRule="auto"/>
    </w:pPr>
    <w:rPr>
      <w:b/>
      <w:bCs/>
      <w:sz w:val="20"/>
    </w:rPr>
  </w:style>
  <w:style w:type="character" w:customStyle="1" w:styleId="CommentSubjectChar">
    <w:name w:val="Comment Subject Char"/>
    <w:link w:val="CommentSubject"/>
    <w:uiPriority w:val="99"/>
    <w:semiHidden/>
    <w:rsid w:val="00417710"/>
    <w:rPr>
      <w:rFonts w:ascii="Century Gothic" w:hAnsi="Century Gothic"/>
      <w:b/>
      <w:bCs/>
      <w:sz w:val="20"/>
      <w:lang w:val="en-AU" w:eastAsia="en-AU" w:bidi="ar-SA"/>
    </w:rPr>
  </w:style>
  <w:style w:type="table" w:styleId="TableGrid1">
    <w:name w:val="Table Grid 1"/>
    <w:basedOn w:val="TableNormal"/>
    <w:uiPriority w:val="99"/>
    <w:semiHidden/>
    <w:unhideWhenUsed/>
    <w:rsid w:val="0054013C"/>
    <w:pPr>
      <w:spacing w:after="240" w:line="288" w:lineRule="auto"/>
      <w:jc w:val="both"/>
    </w:pPr>
    <w:rPr>
      <w:rFonts w:eastAsia="Century Gothic"/>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Subtitle">
    <w:name w:val="Subtitle"/>
    <w:basedOn w:val="Normal"/>
    <w:next w:val="Normal"/>
    <w:link w:val="SubtitleChar"/>
    <w:uiPriority w:val="11"/>
    <w:qFormat/>
    <w:rsid w:val="0054013C"/>
    <w:pPr>
      <w:spacing w:after="600"/>
    </w:pPr>
    <w:rPr>
      <w:i/>
      <w:iCs/>
      <w:spacing w:val="13"/>
      <w:sz w:val="24"/>
      <w:szCs w:val="24"/>
    </w:rPr>
  </w:style>
  <w:style w:type="character" w:customStyle="1" w:styleId="SubtitleChar">
    <w:name w:val="Subtitle Char"/>
    <w:link w:val="Subtitle"/>
    <w:uiPriority w:val="11"/>
    <w:rsid w:val="00695DB0"/>
    <w:rPr>
      <w:rFonts w:ascii="Century Gothic" w:eastAsia="Times New Roman" w:hAnsi="Century Gothic" w:cs="Times New Roman"/>
      <w:i/>
      <w:iCs/>
      <w:spacing w:val="13"/>
      <w:sz w:val="24"/>
      <w:szCs w:val="24"/>
      <w:lang w:val="en-AU" w:eastAsia="en-AU" w:bidi="ar-SA"/>
    </w:rPr>
  </w:style>
  <w:style w:type="character" w:styleId="CommentReference">
    <w:name w:val="annotation reference"/>
    <w:uiPriority w:val="99"/>
    <w:unhideWhenUsed/>
    <w:rsid w:val="0054013C"/>
    <w:rPr>
      <w:sz w:val="16"/>
      <w:szCs w:val="16"/>
    </w:rPr>
  </w:style>
  <w:style w:type="paragraph" w:styleId="NoSpacing">
    <w:name w:val="No Spacing"/>
    <w:basedOn w:val="Normal"/>
    <w:uiPriority w:val="1"/>
    <w:qFormat/>
    <w:rsid w:val="0054013C"/>
    <w:pPr>
      <w:spacing w:after="0"/>
    </w:pPr>
  </w:style>
  <w:style w:type="paragraph" w:styleId="Title">
    <w:name w:val="Title"/>
    <w:basedOn w:val="Normal"/>
    <w:next w:val="Normal"/>
    <w:link w:val="TitleChar"/>
    <w:uiPriority w:val="10"/>
    <w:qFormat/>
    <w:rsid w:val="00D7349A"/>
    <w:pPr>
      <w:framePr w:hSpace="180" w:wrap="around" w:vAnchor="page" w:hAnchor="margin" w:y="4806"/>
    </w:pPr>
    <w:rPr>
      <w:b/>
      <w:caps/>
      <w:sz w:val="24"/>
      <w:szCs w:val="24"/>
    </w:rPr>
  </w:style>
  <w:style w:type="character" w:customStyle="1" w:styleId="TitleChar">
    <w:name w:val="Title Char"/>
    <w:link w:val="Title"/>
    <w:uiPriority w:val="10"/>
    <w:rsid w:val="00D7349A"/>
    <w:rPr>
      <w:rFonts w:ascii="Century Gothic" w:eastAsia="Times New Roman" w:hAnsi="Century Gothic" w:cs="Times New Roman"/>
      <w:b/>
      <w:caps/>
      <w:sz w:val="24"/>
      <w:szCs w:val="24"/>
      <w:lang w:val="en-AU" w:eastAsia="en-AU" w:bidi="ar-SA"/>
    </w:rPr>
  </w:style>
  <w:style w:type="paragraph" w:styleId="IntenseQuote">
    <w:name w:val="Intense Quote"/>
    <w:basedOn w:val="Normal"/>
    <w:next w:val="Normal"/>
    <w:link w:val="IntenseQuoteChar"/>
    <w:uiPriority w:val="30"/>
    <w:qFormat/>
    <w:rsid w:val="0054013C"/>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DF6690"/>
    <w:rPr>
      <w:rFonts w:ascii="Century Gothic" w:hAnsi="Century Gothic"/>
      <w:b/>
      <w:bCs/>
      <w:i/>
      <w:iCs/>
      <w:lang w:val="en-AU" w:eastAsia="en-AU" w:bidi="ar-SA"/>
    </w:rPr>
  </w:style>
  <w:style w:type="character" w:styleId="IntenseReference">
    <w:name w:val="Intense Reference"/>
    <w:uiPriority w:val="32"/>
    <w:qFormat/>
    <w:rsid w:val="0054013C"/>
    <w:rPr>
      <w:smallCaps/>
      <w:spacing w:val="5"/>
      <w:u w:val="single"/>
    </w:rPr>
  </w:style>
  <w:style w:type="character" w:styleId="BookTitle">
    <w:name w:val="Book Title"/>
    <w:uiPriority w:val="33"/>
    <w:qFormat/>
    <w:rsid w:val="0054013C"/>
    <w:rPr>
      <w:i/>
      <w:iCs/>
      <w:smallCaps/>
      <w:spacing w:val="5"/>
    </w:rPr>
  </w:style>
  <w:style w:type="paragraph" w:styleId="TOCHeading">
    <w:name w:val="TOC Heading"/>
    <w:basedOn w:val="Heading1"/>
    <w:next w:val="Normal"/>
    <w:uiPriority w:val="39"/>
    <w:qFormat/>
    <w:rsid w:val="0054013C"/>
    <w:pPr>
      <w:numPr>
        <w:numId w:val="0"/>
      </w:numPr>
      <w:outlineLvl w:val="9"/>
    </w:pPr>
    <w:rPr>
      <w:rFonts w:ascii="Century Gothic" w:hAnsi="Century Gothic"/>
      <w:lang w:val="en-US" w:bidi="en-US"/>
    </w:rPr>
  </w:style>
  <w:style w:type="character" w:styleId="HTMLTypewriter">
    <w:name w:val="HTML Typewriter"/>
    <w:uiPriority w:val="99"/>
    <w:semiHidden/>
    <w:unhideWhenUsed/>
    <w:rsid w:val="0054013C"/>
    <w:rPr>
      <w:rFonts w:ascii="Courier New" w:eastAsia="Times New Roman" w:hAnsi="Courier New" w:cs="Courier New" w:hint="default"/>
      <w:sz w:val="20"/>
      <w:szCs w:val="20"/>
    </w:rPr>
  </w:style>
  <w:style w:type="paragraph" w:customStyle="1" w:styleId="TableStrong">
    <w:name w:val="Table Strong"/>
    <w:basedOn w:val="Normal"/>
    <w:qFormat/>
    <w:rsid w:val="0054013C"/>
    <w:rPr>
      <w:b/>
      <w:caps/>
      <w:color w:val="0076C0"/>
    </w:rPr>
  </w:style>
  <w:style w:type="table" w:customStyle="1" w:styleId="Style1">
    <w:name w:val="Style1"/>
    <w:basedOn w:val="TableNormal"/>
    <w:uiPriority w:val="99"/>
    <w:rsid w:val="0054013C"/>
    <w:tblPr>
      <w:tblInd w:w="0" w:type="dxa"/>
      <w:tblBorders>
        <w:top w:val="single" w:sz="4" w:space="0" w:color="7AC143"/>
        <w:left w:val="single" w:sz="4" w:space="0" w:color="7AC143"/>
        <w:bottom w:val="single" w:sz="4" w:space="0" w:color="7AC143"/>
        <w:right w:val="single" w:sz="4" w:space="0" w:color="7AC143"/>
        <w:insideH w:val="single" w:sz="4" w:space="0" w:color="7AC143"/>
        <w:insideV w:val="single" w:sz="4" w:space="0" w:color="7AC143"/>
      </w:tblBorders>
      <w:tblCellMar>
        <w:top w:w="0" w:type="dxa"/>
        <w:left w:w="108" w:type="dxa"/>
        <w:bottom w:w="0" w:type="dxa"/>
        <w:right w:w="108" w:type="dxa"/>
      </w:tblCellMar>
    </w:tblPr>
    <w:tblStylePr w:type="firstRow">
      <w:rPr>
        <w:rFonts w:ascii="Segoe UI" w:hAnsi="Segoe UI"/>
        <w:b/>
        <w:color w:val="FFFFFF"/>
        <w:sz w:val="18"/>
      </w:rPr>
      <w:tblPr/>
      <w:tcPr>
        <w:tcBorders>
          <w:top w:val="nil"/>
          <w:left w:val="nil"/>
          <w:bottom w:val="nil"/>
          <w:right w:val="nil"/>
          <w:insideH w:val="nil"/>
          <w:insideV w:val="nil"/>
        </w:tcBorders>
        <w:shd w:val="clear" w:color="auto" w:fill="7AC143"/>
      </w:tcPr>
    </w:tblStylePr>
  </w:style>
  <w:style w:type="character" w:styleId="IntenseEmphasis">
    <w:name w:val="Intense Emphasis"/>
    <w:uiPriority w:val="21"/>
    <w:qFormat/>
    <w:rsid w:val="0054013C"/>
    <w:rPr>
      <w:rFonts w:ascii="Century Gothic" w:hAnsi="Century Gothic"/>
      <w:b/>
      <w:bCs/>
      <w:i w:val="0"/>
      <w:iCs/>
      <w:color w:val="0076C0"/>
      <w:sz w:val="18"/>
    </w:rPr>
  </w:style>
  <w:style w:type="paragraph" w:customStyle="1" w:styleId="ESHeading1">
    <w:name w:val="ES Heading 1"/>
    <w:basedOn w:val="HeadingTOC"/>
    <w:rsid w:val="00DE2894"/>
    <w:pPr>
      <w:spacing w:after="360"/>
    </w:pPr>
  </w:style>
  <w:style w:type="paragraph" w:customStyle="1" w:styleId="FooterText">
    <w:name w:val="Footer Text"/>
    <w:basedOn w:val="FootnoteText"/>
    <w:qFormat/>
    <w:rsid w:val="0085182E"/>
    <w:pPr>
      <w:pBdr>
        <w:top w:val="single" w:sz="4" w:space="1" w:color="0076C0"/>
      </w:pBdr>
      <w:tabs>
        <w:tab w:val="right" w:pos="9015"/>
      </w:tabs>
    </w:pPr>
    <w:rPr>
      <w:noProof/>
      <w:color w:val="7F7F7F"/>
      <w:spacing w:val="-4"/>
      <w:sz w:val="16"/>
      <w:szCs w:val="16"/>
    </w:rPr>
  </w:style>
  <w:style w:type="paragraph" w:customStyle="1" w:styleId="Pageno">
    <w:name w:val="Page no"/>
    <w:basedOn w:val="FooterText"/>
    <w:rsid w:val="00F9665B"/>
    <w:pPr>
      <w:framePr w:wrap="around" w:vAnchor="page" w:hAnchor="text" w:xAlign="right" w:y="15253"/>
      <w:jc w:val="right"/>
    </w:pPr>
  </w:style>
  <w:style w:type="paragraph" w:customStyle="1" w:styleId="PageNoContent">
    <w:name w:val="Page No Content"/>
    <w:basedOn w:val="Normal"/>
    <w:qFormat/>
    <w:rsid w:val="0054013C"/>
    <w:pPr>
      <w:pBdr>
        <w:top w:val="single" w:sz="4" w:space="1" w:color="0076C0"/>
      </w:pBdr>
      <w:tabs>
        <w:tab w:val="right" w:pos="8931"/>
      </w:tabs>
      <w:jc w:val="right"/>
    </w:pPr>
  </w:style>
  <w:style w:type="paragraph" w:styleId="CommentText">
    <w:name w:val="annotation text"/>
    <w:basedOn w:val="Normal"/>
    <w:link w:val="CommentTextChar"/>
    <w:uiPriority w:val="99"/>
    <w:unhideWhenUsed/>
    <w:rsid w:val="0054013C"/>
    <w:pPr>
      <w:spacing w:line="240" w:lineRule="auto"/>
    </w:pPr>
    <w:rPr>
      <w:sz w:val="20"/>
      <w:szCs w:val="20"/>
    </w:rPr>
  </w:style>
  <w:style w:type="character" w:customStyle="1" w:styleId="CommentTextChar">
    <w:name w:val="Comment Text Char"/>
    <w:link w:val="CommentText"/>
    <w:uiPriority w:val="99"/>
    <w:rsid w:val="0054013C"/>
    <w:rPr>
      <w:rFonts w:ascii="Century Gothic" w:hAnsi="Century Gothic"/>
      <w:sz w:val="20"/>
      <w:szCs w:val="20"/>
      <w:lang w:val="en-AU" w:eastAsia="en-AU" w:bidi="ar-SA"/>
    </w:rPr>
  </w:style>
  <w:style w:type="table" w:styleId="LightList-Accent4">
    <w:name w:val="Light List Accent 4"/>
    <w:basedOn w:val="TableNormal"/>
    <w:uiPriority w:val="61"/>
    <w:rsid w:val="0054013C"/>
    <w:tblPr>
      <w:tblStyleRowBandSize w:val="1"/>
      <w:tblStyleColBandSize w:val="1"/>
      <w:tblInd w:w="0" w:type="dxa"/>
      <w:tblBorders>
        <w:top w:val="single" w:sz="8" w:space="0" w:color="0076C0"/>
        <w:left w:val="single" w:sz="8" w:space="0" w:color="0076C0"/>
        <w:bottom w:val="single" w:sz="8" w:space="0" w:color="0076C0"/>
        <w:right w:val="single" w:sz="8" w:space="0" w:color="0076C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76C0"/>
      </w:tcPr>
    </w:tblStylePr>
    <w:tblStylePr w:type="lastRow">
      <w:pPr>
        <w:spacing w:before="0" w:after="0" w:line="240" w:lineRule="auto"/>
      </w:pPr>
      <w:rPr>
        <w:b/>
        <w:bCs/>
      </w:rPr>
      <w:tblPr/>
      <w:tcPr>
        <w:tcBorders>
          <w:top w:val="double" w:sz="6" w:space="0" w:color="0076C0"/>
          <w:left w:val="single" w:sz="8" w:space="0" w:color="0076C0"/>
          <w:bottom w:val="single" w:sz="8" w:space="0" w:color="0076C0"/>
          <w:right w:val="single" w:sz="8" w:space="0" w:color="0076C0"/>
        </w:tcBorders>
      </w:tcPr>
    </w:tblStylePr>
    <w:tblStylePr w:type="firstCol">
      <w:rPr>
        <w:b/>
        <w:bCs/>
      </w:rPr>
    </w:tblStylePr>
    <w:tblStylePr w:type="lastCol">
      <w:rPr>
        <w:b/>
        <w:bCs/>
      </w:rPr>
    </w:tblStylePr>
    <w:tblStylePr w:type="band1Vert">
      <w:tblPr/>
      <w:tcPr>
        <w:tcBorders>
          <w:top w:val="single" w:sz="8" w:space="0" w:color="0076C0"/>
          <w:left w:val="single" w:sz="8" w:space="0" w:color="0076C0"/>
          <w:bottom w:val="single" w:sz="8" w:space="0" w:color="0076C0"/>
          <w:right w:val="single" w:sz="8" w:space="0" w:color="0076C0"/>
        </w:tcBorders>
      </w:tcPr>
    </w:tblStylePr>
    <w:tblStylePr w:type="band1Horz">
      <w:tblPr/>
      <w:tcPr>
        <w:tcBorders>
          <w:top w:val="single" w:sz="8" w:space="0" w:color="0076C0"/>
          <w:left w:val="single" w:sz="8" w:space="0" w:color="0076C0"/>
          <w:bottom w:val="single" w:sz="8" w:space="0" w:color="0076C0"/>
          <w:right w:val="single" w:sz="8" w:space="0" w:color="0076C0"/>
        </w:tcBorders>
      </w:tcPr>
    </w:tblStylePr>
  </w:style>
  <w:style w:type="table" w:styleId="LightList-Accent5">
    <w:name w:val="Light List Accent 5"/>
    <w:basedOn w:val="TableNormal"/>
    <w:uiPriority w:val="61"/>
    <w:rsid w:val="0054013C"/>
    <w:rPr>
      <w:rFonts w:eastAsia="Century Gothic"/>
    </w:rPr>
    <w:tblPr>
      <w:tblStyleRowBandSize w:val="1"/>
      <w:tblStyleColBandSize w:val="1"/>
      <w:tblInd w:w="0" w:type="dxa"/>
      <w:tblBorders>
        <w:top w:val="single" w:sz="8" w:space="0" w:color="7AC143"/>
        <w:left w:val="single" w:sz="8" w:space="0" w:color="7AC143"/>
        <w:bottom w:val="single" w:sz="8" w:space="0" w:color="7AC143"/>
        <w:right w:val="single" w:sz="8" w:space="0" w:color="7AC143"/>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AC143"/>
      </w:tcPr>
    </w:tblStylePr>
    <w:tblStylePr w:type="lastRow">
      <w:pPr>
        <w:spacing w:before="0" w:after="0" w:line="240" w:lineRule="auto"/>
      </w:pPr>
      <w:rPr>
        <w:b/>
        <w:bCs/>
      </w:rPr>
      <w:tblPr/>
      <w:tcPr>
        <w:tcBorders>
          <w:top w:val="double" w:sz="6" w:space="0" w:color="7AC143"/>
          <w:left w:val="single" w:sz="8" w:space="0" w:color="7AC143"/>
          <w:bottom w:val="single" w:sz="8" w:space="0" w:color="7AC143"/>
          <w:right w:val="single" w:sz="8" w:space="0" w:color="7AC143"/>
        </w:tcBorders>
      </w:tcPr>
    </w:tblStylePr>
    <w:tblStylePr w:type="firstCol">
      <w:rPr>
        <w:b/>
        <w:bCs/>
      </w:rPr>
    </w:tblStylePr>
    <w:tblStylePr w:type="lastCol">
      <w:rPr>
        <w:b/>
        <w:bCs/>
      </w:rPr>
    </w:tblStylePr>
    <w:tblStylePr w:type="band1Vert">
      <w:tblPr/>
      <w:tcPr>
        <w:tcBorders>
          <w:top w:val="single" w:sz="8" w:space="0" w:color="7AC143"/>
          <w:left w:val="single" w:sz="8" w:space="0" w:color="7AC143"/>
          <w:bottom w:val="single" w:sz="8" w:space="0" w:color="7AC143"/>
          <w:right w:val="single" w:sz="8" w:space="0" w:color="7AC143"/>
        </w:tcBorders>
      </w:tcPr>
    </w:tblStylePr>
    <w:tblStylePr w:type="band1Horz">
      <w:tblPr/>
      <w:tcPr>
        <w:tcBorders>
          <w:top w:val="single" w:sz="8" w:space="0" w:color="7AC143"/>
          <w:left w:val="single" w:sz="8" w:space="0" w:color="7AC143"/>
          <w:bottom w:val="single" w:sz="8" w:space="0" w:color="7AC143"/>
          <w:right w:val="single" w:sz="8" w:space="0" w:color="7AC143"/>
        </w:tcBorders>
      </w:tcPr>
    </w:tblStylePr>
  </w:style>
  <w:style w:type="paragraph" w:customStyle="1" w:styleId="PELTableBullet">
    <w:name w:val="PEL Table Bullet"/>
    <w:basedOn w:val="PELTableText"/>
    <w:qFormat/>
    <w:rsid w:val="0054013C"/>
    <w:pPr>
      <w:numPr>
        <w:numId w:val="8"/>
      </w:numPr>
      <w:tabs>
        <w:tab w:val="left" w:pos="284"/>
      </w:tabs>
      <w:ind w:left="284" w:hanging="284"/>
    </w:pPr>
    <w:rPr>
      <w:szCs w:val="20"/>
    </w:rPr>
  </w:style>
  <w:style w:type="paragraph" w:customStyle="1" w:styleId="PELTableFootnotetext">
    <w:name w:val="PEL Table Footnote text"/>
    <w:basedOn w:val="Normal"/>
    <w:rsid w:val="0054013C"/>
    <w:pPr>
      <w:spacing w:after="0"/>
      <w:ind w:left="720" w:hanging="720"/>
    </w:pPr>
    <w:rPr>
      <w:sz w:val="16"/>
    </w:rPr>
  </w:style>
  <w:style w:type="paragraph" w:customStyle="1" w:styleId="TableContentText">
    <w:name w:val="Table Content Text"/>
    <w:rsid w:val="0054013C"/>
    <w:pPr>
      <w:tabs>
        <w:tab w:val="left" w:pos="6804"/>
      </w:tabs>
      <w:spacing w:before="80"/>
    </w:pPr>
    <w:rPr>
      <w:rFonts w:ascii="Verdana" w:hAnsi="Verdana"/>
      <w:color w:val="003768"/>
      <w:kern w:val="32"/>
      <w:sz w:val="16"/>
      <w:lang w:eastAsia="en-US"/>
    </w:rPr>
  </w:style>
  <w:style w:type="paragraph" w:customStyle="1" w:styleId="Subheading">
    <w:name w:val="Subheading"/>
    <w:basedOn w:val="Normal"/>
    <w:next w:val="Normal"/>
    <w:link w:val="SubheadingChar"/>
    <w:qFormat/>
    <w:rsid w:val="00447A63"/>
    <w:rPr>
      <w:b/>
      <w:caps/>
      <w:color w:val="0076C0"/>
    </w:rPr>
  </w:style>
  <w:style w:type="paragraph" w:customStyle="1" w:styleId="Level4">
    <w:name w:val="Level 4"/>
    <w:basedOn w:val="Heading4"/>
    <w:qFormat/>
    <w:rsid w:val="00923596"/>
    <w:pPr>
      <w:numPr>
        <w:ilvl w:val="0"/>
        <w:numId w:val="0"/>
      </w:numPr>
      <w:tabs>
        <w:tab w:val="num" w:pos="851"/>
      </w:tabs>
      <w:ind w:left="851" w:hanging="851"/>
    </w:pPr>
    <w:rPr>
      <w:lang w:val="en-GB"/>
    </w:rPr>
  </w:style>
  <w:style w:type="numbering" w:customStyle="1" w:styleId="BulletList">
    <w:name w:val="Bullet List"/>
    <w:uiPriority w:val="99"/>
    <w:rsid w:val="00212AF4"/>
    <w:pPr>
      <w:numPr>
        <w:numId w:val="9"/>
      </w:numPr>
    </w:pPr>
  </w:style>
  <w:style w:type="paragraph" w:styleId="ListBullet">
    <w:name w:val="List Bullet"/>
    <w:basedOn w:val="Normal"/>
    <w:uiPriority w:val="99"/>
    <w:unhideWhenUsed/>
    <w:qFormat/>
    <w:rsid w:val="00212AF4"/>
    <w:pPr>
      <w:numPr>
        <w:numId w:val="10"/>
      </w:numPr>
      <w:spacing w:after="200"/>
    </w:pPr>
    <w:rPr>
      <w:rFonts w:ascii="Arial" w:eastAsia="Calibri" w:hAnsi="Arial"/>
      <w:sz w:val="22"/>
      <w:szCs w:val="22"/>
      <w:lang w:eastAsia="en-US"/>
    </w:rPr>
  </w:style>
  <w:style w:type="paragraph" w:styleId="ListBullet2">
    <w:name w:val="List Bullet 2"/>
    <w:basedOn w:val="Normal"/>
    <w:uiPriority w:val="99"/>
    <w:unhideWhenUsed/>
    <w:rsid w:val="00212AF4"/>
    <w:pPr>
      <w:numPr>
        <w:ilvl w:val="1"/>
        <w:numId w:val="10"/>
      </w:numPr>
      <w:spacing w:after="200"/>
    </w:pPr>
    <w:rPr>
      <w:rFonts w:ascii="Arial" w:eastAsia="Calibri" w:hAnsi="Arial"/>
      <w:sz w:val="22"/>
      <w:szCs w:val="22"/>
      <w:lang w:eastAsia="en-US"/>
    </w:rPr>
  </w:style>
  <w:style w:type="paragraph" w:styleId="ListBullet3">
    <w:name w:val="List Bullet 3"/>
    <w:basedOn w:val="Normal"/>
    <w:uiPriority w:val="99"/>
    <w:unhideWhenUsed/>
    <w:rsid w:val="00212AF4"/>
    <w:pPr>
      <w:numPr>
        <w:ilvl w:val="2"/>
        <w:numId w:val="10"/>
      </w:numPr>
      <w:spacing w:after="200"/>
    </w:pPr>
    <w:rPr>
      <w:rFonts w:ascii="Arial" w:eastAsia="Calibri" w:hAnsi="Arial"/>
      <w:sz w:val="22"/>
      <w:szCs w:val="22"/>
      <w:lang w:eastAsia="en-US"/>
    </w:rPr>
  </w:style>
  <w:style w:type="paragraph" w:styleId="ListBullet4">
    <w:name w:val="List Bullet 4"/>
    <w:basedOn w:val="Normal"/>
    <w:uiPriority w:val="99"/>
    <w:unhideWhenUsed/>
    <w:rsid w:val="00212AF4"/>
    <w:pPr>
      <w:numPr>
        <w:ilvl w:val="3"/>
        <w:numId w:val="10"/>
      </w:numPr>
      <w:spacing w:after="200"/>
    </w:pPr>
    <w:rPr>
      <w:rFonts w:ascii="Arial" w:eastAsia="Calibri" w:hAnsi="Arial"/>
      <w:sz w:val="22"/>
      <w:szCs w:val="22"/>
      <w:lang w:eastAsia="en-US"/>
    </w:rPr>
  </w:style>
  <w:style w:type="paragraph" w:styleId="ListBullet5">
    <w:name w:val="List Bullet 5"/>
    <w:basedOn w:val="Normal"/>
    <w:unhideWhenUsed/>
    <w:rsid w:val="00212AF4"/>
    <w:pPr>
      <w:numPr>
        <w:ilvl w:val="4"/>
        <w:numId w:val="10"/>
      </w:numPr>
      <w:spacing w:after="200"/>
    </w:pPr>
    <w:rPr>
      <w:rFonts w:ascii="Arial" w:eastAsia="Calibri" w:hAnsi="Arial"/>
      <w:sz w:val="22"/>
      <w:szCs w:val="22"/>
      <w:lang w:eastAsia="en-US"/>
    </w:rPr>
  </w:style>
  <w:style w:type="paragraph" w:customStyle="1" w:styleId="L1PB">
    <w:name w:val="L1 PB"/>
    <w:basedOn w:val="ListParagraph"/>
    <w:link w:val="L1PBChar"/>
    <w:qFormat/>
    <w:rsid w:val="00A76F39"/>
    <w:pPr>
      <w:numPr>
        <w:ilvl w:val="3"/>
        <w:numId w:val="11"/>
      </w:numPr>
      <w:tabs>
        <w:tab w:val="clear" w:pos="2880"/>
        <w:tab w:val="num" w:pos="567"/>
      </w:tabs>
      <w:ind w:left="567" w:hanging="567"/>
    </w:pPr>
    <w:rPr>
      <w:rFonts w:cs="Arial"/>
      <w:b/>
      <w:sz w:val="22"/>
      <w:szCs w:val="22"/>
    </w:rPr>
  </w:style>
  <w:style w:type="character" w:customStyle="1" w:styleId="L1PBChar">
    <w:name w:val="L1 PB Char"/>
    <w:link w:val="L1PB"/>
    <w:rsid w:val="00A76F39"/>
    <w:rPr>
      <w:rFonts w:ascii="Century Gothic" w:hAnsi="Century Gothic" w:cs="Arial"/>
      <w:b/>
      <w:sz w:val="22"/>
      <w:szCs w:val="22"/>
      <w:lang w:val="en-AU" w:eastAsia="en-AU" w:bidi="ar-SA"/>
    </w:rPr>
  </w:style>
  <w:style w:type="paragraph" w:customStyle="1" w:styleId="BulletCubes">
    <w:name w:val="Bullet Cubes"/>
    <w:basedOn w:val="BodyText"/>
    <w:link w:val="BulletCubesChar"/>
    <w:qFormat/>
    <w:rsid w:val="009965D6"/>
    <w:pPr>
      <w:tabs>
        <w:tab w:val="left" w:pos="3060"/>
      </w:tabs>
      <w:spacing w:before="120" w:after="120" w:line="288" w:lineRule="auto"/>
      <w:ind w:left="360" w:right="-2" w:hanging="360"/>
      <w:jc w:val="both"/>
    </w:pPr>
    <w:rPr>
      <w:rFonts w:ascii="Verdana" w:hAnsi="Verdana" w:cs="Times New Roman"/>
      <w:lang w:eastAsia="en-US" w:bidi="en-US"/>
    </w:rPr>
  </w:style>
  <w:style w:type="character" w:customStyle="1" w:styleId="BulletCubesChar">
    <w:name w:val="Bullet Cubes Char"/>
    <w:link w:val="BulletCubes"/>
    <w:rsid w:val="009965D6"/>
    <w:rPr>
      <w:rFonts w:ascii="Verdana" w:eastAsia="Times New Roman" w:hAnsi="Verdana" w:cs="Times New Roman"/>
      <w:bCs/>
      <w:color w:val="000000"/>
      <w:kern w:val="32"/>
      <w:szCs w:val="32"/>
      <w:lang/>
    </w:rPr>
  </w:style>
  <w:style w:type="paragraph" w:customStyle="1" w:styleId="Bulletedlist">
    <w:name w:val="Bulleted list"/>
    <w:basedOn w:val="Normal"/>
    <w:rsid w:val="009965D6"/>
    <w:pPr>
      <w:numPr>
        <w:numId w:val="13"/>
      </w:numPr>
      <w:spacing w:after="200"/>
    </w:pPr>
    <w:rPr>
      <w:rFonts w:ascii="Calibri" w:hAnsi="Calibri"/>
      <w:sz w:val="22"/>
      <w:szCs w:val="22"/>
      <w:lang w:eastAsia="en-US"/>
    </w:rPr>
  </w:style>
  <w:style w:type="paragraph" w:customStyle="1" w:styleId="TableContentHeading">
    <w:name w:val="Table Content Heading"/>
    <w:rsid w:val="00C02979"/>
    <w:rPr>
      <w:rFonts w:ascii="Verdana" w:hAnsi="Verdana"/>
      <w:b/>
      <w:color w:val="FFFFFF"/>
      <w:sz w:val="16"/>
      <w:lang w:eastAsia="en-US"/>
    </w:rPr>
  </w:style>
  <w:style w:type="paragraph" w:customStyle="1" w:styleId="Level4PB">
    <w:name w:val="Level 4 PB"/>
    <w:basedOn w:val="Heading4"/>
    <w:link w:val="Level4PBChar"/>
    <w:rsid w:val="00234067"/>
    <w:rPr>
      <w:lang w:val="en-GB"/>
    </w:rPr>
  </w:style>
  <w:style w:type="paragraph" w:customStyle="1" w:styleId="Default">
    <w:name w:val="Default"/>
    <w:rsid w:val="00234067"/>
    <w:pPr>
      <w:autoSpaceDE w:val="0"/>
      <w:autoSpaceDN w:val="0"/>
      <w:adjustRightInd w:val="0"/>
    </w:pPr>
    <w:rPr>
      <w:rFonts w:ascii="Book Antiqua" w:hAnsi="Book Antiqua" w:cs="Book Antiqua"/>
      <w:color w:val="000000"/>
      <w:sz w:val="24"/>
      <w:szCs w:val="24"/>
      <w:lang w:eastAsia="en-US"/>
    </w:rPr>
  </w:style>
  <w:style w:type="character" w:customStyle="1" w:styleId="Level4PBChar">
    <w:name w:val="Level 4 PB Char"/>
    <w:link w:val="Level4PB"/>
    <w:rsid w:val="00234067"/>
    <w:rPr>
      <w:rFonts w:ascii="Century Gothic" w:hAnsi="Century Gothic"/>
      <w:iCs/>
      <w:color w:val="0076C0"/>
      <w:sz w:val="18"/>
      <w:szCs w:val="18"/>
      <w:lang w:val="en-GB" w:eastAsia="en-AU" w:bidi="ar-SA"/>
    </w:rPr>
  </w:style>
  <w:style w:type="paragraph" w:customStyle="1" w:styleId="Level4PB2">
    <w:name w:val="Level 4  PB2"/>
    <w:basedOn w:val="Level4PB"/>
    <w:link w:val="Level4PB2Char"/>
    <w:qFormat/>
    <w:rsid w:val="00842447"/>
  </w:style>
  <w:style w:type="paragraph" w:customStyle="1" w:styleId="Pa13">
    <w:name w:val="Pa13"/>
    <w:basedOn w:val="Default"/>
    <w:next w:val="Default"/>
    <w:uiPriority w:val="99"/>
    <w:rsid w:val="00BE35F5"/>
    <w:pPr>
      <w:spacing w:line="181" w:lineRule="atLeast"/>
    </w:pPr>
    <w:rPr>
      <w:rFonts w:ascii="Times New Roman" w:hAnsi="Times New Roman" w:cs="Times New Roman"/>
      <w:color w:val="auto"/>
    </w:rPr>
  </w:style>
  <w:style w:type="character" w:customStyle="1" w:styleId="Level4PB2Char">
    <w:name w:val="Level 4  PB2 Char"/>
    <w:link w:val="Level4PB2"/>
    <w:rsid w:val="00842447"/>
    <w:rPr>
      <w:rFonts w:ascii="Century Gothic" w:hAnsi="Century Gothic"/>
      <w:iCs/>
      <w:color w:val="0076C0"/>
      <w:sz w:val="18"/>
      <w:szCs w:val="18"/>
      <w:lang w:val="en-GB" w:eastAsia="en-AU" w:bidi="ar-SA"/>
    </w:rPr>
  </w:style>
  <w:style w:type="paragraph" w:customStyle="1" w:styleId="Pa3">
    <w:name w:val="Pa3"/>
    <w:basedOn w:val="Default"/>
    <w:next w:val="Default"/>
    <w:uiPriority w:val="99"/>
    <w:rsid w:val="00BE35F5"/>
    <w:pPr>
      <w:spacing w:line="161" w:lineRule="atLeast"/>
    </w:pPr>
    <w:rPr>
      <w:rFonts w:ascii="Times New Roman" w:hAnsi="Times New Roman" w:cs="Times New Roman"/>
      <w:color w:val="auto"/>
    </w:rPr>
  </w:style>
  <w:style w:type="paragraph" w:customStyle="1" w:styleId="TRLProjectReport-BodyText">
    <w:name w:val="TRL Project Report - Body Text"/>
    <w:rsid w:val="00C93EDF"/>
    <w:pPr>
      <w:spacing w:after="120"/>
    </w:pPr>
    <w:rPr>
      <w:rFonts w:ascii="Times New Roman" w:hAnsi="Times New Roman"/>
      <w:sz w:val="22"/>
      <w:lang w:val="en-GB" w:eastAsia="zh-CN"/>
    </w:rPr>
  </w:style>
  <w:style w:type="paragraph" w:customStyle="1" w:styleId="Level5PB">
    <w:name w:val="Level 5 PB"/>
    <w:basedOn w:val="Normal"/>
    <w:link w:val="Level5PBChar"/>
    <w:qFormat/>
    <w:rsid w:val="00431140"/>
    <w:pPr>
      <w:spacing w:before="240" w:after="180"/>
    </w:pPr>
    <w:rPr>
      <w:i/>
      <w:color w:val="0070C0"/>
      <w:lang w:val="en-GB" w:eastAsia="en-US"/>
    </w:rPr>
  </w:style>
  <w:style w:type="paragraph" w:customStyle="1" w:styleId="CaptionPB">
    <w:name w:val="Caption PB"/>
    <w:basedOn w:val="Caption"/>
    <w:link w:val="CaptionPBChar"/>
    <w:qFormat/>
    <w:rsid w:val="008005CD"/>
  </w:style>
  <w:style w:type="character" w:customStyle="1" w:styleId="Level5PBChar">
    <w:name w:val="Level 5 PB Char"/>
    <w:link w:val="Level5PB"/>
    <w:rsid w:val="00431140"/>
    <w:rPr>
      <w:rFonts w:ascii="Century Gothic" w:hAnsi="Century Gothic"/>
      <w:i/>
      <w:color w:val="0070C0"/>
      <w:lang w:val="en-GB" w:bidi="ar-SA"/>
    </w:rPr>
  </w:style>
  <w:style w:type="character" w:customStyle="1" w:styleId="CaptionPBChar">
    <w:name w:val="Caption PB Char"/>
    <w:link w:val="CaptionPB"/>
    <w:rsid w:val="008005CD"/>
    <w:rPr>
      <w:rFonts w:ascii="Century Gothic" w:eastAsia="Times New Roman" w:hAnsi="Century Gothic" w:cs="Times New Roman"/>
      <w:b/>
      <w:bCs/>
      <w:color w:val="0076C0"/>
      <w:sz w:val="16"/>
      <w:szCs w:val="16"/>
      <w:lang w:val="en-AU" w:eastAsia="en-AU" w:bidi="ar-SA"/>
    </w:rPr>
  </w:style>
  <w:style w:type="character" w:customStyle="1" w:styleId="FootnoteTextChar1">
    <w:name w:val="Footnote Text Char1"/>
    <w:aliases w:val="Footnote text Char1,Footnote text1 Char1,Footnote text2 Char1,Footnote text11 Char1,Footnote text3 Char1,Footnote text12 Char1,Footnote text4 Char1,Footnote text13 Char1,Footnote text21 Char1,Footnote text111 Char1"/>
    <w:uiPriority w:val="99"/>
    <w:semiHidden/>
    <w:rsid w:val="009B5E57"/>
    <w:rPr>
      <w:rFonts w:ascii="Arial Narrow" w:hAnsi="Arial Narrow"/>
      <w:sz w:val="18"/>
      <w:szCs w:val="18"/>
      <w:lang w:eastAsia="en-AU"/>
    </w:rPr>
  </w:style>
  <w:style w:type="paragraph" w:customStyle="1" w:styleId="StandardPara">
    <w:name w:val="Standard Para"/>
    <w:link w:val="StandardParaChar2"/>
    <w:rsid w:val="00531C73"/>
    <w:pPr>
      <w:spacing w:after="120" w:line="340" w:lineRule="atLeast"/>
      <w:jc w:val="both"/>
    </w:pPr>
    <w:rPr>
      <w:rFonts w:ascii="Arial Narrow" w:hAnsi="Arial Narrow"/>
      <w:sz w:val="24"/>
      <w:szCs w:val="24"/>
    </w:rPr>
  </w:style>
  <w:style w:type="character" w:customStyle="1" w:styleId="StandardParaChar2">
    <w:name w:val="Standard Para Char2"/>
    <w:link w:val="StandardPara"/>
    <w:rsid w:val="00531C73"/>
    <w:rPr>
      <w:rFonts w:ascii="Arial Narrow" w:eastAsia="Times New Roman" w:hAnsi="Arial Narrow" w:cs="Times New Roman"/>
      <w:sz w:val="24"/>
      <w:szCs w:val="24"/>
      <w:lang w:val="en-AU" w:eastAsia="en-AU" w:bidi="ar-SA"/>
    </w:rPr>
  </w:style>
  <w:style w:type="paragraph" w:customStyle="1" w:styleId="StandardParaChar">
    <w:name w:val="Standard Para Char"/>
    <w:link w:val="StandardParaCharChar1"/>
    <w:rsid w:val="00C176F0"/>
    <w:pPr>
      <w:spacing w:after="120" w:line="340" w:lineRule="atLeast"/>
      <w:jc w:val="both"/>
    </w:pPr>
    <w:rPr>
      <w:rFonts w:ascii="Arial Narrow" w:hAnsi="Arial Narrow"/>
      <w:sz w:val="24"/>
      <w:szCs w:val="24"/>
    </w:rPr>
  </w:style>
  <w:style w:type="character" w:customStyle="1" w:styleId="StandardParaCharChar1">
    <w:name w:val="Standard Para Char Char1"/>
    <w:link w:val="StandardParaChar"/>
    <w:rsid w:val="00C176F0"/>
    <w:rPr>
      <w:rFonts w:ascii="Arial Narrow" w:eastAsia="Times New Roman" w:hAnsi="Arial Narrow" w:cs="Times New Roman"/>
      <w:sz w:val="24"/>
      <w:szCs w:val="24"/>
      <w:lang w:val="en-AU" w:eastAsia="en-AU" w:bidi="ar-SA"/>
    </w:rPr>
  </w:style>
  <w:style w:type="paragraph" w:customStyle="1" w:styleId="rptbodytext">
    <w:name w:val="rptbodytext"/>
    <w:basedOn w:val="Normal"/>
    <w:uiPriority w:val="99"/>
    <w:rsid w:val="0048798A"/>
    <w:pPr>
      <w:spacing w:line="280" w:lineRule="atLeast"/>
    </w:pPr>
    <w:rPr>
      <w:rFonts w:ascii="Arial" w:eastAsia="Century Gothic" w:hAnsi="Arial" w:cs="Arial"/>
      <w:sz w:val="22"/>
      <w:szCs w:val="22"/>
    </w:rPr>
  </w:style>
  <w:style w:type="paragraph" w:customStyle="1" w:styleId="EPANormal">
    <w:name w:val="EPA Normal"/>
    <w:basedOn w:val="Normal"/>
    <w:uiPriority w:val="99"/>
    <w:rsid w:val="009F219C"/>
    <w:pPr>
      <w:spacing w:after="80" w:line="240" w:lineRule="auto"/>
    </w:pPr>
    <w:rPr>
      <w:rFonts w:ascii="Arial" w:eastAsia="Arial" w:hAnsi="Arial"/>
      <w:sz w:val="20"/>
      <w:szCs w:val="20"/>
      <w:lang w:eastAsia="en-US"/>
    </w:rPr>
  </w:style>
  <w:style w:type="character" w:styleId="Emphasis">
    <w:name w:val="Emphasis"/>
    <w:uiPriority w:val="20"/>
    <w:qFormat/>
    <w:rsid w:val="00CA7E27"/>
    <w:rPr>
      <w:i/>
      <w:iCs/>
    </w:rPr>
  </w:style>
  <w:style w:type="paragraph" w:customStyle="1" w:styleId="RptBodyText0">
    <w:name w:val="(Rpt) Body Text"/>
    <w:uiPriority w:val="99"/>
    <w:rsid w:val="003248C0"/>
    <w:pPr>
      <w:spacing w:after="240" w:line="280" w:lineRule="exact"/>
    </w:pPr>
    <w:rPr>
      <w:rFonts w:ascii="Arial" w:hAnsi="Arial"/>
      <w:sz w:val="22"/>
      <w:lang w:val="en-US" w:eastAsia="en-US"/>
    </w:rPr>
  </w:style>
  <w:style w:type="paragraph" w:customStyle="1" w:styleId="RptBullet-Level1">
    <w:name w:val="(Rpt) Bullet - Level 1"/>
    <w:link w:val="RptBullet-Level1Char"/>
    <w:uiPriority w:val="99"/>
    <w:rsid w:val="003248C0"/>
    <w:pPr>
      <w:numPr>
        <w:numId w:val="15"/>
      </w:numPr>
      <w:spacing w:after="120" w:line="280" w:lineRule="exact"/>
    </w:pPr>
    <w:rPr>
      <w:rFonts w:ascii="Arial" w:hAnsi="Arial"/>
      <w:sz w:val="22"/>
      <w:lang w:val="en-US" w:eastAsia="en-US"/>
    </w:rPr>
  </w:style>
  <w:style w:type="character" w:customStyle="1" w:styleId="RptBullet-Level1Char">
    <w:name w:val="(Rpt) Bullet - Level 1 Char"/>
    <w:link w:val="RptBullet-Level1"/>
    <w:uiPriority w:val="99"/>
    <w:locked/>
    <w:rsid w:val="003248C0"/>
    <w:rPr>
      <w:rFonts w:ascii="Arial" w:hAnsi="Arial"/>
      <w:sz w:val="22"/>
      <w:lang w:val="en-US" w:eastAsia="en-US" w:bidi="ar-SA"/>
    </w:rPr>
  </w:style>
  <w:style w:type="paragraph" w:styleId="NormalWeb">
    <w:name w:val="Normal (Web)"/>
    <w:basedOn w:val="Normal"/>
    <w:uiPriority w:val="99"/>
    <w:rsid w:val="003248C0"/>
    <w:pPr>
      <w:spacing w:before="240" w:line="240" w:lineRule="auto"/>
    </w:pPr>
    <w:rPr>
      <w:rFonts w:ascii="Times New Roman" w:hAnsi="Times New Roman"/>
      <w:sz w:val="24"/>
      <w:szCs w:val="24"/>
    </w:rPr>
  </w:style>
  <w:style w:type="paragraph" w:customStyle="1" w:styleId="ReportBodyText">
    <w:name w:val="Report Body Text"/>
    <w:basedOn w:val="Normal"/>
    <w:link w:val="ReportBodyTextChar"/>
    <w:uiPriority w:val="99"/>
    <w:rsid w:val="007B7E5E"/>
    <w:pPr>
      <w:tabs>
        <w:tab w:val="left" w:pos="284"/>
        <w:tab w:val="left" w:pos="567"/>
        <w:tab w:val="left" w:pos="851"/>
        <w:tab w:val="left" w:pos="1134"/>
      </w:tabs>
      <w:spacing w:line="280" w:lineRule="exact"/>
    </w:pPr>
    <w:rPr>
      <w:rFonts w:ascii="Arial" w:hAnsi="Arial"/>
      <w:sz w:val="22"/>
      <w:szCs w:val="20"/>
      <w:lang w:val="en-US" w:eastAsia="en-US"/>
    </w:rPr>
  </w:style>
  <w:style w:type="character" w:customStyle="1" w:styleId="ReportBodyTextChar">
    <w:name w:val="Report Body Text Char"/>
    <w:link w:val="ReportBodyText"/>
    <w:uiPriority w:val="99"/>
    <w:locked/>
    <w:rsid w:val="007B7E5E"/>
    <w:rPr>
      <w:rFonts w:ascii="Arial" w:eastAsia="Times New Roman" w:hAnsi="Arial" w:cs="Times New Roman"/>
      <w:sz w:val="22"/>
      <w:szCs w:val="20"/>
      <w:lang w:bidi="ar-SA"/>
    </w:rPr>
  </w:style>
  <w:style w:type="paragraph" w:customStyle="1" w:styleId="msolistparagraph0">
    <w:name w:val="msolistparagraph"/>
    <w:basedOn w:val="Normal"/>
    <w:uiPriority w:val="99"/>
    <w:rsid w:val="00322EC5"/>
    <w:pPr>
      <w:spacing w:after="0" w:line="240" w:lineRule="auto"/>
      <w:ind w:left="720"/>
    </w:pPr>
    <w:rPr>
      <w:rFonts w:ascii="Times New Roman" w:eastAsia="Calibri" w:hAnsi="Times New Roman"/>
      <w:sz w:val="24"/>
      <w:szCs w:val="24"/>
    </w:rPr>
  </w:style>
  <w:style w:type="paragraph" w:customStyle="1" w:styleId="default0">
    <w:name w:val="default0"/>
    <w:basedOn w:val="Normal"/>
    <w:uiPriority w:val="99"/>
    <w:rsid w:val="00D4697F"/>
    <w:pPr>
      <w:autoSpaceDE w:val="0"/>
      <w:autoSpaceDN w:val="0"/>
      <w:spacing w:after="0" w:line="240" w:lineRule="auto"/>
    </w:pPr>
    <w:rPr>
      <w:rFonts w:eastAsia="Century Gothic"/>
      <w:color w:val="000000"/>
      <w:sz w:val="24"/>
      <w:szCs w:val="24"/>
    </w:rPr>
  </w:style>
  <w:style w:type="paragraph" w:customStyle="1" w:styleId="default1">
    <w:name w:val="default"/>
    <w:basedOn w:val="Normal"/>
    <w:uiPriority w:val="99"/>
    <w:rsid w:val="00233D09"/>
    <w:pPr>
      <w:autoSpaceDE w:val="0"/>
      <w:autoSpaceDN w:val="0"/>
      <w:spacing w:after="0" w:line="240" w:lineRule="auto"/>
    </w:pPr>
    <w:rPr>
      <w:rFonts w:eastAsia="Century Gothic"/>
      <w:color w:val="000000"/>
      <w:sz w:val="24"/>
      <w:szCs w:val="24"/>
    </w:rPr>
  </w:style>
  <w:style w:type="character" w:customStyle="1" w:styleId="A6">
    <w:name w:val="A6"/>
    <w:uiPriority w:val="99"/>
    <w:rsid w:val="005A0431"/>
    <w:rPr>
      <w:rFonts w:cs="Garamond"/>
      <w:color w:val="000000"/>
    </w:rPr>
  </w:style>
  <w:style w:type="character" w:customStyle="1" w:styleId="A7">
    <w:name w:val="A7"/>
    <w:uiPriority w:val="99"/>
    <w:rsid w:val="005A0431"/>
    <w:rPr>
      <w:rFonts w:cs="Garamond"/>
      <w:color w:val="000000"/>
      <w:sz w:val="14"/>
      <w:szCs w:val="14"/>
    </w:rPr>
  </w:style>
  <w:style w:type="paragraph" w:customStyle="1" w:styleId="Pa14">
    <w:name w:val="Pa14"/>
    <w:basedOn w:val="Default"/>
    <w:next w:val="Default"/>
    <w:uiPriority w:val="99"/>
    <w:rsid w:val="00BC2252"/>
    <w:pPr>
      <w:spacing w:line="201" w:lineRule="atLeast"/>
    </w:pPr>
    <w:rPr>
      <w:rFonts w:ascii="Palatino Linotype" w:hAnsi="Palatino Linotype" w:cs="Times New Roman"/>
      <w:color w:val="auto"/>
    </w:rPr>
  </w:style>
  <w:style w:type="character" w:customStyle="1" w:styleId="A5">
    <w:name w:val="A5"/>
    <w:uiPriority w:val="99"/>
    <w:rsid w:val="00BC2252"/>
    <w:rPr>
      <w:rFonts w:cs="Palatino Linotype"/>
      <w:color w:val="000000"/>
      <w:sz w:val="11"/>
      <w:szCs w:val="11"/>
    </w:rPr>
  </w:style>
  <w:style w:type="paragraph" w:customStyle="1" w:styleId="Pa15">
    <w:name w:val="Pa15"/>
    <w:basedOn w:val="Default"/>
    <w:next w:val="Default"/>
    <w:uiPriority w:val="99"/>
    <w:rsid w:val="00F905C7"/>
    <w:pPr>
      <w:spacing w:line="201" w:lineRule="atLeast"/>
    </w:pPr>
    <w:rPr>
      <w:rFonts w:ascii="Palatino Linotype" w:hAnsi="Palatino Linotype" w:cs="Times New Roman"/>
      <w:color w:val="auto"/>
    </w:rPr>
  </w:style>
  <w:style w:type="paragraph" w:customStyle="1" w:styleId="BulletsLevel3">
    <w:name w:val="Bullets Level 3"/>
    <w:basedOn w:val="Normal"/>
    <w:rsid w:val="00CE6B8D"/>
    <w:pPr>
      <w:spacing w:before="120" w:after="120" w:line="288" w:lineRule="auto"/>
      <w:ind w:left="927" w:right="96" w:hanging="360"/>
      <w:jc w:val="both"/>
    </w:pPr>
    <w:rPr>
      <w:rFonts w:ascii="Verdana" w:hAnsi="Verdana"/>
      <w:bCs/>
      <w:color w:val="000000"/>
      <w:kern w:val="32"/>
      <w:szCs w:val="32"/>
      <w:lang w:eastAsia="en-US"/>
    </w:rPr>
  </w:style>
  <w:style w:type="paragraph" w:customStyle="1" w:styleId="SubheadingCAPS">
    <w:name w:val="SubheadingCAPS"/>
    <w:basedOn w:val="Normal"/>
    <w:rsid w:val="00DB5D5F"/>
    <w:pPr>
      <w:spacing w:line="288" w:lineRule="auto"/>
      <w:ind w:left="3600" w:right="-81" w:hanging="3600"/>
    </w:pPr>
    <w:rPr>
      <w:rFonts w:ascii="Verdana" w:hAnsi="Verdana"/>
      <w:b/>
      <w:bCs/>
      <w:caps/>
      <w:color w:val="003768"/>
      <w:kern w:val="32"/>
      <w:sz w:val="20"/>
      <w:szCs w:val="32"/>
      <w:lang w:val="en-US" w:eastAsia="en-US"/>
    </w:rPr>
  </w:style>
  <w:style w:type="paragraph" w:customStyle="1" w:styleId="BulletCubesLevel2">
    <w:name w:val="Bullet Cubes Level 2"/>
    <w:basedOn w:val="BulletCubes"/>
    <w:rsid w:val="00DB5D5F"/>
    <w:pPr>
      <w:tabs>
        <w:tab w:val="clear" w:pos="3060"/>
      </w:tabs>
      <w:ind w:left="644" w:right="96"/>
    </w:pPr>
    <w:rPr>
      <w:lang w:bidi="ar-SA"/>
    </w:rPr>
  </w:style>
  <w:style w:type="paragraph" w:customStyle="1" w:styleId="ListParagraph1">
    <w:name w:val="List Paragraph1"/>
    <w:aliases w:val="List Paragraph11,Recommendation"/>
    <w:basedOn w:val="Normal"/>
    <w:link w:val="ListParagraphChar"/>
    <w:uiPriority w:val="34"/>
    <w:qFormat/>
    <w:rsid w:val="00156603"/>
    <w:pPr>
      <w:ind w:left="720"/>
      <w:contextualSpacing/>
    </w:pPr>
    <w:rPr>
      <w:lang/>
    </w:rPr>
  </w:style>
  <w:style w:type="character" w:customStyle="1" w:styleId="ListParagraphChar">
    <w:name w:val="List Paragraph Char"/>
    <w:aliases w:val="List Paragraph1 Char,Recommendation Char,Rec para Char"/>
    <w:link w:val="ListParagraph1"/>
    <w:uiPriority w:val="34"/>
    <w:locked/>
    <w:rsid w:val="00156603"/>
    <w:rPr>
      <w:sz w:val="18"/>
      <w:szCs w:val="18"/>
      <w:lang/>
    </w:rPr>
  </w:style>
  <w:style w:type="character" w:customStyle="1" w:styleId="A12">
    <w:name w:val="A12"/>
    <w:uiPriority w:val="99"/>
    <w:rsid w:val="000616B7"/>
    <w:rPr>
      <w:rFonts w:cs="Adobe Garamond Pro"/>
      <w:b/>
      <w:bCs/>
      <w:color w:val="221E1F"/>
      <w:sz w:val="12"/>
      <w:szCs w:val="12"/>
    </w:rPr>
  </w:style>
  <w:style w:type="character" w:customStyle="1" w:styleId="A13">
    <w:name w:val="A13"/>
    <w:uiPriority w:val="99"/>
    <w:rsid w:val="000616B7"/>
    <w:rPr>
      <w:rFonts w:cs="Adobe Garamond Pro"/>
      <w:b/>
      <w:bCs/>
      <w:color w:val="221E1F"/>
      <w:sz w:val="12"/>
      <w:szCs w:val="12"/>
    </w:rPr>
  </w:style>
  <w:style w:type="paragraph" w:customStyle="1" w:styleId="Bullet1">
    <w:name w:val="Bullet 1"/>
    <w:basedOn w:val="ListBullet"/>
    <w:rsid w:val="006B7F08"/>
    <w:pPr>
      <w:numPr>
        <w:numId w:val="19"/>
      </w:numPr>
      <w:spacing w:after="0" w:line="240" w:lineRule="auto"/>
      <w:ind w:left="644"/>
      <w:contextualSpacing/>
    </w:pPr>
    <w:rPr>
      <w:rFonts w:ascii="Century Gothic" w:eastAsia="Arial" w:hAnsi="Century Gothic"/>
      <w:sz w:val="18"/>
      <w:szCs w:val="18"/>
      <w:lang w:val="en-US"/>
    </w:rPr>
  </w:style>
  <w:style w:type="paragraph" w:customStyle="1" w:styleId="Bullet2">
    <w:name w:val="Bullet 2"/>
    <w:rsid w:val="006B7F08"/>
    <w:pPr>
      <w:numPr>
        <w:ilvl w:val="1"/>
        <w:numId w:val="19"/>
      </w:numPr>
      <w:contextualSpacing/>
    </w:pPr>
    <w:rPr>
      <w:rFonts w:eastAsia="Arial"/>
      <w:sz w:val="18"/>
      <w:szCs w:val="18"/>
      <w:lang w:val="en-US" w:eastAsia="en-US"/>
    </w:rPr>
  </w:style>
  <w:style w:type="paragraph" w:customStyle="1" w:styleId="Bullet3">
    <w:name w:val="Bullet 3"/>
    <w:basedOn w:val="Bullet2"/>
    <w:rsid w:val="006B7F08"/>
    <w:pPr>
      <w:numPr>
        <w:ilvl w:val="2"/>
      </w:numPr>
      <w:tabs>
        <w:tab w:val="num" w:pos="2160"/>
      </w:tabs>
      <w:ind w:left="2160"/>
    </w:pPr>
  </w:style>
  <w:style w:type="paragraph" w:customStyle="1" w:styleId="ES1">
    <w:name w:val="ES1"/>
    <w:basedOn w:val="Subheading"/>
    <w:link w:val="ES1Char"/>
    <w:qFormat/>
    <w:rsid w:val="002F21A3"/>
    <w:pPr>
      <w:keepNext/>
    </w:pPr>
    <w:rPr>
      <w:rFonts w:ascii="Century Gothic Bold" w:hAnsi="Century Gothic Bold"/>
      <w:caps w:val="0"/>
      <w:color w:val="002060"/>
      <w:sz w:val="22"/>
      <w:szCs w:val="22"/>
    </w:rPr>
  </w:style>
  <w:style w:type="paragraph" w:customStyle="1" w:styleId="ES2">
    <w:name w:val="ES2"/>
    <w:basedOn w:val="Subheading"/>
    <w:link w:val="ES2Char"/>
    <w:qFormat/>
    <w:rsid w:val="00361D8C"/>
    <w:rPr>
      <w:rFonts w:ascii="Century Gothic Bold" w:hAnsi="Century Gothic Bold"/>
      <w:i/>
      <w:caps w:val="0"/>
      <w:sz w:val="20"/>
      <w:szCs w:val="20"/>
    </w:rPr>
  </w:style>
  <w:style w:type="character" w:customStyle="1" w:styleId="SubheadingChar">
    <w:name w:val="Subheading Char"/>
    <w:link w:val="Subheading"/>
    <w:rsid w:val="00361D8C"/>
    <w:rPr>
      <w:b/>
      <w:caps/>
      <w:color w:val="0076C0"/>
      <w:sz w:val="18"/>
      <w:szCs w:val="18"/>
    </w:rPr>
  </w:style>
  <w:style w:type="character" w:customStyle="1" w:styleId="ES1Char">
    <w:name w:val="ES1 Char"/>
    <w:link w:val="ES1"/>
    <w:rsid w:val="002F21A3"/>
    <w:rPr>
      <w:rFonts w:ascii="Century Gothic Bold" w:hAnsi="Century Gothic Bold"/>
      <w:b/>
      <w:color w:val="002060"/>
      <w:sz w:val="22"/>
      <w:szCs w:val="22"/>
    </w:rPr>
  </w:style>
  <w:style w:type="paragraph" w:customStyle="1" w:styleId="ES3">
    <w:name w:val="ES3"/>
    <w:basedOn w:val="Normal"/>
    <w:link w:val="ES3Char"/>
    <w:qFormat/>
    <w:rsid w:val="00721523"/>
    <w:pPr>
      <w:keepNext/>
      <w:spacing w:after="160"/>
    </w:pPr>
    <w:rPr>
      <w:rFonts w:cs="MiloOT-Text"/>
      <w:i/>
      <w:color w:val="0070C0"/>
      <w:sz w:val="20"/>
      <w:szCs w:val="20"/>
      <w:lang w:eastAsia="en-US"/>
    </w:rPr>
  </w:style>
  <w:style w:type="character" w:customStyle="1" w:styleId="ES2Char">
    <w:name w:val="ES2 Char"/>
    <w:link w:val="ES2"/>
    <w:rsid w:val="00361D8C"/>
    <w:rPr>
      <w:rFonts w:ascii="Century Gothic Bold" w:hAnsi="Century Gothic Bold"/>
      <w:b/>
      <w:i/>
      <w:caps w:val="0"/>
      <w:color w:val="0076C0"/>
      <w:sz w:val="18"/>
      <w:szCs w:val="18"/>
    </w:rPr>
  </w:style>
  <w:style w:type="paragraph" w:customStyle="1" w:styleId="StyleHeadingTOCAfter18pt">
    <w:name w:val="Style Heading TOC + After:  18 pt"/>
    <w:basedOn w:val="HeadingTOC"/>
    <w:rsid w:val="00DE2894"/>
    <w:pPr>
      <w:keepNext/>
      <w:spacing w:after="360"/>
    </w:pPr>
    <w:rPr>
      <w:szCs w:val="20"/>
    </w:rPr>
  </w:style>
  <w:style w:type="character" w:customStyle="1" w:styleId="ES3Char">
    <w:name w:val="ES3 Char"/>
    <w:link w:val="ES3"/>
    <w:rsid w:val="00721523"/>
    <w:rPr>
      <w:rFonts w:ascii="Century Gothic" w:hAnsi="Century Gothic" w:cs="MiloOT-Text"/>
      <w:i/>
      <w:color w:val="0070C0"/>
      <w:lang w:val="en-AU" w:eastAsia="en-US" w:bidi="ar-SA"/>
    </w:rPr>
  </w:style>
</w:styles>
</file>

<file path=word/webSettings.xml><?xml version="1.0" encoding="utf-8"?>
<w:webSettings xmlns:r="http://schemas.openxmlformats.org/officeDocument/2006/relationships" xmlns:w="http://schemas.openxmlformats.org/wordprocessingml/2006/main">
  <w:divs>
    <w:div w:id="205857">
      <w:bodyDiv w:val="1"/>
      <w:marLeft w:val="0"/>
      <w:marRight w:val="0"/>
      <w:marTop w:val="0"/>
      <w:marBottom w:val="0"/>
      <w:divBdr>
        <w:top w:val="none" w:sz="0" w:space="0" w:color="auto"/>
        <w:left w:val="none" w:sz="0" w:space="0" w:color="auto"/>
        <w:bottom w:val="none" w:sz="0" w:space="0" w:color="auto"/>
        <w:right w:val="none" w:sz="0" w:space="0" w:color="auto"/>
      </w:divBdr>
    </w:div>
    <w:div w:id="3749320">
      <w:bodyDiv w:val="1"/>
      <w:marLeft w:val="0"/>
      <w:marRight w:val="0"/>
      <w:marTop w:val="0"/>
      <w:marBottom w:val="0"/>
      <w:divBdr>
        <w:top w:val="none" w:sz="0" w:space="0" w:color="auto"/>
        <w:left w:val="none" w:sz="0" w:space="0" w:color="auto"/>
        <w:bottom w:val="none" w:sz="0" w:space="0" w:color="auto"/>
        <w:right w:val="none" w:sz="0" w:space="0" w:color="auto"/>
      </w:divBdr>
    </w:div>
    <w:div w:id="5057532">
      <w:bodyDiv w:val="1"/>
      <w:marLeft w:val="0"/>
      <w:marRight w:val="0"/>
      <w:marTop w:val="0"/>
      <w:marBottom w:val="0"/>
      <w:divBdr>
        <w:top w:val="none" w:sz="0" w:space="0" w:color="auto"/>
        <w:left w:val="none" w:sz="0" w:space="0" w:color="auto"/>
        <w:bottom w:val="none" w:sz="0" w:space="0" w:color="auto"/>
        <w:right w:val="none" w:sz="0" w:space="0" w:color="auto"/>
      </w:divBdr>
    </w:div>
    <w:div w:id="26033562">
      <w:bodyDiv w:val="1"/>
      <w:marLeft w:val="0"/>
      <w:marRight w:val="0"/>
      <w:marTop w:val="0"/>
      <w:marBottom w:val="0"/>
      <w:divBdr>
        <w:top w:val="none" w:sz="0" w:space="0" w:color="auto"/>
        <w:left w:val="none" w:sz="0" w:space="0" w:color="auto"/>
        <w:bottom w:val="none" w:sz="0" w:space="0" w:color="auto"/>
        <w:right w:val="none" w:sz="0" w:space="0" w:color="auto"/>
      </w:divBdr>
    </w:div>
    <w:div w:id="38171194">
      <w:bodyDiv w:val="1"/>
      <w:marLeft w:val="0"/>
      <w:marRight w:val="0"/>
      <w:marTop w:val="0"/>
      <w:marBottom w:val="0"/>
      <w:divBdr>
        <w:top w:val="none" w:sz="0" w:space="0" w:color="auto"/>
        <w:left w:val="none" w:sz="0" w:space="0" w:color="auto"/>
        <w:bottom w:val="none" w:sz="0" w:space="0" w:color="auto"/>
        <w:right w:val="none" w:sz="0" w:space="0" w:color="auto"/>
      </w:divBdr>
    </w:div>
    <w:div w:id="41056708">
      <w:bodyDiv w:val="1"/>
      <w:marLeft w:val="0"/>
      <w:marRight w:val="0"/>
      <w:marTop w:val="0"/>
      <w:marBottom w:val="0"/>
      <w:divBdr>
        <w:top w:val="none" w:sz="0" w:space="0" w:color="auto"/>
        <w:left w:val="none" w:sz="0" w:space="0" w:color="auto"/>
        <w:bottom w:val="none" w:sz="0" w:space="0" w:color="auto"/>
        <w:right w:val="none" w:sz="0" w:space="0" w:color="auto"/>
      </w:divBdr>
    </w:div>
    <w:div w:id="77411386">
      <w:bodyDiv w:val="1"/>
      <w:marLeft w:val="0"/>
      <w:marRight w:val="0"/>
      <w:marTop w:val="0"/>
      <w:marBottom w:val="0"/>
      <w:divBdr>
        <w:top w:val="none" w:sz="0" w:space="0" w:color="auto"/>
        <w:left w:val="none" w:sz="0" w:space="0" w:color="auto"/>
        <w:bottom w:val="none" w:sz="0" w:space="0" w:color="auto"/>
        <w:right w:val="none" w:sz="0" w:space="0" w:color="auto"/>
      </w:divBdr>
    </w:div>
    <w:div w:id="96557952">
      <w:bodyDiv w:val="1"/>
      <w:marLeft w:val="0"/>
      <w:marRight w:val="0"/>
      <w:marTop w:val="0"/>
      <w:marBottom w:val="0"/>
      <w:divBdr>
        <w:top w:val="none" w:sz="0" w:space="0" w:color="auto"/>
        <w:left w:val="none" w:sz="0" w:space="0" w:color="auto"/>
        <w:bottom w:val="none" w:sz="0" w:space="0" w:color="auto"/>
        <w:right w:val="none" w:sz="0" w:space="0" w:color="auto"/>
      </w:divBdr>
    </w:div>
    <w:div w:id="150558921">
      <w:bodyDiv w:val="1"/>
      <w:marLeft w:val="0"/>
      <w:marRight w:val="0"/>
      <w:marTop w:val="0"/>
      <w:marBottom w:val="0"/>
      <w:divBdr>
        <w:top w:val="none" w:sz="0" w:space="0" w:color="auto"/>
        <w:left w:val="none" w:sz="0" w:space="0" w:color="auto"/>
        <w:bottom w:val="none" w:sz="0" w:space="0" w:color="auto"/>
        <w:right w:val="none" w:sz="0" w:space="0" w:color="auto"/>
      </w:divBdr>
      <w:divsChild>
        <w:div w:id="1368138007">
          <w:marLeft w:val="0"/>
          <w:marRight w:val="0"/>
          <w:marTop w:val="0"/>
          <w:marBottom w:val="0"/>
          <w:divBdr>
            <w:top w:val="none" w:sz="0" w:space="0" w:color="auto"/>
            <w:left w:val="none" w:sz="0" w:space="0" w:color="auto"/>
            <w:bottom w:val="none" w:sz="0" w:space="0" w:color="auto"/>
            <w:right w:val="none" w:sz="0" w:space="0" w:color="auto"/>
          </w:divBdr>
          <w:divsChild>
            <w:div w:id="85611688">
              <w:marLeft w:val="0"/>
              <w:marRight w:val="0"/>
              <w:marTop w:val="0"/>
              <w:marBottom w:val="0"/>
              <w:divBdr>
                <w:top w:val="none" w:sz="0" w:space="0" w:color="auto"/>
                <w:left w:val="none" w:sz="0" w:space="0" w:color="auto"/>
                <w:bottom w:val="none" w:sz="0" w:space="0" w:color="auto"/>
                <w:right w:val="none" w:sz="0" w:space="0" w:color="auto"/>
              </w:divBdr>
              <w:divsChild>
                <w:div w:id="2127917738">
                  <w:marLeft w:val="0"/>
                  <w:marRight w:val="0"/>
                  <w:marTop w:val="0"/>
                  <w:marBottom w:val="0"/>
                  <w:divBdr>
                    <w:top w:val="none" w:sz="0" w:space="0" w:color="auto"/>
                    <w:left w:val="none" w:sz="0" w:space="0" w:color="auto"/>
                    <w:bottom w:val="none" w:sz="0" w:space="0" w:color="auto"/>
                    <w:right w:val="none" w:sz="0" w:space="0" w:color="auto"/>
                  </w:divBdr>
                  <w:divsChild>
                    <w:div w:id="407699673">
                      <w:marLeft w:val="0"/>
                      <w:marRight w:val="0"/>
                      <w:marTop w:val="0"/>
                      <w:marBottom w:val="0"/>
                      <w:divBdr>
                        <w:top w:val="none" w:sz="0" w:space="0" w:color="auto"/>
                        <w:left w:val="none" w:sz="0" w:space="0" w:color="auto"/>
                        <w:bottom w:val="none" w:sz="0" w:space="0" w:color="auto"/>
                        <w:right w:val="none" w:sz="0" w:space="0" w:color="auto"/>
                      </w:divBdr>
                      <w:divsChild>
                        <w:div w:id="117002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06893">
      <w:bodyDiv w:val="1"/>
      <w:marLeft w:val="0"/>
      <w:marRight w:val="0"/>
      <w:marTop w:val="0"/>
      <w:marBottom w:val="0"/>
      <w:divBdr>
        <w:top w:val="none" w:sz="0" w:space="0" w:color="auto"/>
        <w:left w:val="none" w:sz="0" w:space="0" w:color="auto"/>
        <w:bottom w:val="none" w:sz="0" w:space="0" w:color="auto"/>
        <w:right w:val="none" w:sz="0" w:space="0" w:color="auto"/>
      </w:divBdr>
      <w:divsChild>
        <w:div w:id="1186555664">
          <w:marLeft w:val="0"/>
          <w:marRight w:val="0"/>
          <w:marTop w:val="0"/>
          <w:marBottom w:val="0"/>
          <w:divBdr>
            <w:top w:val="none" w:sz="0" w:space="0" w:color="auto"/>
            <w:left w:val="none" w:sz="0" w:space="0" w:color="auto"/>
            <w:bottom w:val="none" w:sz="0" w:space="0" w:color="auto"/>
            <w:right w:val="none" w:sz="0" w:space="0" w:color="auto"/>
          </w:divBdr>
          <w:divsChild>
            <w:div w:id="507015648">
              <w:marLeft w:val="0"/>
              <w:marRight w:val="0"/>
              <w:marTop w:val="0"/>
              <w:marBottom w:val="0"/>
              <w:divBdr>
                <w:top w:val="none" w:sz="0" w:space="0" w:color="auto"/>
                <w:left w:val="none" w:sz="0" w:space="0" w:color="auto"/>
                <w:bottom w:val="none" w:sz="0" w:space="0" w:color="auto"/>
                <w:right w:val="none" w:sz="0" w:space="0" w:color="auto"/>
              </w:divBdr>
              <w:divsChild>
                <w:div w:id="883444375">
                  <w:marLeft w:val="0"/>
                  <w:marRight w:val="0"/>
                  <w:marTop w:val="0"/>
                  <w:marBottom w:val="0"/>
                  <w:divBdr>
                    <w:top w:val="none" w:sz="0" w:space="0" w:color="auto"/>
                    <w:left w:val="none" w:sz="0" w:space="0" w:color="auto"/>
                    <w:bottom w:val="none" w:sz="0" w:space="0" w:color="auto"/>
                    <w:right w:val="none" w:sz="0" w:space="0" w:color="auto"/>
                  </w:divBdr>
                  <w:divsChild>
                    <w:div w:id="796027132">
                      <w:marLeft w:val="0"/>
                      <w:marRight w:val="0"/>
                      <w:marTop w:val="0"/>
                      <w:marBottom w:val="0"/>
                      <w:divBdr>
                        <w:top w:val="none" w:sz="0" w:space="0" w:color="auto"/>
                        <w:left w:val="none" w:sz="0" w:space="0" w:color="auto"/>
                        <w:bottom w:val="none" w:sz="0" w:space="0" w:color="auto"/>
                        <w:right w:val="none" w:sz="0" w:space="0" w:color="auto"/>
                      </w:divBdr>
                      <w:divsChild>
                        <w:div w:id="1723939098">
                          <w:marLeft w:val="0"/>
                          <w:marRight w:val="0"/>
                          <w:marTop w:val="0"/>
                          <w:marBottom w:val="120"/>
                          <w:divBdr>
                            <w:top w:val="none" w:sz="0" w:space="0" w:color="auto"/>
                            <w:left w:val="none" w:sz="0" w:space="0" w:color="auto"/>
                            <w:bottom w:val="none" w:sz="0" w:space="0" w:color="auto"/>
                            <w:right w:val="none" w:sz="0" w:space="0" w:color="auto"/>
                          </w:divBdr>
                          <w:divsChild>
                            <w:div w:id="1143696471">
                              <w:marLeft w:val="0"/>
                              <w:marRight w:val="0"/>
                              <w:marTop w:val="0"/>
                              <w:marBottom w:val="0"/>
                              <w:divBdr>
                                <w:top w:val="none" w:sz="0" w:space="0" w:color="auto"/>
                                <w:left w:val="none" w:sz="0" w:space="0" w:color="auto"/>
                                <w:bottom w:val="none" w:sz="0" w:space="0" w:color="auto"/>
                                <w:right w:val="none" w:sz="0" w:space="0" w:color="auto"/>
                              </w:divBdr>
                              <w:divsChild>
                                <w:div w:id="1462000214">
                                  <w:marLeft w:val="0"/>
                                  <w:marRight w:val="0"/>
                                  <w:marTop w:val="0"/>
                                  <w:marBottom w:val="0"/>
                                  <w:divBdr>
                                    <w:top w:val="none" w:sz="0" w:space="0" w:color="auto"/>
                                    <w:left w:val="none" w:sz="0" w:space="0" w:color="auto"/>
                                    <w:bottom w:val="none" w:sz="0" w:space="0" w:color="auto"/>
                                    <w:right w:val="none" w:sz="0" w:space="0" w:color="auto"/>
                                  </w:divBdr>
                                  <w:divsChild>
                                    <w:div w:id="547840723">
                                      <w:marLeft w:val="0"/>
                                      <w:marRight w:val="0"/>
                                      <w:marTop w:val="0"/>
                                      <w:marBottom w:val="0"/>
                                      <w:divBdr>
                                        <w:top w:val="none" w:sz="0" w:space="0" w:color="auto"/>
                                        <w:left w:val="none" w:sz="0" w:space="0" w:color="auto"/>
                                        <w:bottom w:val="none" w:sz="0" w:space="0" w:color="auto"/>
                                        <w:right w:val="none" w:sz="0" w:space="0" w:color="auto"/>
                                      </w:divBdr>
                                      <w:divsChild>
                                        <w:div w:id="16748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846455">
      <w:bodyDiv w:val="1"/>
      <w:marLeft w:val="0"/>
      <w:marRight w:val="0"/>
      <w:marTop w:val="0"/>
      <w:marBottom w:val="0"/>
      <w:divBdr>
        <w:top w:val="none" w:sz="0" w:space="0" w:color="auto"/>
        <w:left w:val="none" w:sz="0" w:space="0" w:color="auto"/>
        <w:bottom w:val="none" w:sz="0" w:space="0" w:color="auto"/>
        <w:right w:val="none" w:sz="0" w:space="0" w:color="auto"/>
      </w:divBdr>
    </w:div>
    <w:div w:id="207425186">
      <w:bodyDiv w:val="1"/>
      <w:marLeft w:val="0"/>
      <w:marRight w:val="0"/>
      <w:marTop w:val="0"/>
      <w:marBottom w:val="0"/>
      <w:divBdr>
        <w:top w:val="none" w:sz="0" w:space="0" w:color="auto"/>
        <w:left w:val="none" w:sz="0" w:space="0" w:color="auto"/>
        <w:bottom w:val="none" w:sz="0" w:space="0" w:color="auto"/>
        <w:right w:val="none" w:sz="0" w:space="0" w:color="auto"/>
      </w:divBdr>
    </w:div>
    <w:div w:id="223680227">
      <w:bodyDiv w:val="1"/>
      <w:marLeft w:val="0"/>
      <w:marRight w:val="0"/>
      <w:marTop w:val="0"/>
      <w:marBottom w:val="0"/>
      <w:divBdr>
        <w:top w:val="none" w:sz="0" w:space="0" w:color="auto"/>
        <w:left w:val="none" w:sz="0" w:space="0" w:color="auto"/>
        <w:bottom w:val="none" w:sz="0" w:space="0" w:color="auto"/>
        <w:right w:val="none" w:sz="0" w:space="0" w:color="auto"/>
      </w:divBdr>
    </w:div>
    <w:div w:id="240333249">
      <w:bodyDiv w:val="1"/>
      <w:marLeft w:val="0"/>
      <w:marRight w:val="0"/>
      <w:marTop w:val="0"/>
      <w:marBottom w:val="0"/>
      <w:divBdr>
        <w:top w:val="none" w:sz="0" w:space="0" w:color="auto"/>
        <w:left w:val="none" w:sz="0" w:space="0" w:color="auto"/>
        <w:bottom w:val="none" w:sz="0" w:space="0" w:color="auto"/>
        <w:right w:val="none" w:sz="0" w:space="0" w:color="auto"/>
      </w:divBdr>
    </w:div>
    <w:div w:id="279921700">
      <w:bodyDiv w:val="1"/>
      <w:marLeft w:val="0"/>
      <w:marRight w:val="0"/>
      <w:marTop w:val="0"/>
      <w:marBottom w:val="0"/>
      <w:divBdr>
        <w:top w:val="none" w:sz="0" w:space="0" w:color="auto"/>
        <w:left w:val="none" w:sz="0" w:space="0" w:color="auto"/>
        <w:bottom w:val="none" w:sz="0" w:space="0" w:color="auto"/>
        <w:right w:val="none" w:sz="0" w:space="0" w:color="auto"/>
      </w:divBdr>
    </w:div>
    <w:div w:id="288555028">
      <w:bodyDiv w:val="1"/>
      <w:marLeft w:val="0"/>
      <w:marRight w:val="0"/>
      <w:marTop w:val="0"/>
      <w:marBottom w:val="0"/>
      <w:divBdr>
        <w:top w:val="none" w:sz="0" w:space="0" w:color="auto"/>
        <w:left w:val="none" w:sz="0" w:space="0" w:color="auto"/>
        <w:bottom w:val="none" w:sz="0" w:space="0" w:color="auto"/>
        <w:right w:val="none" w:sz="0" w:space="0" w:color="auto"/>
      </w:divBdr>
    </w:div>
    <w:div w:id="298339240">
      <w:bodyDiv w:val="1"/>
      <w:marLeft w:val="0"/>
      <w:marRight w:val="0"/>
      <w:marTop w:val="0"/>
      <w:marBottom w:val="0"/>
      <w:divBdr>
        <w:top w:val="none" w:sz="0" w:space="0" w:color="auto"/>
        <w:left w:val="none" w:sz="0" w:space="0" w:color="auto"/>
        <w:bottom w:val="none" w:sz="0" w:space="0" w:color="auto"/>
        <w:right w:val="none" w:sz="0" w:space="0" w:color="auto"/>
      </w:divBdr>
    </w:div>
    <w:div w:id="320239791">
      <w:bodyDiv w:val="1"/>
      <w:marLeft w:val="0"/>
      <w:marRight w:val="0"/>
      <w:marTop w:val="0"/>
      <w:marBottom w:val="0"/>
      <w:divBdr>
        <w:top w:val="none" w:sz="0" w:space="0" w:color="auto"/>
        <w:left w:val="none" w:sz="0" w:space="0" w:color="auto"/>
        <w:bottom w:val="none" w:sz="0" w:space="0" w:color="auto"/>
        <w:right w:val="none" w:sz="0" w:space="0" w:color="auto"/>
      </w:divBdr>
    </w:div>
    <w:div w:id="323047839">
      <w:bodyDiv w:val="1"/>
      <w:marLeft w:val="0"/>
      <w:marRight w:val="0"/>
      <w:marTop w:val="0"/>
      <w:marBottom w:val="0"/>
      <w:divBdr>
        <w:top w:val="none" w:sz="0" w:space="0" w:color="auto"/>
        <w:left w:val="none" w:sz="0" w:space="0" w:color="auto"/>
        <w:bottom w:val="none" w:sz="0" w:space="0" w:color="auto"/>
        <w:right w:val="none" w:sz="0" w:space="0" w:color="auto"/>
      </w:divBdr>
    </w:div>
    <w:div w:id="335233007">
      <w:bodyDiv w:val="1"/>
      <w:marLeft w:val="0"/>
      <w:marRight w:val="0"/>
      <w:marTop w:val="0"/>
      <w:marBottom w:val="0"/>
      <w:divBdr>
        <w:top w:val="none" w:sz="0" w:space="0" w:color="auto"/>
        <w:left w:val="none" w:sz="0" w:space="0" w:color="auto"/>
        <w:bottom w:val="none" w:sz="0" w:space="0" w:color="auto"/>
        <w:right w:val="none" w:sz="0" w:space="0" w:color="auto"/>
      </w:divBdr>
    </w:div>
    <w:div w:id="354430576">
      <w:bodyDiv w:val="1"/>
      <w:marLeft w:val="0"/>
      <w:marRight w:val="0"/>
      <w:marTop w:val="0"/>
      <w:marBottom w:val="0"/>
      <w:divBdr>
        <w:top w:val="none" w:sz="0" w:space="0" w:color="auto"/>
        <w:left w:val="none" w:sz="0" w:space="0" w:color="auto"/>
        <w:bottom w:val="none" w:sz="0" w:space="0" w:color="auto"/>
        <w:right w:val="none" w:sz="0" w:space="0" w:color="auto"/>
      </w:divBdr>
    </w:div>
    <w:div w:id="365178709">
      <w:bodyDiv w:val="1"/>
      <w:marLeft w:val="0"/>
      <w:marRight w:val="0"/>
      <w:marTop w:val="0"/>
      <w:marBottom w:val="0"/>
      <w:divBdr>
        <w:top w:val="none" w:sz="0" w:space="0" w:color="auto"/>
        <w:left w:val="none" w:sz="0" w:space="0" w:color="auto"/>
        <w:bottom w:val="none" w:sz="0" w:space="0" w:color="auto"/>
        <w:right w:val="none" w:sz="0" w:space="0" w:color="auto"/>
      </w:divBdr>
    </w:div>
    <w:div w:id="375667369">
      <w:bodyDiv w:val="1"/>
      <w:marLeft w:val="0"/>
      <w:marRight w:val="0"/>
      <w:marTop w:val="0"/>
      <w:marBottom w:val="0"/>
      <w:divBdr>
        <w:top w:val="none" w:sz="0" w:space="0" w:color="auto"/>
        <w:left w:val="none" w:sz="0" w:space="0" w:color="auto"/>
        <w:bottom w:val="none" w:sz="0" w:space="0" w:color="auto"/>
        <w:right w:val="none" w:sz="0" w:space="0" w:color="auto"/>
      </w:divBdr>
    </w:div>
    <w:div w:id="393894278">
      <w:bodyDiv w:val="1"/>
      <w:marLeft w:val="0"/>
      <w:marRight w:val="0"/>
      <w:marTop w:val="0"/>
      <w:marBottom w:val="0"/>
      <w:divBdr>
        <w:top w:val="none" w:sz="0" w:space="0" w:color="auto"/>
        <w:left w:val="none" w:sz="0" w:space="0" w:color="auto"/>
        <w:bottom w:val="none" w:sz="0" w:space="0" w:color="auto"/>
        <w:right w:val="none" w:sz="0" w:space="0" w:color="auto"/>
      </w:divBdr>
    </w:div>
    <w:div w:id="402800468">
      <w:bodyDiv w:val="1"/>
      <w:marLeft w:val="0"/>
      <w:marRight w:val="0"/>
      <w:marTop w:val="0"/>
      <w:marBottom w:val="0"/>
      <w:divBdr>
        <w:top w:val="none" w:sz="0" w:space="0" w:color="auto"/>
        <w:left w:val="none" w:sz="0" w:space="0" w:color="auto"/>
        <w:bottom w:val="none" w:sz="0" w:space="0" w:color="auto"/>
        <w:right w:val="none" w:sz="0" w:space="0" w:color="auto"/>
      </w:divBdr>
    </w:div>
    <w:div w:id="403450828">
      <w:bodyDiv w:val="1"/>
      <w:marLeft w:val="0"/>
      <w:marRight w:val="0"/>
      <w:marTop w:val="0"/>
      <w:marBottom w:val="0"/>
      <w:divBdr>
        <w:top w:val="none" w:sz="0" w:space="0" w:color="auto"/>
        <w:left w:val="none" w:sz="0" w:space="0" w:color="auto"/>
        <w:bottom w:val="none" w:sz="0" w:space="0" w:color="auto"/>
        <w:right w:val="none" w:sz="0" w:space="0" w:color="auto"/>
      </w:divBdr>
    </w:div>
    <w:div w:id="419260309">
      <w:bodyDiv w:val="1"/>
      <w:marLeft w:val="0"/>
      <w:marRight w:val="0"/>
      <w:marTop w:val="0"/>
      <w:marBottom w:val="0"/>
      <w:divBdr>
        <w:top w:val="none" w:sz="0" w:space="0" w:color="auto"/>
        <w:left w:val="none" w:sz="0" w:space="0" w:color="auto"/>
        <w:bottom w:val="none" w:sz="0" w:space="0" w:color="auto"/>
        <w:right w:val="none" w:sz="0" w:space="0" w:color="auto"/>
      </w:divBdr>
    </w:div>
    <w:div w:id="430247618">
      <w:bodyDiv w:val="1"/>
      <w:marLeft w:val="0"/>
      <w:marRight w:val="0"/>
      <w:marTop w:val="0"/>
      <w:marBottom w:val="0"/>
      <w:divBdr>
        <w:top w:val="none" w:sz="0" w:space="0" w:color="auto"/>
        <w:left w:val="none" w:sz="0" w:space="0" w:color="auto"/>
        <w:bottom w:val="none" w:sz="0" w:space="0" w:color="auto"/>
        <w:right w:val="none" w:sz="0" w:space="0" w:color="auto"/>
      </w:divBdr>
    </w:div>
    <w:div w:id="489373224">
      <w:bodyDiv w:val="1"/>
      <w:marLeft w:val="0"/>
      <w:marRight w:val="0"/>
      <w:marTop w:val="0"/>
      <w:marBottom w:val="0"/>
      <w:divBdr>
        <w:top w:val="none" w:sz="0" w:space="0" w:color="auto"/>
        <w:left w:val="none" w:sz="0" w:space="0" w:color="auto"/>
        <w:bottom w:val="none" w:sz="0" w:space="0" w:color="auto"/>
        <w:right w:val="none" w:sz="0" w:space="0" w:color="auto"/>
      </w:divBdr>
    </w:div>
    <w:div w:id="499275112">
      <w:bodyDiv w:val="1"/>
      <w:marLeft w:val="0"/>
      <w:marRight w:val="0"/>
      <w:marTop w:val="0"/>
      <w:marBottom w:val="0"/>
      <w:divBdr>
        <w:top w:val="none" w:sz="0" w:space="0" w:color="auto"/>
        <w:left w:val="none" w:sz="0" w:space="0" w:color="auto"/>
        <w:bottom w:val="none" w:sz="0" w:space="0" w:color="auto"/>
        <w:right w:val="none" w:sz="0" w:space="0" w:color="auto"/>
      </w:divBdr>
    </w:div>
    <w:div w:id="506754078">
      <w:bodyDiv w:val="1"/>
      <w:marLeft w:val="0"/>
      <w:marRight w:val="0"/>
      <w:marTop w:val="0"/>
      <w:marBottom w:val="0"/>
      <w:divBdr>
        <w:top w:val="none" w:sz="0" w:space="0" w:color="auto"/>
        <w:left w:val="none" w:sz="0" w:space="0" w:color="auto"/>
        <w:bottom w:val="none" w:sz="0" w:space="0" w:color="auto"/>
        <w:right w:val="none" w:sz="0" w:space="0" w:color="auto"/>
      </w:divBdr>
    </w:div>
    <w:div w:id="522791498">
      <w:bodyDiv w:val="1"/>
      <w:marLeft w:val="0"/>
      <w:marRight w:val="0"/>
      <w:marTop w:val="0"/>
      <w:marBottom w:val="0"/>
      <w:divBdr>
        <w:top w:val="none" w:sz="0" w:space="0" w:color="auto"/>
        <w:left w:val="none" w:sz="0" w:space="0" w:color="auto"/>
        <w:bottom w:val="none" w:sz="0" w:space="0" w:color="auto"/>
        <w:right w:val="none" w:sz="0" w:space="0" w:color="auto"/>
      </w:divBdr>
    </w:div>
    <w:div w:id="539587122">
      <w:bodyDiv w:val="1"/>
      <w:marLeft w:val="0"/>
      <w:marRight w:val="0"/>
      <w:marTop w:val="0"/>
      <w:marBottom w:val="0"/>
      <w:divBdr>
        <w:top w:val="none" w:sz="0" w:space="0" w:color="auto"/>
        <w:left w:val="none" w:sz="0" w:space="0" w:color="auto"/>
        <w:bottom w:val="none" w:sz="0" w:space="0" w:color="auto"/>
        <w:right w:val="none" w:sz="0" w:space="0" w:color="auto"/>
      </w:divBdr>
    </w:div>
    <w:div w:id="541093140">
      <w:bodyDiv w:val="1"/>
      <w:marLeft w:val="0"/>
      <w:marRight w:val="0"/>
      <w:marTop w:val="0"/>
      <w:marBottom w:val="0"/>
      <w:divBdr>
        <w:top w:val="none" w:sz="0" w:space="0" w:color="auto"/>
        <w:left w:val="none" w:sz="0" w:space="0" w:color="auto"/>
        <w:bottom w:val="none" w:sz="0" w:space="0" w:color="auto"/>
        <w:right w:val="none" w:sz="0" w:space="0" w:color="auto"/>
      </w:divBdr>
    </w:div>
    <w:div w:id="550848475">
      <w:bodyDiv w:val="1"/>
      <w:marLeft w:val="0"/>
      <w:marRight w:val="0"/>
      <w:marTop w:val="0"/>
      <w:marBottom w:val="0"/>
      <w:divBdr>
        <w:top w:val="none" w:sz="0" w:space="0" w:color="auto"/>
        <w:left w:val="none" w:sz="0" w:space="0" w:color="auto"/>
        <w:bottom w:val="none" w:sz="0" w:space="0" w:color="auto"/>
        <w:right w:val="none" w:sz="0" w:space="0" w:color="auto"/>
      </w:divBdr>
    </w:div>
    <w:div w:id="571042239">
      <w:bodyDiv w:val="1"/>
      <w:marLeft w:val="0"/>
      <w:marRight w:val="0"/>
      <w:marTop w:val="0"/>
      <w:marBottom w:val="0"/>
      <w:divBdr>
        <w:top w:val="none" w:sz="0" w:space="0" w:color="auto"/>
        <w:left w:val="none" w:sz="0" w:space="0" w:color="auto"/>
        <w:bottom w:val="none" w:sz="0" w:space="0" w:color="auto"/>
        <w:right w:val="none" w:sz="0" w:space="0" w:color="auto"/>
      </w:divBdr>
    </w:div>
    <w:div w:id="580716454">
      <w:bodyDiv w:val="1"/>
      <w:marLeft w:val="0"/>
      <w:marRight w:val="0"/>
      <w:marTop w:val="0"/>
      <w:marBottom w:val="0"/>
      <w:divBdr>
        <w:top w:val="none" w:sz="0" w:space="0" w:color="auto"/>
        <w:left w:val="none" w:sz="0" w:space="0" w:color="auto"/>
        <w:bottom w:val="none" w:sz="0" w:space="0" w:color="auto"/>
        <w:right w:val="none" w:sz="0" w:space="0" w:color="auto"/>
      </w:divBdr>
    </w:div>
    <w:div w:id="591551132">
      <w:bodyDiv w:val="1"/>
      <w:marLeft w:val="0"/>
      <w:marRight w:val="0"/>
      <w:marTop w:val="0"/>
      <w:marBottom w:val="0"/>
      <w:divBdr>
        <w:top w:val="none" w:sz="0" w:space="0" w:color="auto"/>
        <w:left w:val="none" w:sz="0" w:space="0" w:color="auto"/>
        <w:bottom w:val="none" w:sz="0" w:space="0" w:color="auto"/>
        <w:right w:val="none" w:sz="0" w:space="0" w:color="auto"/>
      </w:divBdr>
    </w:div>
    <w:div w:id="602417564">
      <w:bodyDiv w:val="1"/>
      <w:marLeft w:val="0"/>
      <w:marRight w:val="0"/>
      <w:marTop w:val="0"/>
      <w:marBottom w:val="0"/>
      <w:divBdr>
        <w:top w:val="none" w:sz="0" w:space="0" w:color="auto"/>
        <w:left w:val="none" w:sz="0" w:space="0" w:color="auto"/>
        <w:bottom w:val="none" w:sz="0" w:space="0" w:color="auto"/>
        <w:right w:val="none" w:sz="0" w:space="0" w:color="auto"/>
      </w:divBdr>
    </w:div>
    <w:div w:id="613051778">
      <w:bodyDiv w:val="1"/>
      <w:marLeft w:val="0"/>
      <w:marRight w:val="0"/>
      <w:marTop w:val="0"/>
      <w:marBottom w:val="0"/>
      <w:divBdr>
        <w:top w:val="none" w:sz="0" w:space="0" w:color="auto"/>
        <w:left w:val="none" w:sz="0" w:space="0" w:color="auto"/>
        <w:bottom w:val="none" w:sz="0" w:space="0" w:color="auto"/>
        <w:right w:val="none" w:sz="0" w:space="0" w:color="auto"/>
      </w:divBdr>
    </w:div>
    <w:div w:id="634606243">
      <w:bodyDiv w:val="1"/>
      <w:marLeft w:val="0"/>
      <w:marRight w:val="0"/>
      <w:marTop w:val="0"/>
      <w:marBottom w:val="0"/>
      <w:divBdr>
        <w:top w:val="none" w:sz="0" w:space="0" w:color="auto"/>
        <w:left w:val="none" w:sz="0" w:space="0" w:color="auto"/>
        <w:bottom w:val="none" w:sz="0" w:space="0" w:color="auto"/>
        <w:right w:val="none" w:sz="0" w:space="0" w:color="auto"/>
      </w:divBdr>
    </w:div>
    <w:div w:id="635917069">
      <w:bodyDiv w:val="1"/>
      <w:marLeft w:val="0"/>
      <w:marRight w:val="0"/>
      <w:marTop w:val="0"/>
      <w:marBottom w:val="0"/>
      <w:divBdr>
        <w:top w:val="none" w:sz="0" w:space="0" w:color="auto"/>
        <w:left w:val="none" w:sz="0" w:space="0" w:color="auto"/>
        <w:bottom w:val="none" w:sz="0" w:space="0" w:color="auto"/>
        <w:right w:val="none" w:sz="0" w:space="0" w:color="auto"/>
      </w:divBdr>
    </w:div>
    <w:div w:id="636910552">
      <w:bodyDiv w:val="1"/>
      <w:marLeft w:val="0"/>
      <w:marRight w:val="0"/>
      <w:marTop w:val="0"/>
      <w:marBottom w:val="0"/>
      <w:divBdr>
        <w:top w:val="none" w:sz="0" w:space="0" w:color="auto"/>
        <w:left w:val="none" w:sz="0" w:space="0" w:color="auto"/>
        <w:bottom w:val="none" w:sz="0" w:space="0" w:color="auto"/>
        <w:right w:val="none" w:sz="0" w:space="0" w:color="auto"/>
      </w:divBdr>
    </w:div>
    <w:div w:id="683433108">
      <w:bodyDiv w:val="1"/>
      <w:marLeft w:val="0"/>
      <w:marRight w:val="0"/>
      <w:marTop w:val="0"/>
      <w:marBottom w:val="0"/>
      <w:divBdr>
        <w:top w:val="none" w:sz="0" w:space="0" w:color="auto"/>
        <w:left w:val="none" w:sz="0" w:space="0" w:color="auto"/>
        <w:bottom w:val="none" w:sz="0" w:space="0" w:color="auto"/>
        <w:right w:val="none" w:sz="0" w:space="0" w:color="auto"/>
      </w:divBdr>
    </w:div>
    <w:div w:id="702553869">
      <w:bodyDiv w:val="1"/>
      <w:marLeft w:val="0"/>
      <w:marRight w:val="0"/>
      <w:marTop w:val="0"/>
      <w:marBottom w:val="0"/>
      <w:divBdr>
        <w:top w:val="none" w:sz="0" w:space="0" w:color="auto"/>
        <w:left w:val="none" w:sz="0" w:space="0" w:color="auto"/>
        <w:bottom w:val="none" w:sz="0" w:space="0" w:color="auto"/>
        <w:right w:val="none" w:sz="0" w:space="0" w:color="auto"/>
      </w:divBdr>
    </w:div>
    <w:div w:id="711151431">
      <w:bodyDiv w:val="1"/>
      <w:marLeft w:val="0"/>
      <w:marRight w:val="0"/>
      <w:marTop w:val="0"/>
      <w:marBottom w:val="0"/>
      <w:divBdr>
        <w:top w:val="none" w:sz="0" w:space="0" w:color="auto"/>
        <w:left w:val="none" w:sz="0" w:space="0" w:color="auto"/>
        <w:bottom w:val="none" w:sz="0" w:space="0" w:color="auto"/>
        <w:right w:val="none" w:sz="0" w:space="0" w:color="auto"/>
      </w:divBdr>
    </w:div>
    <w:div w:id="741686030">
      <w:bodyDiv w:val="1"/>
      <w:marLeft w:val="0"/>
      <w:marRight w:val="0"/>
      <w:marTop w:val="0"/>
      <w:marBottom w:val="0"/>
      <w:divBdr>
        <w:top w:val="none" w:sz="0" w:space="0" w:color="auto"/>
        <w:left w:val="none" w:sz="0" w:space="0" w:color="auto"/>
        <w:bottom w:val="none" w:sz="0" w:space="0" w:color="auto"/>
        <w:right w:val="none" w:sz="0" w:space="0" w:color="auto"/>
      </w:divBdr>
    </w:div>
    <w:div w:id="749084097">
      <w:bodyDiv w:val="1"/>
      <w:marLeft w:val="0"/>
      <w:marRight w:val="0"/>
      <w:marTop w:val="0"/>
      <w:marBottom w:val="0"/>
      <w:divBdr>
        <w:top w:val="none" w:sz="0" w:space="0" w:color="auto"/>
        <w:left w:val="none" w:sz="0" w:space="0" w:color="auto"/>
        <w:bottom w:val="none" w:sz="0" w:space="0" w:color="auto"/>
        <w:right w:val="none" w:sz="0" w:space="0" w:color="auto"/>
      </w:divBdr>
    </w:div>
    <w:div w:id="751850823">
      <w:bodyDiv w:val="1"/>
      <w:marLeft w:val="0"/>
      <w:marRight w:val="0"/>
      <w:marTop w:val="0"/>
      <w:marBottom w:val="0"/>
      <w:divBdr>
        <w:top w:val="none" w:sz="0" w:space="0" w:color="auto"/>
        <w:left w:val="none" w:sz="0" w:space="0" w:color="auto"/>
        <w:bottom w:val="none" w:sz="0" w:space="0" w:color="auto"/>
        <w:right w:val="none" w:sz="0" w:space="0" w:color="auto"/>
      </w:divBdr>
    </w:div>
    <w:div w:id="762923470">
      <w:bodyDiv w:val="1"/>
      <w:marLeft w:val="0"/>
      <w:marRight w:val="0"/>
      <w:marTop w:val="0"/>
      <w:marBottom w:val="0"/>
      <w:divBdr>
        <w:top w:val="none" w:sz="0" w:space="0" w:color="auto"/>
        <w:left w:val="none" w:sz="0" w:space="0" w:color="auto"/>
        <w:bottom w:val="none" w:sz="0" w:space="0" w:color="auto"/>
        <w:right w:val="none" w:sz="0" w:space="0" w:color="auto"/>
      </w:divBdr>
    </w:div>
    <w:div w:id="765811099">
      <w:bodyDiv w:val="1"/>
      <w:marLeft w:val="0"/>
      <w:marRight w:val="0"/>
      <w:marTop w:val="0"/>
      <w:marBottom w:val="0"/>
      <w:divBdr>
        <w:top w:val="none" w:sz="0" w:space="0" w:color="auto"/>
        <w:left w:val="none" w:sz="0" w:space="0" w:color="auto"/>
        <w:bottom w:val="none" w:sz="0" w:space="0" w:color="auto"/>
        <w:right w:val="none" w:sz="0" w:space="0" w:color="auto"/>
      </w:divBdr>
    </w:div>
    <w:div w:id="798837839">
      <w:bodyDiv w:val="1"/>
      <w:marLeft w:val="0"/>
      <w:marRight w:val="0"/>
      <w:marTop w:val="0"/>
      <w:marBottom w:val="0"/>
      <w:divBdr>
        <w:top w:val="none" w:sz="0" w:space="0" w:color="auto"/>
        <w:left w:val="none" w:sz="0" w:space="0" w:color="auto"/>
        <w:bottom w:val="none" w:sz="0" w:space="0" w:color="auto"/>
        <w:right w:val="none" w:sz="0" w:space="0" w:color="auto"/>
      </w:divBdr>
    </w:div>
    <w:div w:id="808128544">
      <w:bodyDiv w:val="1"/>
      <w:marLeft w:val="0"/>
      <w:marRight w:val="0"/>
      <w:marTop w:val="0"/>
      <w:marBottom w:val="0"/>
      <w:divBdr>
        <w:top w:val="none" w:sz="0" w:space="0" w:color="auto"/>
        <w:left w:val="none" w:sz="0" w:space="0" w:color="auto"/>
        <w:bottom w:val="none" w:sz="0" w:space="0" w:color="auto"/>
        <w:right w:val="none" w:sz="0" w:space="0" w:color="auto"/>
      </w:divBdr>
    </w:div>
    <w:div w:id="839346861">
      <w:bodyDiv w:val="1"/>
      <w:marLeft w:val="0"/>
      <w:marRight w:val="0"/>
      <w:marTop w:val="0"/>
      <w:marBottom w:val="0"/>
      <w:divBdr>
        <w:top w:val="none" w:sz="0" w:space="0" w:color="auto"/>
        <w:left w:val="none" w:sz="0" w:space="0" w:color="auto"/>
        <w:bottom w:val="none" w:sz="0" w:space="0" w:color="auto"/>
        <w:right w:val="none" w:sz="0" w:space="0" w:color="auto"/>
      </w:divBdr>
    </w:div>
    <w:div w:id="858200604">
      <w:bodyDiv w:val="1"/>
      <w:marLeft w:val="0"/>
      <w:marRight w:val="0"/>
      <w:marTop w:val="0"/>
      <w:marBottom w:val="0"/>
      <w:divBdr>
        <w:top w:val="none" w:sz="0" w:space="0" w:color="auto"/>
        <w:left w:val="none" w:sz="0" w:space="0" w:color="auto"/>
        <w:bottom w:val="none" w:sz="0" w:space="0" w:color="auto"/>
        <w:right w:val="none" w:sz="0" w:space="0" w:color="auto"/>
      </w:divBdr>
    </w:div>
    <w:div w:id="858664479">
      <w:bodyDiv w:val="1"/>
      <w:marLeft w:val="0"/>
      <w:marRight w:val="0"/>
      <w:marTop w:val="0"/>
      <w:marBottom w:val="0"/>
      <w:divBdr>
        <w:top w:val="none" w:sz="0" w:space="0" w:color="auto"/>
        <w:left w:val="none" w:sz="0" w:space="0" w:color="auto"/>
        <w:bottom w:val="none" w:sz="0" w:space="0" w:color="auto"/>
        <w:right w:val="none" w:sz="0" w:space="0" w:color="auto"/>
      </w:divBdr>
    </w:div>
    <w:div w:id="864248107">
      <w:bodyDiv w:val="1"/>
      <w:marLeft w:val="0"/>
      <w:marRight w:val="0"/>
      <w:marTop w:val="0"/>
      <w:marBottom w:val="0"/>
      <w:divBdr>
        <w:top w:val="none" w:sz="0" w:space="0" w:color="auto"/>
        <w:left w:val="none" w:sz="0" w:space="0" w:color="auto"/>
        <w:bottom w:val="none" w:sz="0" w:space="0" w:color="auto"/>
        <w:right w:val="none" w:sz="0" w:space="0" w:color="auto"/>
      </w:divBdr>
    </w:div>
    <w:div w:id="876622880">
      <w:bodyDiv w:val="1"/>
      <w:marLeft w:val="0"/>
      <w:marRight w:val="0"/>
      <w:marTop w:val="0"/>
      <w:marBottom w:val="0"/>
      <w:divBdr>
        <w:top w:val="none" w:sz="0" w:space="0" w:color="auto"/>
        <w:left w:val="none" w:sz="0" w:space="0" w:color="auto"/>
        <w:bottom w:val="none" w:sz="0" w:space="0" w:color="auto"/>
        <w:right w:val="none" w:sz="0" w:space="0" w:color="auto"/>
      </w:divBdr>
    </w:div>
    <w:div w:id="889221555">
      <w:bodyDiv w:val="1"/>
      <w:marLeft w:val="0"/>
      <w:marRight w:val="0"/>
      <w:marTop w:val="0"/>
      <w:marBottom w:val="0"/>
      <w:divBdr>
        <w:top w:val="none" w:sz="0" w:space="0" w:color="auto"/>
        <w:left w:val="none" w:sz="0" w:space="0" w:color="auto"/>
        <w:bottom w:val="none" w:sz="0" w:space="0" w:color="auto"/>
        <w:right w:val="none" w:sz="0" w:space="0" w:color="auto"/>
      </w:divBdr>
    </w:div>
    <w:div w:id="900562570">
      <w:bodyDiv w:val="1"/>
      <w:marLeft w:val="0"/>
      <w:marRight w:val="0"/>
      <w:marTop w:val="0"/>
      <w:marBottom w:val="0"/>
      <w:divBdr>
        <w:top w:val="none" w:sz="0" w:space="0" w:color="auto"/>
        <w:left w:val="none" w:sz="0" w:space="0" w:color="auto"/>
        <w:bottom w:val="none" w:sz="0" w:space="0" w:color="auto"/>
        <w:right w:val="none" w:sz="0" w:space="0" w:color="auto"/>
      </w:divBdr>
    </w:div>
    <w:div w:id="930044643">
      <w:bodyDiv w:val="1"/>
      <w:marLeft w:val="0"/>
      <w:marRight w:val="0"/>
      <w:marTop w:val="0"/>
      <w:marBottom w:val="0"/>
      <w:divBdr>
        <w:top w:val="none" w:sz="0" w:space="0" w:color="auto"/>
        <w:left w:val="none" w:sz="0" w:space="0" w:color="auto"/>
        <w:bottom w:val="none" w:sz="0" w:space="0" w:color="auto"/>
        <w:right w:val="none" w:sz="0" w:space="0" w:color="auto"/>
      </w:divBdr>
    </w:div>
    <w:div w:id="942345798">
      <w:bodyDiv w:val="1"/>
      <w:marLeft w:val="0"/>
      <w:marRight w:val="0"/>
      <w:marTop w:val="0"/>
      <w:marBottom w:val="0"/>
      <w:divBdr>
        <w:top w:val="none" w:sz="0" w:space="0" w:color="auto"/>
        <w:left w:val="none" w:sz="0" w:space="0" w:color="auto"/>
        <w:bottom w:val="none" w:sz="0" w:space="0" w:color="auto"/>
        <w:right w:val="none" w:sz="0" w:space="0" w:color="auto"/>
      </w:divBdr>
    </w:div>
    <w:div w:id="949580771">
      <w:bodyDiv w:val="1"/>
      <w:marLeft w:val="0"/>
      <w:marRight w:val="0"/>
      <w:marTop w:val="0"/>
      <w:marBottom w:val="0"/>
      <w:divBdr>
        <w:top w:val="none" w:sz="0" w:space="0" w:color="auto"/>
        <w:left w:val="none" w:sz="0" w:space="0" w:color="auto"/>
        <w:bottom w:val="none" w:sz="0" w:space="0" w:color="auto"/>
        <w:right w:val="none" w:sz="0" w:space="0" w:color="auto"/>
      </w:divBdr>
    </w:div>
    <w:div w:id="956109526">
      <w:bodyDiv w:val="1"/>
      <w:marLeft w:val="0"/>
      <w:marRight w:val="0"/>
      <w:marTop w:val="0"/>
      <w:marBottom w:val="0"/>
      <w:divBdr>
        <w:top w:val="none" w:sz="0" w:space="0" w:color="auto"/>
        <w:left w:val="none" w:sz="0" w:space="0" w:color="auto"/>
        <w:bottom w:val="none" w:sz="0" w:space="0" w:color="auto"/>
        <w:right w:val="none" w:sz="0" w:space="0" w:color="auto"/>
      </w:divBdr>
    </w:div>
    <w:div w:id="963117105">
      <w:bodyDiv w:val="1"/>
      <w:marLeft w:val="0"/>
      <w:marRight w:val="0"/>
      <w:marTop w:val="0"/>
      <w:marBottom w:val="0"/>
      <w:divBdr>
        <w:top w:val="none" w:sz="0" w:space="0" w:color="auto"/>
        <w:left w:val="none" w:sz="0" w:space="0" w:color="auto"/>
        <w:bottom w:val="none" w:sz="0" w:space="0" w:color="auto"/>
        <w:right w:val="none" w:sz="0" w:space="0" w:color="auto"/>
      </w:divBdr>
    </w:div>
    <w:div w:id="1001154677">
      <w:bodyDiv w:val="1"/>
      <w:marLeft w:val="0"/>
      <w:marRight w:val="0"/>
      <w:marTop w:val="0"/>
      <w:marBottom w:val="0"/>
      <w:divBdr>
        <w:top w:val="none" w:sz="0" w:space="0" w:color="auto"/>
        <w:left w:val="none" w:sz="0" w:space="0" w:color="auto"/>
        <w:bottom w:val="none" w:sz="0" w:space="0" w:color="auto"/>
        <w:right w:val="none" w:sz="0" w:space="0" w:color="auto"/>
      </w:divBdr>
    </w:div>
    <w:div w:id="1022705893">
      <w:bodyDiv w:val="1"/>
      <w:marLeft w:val="0"/>
      <w:marRight w:val="0"/>
      <w:marTop w:val="0"/>
      <w:marBottom w:val="0"/>
      <w:divBdr>
        <w:top w:val="none" w:sz="0" w:space="0" w:color="auto"/>
        <w:left w:val="none" w:sz="0" w:space="0" w:color="auto"/>
        <w:bottom w:val="none" w:sz="0" w:space="0" w:color="auto"/>
        <w:right w:val="none" w:sz="0" w:space="0" w:color="auto"/>
      </w:divBdr>
    </w:div>
    <w:div w:id="1028801248">
      <w:bodyDiv w:val="1"/>
      <w:marLeft w:val="0"/>
      <w:marRight w:val="0"/>
      <w:marTop w:val="0"/>
      <w:marBottom w:val="0"/>
      <w:divBdr>
        <w:top w:val="none" w:sz="0" w:space="0" w:color="auto"/>
        <w:left w:val="none" w:sz="0" w:space="0" w:color="auto"/>
        <w:bottom w:val="none" w:sz="0" w:space="0" w:color="auto"/>
        <w:right w:val="none" w:sz="0" w:space="0" w:color="auto"/>
      </w:divBdr>
    </w:div>
    <w:div w:id="1030423851">
      <w:bodyDiv w:val="1"/>
      <w:marLeft w:val="0"/>
      <w:marRight w:val="0"/>
      <w:marTop w:val="0"/>
      <w:marBottom w:val="0"/>
      <w:divBdr>
        <w:top w:val="none" w:sz="0" w:space="0" w:color="auto"/>
        <w:left w:val="none" w:sz="0" w:space="0" w:color="auto"/>
        <w:bottom w:val="none" w:sz="0" w:space="0" w:color="auto"/>
        <w:right w:val="none" w:sz="0" w:space="0" w:color="auto"/>
      </w:divBdr>
    </w:div>
    <w:div w:id="1031568758">
      <w:bodyDiv w:val="1"/>
      <w:marLeft w:val="0"/>
      <w:marRight w:val="0"/>
      <w:marTop w:val="0"/>
      <w:marBottom w:val="0"/>
      <w:divBdr>
        <w:top w:val="none" w:sz="0" w:space="0" w:color="auto"/>
        <w:left w:val="none" w:sz="0" w:space="0" w:color="auto"/>
        <w:bottom w:val="none" w:sz="0" w:space="0" w:color="auto"/>
        <w:right w:val="none" w:sz="0" w:space="0" w:color="auto"/>
      </w:divBdr>
    </w:div>
    <w:div w:id="1042752350">
      <w:bodyDiv w:val="1"/>
      <w:marLeft w:val="0"/>
      <w:marRight w:val="0"/>
      <w:marTop w:val="0"/>
      <w:marBottom w:val="0"/>
      <w:divBdr>
        <w:top w:val="none" w:sz="0" w:space="0" w:color="auto"/>
        <w:left w:val="none" w:sz="0" w:space="0" w:color="auto"/>
        <w:bottom w:val="none" w:sz="0" w:space="0" w:color="auto"/>
        <w:right w:val="none" w:sz="0" w:space="0" w:color="auto"/>
      </w:divBdr>
    </w:div>
    <w:div w:id="1044672511">
      <w:bodyDiv w:val="1"/>
      <w:marLeft w:val="0"/>
      <w:marRight w:val="0"/>
      <w:marTop w:val="0"/>
      <w:marBottom w:val="0"/>
      <w:divBdr>
        <w:top w:val="none" w:sz="0" w:space="0" w:color="auto"/>
        <w:left w:val="none" w:sz="0" w:space="0" w:color="auto"/>
        <w:bottom w:val="none" w:sz="0" w:space="0" w:color="auto"/>
        <w:right w:val="none" w:sz="0" w:space="0" w:color="auto"/>
      </w:divBdr>
    </w:div>
    <w:div w:id="1056122175">
      <w:bodyDiv w:val="1"/>
      <w:marLeft w:val="0"/>
      <w:marRight w:val="0"/>
      <w:marTop w:val="0"/>
      <w:marBottom w:val="0"/>
      <w:divBdr>
        <w:top w:val="none" w:sz="0" w:space="0" w:color="auto"/>
        <w:left w:val="none" w:sz="0" w:space="0" w:color="auto"/>
        <w:bottom w:val="none" w:sz="0" w:space="0" w:color="auto"/>
        <w:right w:val="none" w:sz="0" w:space="0" w:color="auto"/>
      </w:divBdr>
    </w:div>
    <w:div w:id="1067415980">
      <w:bodyDiv w:val="1"/>
      <w:marLeft w:val="0"/>
      <w:marRight w:val="0"/>
      <w:marTop w:val="0"/>
      <w:marBottom w:val="0"/>
      <w:divBdr>
        <w:top w:val="none" w:sz="0" w:space="0" w:color="auto"/>
        <w:left w:val="none" w:sz="0" w:space="0" w:color="auto"/>
        <w:bottom w:val="none" w:sz="0" w:space="0" w:color="auto"/>
        <w:right w:val="none" w:sz="0" w:space="0" w:color="auto"/>
      </w:divBdr>
    </w:div>
    <w:div w:id="1082024464">
      <w:bodyDiv w:val="1"/>
      <w:marLeft w:val="0"/>
      <w:marRight w:val="0"/>
      <w:marTop w:val="0"/>
      <w:marBottom w:val="0"/>
      <w:divBdr>
        <w:top w:val="none" w:sz="0" w:space="0" w:color="auto"/>
        <w:left w:val="none" w:sz="0" w:space="0" w:color="auto"/>
        <w:bottom w:val="none" w:sz="0" w:space="0" w:color="auto"/>
        <w:right w:val="none" w:sz="0" w:space="0" w:color="auto"/>
      </w:divBdr>
    </w:div>
    <w:div w:id="1087113508">
      <w:bodyDiv w:val="1"/>
      <w:marLeft w:val="0"/>
      <w:marRight w:val="0"/>
      <w:marTop w:val="0"/>
      <w:marBottom w:val="0"/>
      <w:divBdr>
        <w:top w:val="none" w:sz="0" w:space="0" w:color="auto"/>
        <w:left w:val="none" w:sz="0" w:space="0" w:color="auto"/>
        <w:bottom w:val="none" w:sz="0" w:space="0" w:color="auto"/>
        <w:right w:val="none" w:sz="0" w:space="0" w:color="auto"/>
      </w:divBdr>
    </w:div>
    <w:div w:id="1094324721">
      <w:bodyDiv w:val="1"/>
      <w:marLeft w:val="0"/>
      <w:marRight w:val="0"/>
      <w:marTop w:val="0"/>
      <w:marBottom w:val="0"/>
      <w:divBdr>
        <w:top w:val="none" w:sz="0" w:space="0" w:color="auto"/>
        <w:left w:val="none" w:sz="0" w:space="0" w:color="auto"/>
        <w:bottom w:val="none" w:sz="0" w:space="0" w:color="auto"/>
        <w:right w:val="none" w:sz="0" w:space="0" w:color="auto"/>
      </w:divBdr>
    </w:div>
    <w:div w:id="1127622560">
      <w:bodyDiv w:val="1"/>
      <w:marLeft w:val="0"/>
      <w:marRight w:val="0"/>
      <w:marTop w:val="0"/>
      <w:marBottom w:val="0"/>
      <w:divBdr>
        <w:top w:val="none" w:sz="0" w:space="0" w:color="auto"/>
        <w:left w:val="none" w:sz="0" w:space="0" w:color="auto"/>
        <w:bottom w:val="none" w:sz="0" w:space="0" w:color="auto"/>
        <w:right w:val="none" w:sz="0" w:space="0" w:color="auto"/>
      </w:divBdr>
    </w:div>
    <w:div w:id="1142382352">
      <w:bodyDiv w:val="1"/>
      <w:marLeft w:val="0"/>
      <w:marRight w:val="0"/>
      <w:marTop w:val="0"/>
      <w:marBottom w:val="0"/>
      <w:divBdr>
        <w:top w:val="none" w:sz="0" w:space="0" w:color="auto"/>
        <w:left w:val="none" w:sz="0" w:space="0" w:color="auto"/>
        <w:bottom w:val="none" w:sz="0" w:space="0" w:color="auto"/>
        <w:right w:val="none" w:sz="0" w:space="0" w:color="auto"/>
      </w:divBdr>
    </w:div>
    <w:div w:id="1147866028">
      <w:bodyDiv w:val="1"/>
      <w:marLeft w:val="0"/>
      <w:marRight w:val="0"/>
      <w:marTop w:val="0"/>
      <w:marBottom w:val="0"/>
      <w:divBdr>
        <w:top w:val="none" w:sz="0" w:space="0" w:color="auto"/>
        <w:left w:val="none" w:sz="0" w:space="0" w:color="auto"/>
        <w:bottom w:val="none" w:sz="0" w:space="0" w:color="auto"/>
        <w:right w:val="none" w:sz="0" w:space="0" w:color="auto"/>
      </w:divBdr>
    </w:div>
    <w:div w:id="1149594664">
      <w:bodyDiv w:val="1"/>
      <w:marLeft w:val="0"/>
      <w:marRight w:val="0"/>
      <w:marTop w:val="0"/>
      <w:marBottom w:val="0"/>
      <w:divBdr>
        <w:top w:val="none" w:sz="0" w:space="0" w:color="auto"/>
        <w:left w:val="none" w:sz="0" w:space="0" w:color="auto"/>
        <w:bottom w:val="none" w:sz="0" w:space="0" w:color="auto"/>
        <w:right w:val="none" w:sz="0" w:space="0" w:color="auto"/>
      </w:divBdr>
    </w:div>
    <w:div w:id="1195732890">
      <w:bodyDiv w:val="1"/>
      <w:marLeft w:val="0"/>
      <w:marRight w:val="0"/>
      <w:marTop w:val="0"/>
      <w:marBottom w:val="0"/>
      <w:divBdr>
        <w:top w:val="none" w:sz="0" w:space="0" w:color="auto"/>
        <w:left w:val="none" w:sz="0" w:space="0" w:color="auto"/>
        <w:bottom w:val="none" w:sz="0" w:space="0" w:color="auto"/>
        <w:right w:val="none" w:sz="0" w:space="0" w:color="auto"/>
      </w:divBdr>
    </w:div>
    <w:div w:id="1196235725">
      <w:bodyDiv w:val="1"/>
      <w:marLeft w:val="0"/>
      <w:marRight w:val="0"/>
      <w:marTop w:val="0"/>
      <w:marBottom w:val="0"/>
      <w:divBdr>
        <w:top w:val="none" w:sz="0" w:space="0" w:color="auto"/>
        <w:left w:val="none" w:sz="0" w:space="0" w:color="auto"/>
        <w:bottom w:val="none" w:sz="0" w:space="0" w:color="auto"/>
        <w:right w:val="none" w:sz="0" w:space="0" w:color="auto"/>
      </w:divBdr>
    </w:div>
    <w:div w:id="1204446650">
      <w:bodyDiv w:val="1"/>
      <w:marLeft w:val="0"/>
      <w:marRight w:val="0"/>
      <w:marTop w:val="0"/>
      <w:marBottom w:val="0"/>
      <w:divBdr>
        <w:top w:val="none" w:sz="0" w:space="0" w:color="auto"/>
        <w:left w:val="none" w:sz="0" w:space="0" w:color="auto"/>
        <w:bottom w:val="none" w:sz="0" w:space="0" w:color="auto"/>
        <w:right w:val="none" w:sz="0" w:space="0" w:color="auto"/>
      </w:divBdr>
    </w:div>
    <w:div w:id="1207790944">
      <w:bodyDiv w:val="1"/>
      <w:marLeft w:val="0"/>
      <w:marRight w:val="0"/>
      <w:marTop w:val="0"/>
      <w:marBottom w:val="0"/>
      <w:divBdr>
        <w:top w:val="none" w:sz="0" w:space="0" w:color="auto"/>
        <w:left w:val="none" w:sz="0" w:space="0" w:color="auto"/>
        <w:bottom w:val="none" w:sz="0" w:space="0" w:color="auto"/>
        <w:right w:val="none" w:sz="0" w:space="0" w:color="auto"/>
      </w:divBdr>
    </w:div>
    <w:div w:id="1225683731">
      <w:bodyDiv w:val="1"/>
      <w:marLeft w:val="0"/>
      <w:marRight w:val="0"/>
      <w:marTop w:val="0"/>
      <w:marBottom w:val="0"/>
      <w:divBdr>
        <w:top w:val="none" w:sz="0" w:space="0" w:color="auto"/>
        <w:left w:val="none" w:sz="0" w:space="0" w:color="auto"/>
        <w:bottom w:val="none" w:sz="0" w:space="0" w:color="auto"/>
        <w:right w:val="none" w:sz="0" w:space="0" w:color="auto"/>
      </w:divBdr>
    </w:div>
    <w:div w:id="1227648220">
      <w:bodyDiv w:val="1"/>
      <w:marLeft w:val="0"/>
      <w:marRight w:val="0"/>
      <w:marTop w:val="0"/>
      <w:marBottom w:val="0"/>
      <w:divBdr>
        <w:top w:val="none" w:sz="0" w:space="0" w:color="auto"/>
        <w:left w:val="none" w:sz="0" w:space="0" w:color="auto"/>
        <w:bottom w:val="none" w:sz="0" w:space="0" w:color="auto"/>
        <w:right w:val="none" w:sz="0" w:space="0" w:color="auto"/>
      </w:divBdr>
    </w:div>
    <w:div w:id="1230265248">
      <w:bodyDiv w:val="1"/>
      <w:marLeft w:val="0"/>
      <w:marRight w:val="0"/>
      <w:marTop w:val="0"/>
      <w:marBottom w:val="0"/>
      <w:divBdr>
        <w:top w:val="none" w:sz="0" w:space="0" w:color="auto"/>
        <w:left w:val="none" w:sz="0" w:space="0" w:color="auto"/>
        <w:bottom w:val="none" w:sz="0" w:space="0" w:color="auto"/>
        <w:right w:val="none" w:sz="0" w:space="0" w:color="auto"/>
      </w:divBdr>
    </w:div>
    <w:div w:id="1252353146">
      <w:bodyDiv w:val="1"/>
      <w:marLeft w:val="0"/>
      <w:marRight w:val="0"/>
      <w:marTop w:val="0"/>
      <w:marBottom w:val="0"/>
      <w:divBdr>
        <w:top w:val="none" w:sz="0" w:space="0" w:color="auto"/>
        <w:left w:val="none" w:sz="0" w:space="0" w:color="auto"/>
        <w:bottom w:val="none" w:sz="0" w:space="0" w:color="auto"/>
        <w:right w:val="none" w:sz="0" w:space="0" w:color="auto"/>
      </w:divBdr>
    </w:div>
    <w:div w:id="1258099280">
      <w:bodyDiv w:val="1"/>
      <w:marLeft w:val="0"/>
      <w:marRight w:val="0"/>
      <w:marTop w:val="0"/>
      <w:marBottom w:val="0"/>
      <w:divBdr>
        <w:top w:val="none" w:sz="0" w:space="0" w:color="auto"/>
        <w:left w:val="none" w:sz="0" w:space="0" w:color="auto"/>
        <w:bottom w:val="none" w:sz="0" w:space="0" w:color="auto"/>
        <w:right w:val="none" w:sz="0" w:space="0" w:color="auto"/>
      </w:divBdr>
    </w:div>
    <w:div w:id="1259749535">
      <w:bodyDiv w:val="1"/>
      <w:marLeft w:val="0"/>
      <w:marRight w:val="0"/>
      <w:marTop w:val="0"/>
      <w:marBottom w:val="0"/>
      <w:divBdr>
        <w:top w:val="none" w:sz="0" w:space="0" w:color="auto"/>
        <w:left w:val="none" w:sz="0" w:space="0" w:color="auto"/>
        <w:bottom w:val="none" w:sz="0" w:space="0" w:color="auto"/>
        <w:right w:val="none" w:sz="0" w:space="0" w:color="auto"/>
      </w:divBdr>
    </w:div>
    <w:div w:id="1275861941">
      <w:bodyDiv w:val="1"/>
      <w:marLeft w:val="0"/>
      <w:marRight w:val="0"/>
      <w:marTop w:val="0"/>
      <w:marBottom w:val="0"/>
      <w:divBdr>
        <w:top w:val="none" w:sz="0" w:space="0" w:color="auto"/>
        <w:left w:val="none" w:sz="0" w:space="0" w:color="auto"/>
        <w:bottom w:val="none" w:sz="0" w:space="0" w:color="auto"/>
        <w:right w:val="none" w:sz="0" w:space="0" w:color="auto"/>
      </w:divBdr>
    </w:div>
    <w:div w:id="1280531469">
      <w:bodyDiv w:val="1"/>
      <w:marLeft w:val="0"/>
      <w:marRight w:val="0"/>
      <w:marTop w:val="0"/>
      <w:marBottom w:val="0"/>
      <w:divBdr>
        <w:top w:val="none" w:sz="0" w:space="0" w:color="auto"/>
        <w:left w:val="none" w:sz="0" w:space="0" w:color="auto"/>
        <w:bottom w:val="none" w:sz="0" w:space="0" w:color="auto"/>
        <w:right w:val="none" w:sz="0" w:space="0" w:color="auto"/>
      </w:divBdr>
    </w:div>
    <w:div w:id="1300502424">
      <w:bodyDiv w:val="1"/>
      <w:marLeft w:val="0"/>
      <w:marRight w:val="0"/>
      <w:marTop w:val="0"/>
      <w:marBottom w:val="0"/>
      <w:divBdr>
        <w:top w:val="none" w:sz="0" w:space="0" w:color="auto"/>
        <w:left w:val="none" w:sz="0" w:space="0" w:color="auto"/>
        <w:bottom w:val="none" w:sz="0" w:space="0" w:color="auto"/>
        <w:right w:val="none" w:sz="0" w:space="0" w:color="auto"/>
      </w:divBdr>
    </w:div>
    <w:div w:id="1329213928">
      <w:bodyDiv w:val="1"/>
      <w:marLeft w:val="0"/>
      <w:marRight w:val="0"/>
      <w:marTop w:val="0"/>
      <w:marBottom w:val="0"/>
      <w:divBdr>
        <w:top w:val="none" w:sz="0" w:space="0" w:color="auto"/>
        <w:left w:val="none" w:sz="0" w:space="0" w:color="auto"/>
        <w:bottom w:val="none" w:sz="0" w:space="0" w:color="auto"/>
        <w:right w:val="none" w:sz="0" w:space="0" w:color="auto"/>
      </w:divBdr>
    </w:div>
    <w:div w:id="1333920055">
      <w:bodyDiv w:val="1"/>
      <w:marLeft w:val="0"/>
      <w:marRight w:val="0"/>
      <w:marTop w:val="0"/>
      <w:marBottom w:val="0"/>
      <w:divBdr>
        <w:top w:val="none" w:sz="0" w:space="0" w:color="auto"/>
        <w:left w:val="none" w:sz="0" w:space="0" w:color="auto"/>
        <w:bottom w:val="none" w:sz="0" w:space="0" w:color="auto"/>
        <w:right w:val="none" w:sz="0" w:space="0" w:color="auto"/>
      </w:divBdr>
    </w:div>
    <w:div w:id="1363243452">
      <w:bodyDiv w:val="1"/>
      <w:marLeft w:val="0"/>
      <w:marRight w:val="0"/>
      <w:marTop w:val="0"/>
      <w:marBottom w:val="0"/>
      <w:divBdr>
        <w:top w:val="none" w:sz="0" w:space="0" w:color="auto"/>
        <w:left w:val="none" w:sz="0" w:space="0" w:color="auto"/>
        <w:bottom w:val="none" w:sz="0" w:space="0" w:color="auto"/>
        <w:right w:val="none" w:sz="0" w:space="0" w:color="auto"/>
      </w:divBdr>
    </w:div>
    <w:div w:id="1371883607">
      <w:bodyDiv w:val="1"/>
      <w:marLeft w:val="0"/>
      <w:marRight w:val="0"/>
      <w:marTop w:val="0"/>
      <w:marBottom w:val="0"/>
      <w:divBdr>
        <w:top w:val="none" w:sz="0" w:space="0" w:color="auto"/>
        <w:left w:val="none" w:sz="0" w:space="0" w:color="auto"/>
        <w:bottom w:val="none" w:sz="0" w:space="0" w:color="auto"/>
        <w:right w:val="none" w:sz="0" w:space="0" w:color="auto"/>
      </w:divBdr>
    </w:div>
    <w:div w:id="1396009928">
      <w:bodyDiv w:val="1"/>
      <w:marLeft w:val="0"/>
      <w:marRight w:val="0"/>
      <w:marTop w:val="0"/>
      <w:marBottom w:val="0"/>
      <w:divBdr>
        <w:top w:val="none" w:sz="0" w:space="0" w:color="auto"/>
        <w:left w:val="none" w:sz="0" w:space="0" w:color="auto"/>
        <w:bottom w:val="none" w:sz="0" w:space="0" w:color="auto"/>
        <w:right w:val="none" w:sz="0" w:space="0" w:color="auto"/>
      </w:divBdr>
    </w:div>
    <w:div w:id="1410424420">
      <w:bodyDiv w:val="1"/>
      <w:marLeft w:val="0"/>
      <w:marRight w:val="0"/>
      <w:marTop w:val="0"/>
      <w:marBottom w:val="0"/>
      <w:divBdr>
        <w:top w:val="none" w:sz="0" w:space="0" w:color="auto"/>
        <w:left w:val="none" w:sz="0" w:space="0" w:color="auto"/>
        <w:bottom w:val="none" w:sz="0" w:space="0" w:color="auto"/>
        <w:right w:val="none" w:sz="0" w:space="0" w:color="auto"/>
      </w:divBdr>
    </w:div>
    <w:div w:id="1433431927">
      <w:bodyDiv w:val="1"/>
      <w:marLeft w:val="0"/>
      <w:marRight w:val="0"/>
      <w:marTop w:val="0"/>
      <w:marBottom w:val="0"/>
      <w:divBdr>
        <w:top w:val="none" w:sz="0" w:space="0" w:color="auto"/>
        <w:left w:val="none" w:sz="0" w:space="0" w:color="auto"/>
        <w:bottom w:val="none" w:sz="0" w:space="0" w:color="auto"/>
        <w:right w:val="none" w:sz="0" w:space="0" w:color="auto"/>
      </w:divBdr>
    </w:div>
    <w:div w:id="1439377009">
      <w:bodyDiv w:val="1"/>
      <w:marLeft w:val="0"/>
      <w:marRight w:val="0"/>
      <w:marTop w:val="0"/>
      <w:marBottom w:val="0"/>
      <w:divBdr>
        <w:top w:val="none" w:sz="0" w:space="0" w:color="auto"/>
        <w:left w:val="none" w:sz="0" w:space="0" w:color="auto"/>
        <w:bottom w:val="none" w:sz="0" w:space="0" w:color="auto"/>
        <w:right w:val="none" w:sz="0" w:space="0" w:color="auto"/>
      </w:divBdr>
    </w:div>
    <w:div w:id="1453132128">
      <w:bodyDiv w:val="1"/>
      <w:marLeft w:val="0"/>
      <w:marRight w:val="0"/>
      <w:marTop w:val="0"/>
      <w:marBottom w:val="0"/>
      <w:divBdr>
        <w:top w:val="none" w:sz="0" w:space="0" w:color="auto"/>
        <w:left w:val="none" w:sz="0" w:space="0" w:color="auto"/>
        <w:bottom w:val="none" w:sz="0" w:space="0" w:color="auto"/>
        <w:right w:val="none" w:sz="0" w:space="0" w:color="auto"/>
      </w:divBdr>
    </w:div>
    <w:div w:id="1461923947">
      <w:bodyDiv w:val="1"/>
      <w:marLeft w:val="0"/>
      <w:marRight w:val="0"/>
      <w:marTop w:val="0"/>
      <w:marBottom w:val="0"/>
      <w:divBdr>
        <w:top w:val="none" w:sz="0" w:space="0" w:color="auto"/>
        <w:left w:val="none" w:sz="0" w:space="0" w:color="auto"/>
        <w:bottom w:val="none" w:sz="0" w:space="0" w:color="auto"/>
        <w:right w:val="none" w:sz="0" w:space="0" w:color="auto"/>
      </w:divBdr>
    </w:div>
    <w:div w:id="1465731208">
      <w:bodyDiv w:val="1"/>
      <w:marLeft w:val="0"/>
      <w:marRight w:val="0"/>
      <w:marTop w:val="0"/>
      <w:marBottom w:val="0"/>
      <w:divBdr>
        <w:top w:val="none" w:sz="0" w:space="0" w:color="auto"/>
        <w:left w:val="none" w:sz="0" w:space="0" w:color="auto"/>
        <w:bottom w:val="none" w:sz="0" w:space="0" w:color="auto"/>
        <w:right w:val="none" w:sz="0" w:space="0" w:color="auto"/>
      </w:divBdr>
    </w:div>
    <w:div w:id="1482119119">
      <w:bodyDiv w:val="1"/>
      <w:marLeft w:val="0"/>
      <w:marRight w:val="0"/>
      <w:marTop w:val="0"/>
      <w:marBottom w:val="0"/>
      <w:divBdr>
        <w:top w:val="none" w:sz="0" w:space="0" w:color="auto"/>
        <w:left w:val="none" w:sz="0" w:space="0" w:color="auto"/>
        <w:bottom w:val="none" w:sz="0" w:space="0" w:color="auto"/>
        <w:right w:val="none" w:sz="0" w:space="0" w:color="auto"/>
      </w:divBdr>
    </w:div>
    <w:div w:id="1541435070">
      <w:bodyDiv w:val="1"/>
      <w:marLeft w:val="0"/>
      <w:marRight w:val="0"/>
      <w:marTop w:val="0"/>
      <w:marBottom w:val="0"/>
      <w:divBdr>
        <w:top w:val="none" w:sz="0" w:space="0" w:color="auto"/>
        <w:left w:val="none" w:sz="0" w:space="0" w:color="auto"/>
        <w:bottom w:val="none" w:sz="0" w:space="0" w:color="auto"/>
        <w:right w:val="none" w:sz="0" w:space="0" w:color="auto"/>
      </w:divBdr>
    </w:div>
    <w:div w:id="1548486660">
      <w:bodyDiv w:val="1"/>
      <w:marLeft w:val="0"/>
      <w:marRight w:val="0"/>
      <w:marTop w:val="0"/>
      <w:marBottom w:val="0"/>
      <w:divBdr>
        <w:top w:val="none" w:sz="0" w:space="0" w:color="auto"/>
        <w:left w:val="none" w:sz="0" w:space="0" w:color="auto"/>
        <w:bottom w:val="none" w:sz="0" w:space="0" w:color="auto"/>
        <w:right w:val="none" w:sz="0" w:space="0" w:color="auto"/>
      </w:divBdr>
    </w:div>
    <w:div w:id="1562133644">
      <w:bodyDiv w:val="1"/>
      <w:marLeft w:val="0"/>
      <w:marRight w:val="0"/>
      <w:marTop w:val="0"/>
      <w:marBottom w:val="0"/>
      <w:divBdr>
        <w:top w:val="none" w:sz="0" w:space="0" w:color="auto"/>
        <w:left w:val="none" w:sz="0" w:space="0" w:color="auto"/>
        <w:bottom w:val="none" w:sz="0" w:space="0" w:color="auto"/>
        <w:right w:val="none" w:sz="0" w:space="0" w:color="auto"/>
      </w:divBdr>
    </w:div>
    <w:div w:id="1581216302">
      <w:bodyDiv w:val="1"/>
      <w:marLeft w:val="0"/>
      <w:marRight w:val="0"/>
      <w:marTop w:val="0"/>
      <w:marBottom w:val="0"/>
      <w:divBdr>
        <w:top w:val="none" w:sz="0" w:space="0" w:color="auto"/>
        <w:left w:val="none" w:sz="0" w:space="0" w:color="auto"/>
        <w:bottom w:val="none" w:sz="0" w:space="0" w:color="auto"/>
        <w:right w:val="none" w:sz="0" w:space="0" w:color="auto"/>
      </w:divBdr>
    </w:div>
    <w:div w:id="1582133522">
      <w:bodyDiv w:val="1"/>
      <w:marLeft w:val="0"/>
      <w:marRight w:val="0"/>
      <w:marTop w:val="0"/>
      <w:marBottom w:val="0"/>
      <w:divBdr>
        <w:top w:val="none" w:sz="0" w:space="0" w:color="auto"/>
        <w:left w:val="none" w:sz="0" w:space="0" w:color="auto"/>
        <w:bottom w:val="none" w:sz="0" w:space="0" w:color="auto"/>
        <w:right w:val="none" w:sz="0" w:space="0" w:color="auto"/>
      </w:divBdr>
    </w:div>
    <w:div w:id="1601642062">
      <w:bodyDiv w:val="1"/>
      <w:marLeft w:val="0"/>
      <w:marRight w:val="0"/>
      <w:marTop w:val="0"/>
      <w:marBottom w:val="0"/>
      <w:divBdr>
        <w:top w:val="none" w:sz="0" w:space="0" w:color="auto"/>
        <w:left w:val="none" w:sz="0" w:space="0" w:color="auto"/>
        <w:bottom w:val="none" w:sz="0" w:space="0" w:color="auto"/>
        <w:right w:val="none" w:sz="0" w:space="0" w:color="auto"/>
      </w:divBdr>
    </w:div>
    <w:div w:id="1614362627">
      <w:bodyDiv w:val="1"/>
      <w:marLeft w:val="0"/>
      <w:marRight w:val="0"/>
      <w:marTop w:val="0"/>
      <w:marBottom w:val="0"/>
      <w:divBdr>
        <w:top w:val="none" w:sz="0" w:space="0" w:color="auto"/>
        <w:left w:val="none" w:sz="0" w:space="0" w:color="auto"/>
        <w:bottom w:val="none" w:sz="0" w:space="0" w:color="auto"/>
        <w:right w:val="none" w:sz="0" w:space="0" w:color="auto"/>
      </w:divBdr>
    </w:div>
    <w:div w:id="1623271697">
      <w:bodyDiv w:val="1"/>
      <w:marLeft w:val="0"/>
      <w:marRight w:val="0"/>
      <w:marTop w:val="0"/>
      <w:marBottom w:val="0"/>
      <w:divBdr>
        <w:top w:val="none" w:sz="0" w:space="0" w:color="auto"/>
        <w:left w:val="none" w:sz="0" w:space="0" w:color="auto"/>
        <w:bottom w:val="none" w:sz="0" w:space="0" w:color="auto"/>
        <w:right w:val="none" w:sz="0" w:space="0" w:color="auto"/>
      </w:divBdr>
    </w:div>
    <w:div w:id="1627272592">
      <w:bodyDiv w:val="1"/>
      <w:marLeft w:val="0"/>
      <w:marRight w:val="0"/>
      <w:marTop w:val="0"/>
      <w:marBottom w:val="0"/>
      <w:divBdr>
        <w:top w:val="none" w:sz="0" w:space="0" w:color="auto"/>
        <w:left w:val="none" w:sz="0" w:space="0" w:color="auto"/>
        <w:bottom w:val="none" w:sz="0" w:space="0" w:color="auto"/>
        <w:right w:val="none" w:sz="0" w:space="0" w:color="auto"/>
      </w:divBdr>
    </w:div>
    <w:div w:id="1663895210">
      <w:bodyDiv w:val="1"/>
      <w:marLeft w:val="0"/>
      <w:marRight w:val="0"/>
      <w:marTop w:val="0"/>
      <w:marBottom w:val="0"/>
      <w:divBdr>
        <w:top w:val="none" w:sz="0" w:space="0" w:color="auto"/>
        <w:left w:val="none" w:sz="0" w:space="0" w:color="auto"/>
        <w:bottom w:val="none" w:sz="0" w:space="0" w:color="auto"/>
        <w:right w:val="none" w:sz="0" w:space="0" w:color="auto"/>
      </w:divBdr>
    </w:div>
    <w:div w:id="1664888311">
      <w:bodyDiv w:val="1"/>
      <w:marLeft w:val="0"/>
      <w:marRight w:val="0"/>
      <w:marTop w:val="0"/>
      <w:marBottom w:val="0"/>
      <w:divBdr>
        <w:top w:val="none" w:sz="0" w:space="0" w:color="auto"/>
        <w:left w:val="none" w:sz="0" w:space="0" w:color="auto"/>
        <w:bottom w:val="none" w:sz="0" w:space="0" w:color="auto"/>
        <w:right w:val="none" w:sz="0" w:space="0" w:color="auto"/>
      </w:divBdr>
    </w:div>
    <w:div w:id="1678799798">
      <w:bodyDiv w:val="1"/>
      <w:marLeft w:val="0"/>
      <w:marRight w:val="0"/>
      <w:marTop w:val="0"/>
      <w:marBottom w:val="0"/>
      <w:divBdr>
        <w:top w:val="none" w:sz="0" w:space="0" w:color="auto"/>
        <w:left w:val="none" w:sz="0" w:space="0" w:color="auto"/>
        <w:bottom w:val="none" w:sz="0" w:space="0" w:color="auto"/>
        <w:right w:val="none" w:sz="0" w:space="0" w:color="auto"/>
      </w:divBdr>
    </w:div>
    <w:div w:id="1695114621">
      <w:bodyDiv w:val="1"/>
      <w:marLeft w:val="0"/>
      <w:marRight w:val="0"/>
      <w:marTop w:val="0"/>
      <w:marBottom w:val="0"/>
      <w:divBdr>
        <w:top w:val="none" w:sz="0" w:space="0" w:color="auto"/>
        <w:left w:val="none" w:sz="0" w:space="0" w:color="auto"/>
        <w:bottom w:val="none" w:sz="0" w:space="0" w:color="auto"/>
        <w:right w:val="none" w:sz="0" w:space="0" w:color="auto"/>
      </w:divBdr>
    </w:div>
    <w:div w:id="1710648435">
      <w:bodyDiv w:val="1"/>
      <w:marLeft w:val="0"/>
      <w:marRight w:val="0"/>
      <w:marTop w:val="0"/>
      <w:marBottom w:val="0"/>
      <w:divBdr>
        <w:top w:val="none" w:sz="0" w:space="0" w:color="auto"/>
        <w:left w:val="none" w:sz="0" w:space="0" w:color="auto"/>
        <w:bottom w:val="none" w:sz="0" w:space="0" w:color="auto"/>
        <w:right w:val="none" w:sz="0" w:space="0" w:color="auto"/>
      </w:divBdr>
    </w:div>
    <w:div w:id="1711148875">
      <w:bodyDiv w:val="1"/>
      <w:marLeft w:val="0"/>
      <w:marRight w:val="0"/>
      <w:marTop w:val="0"/>
      <w:marBottom w:val="0"/>
      <w:divBdr>
        <w:top w:val="none" w:sz="0" w:space="0" w:color="auto"/>
        <w:left w:val="none" w:sz="0" w:space="0" w:color="auto"/>
        <w:bottom w:val="none" w:sz="0" w:space="0" w:color="auto"/>
        <w:right w:val="none" w:sz="0" w:space="0" w:color="auto"/>
      </w:divBdr>
    </w:div>
    <w:div w:id="1771117647">
      <w:bodyDiv w:val="1"/>
      <w:marLeft w:val="0"/>
      <w:marRight w:val="0"/>
      <w:marTop w:val="0"/>
      <w:marBottom w:val="0"/>
      <w:divBdr>
        <w:top w:val="none" w:sz="0" w:space="0" w:color="auto"/>
        <w:left w:val="none" w:sz="0" w:space="0" w:color="auto"/>
        <w:bottom w:val="none" w:sz="0" w:space="0" w:color="auto"/>
        <w:right w:val="none" w:sz="0" w:space="0" w:color="auto"/>
      </w:divBdr>
    </w:div>
    <w:div w:id="1782068114">
      <w:bodyDiv w:val="1"/>
      <w:marLeft w:val="0"/>
      <w:marRight w:val="0"/>
      <w:marTop w:val="0"/>
      <w:marBottom w:val="0"/>
      <w:divBdr>
        <w:top w:val="none" w:sz="0" w:space="0" w:color="auto"/>
        <w:left w:val="none" w:sz="0" w:space="0" w:color="auto"/>
        <w:bottom w:val="none" w:sz="0" w:space="0" w:color="auto"/>
        <w:right w:val="none" w:sz="0" w:space="0" w:color="auto"/>
      </w:divBdr>
    </w:div>
    <w:div w:id="1791513644">
      <w:bodyDiv w:val="1"/>
      <w:marLeft w:val="0"/>
      <w:marRight w:val="0"/>
      <w:marTop w:val="0"/>
      <w:marBottom w:val="0"/>
      <w:divBdr>
        <w:top w:val="none" w:sz="0" w:space="0" w:color="auto"/>
        <w:left w:val="none" w:sz="0" w:space="0" w:color="auto"/>
        <w:bottom w:val="none" w:sz="0" w:space="0" w:color="auto"/>
        <w:right w:val="none" w:sz="0" w:space="0" w:color="auto"/>
      </w:divBdr>
    </w:div>
    <w:div w:id="1798523499">
      <w:bodyDiv w:val="1"/>
      <w:marLeft w:val="0"/>
      <w:marRight w:val="0"/>
      <w:marTop w:val="0"/>
      <w:marBottom w:val="0"/>
      <w:divBdr>
        <w:top w:val="none" w:sz="0" w:space="0" w:color="auto"/>
        <w:left w:val="none" w:sz="0" w:space="0" w:color="auto"/>
        <w:bottom w:val="none" w:sz="0" w:space="0" w:color="auto"/>
        <w:right w:val="none" w:sz="0" w:space="0" w:color="auto"/>
      </w:divBdr>
    </w:div>
    <w:div w:id="1801027498">
      <w:bodyDiv w:val="1"/>
      <w:marLeft w:val="0"/>
      <w:marRight w:val="0"/>
      <w:marTop w:val="0"/>
      <w:marBottom w:val="0"/>
      <w:divBdr>
        <w:top w:val="none" w:sz="0" w:space="0" w:color="auto"/>
        <w:left w:val="none" w:sz="0" w:space="0" w:color="auto"/>
        <w:bottom w:val="none" w:sz="0" w:space="0" w:color="auto"/>
        <w:right w:val="none" w:sz="0" w:space="0" w:color="auto"/>
      </w:divBdr>
    </w:div>
    <w:div w:id="1801414727">
      <w:bodyDiv w:val="1"/>
      <w:marLeft w:val="0"/>
      <w:marRight w:val="0"/>
      <w:marTop w:val="0"/>
      <w:marBottom w:val="0"/>
      <w:divBdr>
        <w:top w:val="none" w:sz="0" w:space="0" w:color="auto"/>
        <w:left w:val="none" w:sz="0" w:space="0" w:color="auto"/>
        <w:bottom w:val="none" w:sz="0" w:space="0" w:color="auto"/>
        <w:right w:val="none" w:sz="0" w:space="0" w:color="auto"/>
      </w:divBdr>
    </w:div>
    <w:div w:id="1808012262">
      <w:bodyDiv w:val="1"/>
      <w:marLeft w:val="0"/>
      <w:marRight w:val="0"/>
      <w:marTop w:val="0"/>
      <w:marBottom w:val="0"/>
      <w:divBdr>
        <w:top w:val="none" w:sz="0" w:space="0" w:color="auto"/>
        <w:left w:val="none" w:sz="0" w:space="0" w:color="auto"/>
        <w:bottom w:val="none" w:sz="0" w:space="0" w:color="auto"/>
        <w:right w:val="none" w:sz="0" w:space="0" w:color="auto"/>
      </w:divBdr>
    </w:div>
    <w:div w:id="1811286738">
      <w:bodyDiv w:val="1"/>
      <w:marLeft w:val="0"/>
      <w:marRight w:val="0"/>
      <w:marTop w:val="0"/>
      <w:marBottom w:val="0"/>
      <w:divBdr>
        <w:top w:val="none" w:sz="0" w:space="0" w:color="auto"/>
        <w:left w:val="none" w:sz="0" w:space="0" w:color="auto"/>
        <w:bottom w:val="none" w:sz="0" w:space="0" w:color="auto"/>
        <w:right w:val="none" w:sz="0" w:space="0" w:color="auto"/>
      </w:divBdr>
    </w:div>
    <w:div w:id="1833445923">
      <w:bodyDiv w:val="1"/>
      <w:marLeft w:val="0"/>
      <w:marRight w:val="0"/>
      <w:marTop w:val="0"/>
      <w:marBottom w:val="0"/>
      <w:divBdr>
        <w:top w:val="none" w:sz="0" w:space="0" w:color="auto"/>
        <w:left w:val="none" w:sz="0" w:space="0" w:color="auto"/>
        <w:bottom w:val="none" w:sz="0" w:space="0" w:color="auto"/>
        <w:right w:val="none" w:sz="0" w:space="0" w:color="auto"/>
      </w:divBdr>
    </w:div>
    <w:div w:id="1843004239">
      <w:bodyDiv w:val="1"/>
      <w:marLeft w:val="0"/>
      <w:marRight w:val="0"/>
      <w:marTop w:val="0"/>
      <w:marBottom w:val="0"/>
      <w:divBdr>
        <w:top w:val="none" w:sz="0" w:space="0" w:color="auto"/>
        <w:left w:val="none" w:sz="0" w:space="0" w:color="auto"/>
        <w:bottom w:val="none" w:sz="0" w:space="0" w:color="auto"/>
        <w:right w:val="none" w:sz="0" w:space="0" w:color="auto"/>
      </w:divBdr>
    </w:div>
    <w:div w:id="1860043959">
      <w:bodyDiv w:val="1"/>
      <w:marLeft w:val="0"/>
      <w:marRight w:val="0"/>
      <w:marTop w:val="0"/>
      <w:marBottom w:val="0"/>
      <w:divBdr>
        <w:top w:val="none" w:sz="0" w:space="0" w:color="auto"/>
        <w:left w:val="none" w:sz="0" w:space="0" w:color="auto"/>
        <w:bottom w:val="none" w:sz="0" w:space="0" w:color="auto"/>
        <w:right w:val="none" w:sz="0" w:space="0" w:color="auto"/>
      </w:divBdr>
    </w:div>
    <w:div w:id="1864589794">
      <w:bodyDiv w:val="1"/>
      <w:marLeft w:val="0"/>
      <w:marRight w:val="0"/>
      <w:marTop w:val="0"/>
      <w:marBottom w:val="0"/>
      <w:divBdr>
        <w:top w:val="none" w:sz="0" w:space="0" w:color="auto"/>
        <w:left w:val="none" w:sz="0" w:space="0" w:color="auto"/>
        <w:bottom w:val="none" w:sz="0" w:space="0" w:color="auto"/>
        <w:right w:val="none" w:sz="0" w:space="0" w:color="auto"/>
      </w:divBdr>
    </w:div>
    <w:div w:id="1873348222">
      <w:bodyDiv w:val="1"/>
      <w:marLeft w:val="0"/>
      <w:marRight w:val="0"/>
      <w:marTop w:val="0"/>
      <w:marBottom w:val="0"/>
      <w:divBdr>
        <w:top w:val="none" w:sz="0" w:space="0" w:color="auto"/>
        <w:left w:val="none" w:sz="0" w:space="0" w:color="auto"/>
        <w:bottom w:val="none" w:sz="0" w:space="0" w:color="auto"/>
        <w:right w:val="none" w:sz="0" w:space="0" w:color="auto"/>
      </w:divBdr>
    </w:div>
    <w:div w:id="1881936553">
      <w:bodyDiv w:val="1"/>
      <w:marLeft w:val="0"/>
      <w:marRight w:val="0"/>
      <w:marTop w:val="0"/>
      <w:marBottom w:val="0"/>
      <w:divBdr>
        <w:top w:val="none" w:sz="0" w:space="0" w:color="auto"/>
        <w:left w:val="none" w:sz="0" w:space="0" w:color="auto"/>
        <w:bottom w:val="none" w:sz="0" w:space="0" w:color="auto"/>
        <w:right w:val="none" w:sz="0" w:space="0" w:color="auto"/>
      </w:divBdr>
    </w:div>
    <w:div w:id="1894190396">
      <w:bodyDiv w:val="1"/>
      <w:marLeft w:val="0"/>
      <w:marRight w:val="0"/>
      <w:marTop w:val="0"/>
      <w:marBottom w:val="0"/>
      <w:divBdr>
        <w:top w:val="none" w:sz="0" w:space="0" w:color="auto"/>
        <w:left w:val="none" w:sz="0" w:space="0" w:color="auto"/>
        <w:bottom w:val="none" w:sz="0" w:space="0" w:color="auto"/>
        <w:right w:val="none" w:sz="0" w:space="0" w:color="auto"/>
      </w:divBdr>
    </w:div>
    <w:div w:id="1894582161">
      <w:bodyDiv w:val="1"/>
      <w:marLeft w:val="0"/>
      <w:marRight w:val="0"/>
      <w:marTop w:val="0"/>
      <w:marBottom w:val="0"/>
      <w:divBdr>
        <w:top w:val="none" w:sz="0" w:space="0" w:color="auto"/>
        <w:left w:val="none" w:sz="0" w:space="0" w:color="auto"/>
        <w:bottom w:val="none" w:sz="0" w:space="0" w:color="auto"/>
        <w:right w:val="none" w:sz="0" w:space="0" w:color="auto"/>
      </w:divBdr>
    </w:div>
    <w:div w:id="1898736772">
      <w:bodyDiv w:val="1"/>
      <w:marLeft w:val="0"/>
      <w:marRight w:val="0"/>
      <w:marTop w:val="0"/>
      <w:marBottom w:val="0"/>
      <w:divBdr>
        <w:top w:val="none" w:sz="0" w:space="0" w:color="auto"/>
        <w:left w:val="none" w:sz="0" w:space="0" w:color="auto"/>
        <w:bottom w:val="none" w:sz="0" w:space="0" w:color="auto"/>
        <w:right w:val="none" w:sz="0" w:space="0" w:color="auto"/>
      </w:divBdr>
    </w:div>
    <w:div w:id="1917786733">
      <w:bodyDiv w:val="1"/>
      <w:marLeft w:val="0"/>
      <w:marRight w:val="0"/>
      <w:marTop w:val="0"/>
      <w:marBottom w:val="0"/>
      <w:divBdr>
        <w:top w:val="none" w:sz="0" w:space="0" w:color="auto"/>
        <w:left w:val="none" w:sz="0" w:space="0" w:color="auto"/>
        <w:bottom w:val="none" w:sz="0" w:space="0" w:color="auto"/>
        <w:right w:val="none" w:sz="0" w:space="0" w:color="auto"/>
      </w:divBdr>
    </w:div>
    <w:div w:id="1919441324">
      <w:bodyDiv w:val="1"/>
      <w:marLeft w:val="0"/>
      <w:marRight w:val="0"/>
      <w:marTop w:val="0"/>
      <w:marBottom w:val="0"/>
      <w:divBdr>
        <w:top w:val="none" w:sz="0" w:space="0" w:color="auto"/>
        <w:left w:val="none" w:sz="0" w:space="0" w:color="auto"/>
        <w:bottom w:val="none" w:sz="0" w:space="0" w:color="auto"/>
        <w:right w:val="none" w:sz="0" w:space="0" w:color="auto"/>
      </w:divBdr>
    </w:div>
    <w:div w:id="1943301310">
      <w:bodyDiv w:val="1"/>
      <w:marLeft w:val="0"/>
      <w:marRight w:val="0"/>
      <w:marTop w:val="0"/>
      <w:marBottom w:val="0"/>
      <w:divBdr>
        <w:top w:val="none" w:sz="0" w:space="0" w:color="auto"/>
        <w:left w:val="none" w:sz="0" w:space="0" w:color="auto"/>
        <w:bottom w:val="none" w:sz="0" w:space="0" w:color="auto"/>
        <w:right w:val="none" w:sz="0" w:space="0" w:color="auto"/>
      </w:divBdr>
    </w:div>
    <w:div w:id="2001033086">
      <w:bodyDiv w:val="1"/>
      <w:marLeft w:val="0"/>
      <w:marRight w:val="0"/>
      <w:marTop w:val="0"/>
      <w:marBottom w:val="0"/>
      <w:divBdr>
        <w:top w:val="none" w:sz="0" w:space="0" w:color="auto"/>
        <w:left w:val="none" w:sz="0" w:space="0" w:color="auto"/>
        <w:bottom w:val="none" w:sz="0" w:space="0" w:color="auto"/>
        <w:right w:val="none" w:sz="0" w:space="0" w:color="auto"/>
      </w:divBdr>
    </w:div>
    <w:div w:id="2013214116">
      <w:bodyDiv w:val="1"/>
      <w:marLeft w:val="0"/>
      <w:marRight w:val="0"/>
      <w:marTop w:val="0"/>
      <w:marBottom w:val="0"/>
      <w:divBdr>
        <w:top w:val="none" w:sz="0" w:space="0" w:color="auto"/>
        <w:left w:val="none" w:sz="0" w:space="0" w:color="auto"/>
        <w:bottom w:val="none" w:sz="0" w:space="0" w:color="auto"/>
        <w:right w:val="none" w:sz="0" w:space="0" w:color="auto"/>
      </w:divBdr>
    </w:div>
    <w:div w:id="2014186881">
      <w:bodyDiv w:val="1"/>
      <w:marLeft w:val="0"/>
      <w:marRight w:val="0"/>
      <w:marTop w:val="0"/>
      <w:marBottom w:val="0"/>
      <w:divBdr>
        <w:top w:val="none" w:sz="0" w:space="0" w:color="auto"/>
        <w:left w:val="none" w:sz="0" w:space="0" w:color="auto"/>
        <w:bottom w:val="none" w:sz="0" w:space="0" w:color="auto"/>
        <w:right w:val="none" w:sz="0" w:space="0" w:color="auto"/>
      </w:divBdr>
    </w:div>
    <w:div w:id="2030132386">
      <w:bodyDiv w:val="1"/>
      <w:marLeft w:val="0"/>
      <w:marRight w:val="0"/>
      <w:marTop w:val="0"/>
      <w:marBottom w:val="0"/>
      <w:divBdr>
        <w:top w:val="none" w:sz="0" w:space="0" w:color="auto"/>
        <w:left w:val="none" w:sz="0" w:space="0" w:color="auto"/>
        <w:bottom w:val="none" w:sz="0" w:space="0" w:color="auto"/>
        <w:right w:val="none" w:sz="0" w:space="0" w:color="auto"/>
      </w:divBdr>
    </w:div>
    <w:div w:id="2031566891">
      <w:bodyDiv w:val="1"/>
      <w:marLeft w:val="0"/>
      <w:marRight w:val="0"/>
      <w:marTop w:val="0"/>
      <w:marBottom w:val="0"/>
      <w:divBdr>
        <w:top w:val="none" w:sz="0" w:space="0" w:color="auto"/>
        <w:left w:val="none" w:sz="0" w:space="0" w:color="auto"/>
        <w:bottom w:val="none" w:sz="0" w:space="0" w:color="auto"/>
        <w:right w:val="none" w:sz="0" w:space="0" w:color="auto"/>
      </w:divBdr>
    </w:div>
    <w:div w:id="2039236229">
      <w:bodyDiv w:val="1"/>
      <w:marLeft w:val="0"/>
      <w:marRight w:val="0"/>
      <w:marTop w:val="0"/>
      <w:marBottom w:val="0"/>
      <w:divBdr>
        <w:top w:val="none" w:sz="0" w:space="0" w:color="auto"/>
        <w:left w:val="none" w:sz="0" w:space="0" w:color="auto"/>
        <w:bottom w:val="none" w:sz="0" w:space="0" w:color="auto"/>
        <w:right w:val="none" w:sz="0" w:space="0" w:color="auto"/>
      </w:divBdr>
    </w:div>
    <w:div w:id="2040819300">
      <w:bodyDiv w:val="1"/>
      <w:marLeft w:val="0"/>
      <w:marRight w:val="0"/>
      <w:marTop w:val="0"/>
      <w:marBottom w:val="0"/>
      <w:divBdr>
        <w:top w:val="none" w:sz="0" w:space="0" w:color="auto"/>
        <w:left w:val="none" w:sz="0" w:space="0" w:color="auto"/>
        <w:bottom w:val="none" w:sz="0" w:space="0" w:color="auto"/>
        <w:right w:val="none" w:sz="0" w:space="0" w:color="auto"/>
      </w:divBdr>
    </w:div>
    <w:div w:id="2060081687">
      <w:bodyDiv w:val="1"/>
      <w:marLeft w:val="0"/>
      <w:marRight w:val="0"/>
      <w:marTop w:val="0"/>
      <w:marBottom w:val="0"/>
      <w:divBdr>
        <w:top w:val="none" w:sz="0" w:space="0" w:color="auto"/>
        <w:left w:val="none" w:sz="0" w:space="0" w:color="auto"/>
        <w:bottom w:val="none" w:sz="0" w:space="0" w:color="auto"/>
        <w:right w:val="none" w:sz="0" w:space="0" w:color="auto"/>
      </w:divBdr>
    </w:div>
    <w:div w:id="2062483512">
      <w:bodyDiv w:val="1"/>
      <w:marLeft w:val="0"/>
      <w:marRight w:val="0"/>
      <w:marTop w:val="0"/>
      <w:marBottom w:val="0"/>
      <w:divBdr>
        <w:top w:val="none" w:sz="0" w:space="0" w:color="auto"/>
        <w:left w:val="none" w:sz="0" w:space="0" w:color="auto"/>
        <w:bottom w:val="none" w:sz="0" w:space="0" w:color="auto"/>
        <w:right w:val="none" w:sz="0" w:space="0" w:color="auto"/>
      </w:divBdr>
    </w:div>
    <w:div w:id="2082481955">
      <w:bodyDiv w:val="1"/>
      <w:marLeft w:val="0"/>
      <w:marRight w:val="0"/>
      <w:marTop w:val="0"/>
      <w:marBottom w:val="0"/>
      <w:divBdr>
        <w:top w:val="none" w:sz="0" w:space="0" w:color="auto"/>
        <w:left w:val="none" w:sz="0" w:space="0" w:color="auto"/>
        <w:bottom w:val="none" w:sz="0" w:space="0" w:color="auto"/>
        <w:right w:val="none" w:sz="0" w:space="0" w:color="auto"/>
      </w:divBdr>
    </w:div>
    <w:div w:id="2084643170">
      <w:bodyDiv w:val="1"/>
      <w:marLeft w:val="0"/>
      <w:marRight w:val="0"/>
      <w:marTop w:val="0"/>
      <w:marBottom w:val="0"/>
      <w:divBdr>
        <w:top w:val="none" w:sz="0" w:space="0" w:color="auto"/>
        <w:left w:val="none" w:sz="0" w:space="0" w:color="auto"/>
        <w:bottom w:val="none" w:sz="0" w:space="0" w:color="auto"/>
        <w:right w:val="none" w:sz="0" w:space="0" w:color="auto"/>
      </w:divBdr>
    </w:div>
    <w:div w:id="2105690707">
      <w:bodyDiv w:val="1"/>
      <w:marLeft w:val="0"/>
      <w:marRight w:val="0"/>
      <w:marTop w:val="0"/>
      <w:marBottom w:val="0"/>
      <w:divBdr>
        <w:top w:val="none" w:sz="0" w:space="0" w:color="auto"/>
        <w:left w:val="none" w:sz="0" w:space="0" w:color="auto"/>
        <w:bottom w:val="none" w:sz="0" w:space="0" w:color="auto"/>
        <w:right w:val="none" w:sz="0" w:space="0" w:color="auto"/>
      </w:divBdr>
    </w:div>
    <w:div w:id="2108427591">
      <w:bodyDiv w:val="1"/>
      <w:marLeft w:val="0"/>
      <w:marRight w:val="0"/>
      <w:marTop w:val="0"/>
      <w:marBottom w:val="0"/>
      <w:divBdr>
        <w:top w:val="none" w:sz="0" w:space="0" w:color="auto"/>
        <w:left w:val="none" w:sz="0" w:space="0" w:color="auto"/>
        <w:bottom w:val="none" w:sz="0" w:space="0" w:color="auto"/>
        <w:right w:val="none" w:sz="0" w:space="0" w:color="auto"/>
      </w:divBdr>
    </w:div>
    <w:div w:id="2114283503">
      <w:bodyDiv w:val="1"/>
      <w:marLeft w:val="0"/>
      <w:marRight w:val="0"/>
      <w:marTop w:val="0"/>
      <w:marBottom w:val="0"/>
      <w:divBdr>
        <w:top w:val="none" w:sz="0" w:space="0" w:color="auto"/>
        <w:left w:val="none" w:sz="0" w:space="0" w:color="auto"/>
        <w:bottom w:val="none" w:sz="0" w:space="0" w:color="auto"/>
        <w:right w:val="none" w:sz="0" w:space="0" w:color="auto"/>
      </w:divBdr>
    </w:div>
    <w:div w:id="2115049998">
      <w:bodyDiv w:val="1"/>
      <w:marLeft w:val="0"/>
      <w:marRight w:val="0"/>
      <w:marTop w:val="0"/>
      <w:marBottom w:val="0"/>
      <w:divBdr>
        <w:top w:val="none" w:sz="0" w:space="0" w:color="auto"/>
        <w:left w:val="none" w:sz="0" w:space="0" w:color="auto"/>
        <w:bottom w:val="none" w:sz="0" w:space="0" w:color="auto"/>
        <w:right w:val="none" w:sz="0" w:space="0" w:color="auto"/>
      </w:divBdr>
    </w:div>
    <w:div w:id="2122721546">
      <w:bodyDiv w:val="1"/>
      <w:marLeft w:val="0"/>
      <w:marRight w:val="0"/>
      <w:marTop w:val="0"/>
      <w:marBottom w:val="0"/>
      <w:divBdr>
        <w:top w:val="none" w:sz="0" w:space="0" w:color="auto"/>
        <w:left w:val="none" w:sz="0" w:space="0" w:color="auto"/>
        <w:bottom w:val="none" w:sz="0" w:space="0" w:color="auto"/>
        <w:right w:val="none" w:sz="0" w:space="0" w:color="auto"/>
      </w:divBdr>
    </w:div>
    <w:div w:id="212279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1" Type="http://schemas.openxmlformats.org/officeDocument/2006/relationships/hyperlink" Target="http://www.nepc.gov.au/" TargetMode="External"/><Relationship Id="rId42" Type="http://schemas.openxmlformats.org/officeDocument/2006/relationships/header" Target="header21.xml"/><Relationship Id="rId63" Type="http://schemas.openxmlformats.org/officeDocument/2006/relationships/image" Target="media/image15.jpeg"/><Relationship Id="rId84" Type="http://schemas.openxmlformats.org/officeDocument/2006/relationships/header" Target="header39.xml"/><Relationship Id="rId138" Type="http://schemas.openxmlformats.org/officeDocument/2006/relationships/hyperlink" Target="http://www.ccme.ca/assets/pdf/pm_oz_2000_2005_rpt_e.pdf" TargetMode="External"/><Relationship Id="rId159" Type="http://schemas.openxmlformats.org/officeDocument/2006/relationships/header" Target="header66.xml"/><Relationship Id="rId170" Type="http://schemas.openxmlformats.org/officeDocument/2006/relationships/header" Target="header72.xml"/><Relationship Id="rId191" Type="http://schemas.openxmlformats.org/officeDocument/2006/relationships/image" Target="media/image43.png"/><Relationship Id="rId196" Type="http://schemas.openxmlformats.org/officeDocument/2006/relationships/header" Target="header79.xml"/><Relationship Id="rId200" Type="http://schemas.openxmlformats.org/officeDocument/2006/relationships/theme" Target="theme/theme1.xml"/><Relationship Id="rId16" Type="http://schemas.openxmlformats.org/officeDocument/2006/relationships/header" Target="header6.xml"/><Relationship Id="rId107" Type="http://schemas.openxmlformats.org/officeDocument/2006/relationships/header" Target="header48.xml"/><Relationship Id="rId11" Type="http://schemas.openxmlformats.org/officeDocument/2006/relationships/header" Target="header3.xml"/><Relationship Id="rId32" Type="http://schemas.openxmlformats.org/officeDocument/2006/relationships/header" Target="header15.xml"/><Relationship Id="rId37" Type="http://schemas.openxmlformats.org/officeDocument/2006/relationships/image" Target="media/image1.png"/><Relationship Id="rId53" Type="http://schemas.openxmlformats.org/officeDocument/2006/relationships/image" Target="media/image5.emf"/><Relationship Id="rId58" Type="http://schemas.openxmlformats.org/officeDocument/2006/relationships/image" Target="media/image10.emf"/><Relationship Id="rId74" Type="http://schemas.openxmlformats.org/officeDocument/2006/relationships/footer" Target="footer16.xml"/><Relationship Id="rId79" Type="http://schemas.openxmlformats.org/officeDocument/2006/relationships/image" Target="media/image19.png"/><Relationship Id="rId102" Type="http://schemas.openxmlformats.org/officeDocument/2006/relationships/footer" Target="footer23.xml"/><Relationship Id="rId123" Type="http://schemas.openxmlformats.org/officeDocument/2006/relationships/footer" Target="footer30.xml"/><Relationship Id="rId128" Type="http://schemas.openxmlformats.org/officeDocument/2006/relationships/hyperlink" Target="mailto:nepc@environment.gov.au" TargetMode="External"/><Relationship Id="rId144" Type="http://schemas.openxmlformats.org/officeDocument/2006/relationships/hyperlink" Target="http://www.iarc.fr/en/media-centre/pr/2012/pdfs/pr213_E.pdf" TargetMode="External"/><Relationship Id="rId149" Type="http://schemas.openxmlformats.org/officeDocument/2006/relationships/hyperlink" Target="http://www.unece.org/env/lrtap/lrtap_h1.html" TargetMode="External"/><Relationship Id="rId5" Type="http://schemas.openxmlformats.org/officeDocument/2006/relationships/webSettings" Target="webSettings.xml"/><Relationship Id="rId90" Type="http://schemas.openxmlformats.org/officeDocument/2006/relationships/image" Target="media/image22.png"/><Relationship Id="rId95" Type="http://schemas.openxmlformats.org/officeDocument/2006/relationships/header" Target="header42.xml"/><Relationship Id="rId160" Type="http://schemas.openxmlformats.org/officeDocument/2006/relationships/header" Target="header67.xml"/><Relationship Id="rId165" Type="http://schemas.openxmlformats.org/officeDocument/2006/relationships/image" Target="media/image30.emf"/><Relationship Id="rId181" Type="http://schemas.openxmlformats.org/officeDocument/2006/relationships/image" Target="media/image33.png"/><Relationship Id="rId186" Type="http://schemas.openxmlformats.org/officeDocument/2006/relationships/image" Target="media/image38.png"/><Relationship Id="rId22" Type="http://schemas.openxmlformats.org/officeDocument/2006/relationships/hyperlink" Target="mailto:nepc@environment.gov.au" TargetMode="External"/><Relationship Id="rId27" Type="http://schemas.openxmlformats.org/officeDocument/2006/relationships/header" Target="header12.xml"/><Relationship Id="rId43" Type="http://schemas.openxmlformats.org/officeDocument/2006/relationships/header" Target="header22.xml"/><Relationship Id="rId48" Type="http://schemas.openxmlformats.org/officeDocument/2006/relationships/footer" Target="footer13.xml"/><Relationship Id="rId64" Type="http://schemas.openxmlformats.org/officeDocument/2006/relationships/header" Target="header27.xml"/><Relationship Id="rId69" Type="http://schemas.openxmlformats.org/officeDocument/2006/relationships/header" Target="header31.xml"/><Relationship Id="rId113" Type="http://schemas.openxmlformats.org/officeDocument/2006/relationships/footer" Target="footer26.xml"/><Relationship Id="rId118" Type="http://schemas.openxmlformats.org/officeDocument/2006/relationships/footer" Target="footer28.xml"/><Relationship Id="rId134" Type="http://schemas.openxmlformats.org/officeDocument/2006/relationships/hyperlink" Target="http://www.abs.gov.au/AUSSTATS/abs@.nsf/DetailsPage/3222.02006%20to%202101?OpenDocument%23Time" TargetMode="External"/><Relationship Id="rId139" Type="http://schemas.openxmlformats.org/officeDocument/2006/relationships/hyperlink" Target="http://www.ccme.ca/assets/pdf/1389_ci_kcac_e.pdf" TargetMode="External"/><Relationship Id="rId80" Type="http://schemas.openxmlformats.org/officeDocument/2006/relationships/header" Target="header36.xml"/><Relationship Id="rId85" Type="http://schemas.openxmlformats.org/officeDocument/2006/relationships/footer" Target="footer18.xml"/><Relationship Id="rId150" Type="http://schemas.openxmlformats.org/officeDocument/2006/relationships/hyperlink" Target="http://www.unece.org/env/lrtap/multi_h1.html" TargetMode="External"/><Relationship Id="rId155" Type="http://schemas.openxmlformats.org/officeDocument/2006/relationships/header" Target="header64.xml"/><Relationship Id="rId171" Type="http://schemas.openxmlformats.org/officeDocument/2006/relationships/footer" Target="footer39.xml"/><Relationship Id="rId176" Type="http://schemas.openxmlformats.org/officeDocument/2006/relationships/footer" Target="footer41.xml"/><Relationship Id="rId192" Type="http://schemas.openxmlformats.org/officeDocument/2006/relationships/header" Target="header77.xml"/><Relationship Id="rId197" Type="http://schemas.openxmlformats.org/officeDocument/2006/relationships/footer" Target="footer45.xml"/><Relationship Id="rId12" Type="http://schemas.openxmlformats.org/officeDocument/2006/relationships/header" Target="header4.xml"/><Relationship Id="rId17" Type="http://schemas.openxmlformats.org/officeDocument/2006/relationships/header" Target="header7.xml"/><Relationship Id="rId33" Type="http://schemas.openxmlformats.org/officeDocument/2006/relationships/header" Target="header16.xml"/><Relationship Id="rId38" Type="http://schemas.openxmlformats.org/officeDocument/2006/relationships/header" Target="header18.xml"/><Relationship Id="rId59" Type="http://schemas.openxmlformats.org/officeDocument/2006/relationships/image" Target="media/image11.emf"/><Relationship Id="rId103" Type="http://schemas.openxmlformats.org/officeDocument/2006/relationships/header" Target="header46.xml"/><Relationship Id="rId108" Type="http://schemas.openxmlformats.org/officeDocument/2006/relationships/footer" Target="footer24.xml"/><Relationship Id="rId124" Type="http://schemas.openxmlformats.org/officeDocument/2006/relationships/header" Target="header58.xml"/><Relationship Id="rId129" Type="http://schemas.openxmlformats.org/officeDocument/2006/relationships/header" Target="header60.xml"/><Relationship Id="rId54" Type="http://schemas.openxmlformats.org/officeDocument/2006/relationships/image" Target="media/image6.emf"/><Relationship Id="rId70" Type="http://schemas.openxmlformats.org/officeDocument/2006/relationships/footer" Target="footer15.xml"/><Relationship Id="rId75" Type="http://schemas.openxmlformats.org/officeDocument/2006/relationships/header" Target="header35.xml"/><Relationship Id="rId91" Type="http://schemas.openxmlformats.org/officeDocument/2006/relationships/image" Target="media/image23.png"/><Relationship Id="rId96" Type="http://schemas.openxmlformats.org/officeDocument/2006/relationships/footer" Target="footer20.xml"/><Relationship Id="rId140" Type="http://schemas.openxmlformats.org/officeDocument/2006/relationships/hyperlink" Target="http://www.scew.gov.au/strategic-priorities/national-plan-for-clean-air.html" TargetMode="External"/><Relationship Id="rId145" Type="http://schemas.openxmlformats.org/officeDocument/2006/relationships/hyperlink" Target="http://www.iarc.fr/en/media-centre/pr/2013/pdfs/pr221_E.pdf" TargetMode="External"/><Relationship Id="rId161" Type="http://schemas.openxmlformats.org/officeDocument/2006/relationships/footer" Target="footer37.xml"/><Relationship Id="rId166" Type="http://schemas.openxmlformats.org/officeDocument/2006/relationships/header" Target="header69.xml"/><Relationship Id="rId182" Type="http://schemas.openxmlformats.org/officeDocument/2006/relationships/image" Target="media/image34.png"/><Relationship Id="rId187"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9.xml"/><Relationship Id="rId28" Type="http://schemas.openxmlformats.org/officeDocument/2006/relationships/header" Target="header13.xml"/><Relationship Id="rId49" Type="http://schemas.openxmlformats.org/officeDocument/2006/relationships/header" Target="header26.xml"/><Relationship Id="rId114" Type="http://schemas.openxmlformats.org/officeDocument/2006/relationships/footer" Target="footer27.xml"/><Relationship Id="rId119" Type="http://schemas.openxmlformats.org/officeDocument/2006/relationships/header" Target="header55.xml"/><Relationship Id="rId44" Type="http://schemas.openxmlformats.org/officeDocument/2006/relationships/footer" Target="footer12.xml"/><Relationship Id="rId60" Type="http://schemas.openxmlformats.org/officeDocument/2006/relationships/image" Target="media/image12.png"/><Relationship Id="rId65" Type="http://schemas.openxmlformats.org/officeDocument/2006/relationships/header" Target="header28.xml"/><Relationship Id="rId81" Type="http://schemas.openxmlformats.org/officeDocument/2006/relationships/footer" Target="footer17.xml"/><Relationship Id="rId86" Type="http://schemas.openxmlformats.org/officeDocument/2006/relationships/footer" Target="footer19.xml"/><Relationship Id="rId130" Type="http://schemas.openxmlformats.org/officeDocument/2006/relationships/footer" Target="footer32.xml"/><Relationship Id="rId135" Type="http://schemas.openxmlformats.org/officeDocument/2006/relationships/hyperlink" Target="http://www.ansto.gov.au/__data/assets/pdf_file/0019/39313/Newsletter38.pdf" TargetMode="External"/><Relationship Id="rId151" Type="http://schemas.openxmlformats.org/officeDocument/2006/relationships/hyperlink" Target="http://www.epa.gov/ttn/naaqs/standards/pm/s_pm_2007_risk.html" TargetMode="External"/><Relationship Id="rId156" Type="http://schemas.openxmlformats.org/officeDocument/2006/relationships/footer" Target="footer35.xml"/><Relationship Id="rId177" Type="http://schemas.openxmlformats.org/officeDocument/2006/relationships/footer" Target="footer42.xml"/><Relationship Id="rId198" Type="http://schemas.openxmlformats.org/officeDocument/2006/relationships/header" Target="header80.xml"/><Relationship Id="rId172" Type="http://schemas.openxmlformats.org/officeDocument/2006/relationships/footer" Target="footer40.xml"/><Relationship Id="rId193" Type="http://schemas.openxmlformats.org/officeDocument/2006/relationships/footer" Target="footer43.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9.xml"/><Relationship Id="rId109" Type="http://schemas.openxmlformats.org/officeDocument/2006/relationships/footer" Target="footer25.xml"/><Relationship Id="rId34" Type="http://schemas.openxmlformats.org/officeDocument/2006/relationships/footer" Target="footer9.xml"/><Relationship Id="rId50" Type="http://schemas.openxmlformats.org/officeDocument/2006/relationships/image" Target="media/image2.png"/><Relationship Id="rId55" Type="http://schemas.openxmlformats.org/officeDocument/2006/relationships/image" Target="media/image7.emf"/><Relationship Id="rId76" Type="http://schemas.openxmlformats.org/officeDocument/2006/relationships/image" Target="media/image16.png"/><Relationship Id="rId97" Type="http://schemas.openxmlformats.org/officeDocument/2006/relationships/footer" Target="footer21.xml"/><Relationship Id="rId104" Type="http://schemas.openxmlformats.org/officeDocument/2006/relationships/image" Target="media/image26.png"/><Relationship Id="rId120" Type="http://schemas.openxmlformats.org/officeDocument/2006/relationships/header" Target="header56.xml"/><Relationship Id="rId125" Type="http://schemas.openxmlformats.org/officeDocument/2006/relationships/footer" Target="footer31.xml"/><Relationship Id="rId141" Type="http://schemas.openxmlformats.org/officeDocument/2006/relationships/hyperlink" Target="http://www.npi.gov.au/system/files/resources/e0e7acda-fe12-9204-8134-6dd236ea134e/files/year9summaryreport.pdf" TargetMode="External"/><Relationship Id="rId146" Type="http://schemas.openxmlformats.org/officeDocument/2006/relationships/hyperlink" Target="http://www.environment.nsw.gov.au/resources/air/airpollution05623.pdf" TargetMode="External"/><Relationship Id="rId167" Type="http://schemas.openxmlformats.org/officeDocument/2006/relationships/footer" Target="footer38.xml"/><Relationship Id="rId188"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header" Target="header32.xml"/><Relationship Id="rId92" Type="http://schemas.openxmlformats.org/officeDocument/2006/relationships/image" Target="media/image24.png"/><Relationship Id="rId162" Type="http://schemas.openxmlformats.org/officeDocument/2006/relationships/header" Target="header68.xml"/><Relationship Id="rId183"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header" Target="header10.xml"/><Relationship Id="rId40" Type="http://schemas.openxmlformats.org/officeDocument/2006/relationships/footer" Target="footer11.xml"/><Relationship Id="rId45" Type="http://schemas.openxmlformats.org/officeDocument/2006/relationships/header" Target="header23.xml"/><Relationship Id="rId66" Type="http://schemas.openxmlformats.org/officeDocument/2006/relationships/footer" Target="footer14.xml"/><Relationship Id="rId87" Type="http://schemas.openxmlformats.org/officeDocument/2006/relationships/header" Target="header40.xml"/><Relationship Id="rId110" Type="http://schemas.openxmlformats.org/officeDocument/2006/relationships/header" Target="header49.xml"/><Relationship Id="rId115" Type="http://schemas.openxmlformats.org/officeDocument/2006/relationships/header" Target="header52.xml"/><Relationship Id="rId131" Type="http://schemas.openxmlformats.org/officeDocument/2006/relationships/header" Target="header61.xml"/><Relationship Id="rId136" Type="http://schemas.openxmlformats.org/officeDocument/2006/relationships/hyperlink" Target="http://www.ansto.gov.au/__data/assets/pdf_file/0018/47133/Newsletter40.pdf" TargetMode="External"/><Relationship Id="rId157" Type="http://schemas.openxmlformats.org/officeDocument/2006/relationships/header" Target="header65.xml"/><Relationship Id="rId178" Type="http://schemas.openxmlformats.org/officeDocument/2006/relationships/header" Target="header76.xml"/><Relationship Id="rId61" Type="http://schemas.openxmlformats.org/officeDocument/2006/relationships/image" Target="media/image13.png"/><Relationship Id="rId82" Type="http://schemas.openxmlformats.org/officeDocument/2006/relationships/header" Target="header37.xml"/><Relationship Id="rId152" Type="http://schemas.openxmlformats.org/officeDocument/2006/relationships/hyperlink" Target="http://www.epa.gov/ttn/naaqs/standards/pm/data/20110419pmpafinal.pdf" TargetMode="External"/><Relationship Id="rId173" Type="http://schemas.openxmlformats.org/officeDocument/2006/relationships/header" Target="header73.xml"/><Relationship Id="rId194" Type="http://schemas.openxmlformats.org/officeDocument/2006/relationships/footer" Target="footer44.xml"/><Relationship Id="rId199" Type="http://schemas.openxmlformats.org/officeDocument/2006/relationships/fontTable" Target="fontTable.xml"/><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footer" Target="footer8.xml"/><Relationship Id="rId35" Type="http://schemas.openxmlformats.org/officeDocument/2006/relationships/footer" Target="footer10.xml"/><Relationship Id="rId56" Type="http://schemas.openxmlformats.org/officeDocument/2006/relationships/image" Target="media/image8.emf"/><Relationship Id="rId77" Type="http://schemas.openxmlformats.org/officeDocument/2006/relationships/image" Target="media/image17.png"/><Relationship Id="rId100" Type="http://schemas.openxmlformats.org/officeDocument/2006/relationships/header" Target="header45.xml"/><Relationship Id="rId105" Type="http://schemas.openxmlformats.org/officeDocument/2006/relationships/image" Target="media/image27.png"/><Relationship Id="rId126" Type="http://schemas.openxmlformats.org/officeDocument/2006/relationships/header" Target="header59.xml"/><Relationship Id="rId147" Type="http://schemas.openxmlformats.org/officeDocument/2006/relationships/hyperlink" Target="http://www.cabinet.qld.gov.au/documents/2010/oct/spp%20air-noise%20and%20hazardous%20materials/Attachments/air-noise-hazard-policy%5B1%5D.pdf" TargetMode="External"/><Relationship Id="rId168" Type="http://schemas.openxmlformats.org/officeDocument/2006/relationships/header" Target="header70.xml"/><Relationship Id="rId8" Type="http://schemas.openxmlformats.org/officeDocument/2006/relationships/header" Target="header1.xml"/><Relationship Id="rId51" Type="http://schemas.openxmlformats.org/officeDocument/2006/relationships/image" Target="media/image3.png"/><Relationship Id="rId72" Type="http://schemas.openxmlformats.org/officeDocument/2006/relationships/header" Target="header33.xml"/><Relationship Id="rId93" Type="http://schemas.openxmlformats.org/officeDocument/2006/relationships/image" Target="media/image25.png"/><Relationship Id="rId98" Type="http://schemas.openxmlformats.org/officeDocument/2006/relationships/header" Target="header43.xml"/><Relationship Id="rId121" Type="http://schemas.openxmlformats.org/officeDocument/2006/relationships/header" Target="header57.xml"/><Relationship Id="rId142" Type="http://schemas.openxmlformats.org/officeDocument/2006/relationships/hyperlink" Target="http://www.epa.vic.gov.au/about-us/legislation/air-legislation" TargetMode="External"/><Relationship Id="rId163" Type="http://schemas.openxmlformats.org/officeDocument/2006/relationships/image" Target="media/image28.jpeg"/><Relationship Id="rId184" Type="http://schemas.openxmlformats.org/officeDocument/2006/relationships/image" Target="media/image36.png"/><Relationship Id="rId189" Type="http://schemas.openxmlformats.org/officeDocument/2006/relationships/image" Target="media/image41.png"/><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header" Target="header24.xml"/><Relationship Id="rId67" Type="http://schemas.openxmlformats.org/officeDocument/2006/relationships/header" Target="header29.xml"/><Relationship Id="rId116" Type="http://schemas.openxmlformats.org/officeDocument/2006/relationships/header" Target="header53.xml"/><Relationship Id="rId137" Type="http://schemas.openxmlformats.org/officeDocument/2006/relationships/hyperlink" Target="http://www.bitre.gov.au/publications/2005/files/wp_063.pdf" TargetMode="External"/><Relationship Id="rId158" Type="http://schemas.openxmlformats.org/officeDocument/2006/relationships/footer" Target="footer36.xml"/><Relationship Id="rId20" Type="http://schemas.openxmlformats.org/officeDocument/2006/relationships/header" Target="header8.xml"/><Relationship Id="rId41" Type="http://schemas.openxmlformats.org/officeDocument/2006/relationships/header" Target="header20.xml"/><Relationship Id="rId62" Type="http://schemas.openxmlformats.org/officeDocument/2006/relationships/image" Target="media/image14.png"/><Relationship Id="rId83" Type="http://schemas.openxmlformats.org/officeDocument/2006/relationships/header" Target="header38.xml"/><Relationship Id="rId88" Type="http://schemas.openxmlformats.org/officeDocument/2006/relationships/image" Target="media/image20.png"/><Relationship Id="rId111" Type="http://schemas.openxmlformats.org/officeDocument/2006/relationships/header" Target="header50.xml"/><Relationship Id="rId132" Type="http://schemas.openxmlformats.org/officeDocument/2006/relationships/footer" Target="footer33.xml"/><Relationship Id="rId153" Type="http://schemas.openxmlformats.org/officeDocument/2006/relationships/footer" Target="footer34.xml"/><Relationship Id="rId174" Type="http://schemas.openxmlformats.org/officeDocument/2006/relationships/header" Target="header74.xml"/><Relationship Id="rId179" Type="http://schemas.openxmlformats.org/officeDocument/2006/relationships/image" Target="media/image31.png"/><Relationship Id="rId195" Type="http://schemas.openxmlformats.org/officeDocument/2006/relationships/header" Target="header78.xml"/><Relationship Id="rId190" Type="http://schemas.openxmlformats.org/officeDocument/2006/relationships/image" Target="media/image42.png"/><Relationship Id="rId15" Type="http://schemas.openxmlformats.org/officeDocument/2006/relationships/header" Target="header5.xml"/><Relationship Id="rId36" Type="http://schemas.openxmlformats.org/officeDocument/2006/relationships/header" Target="header17.xml"/><Relationship Id="rId57" Type="http://schemas.openxmlformats.org/officeDocument/2006/relationships/image" Target="media/image9.emf"/><Relationship Id="rId106" Type="http://schemas.openxmlformats.org/officeDocument/2006/relationships/header" Target="header47.xml"/><Relationship Id="rId127" Type="http://schemas.openxmlformats.org/officeDocument/2006/relationships/hyperlink" Target="http://www.nepc.gov.au/" TargetMode="External"/><Relationship Id="rId10" Type="http://schemas.openxmlformats.org/officeDocument/2006/relationships/header" Target="header2.xml"/><Relationship Id="rId31" Type="http://schemas.openxmlformats.org/officeDocument/2006/relationships/header" Target="header14.xml"/><Relationship Id="rId52" Type="http://schemas.openxmlformats.org/officeDocument/2006/relationships/image" Target="media/image4.emf"/><Relationship Id="rId73" Type="http://schemas.openxmlformats.org/officeDocument/2006/relationships/header" Target="header34.xml"/><Relationship Id="rId78" Type="http://schemas.openxmlformats.org/officeDocument/2006/relationships/image" Target="media/image18.png"/><Relationship Id="rId94" Type="http://schemas.openxmlformats.org/officeDocument/2006/relationships/header" Target="header41.xml"/><Relationship Id="rId99" Type="http://schemas.openxmlformats.org/officeDocument/2006/relationships/header" Target="header44.xml"/><Relationship Id="rId101" Type="http://schemas.openxmlformats.org/officeDocument/2006/relationships/footer" Target="footer22.xml"/><Relationship Id="rId122" Type="http://schemas.openxmlformats.org/officeDocument/2006/relationships/footer" Target="footer29.xml"/><Relationship Id="rId143" Type="http://schemas.openxmlformats.org/officeDocument/2006/relationships/hyperlink" Target="http://www.scew.gov.au/sites/www.scew.gov.au/files/resources/220add0d-0265-9004-1d22-0c312998402c/files/aq-rsch-multi-city-mm-executive-summary-sept-final-201009.pdf" TargetMode="External"/><Relationship Id="rId148" Type="http://schemas.openxmlformats.org/officeDocument/2006/relationships/hyperlink" Target="https://www.legislation.qld.gov.au/LEGISLTN/CURRENT/E/EnvProtAirPo08.pdf" TargetMode="External"/><Relationship Id="rId164" Type="http://schemas.openxmlformats.org/officeDocument/2006/relationships/image" Target="media/image29.jpeg"/><Relationship Id="rId169" Type="http://schemas.openxmlformats.org/officeDocument/2006/relationships/header" Target="header71.xml"/><Relationship Id="rId185"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32.png"/><Relationship Id="rId26" Type="http://schemas.openxmlformats.org/officeDocument/2006/relationships/header" Target="header11.xml"/><Relationship Id="rId47" Type="http://schemas.openxmlformats.org/officeDocument/2006/relationships/header" Target="header25.xml"/><Relationship Id="rId68" Type="http://schemas.openxmlformats.org/officeDocument/2006/relationships/header" Target="header30.xml"/><Relationship Id="rId89" Type="http://schemas.openxmlformats.org/officeDocument/2006/relationships/image" Target="media/image21.png"/><Relationship Id="rId112" Type="http://schemas.openxmlformats.org/officeDocument/2006/relationships/header" Target="header51.xml"/><Relationship Id="rId133" Type="http://schemas.openxmlformats.org/officeDocument/2006/relationships/header" Target="header62.xml"/><Relationship Id="rId154" Type="http://schemas.openxmlformats.org/officeDocument/2006/relationships/header" Target="header63.xml"/><Relationship Id="rId175" Type="http://schemas.openxmlformats.org/officeDocument/2006/relationships/header" Target="header7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www.ansto.gov.au/Resources/Localenvironment/Atmosphericmonitoring/Fineparticlepollution/index.htm" TargetMode="External"/><Relationship Id="rId1" Type="http://schemas.openxmlformats.org/officeDocument/2006/relationships/hyperlink" Target="http://www.environment.nsw.gov.au/air/nepm/summary.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Boulter\AppData\Roaming\Microsoft\Templates\Pacific%20Environment%20Report%20Template%20V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95439-CBEE-4543-A8EC-58353711B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Pacific Environment Report Template V1.4</Template>
  <TotalTime>0</TotalTime>
  <Pages>173</Pages>
  <Words>61975</Words>
  <Characters>353258</Characters>
  <Application>Microsoft Office Word</Application>
  <DocSecurity>0</DocSecurity>
  <Lines>2943</Lines>
  <Paragraphs>828</Paragraphs>
  <ScaleCrop>false</ScaleCrop>
  <HeadingPairs>
    <vt:vector size="2" baseType="variant">
      <vt:variant>
        <vt:lpstr>Title</vt:lpstr>
      </vt:variant>
      <vt:variant>
        <vt:i4>1</vt:i4>
      </vt:variant>
    </vt:vector>
  </HeadingPairs>
  <TitlesOfParts>
    <vt:vector size="1" baseType="lpstr">
      <vt:lpstr>Information Report to enable NEPC decision on whether to vary the PM standards in the AAQ NEPM</vt:lpstr>
    </vt:vector>
  </TitlesOfParts>
  <Company>Office of Environment and Heritage</Company>
  <LinksUpToDate>false</LinksUpToDate>
  <CharactersWithSpaces>414405</CharactersWithSpaces>
  <SharedDoc>false</SharedDoc>
  <HLinks>
    <vt:vector size="864" baseType="variant">
      <vt:variant>
        <vt:i4>10</vt:i4>
      </vt:variant>
      <vt:variant>
        <vt:i4>1278</vt:i4>
      </vt:variant>
      <vt:variant>
        <vt:i4>0</vt:i4>
      </vt:variant>
      <vt:variant>
        <vt:i4>5</vt:i4>
      </vt:variant>
      <vt:variant>
        <vt:lpwstr>http://www.epa.gov/ttn/naaqs/standards/pm/data/20110419pmpafinal.pdf</vt:lpwstr>
      </vt:variant>
      <vt:variant>
        <vt:lpwstr/>
      </vt:variant>
      <vt:variant>
        <vt:i4>1572983</vt:i4>
      </vt:variant>
      <vt:variant>
        <vt:i4>1275</vt:i4>
      </vt:variant>
      <vt:variant>
        <vt:i4>0</vt:i4>
      </vt:variant>
      <vt:variant>
        <vt:i4>5</vt:i4>
      </vt:variant>
      <vt:variant>
        <vt:lpwstr>http://www.epa.gov/ttn/naaqs/standards/pm/s_pm_2007_risk.html</vt:lpwstr>
      </vt:variant>
      <vt:variant>
        <vt:lpwstr/>
      </vt:variant>
      <vt:variant>
        <vt:i4>1769529</vt:i4>
      </vt:variant>
      <vt:variant>
        <vt:i4>1272</vt:i4>
      </vt:variant>
      <vt:variant>
        <vt:i4>0</vt:i4>
      </vt:variant>
      <vt:variant>
        <vt:i4>5</vt:i4>
      </vt:variant>
      <vt:variant>
        <vt:lpwstr>http://www.unece.org/env/lrtap/multi_h1.html</vt:lpwstr>
      </vt:variant>
      <vt:variant>
        <vt:lpwstr/>
      </vt:variant>
      <vt:variant>
        <vt:i4>1769515</vt:i4>
      </vt:variant>
      <vt:variant>
        <vt:i4>1269</vt:i4>
      </vt:variant>
      <vt:variant>
        <vt:i4>0</vt:i4>
      </vt:variant>
      <vt:variant>
        <vt:i4>5</vt:i4>
      </vt:variant>
      <vt:variant>
        <vt:lpwstr>http://www.unece.org/env/lrtap/lrtap_h1.html</vt:lpwstr>
      </vt:variant>
      <vt:variant>
        <vt:lpwstr/>
      </vt:variant>
      <vt:variant>
        <vt:i4>131081</vt:i4>
      </vt:variant>
      <vt:variant>
        <vt:i4>1266</vt:i4>
      </vt:variant>
      <vt:variant>
        <vt:i4>0</vt:i4>
      </vt:variant>
      <vt:variant>
        <vt:i4>5</vt:i4>
      </vt:variant>
      <vt:variant>
        <vt:lpwstr>https://www.legislation.qld.gov.au/LEGISLTN/CURRENT/E/EnvProtAirPo08.pdf</vt:lpwstr>
      </vt:variant>
      <vt:variant>
        <vt:lpwstr/>
      </vt:variant>
      <vt:variant>
        <vt:i4>589904</vt:i4>
      </vt:variant>
      <vt:variant>
        <vt:i4>1263</vt:i4>
      </vt:variant>
      <vt:variant>
        <vt:i4>0</vt:i4>
      </vt:variant>
      <vt:variant>
        <vt:i4>5</vt:i4>
      </vt:variant>
      <vt:variant>
        <vt:lpwstr>http://www.cabinet.qld.gov.au/documents/2010/oct/spp air-noise and hazardous materials/Attachments/air-noise-hazard-policy%5B1%5D.pdf</vt:lpwstr>
      </vt:variant>
      <vt:variant>
        <vt:lpwstr/>
      </vt:variant>
      <vt:variant>
        <vt:i4>5046341</vt:i4>
      </vt:variant>
      <vt:variant>
        <vt:i4>1260</vt:i4>
      </vt:variant>
      <vt:variant>
        <vt:i4>0</vt:i4>
      </vt:variant>
      <vt:variant>
        <vt:i4>5</vt:i4>
      </vt:variant>
      <vt:variant>
        <vt:lpwstr>http://www.environment.nsw.gov.au/resources/air/airpollution05623.pdf</vt:lpwstr>
      </vt:variant>
      <vt:variant>
        <vt:lpwstr/>
      </vt:variant>
      <vt:variant>
        <vt:i4>4391010</vt:i4>
      </vt:variant>
      <vt:variant>
        <vt:i4>1257</vt:i4>
      </vt:variant>
      <vt:variant>
        <vt:i4>0</vt:i4>
      </vt:variant>
      <vt:variant>
        <vt:i4>5</vt:i4>
      </vt:variant>
      <vt:variant>
        <vt:lpwstr>http://www.iarc.fr/en/media-centre/pr/2013/pdfs/pr221_E.pdf</vt:lpwstr>
      </vt:variant>
      <vt:variant>
        <vt:lpwstr/>
      </vt:variant>
      <vt:variant>
        <vt:i4>4259936</vt:i4>
      </vt:variant>
      <vt:variant>
        <vt:i4>1254</vt:i4>
      </vt:variant>
      <vt:variant>
        <vt:i4>0</vt:i4>
      </vt:variant>
      <vt:variant>
        <vt:i4>5</vt:i4>
      </vt:variant>
      <vt:variant>
        <vt:lpwstr>http://www.iarc.fr/en/media-centre/pr/2012/pdfs/pr213_E.pdf</vt:lpwstr>
      </vt:variant>
      <vt:variant>
        <vt:lpwstr/>
      </vt:variant>
      <vt:variant>
        <vt:i4>69</vt:i4>
      </vt:variant>
      <vt:variant>
        <vt:i4>1251</vt:i4>
      </vt:variant>
      <vt:variant>
        <vt:i4>0</vt:i4>
      </vt:variant>
      <vt:variant>
        <vt:i4>5</vt:i4>
      </vt:variant>
      <vt:variant>
        <vt:lpwstr>http://www.scew.gov.au/sites/www.scew.gov.au/files/resources/220add0d-0265-9004-1d22-0c312998402c/files/aq-rsch-multi-city-mm-executive-summary-sept-final-201009.pdf</vt:lpwstr>
      </vt:variant>
      <vt:variant>
        <vt:lpwstr/>
      </vt:variant>
      <vt:variant>
        <vt:i4>4128822</vt:i4>
      </vt:variant>
      <vt:variant>
        <vt:i4>1248</vt:i4>
      </vt:variant>
      <vt:variant>
        <vt:i4>0</vt:i4>
      </vt:variant>
      <vt:variant>
        <vt:i4>5</vt:i4>
      </vt:variant>
      <vt:variant>
        <vt:lpwstr>http://www.epa.vic.gov.au/about-us/legislation/air-legislation</vt:lpwstr>
      </vt:variant>
      <vt:variant>
        <vt:lpwstr/>
      </vt:variant>
      <vt:variant>
        <vt:i4>2359393</vt:i4>
      </vt:variant>
      <vt:variant>
        <vt:i4>1245</vt:i4>
      </vt:variant>
      <vt:variant>
        <vt:i4>0</vt:i4>
      </vt:variant>
      <vt:variant>
        <vt:i4>5</vt:i4>
      </vt:variant>
      <vt:variant>
        <vt:lpwstr>http://www.npi.gov.au/system/files/resources/e0e7acda-fe12-9204-8134-6dd236ea134e/files/year9summaryreport.pdf</vt:lpwstr>
      </vt:variant>
      <vt:variant>
        <vt:lpwstr/>
      </vt:variant>
      <vt:variant>
        <vt:i4>524304</vt:i4>
      </vt:variant>
      <vt:variant>
        <vt:i4>1242</vt:i4>
      </vt:variant>
      <vt:variant>
        <vt:i4>0</vt:i4>
      </vt:variant>
      <vt:variant>
        <vt:i4>5</vt:i4>
      </vt:variant>
      <vt:variant>
        <vt:lpwstr>http://www.scew.gov.au/strategic-priorities/national-plan-for-clean-air.html</vt:lpwstr>
      </vt:variant>
      <vt:variant>
        <vt:lpwstr/>
      </vt:variant>
      <vt:variant>
        <vt:i4>2949193</vt:i4>
      </vt:variant>
      <vt:variant>
        <vt:i4>1239</vt:i4>
      </vt:variant>
      <vt:variant>
        <vt:i4>0</vt:i4>
      </vt:variant>
      <vt:variant>
        <vt:i4>5</vt:i4>
      </vt:variant>
      <vt:variant>
        <vt:lpwstr>http://www.ccme.ca/assets/pdf/1389_ci_kcac_e.pdf</vt:lpwstr>
      </vt:variant>
      <vt:variant>
        <vt:lpwstr/>
      </vt:variant>
      <vt:variant>
        <vt:i4>852087</vt:i4>
      </vt:variant>
      <vt:variant>
        <vt:i4>1236</vt:i4>
      </vt:variant>
      <vt:variant>
        <vt:i4>0</vt:i4>
      </vt:variant>
      <vt:variant>
        <vt:i4>5</vt:i4>
      </vt:variant>
      <vt:variant>
        <vt:lpwstr>http://www.ccme.ca/assets/pdf/pm_oz_2000_2005_rpt_e.pdf</vt:lpwstr>
      </vt:variant>
      <vt:variant>
        <vt:lpwstr/>
      </vt:variant>
      <vt:variant>
        <vt:i4>8257611</vt:i4>
      </vt:variant>
      <vt:variant>
        <vt:i4>1233</vt:i4>
      </vt:variant>
      <vt:variant>
        <vt:i4>0</vt:i4>
      </vt:variant>
      <vt:variant>
        <vt:i4>5</vt:i4>
      </vt:variant>
      <vt:variant>
        <vt:lpwstr>http://www.bitre.gov.au/publications/2005/files/wp_063.pdf</vt:lpwstr>
      </vt:variant>
      <vt:variant>
        <vt:lpwstr/>
      </vt:variant>
      <vt:variant>
        <vt:i4>8257602</vt:i4>
      </vt:variant>
      <vt:variant>
        <vt:i4>1230</vt:i4>
      </vt:variant>
      <vt:variant>
        <vt:i4>0</vt:i4>
      </vt:variant>
      <vt:variant>
        <vt:i4>5</vt:i4>
      </vt:variant>
      <vt:variant>
        <vt:lpwstr>http://www.ansto.gov.au/__data/assets/pdf_file/0018/47133/Newsletter40.pdf</vt:lpwstr>
      </vt:variant>
      <vt:variant>
        <vt:lpwstr/>
      </vt:variant>
      <vt:variant>
        <vt:i4>7995457</vt:i4>
      </vt:variant>
      <vt:variant>
        <vt:i4>1227</vt:i4>
      </vt:variant>
      <vt:variant>
        <vt:i4>0</vt:i4>
      </vt:variant>
      <vt:variant>
        <vt:i4>5</vt:i4>
      </vt:variant>
      <vt:variant>
        <vt:lpwstr>http://www.ansto.gov.au/__data/assets/pdf_file/0019/39313/Newsletter38.pdf</vt:lpwstr>
      </vt:variant>
      <vt:variant>
        <vt:lpwstr/>
      </vt:variant>
      <vt:variant>
        <vt:i4>3407952</vt:i4>
      </vt:variant>
      <vt:variant>
        <vt:i4>1224</vt:i4>
      </vt:variant>
      <vt:variant>
        <vt:i4>0</vt:i4>
      </vt:variant>
      <vt:variant>
        <vt:i4>5</vt:i4>
      </vt:variant>
      <vt:variant>
        <vt:lpwstr>http://www.abs.gov.au/AUSSTATS/abs@.nsf/DetailsPage/3222.02006 to 2101?OpenDocument%23Time</vt:lpwstr>
      </vt:variant>
      <vt:variant>
        <vt:lpwstr/>
      </vt:variant>
      <vt:variant>
        <vt:i4>5046306</vt:i4>
      </vt:variant>
      <vt:variant>
        <vt:i4>1221</vt:i4>
      </vt:variant>
      <vt:variant>
        <vt:i4>0</vt:i4>
      </vt:variant>
      <vt:variant>
        <vt:i4>5</vt:i4>
      </vt:variant>
      <vt:variant>
        <vt:lpwstr>mailto:nepc@environment.gov.au</vt:lpwstr>
      </vt:variant>
      <vt:variant>
        <vt:lpwstr/>
      </vt:variant>
      <vt:variant>
        <vt:i4>5046306</vt:i4>
      </vt:variant>
      <vt:variant>
        <vt:i4>729</vt:i4>
      </vt:variant>
      <vt:variant>
        <vt:i4>0</vt:i4>
      </vt:variant>
      <vt:variant>
        <vt:i4>5</vt:i4>
      </vt:variant>
      <vt:variant>
        <vt:lpwstr>mailto:nepc@environment.gov.au</vt:lpwstr>
      </vt:variant>
      <vt:variant>
        <vt:lpwstr/>
      </vt:variant>
      <vt:variant>
        <vt:i4>2031667</vt:i4>
      </vt:variant>
      <vt:variant>
        <vt:i4>722</vt:i4>
      </vt:variant>
      <vt:variant>
        <vt:i4>0</vt:i4>
      </vt:variant>
      <vt:variant>
        <vt:i4>5</vt:i4>
      </vt:variant>
      <vt:variant>
        <vt:lpwstr/>
      </vt:variant>
      <vt:variant>
        <vt:lpwstr>_Toc392145659</vt:lpwstr>
      </vt:variant>
      <vt:variant>
        <vt:i4>2031667</vt:i4>
      </vt:variant>
      <vt:variant>
        <vt:i4>716</vt:i4>
      </vt:variant>
      <vt:variant>
        <vt:i4>0</vt:i4>
      </vt:variant>
      <vt:variant>
        <vt:i4>5</vt:i4>
      </vt:variant>
      <vt:variant>
        <vt:lpwstr/>
      </vt:variant>
      <vt:variant>
        <vt:lpwstr>_Toc392145658</vt:lpwstr>
      </vt:variant>
      <vt:variant>
        <vt:i4>2031667</vt:i4>
      </vt:variant>
      <vt:variant>
        <vt:i4>710</vt:i4>
      </vt:variant>
      <vt:variant>
        <vt:i4>0</vt:i4>
      </vt:variant>
      <vt:variant>
        <vt:i4>5</vt:i4>
      </vt:variant>
      <vt:variant>
        <vt:lpwstr/>
      </vt:variant>
      <vt:variant>
        <vt:lpwstr>_Toc392145657</vt:lpwstr>
      </vt:variant>
      <vt:variant>
        <vt:i4>2031667</vt:i4>
      </vt:variant>
      <vt:variant>
        <vt:i4>704</vt:i4>
      </vt:variant>
      <vt:variant>
        <vt:i4>0</vt:i4>
      </vt:variant>
      <vt:variant>
        <vt:i4>5</vt:i4>
      </vt:variant>
      <vt:variant>
        <vt:lpwstr/>
      </vt:variant>
      <vt:variant>
        <vt:lpwstr>_Toc392145656</vt:lpwstr>
      </vt:variant>
      <vt:variant>
        <vt:i4>2031667</vt:i4>
      </vt:variant>
      <vt:variant>
        <vt:i4>698</vt:i4>
      </vt:variant>
      <vt:variant>
        <vt:i4>0</vt:i4>
      </vt:variant>
      <vt:variant>
        <vt:i4>5</vt:i4>
      </vt:variant>
      <vt:variant>
        <vt:lpwstr/>
      </vt:variant>
      <vt:variant>
        <vt:lpwstr>_Toc392145655</vt:lpwstr>
      </vt:variant>
      <vt:variant>
        <vt:i4>2031667</vt:i4>
      </vt:variant>
      <vt:variant>
        <vt:i4>692</vt:i4>
      </vt:variant>
      <vt:variant>
        <vt:i4>0</vt:i4>
      </vt:variant>
      <vt:variant>
        <vt:i4>5</vt:i4>
      </vt:variant>
      <vt:variant>
        <vt:lpwstr/>
      </vt:variant>
      <vt:variant>
        <vt:lpwstr>_Toc392145654</vt:lpwstr>
      </vt:variant>
      <vt:variant>
        <vt:i4>2031667</vt:i4>
      </vt:variant>
      <vt:variant>
        <vt:i4>686</vt:i4>
      </vt:variant>
      <vt:variant>
        <vt:i4>0</vt:i4>
      </vt:variant>
      <vt:variant>
        <vt:i4>5</vt:i4>
      </vt:variant>
      <vt:variant>
        <vt:lpwstr/>
      </vt:variant>
      <vt:variant>
        <vt:lpwstr>_Toc392145653</vt:lpwstr>
      </vt:variant>
      <vt:variant>
        <vt:i4>2031667</vt:i4>
      </vt:variant>
      <vt:variant>
        <vt:i4>680</vt:i4>
      </vt:variant>
      <vt:variant>
        <vt:i4>0</vt:i4>
      </vt:variant>
      <vt:variant>
        <vt:i4>5</vt:i4>
      </vt:variant>
      <vt:variant>
        <vt:lpwstr/>
      </vt:variant>
      <vt:variant>
        <vt:lpwstr>_Toc392145652</vt:lpwstr>
      </vt:variant>
      <vt:variant>
        <vt:i4>2031667</vt:i4>
      </vt:variant>
      <vt:variant>
        <vt:i4>674</vt:i4>
      </vt:variant>
      <vt:variant>
        <vt:i4>0</vt:i4>
      </vt:variant>
      <vt:variant>
        <vt:i4>5</vt:i4>
      </vt:variant>
      <vt:variant>
        <vt:lpwstr/>
      </vt:variant>
      <vt:variant>
        <vt:lpwstr>_Toc392145651</vt:lpwstr>
      </vt:variant>
      <vt:variant>
        <vt:i4>2031667</vt:i4>
      </vt:variant>
      <vt:variant>
        <vt:i4>668</vt:i4>
      </vt:variant>
      <vt:variant>
        <vt:i4>0</vt:i4>
      </vt:variant>
      <vt:variant>
        <vt:i4>5</vt:i4>
      </vt:variant>
      <vt:variant>
        <vt:lpwstr/>
      </vt:variant>
      <vt:variant>
        <vt:lpwstr>_Toc392145650</vt:lpwstr>
      </vt:variant>
      <vt:variant>
        <vt:i4>1966131</vt:i4>
      </vt:variant>
      <vt:variant>
        <vt:i4>662</vt:i4>
      </vt:variant>
      <vt:variant>
        <vt:i4>0</vt:i4>
      </vt:variant>
      <vt:variant>
        <vt:i4>5</vt:i4>
      </vt:variant>
      <vt:variant>
        <vt:lpwstr/>
      </vt:variant>
      <vt:variant>
        <vt:lpwstr>_Toc392145649</vt:lpwstr>
      </vt:variant>
      <vt:variant>
        <vt:i4>1966131</vt:i4>
      </vt:variant>
      <vt:variant>
        <vt:i4>656</vt:i4>
      </vt:variant>
      <vt:variant>
        <vt:i4>0</vt:i4>
      </vt:variant>
      <vt:variant>
        <vt:i4>5</vt:i4>
      </vt:variant>
      <vt:variant>
        <vt:lpwstr/>
      </vt:variant>
      <vt:variant>
        <vt:lpwstr>_Toc392145648</vt:lpwstr>
      </vt:variant>
      <vt:variant>
        <vt:i4>1966131</vt:i4>
      </vt:variant>
      <vt:variant>
        <vt:i4>650</vt:i4>
      </vt:variant>
      <vt:variant>
        <vt:i4>0</vt:i4>
      </vt:variant>
      <vt:variant>
        <vt:i4>5</vt:i4>
      </vt:variant>
      <vt:variant>
        <vt:lpwstr/>
      </vt:variant>
      <vt:variant>
        <vt:lpwstr>_Toc392145647</vt:lpwstr>
      </vt:variant>
      <vt:variant>
        <vt:i4>1966131</vt:i4>
      </vt:variant>
      <vt:variant>
        <vt:i4>644</vt:i4>
      </vt:variant>
      <vt:variant>
        <vt:i4>0</vt:i4>
      </vt:variant>
      <vt:variant>
        <vt:i4>5</vt:i4>
      </vt:variant>
      <vt:variant>
        <vt:lpwstr/>
      </vt:variant>
      <vt:variant>
        <vt:lpwstr>_Toc392145646</vt:lpwstr>
      </vt:variant>
      <vt:variant>
        <vt:i4>1966131</vt:i4>
      </vt:variant>
      <vt:variant>
        <vt:i4>638</vt:i4>
      </vt:variant>
      <vt:variant>
        <vt:i4>0</vt:i4>
      </vt:variant>
      <vt:variant>
        <vt:i4>5</vt:i4>
      </vt:variant>
      <vt:variant>
        <vt:lpwstr/>
      </vt:variant>
      <vt:variant>
        <vt:lpwstr>_Toc392145645</vt:lpwstr>
      </vt:variant>
      <vt:variant>
        <vt:i4>1966131</vt:i4>
      </vt:variant>
      <vt:variant>
        <vt:i4>632</vt:i4>
      </vt:variant>
      <vt:variant>
        <vt:i4>0</vt:i4>
      </vt:variant>
      <vt:variant>
        <vt:i4>5</vt:i4>
      </vt:variant>
      <vt:variant>
        <vt:lpwstr/>
      </vt:variant>
      <vt:variant>
        <vt:lpwstr>_Toc392145644</vt:lpwstr>
      </vt:variant>
      <vt:variant>
        <vt:i4>1966131</vt:i4>
      </vt:variant>
      <vt:variant>
        <vt:i4>626</vt:i4>
      </vt:variant>
      <vt:variant>
        <vt:i4>0</vt:i4>
      </vt:variant>
      <vt:variant>
        <vt:i4>5</vt:i4>
      </vt:variant>
      <vt:variant>
        <vt:lpwstr/>
      </vt:variant>
      <vt:variant>
        <vt:lpwstr>_Toc392145643</vt:lpwstr>
      </vt:variant>
      <vt:variant>
        <vt:i4>1966131</vt:i4>
      </vt:variant>
      <vt:variant>
        <vt:i4>620</vt:i4>
      </vt:variant>
      <vt:variant>
        <vt:i4>0</vt:i4>
      </vt:variant>
      <vt:variant>
        <vt:i4>5</vt:i4>
      </vt:variant>
      <vt:variant>
        <vt:lpwstr/>
      </vt:variant>
      <vt:variant>
        <vt:lpwstr>_Toc392145642</vt:lpwstr>
      </vt:variant>
      <vt:variant>
        <vt:i4>1966131</vt:i4>
      </vt:variant>
      <vt:variant>
        <vt:i4>614</vt:i4>
      </vt:variant>
      <vt:variant>
        <vt:i4>0</vt:i4>
      </vt:variant>
      <vt:variant>
        <vt:i4>5</vt:i4>
      </vt:variant>
      <vt:variant>
        <vt:lpwstr/>
      </vt:variant>
      <vt:variant>
        <vt:lpwstr>_Toc392145641</vt:lpwstr>
      </vt:variant>
      <vt:variant>
        <vt:i4>1966131</vt:i4>
      </vt:variant>
      <vt:variant>
        <vt:i4>608</vt:i4>
      </vt:variant>
      <vt:variant>
        <vt:i4>0</vt:i4>
      </vt:variant>
      <vt:variant>
        <vt:i4>5</vt:i4>
      </vt:variant>
      <vt:variant>
        <vt:lpwstr/>
      </vt:variant>
      <vt:variant>
        <vt:lpwstr>_Toc392145640</vt:lpwstr>
      </vt:variant>
      <vt:variant>
        <vt:i4>1638451</vt:i4>
      </vt:variant>
      <vt:variant>
        <vt:i4>602</vt:i4>
      </vt:variant>
      <vt:variant>
        <vt:i4>0</vt:i4>
      </vt:variant>
      <vt:variant>
        <vt:i4>5</vt:i4>
      </vt:variant>
      <vt:variant>
        <vt:lpwstr/>
      </vt:variant>
      <vt:variant>
        <vt:lpwstr>_Toc392145639</vt:lpwstr>
      </vt:variant>
      <vt:variant>
        <vt:i4>1638451</vt:i4>
      </vt:variant>
      <vt:variant>
        <vt:i4>596</vt:i4>
      </vt:variant>
      <vt:variant>
        <vt:i4>0</vt:i4>
      </vt:variant>
      <vt:variant>
        <vt:i4>5</vt:i4>
      </vt:variant>
      <vt:variant>
        <vt:lpwstr/>
      </vt:variant>
      <vt:variant>
        <vt:lpwstr>_Toc392145638</vt:lpwstr>
      </vt:variant>
      <vt:variant>
        <vt:i4>1638451</vt:i4>
      </vt:variant>
      <vt:variant>
        <vt:i4>590</vt:i4>
      </vt:variant>
      <vt:variant>
        <vt:i4>0</vt:i4>
      </vt:variant>
      <vt:variant>
        <vt:i4>5</vt:i4>
      </vt:variant>
      <vt:variant>
        <vt:lpwstr/>
      </vt:variant>
      <vt:variant>
        <vt:lpwstr>_Toc392145637</vt:lpwstr>
      </vt:variant>
      <vt:variant>
        <vt:i4>1638451</vt:i4>
      </vt:variant>
      <vt:variant>
        <vt:i4>584</vt:i4>
      </vt:variant>
      <vt:variant>
        <vt:i4>0</vt:i4>
      </vt:variant>
      <vt:variant>
        <vt:i4>5</vt:i4>
      </vt:variant>
      <vt:variant>
        <vt:lpwstr/>
      </vt:variant>
      <vt:variant>
        <vt:lpwstr>_Toc392145636</vt:lpwstr>
      </vt:variant>
      <vt:variant>
        <vt:i4>1638451</vt:i4>
      </vt:variant>
      <vt:variant>
        <vt:i4>578</vt:i4>
      </vt:variant>
      <vt:variant>
        <vt:i4>0</vt:i4>
      </vt:variant>
      <vt:variant>
        <vt:i4>5</vt:i4>
      </vt:variant>
      <vt:variant>
        <vt:lpwstr/>
      </vt:variant>
      <vt:variant>
        <vt:lpwstr>_Toc392145635</vt:lpwstr>
      </vt:variant>
      <vt:variant>
        <vt:i4>1638451</vt:i4>
      </vt:variant>
      <vt:variant>
        <vt:i4>572</vt:i4>
      </vt:variant>
      <vt:variant>
        <vt:i4>0</vt:i4>
      </vt:variant>
      <vt:variant>
        <vt:i4>5</vt:i4>
      </vt:variant>
      <vt:variant>
        <vt:lpwstr/>
      </vt:variant>
      <vt:variant>
        <vt:lpwstr>_Toc392145634</vt:lpwstr>
      </vt:variant>
      <vt:variant>
        <vt:i4>1638451</vt:i4>
      </vt:variant>
      <vt:variant>
        <vt:i4>566</vt:i4>
      </vt:variant>
      <vt:variant>
        <vt:i4>0</vt:i4>
      </vt:variant>
      <vt:variant>
        <vt:i4>5</vt:i4>
      </vt:variant>
      <vt:variant>
        <vt:lpwstr/>
      </vt:variant>
      <vt:variant>
        <vt:lpwstr>_Toc392145633</vt:lpwstr>
      </vt:variant>
      <vt:variant>
        <vt:i4>1638451</vt:i4>
      </vt:variant>
      <vt:variant>
        <vt:i4>560</vt:i4>
      </vt:variant>
      <vt:variant>
        <vt:i4>0</vt:i4>
      </vt:variant>
      <vt:variant>
        <vt:i4>5</vt:i4>
      </vt:variant>
      <vt:variant>
        <vt:lpwstr/>
      </vt:variant>
      <vt:variant>
        <vt:lpwstr>_Toc392145632</vt:lpwstr>
      </vt:variant>
      <vt:variant>
        <vt:i4>1638451</vt:i4>
      </vt:variant>
      <vt:variant>
        <vt:i4>554</vt:i4>
      </vt:variant>
      <vt:variant>
        <vt:i4>0</vt:i4>
      </vt:variant>
      <vt:variant>
        <vt:i4>5</vt:i4>
      </vt:variant>
      <vt:variant>
        <vt:lpwstr/>
      </vt:variant>
      <vt:variant>
        <vt:lpwstr>_Toc392145631</vt:lpwstr>
      </vt:variant>
      <vt:variant>
        <vt:i4>1638451</vt:i4>
      </vt:variant>
      <vt:variant>
        <vt:i4>548</vt:i4>
      </vt:variant>
      <vt:variant>
        <vt:i4>0</vt:i4>
      </vt:variant>
      <vt:variant>
        <vt:i4>5</vt:i4>
      </vt:variant>
      <vt:variant>
        <vt:lpwstr/>
      </vt:variant>
      <vt:variant>
        <vt:lpwstr>_Toc392145630</vt:lpwstr>
      </vt:variant>
      <vt:variant>
        <vt:i4>1572915</vt:i4>
      </vt:variant>
      <vt:variant>
        <vt:i4>542</vt:i4>
      </vt:variant>
      <vt:variant>
        <vt:i4>0</vt:i4>
      </vt:variant>
      <vt:variant>
        <vt:i4>5</vt:i4>
      </vt:variant>
      <vt:variant>
        <vt:lpwstr/>
      </vt:variant>
      <vt:variant>
        <vt:lpwstr>_Toc392145629</vt:lpwstr>
      </vt:variant>
      <vt:variant>
        <vt:i4>1572915</vt:i4>
      </vt:variant>
      <vt:variant>
        <vt:i4>536</vt:i4>
      </vt:variant>
      <vt:variant>
        <vt:i4>0</vt:i4>
      </vt:variant>
      <vt:variant>
        <vt:i4>5</vt:i4>
      </vt:variant>
      <vt:variant>
        <vt:lpwstr/>
      </vt:variant>
      <vt:variant>
        <vt:lpwstr>_Toc392145628</vt:lpwstr>
      </vt:variant>
      <vt:variant>
        <vt:i4>1572915</vt:i4>
      </vt:variant>
      <vt:variant>
        <vt:i4>530</vt:i4>
      </vt:variant>
      <vt:variant>
        <vt:i4>0</vt:i4>
      </vt:variant>
      <vt:variant>
        <vt:i4>5</vt:i4>
      </vt:variant>
      <vt:variant>
        <vt:lpwstr/>
      </vt:variant>
      <vt:variant>
        <vt:lpwstr>_Toc392145627</vt:lpwstr>
      </vt:variant>
      <vt:variant>
        <vt:i4>1572915</vt:i4>
      </vt:variant>
      <vt:variant>
        <vt:i4>524</vt:i4>
      </vt:variant>
      <vt:variant>
        <vt:i4>0</vt:i4>
      </vt:variant>
      <vt:variant>
        <vt:i4>5</vt:i4>
      </vt:variant>
      <vt:variant>
        <vt:lpwstr/>
      </vt:variant>
      <vt:variant>
        <vt:lpwstr>_Toc392145626</vt:lpwstr>
      </vt:variant>
      <vt:variant>
        <vt:i4>1572915</vt:i4>
      </vt:variant>
      <vt:variant>
        <vt:i4>518</vt:i4>
      </vt:variant>
      <vt:variant>
        <vt:i4>0</vt:i4>
      </vt:variant>
      <vt:variant>
        <vt:i4>5</vt:i4>
      </vt:variant>
      <vt:variant>
        <vt:lpwstr/>
      </vt:variant>
      <vt:variant>
        <vt:lpwstr>_Toc392145625</vt:lpwstr>
      </vt:variant>
      <vt:variant>
        <vt:i4>1572915</vt:i4>
      </vt:variant>
      <vt:variant>
        <vt:i4>512</vt:i4>
      </vt:variant>
      <vt:variant>
        <vt:i4>0</vt:i4>
      </vt:variant>
      <vt:variant>
        <vt:i4>5</vt:i4>
      </vt:variant>
      <vt:variant>
        <vt:lpwstr/>
      </vt:variant>
      <vt:variant>
        <vt:lpwstr>_Toc392145624</vt:lpwstr>
      </vt:variant>
      <vt:variant>
        <vt:i4>1572915</vt:i4>
      </vt:variant>
      <vt:variant>
        <vt:i4>506</vt:i4>
      </vt:variant>
      <vt:variant>
        <vt:i4>0</vt:i4>
      </vt:variant>
      <vt:variant>
        <vt:i4>5</vt:i4>
      </vt:variant>
      <vt:variant>
        <vt:lpwstr/>
      </vt:variant>
      <vt:variant>
        <vt:lpwstr>_Toc392145623</vt:lpwstr>
      </vt:variant>
      <vt:variant>
        <vt:i4>1572915</vt:i4>
      </vt:variant>
      <vt:variant>
        <vt:i4>500</vt:i4>
      </vt:variant>
      <vt:variant>
        <vt:i4>0</vt:i4>
      </vt:variant>
      <vt:variant>
        <vt:i4>5</vt:i4>
      </vt:variant>
      <vt:variant>
        <vt:lpwstr/>
      </vt:variant>
      <vt:variant>
        <vt:lpwstr>_Toc392145622</vt:lpwstr>
      </vt:variant>
      <vt:variant>
        <vt:i4>1572915</vt:i4>
      </vt:variant>
      <vt:variant>
        <vt:i4>494</vt:i4>
      </vt:variant>
      <vt:variant>
        <vt:i4>0</vt:i4>
      </vt:variant>
      <vt:variant>
        <vt:i4>5</vt:i4>
      </vt:variant>
      <vt:variant>
        <vt:lpwstr/>
      </vt:variant>
      <vt:variant>
        <vt:lpwstr>_Toc392145621</vt:lpwstr>
      </vt:variant>
      <vt:variant>
        <vt:i4>1572915</vt:i4>
      </vt:variant>
      <vt:variant>
        <vt:i4>488</vt:i4>
      </vt:variant>
      <vt:variant>
        <vt:i4>0</vt:i4>
      </vt:variant>
      <vt:variant>
        <vt:i4>5</vt:i4>
      </vt:variant>
      <vt:variant>
        <vt:lpwstr/>
      </vt:variant>
      <vt:variant>
        <vt:lpwstr>_Toc392145620</vt:lpwstr>
      </vt:variant>
      <vt:variant>
        <vt:i4>1769523</vt:i4>
      </vt:variant>
      <vt:variant>
        <vt:i4>482</vt:i4>
      </vt:variant>
      <vt:variant>
        <vt:i4>0</vt:i4>
      </vt:variant>
      <vt:variant>
        <vt:i4>5</vt:i4>
      </vt:variant>
      <vt:variant>
        <vt:lpwstr/>
      </vt:variant>
      <vt:variant>
        <vt:lpwstr>_Toc392145619</vt:lpwstr>
      </vt:variant>
      <vt:variant>
        <vt:i4>1769523</vt:i4>
      </vt:variant>
      <vt:variant>
        <vt:i4>476</vt:i4>
      </vt:variant>
      <vt:variant>
        <vt:i4>0</vt:i4>
      </vt:variant>
      <vt:variant>
        <vt:i4>5</vt:i4>
      </vt:variant>
      <vt:variant>
        <vt:lpwstr/>
      </vt:variant>
      <vt:variant>
        <vt:lpwstr>_Toc392145618</vt:lpwstr>
      </vt:variant>
      <vt:variant>
        <vt:i4>1769523</vt:i4>
      </vt:variant>
      <vt:variant>
        <vt:i4>470</vt:i4>
      </vt:variant>
      <vt:variant>
        <vt:i4>0</vt:i4>
      </vt:variant>
      <vt:variant>
        <vt:i4>5</vt:i4>
      </vt:variant>
      <vt:variant>
        <vt:lpwstr/>
      </vt:variant>
      <vt:variant>
        <vt:lpwstr>_Toc392145617</vt:lpwstr>
      </vt:variant>
      <vt:variant>
        <vt:i4>1769523</vt:i4>
      </vt:variant>
      <vt:variant>
        <vt:i4>464</vt:i4>
      </vt:variant>
      <vt:variant>
        <vt:i4>0</vt:i4>
      </vt:variant>
      <vt:variant>
        <vt:i4>5</vt:i4>
      </vt:variant>
      <vt:variant>
        <vt:lpwstr/>
      </vt:variant>
      <vt:variant>
        <vt:lpwstr>_Toc392145616</vt:lpwstr>
      </vt:variant>
      <vt:variant>
        <vt:i4>1769523</vt:i4>
      </vt:variant>
      <vt:variant>
        <vt:i4>458</vt:i4>
      </vt:variant>
      <vt:variant>
        <vt:i4>0</vt:i4>
      </vt:variant>
      <vt:variant>
        <vt:i4>5</vt:i4>
      </vt:variant>
      <vt:variant>
        <vt:lpwstr/>
      </vt:variant>
      <vt:variant>
        <vt:lpwstr>_Toc392145615</vt:lpwstr>
      </vt:variant>
      <vt:variant>
        <vt:i4>1769523</vt:i4>
      </vt:variant>
      <vt:variant>
        <vt:i4>452</vt:i4>
      </vt:variant>
      <vt:variant>
        <vt:i4>0</vt:i4>
      </vt:variant>
      <vt:variant>
        <vt:i4>5</vt:i4>
      </vt:variant>
      <vt:variant>
        <vt:lpwstr/>
      </vt:variant>
      <vt:variant>
        <vt:lpwstr>_Toc392145614</vt:lpwstr>
      </vt:variant>
      <vt:variant>
        <vt:i4>1769523</vt:i4>
      </vt:variant>
      <vt:variant>
        <vt:i4>446</vt:i4>
      </vt:variant>
      <vt:variant>
        <vt:i4>0</vt:i4>
      </vt:variant>
      <vt:variant>
        <vt:i4>5</vt:i4>
      </vt:variant>
      <vt:variant>
        <vt:lpwstr/>
      </vt:variant>
      <vt:variant>
        <vt:lpwstr>_Toc392145613</vt:lpwstr>
      </vt:variant>
      <vt:variant>
        <vt:i4>1769523</vt:i4>
      </vt:variant>
      <vt:variant>
        <vt:i4>440</vt:i4>
      </vt:variant>
      <vt:variant>
        <vt:i4>0</vt:i4>
      </vt:variant>
      <vt:variant>
        <vt:i4>5</vt:i4>
      </vt:variant>
      <vt:variant>
        <vt:lpwstr/>
      </vt:variant>
      <vt:variant>
        <vt:lpwstr>_Toc392145612</vt:lpwstr>
      </vt:variant>
      <vt:variant>
        <vt:i4>1769523</vt:i4>
      </vt:variant>
      <vt:variant>
        <vt:i4>434</vt:i4>
      </vt:variant>
      <vt:variant>
        <vt:i4>0</vt:i4>
      </vt:variant>
      <vt:variant>
        <vt:i4>5</vt:i4>
      </vt:variant>
      <vt:variant>
        <vt:lpwstr/>
      </vt:variant>
      <vt:variant>
        <vt:lpwstr>_Toc392145611</vt:lpwstr>
      </vt:variant>
      <vt:variant>
        <vt:i4>1769523</vt:i4>
      </vt:variant>
      <vt:variant>
        <vt:i4>428</vt:i4>
      </vt:variant>
      <vt:variant>
        <vt:i4>0</vt:i4>
      </vt:variant>
      <vt:variant>
        <vt:i4>5</vt:i4>
      </vt:variant>
      <vt:variant>
        <vt:lpwstr/>
      </vt:variant>
      <vt:variant>
        <vt:lpwstr>_Toc392145610</vt:lpwstr>
      </vt:variant>
      <vt:variant>
        <vt:i4>1703987</vt:i4>
      </vt:variant>
      <vt:variant>
        <vt:i4>422</vt:i4>
      </vt:variant>
      <vt:variant>
        <vt:i4>0</vt:i4>
      </vt:variant>
      <vt:variant>
        <vt:i4>5</vt:i4>
      </vt:variant>
      <vt:variant>
        <vt:lpwstr/>
      </vt:variant>
      <vt:variant>
        <vt:lpwstr>_Toc392145609</vt:lpwstr>
      </vt:variant>
      <vt:variant>
        <vt:i4>1703987</vt:i4>
      </vt:variant>
      <vt:variant>
        <vt:i4>416</vt:i4>
      </vt:variant>
      <vt:variant>
        <vt:i4>0</vt:i4>
      </vt:variant>
      <vt:variant>
        <vt:i4>5</vt:i4>
      </vt:variant>
      <vt:variant>
        <vt:lpwstr/>
      </vt:variant>
      <vt:variant>
        <vt:lpwstr>_Toc392145608</vt:lpwstr>
      </vt:variant>
      <vt:variant>
        <vt:i4>1703987</vt:i4>
      </vt:variant>
      <vt:variant>
        <vt:i4>410</vt:i4>
      </vt:variant>
      <vt:variant>
        <vt:i4>0</vt:i4>
      </vt:variant>
      <vt:variant>
        <vt:i4>5</vt:i4>
      </vt:variant>
      <vt:variant>
        <vt:lpwstr/>
      </vt:variant>
      <vt:variant>
        <vt:lpwstr>_Toc392145607</vt:lpwstr>
      </vt:variant>
      <vt:variant>
        <vt:i4>1703987</vt:i4>
      </vt:variant>
      <vt:variant>
        <vt:i4>404</vt:i4>
      </vt:variant>
      <vt:variant>
        <vt:i4>0</vt:i4>
      </vt:variant>
      <vt:variant>
        <vt:i4>5</vt:i4>
      </vt:variant>
      <vt:variant>
        <vt:lpwstr/>
      </vt:variant>
      <vt:variant>
        <vt:lpwstr>_Toc392145606</vt:lpwstr>
      </vt:variant>
      <vt:variant>
        <vt:i4>1703987</vt:i4>
      </vt:variant>
      <vt:variant>
        <vt:i4>398</vt:i4>
      </vt:variant>
      <vt:variant>
        <vt:i4>0</vt:i4>
      </vt:variant>
      <vt:variant>
        <vt:i4>5</vt:i4>
      </vt:variant>
      <vt:variant>
        <vt:lpwstr/>
      </vt:variant>
      <vt:variant>
        <vt:lpwstr>_Toc392145605</vt:lpwstr>
      </vt:variant>
      <vt:variant>
        <vt:i4>1703987</vt:i4>
      </vt:variant>
      <vt:variant>
        <vt:i4>392</vt:i4>
      </vt:variant>
      <vt:variant>
        <vt:i4>0</vt:i4>
      </vt:variant>
      <vt:variant>
        <vt:i4>5</vt:i4>
      </vt:variant>
      <vt:variant>
        <vt:lpwstr/>
      </vt:variant>
      <vt:variant>
        <vt:lpwstr>_Toc392145604</vt:lpwstr>
      </vt:variant>
      <vt:variant>
        <vt:i4>1703987</vt:i4>
      </vt:variant>
      <vt:variant>
        <vt:i4>386</vt:i4>
      </vt:variant>
      <vt:variant>
        <vt:i4>0</vt:i4>
      </vt:variant>
      <vt:variant>
        <vt:i4>5</vt:i4>
      </vt:variant>
      <vt:variant>
        <vt:lpwstr/>
      </vt:variant>
      <vt:variant>
        <vt:lpwstr>_Toc392145603</vt:lpwstr>
      </vt:variant>
      <vt:variant>
        <vt:i4>1703987</vt:i4>
      </vt:variant>
      <vt:variant>
        <vt:i4>380</vt:i4>
      </vt:variant>
      <vt:variant>
        <vt:i4>0</vt:i4>
      </vt:variant>
      <vt:variant>
        <vt:i4>5</vt:i4>
      </vt:variant>
      <vt:variant>
        <vt:lpwstr/>
      </vt:variant>
      <vt:variant>
        <vt:lpwstr>_Toc392145602</vt:lpwstr>
      </vt:variant>
      <vt:variant>
        <vt:i4>1703987</vt:i4>
      </vt:variant>
      <vt:variant>
        <vt:i4>374</vt:i4>
      </vt:variant>
      <vt:variant>
        <vt:i4>0</vt:i4>
      </vt:variant>
      <vt:variant>
        <vt:i4>5</vt:i4>
      </vt:variant>
      <vt:variant>
        <vt:lpwstr/>
      </vt:variant>
      <vt:variant>
        <vt:lpwstr>_Toc392145601</vt:lpwstr>
      </vt:variant>
      <vt:variant>
        <vt:i4>1703987</vt:i4>
      </vt:variant>
      <vt:variant>
        <vt:i4>368</vt:i4>
      </vt:variant>
      <vt:variant>
        <vt:i4>0</vt:i4>
      </vt:variant>
      <vt:variant>
        <vt:i4>5</vt:i4>
      </vt:variant>
      <vt:variant>
        <vt:lpwstr/>
      </vt:variant>
      <vt:variant>
        <vt:lpwstr>_Toc392145600</vt:lpwstr>
      </vt:variant>
      <vt:variant>
        <vt:i4>1245232</vt:i4>
      </vt:variant>
      <vt:variant>
        <vt:i4>362</vt:i4>
      </vt:variant>
      <vt:variant>
        <vt:i4>0</vt:i4>
      </vt:variant>
      <vt:variant>
        <vt:i4>5</vt:i4>
      </vt:variant>
      <vt:variant>
        <vt:lpwstr/>
      </vt:variant>
      <vt:variant>
        <vt:lpwstr>_Toc392145599</vt:lpwstr>
      </vt:variant>
      <vt:variant>
        <vt:i4>1245232</vt:i4>
      </vt:variant>
      <vt:variant>
        <vt:i4>356</vt:i4>
      </vt:variant>
      <vt:variant>
        <vt:i4>0</vt:i4>
      </vt:variant>
      <vt:variant>
        <vt:i4>5</vt:i4>
      </vt:variant>
      <vt:variant>
        <vt:lpwstr/>
      </vt:variant>
      <vt:variant>
        <vt:lpwstr>_Toc392145598</vt:lpwstr>
      </vt:variant>
      <vt:variant>
        <vt:i4>1245232</vt:i4>
      </vt:variant>
      <vt:variant>
        <vt:i4>350</vt:i4>
      </vt:variant>
      <vt:variant>
        <vt:i4>0</vt:i4>
      </vt:variant>
      <vt:variant>
        <vt:i4>5</vt:i4>
      </vt:variant>
      <vt:variant>
        <vt:lpwstr/>
      </vt:variant>
      <vt:variant>
        <vt:lpwstr>_Toc392145597</vt:lpwstr>
      </vt:variant>
      <vt:variant>
        <vt:i4>1245232</vt:i4>
      </vt:variant>
      <vt:variant>
        <vt:i4>344</vt:i4>
      </vt:variant>
      <vt:variant>
        <vt:i4>0</vt:i4>
      </vt:variant>
      <vt:variant>
        <vt:i4>5</vt:i4>
      </vt:variant>
      <vt:variant>
        <vt:lpwstr/>
      </vt:variant>
      <vt:variant>
        <vt:lpwstr>_Toc392145596</vt:lpwstr>
      </vt:variant>
      <vt:variant>
        <vt:i4>1245232</vt:i4>
      </vt:variant>
      <vt:variant>
        <vt:i4>338</vt:i4>
      </vt:variant>
      <vt:variant>
        <vt:i4>0</vt:i4>
      </vt:variant>
      <vt:variant>
        <vt:i4>5</vt:i4>
      </vt:variant>
      <vt:variant>
        <vt:lpwstr/>
      </vt:variant>
      <vt:variant>
        <vt:lpwstr>_Toc392145595</vt:lpwstr>
      </vt:variant>
      <vt:variant>
        <vt:i4>1245232</vt:i4>
      </vt:variant>
      <vt:variant>
        <vt:i4>332</vt:i4>
      </vt:variant>
      <vt:variant>
        <vt:i4>0</vt:i4>
      </vt:variant>
      <vt:variant>
        <vt:i4>5</vt:i4>
      </vt:variant>
      <vt:variant>
        <vt:lpwstr/>
      </vt:variant>
      <vt:variant>
        <vt:lpwstr>_Toc392145594</vt:lpwstr>
      </vt:variant>
      <vt:variant>
        <vt:i4>1245232</vt:i4>
      </vt:variant>
      <vt:variant>
        <vt:i4>326</vt:i4>
      </vt:variant>
      <vt:variant>
        <vt:i4>0</vt:i4>
      </vt:variant>
      <vt:variant>
        <vt:i4>5</vt:i4>
      </vt:variant>
      <vt:variant>
        <vt:lpwstr/>
      </vt:variant>
      <vt:variant>
        <vt:lpwstr>_Toc392145593</vt:lpwstr>
      </vt:variant>
      <vt:variant>
        <vt:i4>1245232</vt:i4>
      </vt:variant>
      <vt:variant>
        <vt:i4>320</vt:i4>
      </vt:variant>
      <vt:variant>
        <vt:i4>0</vt:i4>
      </vt:variant>
      <vt:variant>
        <vt:i4>5</vt:i4>
      </vt:variant>
      <vt:variant>
        <vt:lpwstr/>
      </vt:variant>
      <vt:variant>
        <vt:lpwstr>_Toc392145592</vt:lpwstr>
      </vt:variant>
      <vt:variant>
        <vt:i4>1245232</vt:i4>
      </vt:variant>
      <vt:variant>
        <vt:i4>314</vt:i4>
      </vt:variant>
      <vt:variant>
        <vt:i4>0</vt:i4>
      </vt:variant>
      <vt:variant>
        <vt:i4>5</vt:i4>
      </vt:variant>
      <vt:variant>
        <vt:lpwstr/>
      </vt:variant>
      <vt:variant>
        <vt:lpwstr>_Toc392145591</vt:lpwstr>
      </vt:variant>
      <vt:variant>
        <vt:i4>1245232</vt:i4>
      </vt:variant>
      <vt:variant>
        <vt:i4>308</vt:i4>
      </vt:variant>
      <vt:variant>
        <vt:i4>0</vt:i4>
      </vt:variant>
      <vt:variant>
        <vt:i4>5</vt:i4>
      </vt:variant>
      <vt:variant>
        <vt:lpwstr/>
      </vt:variant>
      <vt:variant>
        <vt:lpwstr>_Toc392145590</vt:lpwstr>
      </vt:variant>
      <vt:variant>
        <vt:i4>1179696</vt:i4>
      </vt:variant>
      <vt:variant>
        <vt:i4>302</vt:i4>
      </vt:variant>
      <vt:variant>
        <vt:i4>0</vt:i4>
      </vt:variant>
      <vt:variant>
        <vt:i4>5</vt:i4>
      </vt:variant>
      <vt:variant>
        <vt:lpwstr/>
      </vt:variant>
      <vt:variant>
        <vt:lpwstr>_Toc392145589</vt:lpwstr>
      </vt:variant>
      <vt:variant>
        <vt:i4>1179696</vt:i4>
      </vt:variant>
      <vt:variant>
        <vt:i4>296</vt:i4>
      </vt:variant>
      <vt:variant>
        <vt:i4>0</vt:i4>
      </vt:variant>
      <vt:variant>
        <vt:i4>5</vt:i4>
      </vt:variant>
      <vt:variant>
        <vt:lpwstr/>
      </vt:variant>
      <vt:variant>
        <vt:lpwstr>_Toc392145588</vt:lpwstr>
      </vt:variant>
      <vt:variant>
        <vt:i4>1179696</vt:i4>
      </vt:variant>
      <vt:variant>
        <vt:i4>290</vt:i4>
      </vt:variant>
      <vt:variant>
        <vt:i4>0</vt:i4>
      </vt:variant>
      <vt:variant>
        <vt:i4>5</vt:i4>
      </vt:variant>
      <vt:variant>
        <vt:lpwstr/>
      </vt:variant>
      <vt:variant>
        <vt:lpwstr>_Toc392145587</vt:lpwstr>
      </vt:variant>
      <vt:variant>
        <vt:i4>1179696</vt:i4>
      </vt:variant>
      <vt:variant>
        <vt:i4>284</vt:i4>
      </vt:variant>
      <vt:variant>
        <vt:i4>0</vt:i4>
      </vt:variant>
      <vt:variant>
        <vt:i4>5</vt:i4>
      </vt:variant>
      <vt:variant>
        <vt:lpwstr/>
      </vt:variant>
      <vt:variant>
        <vt:lpwstr>_Toc392145586</vt:lpwstr>
      </vt:variant>
      <vt:variant>
        <vt:i4>1179696</vt:i4>
      </vt:variant>
      <vt:variant>
        <vt:i4>278</vt:i4>
      </vt:variant>
      <vt:variant>
        <vt:i4>0</vt:i4>
      </vt:variant>
      <vt:variant>
        <vt:i4>5</vt:i4>
      </vt:variant>
      <vt:variant>
        <vt:lpwstr/>
      </vt:variant>
      <vt:variant>
        <vt:lpwstr>_Toc392145585</vt:lpwstr>
      </vt:variant>
      <vt:variant>
        <vt:i4>1179696</vt:i4>
      </vt:variant>
      <vt:variant>
        <vt:i4>272</vt:i4>
      </vt:variant>
      <vt:variant>
        <vt:i4>0</vt:i4>
      </vt:variant>
      <vt:variant>
        <vt:i4>5</vt:i4>
      </vt:variant>
      <vt:variant>
        <vt:lpwstr/>
      </vt:variant>
      <vt:variant>
        <vt:lpwstr>_Toc392145584</vt:lpwstr>
      </vt:variant>
      <vt:variant>
        <vt:i4>1179696</vt:i4>
      </vt:variant>
      <vt:variant>
        <vt:i4>266</vt:i4>
      </vt:variant>
      <vt:variant>
        <vt:i4>0</vt:i4>
      </vt:variant>
      <vt:variant>
        <vt:i4>5</vt:i4>
      </vt:variant>
      <vt:variant>
        <vt:lpwstr/>
      </vt:variant>
      <vt:variant>
        <vt:lpwstr>_Toc392145583</vt:lpwstr>
      </vt:variant>
      <vt:variant>
        <vt:i4>1179696</vt:i4>
      </vt:variant>
      <vt:variant>
        <vt:i4>260</vt:i4>
      </vt:variant>
      <vt:variant>
        <vt:i4>0</vt:i4>
      </vt:variant>
      <vt:variant>
        <vt:i4>5</vt:i4>
      </vt:variant>
      <vt:variant>
        <vt:lpwstr/>
      </vt:variant>
      <vt:variant>
        <vt:lpwstr>_Toc392145582</vt:lpwstr>
      </vt:variant>
      <vt:variant>
        <vt:i4>1179696</vt:i4>
      </vt:variant>
      <vt:variant>
        <vt:i4>254</vt:i4>
      </vt:variant>
      <vt:variant>
        <vt:i4>0</vt:i4>
      </vt:variant>
      <vt:variant>
        <vt:i4>5</vt:i4>
      </vt:variant>
      <vt:variant>
        <vt:lpwstr/>
      </vt:variant>
      <vt:variant>
        <vt:lpwstr>_Toc392145581</vt:lpwstr>
      </vt:variant>
      <vt:variant>
        <vt:i4>1179696</vt:i4>
      </vt:variant>
      <vt:variant>
        <vt:i4>248</vt:i4>
      </vt:variant>
      <vt:variant>
        <vt:i4>0</vt:i4>
      </vt:variant>
      <vt:variant>
        <vt:i4>5</vt:i4>
      </vt:variant>
      <vt:variant>
        <vt:lpwstr/>
      </vt:variant>
      <vt:variant>
        <vt:lpwstr>_Toc392145580</vt:lpwstr>
      </vt:variant>
      <vt:variant>
        <vt:i4>1900592</vt:i4>
      </vt:variant>
      <vt:variant>
        <vt:i4>242</vt:i4>
      </vt:variant>
      <vt:variant>
        <vt:i4>0</vt:i4>
      </vt:variant>
      <vt:variant>
        <vt:i4>5</vt:i4>
      </vt:variant>
      <vt:variant>
        <vt:lpwstr/>
      </vt:variant>
      <vt:variant>
        <vt:lpwstr>_Toc392145579</vt:lpwstr>
      </vt:variant>
      <vt:variant>
        <vt:i4>1900592</vt:i4>
      </vt:variant>
      <vt:variant>
        <vt:i4>236</vt:i4>
      </vt:variant>
      <vt:variant>
        <vt:i4>0</vt:i4>
      </vt:variant>
      <vt:variant>
        <vt:i4>5</vt:i4>
      </vt:variant>
      <vt:variant>
        <vt:lpwstr/>
      </vt:variant>
      <vt:variant>
        <vt:lpwstr>_Toc392145578</vt:lpwstr>
      </vt:variant>
      <vt:variant>
        <vt:i4>1900592</vt:i4>
      </vt:variant>
      <vt:variant>
        <vt:i4>230</vt:i4>
      </vt:variant>
      <vt:variant>
        <vt:i4>0</vt:i4>
      </vt:variant>
      <vt:variant>
        <vt:i4>5</vt:i4>
      </vt:variant>
      <vt:variant>
        <vt:lpwstr/>
      </vt:variant>
      <vt:variant>
        <vt:lpwstr>_Toc392145577</vt:lpwstr>
      </vt:variant>
      <vt:variant>
        <vt:i4>1900592</vt:i4>
      </vt:variant>
      <vt:variant>
        <vt:i4>224</vt:i4>
      </vt:variant>
      <vt:variant>
        <vt:i4>0</vt:i4>
      </vt:variant>
      <vt:variant>
        <vt:i4>5</vt:i4>
      </vt:variant>
      <vt:variant>
        <vt:lpwstr/>
      </vt:variant>
      <vt:variant>
        <vt:lpwstr>_Toc392145576</vt:lpwstr>
      </vt:variant>
      <vt:variant>
        <vt:i4>1900592</vt:i4>
      </vt:variant>
      <vt:variant>
        <vt:i4>218</vt:i4>
      </vt:variant>
      <vt:variant>
        <vt:i4>0</vt:i4>
      </vt:variant>
      <vt:variant>
        <vt:i4>5</vt:i4>
      </vt:variant>
      <vt:variant>
        <vt:lpwstr/>
      </vt:variant>
      <vt:variant>
        <vt:lpwstr>_Toc392145575</vt:lpwstr>
      </vt:variant>
      <vt:variant>
        <vt:i4>1900592</vt:i4>
      </vt:variant>
      <vt:variant>
        <vt:i4>212</vt:i4>
      </vt:variant>
      <vt:variant>
        <vt:i4>0</vt:i4>
      </vt:variant>
      <vt:variant>
        <vt:i4>5</vt:i4>
      </vt:variant>
      <vt:variant>
        <vt:lpwstr/>
      </vt:variant>
      <vt:variant>
        <vt:lpwstr>_Toc392145574</vt:lpwstr>
      </vt:variant>
      <vt:variant>
        <vt:i4>1900592</vt:i4>
      </vt:variant>
      <vt:variant>
        <vt:i4>206</vt:i4>
      </vt:variant>
      <vt:variant>
        <vt:i4>0</vt:i4>
      </vt:variant>
      <vt:variant>
        <vt:i4>5</vt:i4>
      </vt:variant>
      <vt:variant>
        <vt:lpwstr/>
      </vt:variant>
      <vt:variant>
        <vt:lpwstr>_Toc392145573</vt:lpwstr>
      </vt:variant>
      <vt:variant>
        <vt:i4>1900592</vt:i4>
      </vt:variant>
      <vt:variant>
        <vt:i4>200</vt:i4>
      </vt:variant>
      <vt:variant>
        <vt:i4>0</vt:i4>
      </vt:variant>
      <vt:variant>
        <vt:i4>5</vt:i4>
      </vt:variant>
      <vt:variant>
        <vt:lpwstr/>
      </vt:variant>
      <vt:variant>
        <vt:lpwstr>_Toc392145572</vt:lpwstr>
      </vt:variant>
      <vt:variant>
        <vt:i4>1900592</vt:i4>
      </vt:variant>
      <vt:variant>
        <vt:i4>194</vt:i4>
      </vt:variant>
      <vt:variant>
        <vt:i4>0</vt:i4>
      </vt:variant>
      <vt:variant>
        <vt:i4>5</vt:i4>
      </vt:variant>
      <vt:variant>
        <vt:lpwstr/>
      </vt:variant>
      <vt:variant>
        <vt:lpwstr>_Toc392145571</vt:lpwstr>
      </vt:variant>
      <vt:variant>
        <vt:i4>1900592</vt:i4>
      </vt:variant>
      <vt:variant>
        <vt:i4>188</vt:i4>
      </vt:variant>
      <vt:variant>
        <vt:i4>0</vt:i4>
      </vt:variant>
      <vt:variant>
        <vt:i4>5</vt:i4>
      </vt:variant>
      <vt:variant>
        <vt:lpwstr/>
      </vt:variant>
      <vt:variant>
        <vt:lpwstr>_Toc392145570</vt:lpwstr>
      </vt:variant>
      <vt:variant>
        <vt:i4>1835056</vt:i4>
      </vt:variant>
      <vt:variant>
        <vt:i4>182</vt:i4>
      </vt:variant>
      <vt:variant>
        <vt:i4>0</vt:i4>
      </vt:variant>
      <vt:variant>
        <vt:i4>5</vt:i4>
      </vt:variant>
      <vt:variant>
        <vt:lpwstr/>
      </vt:variant>
      <vt:variant>
        <vt:lpwstr>_Toc392145569</vt:lpwstr>
      </vt:variant>
      <vt:variant>
        <vt:i4>1835056</vt:i4>
      </vt:variant>
      <vt:variant>
        <vt:i4>176</vt:i4>
      </vt:variant>
      <vt:variant>
        <vt:i4>0</vt:i4>
      </vt:variant>
      <vt:variant>
        <vt:i4>5</vt:i4>
      </vt:variant>
      <vt:variant>
        <vt:lpwstr/>
      </vt:variant>
      <vt:variant>
        <vt:lpwstr>_Toc392145568</vt:lpwstr>
      </vt:variant>
      <vt:variant>
        <vt:i4>1835056</vt:i4>
      </vt:variant>
      <vt:variant>
        <vt:i4>170</vt:i4>
      </vt:variant>
      <vt:variant>
        <vt:i4>0</vt:i4>
      </vt:variant>
      <vt:variant>
        <vt:i4>5</vt:i4>
      </vt:variant>
      <vt:variant>
        <vt:lpwstr/>
      </vt:variant>
      <vt:variant>
        <vt:lpwstr>_Toc392145567</vt:lpwstr>
      </vt:variant>
      <vt:variant>
        <vt:i4>1835056</vt:i4>
      </vt:variant>
      <vt:variant>
        <vt:i4>164</vt:i4>
      </vt:variant>
      <vt:variant>
        <vt:i4>0</vt:i4>
      </vt:variant>
      <vt:variant>
        <vt:i4>5</vt:i4>
      </vt:variant>
      <vt:variant>
        <vt:lpwstr/>
      </vt:variant>
      <vt:variant>
        <vt:lpwstr>_Toc392145566</vt:lpwstr>
      </vt:variant>
      <vt:variant>
        <vt:i4>1835056</vt:i4>
      </vt:variant>
      <vt:variant>
        <vt:i4>158</vt:i4>
      </vt:variant>
      <vt:variant>
        <vt:i4>0</vt:i4>
      </vt:variant>
      <vt:variant>
        <vt:i4>5</vt:i4>
      </vt:variant>
      <vt:variant>
        <vt:lpwstr/>
      </vt:variant>
      <vt:variant>
        <vt:lpwstr>_Toc392145565</vt:lpwstr>
      </vt:variant>
      <vt:variant>
        <vt:i4>1835056</vt:i4>
      </vt:variant>
      <vt:variant>
        <vt:i4>152</vt:i4>
      </vt:variant>
      <vt:variant>
        <vt:i4>0</vt:i4>
      </vt:variant>
      <vt:variant>
        <vt:i4>5</vt:i4>
      </vt:variant>
      <vt:variant>
        <vt:lpwstr/>
      </vt:variant>
      <vt:variant>
        <vt:lpwstr>_Toc392145564</vt:lpwstr>
      </vt:variant>
      <vt:variant>
        <vt:i4>1835056</vt:i4>
      </vt:variant>
      <vt:variant>
        <vt:i4>146</vt:i4>
      </vt:variant>
      <vt:variant>
        <vt:i4>0</vt:i4>
      </vt:variant>
      <vt:variant>
        <vt:i4>5</vt:i4>
      </vt:variant>
      <vt:variant>
        <vt:lpwstr/>
      </vt:variant>
      <vt:variant>
        <vt:lpwstr>_Toc392145563</vt:lpwstr>
      </vt:variant>
      <vt:variant>
        <vt:i4>1835056</vt:i4>
      </vt:variant>
      <vt:variant>
        <vt:i4>140</vt:i4>
      </vt:variant>
      <vt:variant>
        <vt:i4>0</vt:i4>
      </vt:variant>
      <vt:variant>
        <vt:i4>5</vt:i4>
      </vt:variant>
      <vt:variant>
        <vt:lpwstr/>
      </vt:variant>
      <vt:variant>
        <vt:lpwstr>_Toc392145562</vt:lpwstr>
      </vt:variant>
      <vt:variant>
        <vt:i4>1835056</vt:i4>
      </vt:variant>
      <vt:variant>
        <vt:i4>134</vt:i4>
      </vt:variant>
      <vt:variant>
        <vt:i4>0</vt:i4>
      </vt:variant>
      <vt:variant>
        <vt:i4>5</vt:i4>
      </vt:variant>
      <vt:variant>
        <vt:lpwstr/>
      </vt:variant>
      <vt:variant>
        <vt:lpwstr>_Toc392145561</vt:lpwstr>
      </vt:variant>
      <vt:variant>
        <vt:i4>1835056</vt:i4>
      </vt:variant>
      <vt:variant>
        <vt:i4>128</vt:i4>
      </vt:variant>
      <vt:variant>
        <vt:i4>0</vt:i4>
      </vt:variant>
      <vt:variant>
        <vt:i4>5</vt:i4>
      </vt:variant>
      <vt:variant>
        <vt:lpwstr/>
      </vt:variant>
      <vt:variant>
        <vt:lpwstr>_Toc392145560</vt:lpwstr>
      </vt:variant>
      <vt:variant>
        <vt:i4>2031664</vt:i4>
      </vt:variant>
      <vt:variant>
        <vt:i4>122</vt:i4>
      </vt:variant>
      <vt:variant>
        <vt:i4>0</vt:i4>
      </vt:variant>
      <vt:variant>
        <vt:i4>5</vt:i4>
      </vt:variant>
      <vt:variant>
        <vt:lpwstr/>
      </vt:variant>
      <vt:variant>
        <vt:lpwstr>_Toc392145559</vt:lpwstr>
      </vt:variant>
      <vt:variant>
        <vt:i4>2031664</vt:i4>
      </vt:variant>
      <vt:variant>
        <vt:i4>116</vt:i4>
      </vt:variant>
      <vt:variant>
        <vt:i4>0</vt:i4>
      </vt:variant>
      <vt:variant>
        <vt:i4>5</vt:i4>
      </vt:variant>
      <vt:variant>
        <vt:lpwstr/>
      </vt:variant>
      <vt:variant>
        <vt:lpwstr>_Toc392145558</vt:lpwstr>
      </vt:variant>
      <vt:variant>
        <vt:i4>2031664</vt:i4>
      </vt:variant>
      <vt:variant>
        <vt:i4>110</vt:i4>
      </vt:variant>
      <vt:variant>
        <vt:i4>0</vt:i4>
      </vt:variant>
      <vt:variant>
        <vt:i4>5</vt:i4>
      </vt:variant>
      <vt:variant>
        <vt:lpwstr/>
      </vt:variant>
      <vt:variant>
        <vt:lpwstr>_Toc392145557</vt:lpwstr>
      </vt:variant>
      <vt:variant>
        <vt:i4>2031664</vt:i4>
      </vt:variant>
      <vt:variant>
        <vt:i4>104</vt:i4>
      </vt:variant>
      <vt:variant>
        <vt:i4>0</vt:i4>
      </vt:variant>
      <vt:variant>
        <vt:i4>5</vt:i4>
      </vt:variant>
      <vt:variant>
        <vt:lpwstr/>
      </vt:variant>
      <vt:variant>
        <vt:lpwstr>_Toc392145556</vt:lpwstr>
      </vt:variant>
      <vt:variant>
        <vt:i4>2031664</vt:i4>
      </vt:variant>
      <vt:variant>
        <vt:i4>98</vt:i4>
      </vt:variant>
      <vt:variant>
        <vt:i4>0</vt:i4>
      </vt:variant>
      <vt:variant>
        <vt:i4>5</vt:i4>
      </vt:variant>
      <vt:variant>
        <vt:lpwstr/>
      </vt:variant>
      <vt:variant>
        <vt:lpwstr>_Toc392145555</vt:lpwstr>
      </vt:variant>
      <vt:variant>
        <vt:i4>2031664</vt:i4>
      </vt:variant>
      <vt:variant>
        <vt:i4>92</vt:i4>
      </vt:variant>
      <vt:variant>
        <vt:i4>0</vt:i4>
      </vt:variant>
      <vt:variant>
        <vt:i4>5</vt:i4>
      </vt:variant>
      <vt:variant>
        <vt:lpwstr/>
      </vt:variant>
      <vt:variant>
        <vt:lpwstr>_Toc392145554</vt:lpwstr>
      </vt:variant>
      <vt:variant>
        <vt:i4>2031664</vt:i4>
      </vt:variant>
      <vt:variant>
        <vt:i4>86</vt:i4>
      </vt:variant>
      <vt:variant>
        <vt:i4>0</vt:i4>
      </vt:variant>
      <vt:variant>
        <vt:i4>5</vt:i4>
      </vt:variant>
      <vt:variant>
        <vt:lpwstr/>
      </vt:variant>
      <vt:variant>
        <vt:lpwstr>_Toc392145553</vt:lpwstr>
      </vt:variant>
      <vt:variant>
        <vt:i4>2031664</vt:i4>
      </vt:variant>
      <vt:variant>
        <vt:i4>80</vt:i4>
      </vt:variant>
      <vt:variant>
        <vt:i4>0</vt:i4>
      </vt:variant>
      <vt:variant>
        <vt:i4>5</vt:i4>
      </vt:variant>
      <vt:variant>
        <vt:lpwstr/>
      </vt:variant>
      <vt:variant>
        <vt:lpwstr>_Toc392145552</vt:lpwstr>
      </vt:variant>
      <vt:variant>
        <vt:i4>2031664</vt:i4>
      </vt:variant>
      <vt:variant>
        <vt:i4>74</vt:i4>
      </vt:variant>
      <vt:variant>
        <vt:i4>0</vt:i4>
      </vt:variant>
      <vt:variant>
        <vt:i4>5</vt:i4>
      </vt:variant>
      <vt:variant>
        <vt:lpwstr/>
      </vt:variant>
      <vt:variant>
        <vt:lpwstr>_Toc392145551</vt:lpwstr>
      </vt:variant>
      <vt:variant>
        <vt:i4>2031664</vt:i4>
      </vt:variant>
      <vt:variant>
        <vt:i4>68</vt:i4>
      </vt:variant>
      <vt:variant>
        <vt:i4>0</vt:i4>
      </vt:variant>
      <vt:variant>
        <vt:i4>5</vt:i4>
      </vt:variant>
      <vt:variant>
        <vt:lpwstr/>
      </vt:variant>
      <vt:variant>
        <vt:lpwstr>_Toc392145550</vt:lpwstr>
      </vt:variant>
      <vt:variant>
        <vt:i4>1966128</vt:i4>
      </vt:variant>
      <vt:variant>
        <vt:i4>62</vt:i4>
      </vt:variant>
      <vt:variant>
        <vt:i4>0</vt:i4>
      </vt:variant>
      <vt:variant>
        <vt:i4>5</vt:i4>
      </vt:variant>
      <vt:variant>
        <vt:lpwstr/>
      </vt:variant>
      <vt:variant>
        <vt:lpwstr>_Toc392145549</vt:lpwstr>
      </vt:variant>
      <vt:variant>
        <vt:i4>1966128</vt:i4>
      </vt:variant>
      <vt:variant>
        <vt:i4>56</vt:i4>
      </vt:variant>
      <vt:variant>
        <vt:i4>0</vt:i4>
      </vt:variant>
      <vt:variant>
        <vt:i4>5</vt:i4>
      </vt:variant>
      <vt:variant>
        <vt:lpwstr/>
      </vt:variant>
      <vt:variant>
        <vt:lpwstr>_Toc392145548</vt:lpwstr>
      </vt:variant>
      <vt:variant>
        <vt:i4>1966128</vt:i4>
      </vt:variant>
      <vt:variant>
        <vt:i4>50</vt:i4>
      </vt:variant>
      <vt:variant>
        <vt:i4>0</vt:i4>
      </vt:variant>
      <vt:variant>
        <vt:i4>5</vt:i4>
      </vt:variant>
      <vt:variant>
        <vt:lpwstr/>
      </vt:variant>
      <vt:variant>
        <vt:lpwstr>_Toc392145547</vt:lpwstr>
      </vt:variant>
      <vt:variant>
        <vt:i4>1966128</vt:i4>
      </vt:variant>
      <vt:variant>
        <vt:i4>44</vt:i4>
      </vt:variant>
      <vt:variant>
        <vt:i4>0</vt:i4>
      </vt:variant>
      <vt:variant>
        <vt:i4>5</vt:i4>
      </vt:variant>
      <vt:variant>
        <vt:lpwstr/>
      </vt:variant>
      <vt:variant>
        <vt:lpwstr>_Toc392145546</vt:lpwstr>
      </vt:variant>
      <vt:variant>
        <vt:i4>1966128</vt:i4>
      </vt:variant>
      <vt:variant>
        <vt:i4>38</vt:i4>
      </vt:variant>
      <vt:variant>
        <vt:i4>0</vt:i4>
      </vt:variant>
      <vt:variant>
        <vt:i4>5</vt:i4>
      </vt:variant>
      <vt:variant>
        <vt:lpwstr/>
      </vt:variant>
      <vt:variant>
        <vt:lpwstr>_Toc392145545</vt:lpwstr>
      </vt:variant>
      <vt:variant>
        <vt:i4>1966128</vt:i4>
      </vt:variant>
      <vt:variant>
        <vt:i4>32</vt:i4>
      </vt:variant>
      <vt:variant>
        <vt:i4>0</vt:i4>
      </vt:variant>
      <vt:variant>
        <vt:i4>5</vt:i4>
      </vt:variant>
      <vt:variant>
        <vt:lpwstr/>
      </vt:variant>
      <vt:variant>
        <vt:lpwstr>_Toc392145544</vt:lpwstr>
      </vt:variant>
      <vt:variant>
        <vt:i4>1966128</vt:i4>
      </vt:variant>
      <vt:variant>
        <vt:i4>26</vt:i4>
      </vt:variant>
      <vt:variant>
        <vt:i4>0</vt:i4>
      </vt:variant>
      <vt:variant>
        <vt:i4>5</vt:i4>
      </vt:variant>
      <vt:variant>
        <vt:lpwstr/>
      </vt:variant>
      <vt:variant>
        <vt:lpwstr>_Toc392145543</vt:lpwstr>
      </vt:variant>
      <vt:variant>
        <vt:i4>1966128</vt:i4>
      </vt:variant>
      <vt:variant>
        <vt:i4>20</vt:i4>
      </vt:variant>
      <vt:variant>
        <vt:i4>0</vt:i4>
      </vt:variant>
      <vt:variant>
        <vt:i4>5</vt:i4>
      </vt:variant>
      <vt:variant>
        <vt:lpwstr/>
      </vt:variant>
      <vt:variant>
        <vt:lpwstr>_Toc392145542</vt:lpwstr>
      </vt:variant>
      <vt:variant>
        <vt:i4>1966128</vt:i4>
      </vt:variant>
      <vt:variant>
        <vt:i4>14</vt:i4>
      </vt:variant>
      <vt:variant>
        <vt:i4>0</vt:i4>
      </vt:variant>
      <vt:variant>
        <vt:i4>5</vt:i4>
      </vt:variant>
      <vt:variant>
        <vt:lpwstr/>
      </vt:variant>
      <vt:variant>
        <vt:lpwstr>_Toc392145541</vt:lpwstr>
      </vt:variant>
      <vt:variant>
        <vt:i4>1966128</vt:i4>
      </vt:variant>
      <vt:variant>
        <vt:i4>8</vt:i4>
      </vt:variant>
      <vt:variant>
        <vt:i4>0</vt:i4>
      </vt:variant>
      <vt:variant>
        <vt:i4>5</vt:i4>
      </vt:variant>
      <vt:variant>
        <vt:lpwstr/>
      </vt:variant>
      <vt:variant>
        <vt:lpwstr>_Toc392145540</vt:lpwstr>
      </vt:variant>
      <vt:variant>
        <vt:i4>1638448</vt:i4>
      </vt:variant>
      <vt:variant>
        <vt:i4>2</vt:i4>
      </vt:variant>
      <vt:variant>
        <vt:i4>0</vt:i4>
      </vt:variant>
      <vt:variant>
        <vt:i4>5</vt:i4>
      </vt:variant>
      <vt:variant>
        <vt:lpwstr/>
      </vt:variant>
      <vt:variant>
        <vt:lpwstr>_Toc392145539</vt:lpwstr>
      </vt:variant>
      <vt:variant>
        <vt:i4>5963849</vt:i4>
      </vt:variant>
      <vt:variant>
        <vt:i4>3</vt:i4>
      </vt:variant>
      <vt:variant>
        <vt:i4>0</vt:i4>
      </vt:variant>
      <vt:variant>
        <vt:i4>5</vt:i4>
      </vt:variant>
      <vt:variant>
        <vt:lpwstr>http://www.ansto.gov.au/Resources/Localenvironment/Atmosphericmonitoring/Fineparticlepollution/index.htm</vt:lpwstr>
      </vt:variant>
      <vt:variant>
        <vt:lpwstr/>
      </vt:variant>
      <vt:variant>
        <vt:i4>4063342</vt:i4>
      </vt:variant>
      <vt:variant>
        <vt:i4>0</vt:i4>
      </vt:variant>
      <vt:variant>
        <vt:i4>0</vt:i4>
      </vt:variant>
      <vt:variant>
        <vt:i4>5</vt:i4>
      </vt:variant>
      <vt:variant>
        <vt:lpwstr>http://www.environment.nsw.gov.au/air/nepm/summary.htm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Report to enable NEPC decision on whether to vary the PM standards in the AAQ NEPM</dc:title>
  <dc:subject>NEPC Service Corporation</dc:subject>
  <dc:creator>Paul Boulter</dc:creator>
  <cp:lastModifiedBy>_</cp:lastModifiedBy>
  <cp:revision>2</cp:revision>
  <cp:lastPrinted>2014-07-25T01:17:00Z</cp:lastPrinted>
  <dcterms:created xsi:type="dcterms:W3CDTF">2014-07-29T04:15:00Z</dcterms:created>
  <dcterms:modified xsi:type="dcterms:W3CDTF">2014-07-29T04:15:00Z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Client</vt:lpwstr>
  </property>
  <property fmtid="{D5CDD505-2E9C-101B-9397-08002B2CF9AE}" pid="3" name="Job Number">
    <vt:lpwstr>XXXX</vt:lpwstr>
  </property>
</Properties>
</file>