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CellMar>
          <w:left w:w="0" w:type="dxa"/>
          <w:right w:w="0" w:type="dxa"/>
        </w:tblCellMar>
        <w:tblLook w:val="04A0" w:firstRow="1" w:lastRow="0" w:firstColumn="1" w:lastColumn="0" w:noHBand="0" w:noVBand="1"/>
      </w:tblPr>
      <w:tblGrid>
        <w:gridCol w:w="10456"/>
      </w:tblGrid>
      <w:tr w:rsidR="00F24BDC" w14:paraId="60958855" w14:textId="77777777" w:rsidTr="00772663">
        <w:trPr>
          <w:trHeight w:val="15317"/>
        </w:trPr>
        <w:tc>
          <w:tcPr>
            <w:tcW w:w="10456" w:type="dxa"/>
            <w:tcBorders>
              <w:top w:val="nil"/>
              <w:left w:val="nil"/>
              <w:bottom w:val="nil"/>
              <w:right w:val="nil"/>
            </w:tcBorders>
          </w:tcPr>
          <w:p w14:paraId="535AE1CE" w14:textId="77777777" w:rsidR="00F24BDC" w:rsidRPr="00013F0B" w:rsidRDefault="00F24BDC" w:rsidP="00DE2318">
            <w:pPr>
              <w:pStyle w:val="BodyText"/>
            </w:pPr>
            <w:r w:rsidRPr="00013F0B">
              <w:rPr>
                <w:noProof/>
                <w:lang w:val="en-AU" w:eastAsia="en-AU"/>
              </w:rPr>
              <mc:AlternateContent>
                <mc:Choice Requires="wps">
                  <w:drawing>
                    <wp:anchor distT="0" distB="0" distL="114300" distR="114300" simplePos="0" relativeHeight="251738112" behindDoc="0" locked="1" layoutInCell="1" allowOverlap="1" wp14:anchorId="3708E3D1" wp14:editId="6B18AC81">
                      <wp:simplePos x="0" y="0"/>
                      <wp:positionH relativeFrom="column">
                        <wp:posOffset>4324350</wp:posOffset>
                      </wp:positionH>
                      <wp:positionV relativeFrom="page">
                        <wp:posOffset>8096250</wp:posOffset>
                      </wp:positionV>
                      <wp:extent cx="2076450" cy="1402715"/>
                      <wp:effectExtent l="0" t="0" r="0" b="6985"/>
                      <wp:wrapNone/>
                      <wp:docPr id="88" name="textBox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2715"/>
                              </a:xfrm>
                              <a:prstGeom prst="rect">
                                <a:avLst/>
                              </a:prstGeom>
                              <a:noFill/>
                              <a:ln w="9525">
                                <a:noFill/>
                                <a:miter lim="800000"/>
                                <a:headEnd/>
                                <a:tailEnd/>
                              </a:ln>
                            </wps:spPr>
                            <wps:txbx>
                              <w:txbxContent>
                                <w:sdt>
                                  <w:sdtPr>
                                    <w:rPr>
                                      <w:noProof/>
                                      <w:lang w:eastAsia="en-GB"/>
                                    </w:rPr>
                                    <w:alias w:val="AureconNewCoverImage"/>
                                    <w:tag w:val="AureconNewCoverImage"/>
                                    <w:id w:val="586356733"/>
                                    <w:picture/>
                                  </w:sdtPr>
                                  <w:sdtEndPr/>
                                  <w:sdtContent>
                                    <w:p w14:paraId="09091CF4" w14:textId="77777777" w:rsidR="00E87AED" w:rsidRDefault="00E87AED" w:rsidP="00772663">
                                      <w:pPr>
                                        <w:pStyle w:val="Footer"/>
                                        <w:jc w:val="right"/>
                                      </w:pPr>
                                      <w:r>
                                        <w:rPr>
                                          <w:noProof/>
                                          <w:lang w:val="en-AU" w:eastAsia="en-AU"/>
                                        </w:rPr>
                                        <w:drawing>
                                          <wp:inline distT="0" distB="0" distL="0" distR="0" wp14:anchorId="417985FD" wp14:editId="6E160F80">
                                            <wp:extent cx="1446484" cy="1118116"/>
                                            <wp:effectExtent l="0" t="0" r="1905" b="6350"/>
                                            <wp:docPr id="694" name="Picture 694"/>
                                            <wp:cNvGraphicFramePr/>
                                            <a:graphic xmlns:a="http://schemas.openxmlformats.org/drawingml/2006/main">
                                              <a:graphicData uri="http://schemas.openxmlformats.org/drawingml/2006/picture">
                                                <pic:pic xmlns:pic="http://schemas.openxmlformats.org/drawingml/2006/picture">
                                                  <pic:nvPicPr>
                                                    <pic:cNvPr id="651" name=""/>
                                                    <pic:cNvPicPr/>
                                                  </pic:nvPicPr>
                                                  <pic:blipFill>
                                                    <a:blip r:embed="rId9">
                                                      <a:extLst>
                                                        <a:ext uri="{28A0092B-C50C-407E-A947-70E740481C1C}">
                                                          <a14:useLocalDpi xmlns:a14="http://schemas.microsoft.com/office/drawing/2010/main" val="0"/>
                                                        </a:ext>
                                                      </a:extLst>
                                                    </a:blip>
                                                    <a:stretch>
                                                      <a:fillRect/>
                                                    </a:stretch>
                                                  </pic:blipFill>
                                                  <pic:spPr>
                                                    <a:xfrm>
                                                      <a:off x="0" y="0"/>
                                                      <a:ext cx="1446484" cy="1118116"/>
                                                    </a:xfrm>
                                                    <a:prstGeom prst="rect">
                                                      <a:avLst/>
                                                    </a:prstGeom>
                                                  </pic:spPr>
                                                </pic:pic>
                                              </a:graphicData>
                                            </a:graphic>
                                          </wp:inline>
                                        </w:drawing>
                                      </w:r>
                                    </w:p>
                                  </w:sdtContent>
                                </w:sdt>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08E3D1" id="_x0000_t202" coordsize="21600,21600" o:spt="202" path="m,l,21600r21600,l21600,xe">
                      <v:stroke joinstyle="miter"/>
                      <v:path gradientshapeok="t" o:connecttype="rect"/>
                    </v:shapetype>
                    <v:shape id="textBoxLogo" o:spid="_x0000_s1026" type="#_x0000_t202" style="position:absolute;margin-left:340.5pt;margin-top:637.5pt;width:163.5pt;height:110.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" filled="f" stroked="f">
                      <v:textbox inset="0,0,0,0">
                        <w:txbxContent>
                          <w:sdt>
                            <w:sdtPr>
                              <w:rPr>
                                <w:noProof/>
                                <w:lang w:eastAsia="en-GB"/>
                              </w:rPr>
                              <w:alias w:val="AureconNewCoverImage"/>
                              <w:tag w:val="AureconNewCoverImage"/>
                              <w:id w:val="586356733"/>
                              <w:picture/>
                            </w:sdtPr>
                            <w:sdtEndPr/>
                            <w:sdtContent>
                              <w:p w14:paraId="09091CF4" w14:textId="77777777" w:rsidR="00E87AED" w:rsidRDefault="00E87AED" w:rsidP="00772663">
                                <w:pPr>
                                  <w:pStyle w:val="Footer"/>
                                  <w:jc w:val="right"/>
                                </w:pPr>
                                <w:r>
                                  <w:rPr>
                                    <w:noProof/>
                                    <w:lang w:val="en-AU" w:eastAsia="en-AU"/>
                                  </w:rPr>
                                  <w:drawing>
                                    <wp:inline distT="0" distB="0" distL="0" distR="0" wp14:anchorId="417985FD" wp14:editId="6E160F80">
                                      <wp:extent cx="1446484" cy="1118116"/>
                                      <wp:effectExtent l="0" t="0" r="1905" b="6350"/>
                                      <wp:docPr id="694" name="Picture 694"/>
                                      <wp:cNvGraphicFramePr/>
                                      <a:graphic xmlns:a="http://schemas.openxmlformats.org/drawingml/2006/main">
                                        <a:graphicData uri="http://schemas.openxmlformats.org/drawingml/2006/picture">
                                          <pic:pic xmlns:pic="http://schemas.openxmlformats.org/drawingml/2006/picture">
                                            <pic:nvPicPr>
                                              <pic:cNvPr id="651" name=""/>
                                              <pic:cNvPicPr/>
                                            </pic:nvPicPr>
                                            <pic:blipFill>
                                              <a:blip r:embed="rId10">
                                                <a:extLst>
                                                  <a:ext uri="{28A0092B-C50C-407E-A947-70E740481C1C}">
                                                    <a14:useLocalDpi xmlns:a14="http://schemas.microsoft.com/office/drawing/2010/main" val="0"/>
                                                  </a:ext>
                                                </a:extLst>
                                              </a:blip>
                                              <a:stretch>
                                                <a:fillRect/>
                                              </a:stretch>
                                            </pic:blipFill>
                                            <pic:spPr>
                                              <a:xfrm>
                                                <a:off x="0" y="0"/>
                                                <a:ext cx="1446484" cy="1118116"/>
                                              </a:xfrm>
                                              <a:prstGeom prst="rect">
                                                <a:avLst/>
                                              </a:prstGeom>
                                            </pic:spPr>
                                          </pic:pic>
                                        </a:graphicData>
                                      </a:graphic>
                                    </wp:inline>
                                  </w:drawing>
                                </w:r>
                              </w:p>
                            </w:sdtContent>
                          </w:sdt>
                        </w:txbxContent>
                      </v:textbox>
                      <w10:wrap anchory="page"/>
                      <w10:anchorlock/>
                    </v:shape>
                  </w:pict>
                </mc:Fallback>
              </mc:AlternateContent>
            </w:r>
            <w:r w:rsidRPr="00013F0B">
              <w:rPr>
                <w:noProof/>
                <w:lang w:val="en-AU" w:eastAsia="en-AU"/>
              </w:rPr>
              <mc:AlternateContent>
                <mc:Choice Requires="wps">
                  <w:drawing>
                    <wp:anchor distT="0" distB="0" distL="114300" distR="114300" simplePos="0" relativeHeight="251736064" behindDoc="0" locked="1" layoutInCell="1" allowOverlap="1" wp14:anchorId="2C9EBA10" wp14:editId="6054D28D">
                      <wp:simplePos x="0" y="0"/>
                      <wp:positionH relativeFrom="column">
                        <wp:posOffset>3640347</wp:posOffset>
                      </wp:positionH>
                      <wp:positionV relativeFrom="page">
                        <wp:posOffset>25879</wp:posOffset>
                      </wp:positionV>
                      <wp:extent cx="2998800" cy="4453200"/>
                      <wp:effectExtent l="0" t="0" r="0" b="5080"/>
                      <wp:wrapTight wrapText="bothSides">
                        <wp:wrapPolygon edited="0">
                          <wp:start x="412" y="647"/>
                          <wp:lineTo x="412" y="21532"/>
                          <wp:lineTo x="19761" y="21532"/>
                          <wp:lineTo x="19761" y="647"/>
                          <wp:lineTo x="412" y="647"/>
                        </wp:wrapPolygon>
                      </wp:wrapTight>
                      <wp:docPr id="89" name="Text Box 89"/>
                      <wp:cNvGraphicFramePr/>
                      <a:graphic xmlns:a="http://schemas.openxmlformats.org/drawingml/2006/main">
                        <a:graphicData uri="http://schemas.microsoft.com/office/word/2010/wordprocessingShape">
                          <wps:wsp>
                            <wps:cNvSpPr txBox="1"/>
                            <wps:spPr>
                              <a:xfrm>
                                <a:off x="0" y="0"/>
                                <a:ext cx="2998800" cy="4453200"/>
                              </a:xfrm>
                              <a:prstGeom prst="rect">
                                <a:avLst/>
                              </a:prstGeom>
                              <a:noFill/>
                              <a:ln w="6350">
                                <a:noFill/>
                              </a:ln>
                            </wps:spPr>
                            <wps:txbx>
                              <w:txbxContent>
                                <w:p w14:paraId="012FC898" w14:textId="1363D265" w:rsidR="00E87AED" w:rsidRPr="004953DC" w:rsidRDefault="00E87AED" w:rsidP="00772663">
                                  <w:pPr>
                                    <w:autoSpaceDE w:val="0"/>
                                    <w:autoSpaceDN w:val="0"/>
                                    <w:adjustRightInd w:val="0"/>
                                    <w:spacing w:before="120" w:after="140"/>
                                    <w:rPr>
                                      <w:rFonts w:ascii="Arial" w:hAnsi="Arial" w:cstheme="minorHAnsi"/>
                                      <w:b/>
                                      <w:sz w:val="38"/>
                                      <w:szCs w:val="38"/>
                                    </w:rPr>
                                  </w:pPr>
                                  <w:bookmarkStart w:id="0" w:name="_GoBack"/>
                                  <w:r w:rsidRPr="0042237A">
                                    <w:rPr>
                                      <w:rFonts w:ascii="Arial" w:hAnsi="Arial" w:cstheme="minorHAnsi"/>
                                      <w:b/>
                                      <w:sz w:val="38"/>
                                      <w:szCs w:val="38"/>
                                    </w:rPr>
                                    <w:t>Review of Ambient Air Quality NEPM for SO</w:t>
                                  </w:r>
                                  <w:r w:rsidRPr="007E733F">
                                    <w:rPr>
                                      <w:rFonts w:ascii="Arial" w:hAnsi="Arial" w:cstheme="minorHAnsi"/>
                                      <w:b/>
                                      <w:sz w:val="38"/>
                                      <w:szCs w:val="38"/>
                                      <w:vertAlign w:val="subscript"/>
                                    </w:rPr>
                                    <w:t>2</w:t>
                                  </w:r>
                                  <w:r w:rsidRPr="0042237A">
                                    <w:rPr>
                                      <w:rFonts w:ascii="Arial" w:hAnsi="Arial" w:cstheme="minorHAnsi"/>
                                      <w:b/>
                                      <w:sz w:val="38"/>
                                      <w:szCs w:val="38"/>
                                    </w:rPr>
                                    <w:t>, NO</w:t>
                                  </w:r>
                                  <w:r w:rsidRPr="007E733F">
                                    <w:rPr>
                                      <w:rFonts w:ascii="Arial" w:hAnsi="Arial" w:cstheme="minorHAnsi"/>
                                      <w:b/>
                                      <w:sz w:val="38"/>
                                      <w:szCs w:val="38"/>
                                      <w:vertAlign w:val="subscript"/>
                                    </w:rPr>
                                    <w:t>2</w:t>
                                  </w:r>
                                  <w:r w:rsidRPr="0042237A">
                                    <w:rPr>
                                      <w:rFonts w:ascii="Arial" w:hAnsi="Arial" w:cstheme="minorHAnsi"/>
                                      <w:b/>
                                      <w:sz w:val="38"/>
                                      <w:szCs w:val="38"/>
                                    </w:rPr>
                                    <w:t xml:space="preserve"> and O</w:t>
                                  </w:r>
                                  <w:r w:rsidRPr="007E733F">
                                    <w:rPr>
                                      <w:rFonts w:ascii="Arial" w:hAnsi="Arial" w:cstheme="minorHAnsi"/>
                                      <w:b/>
                                      <w:sz w:val="38"/>
                                      <w:szCs w:val="38"/>
                                      <w:vertAlign w:val="subscript"/>
                                    </w:rPr>
                                    <w:t>3</w:t>
                                  </w:r>
                                </w:p>
                                <w:sdt>
                                  <w:sdtPr>
                                    <w:rPr>
                                      <w:rFonts w:cstheme="minorHAnsi"/>
                                      <w:sz w:val="28"/>
                                      <w:szCs w:val="28"/>
                                    </w:rPr>
                                    <w:alias w:val="Document title"/>
                                    <w:tag w:val="coverDocumentTitle"/>
                                    <w:id w:val="-1679875736"/>
                                    <w:dataBinding w:xpath="/root[1]/document[1]/title[1]" w:storeItemID="{45393E3D-3B52-4D3F-BBED-1AFEC97AEA28}"/>
                                    <w:text/>
                                  </w:sdtPr>
                                  <w:sdtEndPr/>
                                  <w:sdtContent>
                                    <w:p w14:paraId="212F1536" w14:textId="77777777" w:rsidR="00E87AED" w:rsidRPr="0003420E" w:rsidRDefault="00E87AED" w:rsidP="00772663">
                                      <w:pPr>
                                        <w:autoSpaceDE w:val="0"/>
                                        <w:autoSpaceDN w:val="0"/>
                                        <w:adjustRightInd w:val="0"/>
                                        <w:spacing w:before="120" w:after="140"/>
                                        <w:rPr>
                                          <w:rFonts w:cstheme="minorHAnsi"/>
                                          <w:bCs/>
                                          <w:sz w:val="28"/>
                                          <w:szCs w:val="28"/>
                                        </w:rPr>
                                      </w:pPr>
                                      <w:r>
                                        <w:rPr>
                                          <w:rFonts w:cstheme="minorHAnsi"/>
                                          <w:sz w:val="28"/>
                                          <w:szCs w:val="28"/>
                                        </w:rPr>
                                        <w:t>Cost Benefit Analysis</w:t>
                                      </w:r>
                                    </w:p>
                                  </w:sdtContent>
                                </w:sdt>
                                <w:bookmarkEnd w:id="0" w:displacedByCustomXml="prev"/>
                                <w:sdt>
                                  <w:sdtPr>
                                    <w:rPr>
                                      <w:rFonts w:cstheme="minorHAnsi"/>
                                      <w:b/>
                                      <w:bCs/>
                                      <w:sz w:val="28"/>
                                      <w:szCs w:val="28"/>
                                    </w:rPr>
                                    <w:alias w:val="Client"/>
                                    <w:tag w:val="coverClient"/>
                                    <w:id w:val="-211655316"/>
                                    <w:dataBinding w:xpath="/root[1]/project[1]/client[1]" w:storeItemID="{45393E3D-3B52-4D3F-BBED-1AFEC97AEA28}"/>
                                    <w:text/>
                                  </w:sdtPr>
                                  <w:sdtEndPr/>
                                  <w:sdtContent>
                                    <w:p w14:paraId="264D6F9E" w14:textId="77777777" w:rsidR="00E87AED" w:rsidRPr="0003420E" w:rsidRDefault="00E87AED" w:rsidP="00772663">
                                      <w:pPr>
                                        <w:autoSpaceDE w:val="0"/>
                                        <w:autoSpaceDN w:val="0"/>
                                        <w:adjustRightInd w:val="0"/>
                                        <w:spacing w:before="120" w:after="140"/>
                                        <w:rPr>
                                          <w:rFonts w:cstheme="minorHAnsi"/>
                                        </w:rPr>
                                      </w:pPr>
                                      <w:r>
                                        <w:rPr>
                                          <w:rFonts w:cstheme="minorHAnsi"/>
                                          <w:b/>
                                          <w:bCs/>
                                          <w:sz w:val="28"/>
                                          <w:szCs w:val="28"/>
                                        </w:rPr>
                                        <w:t>EPA Victoria</w:t>
                                      </w:r>
                                    </w:p>
                                  </w:sdtContent>
                                </w:sdt>
                                <w:p w14:paraId="03BFCBD1" w14:textId="77777777" w:rsidR="00E87AED" w:rsidRPr="0003420E" w:rsidRDefault="00E87AED" w:rsidP="00772663">
                                  <w:pPr>
                                    <w:spacing w:before="120" w:after="140"/>
                                    <w:rPr>
                                      <w:rFonts w:cstheme="minorHAnsi"/>
                                      <w:bCs/>
                                      <w:szCs w:val="18"/>
                                    </w:rPr>
                                  </w:pPr>
                                  <w:r w:rsidRPr="0003420E">
                                    <w:rPr>
                                      <w:rFonts w:cstheme="minorHAnsi"/>
                                      <w:bCs/>
                                      <w:szCs w:val="18"/>
                                    </w:rPr>
                                    <w:t xml:space="preserve">Reference: </w:t>
                                  </w:r>
                                  <w:sdt>
                                    <w:sdtPr>
                                      <w:rPr>
                                        <w:rFonts w:cstheme="minorHAnsi"/>
                                        <w:bCs/>
                                        <w:szCs w:val="18"/>
                                      </w:rPr>
                                      <w:alias w:val="Project number"/>
                                      <w:tag w:val="coverProjectNumber"/>
                                      <w:id w:val="757564403"/>
                                      <w:dataBinding w:xpath="/root[1]/project[1]/number[1]" w:storeItemID="{45393E3D-3B52-4D3F-BBED-1AFEC97AEA28}"/>
                                      <w:text/>
                                    </w:sdtPr>
                                    <w:sdtEndPr/>
                                    <w:sdtContent>
                                      <w:r>
                                        <w:rPr>
                                          <w:rFonts w:cstheme="minorHAnsi"/>
                                          <w:bCs/>
                                          <w:szCs w:val="18"/>
                                        </w:rPr>
                                        <w:t>501523</w:t>
                                      </w:r>
                                    </w:sdtContent>
                                  </w:sdt>
                                </w:p>
                                <w:p w14:paraId="6FFAD0BA" w14:textId="199D6E11" w:rsidR="00E87AED" w:rsidRPr="0003420E" w:rsidRDefault="00E87AED" w:rsidP="00772663">
                                  <w:pPr>
                                    <w:spacing w:before="120" w:after="140"/>
                                    <w:rPr>
                                      <w:rFonts w:cstheme="minorHAnsi"/>
                                      <w:bCs/>
                                      <w:szCs w:val="18"/>
                                    </w:rPr>
                                  </w:pPr>
                                  <w:r w:rsidRPr="0003420E">
                                    <w:rPr>
                                      <w:rFonts w:cstheme="minorHAnsi"/>
                                      <w:bCs/>
                                      <w:szCs w:val="18"/>
                                    </w:rPr>
                                    <w:t xml:space="preserve">Revision: </w:t>
                                  </w:r>
                                  <w:sdt>
                                    <w:sdtPr>
                                      <w:rPr>
                                        <w:rFonts w:cstheme="minorHAnsi"/>
                                        <w:bCs/>
                                        <w:szCs w:val="18"/>
                                      </w:rPr>
                                      <w:alias w:val="Revision Number"/>
                                      <w:tag w:val="coverRevisionNumber"/>
                                      <w:id w:val="1827938746"/>
                                      <w:dataBinding w:xpath="/root[1]/project[1]/revision[1]" w:storeItemID="{45393E3D-3B52-4D3F-BBED-1AFEC97AEA28}"/>
                                      <w:text/>
                                    </w:sdtPr>
                                    <w:sdtEndPr/>
                                    <w:sdtContent>
                                      <w:r w:rsidR="00731F44">
                                        <w:rPr>
                                          <w:rFonts w:cstheme="minorHAnsi"/>
                                          <w:bCs/>
                                          <w:szCs w:val="18"/>
                                        </w:rPr>
                                        <w:t>Final</w:t>
                                      </w:r>
                                    </w:sdtContent>
                                  </w:sdt>
                                </w:p>
                                <w:p w14:paraId="04264FD2" w14:textId="071DC2D9" w:rsidR="00E87AED" w:rsidRPr="0003420E" w:rsidRDefault="00B93345" w:rsidP="00772663">
                                  <w:pPr>
                                    <w:spacing w:before="120" w:after="140"/>
                                    <w:rPr>
                                      <w:rFonts w:cstheme="minorHAnsi"/>
                                    </w:rPr>
                                  </w:pPr>
                                  <w:sdt>
                                    <w:sdtPr>
                                      <w:rPr>
                                        <w:rFonts w:cstheme="minorHAnsi"/>
                                      </w:rPr>
                                      <w:alias w:val="Date"/>
                                      <w:tag w:val="coverDate"/>
                                      <w:id w:val="510186137"/>
                                      <w:dataBinding w:xpath="/root[1]/project[1]/date[1]" w:storeItemID="{45393E3D-3B52-4D3F-BBED-1AFEC97AEA28}"/>
                                      <w:date w:fullDate="2018-07-06T00:00:00Z">
                                        <w:dateFormat w:val="d MMMM yyyy"/>
                                        <w:lid w:val="en-US"/>
                                        <w:storeMappedDataAs w:val="dateTime"/>
                                        <w:calendar w:val="gregorian"/>
                                      </w:date>
                                    </w:sdtPr>
                                    <w:sdtEndPr/>
                                    <w:sdtContent>
                                      <w:r w:rsidR="009F48E8">
                                        <w:rPr>
                                          <w:rFonts w:cstheme="minorHAnsi"/>
                                          <w:lang w:val="en-US"/>
                                        </w:rPr>
                                        <w:t>6</w:t>
                                      </w:r>
                                      <w:r w:rsidR="00731F44">
                                        <w:rPr>
                                          <w:rFonts w:cstheme="minorHAnsi"/>
                                          <w:lang w:val="en-US"/>
                                        </w:rPr>
                                        <w:t xml:space="preserve"> July 2018</w:t>
                                      </w:r>
                                    </w:sdtContent>
                                  </w:sdt>
                                </w:p>
                              </w:txbxContent>
                            </wps:txbx>
                            <wps:bodyPr rot="0" spcFirstLastPara="0" vertOverflow="overflow" horzOverflow="overflow" vert="horz" wrap="square" lIns="90000" tIns="180000" rIns="28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9EBA10" id="Text Box 89" o:spid="_x0000_s1027" type="#_x0000_t202" style="position:absolute;margin-left:286.65pt;margin-top:2.05pt;width:236.15pt;height:350.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" filled="f" stroked="f" strokeweight=".5pt">
                      <v:textbox inset="2.5mm,5mm,8mm">
                        <w:txbxContent>
                          <w:p w14:paraId="012FC898" w14:textId="1363D265" w:rsidR="00E87AED" w:rsidRPr="004953DC" w:rsidRDefault="00E87AED" w:rsidP="00772663">
                            <w:pPr>
                              <w:autoSpaceDE w:val="0"/>
                              <w:autoSpaceDN w:val="0"/>
                              <w:adjustRightInd w:val="0"/>
                              <w:spacing w:before="120" w:after="140"/>
                              <w:rPr>
                                <w:rFonts w:ascii="Arial" w:hAnsi="Arial" w:cstheme="minorHAnsi"/>
                                <w:b/>
                                <w:sz w:val="38"/>
                                <w:szCs w:val="38"/>
                              </w:rPr>
                            </w:pPr>
                            <w:r w:rsidRPr="0042237A">
                              <w:rPr>
                                <w:rFonts w:ascii="Arial" w:hAnsi="Arial" w:cstheme="minorHAnsi"/>
                                <w:b/>
                                <w:sz w:val="38"/>
                                <w:szCs w:val="38"/>
                              </w:rPr>
                              <w:t>Review of Ambient Air Quality NEPM for SO</w:t>
                            </w:r>
                            <w:r w:rsidRPr="007E733F">
                              <w:rPr>
                                <w:rFonts w:ascii="Arial" w:hAnsi="Arial" w:cstheme="minorHAnsi"/>
                                <w:b/>
                                <w:sz w:val="38"/>
                                <w:szCs w:val="38"/>
                                <w:vertAlign w:val="subscript"/>
                              </w:rPr>
                              <w:t>2</w:t>
                            </w:r>
                            <w:r w:rsidRPr="0042237A">
                              <w:rPr>
                                <w:rFonts w:ascii="Arial" w:hAnsi="Arial" w:cstheme="minorHAnsi"/>
                                <w:b/>
                                <w:sz w:val="38"/>
                                <w:szCs w:val="38"/>
                              </w:rPr>
                              <w:t>, NO</w:t>
                            </w:r>
                            <w:r w:rsidRPr="007E733F">
                              <w:rPr>
                                <w:rFonts w:ascii="Arial" w:hAnsi="Arial" w:cstheme="minorHAnsi"/>
                                <w:b/>
                                <w:sz w:val="38"/>
                                <w:szCs w:val="38"/>
                                <w:vertAlign w:val="subscript"/>
                              </w:rPr>
                              <w:t>2</w:t>
                            </w:r>
                            <w:r w:rsidRPr="0042237A">
                              <w:rPr>
                                <w:rFonts w:ascii="Arial" w:hAnsi="Arial" w:cstheme="minorHAnsi"/>
                                <w:b/>
                                <w:sz w:val="38"/>
                                <w:szCs w:val="38"/>
                              </w:rPr>
                              <w:t xml:space="preserve"> and O</w:t>
                            </w:r>
                            <w:r w:rsidRPr="007E733F">
                              <w:rPr>
                                <w:rFonts w:ascii="Arial" w:hAnsi="Arial" w:cstheme="minorHAnsi"/>
                                <w:b/>
                                <w:sz w:val="38"/>
                                <w:szCs w:val="38"/>
                                <w:vertAlign w:val="subscript"/>
                              </w:rPr>
                              <w:t>3</w:t>
                            </w:r>
                          </w:p>
                          <w:sdt>
                            <w:sdtPr>
                              <w:rPr>
                                <w:rFonts w:cstheme="minorHAnsi"/>
                                <w:sz w:val="28"/>
                                <w:szCs w:val="28"/>
                              </w:rPr>
                              <w:alias w:val="Document title"/>
                              <w:tag w:val="coverDocumentTitle"/>
                              <w:id w:val="-1679875736"/>
                              <w:dataBinding w:xpath="/root[1]/document[1]/title[1]" w:storeItemID="{45393E3D-3B52-4D3F-BBED-1AFEC97AEA28}"/>
                              <w:text/>
                            </w:sdtPr>
                            <w:sdtEndPr/>
                            <w:sdtContent>
                              <w:p w14:paraId="212F1536" w14:textId="77777777" w:rsidR="00E87AED" w:rsidRPr="0003420E" w:rsidRDefault="00E87AED" w:rsidP="00772663">
                                <w:pPr>
                                  <w:autoSpaceDE w:val="0"/>
                                  <w:autoSpaceDN w:val="0"/>
                                  <w:adjustRightInd w:val="0"/>
                                  <w:spacing w:before="120" w:after="140"/>
                                  <w:rPr>
                                    <w:rFonts w:cstheme="minorHAnsi"/>
                                    <w:bCs/>
                                    <w:sz w:val="28"/>
                                    <w:szCs w:val="28"/>
                                  </w:rPr>
                                </w:pPr>
                                <w:r>
                                  <w:rPr>
                                    <w:rFonts w:cstheme="minorHAnsi"/>
                                    <w:sz w:val="28"/>
                                    <w:szCs w:val="28"/>
                                  </w:rPr>
                                  <w:t>Cost Benefit Analysis</w:t>
                                </w:r>
                              </w:p>
                            </w:sdtContent>
                          </w:sdt>
                          <w:sdt>
                            <w:sdtPr>
                              <w:rPr>
                                <w:rFonts w:cstheme="minorHAnsi"/>
                                <w:b/>
                                <w:bCs/>
                                <w:sz w:val="28"/>
                                <w:szCs w:val="28"/>
                              </w:rPr>
                              <w:alias w:val="Client"/>
                              <w:tag w:val="coverClient"/>
                              <w:id w:val="-211655316"/>
                              <w:dataBinding w:xpath="/root[1]/project[1]/client[1]" w:storeItemID="{45393E3D-3B52-4D3F-BBED-1AFEC97AEA28}"/>
                              <w:text/>
                            </w:sdtPr>
                            <w:sdtEndPr/>
                            <w:sdtContent>
                              <w:p w14:paraId="264D6F9E" w14:textId="77777777" w:rsidR="00E87AED" w:rsidRPr="0003420E" w:rsidRDefault="00E87AED" w:rsidP="00772663">
                                <w:pPr>
                                  <w:autoSpaceDE w:val="0"/>
                                  <w:autoSpaceDN w:val="0"/>
                                  <w:adjustRightInd w:val="0"/>
                                  <w:spacing w:before="120" w:after="140"/>
                                  <w:rPr>
                                    <w:rFonts w:cstheme="minorHAnsi"/>
                                  </w:rPr>
                                </w:pPr>
                                <w:r>
                                  <w:rPr>
                                    <w:rFonts w:cstheme="minorHAnsi"/>
                                    <w:b/>
                                    <w:bCs/>
                                    <w:sz w:val="28"/>
                                    <w:szCs w:val="28"/>
                                  </w:rPr>
                                  <w:t>EPA Victoria</w:t>
                                </w:r>
                              </w:p>
                            </w:sdtContent>
                          </w:sdt>
                          <w:p w14:paraId="03BFCBD1" w14:textId="77777777" w:rsidR="00E87AED" w:rsidRPr="0003420E" w:rsidRDefault="00E87AED" w:rsidP="00772663">
                            <w:pPr>
                              <w:spacing w:before="120" w:after="140"/>
                              <w:rPr>
                                <w:rFonts w:cstheme="minorHAnsi"/>
                                <w:bCs/>
                                <w:szCs w:val="18"/>
                              </w:rPr>
                            </w:pPr>
                            <w:r w:rsidRPr="0003420E">
                              <w:rPr>
                                <w:rFonts w:cstheme="minorHAnsi"/>
                                <w:bCs/>
                                <w:szCs w:val="18"/>
                              </w:rPr>
                              <w:t xml:space="preserve">Reference: </w:t>
                            </w:r>
                            <w:sdt>
                              <w:sdtPr>
                                <w:rPr>
                                  <w:rFonts w:cstheme="minorHAnsi"/>
                                  <w:bCs/>
                                  <w:szCs w:val="18"/>
                                </w:rPr>
                                <w:alias w:val="Project number"/>
                                <w:tag w:val="coverProjectNumber"/>
                                <w:id w:val="757564403"/>
                                <w:dataBinding w:xpath="/root[1]/project[1]/number[1]" w:storeItemID="{45393E3D-3B52-4D3F-BBED-1AFEC97AEA28}"/>
                                <w:text/>
                              </w:sdtPr>
                              <w:sdtEndPr/>
                              <w:sdtContent>
                                <w:r>
                                  <w:rPr>
                                    <w:rFonts w:cstheme="minorHAnsi"/>
                                    <w:bCs/>
                                    <w:szCs w:val="18"/>
                                  </w:rPr>
                                  <w:t>501523</w:t>
                                </w:r>
                              </w:sdtContent>
                            </w:sdt>
                          </w:p>
                          <w:p w14:paraId="6FFAD0BA" w14:textId="199D6E11" w:rsidR="00E87AED" w:rsidRPr="0003420E" w:rsidRDefault="00E87AED" w:rsidP="00772663">
                            <w:pPr>
                              <w:spacing w:before="120" w:after="140"/>
                              <w:rPr>
                                <w:rFonts w:cstheme="minorHAnsi"/>
                                <w:bCs/>
                                <w:szCs w:val="18"/>
                              </w:rPr>
                            </w:pPr>
                            <w:r w:rsidRPr="0003420E">
                              <w:rPr>
                                <w:rFonts w:cstheme="minorHAnsi"/>
                                <w:bCs/>
                                <w:szCs w:val="18"/>
                              </w:rPr>
                              <w:t xml:space="preserve">Revision: </w:t>
                            </w:r>
                            <w:sdt>
                              <w:sdtPr>
                                <w:rPr>
                                  <w:rFonts w:cstheme="minorHAnsi"/>
                                  <w:bCs/>
                                  <w:szCs w:val="18"/>
                                </w:rPr>
                                <w:alias w:val="Revision Number"/>
                                <w:tag w:val="coverRevisionNumber"/>
                                <w:id w:val="1827938746"/>
                                <w:dataBinding w:xpath="/root[1]/project[1]/revision[1]" w:storeItemID="{45393E3D-3B52-4D3F-BBED-1AFEC97AEA28}"/>
                                <w:text/>
                              </w:sdtPr>
                              <w:sdtEndPr/>
                              <w:sdtContent>
                                <w:r w:rsidR="00731F44">
                                  <w:rPr>
                                    <w:rFonts w:cstheme="minorHAnsi"/>
                                    <w:bCs/>
                                    <w:szCs w:val="18"/>
                                  </w:rPr>
                                  <w:t>Final</w:t>
                                </w:r>
                              </w:sdtContent>
                            </w:sdt>
                          </w:p>
                          <w:p w14:paraId="04264FD2" w14:textId="071DC2D9" w:rsidR="00E87AED" w:rsidRPr="0003420E" w:rsidRDefault="009F48E8" w:rsidP="00772663">
                            <w:pPr>
                              <w:spacing w:before="120" w:after="140"/>
                              <w:rPr>
                                <w:rFonts w:cstheme="minorHAnsi"/>
                              </w:rPr>
                            </w:pPr>
                            <w:sdt>
                              <w:sdtPr>
                                <w:rPr>
                                  <w:rFonts w:cstheme="minorHAnsi"/>
                                </w:rPr>
                                <w:alias w:val="Date"/>
                                <w:tag w:val="coverDate"/>
                                <w:id w:val="510186137"/>
                                <w:dataBinding w:xpath="/root[1]/project[1]/date[1]" w:storeItemID="{45393E3D-3B52-4D3F-BBED-1AFEC97AEA28}"/>
                                <w:date w:fullDate="2018-07-06T00:00:00Z">
                                  <w:dateFormat w:val="d MMMM yyyy"/>
                                  <w:lid w:val="en-US"/>
                                  <w:storeMappedDataAs w:val="dateTime"/>
                                  <w:calendar w:val="gregorian"/>
                                </w:date>
                              </w:sdtPr>
                              <w:sdtEndPr/>
                              <w:sdtContent>
                                <w:r>
                                  <w:rPr>
                                    <w:rFonts w:cstheme="minorHAnsi"/>
                                    <w:lang w:val="en-US"/>
                                  </w:rPr>
                                  <w:t>6</w:t>
                                </w:r>
                                <w:r w:rsidR="00731F44">
                                  <w:rPr>
                                    <w:rFonts w:cstheme="minorHAnsi"/>
                                    <w:lang w:val="en-US"/>
                                  </w:rPr>
                                  <w:t xml:space="preserve"> July 2018</w:t>
                                </w:r>
                              </w:sdtContent>
                            </w:sdt>
                          </w:p>
                        </w:txbxContent>
                      </v:textbox>
                      <w10:wrap type="tight" anchory="page"/>
                      <w10:anchorlock/>
                    </v:shape>
                  </w:pict>
                </mc:Fallback>
              </mc:AlternateContent>
            </w:r>
            <w:r w:rsidRPr="00013F0B">
              <w:rPr>
                <w:noProof/>
                <w:lang w:val="en-AU" w:eastAsia="en-AU"/>
              </w:rPr>
              <w:drawing>
                <wp:anchor distT="0" distB="0" distL="114300" distR="114300" simplePos="0" relativeHeight="251737088" behindDoc="1" locked="1" layoutInCell="1" allowOverlap="1" wp14:anchorId="311E43CA" wp14:editId="711B6AAE">
                  <wp:simplePos x="0" y="0"/>
                  <wp:positionH relativeFrom="column">
                    <wp:posOffset>-12700</wp:posOffset>
                  </wp:positionH>
                  <wp:positionV relativeFrom="page">
                    <wp:posOffset>6350</wp:posOffset>
                  </wp:positionV>
                  <wp:extent cx="6656070" cy="970534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S-PLAIN.png"/>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6656070" cy="970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39C0AC8" w14:textId="77777777" w:rsidR="00F24BDC" w:rsidRDefault="00F24BDC" w:rsidP="0021179E">
      <w:pPr>
        <w:spacing w:after="200" w:line="276" w:lineRule="auto"/>
        <w:rPr>
          <w:sz w:val="2"/>
          <w:szCs w:val="2"/>
        </w:rPr>
      </w:pPr>
    </w:p>
    <w:p w14:paraId="745675B1" w14:textId="77777777" w:rsidR="00F24BDC" w:rsidRDefault="00F24BDC" w:rsidP="0021179E">
      <w:pPr>
        <w:spacing w:after="200" w:line="276" w:lineRule="auto"/>
        <w:rPr>
          <w:sz w:val="2"/>
          <w:szCs w:val="2"/>
        </w:rPr>
        <w:sectPr w:rsidR="00F24BDC" w:rsidSect="00F24BDC">
          <w:pgSz w:w="11906" w:h="16838"/>
          <w:pgMar w:top="720" w:right="720" w:bottom="567" w:left="720" w:header="0" w:footer="0" w:gutter="0"/>
          <w:cols w:space="708"/>
          <w:docGrid w:linePitch="360"/>
        </w:sectPr>
      </w:pPr>
    </w:p>
    <w:p w14:paraId="33EDFBBE" w14:textId="77777777" w:rsidR="00EA3C03" w:rsidRPr="00F6705F" w:rsidRDefault="00EA3C03" w:rsidP="00772663">
      <w:pPr>
        <w:spacing w:after="360"/>
        <w:rPr>
          <w:color w:val="7AB800" w:themeColor="accent1"/>
          <w:sz w:val="70"/>
          <w:szCs w:val="70"/>
        </w:rPr>
      </w:pPr>
      <w:r w:rsidRPr="00F6705F">
        <w:rPr>
          <w:color w:val="7AB800" w:themeColor="accent1"/>
          <w:sz w:val="70"/>
          <w:szCs w:val="70"/>
        </w:rPr>
        <w:lastRenderedPageBreak/>
        <w:t>Document control record</w:t>
      </w:r>
    </w:p>
    <w:p w14:paraId="4BDF65FD" w14:textId="77777777" w:rsidR="00EA3C03" w:rsidRPr="00F6705F" w:rsidRDefault="00EA3C03" w:rsidP="00772663">
      <w:pPr>
        <w:pStyle w:val="BodyText"/>
      </w:pPr>
      <w:r w:rsidRPr="00F6705F">
        <w:t>Document prepared by:</w:t>
      </w:r>
    </w:p>
    <w:p w14:paraId="54587D11" w14:textId="77777777" w:rsidR="00EA3C03" w:rsidRPr="00F6705F" w:rsidRDefault="00B93345" w:rsidP="00772663">
      <w:pPr>
        <w:spacing w:after="60"/>
        <w:rPr>
          <w:b/>
        </w:rPr>
      </w:pPr>
      <w:sdt>
        <w:sdtPr>
          <w:rPr>
            <w:b/>
          </w:rPr>
          <w:tag w:val="companyName"/>
          <w:id w:val="365047719"/>
          <w:lock w:val="sdtContentLocked"/>
          <w:text w:multiLine="1"/>
        </w:sdtPr>
        <w:sdtEndPr/>
        <w:sdtContent>
          <w:r w:rsidR="004953DC">
            <w:rPr>
              <w:b/>
            </w:rPr>
            <w:t>Aurecon Australasia Pty Ltd</w:t>
          </w:r>
        </w:sdtContent>
      </w:sdt>
    </w:p>
    <w:sdt>
      <w:sdtPr>
        <w:tag w:val="companyDetails"/>
        <w:id w:val="455530763"/>
        <w:lock w:val="sdtContentLocked"/>
        <w:placeholder>
          <w:docPart w:val="D8B08056BD9042B5B89258F8565F2B55"/>
        </w:placeholder>
      </w:sdtPr>
      <w:sdtEndPr/>
      <w:sdtContent>
        <w:p w14:paraId="61C2CD11" w14:textId="77777777" w:rsidR="004953DC" w:rsidRDefault="004953DC" w:rsidP="00772663">
          <w:pPr>
            <w:spacing w:after="60"/>
          </w:pPr>
          <w:r>
            <w:t>ABN 54 005 139 873</w:t>
          </w:r>
        </w:p>
        <w:p w14:paraId="0941E17E" w14:textId="77777777" w:rsidR="004953DC" w:rsidRDefault="004953DC" w:rsidP="00772663">
          <w:pPr>
            <w:spacing w:after="60"/>
          </w:pPr>
          <w:r>
            <w:t>Level 5, 116 Military Road</w:t>
          </w:r>
          <w:r>
            <w:br/>
            <w:t>Neutral Bay NSW 2089</w:t>
          </w:r>
        </w:p>
        <w:p w14:paraId="3F7449DC" w14:textId="77777777" w:rsidR="00EA3C03" w:rsidRPr="00F6705F" w:rsidRDefault="004953DC" w:rsidP="00772663">
          <w:pPr>
            <w:spacing w:after="60"/>
          </w:pPr>
          <w:r>
            <w:t>PO Box 538</w:t>
          </w:r>
          <w:r>
            <w:br/>
            <w:t>Neutral Bay NSW 2089</w:t>
          </w:r>
          <w:r>
            <w:br/>
            <w:t>Australia</w:t>
          </w:r>
        </w:p>
      </w:sdtContent>
    </w:sdt>
    <w:p w14:paraId="6B424167" w14:textId="77777777" w:rsidR="00EA3C03" w:rsidRPr="00F6705F" w:rsidRDefault="00EA3C03" w:rsidP="0077266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4"/>
        <w:gridCol w:w="8666"/>
      </w:tblGrid>
      <w:tr w:rsidR="00EA3C03" w:rsidRPr="00F6705F" w14:paraId="3D07DB7E" w14:textId="77777777" w:rsidTr="00772663">
        <w:trPr>
          <w:trHeight w:val="864"/>
        </w:trPr>
        <w:sdt>
          <w:sdtPr>
            <w:rPr>
              <w:b/>
              <w:bCs/>
            </w:rPr>
            <w:tag w:val="compDetailsLegend"/>
            <w:id w:val="-1872448032"/>
            <w:lock w:val="sdtContentLocked"/>
            <w:placeholder>
              <w:docPart w:val="F43665FC71924F768F45266CCB9BD928"/>
            </w:placeholder>
            <w:text w:multiLine="1"/>
          </w:sdtPr>
          <w:sdtEndPr/>
          <w:sdtContent>
            <w:tc>
              <w:tcPr>
                <w:tcW w:w="284" w:type="dxa"/>
              </w:tcPr>
              <w:p w14:paraId="67D40D5E" w14:textId="77777777" w:rsidR="00EA3C03" w:rsidRPr="00F6705F" w:rsidRDefault="004953DC" w:rsidP="00772663">
                <w:pPr>
                  <w:spacing w:line="276" w:lineRule="auto"/>
                  <w:rPr>
                    <w:b/>
                  </w:rPr>
                </w:pPr>
                <w:r>
                  <w:rPr>
                    <w:b/>
                    <w:bCs/>
                  </w:rPr>
                  <w:t>T</w:t>
                </w:r>
                <w:r>
                  <w:rPr>
                    <w:b/>
                    <w:bCs/>
                  </w:rPr>
                  <w:br/>
                  <w:t>F</w:t>
                </w:r>
                <w:r>
                  <w:rPr>
                    <w:b/>
                    <w:bCs/>
                  </w:rPr>
                  <w:br/>
                  <w:t>E</w:t>
                </w:r>
                <w:r>
                  <w:rPr>
                    <w:b/>
                    <w:bCs/>
                  </w:rPr>
                  <w:br/>
                  <w:t>W</w:t>
                </w:r>
              </w:p>
            </w:tc>
          </w:sdtContent>
        </w:sdt>
        <w:sdt>
          <w:sdtPr>
            <w:tag w:val="compDetails"/>
            <w:id w:val="442196494"/>
            <w:lock w:val="sdtContentLocked"/>
            <w:placeholder>
              <w:docPart w:val="5E1FC11194D74E9B9A3D0B84F1B57E92"/>
            </w:placeholder>
            <w:text w:multiLine="1"/>
          </w:sdtPr>
          <w:sdtEndPr/>
          <w:sdtContent>
            <w:tc>
              <w:tcPr>
                <w:tcW w:w="8666" w:type="dxa"/>
                <w:tcMar>
                  <w:left w:w="0" w:type="dxa"/>
                </w:tcMar>
              </w:tcPr>
              <w:p w14:paraId="4D11C037" w14:textId="77777777" w:rsidR="00EA3C03" w:rsidRPr="00F6705F" w:rsidRDefault="004953DC" w:rsidP="00772663">
                <w:pPr>
                  <w:spacing w:line="276" w:lineRule="auto"/>
                </w:pPr>
                <w:r>
                  <w:t>+61 2 9465 5599</w:t>
                </w:r>
                <w:r>
                  <w:br/>
                  <w:t>+61 2 9465 5598</w:t>
                </w:r>
                <w:r>
                  <w:br/>
                  <w:t>sydney@aurecongroup.com</w:t>
                </w:r>
                <w:r>
                  <w:br/>
                  <w:t>aurecongroup.com</w:t>
                </w:r>
              </w:p>
            </w:tc>
          </w:sdtContent>
        </w:sdt>
      </w:tr>
    </w:tbl>
    <w:p w14:paraId="717C3E9F" w14:textId="77777777" w:rsidR="00EA3C03" w:rsidRPr="00F6705F" w:rsidRDefault="00EA3C03" w:rsidP="00772663">
      <w:pPr>
        <w:rPr>
          <w:b/>
        </w:rPr>
      </w:pPr>
    </w:p>
    <w:p w14:paraId="467B4F66" w14:textId="77777777" w:rsidR="00EA3C03" w:rsidRPr="00F6705F" w:rsidRDefault="00EA3C03" w:rsidP="00772663">
      <w:pPr>
        <w:spacing w:after="60"/>
        <w:rPr>
          <w:sz w:val="16"/>
          <w:szCs w:val="16"/>
        </w:rPr>
      </w:pPr>
      <w:r w:rsidRPr="00F6705F">
        <w:rPr>
          <w:sz w:val="16"/>
          <w:szCs w:val="16"/>
        </w:rPr>
        <w:t xml:space="preserve">A person using </w:t>
      </w:r>
      <w:sdt>
        <w:sdtPr>
          <w:rPr>
            <w:sz w:val="16"/>
            <w:szCs w:val="16"/>
          </w:rPr>
          <w:alias w:val="Disclaimer"/>
          <w:tag w:val="Disclaimer"/>
          <w:id w:val="-1661836594"/>
          <w:dataBinding w:xpath="/root[1]/document[1]/disclaimer[1]" w:storeItemID="{45393E3D-3B52-4D3F-BBED-1AFEC97AEA28}"/>
          <w:text/>
        </w:sdtPr>
        <w:sdtEndPr/>
        <w:sdtContent>
          <w:r w:rsidRPr="00F6705F">
            <w:rPr>
              <w:sz w:val="16"/>
              <w:szCs w:val="16"/>
            </w:rPr>
            <w:t>Aurecon</w:t>
          </w:r>
        </w:sdtContent>
      </w:sdt>
      <w:r w:rsidRPr="00F6705F">
        <w:rPr>
          <w:sz w:val="16"/>
          <w:szCs w:val="16"/>
        </w:rPr>
        <w:t xml:space="preserve"> documents or data accepts the risk of:</w:t>
      </w:r>
    </w:p>
    <w:p w14:paraId="03A1DCCB" w14:textId="77777777" w:rsidR="00EA3C03" w:rsidRPr="00F6705F" w:rsidRDefault="00EA3C03" w:rsidP="004273DB">
      <w:pPr>
        <w:numPr>
          <w:ilvl w:val="0"/>
          <w:numId w:val="8"/>
        </w:numPr>
        <w:spacing w:after="60"/>
        <w:rPr>
          <w:b/>
          <w:sz w:val="16"/>
          <w:szCs w:val="16"/>
        </w:rPr>
      </w:pPr>
      <w:r w:rsidRPr="00F6705F">
        <w:rPr>
          <w:sz w:val="16"/>
          <w:szCs w:val="16"/>
        </w:rPr>
        <w:t>Using the documents or data in electronic form without requesting and checking them for accuracy against the original hard copy version.</w:t>
      </w:r>
    </w:p>
    <w:p w14:paraId="739FF7F6" w14:textId="77777777" w:rsidR="00EA3C03" w:rsidRPr="00F6705F" w:rsidRDefault="00EA3C03" w:rsidP="004273DB">
      <w:pPr>
        <w:numPr>
          <w:ilvl w:val="0"/>
          <w:numId w:val="8"/>
        </w:numPr>
        <w:spacing w:after="60"/>
        <w:rPr>
          <w:b/>
          <w:bCs/>
          <w:sz w:val="16"/>
          <w:szCs w:val="16"/>
        </w:rPr>
      </w:pPr>
      <w:r w:rsidRPr="00F6705F">
        <w:rPr>
          <w:sz w:val="16"/>
          <w:szCs w:val="16"/>
        </w:rPr>
        <w:t xml:space="preserve">Using the documents or data for any purpose not agreed to in writing by </w:t>
      </w:r>
      <w:sdt>
        <w:sdtPr>
          <w:rPr>
            <w:sz w:val="16"/>
            <w:szCs w:val="16"/>
          </w:rPr>
          <w:alias w:val="Disclaimer"/>
          <w:tag w:val="Disclaimer"/>
          <w:id w:val="1255469212"/>
          <w:dataBinding w:xpath="/root[1]/document[1]/disclaimer[1]" w:storeItemID="{45393E3D-3B52-4D3F-BBED-1AFEC97AEA28}"/>
          <w:text/>
        </w:sdtPr>
        <w:sdtEndPr/>
        <w:sdtContent>
          <w:r w:rsidRPr="00F6705F">
            <w:rPr>
              <w:sz w:val="16"/>
              <w:szCs w:val="16"/>
            </w:rPr>
            <w:t>Aurecon</w:t>
          </w:r>
        </w:sdtContent>
      </w:sdt>
      <w:r w:rsidRPr="00F6705F">
        <w:rPr>
          <w:sz w:val="16"/>
          <w:szCs w:val="16"/>
        </w:rPr>
        <w:t>.</w:t>
      </w:r>
    </w:p>
    <w:p w14:paraId="5AF89C9D" w14:textId="77777777" w:rsidR="00EA3C03" w:rsidRPr="00F6705F" w:rsidRDefault="00EA3C03" w:rsidP="00772663">
      <w:pPr>
        <w:rPr>
          <w:sz w:val="16"/>
          <w:szCs w:val="16"/>
        </w:rPr>
      </w:pPr>
    </w:p>
    <w:tbl>
      <w:tblPr>
        <w:tblStyle w:val="TableGrid"/>
        <w:tblW w:w="5000" w:type="pct"/>
        <w:tblBorders>
          <w:top w:val="single" w:sz="6" w:space="0" w:color="C0C0C0" w:themeColor="accent3"/>
          <w:left w:val="single" w:sz="6" w:space="0" w:color="C0C0C0" w:themeColor="accent3"/>
          <w:bottom w:val="single" w:sz="6" w:space="0" w:color="C0C0C0" w:themeColor="accent3"/>
          <w:right w:val="single" w:sz="6" w:space="0" w:color="C0C0C0" w:themeColor="accent3"/>
          <w:insideH w:val="single" w:sz="6" w:space="0" w:color="C0C0C0" w:themeColor="accent3"/>
          <w:insideV w:val="single" w:sz="6" w:space="0" w:color="C0C0C0" w:themeColor="accent3"/>
        </w:tblBorders>
        <w:tblLook w:val="0620" w:firstRow="1" w:lastRow="0" w:firstColumn="0" w:lastColumn="0" w:noHBand="1" w:noVBand="1"/>
      </w:tblPr>
      <w:tblGrid>
        <w:gridCol w:w="651"/>
        <w:gridCol w:w="1717"/>
        <w:gridCol w:w="2483"/>
        <w:gridCol w:w="1592"/>
        <w:gridCol w:w="797"/>
        <w:gridCol w:w="2383"/>
      </w:tblGrid>
      <w:tr w:rsidR="00EA3C03" w:rsidRPr="00F6705F" w14:paraId="3D735779" w14:textId="77777777" w:rsidTr="00772663">
        <w:trPr>
          <w:cantSplit/>
          <w:trHeight w:val="549"/>
        </w:trPr>
        <w:tc>
          <w:tcPr>
            <w:tcW w:w="5000" w:type="pct"/>
            <w:gridSpan w:val="6"/>
            <w:shd w:val="clear" w:color="auto" w:fill="353D30" w:themeFill="accent2"/>
            <w:vAlign w:val="center"/>
          </w:tcPr>
          <w:p w14:paraId="0E9D23CE" w14:textId="77777777" w:rsidR="00EA3C03" w:rsidRPr="00F6705F" w:rsidRDefault="00EA3C03" w:rsidP="00772663">
            <w:pPr>
              <w:pStyle w:val="NoSpacing"/>
              <w:tabs>
                <w:tab w:val="right" w:pos="9378"/>
              </w:tabs>
            </w:pPr>
            <w:r w:rsidRPr="00F6705F">
              <w:rPr>
                <w:b/>
              </w:rPr>
              <w:t>Document control</w:t>
            </w:r>
            <w:r w:rsidRPr="00F6705F">
              <w:rPr>
                <w:b/>
                <w:bCs/>
                <w:noProof/>
              </w:rPr>
              <w:tab/>
            </w:r>
            <w:sdt>
              <w:sdtPr>
                <w:rPr>
                  <w:b/>
                  <w:bCs/>
                  <w:noProof/>
                </w:rPr>
                <w:alias w:val="Document Control Image"/>
                <w:tag w:val="DocumentControlImage"/>
                <w:id w:val="19269252"/>
                <w:picture/>
              </w:sdtPr>
              <w:sdtEndPr/>
              <w:sdtContent>
                <w:r w:rsidRPr="00F6705F">
                  <w:rPr>
                    <w:b/>
                    <w:bCs/>
                    <w:noProof/>
                    <w:lang w:val="en-AU" w:eastAsia="en-AU"/>
                  </w:rPr>
                  <w:drawing>
                    <wp:inline distT="0" distB="0" distL="0" distR="0" wp14:anchorId="43D88E4C" wp14:editId="65D7C177">
                      <wp:extent cx="719329" cy="158496"/>
                      <wp:effectExtent l="0" t="0" r="5080" b="0"/>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9329" cy="158496"/>
                              </a:xfrm>
                              <a:prstGeom prst="rect">
                                <a:avLst/>
                              </a:prstGeom>
                            </pic:spPr>
                          </pic:pic>
                        </a:graphicData>
                      </a:graphic>
                    </wp:inline>
                  </w:drawing>
                </w:r>
              </w:sdtContent>
            </w:sdt>
          </w:p>
        </w:tc>
      </w:tr>
      <w:tr w:rsidR="00EA3C03" w:rsidRPr="00F6705F" w14:paraId="36FB607D" w14:textId="77777777" w:rsidTr="00731F44">
        <w:tblPrEx>
          <w:tblBorders>
            <w:top w:val="single" w:sz="4" w:space="0" w:color="C0C0C0" w:themeColor="accent3"/>
            <w:left w:val="single" w:sz="4" w:space="0" w:color="C0C0C0" w:themeColor="accent3"/>
            <w:bottom w:val="single" w:sz="4" w:space="0" w:color="C0C0C0" w:themeColor="accent3"/>
            <w:right w:val="single" w:sz="4" w:space="0" w:color="C0C0C0" w:themeColor="accent3"/>
            <w:insideH w:val="single" w:sz="4" w:space="0" w:color="C0C0C0" w:themeColor="accent3"/>
            <w:insideV w:val="single" w:sz="4" w:space="0" w:color="C0C0C0" w:themeColor="accent3"/>
          </w:tblBorders>
          <w:tblLook w:val="04A0" w:firstRow="1" w:lastRow="0" w:firstColumn="1" w:lastColumn="0" w:noHBand="0" w:noVBand="1"/>
        </w:tblPrEx>
        <w:trPr>
          <w:cantSplit/>
          <w:trHeight w:val="369"/>
        </w:trPr>
        <w:tc>
          <w:tcPr>
            <w:tcW w:w="1231" w:type="pct"/>
            <w:gridSpan w:val="2"/>
            <w:shd w:val="clear" w:color="auto" w:fill="E4F1CC" w:themeFill="background2"/>
          </w:tcPr>
          <w:p w14:paraId="0CEF9B4C" w14:textId="77777777" w:rsidR="00EA3C03" w:rsidRPr="00F6705F" w:rsidRDefault="00EA3C03" w:rsidP="00772663">
            <w:pPr>
              <w:spacing w:before="80" w:after="60"/>
              <w:rPr>
                <w:b/>
                <w:sz w:val="18"/>
                <w:szCs w:val="18"/>
              </w:rPr>
            </w:pPr>
            <w:r w:rsidRPr="00F6705F">
              <w:rPr>
                <w:b/>
                <w:sz w:val="18"/>
                <w:szCs w:val="18"/>
              </w:rPr>
              <w:t>Report title</w:t>
            </w:r>
          </w:p>
        </w:tc>
        <w:sdt>
          <w:sdtPr>
            <w:rPr>
              <w:bCs/>
              <w:sz w:val="18"/>
              <w:szCs w:val="18"/>
            </w:rPr>
            <w:tag w:val="dcDocumentTitle"/>
            <w:id w:val="-432664805"/>
            <w:placeholder>
              <w:docPart w:val="E128EDD6C20240868D7E481CC6EF862E"/>
            </w:placeholder>
            <w:dataBinding w:xpath="/root[1]/document[1]/title[1]" w:storeItemID="{45393E3D-3B52-4D3F-BBED-1AFEC97AEA28}"/>
            <w:text/>
          </w:sdtPr>
          <w:sdtEndPr/>
          <w:sdtContent>
            <w:tc>
              <w:tcPr>
                <w:tcW w:w="3769" w:type="pct"/>
                <w:gridSpan w:val="4"/>
              </w:tcPr>
              <w:p w14:paraId="5F255A05" w14:textId="77777777" w:rsidR="00EA3C03" w:rsidRPr="00F6705F" w:rsidRDefault="005436AB" w:rsidP="00772663">
                <w:pPr>
                  <w:spacing w:before="80" w:after="60"/>
                  <w:rPr>
                    <w:bCs/>
                    <w:sz w:val="18"/>
                    <w:szCs w:val="18"/>
                  </w:rPr>
                </w:pPr>
                <w:r>
                  <w:rPr>
                    <w:bCs/>
                    <w:sz w:val="18"/>
                    <w:szCs w:val="18"/>
                  </w:rPr>
                  <w:t>Cost Benefit Analysis</w:t>
                </w:r>
              </w:p>
            </w:tc>
          </w:sdtContent>
        </w:sdt>
      </w:tr>
      <w:tr w:rsidR="00EA3C03" w:rsidRPr="00F6705F" w14:paraId="1EF4F866" w14:textId="77777777" w:rsidTr="00731F44">
        <w:tblPrEx>
          <w:tblBorders>
            <w:top w:val="single" w:sz="4" w:space="0" w:color="C0C0C0" w:themeColor="accent3"/>
            <w:left w:val="single" w:sz="4" w:space="0" w:color="C0C0C0" w:themeColor="accent3"/>
            <w:bottom w:val="single" w:sz="4" w:space="0" w:color="C0C0C0" w:themeColor="accent3"/>
            <w:right w:val="single" w:sz="4" w:space="0" w:color="C0C0C0" w:themeColor="accent3"/>
            <w:insideH w:val="single" w:sz="4" w:space="0" w:color="C0C0C0" w:themeColor="accent3"/>
            <w:insideV w:val="single" w:sz="4" w:space="0" w:color="C0C0C0" w:themeColor="accent3"/>
          </w:tblBorders>
          <w:tblLook w:val="04A0" w:firstRow="1" w:lastRow="0" w:firstColumn="1" w:lastColumn="0" w:noHBand="0" w:noVBand="1"/>
        </w:tblPrEx>
        <w:trPr>
          <w:cantSplit/>
          <w:trHeight w:val="369"/>
        </w:trPr>
        <w:tc>
          <w:tcPr>
            <w:tcW w:w="1231" w:type="pct"/>
            <w:gridSpan w:val="2"/>
            <w:shd w:val="clear" w:color="auto" w:fill="E4F1CC" w:themeFill="background2"/>
          </w:tcPr>
          <w:p w14:paraId="1218B2E1" w14:textId="77777777" w:rsidR="00EA3C03" w:rsidRPr="00F6705F" w:rsidRDefault="00EA3C03" w:rsidP="00772663">
            <w:pPr>
              <w:spacing w:before="80" w:after="60"/>
              <w:rPr>
                <w:b/>
                <w:sz w:val="18"/>
                <w:szCs w:val="18"/>
              </w:rPr>
            </w:pPr>
            <w:r w:rsidRPr="00F6705F">
              <w:rPr>
                <w:b/>
                <w:sz w:val="18"/>
                <w:szCs w:val="18"/>
              </w:rPr>
              <w:t>Client</w:t>
            </w:r>
          </w:p>
        </w:tc>
        <w:tc>
          <w:tcPr>
            <w:tcW w:w="3769" w:type="pct"/>
            <w:gridSpan w:val="4"/>
          </w:tcPr>
          <w:p w14:paraId="58931E0F" w14:textId="77777777" w:rsidR="00EA3C03" w:rsidRPr="00F6705F" w:rsidRDefault="00B93345" w:rsidP="00772663">
            <w:pPr>
              <w:spacing w:before="80" w:after="60"/>
              <w:rPr>
                <w:bCs/>
                <w:sz w:val="18"/>
                <w:szCs w:val="18"/>
              </w:rPr>
            </w:pPr>
            <w:sdt>
              <w:sdtPr>
                <w:rPr>
                  <w:bCs/>
                  <w:sz w:val="18"/>
                  <w:szCs w:val="18"/>
                </w:rPr>
                <w:tag w:val="dcClient"/>
                <w:id w:val="-538429707"/>
                <w:placeholder>
                  <w:docPart w:val="5FD0DEBEB5934FE79847DDB1A3E3B63C"/>
                </w:placeholder>
                <w:dataBinding w:xpath="/root[1]/project[1]/client[1]" w:storeItemID="{45393E3D-3B52-4D3F-BBED-1AFEC97AEA28}"/>
                <w:text/>
              </w:sdtPr>
              <w:sdtEndPr/>
              <w:sdtContent>
                <w:r w:rsidR="005436AB">
                  <w:rPr>
                    <w:bCs/>
                    <w:sz w:val="18"/>
                    <w:szCs w:val="18"/>
                  </w:rPr>
                  <w:t>EPA Victoria</w:t>
                </w:r>
              </w:sdtContent>
            </w:sdt>
          </w:p>
        </w:tc>
      </w:tr>
      <w:tr w:rsidR="00731F44" w:rsidRPr="00F6705F" w14:paraId="3B32991F" w14:textId="77777777" w:rsidTr="00731F44">
        <w:tblPrEx>
          <w:tblBorders>
            <w:top w:val="single" w:sz="4" w:space="0" w:color="C0C0C0" w:themeColor="accent3"/>
            <w:left w:val="single" w:sz="4" w:space="0" w:color="C0C0C0" w:themeColor="accent3"/>
            <w:bottom w:val="single" w:sz="4" w:space="0" w:color="C0C0C0" w:themeColor="accent3"/>
            <w:right w:val="single" w:sz="4" w:space="0" w:color="C0C0C0" w:themeColor="accent3"/>
            <w:insideH w:val="single" w:sz="4" w:space="0" w:color="C0C0C0" w:themeColor="accent3"/>
            <w:insideV w:val="single" w:sz="4" w:space="0" w:color="C0C0C0" w:themeColor="accent3"/>
          </w:tblBorders>
          <w:tblLook w:val="04A0" w:firstRow="1" w:lastRow="0" w:firstColumn="1" w:lastColumn="0" w:noHBand="0" w:noVBand="1"/>
        </w:tblPrEx>
        <w:trPr>
          <w:cantSplit/>
          <w:trHeight w:val="369"/>
        </w:trPr>
        <w:tc>
          <w:tcPr>
            <w:tcW w:w="1231" w:type="pct"/>
            <w:gridSpan w:val="2"/>
            <w:shd w:val="clear" w:color="auto" w:fill="E4F1CC" w:themeFill="background2"/>
          </w:tcPr>
          <w:p w14:paraId="36EA1774" w14:textId="77777777" w:rsidR="00731F44" w:rsidRPr="00F6705F" w:rsidRDefault="00731F44" w:rsidP="00731F44">
            <w:pPr>
              <w:spacing w:before="80" w:after="60"/>
              <w:rPr>
                <w:b/>
                <w:sz w:val="18"/>
                <w:szCs w:val="18"/>
              </w:rPr>
            </w:pPr>
            <w:r w:rsidRPr="00F6705F">
              <w:rPr>
                <w:b/>
                <w:sz w:val="18"/>
                <w:szCs w:val="18"/>
              </w:rPr>
              <w:t>Client contact</w:t>
            </w:r>
          </w:p>
        </w:tc>
        <w:tc>
          <w:tcPr>
            <w:tcW w:w="1290" w:type="pct"/>
          </w:tcPr>
          <w:p w14:paraId="4D929209" w14:textId="77777777" w:rsidR="00731F44" w:rsidRPr="00F6705F" w:rsidRDefault="00731F44" w:rsidP="00731F44">
            <w:pPr>
              <w:spacing w:before="80" w:after="60"/>
              <w:rPr>
                <w:bCs/>
                <w:sz w:val="18"/>
                <w:szCs w:val="18"/>
              </w:rPr>
            </w:pPr>
            <w:r>
              <w:rPr>
                <w:bCs/>
                <w:sz w:val="18"/>
                <w:szCs w:val="18"/>
              </w:rPr>
              <w:t>Jonathan See</w:t>
            </w:r>
          </w:p>
        </w:tc>
        <w:tc>
          <w:tcPr>
            <w:tcW w:w="1241" w:type="pct"/>
            <w:gridSpan w:val="2"/>
            <w:shd w:val="clear" w:color="auto" w:fill="E4F1CC" w:themeFill="background2"/>
          </w:tcPr>
          <w:p w14:paraId="0AF93565" w14:textId="59A5AC4D" w:rsidR="00731F44" w:rsidRPr="00F6705F" w:rsidRDefault="00731F44" w:rsidP="00731F44">
            <w:pPr>
              <w:spacing w:before="80" w:after="60"/>
              <w:rPr>
                <w:b/>
                <w:sz w:val="18"/>
                <w:szCs w:val="18"/>
              </w:rPr>
            </w:pPr>
            <w:r w:rsidRPr="00F6705F">
              <w:rPr>
                <w:b/>
                <w:sz w:val="18"/>
                <w:szCs w:val="18"/>
              </w:rPr>
              <w:t>Project number</w:t>
            </w:r>
          </w:p>
        </w:tc>
        <w:sdt>
          <w:sdtPr>
            <w:rPr>
              <w:bCs/>
              <w:sz w:val="18"/>
              <w:szCs w:val="18"/>
            </w:rPr>
            <w:tag w:val="dcProjectNumber"/>
            <w:id w:val="-754207588"/>
            <w:placeholder>
              <w:docPart w:val="D2A1206C0ADA4937A459FE7232F56343"/>
            </w:placeholder>
            <w:dataBinding w:xpath="/root[1]/project[1]/number[1]" w:storeItemID="{45393E3D-3B52-4D3F-BBED-1AFEC97AEA28}"/>
            <w:text/>
          </w:sdtPr>
          <w:sdtEndPr/>
          <w:sdtContent>
            <w:tc>
              <w:tcPr>
                <w:tcW w:w="1238" w:type="pct"/>
              </w:tcPr>
              <w:p w14:paraId="15821A2B" w14:textId="05723EFD" w:rsidR="00731F44" w:rsidRPr="00F6705F" w:rsidRDefault="00731F44" w:rsidP="00731F44">
                <w:pPr>
                  <w:spacing w:before="80" w:after="60"/>
                  <w:rPr>
                    <w:bCs/>
                    <w:sz w:val="18"/>
                    <w:szCs w:val="18"/>
                  </w:rPr>
                </w:pPr>
                <w:r>
                  <w:rPr>
                    <w:bCs/>
                    <w:sz w:val="18"/>
                    <w:szCs w:val="18"/>
                  </w:rPr>
                  <w:t>501523</w:t>
                </w:r>
              </w:p>
            </w:tc>
          </w:sdtContent>
        </w:sdt>
      </w:tr>
      <w:tr w:rsidR="00731F44" w:rsidRPr="00F6705F" w14:paraId="49DE8662" w14:textId="77777777" w:rsidTr="00731F44">
        <w:trPr>
          <w:cantSplit/>
          <w:trHeight w:val="369"/>
        </w:trPr>
        <w:tc>
          <w:tcPr>
            <w:tcW w:w="339" w:type="pct"/>
            <w:shd w:val="clear" w:color="auto" w:fill="E4F1CC" w:themeFill="background2"/>
          </w:tcPr>
          <w:p w14:paraId="1F290844" w14:textId="77777777" w:rsidR="00731F44" w:rsidRPr="00F6705F" w:rsidRDefault="00731F44" w:rsidP="00772663">
            <w:pPr>
              <w:pStyle w:val="NoSpacing"/>
              <w:spacing w:before="80" w:after="60"/>
              <w:rPr>
                <w:b/>
                <w:sz w:val="18"/>
                <w:szCs w:val="18"/>
              </w:rPr>
            </w:pPr>
            <w:r w:rsidRPr="00F6705F">
              <w:rPr>
                <w:b/>
                <w:sz w:val="18"/>
                <w:szCs w:val="18"/>
              </w:rPr>
              <w:t>Rev</w:t>
            </w:r>
          </w:p>
        </w:tc>
        <w:tc>
          <w:tcPr>
            <w:tcW w:w="892" w:type="pct"/>
            <w:shd w:val="clear" w:color="auto" w:fill="E4F1CC" w:themeFill="background2"/>
          </w:tcPr>
          <w:p w14:paraId="042ECF8E" w14:textId="77777777" w:rsidR="00731F44" w:rsidRPr="00F6705F" w:rsidRDefault="00731F44" w:rsidP="00772663">
            <w:pPr>
              <w:pStyle w:val="NoSpacing"/>
              <w:spacing w:before="80" w:after="60"/>
              <w:rPr>
                <w:b/>
                <w:sz w:val="18"/>
                <w:szCs w:val="18"/>
              </w:rPr>
            </w:pPr>
            <w:r w:rsidRPr="00F6705F">
              <w:rPr>
                <w:b/>
                <w:sz w:val="18"/>
                <w:szCs w:val="18"/>
              </w:rPr>
              <w:t>Date</w:t>
            </w:r>
          </w:p>
        </w:tc>
        <w:tc>
          <w:tcPr>
            <w:tcW w:w="1290" w:type="pct"/>
            <w:shd w:val="clear" w:color="auto" w:fill="E4F1CC" w:themeFill="background2"/>
          </w:tcPr>
          <w:p w14:paraId="12DD2C91" w14:textId="77777777" w:rsidR="00731F44" w:rsidRPr="00F6705F" w:rsidRDefault="00731F44" w:rsidP="00772663">
            <w:pPr>
              <w:pStyle w:val="NoSpacing"/>
              <w:spacing w:before="80" w:after="60"/>
              <w:rPr>
                <w:b/>
                <w:sz w:val="18"/>
                <w:szCs w:val="18"/>
              </w:rPr>
            </w:pPr>
            <w:r w:rsidRPr="00F6705F">
              <w:rPr>
                <w:b/>
                <w:sz w:val="18"/>
                <w:szCs w:val="18"/>
              </w:rPr>
              <w:t>Revision details/status</w:t>
            </w:r>
          </w:p>
        </w:tc>
        <w:tc>
          <w:tcPr>
            <w:tcW w:w="827" w:type="pct"/>
            <w:shd w:val="clear" w:color="auto" w:fill="E4F1CC" w:themeFill="background2"/>
          </w:tcPr>
          <w:p w14:paraId="4A037012" w14:textId="1A47DBBD" w:rsidR="00731F44" w:rsidRPr="00F6705F" w:rsidRDefault="00731F44" w:rsidP="00772663">
            <w:pPr>
              <w:spacing w:before="80" w:after="60"/>
              <w:rPr>
                <w:b/>
                <w:sz w:val="18"/>
                <w:szCs w:val="18"/>
              </w:rPr>
            </w:pPr>
            <w:r w:rsidRPr="00F6705F">
              <w:rPr>
                <w:b/>
                <w:sz w:val="18"/>
                <w:szCs w:val="18"/>
              </w:rPr>
              <w:t>Author</w:t>
            </w:r>
            <w:r>
              <w:rPr>
                <w:b/>
                <w:sz w:val="18"/>
                <w:szCs w:val="18"/>
              </w:rPr>
              <w:t>s</w:t>
            </w:r>
          </w:p>
        </w:tc>
        <w:tc>
          <w:tcPr>
            <w:tcW w:w="1652" w:type="pct"/>
            <w:gridSpan w:val="2"/>
            <w:shd w:val="clear" w:color="auto" w:fill="E4F1CC" w:themeFill="background2"/>
          </w:tcPr>
          <w:p w14:paraId="75B55DDB" w14:textId="1A708D3A" w:rsidR="00731F44" w:rsidRPr="00F6705F" w:rsidRDefault="00731F44" w:rsidP="00731F44">
            <w:pPr>
              <w:spacing w:before="80" w:after="60"/>
              <w:rPr>
                <w:b/>
                <w:sz w:val="18"/>
                <w:szCs w:val="18"/>
              </w:rPr>
            </w:pPr>
            <w:r w:rsidRPr="00F6705F">
              <w:rPr>
                <w:b/>
                <w:sz w:val="18"/>
                <w:szCs w:val="18"/>
              </w:rPr>
              <w:t>Reviewer</w:t>
            </w:r>
            <w:r>
              <w:rPr>
                <w:b/>
                <w:sz w:val="18"/>
                <w:szCs w:val="18"/>
              </w:rPr>
              <w:t>s</w:t>
            </w:r>
          </w:p>
        </w:tc>
      </w:tr>
      <w:tr w:rsidR="00731F44" w:rsidRPr="00F6705F" w14:paraId="7C608920" w14:textId="77777777" w:rsidTr="00731F44">
        <w:trPr>
          <w:cantSplit/>
          <w:trHeight w:val="340"/>
        </w:trPr>
        <w:tc>
          <w:tcPr>
            <w:tcW w:w="339" w:type="pct"/>
          </w:tcPr>
          <w:p w14:paraId="78D62B4D" w14:textId="77777777" w:rsidR="00731F44" w:rsidRPr="00F6705F" w:rsidRDefault="00731F44" w:rsidP="00731F44">
            <w:pPr>
              <w:spacing w:before="60" w:after="60"/>
              <w:rPr>
                <w:sz w:val="16"/>
                <w:szCs w:val="16"/>
              </w:rPr>
            </w:pPr>
            <w:r>
              <w:rPr>
                <w:sz w:val="16"/>
                <w:szCs w:val="16"/>
              </w:rPr>
              <w:t>Draft</w:t>
            </w:r>
          </w:p>
        </w:tc>
        <w:tc>
          <w:tcPr>
            <w:tcW w:w="892" w:type="pct"/>
          </w:tcPr>
          <w:p w14:paraId="4B4810AC" w14:textId="77777777" w:rsidR="00731F44" w:rsidRPr="00F6705F" w:rsidRDefault="00B93345" w:rsidP="00731F44">
            <w:pPr>
              <w:spacing w:before="60" w:after="60"/>
              <w:rPr>
                <w:sz w:val="16"/>
                <w:szCs w:val="16"/>
              </w:rPr>
            </w:pPr>
            <w:sdt>
              <w:sdtPr>
                <w:rPr>
                  <w:sz w:val="16"/>
                  <w:szCs w:val="16"/>
                </w:rPr>
                <w:id w:val="1573698351"/>
                <w:placeholder>
                  <w:docPart w:val="2C0DEFD120CA43B5B682B22FC4966C3E"/>
                </w:placeholder>
                <w:date w:fullDate="2018-03-12T00:00:00Z">
                  <w:dateFormat w:val="d MMMM yyyy"/>
                  <w:lid w:val="en-US"/>
                  <w:storeMappedDataAs w:val="dateTime"/>
                  <w:calendar w:val="gregorian"/>
                </w:date>
              </w:sdtPr>
              <w:sdtEndPr/>
              <w:sdtContent>
                <w:r w:rsidR="00731F44">
                  <w:rPr>
                    <w:sz w:val="16"/>
                    <w:szCs w:val="16"/>
                    <w:lang w:val="en-US"/>
                  </w:rPr>
                  <w:t>12 March 2018</w:t>
                </w:r>
              </w:sdtContent>
            </w:sdt>
          </w:p>
        </w:tc>
        <w:tc>
          <w:tcPr>
            <w:tcW w:w="1290" w:type="pct"/>
          </w:tcPr>
          <w:p w14:paraId="26B47F50" w14:textId="77777777" w:rsidR="00731F44" w:rsidRPr="00F6705F" w:rsidRDefault="00731F44" w:rsidP="00731F44">
            <w:pPr>
              <w:spacing w:before="60" w:after="60"/>
              <w:rPr>
                <w:bCs/>
                <w:sz w:val="16"/>
                <w:szCs w:val="16"/>
              </w:rPr>
            </w:pPr>
            <w:r>
              <w:rPr>
                <w:bCs/>
                <w:sz w:val="16"/>
                <w:szCs w:val="16"/>
              </w:rPr>
              <w:t>Draft Report</w:t>
            </w:r>
          </w:p>
        </w:tc>
        <w:tc>
          <w:tcPr>
            <w:tcW w:w="827" w:type="pct"/>
          </w:tcPr>
          <w:p w14:paraId="7584D7F5" w14:textId="77777777" w:rsidR="00731F44" w:rsidRPr="00F6705F" w:rsidRDefault="00731F44" w:rsidP="00731F44">
            <w:pPr>
              <w:spacing w:before="60" w:after="60"/>
              <w:rPr>
                <w:bCs/>
                <w:sz w:val="16"/>
                <w:szCs w:val="16"/>
              </w:rPr>
            </w:pPr>
            <w:r>
              <w:rPr>
                <w:bCs/>
                <w:sz w:val="16"/>
                <w:szCs w:val="16"/>
              </w:rPr>
              <w:t>Kapil Kulkarni, Candice Nguyen</w:t>
            </w:r>
          </w:p>
        </w:tc>
        <w:tc>
          <w:tcPr>
            <w:tcW w:w="1652" w:type="pct"/>
            <w:gridSpan w:val="2"/>
          </w:tcPr>
          <w:p w14:paraId="61C1329C" w14:textId="77777777" w:rsidR="00731F44" w:rsidRDefault="00731F44" w:rsidP="00731F44">
            <w:pPr>
              <w:spacing w:before="60" w:after="60"/>
              <w:rPr>
                <w:bCs/>
                <w:sz w:val="16"/>
                <w:szCs w:val="16"/>
              </w:rPr>
            </w:pPr>
            <w:r>
              <w:rPr>
                <w:bCs/>
                <w:sz w:val="16"/>
                <w:szCs w:val="16"/>
              </w:rPr>
              <w:t>EPA Victoria</w:t>
            </w:r>
          </w:p>
          <w:p w14:paraId="4BBF63E9" w14:textId="77777777" w:rsidR="00731F44" w:rsidRDefault="00731F44" w:rsidP="00731F44">
            <w:pPr>
              <w:spacing w:before="60" w:after="60"/>
              <w:rPr>
                <w:bCs/>
                <w:sz w:val="16"/>
                <w:szCs w:val="16"/>
              </w:rPr>
            </w:pPr>
            <w:r>
              <w:rPr>
                <w:bCs/>
                <w:sz w:val="16"/>
                <w:szCs w:val="16"/>
              </w:rPr>
              <w:t>NSW EPA</w:t>
            </w:r>
          </w:p>
          <w:p w14:paraId="1B7BEDDA" w14:textId="0F69635C" w:rsidR="00731F44" w:rsidRPr="00F6705F" w:rsidRDefault="00731F44" w:rsidP="00731F44">
            <w:pPr>
              <w:spacing w:before="60" w:after="60"/>
              <w:rPr>
                <w:bCs/>
                <w:sz w:val="16"/>
                <w:szCs w:val="16"/>
              </w:rPr>
            </w:pPr>
            <w:r>
              <w:rPr>
                <w:bCs/>
                <w:sz w:val="16"/>
                <w:szCs w:val="16"/>
              </w:rPr>
              <w:t>Department of Environment</w:t>
            </w:r>
          </w:p>
        </w:tc>
      </w:tr>
      <w:tr w:rsidR="00731F44" w:rsidRPr="00F6705F" w14:paraId="4E72B881" w14:textId="77777777" w:rsidTr="00731F44">
        <w:trPr>
          <w:cantSplit/>
          <w:trHeight w:val="340"/>
        </w:trPr>
        <w:tc>
          <w:tcPr>
            <w:tcW w:w="339" w:type="pct"/>
          </w:tcPr>
          <w:p w14:paraId="1E799507" w14:textId="744744A0" w:rsidR="00731F44" w:rsidRPr="00F6705F" w:rsidRDefault="00731F44" w:rsidP="00731F44">
            <w:pPr>
              <w:spacing w:before="60" w:after="60"/>
              <w:rPr>
                <w:sz w:val="16"/>
                <w:szCs w:val="16"/>
              </w:rPr>
            </w:pPr>
            <w:r>
              <w:rPr>
                <w:sz w:val="16"/>
                <w:szCs w:val="16"/>
              </w:rPr>
              <w:t>Final Draft</w:t>
            </w:r>
          </w:p>
        </w:tc>
        <w:tc>
          <w:tcPr>
            <w:tcW w:w="892" w:type="pct"/>
          </w:tcPr>
          <w:p w14:paraId="3956DF85" w14:textId="6EDFC349" w:rsidR="00731F44" w:rsidRPr="00F6705F" w:rsidRDefault="00731F44" w:rsidP="00731F44">
            <w:pPr>
              <w:spacing w:before="60" w:after="60"/>
              <w:rPr>
                <w:sz w:val="16"/>
                <w:szCs w:val="16"/>
              </w:rPr>
            </w:pPr>
            <w:r>
              <w:rPr>
                <w:sz w:val="16"/>
                <w:szCs w:val="16"/>
              </w:rPr>
              <w:t>30 May 2018</w:t>
            </w:r>
          </w:p>
        </w:tc>
        <w:tc>
          <w:tcPr>
            <w:tcW w:w="1290" w:type="pct"/>
          </w:tcPr>
          <w:p w14:paraId="54C9D113" w14:textId="38808EAA" w:rsidR="00731F44" w:rsidRPr="00F6705F" w:rsidRDefault="00731F44" w:rsidP="00731F44">
            <w:pPr>
              <w:spacing w:before="60" w:after="60"/>
              <w:rPr>
                <w:bCs/>
                <w:sz w:val="16"/>
                <w:szCs w:val="16"/>
              </w:rPr>
            </w:pPr>
            <w:r>
              <w:rPr>
                <w:bCs/>
                <w:sz w:val="16"/>
                <w:szCs w:val="16"/>
              </w:rPr>
              <w:t>Final Draft Report</w:t>
            </w:r>
          </w:p>
        </w:tc>
        <w:tc>
          <w:tcPr>
            <w:tcW w:w="827" w:type="pct"/>
          </w:tcPr>
          <w:p w14:paraId="5D66A4FC" w14:textId="60231A7C" w:rsidR="00731F44" w:rsidRPr="00F6705F" w:rsidRDefault="00731F44" w:rsidP="00731F44">
            <w:pPr>
              <w:spacing w:before="60" w:after="60"/>
              <w:rPr>
                <w:bCs/>
                <w:sz w:val="16"/>
                <w:szCs w:val="16"/>
              </w:rPr>
            </w:pPr>
            <w:r w:rsidRPr="005812DD">
              <w:rPr>
                <w:bCs/>
                <w:sz w:val="16"/>
                <w:szCs w:val="16"/>
              </w:rPr>
              <w:t>Kapil Kulkarni, Candice Nguyen</w:t>
            </w:r>
          </w:p>
        </w:tc>
        <w:tc>
          <w:tcPr>
            <w:tcW w:w="1652" w:type="pct"/>
            <w:gridSpan w:val="2"/>
          </w:tcPr>
          <w:p w14:paraId="5C341F07" w14:textId="77777777" w:rsidR="00731F44" w:rsidRDefault="00731F44" w:rsidP="00731F44">
            <w:pPr>
              <w:spacing w:before="60" w:after="60"/>
              <w:rPr>
                <w:bCs/>
                <w:sz w:val="16"/>
                <w:szCs w:val="16"/>
              </w:rPr>
            </w:pPr>
            <w:r>
              <w:rPr>
                <w:bCs/>
                <w:sz w:val="16"/>
                <w:szCs w:val="16"/>
              </w:rPr>
              <w:t>EPA Victoria</w:t>
            </w:r>
          </w:p>
          <w:p w14:paraId="569747CD" w14:textId="77777777" w:rsidR="00731F44" w:rsidRDefault="00731F44" w:rsidP="00731F44">
            <w:pPr>
              <w:spacing w:before="60" w:after="60"/>
              <w:rPr>
                <w:bCs/>
                <w:sz w:val="16"/>
                <w:szCs w:val="16"/>
              </w:rPr>
            </w:pPr>
            <w:r>
              <w:rPr>
                <w:bCs/>
                <w:sz w:val="16"/>
                <w:szCs w:val="16"/>
              </w:rPr>
              <w:t>NSW EPA</w:t>
            </w:r>
          </w:p>
          <w:p w14:paraId="7B5A3366" w14:textId="04AA71C5" w:rsidR="00731F44" w:rsidRPr="00F6705F" w:rsidRDefault="00731F44" w:rsidP="00731F44">
            <w:pPr>
              <w:spacing w:before="60" w:after="60"/>
              <w:rPr>
                <w:bCs/>
                <w:sz w:val="16"/>
                <w:szCs w:val="16"/>
              </w:rPr>
            </w:pPr>
            <w:r>
              <w:rPr>
                <w:bCs/>
                <w:sz w:val="16"/>
                <w:szCs w:val="16"/>
              </w:rPr>
              <w:t>Department of Environment</w:t>
            </w:r>
          </w:p>
        </w:tc>
      </w:tr>
      <w:tr w:rsidR="00731F44" w:rsidRPr="00F6705F" w14:paraId="6E600081" w14:textId="77777777" w:rsidTr="00731F44">
        <w:trPr>
          <w:cantSplit/>
          <w:trHeight w:val="340"/>
        </w:trPr>
        <w:tc>
          <w:tcPr>
            <w:tcW w:w="339" w:type="pct"/>
          </w:tcPr>
          <w:p w14:paraId="221D0ECC" w14:textId="59157AB7" w:rsidR="00731F44" w:rsidRPr="00F6705F" w:rsidRDefault="00731F44" w:rsidP="00772663">
            <w:pPr>
              <w:spacing w:before="60" w:after="60"/>
              <w:rPr>
                <w:sz w:val="16"/>
                <w:szCs w:val="16"/>
              </w:rPr>
            </w:pPr>
            <w:r>
              <w:rPr>
                <w:sz w:val="16"/>
                <w:szCs w:val="16"/>
              </w:rPr>
              <w:t>Final</w:t>
            </w:r>
          </w:p>
        </w:tc>
        <w:tc>
          <w:tcPr>
            <w:tcW w:w="892" w:type="pct"/>
          </w:tcPr>
          <w:p w14:paraId="4FCD6B18" w14:textId="27A7CF61" w:rsidR="00731F44" w:rsidRPr="00F6705F" w:rsidRDefault="009F48E8" w:rsidP="00772663">
            <w:pPr>
              <w:spacing w:before="60" w:after="60"/>
              <w:rPr>
                <w:sz w:val="16"/>
                <w:szCs w:val="16"/>
              </w:rPr>
            </w:pPr>
            <w:r>
              <w:rPr>
                <w:sz w:val="16"/>
                <w:szCs w:val="16"/>
              </w:rPr>
              <w:t>6</w:t>
            </w:r>
            <w:r w:rsidR="00731F44">
              <w:rPr>
                <w:sz w:val="16"/>
                <w:szCs w:val="16"/>
              </w:rPr>
              <w:t xml:space="preserve"> July 2018</w:t>
            </w:r>
          </w:p>
        </w:tc>
        <w:tc>
          <w:tcPr>
            <w:tcW w:w="1290" w:type="pct"/>
          </w:tcPr>
          <w:p w14:paraId="16926065" w14:textId="14D0D217" w:rsidR="00731F44" w:rsidRPr="00F6705F" w:rsidRDefault="00731F44" w:rsidP="00772663">
            <w:pPr>
              <w:spacing w:before="60" w:after="60"/>
              <w:rPr>
                <w:bCs/>
                <w:sz w:val="16"/>
                <w:szCs w:val="16"/>
              </w:rPr>
            </w:pPr>
            <w:r>
              <w:rPr>
                <w:bCs/>
                <w:sz w:val="16"/>
                <w:szCs w:val="16"/>
              </w:rPr>
              <w:t>Updated Final Report</w:t>
            </w:r>
          </w:p>
        </w:tc>
        <w:tc>
          <w:tcPr>
            <w:tcW w:w="827" w:type="pct"/>
          </w:tcPr>
          <w:p w14:paraId="0888D305" w14:textId="79069B26" w:rsidR="00731F44" w:rsidRPr="00F6705F" w:rsidRDefault="00731F44" w:rsidP="00772663">
            <w:pPr>
              <w:spacing w:before="60" w:after="60"/>
              <w:rPr>
                <w:bCs/>
                <w:sz w:val="16"/>
                <w:szCs w:val="16"/>
              </w:rPr>
            </w:pPr>
            <w:r w:rsidRPr="005812DD">
              <w:rPr>
                <w:bCs/>
                <w:sz w:val="16"/>
                <w:szCs w:val="16"/>
              </w:rPr>
              <w:t>Kapil Kulkarni, Candice Nguyen</w:t>
            </w:r>
          </w:p>
        </w:tc>
        <w:tc>
          <w:tcPr>
            <w:tcW w:w="1652" w:type="pct"/>
            <w:gridSpan w:val="2"/>
          </w:tcPr>
          <w:p w14:paraId="10A3938B" w14:textId="77777777" w:rsidR="00731F44" w:rsidRPr="00F6705F" w:rsidRDefault="00731F44" w:rsidP="00772663">
            <w:pPr>
              <w:spacing w:before="60" w:after="60"/>
              <w:rPr>
                <w:bCs/>
                <w:sz w:val="16"/>
                <w:szCs w:val="16"/>
              </w:rPr>
            </w:pPr>
          </w:p>
        </w:tc>
      </w:tr>
      <w:tr w:rsidR="00EA3C03" w:rsidRPr="00F6705F" w14:paraId="22F03339" w14:textId="77777777" w:rsidTr="00731F44">
        <w:trPr>
          <w:cantSplit/>
          <w:trHeight w:val="369"/>
        </w:trPr>
        <w:tc>
          <w:tcPr>
            <w:tcW w:w="1231" w:type="pct"/>
            <w:gridSpan w:val="2"/>
            <w:shd w:val="clear" w:color="auto" w:fill="E4F1CC" w:themeFill="background2"/>
          </w:tcPr>
          <w:p w14:paraId="12E376B3" w14:textId="77777777" w:rsidR="00EA3C03" w:rsidRPr="00F6705F" w:rsidRDefault="00EA3C03" w:rsidP="00772663">
            <w:pPr>
              <w:pStyle w:val="NoSpacing"/>
              <w:spacing w:before="80" w:after="60"/>
              <w:rPr>
                <w:b/>
                <w:sz w:val="18"/>
                <w:szCs w:val="18"/>
              </w:rPr>
            </w:pPr>
            <w:r w:rsidRPr="00F6705F">
              <w:rPr>
                <w:b/>
                <w:sz w:val="18"/>
                <w:szCs w:val="18"/>
              </w:rPr>
              <w:t>Current revision</w:t>
            </w:r>
          </w:p>
        </w:tc>
        <w:tc>
          <w:tcPr>
            <w:tcW w:w="3769" w:type="pct"/>
            <w:gridSpan w:val="4"/>
            <w:shd w:val="clear" w:color="auto" w:fill="auto"/>
          </w:tcPr>
          <w:p w14:paraId="3B4D6388" w14:textId="483E5F05" w:rsidR="00EA3C03" w:rsidRPr="00F6705F" w:rsidRDefault="00B93345" w:rsidP="00772663">
            <w:pPr>
              <w:pStyle w:val="NoSpacing"/>
              <w:spacing w:before="80" w:after="60"/>
              <w:rPr>
                <w:b/>
                <w:sz w:val="18"/>
                <w:szCs w:val="18"/>
              </w:rPr>
            </w:pPr>
            <w:sdt>
              <w:sdtPr>
                <w:rPr>
                  <w:rFonts w:eastAsiaTheme="minorEastAsia"/>
                  <w:b/>
                  <w:bCs/>
                  <w:sz w:val="18"/>
                  <w:szCs w:val="18"/>
                </w:rPr>
                <w:alias w:val="Current Revision"/>
                <w:tag w:val="CurrentRevision"/>
                <w:id w:val="1143234813"/>
                <w:dataBinding w:xpath="/root[1]/project[1]/revision[1]" w:storeItemID="{45393E3D-3B52-4D3F-BBED-1AFEC97AEA28}"/>
                <w:text/>
              </w:sdtPr>
              <w:sdtEndPr/>
              <w:sdtContent>
                <w:r w:rsidR="00731F44">
                  <w:rPr>
                    <w:rFonts w:eastAsiaTheme="minorEastAsia"/>
                    <w:b/>
                    <w:bCs/>
                    <w:sz w:val="18"/>
                    <w:szCs w:val="18"/>
                  </w:rPr>
                  <w:t>Final</w:t>
                </w:r>
              </w:sdtContent>
            </w:sdt>
          </w:p>
        </w:tc>
      </w:tr>
    </w:tbl>
    <w:p w14:paraId="73E9CAE0" w14:textId="77777777" w:rsidR="00EA3C03" w:rsidRPr="00F6705F" w:rsidRDefault="00EA3C03" w:rsidP="00772663"/>
    <w:p w14:paraId="49932335" w14:textId="77777777" w:rsidR="00EA3C03" w:rsidRPr="00F6705F" w:rsidRDefault="00EA3C03" w:rsidP="00772663">
      <w:pPr>
        <w:rPr>
          <w:b/>
        </w:rPr>
      </w:pPr>
    </w:p>
    <w:p w14:paraId="2CBA7D86" w14:textId="77777777" w:rsidR="00EA3C03" w:rsidRPr="00F6705F" w:rsidRDefault="00EA3C03" w:rsidP="00772663"/>
    <w:p w14:paraId="096E57BF" w14:textId="77777777" w:rsidR="00D5671B" w:rsidRDefault="00D5671B" w:rsidP="0021179E">
      <w:pPr>
        <w:spacing w:after="200" w:line="276" w:lineRule="auto"/>
        <w:rPr>
          <w:sz w:val="2"/>
          <w:szCs w:val="2"/>
        </w:rPr>
        <w:sectPr w:rsidR="00D5671B" w:rsidSect="00EA3C03">
          <w:headerReference w:type="default" r:id="rId13"/>
          <w:footerReference w:type="default" r:id="rId14"/>
          <w:pgSz w:w="11906" w:h="16838"/>
          <w:pgMar w:top="850" w:right="850" w:bottom="850" w:left="1417" w:header="709" w:footer="510" w:gutter="0"/>
          <w:cols w:space="708"/>
          <w:docGrid w:linePitch="360"/>
        </w:sectPr>
      </w:pPr>
    </w:p>
    <w:bookmarkStart w:id="1" w:name="bkmContentsPageR1" w:displacedByCustomXml="next"/>
    <w:sdt>
      <w:sdtPr>
        <w:rPr>
          <w:color w:val="7AB800" w:themeColor="accent1"/>
          <w:sz w:val="70"/>
          <w:szCs w:val="70"/>
        </w:rPr>
        <w:id w:val="987204905"/>
        <w:docPartObj>
          <w:docPartGallery w:val="Custom Table of Contents"/>
          <w:docPartUnique/>
        </w:docPartObj>
      </w:sdtPr>
      <w:sdtEndPr>
        <w:rPr>
          <w:color w:val="auto"/>
          <w:sz w:val="20"/>
          <w:szCs w:val="20"/>
        </w:rPr>
      </w:sdtEndPr>
      <w:sdtContent>
        <w:p w14:paraId="6928FA99" w14:textId="77777777" w:rsidR="00EA3C03" w:rsidRPr="00DF3C71" w:rsidRDefault="00EA3C03" w:rsidP="00772663">
          <w:pPr>
            <w:pStyle w:val="NoSpacing"/>
            <w:spacing w:after="360"/>
            <w:rPr>
              <w:color w:val="7AB800" w:themeColor="accent1"/>
              <w:sz w:val="70"/>
              <w:szCs w:val="70"/>
            </w:rPr>
          </w:pPr>
          <w:r>
            <w:rPr>
              <w:color w:val="7AB800" w:themeColor="accent1"/>
              <w:sz w:val="70"/>
              <w:szCs w:val="70"/>
            </w:rPr>
            <w:t>Co</w:t>
          </w:r>
          <w:r w:rsidRPr="000F5526">
            <w:rPr>
              <w:color w:val="7AB800" w:themeColor="accent1"/>
              <w:sz w:val="70"/>
              <w:szCs w:val="70"/>
            </w:rPr>
            <w:t>ntents</w:t>
          </w:r>
          <w:bookmarkEnd w:id="1"/>
        </w:p>
        <w:p w14:paraId="265CE9FB" w14:textId="115C95D6" w:rsidR="009F48E8" w:rsidRDefault="00A84381">
          <w:pPr>
            <w:pStyle w:val="TOC1"/>
            <w:rPr>
              <w:rFonts w:eastAsiaTheme="minorEastAsia"/>
              <w:b w:val="0"/>
              <w:color w:val="auto"/>
              <w:sz w:val="22"/>
              <w:szCs w:val="22"/>
              <w:lang w:val="en-AU" w:eastAsia="en-AU"/>
            </w:rPr>
          </w:pPr>
          <w:r>
            <w:rPr>
              <w:rFonts w:ascii="Arial" w:hAnsi="Arial" w:cs="Arial"/>
              <w:b w:val="0"/>
              <w:color w:val="FFFFFF" w:themeColor="background1"/>
              <w:sz w:val="110"/>
              <w:szCs w:val="110"/>
              <w:lang w:val="en-PH"/>
            </w:rPr>
            <w:fldChar w:fldCharType="begin"/>
          </w:r>
          <w:r>
            <w:rPr>
              <w:rFonts w:ascii="Arial" w:hAnsi="Arial" w:cs="Arial"/>
              <w:b w:val="0"/>
              <w:color w:val="FFFFFF" w:themeColor="background1"/>
              <w:sz w:val="110"/>
              <w:szCs w:val="110"/>
              <w:lang w:val="en-PH"/>
            </w:rPr>
            <w:instrText xml:space="preserve"> TOC \o "1-2" \h \z \u </w:instrText>
          </w:r>
          <w:r>
            <w:rPr>
              <w:rFonts w:ascii="Arial" w:hAnsi="Arial" w:cs="Arial"/>
              <w:b w:val="0"/>
              <w:color w:val="FFFFFF" w:themeColor="background1"/>
              <w:sz w:val="110"/>
              <w:szCs w:val="110"/>
              <w:lang w:val="en-PH"/>
            </w:rPr>
            <w:fldChar w:fldCharType="separate"/>
          </w:r>
          <w:hyperlink w:anchor="_Toc518629876" w:history="1">
            <w:r w:rsidR="009F48E8" w:rsidRPr="00430F2B">
              <w:rPr>
                <w:rStyle w:val="Hyperlink"/>
              </w:rPr>
              <w:t>1</w:t>
            </w:r>
            <w:r w:rsidR="009F48E8">
              <w:rPr>
                <w:rFonts w:eastAsiaTheme="minorEastAsia"/>
                <w:b w:val="0"/>
                <w:color w:val="auto"/>
                <w:sz w:val="22"/>
                <w:szCs w:val="22"/>
                <w:lang w:val="en-AU" w:eastAsia="en-AU"/>
              </w:rPr>
              <w:tab/>
            </w:r>
            <w:r w:rsidR="009F48E8" w:rsidRPr="00430F2B">
              <w:rPr>
                <w:rStyle w:val="Hyperlink"/>
              </w:rPr>
              <w:t>Executive Summary</w:t>
            </w:r>
            <w:r w:rsidR="009F48E8">
              <w:rPr>
                <w:webHidden/>
              </w:rPr>
              <w:tab/>
            </w:r>
            <w:r w:rsidR="009F48E8">
              <w:rPr>
                <w:webHidden/>
              </w:rPr>
              <w:fldChar w:fldCharType="begin"/>
            </w:r>
            <w:r w:rsidR="009F48E8">
              <w:rPr>
                <w:webHidden/>
              </w:rPr>
              <w:instrText xml:space="preserve"> PAGEREF _Toc518629876 \h </w:instrText>
            </w:r>
            <w:r w:rsidR="009F48E8">
              <w:rPr>
                <w:webHidden/>
              </w:rPr>
            </w:r>
            <w:r w:rsidR="009F48E8">
              <w:rPr>
                <w:webHidden/>
              </w:rPr>
              <w:fldChar w:fldCharType="separate"/>
            </w:r>
            <w:r w:rsidR="009F48E8">
              <w:rPr>
                <w:webHidden/>
              </w:rPr>
              <w:t>5</w:t>
            </w:r>
            <w:r w:rsidR="009F48E8">
              <w:rPr>
                <w:webHidden/>
              </w:rPr>
              <w:fldChar w:fldCharType="end"/>
            </w:r>
          </w:hyperlink>
        </w:p>
        <w:p w14:paraId="558913DB" w14:textId="153BD336" w:rsidR="009F48E8" w:rsidRDefault="00B93345">
          <w:pPr>
            <w:pStyle w:val="TOC1"/>
            <w:rPr>
              <w:rFonts w:eastAsiaTheme="minorEastAsia"/>
              <w:b w:val="0"/>
              <w:color w:val="auto"/>
              <w:sz w:val="22"/>
              <w:szCs w:val="22"/>
              <w:lang w:val="en-AU" w:eastAsia="en-AU"/>
            </w:rPr>
          </w:pPr>
          <w:hyperlink w:anchor="_Toc518629877" w:history="1">
            <w:r w:rsidR="009F48E8" w:rsidRPr="00430F2B">
              <w:rPr>
                <w:rStyle w:val="Hyperlink"/>
                <w:lang w:val="en-PH"/>
              </w:rPr>
              <w:t>2</w:t>
            </w:r>
            <w:r w:rsidR="009F48E8">
              <w:rPr>
                <w:rFonts w:eastAsiaTheme="minorEastAsia"/>
                <w:b w:val="0"/>
                <w:color w:val="auto"/>
                <w:sz w:val="22"/>
                <w:szCs w:val="22"/>
                <w:lang w:val="en-AU" w:eastAsia="en-AU"/>
              </w:rPr>
              <w:tab/>
            </w:r>
            <w:r w:rsidR="009F48E8" w:rsidRPr="00430F2B">
              <w:rPr>
                <w:rStyle w:val="Hyperlink"/>
                <w:lang w:val="en-PH"/>
              </w:rPr>
              <w:t>Introduction</w:t>
            </w:r>
            <w:r w:rsidR="009F48E8">
              <w:rPr>
                <w:webHidden/>
              </w:rPr>
              <w:tab/>
            </w:r>
            <w:r w:rsidR="009F48E8">
              <w:rPr>
                <w:webHidden/>
              </w:rPr>
              <w:fldChar w:fldCharType="begin"/>
            </w:r>
            <w:r w:rsidR="009F48E8">
              <w:rPr>
                <w:webHidden/>
              </w:rPr>
              <w:instrText xml:space="preserve"> PAGEREF _Toc518629877 \h </w:instrText>
            </w:r>
            <w:r w:rsidR="009F48E8">
              <w:rPr>
                <w:webHidden/>
              </w:rPr>
            </w:r>
            <w:r w:rsidR="009F48E8">
              <w:rPr>
                <w:webHidden/>
              </w:rPr>
              <w:fldChar w:fldCharType="separate"/>
            </w:r>
            <w:r w:rsidR="009F48E8">
              <w:rPr>
                <w:webHidden/>
              </w:rPr>
              <w:t>7</w:t>
            </w:r>
            <w:r w:rsidR="009F48E8">
              <w:rPr>
                <w:webHidden/>
              </w:rPr>
              <w:fldChar w:fldCharType="end"/>
            </w:r>
          </w:hyperlink>
        </w:p>
        <w:p w14:paraId="06CB91F4" w14:textId="4AEFDCB6" w:rsidR="009F48E8" w:rsidRDefault="00B93345">
          <w:pPr>
            <w:pStyle w:val="TOC2"/>
            <w:tabs>
              <w:tab w:val="left" w:pos="1440"/>
            </w:tabs>
            <w:rPr>
              <w:rFonts w:eastAsiaTheme="minorEastAsia"/>
              <w:sz w:val="22"/>
              <w:szCs w:val="22"/>
              <w:lang w:val="en-AU" w:eastAsia="en-AU"/>
            </w:rPr>
          </w:pPr>
          <w:hyperlink w:anchor="_Toc518629878" w:history="1">
            <w:r w:rsidR="009F48E8" w:rsidRPr="00430F2B">
              <w:rPr>
                <w:rStyle w:val="Hyperlink"/>
                <w:lang w:val="en-PH"/>
                <w14:scene3d>
                  <w14:camera w14:prst="orthographicFront"/>
                  <w14:lightRig w14:rig="threePt" w14:dir="t">
                    <w14:rot w14:lat="0" w14:lon="0" w14:rev="0"/>
                  </w14:lightRig>
                </w14:scene3d>
              </w:rPr>
              <w:t>2.1</w:t>
            </w:r>
            <w:r w:rsidR="009F48E8">
              <w:rPr>
                <w:rFonts w:eastAsiaTheme="minorEastAsia"/>
                <w:sz w:val="22"/>
                <w:szCs w:val="22"/>
                <w:lang w:val="en-AU" w:eastAsia="en-AU"/>
              </w:rPr>
              <w:tab/>
            </w:r>
            <w:r w:rsidR="009F48E8" w:rsidRPr="00430F2B">
              <w:rPr>
                <w:rStyle w:val="Hyperlink"/>
                <w:lang w:val="en-PH"/>
              </w:rPr>
              <w:t>Background to the project</w:t>
            </w:r>
            <w:r w:rsidR="009F48E8">
              <w:rPr>
                <w:webHidden/>
              </w:rPr>
              <w:tab/>
            </w:r>
            <w:r w:rsidR="009F48E8">
              <w:rPr>
                <w:webHidden/>
              </w:rPr>
              <w:fldChar w:fldCharType="begin"/>
            </w:r>
            <w:r w:rsidR="009F48E8">
              <w:rPr>
                <w:webHidden/>
              </w:rPr>
              <w:instrText xml:space="preserve"> PAGEREF _Toc518629878 \h </w:instrText>
            </w:r>
            <w:r w:rsidR="009F48E8">
              <w:rPr>
                <w:webHidden/>
              </w:rPr>
            </w:r>
            <w:r w:rsidR="009F48E8">
              <w:rPr>
                <w:webHidden/>
              </w:rPr>
              <w:fldChar w:fldCharType="separate"/>
            </w:r>
            <w:r w:rsidR="009F48E8">
              <w:rPr>
                <w:webHidden/>
              </w:rPr>
              <w:t>7</w:t>
            </w:r>
            <w:r w:rsidR="009F48E8">
              <w:rPr>
                <w:webHidden/>
              </w:rPr>
              <w:fldChar w:fldCharType="end"/>
            </w:r>
          </w:hyperlink>
        </w:p>
        <w:p w14:paraId="4AAAE581" w14:textId="52D07B41" w:rsidR="009F48E8" w:rsidRDefault="00B93345">
          <w:pPr>
            <w:pStyle w:val="TOC2"/>
            <w:tabs>
              <w:tab w:val="left" w:pos="1440"/>
            </w:tabs>
            <w:rPr>
              <w:rFonts w:eastAsiaTheme="minorEastAsia"/>
              <w:sz w:val="22"/>
              <w:szCs w:val="22"/>
              <w:lang w:val="en-AU" w:eastAsia="en-AU"/>
            </w:rPr>
          </w:pPr>
          <w:hyperlink w:anchor="_Toc518629879" w:history="1">
            <w:r w:rsidR="009F48E8" w:rsidRPr="00430F2B">
              <w:rPr>
                <w:rStyle w:val="Hyperlink"/>
                <w:lang w:val="en-PH"/>
                <w14:scene3d>
                  <w14:camera w14:prst="orthographicFront"/>
                  <w14:lightRig w14:rig="threePt" w14:dir="t">
                    <w14:rot w14:lat="0" w14:lon="0" w14:rev="0"/>
                  </w14:lightRig>
                </w14:scene3d>
              </w:rPr>
              <w:t>2.2</w:t>
            </w:r>
            <w:r w:rsidR="009F48E8">
              <w:rPr>
                <w:rFonts w:eastAsiaTheme="minorEastAsia"/>
                <w:sz w:val="22"/>
                <w:szCs w:val="22"/>
                <w:lang w:val="en-AU" w:eastAsia="en-AU"/>
              </w:rPr>
              <w:tab/>
            </w:r>
            <w:r w:rsidR="009F48E8" w:rsidRPr="00430F2B">
              <w:rPr>
                <w:rStyle w:val="Hyperlink"/>
                <w:lang w:val="en-PH"/>
              </w:rPr>
              <w:t>Purpose and limitations of the cost benefit analysis</w:t>
            </w:r>
            <w:r w:rsidR="009F48E8">
              <w:rPr>
                <w:webHidden/>
              </w:rPr>
              <w:tab/>
            </w:r>
            <w:r w:rsidR="009F48E8">
              <w:rPr>
                <w:webHidden/>
              </w:rPr>
              <w:fldChar w:fldCharType="begin"/>
            </w:r>
            <w:r w:rsidR="009F48E8">
              <w:rPr>
                <w:webHidden/>
              </w:rPr>
              <w:instrText xml:space="preserve"> PAGEREF _Toc518629879 \h </w:instrText>
            </w:r>
            <w:r w:rsidR="009F48E8">
              <w:rPr>
                <w:webHidden/>
              </w:rPr>
            </w:r>
            <w:r w:rsidR="009F48E8">
              <w:rPr>
                <w:webHidden/>
              </w:rPr>
              <w:fldChar w:fldCharType="separate"/>
            </w:r>
            <w:r w:rsidR="009F48E8">
              <w:rPr>
                <w:webHidden/>
              </w:rPr>
              <w:t>7</w:t>
            </w:r>
            <w:r w:rsidR="009F48E8">
              <w:rPr>
                <w:webHidden/>
              </w:rPr>
              <w:fldChar w:fldCharType="end"/>
            </w:r>
          </w:hyperlink>
        </w:p>
        <w:p w14:paraId="1933519E" w14:textId="414047CD" w:rsidR="009F48E8" w:rsidRDefault="00B93345">
          <w:pPr>
            <w:pStyle w:val="TOC2"/>
            <w:tabs>
              <w:tab w:val="left" w:pos="1440"/>
            </w:tabs>
            <w:rPr>
              <w:rFonts w:eastAsiaTheme="minorEastAsia"/>
              <w:sz w:val="22"/>
              <w:szCs w:val="22"/>
              <w:lang w:val="en-AU" w:eastAsia="en-AU"/>
            </w:rPr>
          </w:pPr>
          <w:hyperlink w:anchor="_Toc518629880" w:history="1">
            <w:r w:rsidR="009F48E8" w:rsidRPr="00430F2B">
              <w:rPr>
                <w:rStyle w:val="Hyperlink"/>
                <w:lang w:val="en-PH"/>
                <w14:scene3d>
                  <w14:camera w14:prst="orthographicFront"/>
                  <w14:lightRig w14:rig="threePt" w14:dir="t">
                    <w14:rot w14:lat="0" w14:lon="0" w14:rev="0"/>
                  </w14:lightRig>
                </w14:scene3d>
              </w:rPr>
              <w:t>2.3</w:t>
            </w:r>
            <w:r w:rsidR="009F48E8">
              <w:rPr>
                <w:rFonts w:eastAsiaTheme="minorEastAsia"/>
                <w:sz w:val="22"/>
                <w:szCs w:val="22"/>
                <w:lang w:val="en-AU" w:eastAsia="en-AU"/>
              </w:rPr>
              <w:tab/>
            </w:r>
            <w:r w:rsidR="009F48E8" w:rsidRPr="00430F2B">
              <w:rPr>
                <w:rStyle w:val="Hyperlink"/>
              </w:rPr>
              <w:t>Structure</w:t>
            </w:r>
            <w:r w:rsidR="009F48E8" w:rsidRPr="00430F2B">
              <w:rPr>
                <w:rStyle w:val="Hyperlink"/>
                <w:lang w:val="en-PH"/>
              </w:rPr>
              <w:t xml:space="preserve"> of this report</w:t>
            </w:r>
            <w:r w:rsidR="009F48E8">
              <w:rPr>
                <w:webHidden/>
              </w:rPr>
              <w:tab/>
            </w:r>
            <w:r w:rsidR="009F48E8">
              <w:rPr>
                <w:webHidden/>
              </w:rPr>
              <w:fldChar w:fldCharType="begin"/>
            </w:r>
            <w:r w:rsidR="009F48E8">
              <w:rPr>
                <w:webHidden/>
              </w:rPr>
              <w:instrText xml:space="preserve"> PAGEREF _Toc518629880 \h </w:instrText>
            </w:r>
            <w:r w:rsidR="009F48E8">
              <w:rPr>
                <w:webHidden/>
              </w:rPr>
            </w:r>
            <w:r w:rsidR="009F48E8">
              <w:rPr>
                <w:webHidden/>
              </w:rPr>
              <w:fldChar w:fldCharType="separate"/>
            </w:r>
            <w:r w:rsidR="009F48E8">
              <w:rPr>
                <w:webHidden/>
              </w:rPr>
              <w:t>8</w:t>
            </w:r>
            <w:r w:rsidR="009F48E8">
              <w:rPr>
                <w:webHidden/>
              </w:rPr>
              <w:fldChar w:fldCharType="end"/>
            </w:r>
          </w:hyperlink>
        </w:p>
        <w:p w14:paraId="60CEE660" w14:textId="38CC63BA" w:rsidR="009F48E8" w:rsidRDefault="00B93345">
          <w:pPr>
            <w:pStyle w:val="TOC1"/>
            <w:rPr>
              <w:rFonts w:eastAsiaTheme="minorEastAsia"/>
              <w:b w:val="0"/>
              <w:color w:val="auto"/>
              <w:sz w:val="22"/>
              <w:szCs w:val="22"/>
              <w:lang w:val="en-AU" w:eastAsia="en-AU"/>
            </w:rPr>
          </w:pPr>
          <w:hyperlink w:anchor="_Toc518629881" w:history="1">
            <w:r w:rsidR="009F48E8" w:rsidRPr="00430F2B">
              <w:rPr>
                <w:rStyle w:val="Hyperlink"/>
                <w:lang w:val="en-PH"/>
              </w:rPr>
              <w:t>3</w:t>
            </w:r>
            <w:r w:rsidR="009F48E8">
              <w:rPr>
                <w:rFonts w:eastAsiaTheme="minorEastAsia"/>
                <w:b w:val="0"/>
                <w:color w:val="auto"/>
                <w:sz w:val="22"/>
                <w:szCs w:val="22"/>
                <w:lang w:val="en-AU" w:eastAsia="en-AU"/>
              </w:rPr>
              <w:tab/>
            </w:r>
            <w:r w:rsidR="009F48E8" w:rsidRPr="00430F2B">
              <w:rPr>
                <w:rStyle w:val="Hyperlink"/>
                <w:lang w:val="en-PH"/>
              </w:rPr>
              <w:t>Cost benefit analysis methodology</w:t>
            </w:r>
            <w:r w:rsidR="009F48E8">
              <w:rPr>
                <w:webHidden/>
              </w:rPr>
              <w:tab/>
            </w:r>
            <w:r w:rsidR="009F48E8">
              <w:rPr>
                <w:webHidden/>
              </w:rPr>
              <w:fldChar w:fldCharType="begin"/>
            </w:r>
            <w:r w:rsidR="009F48E8">
              <w:rPr>
                <w:webHidden/>
              </w:rPr>
              <w:instrText xml:space="preserve"> PAGEREF _Toc518629881 \h </w:instrText>
            </w:r>
            <w:r w:rsidR="009F48E8">
              <w:rPr>
                <w:webHidden/>
              </w:rPr>
            </w:r>
            <w:r w:rsidR="009F48E8">
              <w:rPr>
                <w:webHidden/>
              </w:rPr>
              <w:fldChar w:fldCharType="separate"/>
            </w:r>
            <w:r w:rsidR="009F48E8">
              <w:rPr>
                <w:webHidden/>
              </w:rPr>
              <w:t>9</w:t>
            </w:r>
            <w:r w:rsidR="009F48E8">
              <w:rPr>
                <w:webHidden/>
              </w:rPr>
              <w:fldChar w:fldCharType="end"/>
            </w:r>
          </w:hyperlink>
        </w:p>
        <w:p w14:paraId="7C68D1C1" w14:textId="0A8DA3A1" w:rsidR="009F48E8" w:rsidRDefault="00B93345">
          <w:pPr>
            <w:pStyle w:val="TOC2"/>
            <w:tabs>
              <w:tab w:val="left" w:pos="1440"/>
            </w:tabs>
            <w:rPr>
              <w:rFonts w:eastAsiaTheme="minorEastAsia"/>
              <w:sz w:val="22"/>
              <w:szCs w:val="22"/>
              <w:lang w:val="en-AU" w:eastAsia="en-AU"/>
            </w:rPr>
          </w:pPr>
          <w:hyperlink w:anchor="_Toc518629882" w:history="1">
            <w:r w:rsidR="009F48E8" w:rsidRPr="00430F2B">
              <w:rPr>
                <w:rStyle w:val="Hyperlink"/>
                <w:lang w:val="en-PH"/>
                <w14:scene3d>
                  <w14:camera w14:prst="orthographicFront"/>
                  <w14:lightRig w14:rig="threePt" w14:dir="t">
                    <w14:rot w14:lat="0" w14:lon="0" w14:rev="0"/>
                  </w14:lightRig>
                </w14:scene3d>
              </w:rPr>
              <w:t>3.1</w:t>
            </w:r>
            <w:r w:rsidR="009F48E8">
              <w:rPr>
                <w:rFonts w:eastAsiaTheme="minorEastAsia"/>
                <w:sz w:val="22"/>
                <w:szCs w:val="22"/>
                <w:lang w:val="en-AU" w:eastAsia="en-AU"/>
              </w:rPr>
              <w:tab/>
            </w:r>
            <w:r w:rsidR="009F48E8" w:rsidRPr="00430F2B">
              <w:rPr>
                <w:rStyle w:val="Hyperlink"/>
              </w:rPr>
              <w:t>Cost benefit analysis framework</w:t>
            </w:r>
            <w:r w:rsidR="009F48E8">
              <w:rPr>
                <w:webHidden/>
              </w:rPr>
              <w:tab/>
            </w:r>
            <w:r w:rsidR="009F48E8">
              <w:rPr>
                <w:webHidden/>
              </w:rPr>
              <w:fldChar w:fldCharType="begin"/>
            </w:r>
            <w:r w:rsidR="009F48E8">
              <w:rPr>
                <w:webHidden/>
              </w:rPr>
              <w:instrText xml:space="preserve"> PAGEREF _Toc518629882 \h </w:instrText>
            </w:r>
            <w:r w:rsidR="009F48E8">
              <w:rPr>
                <w:webHidden/>
              </w:rPr>
            </w:r>
            <w:r w:rsidR="009F48E8">
              <w:rPr>
                <w:webHidden/>
              </w:rPr>
              <w:fldChar w:fldCharType="separate"/>
            </w:r>
            <w:r w:rsidR="009F48E8">
              <w:rPr>
                <w:webHidden/>
              </w:rPr>
              <w:t>9</w:t>
            </w:r>
            <w:r w:rsidR="009F48E8">
              <w:rPr>
                <w:webHidden/>
              </w:rPr>
              <w:fldChar w:fldCharType="end"/>
            </w:r>
          </w:hyperlink>
        </w:p>
        <w:p w14:paraId="5C43D3FF" w14:textId="49FE6DEA" w:rsidR="009F48E8" w:rsidRDefault="00B93345">
          <w:pPr>
            <w:pStyle w:val="TOC2"/>
            <w:tabs>
              <w:tab w:val="left" w:pos="1440"/>
            </w:tabs>
            <w:rPr>
              <w:rFonts w:eastAsiaTheme="minorEastAsia"/>
              <w:sz w:val="22"/>
              <w:szCs w:val="22"/>
              <w:lang w:val="en-AU" w:eastAsia="en-AU"/>
            </w:rPr>
          </w:pPr>
          <w:hyperlink w:anchor="_Toc518629883" w:history="1">
            <w:r w:rsidR="009F48E8" w:rsidRPr="00430F2B">
              <w:rPr>
                <w:rStyle w:val="Hyperlink"/>
                <w:lang w:val="en-PH"/>
                <w14:scene3d>
                  <w14:camera w14:prst="orthographicFront"/>
                  <w14:lightRig w14:rig="threePt" w14:dir="t">
                    <w14:rot w14:lat="0" w14:lon="0" w14:rev="0"/>
                  </w14:lightRig>
                </w14:scene3d>
              </w:rPr>
              <w:t>3.2</w:t>
            </w:r>
            <w:r w:rsidR="009F48E8">
              <w:rPr>
                <w:rFonts w:eastAsiaTheme="minorEastAsia"/>
                <w:sz w:val="22"/>
                <w:szCs w:val="22"/>
                <w:lang w:val="en-AU" w:eastAsia="en-AU"/>
              </w:rPr>
              <w:tab/>
            </w:r>
            <w:r w:rsidR="009F48E8" w:rsidRPr="00430F2B">
              <w:rPr>
                <w:rStyle w:val="Hyperlink"/>
              </w:rPr>
              <w:t>Scope</w:t>
            </w:r>
            <w:r w:rsidR="009F48E8">
              <w:rPr>
                <w:webHidden/>
              </w:rPr>
              <w:tab/>
            </w:r>
            <w:r w:rsidR="009F48E8">
              <w:rPr>
                <w:webHidden/>
              </w:rPr>
              <w:fldChar w:fldCharType="begin"/>
            </w:r>
            <w:r w:rsidR="009F48E8">
              <w:rPr>
                <w:webHidden/>
              </w:rPr>
              <w:instrText xml:space="preserve"> PAGEREF _Toc518629883 \h </w:instrText>
            </w:r>
            <w:r w:rsidR="009F48E8">
              <w:rPr>
                <w:webHidden/>
              </w:rPr>
            </w:r>
            <w:r w:rsidR="009F48E8">
              <w:rPr>
                <w:webHidden/>
              </w:rPr>
              <w:fldChar w:fldCharType="separate"/>
            </w:r>
            <w:r w:rsidR="009F48E8">
              <w:rPr>
                <w:webHidden/>
              </w:rPr>
              <w:t>9</w:t>
            </w:r>
            <w:r w:rsidR="009F48E8">
              <w:rPr>
                <w:webHidden/>
              </w:rPr>
              <w:fldChar w:fldCharType="end"/>
            </w:r>
          </w:hyperlink>
        </w:p>
        <w:p w14:paraId="3128B348" w14:textId="52DDE8F0" w:rsidR="009F48E8" w:rsidRDefault="00B93345">
          <w:pPr>
            <w:pStyle w:val="TOC2"/>
            <w:tabs>
              <w:tab w:val="left" w:pos="1440"/>
            </w:tabs>
            <w:rPr>
              <w:rFonts w:eastAsiaTheme="minorEastAsia"/>
              <w:sz w:val="22"/>
              <w:szCs w:val="22"/>
              <w:lang w:val="en-AU" w:eastAsia="en-AU"/>
            </w:rPr>
          </w:pPr>
          <w:hyperlink w:anchor="_Toc518629884" w:history="1">
            <w:r w:rsidR="009F48E8" w:rsidRPr="00430F2B">
              <w:rPr>
                <w:rStyle w:val="Hyperlink"/>
                <w:lang w:val="en-PH"/>
                <w14:scene3d>
                  <w14:camera w14:prst="orthographicFront"/>
                  <w14:lightRig w14:rig="threePt" w14:dir="t">
                    <w14:rot w14:lat="0" w14:lon="0" w14:rev="0"/>
                  </w14:lightRig>
                </w14:scene3d>
              </w:rPr>
              <w:t>3.3</w:t>
            </w:r>
            <w:r w:rsidR="009F48E8">
              <w:rPr>
                <w:rFonts w:eastAsiaTheme="minorEastAsia"/>
                <w:sz w:val="22"/>
                <w:szCs w:val="22"/>
                <w:lang w:val="en-AU" w:eastAsia="en-AU"/>
              </w:rPr>
              <w:tab/>
            </w:r>
            <w:r w:rsidR="009F48E8" w:rsidRPr="00430F2B">
              <w:rPr>
                <w:rStyle w:val="Hyperlink"/>
                <w:lang w:val="en-PH"/>
              </w:rPr>
              <w:t xml:space="preserve">Cost benefit analysis </w:t>
            </w:r>
            <w:r w:rsidR="009F48E8" w:rsidRPr="00430F2B">
              <w:rPr>
                <w:rStyle w:val="Hyperlink"/>
              </w:rPr>
              <w:t>parameters</w:t>
            </w:r>
            <w:r w:rsidR="009F48E8">
              <w:rPr>
                <w:webHidden/>
              </w:rPr>
              <w:tab/>
            </w:r>
            <w:r w:rsidR="009F48E8">
              <w:rPr>
                <w:webHidden/>
              </w:rPr>
              <w:fldChar w:fldCharType="begin"/>
            </w:r>
            <w:r w:rsidR="009F48E8">
              <w:rPr>
                <w:webHidden/>
              </w:rPr>
              <w:instrText xml:space="preserve"> PAGEREF _Toc518629884 \h </w:instrText>
            </w:r>
            <w:r w:rsidR="009F48E8">
              <w:rPr>
                <w:webHidden/>
              </w:rPr>
            </w:r>
            <w:r w:rsidR="009F48E8">
              <w:rPr>
                <w:webHidden/>
              </w:rPr>
              <w:fldChar w:fldCharType="separate"/>
            </w:r>
            <w:r w:rsidR="009F48E8">
              <w:rPr>
                <w:webHidden/>
              </w:rPr>
              <w:t>9</w:t>
            </w:r>
            <w:r w:rsidR="009F48E8">
              <w:rPr>
                <w:webHidden/>
              </w:rPr>
              <w:fldChar w:fldCharType="end"/>
            </w:r>
          </w:hyperlink>
        </w:p>
        <w:p w14:paraId="01729C3D" w14:textId="3BAF1582" w:rsidR="009F48E8" w:rsidRDefault="00B93345">
          <w:pPr>
            <w:pStyle w:val="TOC2"/>
            <w:tabs>
              <w:tab w:val="left" w:pos="1440"/>
            </w:tabs>
            <w:rPr>
              <w:rFonts w:eastAsiaTheme="minorEastAsia"/>
              <w:sz w:val="22"/>
              <w:szCs w:val="22"/>
              <w:lang w:val="en-AU" w:eastAsia="en-AU"/>
            </w:rPr>
          </w:pPr>
          <w:hyperlink w:anchor="_Toc518629885" w:history="1">
            <w:r w:rsidR="009F48E8" w:rsidRPr="00430F2B">
              <w:rPr>
                <w:rStyle w:val="Hyperlink"/>
                <w:lang w:val="en-PH"/>
                <w14:scene3d>
                  <w14:camera w14:prst="orthographicFront"/>
                  <w14:lightRig w14:rig="threePt" w14:dir="t">
                    <w14:rot w14:lat="0" w14:lon="0" w14:rev="0"/>
                  </w14:lightRig>
                </w14:scene3d>
              </w:rPr>
              <w:t>3.4</w:t>
            </w:r>
            <w:r w:rsidR="009F48E8">
              <w:rPr>
                <w:rFonts w:eastAsiaTheme="minorEastAsia"/>
                <w:sz w:val="22"/>
                <w:szCs w:val="22"/>
                <w:lang w:val="en-AU" w:eastAsia="en-AU"/>
              </w:rPr>
              <w:tab/>
            </w:r>
            <w:r w:rsidR="009F48E8" w:rsidRPr="00430F2B">
              <w:rPr>
                <w:rStyle w:val="Hyperlink"/>
              </w:rPr>
              <w:t>Methodology</w:t>
            </w:r>
            <w:r w:rsidR="009F48E8" w:rsidRPr="00430F2B">
              <w:rPr>
                <w:rStyle w:val="Hyperlink"/>
                <w:lang w:val="en-PH"/>
              </w:rPr>
              <w:t xml:space="preserve"> to estimates costs</w:t>
            </w:r>
            <w:r w:rsidR="009F48E8">
              <w:rPr>
                <w:webHidden/>
              </w:rPr>
              <w:tab/>
            </w:r>
            <w:r w:rsidR="009F48E8">
              <w:rPr>
                <w:webHidden/>
              </w:rPr>
              <w:fldChar w:fldCharType="begin"/>
            </w:r>
            <w:r w:rsidR="009F48E8">
              <w:rPr>
                <w:webHidden/>
              </w:rPr>
              <w:instrText xml:space="preserve"> PAGEREF _Toc518629885 \h </w:instrText>
            </w:r>
            <w:r w:rsidR="009F48E8">
              <w:rPr>
                <w:webHidden/>
              </w:rPr>
            </w:r>
            <w:r w:rsidR="009F48E8">
              <w:rPr>
                <w:webHidden/>
              </w:rPr>
              <w:fldChar w:fldCharType="separate"/>
            </w:r>
            <w:r w:rsidR="009F48E8">
              <w:rPr>
                <w:webHidden/>
              </w:rPr>
              <w:t>9</w:t>
            </w:r>
            <w:r w:rsidR="009F48E8">
              <w:rPr>
                <w:webHidden/>
              </w:rPr>
              <w:fldChar w:fldCharType="end"/>
            </w:r>
          </w:hyperlink>
        </w:p>
        <w:p w14:paraId="24E083CA" w14:textId="58CA6252" w:rsidR="009F48E8" w:rsidRDefault="00B93345">
          <w:pPr>
            <w:pStyle w:val="TOC2"/>
            <w:tabs>
              <w:tab w:val="left" w:pos="1440"/>
            </w:tabs>
            <w:rPr>
              <w:rFonts w:eastAsiaTheme="minorEastAsia"/>
              <w:sz w:val="22"/>
              <w:szCs w:val="22"/>
              <w:lang w:val="en-AU" w:eastAsia="en-AU"/>
            </w:rPr>
          </w:pPr>
          <w:hyperlink w:anchor="_Toc518629886" w:history="1">
            <w:r w:rsidR="009F48E8" w:rsidRPr="00430F2B">
              <w:rPr>
                <w:rStyle w:val="Hyperlink"/>
                <w:lang w:val="en-PH"/>
                <w14:scene3d>
                  <w14:camera w14:prst="orthographicFront"/>
                  <w14:lightRig w14:rig="threePt" w14:dir="t">
                    <w14:rot w14:lat="0" w14:lon="0" w14:rev="0"/>
                  </w14:lightRig>
                </w14:scene3d>
              </w:rPr>
              <w:t>3.5</w:t>
            </w:r>
            <w:r w:rsidR="009F48E8">
              <w:rPr>
                <w:rFonts w:eastAsiaTheme="minorEastAsia"/>
                <w:sz w:val="22"/>
                <w:szCs w:val="22"/>
                <w:lang w:val="en-AU" w:eastAsia="en-AU"/>
              </w:rPr>
              <w:tab/>
            </w:r>
            <w:r w:rsidR="009F48E8" w:rsidRPr="00430F2B">
              <w:rPr>
                <w:rStyle w:val="Hyperlink"/>
              </w:rPr>
              <w:t>Methodology</w:t>
            </w:r>
            <w:r w:rsidR="009F48E8" w:rsidRPr="00430F2B">
              <w:rPr>
                <w:rStyle w:val="Hyperlink"/>
                <w:lang w:val="en-PH"/>
              </w:rPr>
              <w:t xml:space="preserve"> to estimate benefits</w:t>
            </w:r>
            <w:r w:rsidR="009F48E8">
              <w:rPr>
                <w:webHidden/>
              </w:rPr>
              <w:tab/>
            </w:r>
            <w:r w:rsidR="009F48E8">
              <w:rPr>
                <w:webHidden/>
              </w:rPr>
              <w:fldChar w:fldCharType="begin"/>
            </w:r>
            <w:r w:rsidR="009F48E8">
              <w:rPr>
                <w:webHidden/>
              </w:rPr>
              <w:instrText xml:space="preserve"> PAGEREF _Toc518629886 \h </w:instrText>
            </w:r>
            <w:r w:rsidR="009F48E8">
              <w:rPr>
                <w:webHidden/>
              </w:rPr>
            </w:r>
            <w:r w:rsidR="009F48E8">
              <w:rPr>
                <w:webHidden/>
              </w:rPr>
              <w:fldChar w:fldCharType="separate"/>
            </w:r>
            <w:r w:rsidR="009F48E8">
              <w:rPr>
                <w:webHidden/>
              </w:rPr>
              <w:t>11</w:t>
            </w:r>
            <w:r w:rsidR="009F48E8">
              <w:rPr>
                <w:webHidden/>
              </w:rPr>
              <w:fldChar w:fldCharType="end"/>
            </w:r>
          </w:hyperlink>
        </w:p>
        <w:p w14:paraId="542C95A1" w14:textId="4022BBCD" w:rsidR="009F48E8" w:rsidRDefault="00B93345">
          <w:pPr>
            <w:pStyle w:val="TOC1"/>
            <w:rPr>
              <w:rFonts w:eastAsiaTheme="minorEastAsia"/>
              <w:b w:val="0"/>
              <w:color w:val="auto"/>
              <w:sz w:val="22"/>
              <w:szCs w:val="22"/>
              <w:lang w:val="en-AU" w:eastAsia="en-AU"/>
            </w:rPr>
          </w:pPr>
          <w:hyperlink w:anchor="_Toc518629887" w:history="1">
            <w:r w:rsidR="009F48E8" w:rsidRPr="00430F2B">
              <w:rPr>
                <w:rStyle w:val="Hyperlink"/>
                <w:lang w:val="en-PH"/>
              </w:rPr>
              <w:t>4</w:t>
            </w:r>
            <w:r w:rsidR="009F48E8">
              <w:rPr>
                <w:rFonts w:eastAsiaTheme="minorEastAsia"/>
                <w:b w:val="0"/>
                <w:color w:val="auto"/>
                <w:sz w:val="22"/>
                <w:szCs w:val="22"/>
                <w:lang w:val="en-AU" w:eastAsia="en-AU"/>
              </w:rPr>
              <w:tab/>
            </w:r>
            <w:r w:rsidR="009F48E8" w:rsidRPr="00430F2B">
              <w:rPr>
                <w:rStyle w:val="Hyperlink"/>
                <w:lang w:val="en-PH"/>
              </w:rPr>
              <w:t xml:space="preserve">Estimate of </w:t>
            </w:r>
            <w:r w:rsidR="009F48E8" w:rsidRPr="00430F2B">
              <w:rPr>
                <w:rStyle w:val="Hyperlink"/>
              </w:rPr>
              <w:t>existing</w:t>
            </w:r>
            <w:r w:rsidR="009F48E8" w:rsidRPr="00430F2B">
              <w:rPr>
                <w:rStyle w:val="Hyperlink"/>
                <w:lang w:val="en-PH"/>
              </w:rPr>
              <w:t xml:space="preserve"> health burden</w:t>
            </w:r>
            <w:r w:rsidR="009F48E8">
              <w:rPr>
                <w:webHidden/>
              </w:rPr>
              <w:tab/>
            </w:r>
            <w:r w:rsidR="009F48E8">
              <w:rPr>
                <w:webHidden/>
              </w:rPr>
              <w:fldChar w:fldCharType="begin"/>
            </w:r>
            <w:r w:rsidR="009F48E8">
              <w:rPr>
                <w:webHidden/>
              </w:rPr>
              <w:instrText xml:space="preserve"> PAGEREF _Toc518629887 \h </w:instrText>
            </w:r>
            <w:r w:rsidR="009F48E8">
              <w:rPr>
                <w:webHidden/>
              </w:rPr>
            </w:r>
            <w:r w:rsidR="009F48E8">
              <w:rPr>
                <w:webHidden/>
              </w:rPr>
              <w:fldChar w:fldCharType="separate"/>
            </w:r>
            <w:r w:rsidR="009F48E8">
              <w:rPr>
                <w:webHidden/>
              </w:rPr>
              <w:t>16</w:t>
            </w:r>
            <w:r w:rsidR="009F48E8">
              <w:rPr>
                <w:webHidden/>
              </w:rPr>
              <w:fldChar w:fldCharType="end"/>
            </w:r>
          </w:hyperlink>
        </w:p>
        <w:p w14:paraId="4D751E23" w14:textId="669592E9" w:rsidR="009F48E8" w:rsidRDefault="00B93345">
          <w:pPr>
            <w:pStyle w:val="TOC2"/>
            <w:tabs>
              <w:tab w:val="left" w:pos="1440"/>
            </w:tabs>
            <w:rPr>
              <w:rFonts w:eastAsiaTheme="minorEastAsia"/>
              <w:sz w:val="22"/>
              <w:szCs w:val="22"/>
              <w:lang w:val="en-AU" w:eastAsia="en-AU"/>
            </w:rPr>
          </w:pPr>
          <w:hyperlink w:anchor="_Toc518629888" w:history="1">
            <w:r w:rsidR="009F48E8" w:rsidRPr="00430F2B">
              <w:rPr>
                <w:rStyle w:val="Hyperlink"/>
                <w:lang w:val="en-PH"/>
                <w14:scene3d>
                  <w14:camera w14:prst="orthographicFront"/>
                  <w14:lightRig w14:rig="threePt" w14:dir="t">
                    <w14:rot w14:lat="0" w14:lon="0" w14:rev="0"/>
                  </w14:lightRig>
                </w14:scene3d>
              </w:rPr>
              <w:t>4.1</w:t>
            </w:r>
            <w:r w:rsidR="009F48E8">
              <w:rPr>
                <w:rFonts w:eastAsiaTheme="minorEastAsia"/>
                <w:sz w:val="22"/>
                <w:szCs w:val="22"/>
                <w:lang w:val="en-AU" w:eastAsia="en-AU"/>
              </w:rPr>
              <w:tab/>
            </w:r>
            <w:r w:rsidR="009F48E8" w:rsidRPr="00430F2B">
              <w:rPr>
                <w:rStyle w:val="Hyperlink"/>
                <w:lang w:val="en-PH"/>
              </w:rPr>
              <w:t xml:space="preserve">Central </w:t>
            </w:r>
            <w:r w:rsidR="009F48E8" w:rsidRPr="00430F2B">
              <w:rPr>
                <w:rStyle w:val="Hyperlink"/>
              </w:rPr>
              <w:t>estimate</w:t>
            </w:r>
            <w:r w:rsidR="009F48E8" w:rsidRPr="00430F2B">
              <w:rPr>
                <w:rStyle w:val="Hyperlink"/>
                <w:lang w:val="en-PH"/>
              </w:rPr>
              <w:t xml:space="preserve"> of health burden</w:t>
            </w:r>
            <w:r w:rsidR="009F48E8">
              <w:rPr>
                <w:webHidden/>
              </w:rPr>
              <w:tab/>
            </w:r>
            <w:r w:rsidR="009F48E8">
              <w:rPr>
                <w:webHidden/>
              </w:rPr>
              <w:fldChar w:fldCharType="begin"/>
            </w:r>
            <w:r w:rsidR="009F48E8">
              <w:rPr>
                <w:webHidden/>
              </w:rPr>
              <w:instrText xml:space="preserve"> PAGEREF _Toc518629888 \h </w:instrText>
            </w:r>
            <w:r w:rsidR="009F48E8">
              <w:rPr>
                <w:webHidden/>
              </w:rPr>
            </w:r>
            <w:r w:rsidR="009F48E8">
              <w:rPr>
                <w:webHidden/>
              </w:rPr>
              <w:fldChar w:fldCharType="separate"/>
            </w:r>
            <w:r w:rsidR="009F48E8">
              <w:rPr>
                <w:webHidden/>
              </w:rPr>
              <w:t>16</w:t>
            </w:r>
            <w:r w:rsidR="009F48E8">
              <w:rPr>
                <w:webHidden/>
              </w:rPr>
              <w:fldChar w:fldCharType="end"/>
            </w:r>
          </w:hyperlink>
        </w:p>
        <w:p w14:paraId="21120261" w14:textId="39EDC2F6" w:rsidR="009F48E8" w:rsidRDefault="00B93345">
          <w:pPr>
            <w:pStyle w:val="TOC2"/>
            <w:tabs>
              <w:tab w:val="left" w:pos="1440"/>
            </w:tabs>
            <w:rPr>
              <w:rFonts w:eastAsiaTheme="minorEastAsia"/>
              <w:sz w:val="22"/>
              <w:szCs w:val="22"/>
              <w:lang w:val="en-AU" w:eastAsia="en-AU"/>
            </w:rPr>
          </w:pPr>
          <w:hyperlink w:anchor="_Toc518629889" w:history="1">
            <w:r w:rsidR="009F48E8" w:rsidRPr="00430F2B">
              <w:rPr>
                <w:rStyle w:val="Hyperlink"/>
                <w:lang w:val="en-PH"/>
                <w14:scene3d>
                  <w14:camera w14:prst="orthographicFront"/>
                  <w14:lightRig w14:rig="threePt" w14:dir="t">
                    <w14:rot w14:lat="0" w14:lon="0" w14:rev="0"/>
                  </w14:lightRig>
                </w14:scene3d>
              </w:rPr>
              <w:t>4.2</w:t>
            </w:r>
            <w:r w:rsidR="009F48E8">
              <w:rPr>
                <w:rFonts w:eastAsiaTheme="minorEastAsia"/>
                <w:sz w:val="22"/>
                <w:szCs w:val="22"/>
                <w:lang w:val="en-AU" w:eastAsia="en-AU"/>
              </w:rPr>
              <w:tab/>
            </w:r>
            <w:r w:rsidR="009F48E8" w:rsidRPr="00430F2B">
              <w:rPr>
                <w:rStyle w:val="Hyperlink"/>
                <w:lang w:val="en-PH"/>
              </w:rPr>
              <w:t xml:space="preserve">Uncertainty in </w:t>
            </w:r>
            <w:r w:rsidR="009F48E8" w:rsidRPr="00430F2B">
              <w:rPr>
                <w:rStyle w:val="Hyperlink"/>
              </w:rPr>
              <w:t>health</w:t>
            </w:r>
            <w:r w:rsidR="009F48E8" w:rsidRPr="00430F2B">
              <w:rPr>
                <w:rStyle w:val="Hyperlink"/>
                <w:lang w:val="en-PH"/>
              </w:rPr>
              <w:t xml:space="preserve"> burden estimates</w:t>
            </w:r>
            <w:r w:rsidR="009F48E8">
              <w:rPr>
                <w:webHidden/>
              </w:rPr>
              <w:tab/>
            </w:r>
            <w:r w:rsidR="009F48E8">
              <w:rPr>
                <w:webHidden/>
              </w:rPr>
              <w:fldChar w:fldCharType="begin"/>
            </w:r>
            <w:r w:rsidR="009F48E8">
              <w:rPr>
                <w:webHidden/>
              </w:rPr>
              <w:instrText xml:space="preserve"> PAGEREF _Toc518629889 \h </w:instrText>
            </w:r>
            <w:r w:rsidR="009F48E8">
              <w:rPr>
                <w:webHidden/>
              </w:rPr>
            </w:r>
            <w:r w:rsidR="009F48E8">
              <w:rPr>
                <w:webHidden/>
              </w:rPr>
              <w:fldChar w:fldCharType="separate"/>
            </w:r>
            <w:r w:rsidR="009F48E8">
              <w:rPr>
                <w:webHidden/>
              </w:rPr>
              <w:t>16</w:t>
            </w:r>
            <w:r w:rsidR="009F48E8">
              <w:rPr>
                <w:webHidden/>
              </w:rPr>
              <w:fldChar w:fldCharType="end"/>
            </w:r>
          </w:hyperlink>
        </w:p>
        <w:p w14:paraId="4AF1F8A9" w14:textId="5B84686B" w:rsidR="009F48E8" w:rsidRDefault="00B93345">
          <w:pPr>
            <w:pStyle w:val="TOC1"/>
            <w:rPr>
              <w:rFonts w:eastAsiaTheme="minorEastAsia"/>
              <w:b w:val="0"/>
              <w:color w:val="auto"/>
              <w:sz w:val="22"/>
              <w:szCs w:val="22"/>
              <w:lang w:val="en-AU" w:eastAsia="en-AU"/>
            </w:rPr>
          </w:pPr>
          <w:hyperlink w:anchor="_Toc518629890" w:history="1">
            <w:r w:rsidR="009F48E8" w:rsidRPr="00430F2B">
              <w:rPr>
                <w:rStyle w:val="Hyperlink"/>
                <w:lang w:val="en-PH"/>
              </w:rPr>
              <w:t>5</w:t>
            </w:r>
            <w:r w:rsidR="009F48E8">
              <w:rPr>
                <w:rFonts w:eastAsiaTheme="minorEastAsia"/>
                <w:b w:val="0"/>
                <w:color w:val="auto"/>
                <w:sz w:val="22"/>
                <w:szCs w:val="22"/>
                <w:lang w:val="en-AU" w:eastAsia="en-AU"/>
              </w:rPr>
              <w:tab/>
            </w:r>
            <w:r w:rsidR="009F48E8" w:rsidRPr="00430F2B">
              <w:rPr>
                <w:rStyle w:val="Hyperlink"/>
              </w:rPr>
              <w:t>Results</w:t>
            </w:r>
            <w:r w:rsidR="009F48E8">
              <w:rPr>
                <w:webHidden/>
              </w:rPr>
              <w:tab/>
            </w:r>
            <w:r w:rsidR="009F48E8">
              <w:rPr>
                <w:webHidden/>
              </w:rPr>
              <w:fldChar w:fldCharType="begin"/>
            </w:r>
            <w:r w:rsidR="009F48E8">
              <w:rPr>
                <w:webHidden/>
              </w:rPr>
              <w:instrText xml:space="preserve"> PAGEREF _Toc518629890 \h </w:instrText>
            </w:r>
            <w:r w:rsidR="009F48E8">
              <w:rPr>
                <w:webHidden/>
              </w:rPr>
            </w:r>
            <w:r w:rsidR="009F48E8">
              <w:rPr>
                <w:webHidden/>
              </w:rPr>
              <w:fldChar w:fldCharType="separate"/>
            </w:r>
            <w:r w:rsidR="009F48E8">
              <w:rPr>
                <w:webHidden/>
              </w:rPr>
              <w:t>17</w:t>
            </w:r>
            <w:r w:rsidR="009F48E8">
              <w:rPr>
                <w:webHidden/>
              </w:rPr>
              <w:fldChar w:fldCharType="end"/>
            </w:r>
          </w:hyperlink>
        </w:p>
        <w:p w14:paraId="3FDD58CA" w14:textId="1E321B7B" w:rsidR="009F48E8" w:rsidRDefault="00B93345">
          <w:pPr>
            <w:pStyle w:val="TOC2"/>
            <w:tabs>
              <w:tab w:val="left" w:pos="1440"/>
            </w:tabs>
            <w:rPr>
              <w:rFonts w:eastAsiaTheme="minorEastAsia"/>
              <w:sz w:val="22"/>
              <w:szCs w:val="22"/>
              <w:lang w:val="en-AU" w:eastAsia="en-AU"/>
            </w:rPr>
          </w:pPr>
          <w:hyperlink w:anchor="_Toc518629891" w:history="1">
            <w:r w:rsidR="009F48E8" w:rsidRPr="00430F2B">
              <w:rPr>
                <w:rStyle w:val="Hyperlink"/>
                <w:lang w:val="en-PH"/>
                <w14:scene3d>
                  <w14:camera w14:prst="orthographicFront"/>
                  <w14:lightRig w14:rig="threePt" w14:dir="t">
                    <w14:rot w14:lat="0" w14:lon="0" w14:rev="0"/>
                  </w14:lightRig>
                </w14:scene3d>
              </w:rPr>
              <w:t>5.1</w:t>
            </w:r>
            <w:r w:rsidR="009F48E8">
              <w:rPr>
                <w:rFonts w:eastAsiaTheme="minorEastAsia"/>
                <w:sz w:val="22"/>
                <w:szCs w:val="22"/>
                <w:lang w:val="en-AU" w:eastAsia="en-AU"/>
              </w:rPr>
              <w:tab/>
            </w:r>
            <w:r w:rsidR="009F48E8" w:rsidRPr="00430F2B">
              <w:rPr>
                <w:rStyle w:val="Hyperlink"/>
                <w:lang w:val="en-PH"/>
              </w:rPr>
              <w:t>Costs and benefits of the Abatement Package scenario</w:t>
            </w:r>
            <w:r w:rsidR="009F48E8">
              <w:rPr>
                <w:webHidden/>
              </w:rPr>
              <w:tab/>
            </w:r>
            <w:r w:rsidR="009F48E8">
              <w:rPr>
                <w:webHidden/>
              </w:rPr>
              <w:fldChar w:fldCharType="begin"/>
            </w:r>
            <w:r w:rsidR="009F48E8">
              <w:rPr>
                <w:webHidden/>
              </w:rPr>
              <w:instrText xml:space="preserve"> PAGEREF _Toc518629891 \h </w:instrText>
            </w:r>
            <w:r w:rsidR="009F48E8">
              <w:rPr>
                <w:webHidden/>
              </w:rPr>
            </w:r>
            <w:r w:rsidR="009F48E8">
              <w:rPr>
                <w:webHidden/>
              </w:rPr>
              <w:fldChar w:fldCharType="separate"/>
            </w:r>
            <w:r w:rsidR="009F48E8">
              <w:rPr>
                <w:webHidden/>
              </w:rPr>
              <w:t>17</w:t>
            </w:r>
            <w:r w:rsidR="009F48E8">
              <w:rPr>
                <w:webHidden/>
              </w:rPr>
              <w:fldChar w:fldCharType="end"/>
            </w:r>
          </w:hyperlink>
        </w:p>
        <w:p w14:paraId="29A41EB7" w14:textId="6C146E93" w:rsidR="009F48E8" w:rsidRDefault="00B93345">
          <w:pPr>
            <w:pStyle w:val="TOC2"/>
            <w:tabs>
              <w:tab w:val="left" w:pos="1440"/>
            </w:tabs>
            <w:rPr>
              <w:rFonts w:eastAsiaTheme="minorEastAsia"/>
              <w:sz w:val="22"/>
              <w:szCs w:val="22"/>
              <w:lang w:val="en-AU" w:eastAsia="en-AU"/>
            </w:rPr>
          </w:pPr>
          <w:hyperlink w:anchor="_Toc518629892" w:history="1">
            <w:r w:rsidR="009F48E8" w:rsidRPr="00430F2B">
              <w:rPr>
                <w:rStyle w:val="Hyperlink"/>
                <w:lang w:val="en-PH"/>
                <w14:scene3d>
                  <w14:camera w14:prst="orthographicFront"/>
                  <w14:lightRig w14:rig="threePt" w14:dir="t">
                    <w14:rot w14:lat="0" w14:lon="0" w14:rev="0"/>
                  </w14:lightRig>
                </w14:scene3d>
              </w:rPr>
              <w:t>5.2</w:t>
            </w:r>
            <w:r w:rsidR="009F48E8">
              <w:rPr>
                <w:rFonts w:eastAsiaTheme="minorEastAsia"/>
                <w:sz w:val="22"/>
                <w:szCs w:val="22"/>
                <w:lang w:val="en-AU" w:eastAsia="en-AU"/>
              </w:rPr>
              <w:tab/>
            </w:r>
            <w:r w:rsidR="009F48E8" w:rsidRPr="00430F2B">
              <w:rPr>
                <w:rStyle w:val="Hyperlink"/>
                <w:lang w:val="en-PH"/>
              </w:rPr>
              <w:t>Qualifications</w:t>
            </w:r>
            <w:r w:rsidR="009F48E8">
              <w:rPr>
                <w:webHidden/>
              </w:rPr>
              <w:tab/>
            </w:r>
            <w:r w:rsidR="009F48E8">
              <w:rPr>
                <w:webHidden/>
              </w:rPr>
              <w:fldChar w:fldCharType="begin"/>
            </w:r>
            <w:r w:rsidR="009F48E8">
              <w:rPr>
                <w:webHidden/>
              </w:rPr>
              <w:instrText xml:space="preserve"> PAGEREF _Toc518629892 \h </w:instrText>
            </w:r>
            <w:r w:rsidR="009F48E8">
              <w:rPr>
                <w:webHidden/>
              </w:rPr>
            </w:r>
            <w:r w:rsidR="009F48E8">
              <w:rPr>
                <w:webHidden/>
              </w:rPr>
              <w:fldChar w:fldCharType="separate"/>
            </w:r>
            <w:r w:rsidR="009F48E8">
              <w:rPr>
                <w:webHidden/>
              </w:rPr>
              <w:t>18</w:t>
            </w:r>
            <w:r w:rsidR="009F48E8">
              <w:rPr>
                <w:webHidden/>
              </w:rPr>
              <w:fldChar w:fldCharType="end"/>
            </w:r>
          </w:hyperlink>
        </w:p>
        <w:p w14:paraId="183B2A73" w14:textId="30ABA481" w:rsidR="009F48E8" w:rsidRDefault="00B93345">
          <w:pPr>
            <w:pStyle w:val="TOC1"/>
            <w:rPr>
              <w:rFonts w:eastAsiaTheme="minorEastAsia"/>
              <w:b w:val="0"/>
              <w:color w:val="auto"/>
              <w:sz w:val="22"/>
              <w:szCs w:val="22"/>
              <w:lang w:val="en-AU" w:eastAsia="en-AU"/>
            </w:rPr>
          </w:pPr>
          <w:hyperlink w:anchor="_Toc518629893" w:history="1">
            <w:r w:rsidR="009F48E8" w:rsidRPr="00430F2B">
              <w:rPr>
                <w:rStyle w:val="Hyperlink"/>
                <w:lang w:val="en-PH"/>
              </w:rPr>
              <w:t>6</w:t>
            </w:r>
            <w:r w:rsidR="009F48E8">
              <w:rPr>
                <w:rFonts w:eastAsiaTheme="minorEastAsia"/>
                <w:b w:val="0"/>
                <w:color w:val="auto"/>
                <w:sz w:val="22"/>
                <w:szCs w:val="22"/>
                <w:lang w:val="en-AU" w:eastAsia="en-AU"/>
              </w:rPr>
              <w:tab/>
            </w:r>
            <w:r w:rsidR="009F48E8" w:rsidRPr="00430F2B">
              <w:rPr>
                <w:rStyle w:val="Hyperlink"/>
                <w:lang w:val="en-PH"/>
              </w:rPr>
              <w:t>Sensitivity analysis</w:t>
            </w:r>
            <w:r w:rsidR="009F48E8">
              <w:rPr>
                <w:webHidden/>
              </w:rPr>
              <w:tab/>
            </w:r>
            <w:r w:rsidR="009F48E8">
              <w:rPr>
                <w:webHidden/>
              </w:rPr>
              <w:fldChar w:fldCharType="begin"/>
            </w:r>
            <w:r w:rsidR="009F48E8">
              <w:rPr>
                <w:webHidden/>
              </w:rPr>
              <w:instrText xml:space="preserve"> PAGEREF _Toc518629893 \h </w:instrText>
            </w:r>
            <w:r w:rsidR="009F48E8">
              <w:rPr>
                <w:webHidden/>
              </w:rPr>
            </w:r>
            <w:r w:rsidR="009F48E8">
              <w:rPr>
                <w:webHidden/>
              </w:rPr>
              <w:fldChar w:fldCharType="separate"/>
            </w:r>
            <w:r w:rsidR="009F48E8">
              <w:rPr>
                <w:webHidden/>
              </w:rPr>
              <w:t>20</w:t>
            </w:r>
            <w:r w:rsidR="009F48E8">
              <w:rPr>
                <w:webHidden/>
              </w:rPr>
              <w:fldChar w:fldCharType="end"/>
            </w:r>
          </w:hyperlink>
        </w:p>
        <w:p w14:paraId="30D83AB2" w14:textId="099C1E6B" w:rsidR="009F48E8" w:rsidRDefault="00B93345">
          <w:pPr>
            <w:pStyle w:val="TOC2"/>
            <w:tabs>
              <w:tab w:val="left" w:pos="1440"/>
            </w:tabs>
            <w:rPr>
              <w:rFonts w:eastAsiaTheme="minorEastAsia"/>
              <w:sz w:val="22"/>
              <w:szCs w:val="22"/>
              <w:lang w:val="en-AU" w:eastAsia="en-AU"/>
            </w:rPr>
          </w:pPr>
          <w:hyperlink w:anchor="_Toc518629894" w:history="1">
            <w:r w:rsidR="009F48E8" w:rsidRPr="00430F2B">
              <w:rPr>
                <w:rStyle w:val="Hyperlink"/>
                <w:lang w:val="en-PH"/>
                <w14:scene3d>
                  <w14:camera w14:prst="orthographicFront"/>
                  <w14:lightRig w14:rig="threePt" w14:dir="t">
                    <w14:rot w14:lat="0" w14:lon="0" w14:rev="0"/>
                  </w14:lightRig>
                </w14:scene3d>
              </w:rPr>
              <w:t>6.1</w:t>
            </w:r>
            <w:r w:rsidR="009F48E8">
              <w:rPr>
                <w:rFonts w:eastAsiaTheme="minorEastAsia"/>
                <w:sz w:val="22"/>
                <w:szCs w:val="22"/>
                <w:lang w:val="en-AU" w:eastAsia="en-AU"/>
              </w:rPr>
              <w:tab/>
            </w:r>
            <w:r w:rsidR="009F48E8" w:rsidRPr="00430F2B">
              <w:rPr>
                <w:rStyle w:val="Hyperlink"/>
              </w:rPr>
              <w:t>Approach</w:t>
            </w:r>
            <w:r w:rsidR="009F48E8" w:rsidRPr="00430F2B">
              <w:rPr>
                <w:rStyle w:val="Hyperlink"/>
                <w:lang w:val="en-PH"/>
              </w:rPr>
              <w:t xml:space="preserve"> to sensitivity analysis</w:t>
            </w:r>
            <w:r w:rsidR="009F48E8">
              <w:rPr>
                <w:webHidden/>
              </w:rPr>
              <w:tab/>
            </w:r>
            <w:r w:rsidR="009F48E8">
              <w:rPr>
                <w:webHidden/>
              </w:rPr>
              <w:fldChar w:fldCharType="begin"/>
            </w:r>
            <w:r w:rsidR="009F48E8">
              <w:rPr>
                <w:webHidden/>
              </w:rPr>
              <w:instrText xml:space="preserve"> PAGEREF _Toc518629894 \h </w:instrText>
            </w:r>
            <w:r w:rsidR="009F48E8">
              <w:rPr>
                <w:webHidden/>
              </w:rPr>
            </w:r>
            <w:r w:rsidR="009F48E8">
              <w:rPr>
                <w:webHidden/>
              </w:rPr>
              <w:fldChar w:fldCharType="separate"/>
            </w:r>
            <w:r w:rsidR="009F48E8">
              <w:rPr>
                <w:webHidden/>
              </w:rPr>
              <w:t>20</w:t>
            </w:r>
            <w:r w:rsidR="009F48E8">
              <w:rPr>
                <w:webHidden/>
              </w:rPr>
              <w:fldChar w:fldCharType="end"/>
            </w:r>
          </w:hyperlink>
        </w:p>
        <w:p w14:paraId="72508BFD" w14:textId="2E1CA420" w:rsidR="009F48E8" w:rsidRDefault="00B93345">
          <w:pPr>
            <w:pStyle w:val="TOC2"/>
            <w:tabs>
              <w:tab w:val="left" w:pos="1440"/>
            </w:tabs>
            <w:rPr>
              <w:rFonts w:eastAsiaTheme="minorEastAsia"/>
              <w:sz w:val="22"/>
              <w:szCs w:val="22"/>
              <w:lang w:val="en-AU" w:eastAsia="en-AU"/>
            </w:rPr>
          </w:pPr>
          <w:hyperlink w:anchor="_Toc518629895" w:history="1">
            <w:r w:rsidR="009F48E8" w:rsidRPr="00430F2B">
              <w:rPr>
                <w:rStyle w:val="Hyperlink"/>
                <w:lang w:val="en-PH"/>
                <w14:scene3d>
                  <w14:camera w14:prst="orthographicFront"/>
                  <w14:lightRig w14:rig="threePt" w14:dir="t">
                    <w14:rot w14:lat="0" w14:lon="0" w14:rev="0"/>
                  </w14:lightRig>
                </w14:scene3d>
              </w:rPr>
              <w:t>6.2</w:t>
            </w:r>
            <w:r w:rsidR="009F48E8">
              <w:rPr>
                <w:rFonts w:eastAsiaTheme="minorEastAsia"/>
                <w:sz w:val="22"/>
                <w:szCs w:val="22"/>
                <w:lang w:val="en-AU" w:eastAsia="en-AU"/>
              </w:rPr>
              <w:tab/>
            </w:r>
            <w:r w:rsidR="009F48E8" w:rsidRPr="00430F2B">
              <w:rPr>
                <w:rStyle w:val="Hyperlink"/>
              </w:rPr>
              <w:t>Results</w:t>
            </w:r>
            <w:r w:rsidR="009F48E8" w:rsidRPr="00430F2B">
              <w:rPr>
                <w:rStyle w:val="Hyperlink"/>
                <w:lang w:val="en-PH"/>
              </w:rPr>
              <w:t xml:space="preserve"> of the sensitivity analysis</w:t>
            </w:r>
            <w:r w:rsidR="009F48E8">
              <w:rPr>
                <w:webHidden/>
              </w:rPr>
              <w:tab/>
            </w:r>
            <w:r w:rsidR="009F48E8">
              <w:rPr>
                <w:webHidden/>
              </w:rPr>
              <w:fldChar w:fldCharType="begin"/>
            </w:r>
            <w:r w:rsidR="009F48E8">
              <w:rPr>
                <w:webHidden/>
              </w:rPr>
              <w:instrText xml:space="preserve"> PAGEREF _Toc518629895 \h </w:instrText>
            </w:r>
            <w:r w:rsidR="009F48E8">
              <w:rPr>
                <w:webHidden/>
              </w:rPr>
            </w:r>
            <w:r w:rsidR="009F48E8">
              <w:rPr>
                <w:webHidden/>
              </w:rPr>
              <w:fldChar w:fldCharType="separate"/>
            </w:r>
            <w:r w:rsidR="009F48E8">
              <w:rPr>
                <w:webHidden/>
              </w:rPr>
              <w:t>21</w:t>
            </w:r>
            <w:r w:rsidR="009F48E8">
              <w:rPr>
                <w:webHidden/>
              </w:rPr>
              <w:fldChar w:fldCharType="end"/>
            </w:r>
          </w:hyperlink>
        </w:p>
        <w:p w14:paraId="17175423" w14:textId="6E494D36" w:rsidR="009F48E8" w:rsidRDefault="00B93345">
          <w:pPr>
            <w:pStyle w:val="TOC1"/>
            <w:rPr>
              <w:rFonts w:eastAsiaTheme="minorEastAsia"/>
              <w:b w:val="0"/>
              <w:color w:val="auto"/>
              <w:sz w:val="22"/>
              <w:szCs w:val="22"/>
              <w:lang w:val="en-AU" w:eastAsia="en-AU"/>
            </w:rPr>
          </w:pPr>
          <w:hyperlink w:anchor="_Toc518629896" w:history="1">
            <w:r w:rsidR="009F48E8" w:rsidRPr="00430F2B">
              <w:rPr>
                <w:rStyle w:val="Hyperlink"/>
                <w:lang w:val="en-PH"/>
              </w:rPr>
              <w:t>7</w:t>
            </w:r>
            <w:r w:rsidR="009F48E8">
              <w:rPr>
                <w:rFonts w:eastAsiaTheme="minorEastAsia"/>
                <w:b w:val="0"/>
                <w:color w:val="auto"/>
                <w:sz w:val="22"/>
                <w:szCs w:val="22"/>
                <w:lang w:val="en-AU" w:eastAsia="en-AU"/>
              </w:rPr>
              <w:tab/>
            </w:r>
            <w:r w:rsidR="009F48E8" w:rsidRPr="00430F2B">
              <w:rPr>
                <w:rStyle w:val="Hyperlink"/>
                <w:lang w:val="en-PH"/>
              </w:rPr>
              <w:t>Conclusions</w:t>
            </w:r>
            <w:r w:rsidR="009F48E8">
              <w:rPr>
                <w:webHidden/>
              </w:rPr>
              <w:tab/>
            </w:r>
            <w:r w:rsidR="009F48E8">
              <w:rPr>
                <w:webHidden/>
              </w:rPr>
              <w:fldChar w:fldCharType="begin"/>
            </w:r>
            <w:r w:rsidR="009F48E8">
              <w:rPr>
                <w:webHidden/>
              </w:rPr>
              <w:instrText xml:space="preserve"> PAGEREF _Toc518629896 \h </w:instrText>
            </w:r>
            <w:r w:rsidR="009F48E8">
              <w:rPr>
                <w:webHidden/>
              </w:rPr>
            </w:r>
            <w:r w:rsidR="009F48E8">
              <w:rPr>
                <w:webHidden/>
              </w:rPr>
              <w:fldChar w:fldCharType="separate"/>
            </w:r>
            <w:r w:rsidR="009F48E8">
              <w:rPr>
                <w:webHidden/>
              </w:rPr>
              <w:t>24</w:t>
            </w:r>
            <w:r w:rsidR="009F48E8">
              <w:rPr>
                <w:webHidden/>
              </w:rPr>
              <w:fldChar w:fldCharType="end"/>
            </w:r>
          </w:hyperlink>
        </w:p>
        <w:p w14:paraId="7503737E" w14:textId="5F101D78" w:rsidR="009F48E8" w:rsidRDefault="00B93345">
          <w:pPr>
            <w:pStyle w:val="TOC1"/>
            <w:rPr>
              <w:rFonts w:eastAsiaTheme="minorEastAsia"/>
              <w:b w:val="0"/>
              <w:color w:val="auto"/>
              <w:sz w:val="22"/>
              <w:szCs w:val="22"/>
              <w:lang w:val="en-AU" w:eastAsia="en-AU"/>
            </w:rPr>
          </w:pPr>
          <w:hyperlink w:anchor="_Toc518629897" w:history="1">
            <w:r w:rsidR="009F48E8" w:rsidRPr="00430F2B">
              <w:rPr>
                <w:rStyle w:val="Hyperlink"/>
                <w:lang w:val="en-PH"/>
              </w:rPr>
              <w:t>8</w:t>
            </w:r>
            <w:r w:rsidR="009F48E8">
              <w:rPr>
                <w:rFonts w:eastAsiaTheme="minorEastAsia"/>
                <w:b w:val="0"/>
                <w:color w:val="auto"/>
                <w:sz w:val="22"/>
                <w:szCs w:val="22"/>
                <w:lang w:val="en-AU" w:eastAsia="en-AU"/>
              </w:rPr>
              <w:tab/>
            </w:r>
            <w:r w:rsidR="009F48E8" w:rsidRPr="00430F2B">
              <w:rPr>
                <w:rStyle w:val="Hyperlink"/>
                <w:lang w:val="en-PH"/>
              </w:rPr>
              <w:t>References</w:t>
            </w:r>
            <w:r w:rsidR="009F48E8">
              <w:rPr>
                <w:webHidden/>
              </w:rPr>
              <w:tab/>
            </w:r>
            <w:r w:rsidR="009F48E8">
              <w:rPr>
                <w:webHidden/>
              </w:rPr>
              <w:fldChar w:fldCharType="begin"/>
            </w:r>
            <w:r w:rsidR="009F48E8">
              <w:rPr>
                <w:webHidden/>
              </w:rPr>
              <w:instrText xml:space="preserve"> PAGEREF _Toc518629897 \h </w:instrText>
            </w:r>
            <w:r w:rsidR="009F48E8">
              <w:rPr>
                <w:webHidden/>
              </w:rPr>
            </w:r>
            <w:r w:rsidR="009F48E8">
              <w:rPr>
                <w:webHidden/>
              </w:rPr>
              <w:fldChar w:fldCharType="separate"/>
            </w:r>
            <w:r w:rsidR="009F48E8">
              <w:rPr>
                <w:webHidden/>
              </w:rPr>
              <w:t>25</w:t>
            </w:r>
            <w:r w:rsidR="009F48E8">
              <w:rPr>
                <w:webHidden/>
              </w:rPr>
              <w:fldChar w:fldCharType="end"/>
            </w:r>
          </w:hyperlink>
        </w:p>
        <w:p w14:paraId="4DE2F6A9" w14:textId="4D328674" w:rsidR="00EA3C03" w:rsidRDefault="00A84381" w:rsidP="00772663">
          <w:pPr>
            <w:pStyle w:val="NoSpacing"/>
            <w:spacing w:before="240"/>
            <w:rPr>
              <w:color w:val="7AB800" w:themeColor="accent1"/>
              <w:sz w:val="32"/>
            </w:rPr>
          </w:pPr>
          <w:r>
            <w:rPr>
              <w:rFonts w:ascii="Arial" w:hAnsi="Arial" w:cs="Arial"/>
              <w:b/>
              <w:noProof/>
              <w:color w:val="FFFFFF" w:themeColor="background1"/>
              <w:sz w:val="110"/>
              <w:szCs w:val="110"/>
              <w:lang w:val="en-PH"/>
            </w:rPr>
            <w:fldChar w:fldCharType="end"/>
          </w:r>
          <w:r w:rsidR="00EA3C03" w:rsidRPr="005D15B2">
            <w:rPr>
              <w:color w:val="7AB800" w:themeColor="accent1"/>
              <w:sz w:val="32"/>
            </w:rPr>
            <w:t>Appendices</w:t>
          </w:r>
        </w:p>
        <w:p w14:paraId="6A990ADC" w14:textId="769B098B" w:rsidR="009F48E8" w:rsidRDefault="00EA3C03">
          <w:pPr>
            <w:pStyle w:val="TOC1"/>
            <w:rPr>
              <w:rFonts w:eastAsiaTheme="minorEastAsia"/>
              <w:b w:val="0"/>
              <w:color w:val="auto"/>
              <w:sz w:val="22"/>
              <w:szCs w:val="22"/>
              <w:lang w:val="en-AU" w:eastAsia="en-AU"/>
            </w:rPr>
          </w:pPr>
          <w:r>
            <w:fldChar w:fldCharType="begin"/>
          </w:r>
          <w:r>
            <w:instrText xml:space="preserve"> TOC \n "1-9"  \h \z \t "Appendix title,2,Appendix heading 1,3,Appendix heading,1" </w:instrText>
          </w:r>
          <w:r>
            <w:fldChar w:fldCharType="separate"/>
          </w:r>
          <w:hyperlink w:anchor="_Toc518629898" w:history="1">
            <w:r w:rsidR="009F48E8" w:rsidRPr="00F975B4">
              <w:rPr>
                <w:rStyle w:val="Hyperlink"/>
              </w:rPr>
              <w:t>Annexure A</w:t>
            </w:r>
          </w:hyperlink>
        </w:p>
        <w:p w14:paraId="0C428EAA" w14:textId="49346F2B" w:rsidR="009F48E8" w:rsidRDefault="00B93345">
          <w:pPr>
            <w:pStyle w:val="TOC2"/>
            <w:rPr>
              <w:rFonts w:eastAsiaTheme="minorEastAsia"/>
              <w:sz w:val="22"/>
              <w:szCs w:val="22"/>
              <w:lang w:val="en-AU" w:eastAsia="en-AU"/>
            </w:rPr>
          </w:pPr>
          <w:hyperlink w:anchor="_Toc518629899" w:history="1">
            <w:r w:rsidR="009F48E8" w:rsidRPr="00F975B4">
              <w:rPr>
                <w:rStyle w:val="Hyperlink"/>
              </w:rPr>
              <w:t>Overview of health risk assessment</w:t>
            </w:r>
          </w:hyperlink>
        </w:p>
        <w:p w14:paraId="7067C315" w14:textId="5174AE9D" w:rsidR="009F48E8" w:rsidRDefault="00B93345">
          <w:pPr>
            <w:pStyle w:val="TOC1"/>
            <w:rPr>
              <w:rFonts w:eastAsiaTheme="minorEastAsia"/>
              <w:b w:val="0"/>
              <w:color w:val="auto"/>
              <w:sz w:val="22"/>
              <w:szCs w:val="22"/>
              <w:lang w:val="en-AU" w:eastAsia="en-AU"/>
            </w:rPr>
          </w:pPr>
          <w:hyperlink w:anchor="_Toc518629900" w:history="1">
            <w:r w:rsidR="009F48E8" w:rsidRPr="00F975B4">
              <w:rPr>
                <w:rStyle w:val="Hyperlink"/>
              </w:rPr>
              <w:t>Annexure B</w:t>
            </w:r>
          </w:hyperlink>
        </w:p>
        <w:p w14:paraId="57B3E6BA" w14:textId="49645949" w:rsidR="009F48E8" w:rsidRDefault="00B93345">
          <w:pPr>
            <w:pStyle w:val="TOC2"/>
            <w:rPr>
              <w:rFonts w:eastAsiaTheme="minorEastAsia"/>
              <w:sz w:val="22"/>
              <w:szCs w:val="22"/>
              <w:lang w:val="en-AU" w:eastAsia="en-AU"/>
            </w:rPr>
          </w:pPr>
          <w:hyperlink w:anchor="_Toc518629901" w:history="1">
            <w:r w:rsidR="009F48E8" w:rsidRPr="00F975B4">
              <w:rPr>
                <w:rStyle w:val="Hyperlink"/>
              </w:rPr>
              <w:t>Estimation of damage costs</w:t>
            </w:r>
          </w:hyperlink>
        </w:p>
        <w:p w14:paraId="2BA74F34" w14:textId="1A58FA25" w:rsidR="009F48E8" w:rsidRDefault="00B93345">
          <w:pPr>
            <w:pStyle w:val="TOC1"/>
            <w:rPr>
              <w:rFonts w:eastAsiaTheme="minorEastAsia"/>
              <w:b w:val="0"/>
              <w:color w:val="auto"/>
              <w:sz w:val="22"/>
              <w:szCs w:val="22"/>
              <w:lang w:val="en-AU" w:eastAsia="en-AU"/>
            </w:rPr>
          </w:pPr>
          <w:hyperlink w:anchor="_Toc518629902" w:history="1">
            <w:r w:rsidR="009F48E8" w:rsidRPr="00F975B4">
              <w:rPr>
                <w:rStyle w:val="Hyperlink"/>
              </w:rPr>
              <w:t>Annexure C</w:t>
            </w:r>
          </w:hyperlink>
        </w:p>
        <w:p w14:paraId="4C964B5E" w14:textId="0D2AD0C5" w:rsidR="009F48E8" w:rsidRDefault="00B93345">
          <w:pPr>
            <w:pStyle w:val="TOC2"/>
            <w:rPr>
              <w:rFonts w:eastAsiaTheme="minorEastAsia"/>
              <w:sz w:val="22"/>
              <w:szCs w:val="22"/>
              <w:lang w:val="en-AU" w:eastAsia="en-AU"/>
            </w:rPr>
          </w:pPr>
          <w:hyperlink w:anchor="_Toc518629903" w:history="1">
            <w:r w:rsidR="009F48E8" w:rsidRPr="00F975B4">
              <w:rPr>
                <w:rStyle w:val="Hyperlink"/>
              </w:rPr>
              <w:t>Analysis of abatement measures</w:t>
            </w:r>
          </w:hyperlink>
        </w:p>
        <w:p w14:paraId="3CD627F2" w14:textId="60AF352A" w:rsidR="009F48E8" w:rsidRDefault="00B93345">
          <w:pPr>
            <w:pStyle w:val="TOC3"/>
            <w:rPr>
              <w:rFonts w:eastAsiaTheme="minorEastAsia"/>
              <w:sz w:val="22"/>
              <w:szCs w:val="22"/>
              <w:lang w:val="en-AU" w:eastAsia="en-AU"/>
            </w:rPr>
          </w:pPr>
          <w:hyperlink w:anchor="_Toc518629904" w:history="1">
            <w:r w:rsidR="009F48E8" w:rsidRPr="00F975B4">
              <w:rPr>
                <w:rStyle w:val="Hyperlink"/>
              </w:rPr>
              <w:t>Measure 1: On-board refuelling vapour recovery (ORVR) (O</w:t>
            </w:r>
            <w:r w:rsidR="009F48E8" w:rsidRPr="00F975B4">
              <w:rPr>
                <w:rStyle w:val="Hyperlink"/>
                <w:vertAlign w:val="subscript"/>
              </w:rPr>
              <w:t>3</w:t>
            </w:r>
            <w:r w:rsidR="009F48E8" w:rsidRPr="00F975B4">
              <w:rPr>
                <w:rStyle w:val="Hyperlink"/>
              </w:rPr>
              <w:t>)</w:t>
            </w:r>
          </w:hyperlink>
        </w:p>
        <w:p w14:paraId="7EC73DBC" w14:textId="1B8FEC94" w:rsidR="009F48E8" w:rsidRDefault="00B93345">
          <w:pPr>
            <w:pStyle w:val="TOC3"/>
            <w:rPr>
              <w:rFonts w:eastAsiaTheme="minorEastAsia"/>
              <w:sz w:val="22"/>
              <w:szCs w:val="22"/>
              <w:lang w:val="en-AU" w:eastAsia="en-AU"/>
            </w:rPr>
          </w:pPr>
          <w:hyperlink w:anchor="_Toc518629905" w:history="1">
            <w:r w:rsidR="009F48E8" w:rsidRPr="00F975B4">
              <w:rPr>
                <w:rStyle w:val="Hyperlink"/>
              </w:rPr>
              <w:t>Measure 10: Surface coating standards (O</w:t>
            </w:r>
            <w:r w:rsidR="009F48E8" w:rsidRPr="00F975B4">
              <w:rPr>
                <w:rStyle w:val="Hyperlink"/>
                <w:vertAlign w:val="subscript"/>
              </w:rPr>
              <w:t>3</w:t>
            </w:r>
            <w:r w:rsidR="009F48E8" w:rsidRPr="00F975B4">
              <w:rPr>
                <w:rStyle w:val="Hyperlink"/>
              </w:rPr>
              <w:t>)</w:t>
            </w:r>
          </w:hyperlink>
        </w:p>
        <w:p w14:paraId="3C9858CC" w14:textId="1F2A50C4" w:rsidR="009F48E8" w:rsidRDefault="00B93345">
          <w:pPr>
            <w:pStyle w:val="TOC3"/>
            <w:rPr>
              <w:rFonts w:eastAsiaTheme="minorEastAsia"/>
              <w:sz w:val="22"/>
              <w:szCs w:val="22"/>
              <w:lang w:val="en-AU" w:eastAsia="en-AU"/>
            </w:rPr>
          </w:pPr>
          <w:hyperlink w:anchor="_Toc518629906" w:history="1">
            <w:r w:rsidR="009F48E8" w:rsidRPr="00F975B4">
              <w:rPr>
                <w:rStyle w:val="Hyperlink"/>
              </w:rPr>
              <w:t>Measure 16: VOC control for solvent aerosol use (O</w:t>
            </w:r>
            <w:r w:rsidR="009F48E8" w:rsidRPr="00F975B4">
              <w:rPr>
                <w:rStyle w:val="Hyperlink"/>
                <w:vertAlign w:val="subscript"/>
              </w:rPr>
              <w:t>3</w:t>
            </w:r>
            <w:r w:rsidR="009F48E8" w:rsidRPr="00F975B4">
              <w:rPr>
                <w:rStyle w:val="Hyperlink"/>
              </w:rPr>
              <w:t>)</w:t>
            </w:r>
          </w:hyperlink>
        </w:p>
        <w:p w14:paraId="3B935B8F" w14:textId="1D7B3DDA" w:rsidR="009F48E8" w:rsidRDefault="00B93345">
          <w:pPr>
            <w:pStyle w:val="TOC3"/>
            <w:rPr>
              <w:rFonts w:eastAsiaTheme="minorEastAsia"/>
              <w:sz w:val="22"/>
              <w:szCs w:val="22"/>
              <w:lang w:val="en-AU" w:eastAsia="en-AU"/>
            </w:rPr>
          </w:pPr>
          <w:hyperlink w:anchor="_Toc518629907" w:history="1">
            <w:r w:rsidR="009F48E8" w:rsidRPr="00F975B4">
              <w:rPr>
                <w:rStyle w:val="Hyperlink"/>
              </w:rPr>
              <w:t>Measure 9: De-SO</w:t>
            </w:r>
            <w:r w:rsidR="009F48E8" w:rsidRPr="00F975B4">
              <w:rPr>
                <w:rStyle w:val="Hyperlink"/>
                <w:vertAlign w:val="subscript"/>
              </w:rPr>
              <w:t>X</w:t>
            </w:r>
            <w:r w:rsidR="009F48E8" w:rsidRPr="00F975B4">
              <w:rPr>
                <w:rStyle w:val="Hyperlink"/>
              </w:rPr>
              <w:t xml:space="preserve"> and de-NO</w:t>
            </w:r>
            <w:r w:rsidR="009F48E8" w:rsidRPr="00F975B4">
              <w:rPr>
                <w:rStyle w:val="Hyperlink"/>
                <w:vertAlign w:val="subscript"/>
              </w:rPr>
              <w:t>X</w:t>
            </w:r>
            <w:r w:rsidR="009F48E8" w:rsidRPr="00F975B4">
              <w:rPr>
                <w:rStyle w:val="Hyperlink"/>
              </w:rPr>
              <w:t xml:space="preserve"> for power stations (SO</w:t>
            </w:r>
            <w:r w:rsidR="009F48E8" w:rsidRPr="00F975B4">
              <w:rPr>
                <w:rStyle w:val="Hyperlink"/>
                <w:vertAlign w:val="subscript"/>
              </w:rPr>
              <w:t>2</w:t>
            </w:r>
            <w:r w:rsidR="009F48E8" w:rsidRPr="00F975B4">
              <w:rPr>
                <w:rStyle w:val="Hyperlink"/>
              </w:rPr>
              <w:t>, NO</w:t>
            </w:r>
            <w:r w:rsidR="009F48E8" w:rsidRPr="00F975B4">
              <w:rPr>
                <w:rStyle w:val="Hyperlink"/>
                <w:vertAlign w:val="subscript"/>
              </w:rPr>
              <w:t>2</w:t>
            </w:r>
            <w:r w:rsidR="009F48E8" w:rsidRPr="00F975B4">
              <w:rPr>
                <w:rStyle w:val="Hyperlink"/>
              </w:rPr>
              <w:t>)</w:t>
            </w:r>
          </w:hyperlink>
        </w:p>
        <w:p w14:paraId="1F2C4170" w14:textId="5C1F5A9F" w:rsidR="009F48E8" w:rsidRDefault="00B93345">
          <w:pPr>
            <w:pStyle w:val="TOC3"/>
            <w:rPr>
              <w:rFonts w:eastAsiaTheme="minorEastAsia"/>
              <w:sz w:val="22"/>
              <w:szCs w:val="22"/>
              <w:lang w:val="en-AU" w:eastAsia="en-AU"/>
            </w:rPr>
          </w:pPr>
          <w:hyperlink w:anchor="_Toc518629908" w:history="1">
            <w:r w:rsidR="009F48E8" w:rsidRPr="00F975B4">
              <w:rPr>
                <w:rStyle w:val="Hyperlink"/>
              </w:rPr>
              <w:t>Measure 14: De-SO</w:t>
            </w:r>
            <w:r w:rsidR="009F48E8" w:rsidRPr="00F975B4">
              <w:rPr>
                <w:rStyle w:val="Hyperlink"/>
                <w:vertAlign w:val="subscript"/>
              </w:rPr>
              <w:t>X</w:t>
            </w:r>
            <w:r w:rsidR="009F48E8" w:rsidRPr="00F975B4">
              <w:rPr>
                <w:rStyle w:val="Hyperlink"/>
              </w:rPr>
              <w:t xml:space="preserve"> at petrol refineries (SO</w:t>
            </w:r>
            <w:r w:rsidR="009F48E8" w:rsidRPr="00F975B4">
              <w:rPr>
                <w:rStyle w:val="Hyperlink"/>
                <w:vertAlign w:val="subscript"/>
              </w:rPr>
              <w:t>2</w:t>
            </w:r>
            <w:r w:rsidR="009F48E8" w:rsidRPr="00F975B4">
              <w:rPr>
                <w:rStyle w:val="Hyperlink"/>
              </w:rPr>
              <w:t>)</w:t>
            </w:r>
          </w:hyperlink>
        </w:p>
        <w:p w14:paraId="7FD719E9" w14:textId="089EEF59" w:rsidR="009F48E8" w:rsidRDefault="00B93345">
          <w:pPr>
            <w:pStyle w:val="TOC3"/>
            <w:rPr>
              <w:rFonts w:eastAsiaTheme="minorEastAsia"/>
              <w:sz w:val="22"/>
              <w:szCs w:val="22"/>
              <w:lang w:val="en-AU" w:eastAsia="en-AU"/>
            </w:rPr>
          </w:pPr>
          <w:hyperlink w:anchor="_Toc518629909" w:history="1">
            <w:r w:rsidR="009F48E8" w:rsidRPr="00F975B4">
              <w:rPr>
                <w:rStyle w:val="Hyperlink"/>
              </w:rPr>
              <w:t>Measure 15: De-SO</w:t>
            </w:r>
            <w:r w:rsidR="009F48E8" w:rsidRPr="00F975B4">
              <w:rPr>
                <w:rStyle w:val="Hyperlink"/>
                <w:vertAlign w:val="subscript"/>
              </w:rPr>
              <w:t>X</w:t>
            </w:r>
            <w:r w:rsidR="009F48E8" w:rsidRPr="00F975B4">
              <w:rPr>
                <w:rStyle w:val="Hyperlink"/>
              </w:rPr>
              <w:t xml:space="preserve"> at iron and steel facilities (SO</w:t>
            </w:r>
            <w:r w:rsidR="009F48E8" w:rsidRPr="00F975B4">
              <w:rPr>
                <w:rStyle w:val="Hyperlink"/>
                <w:vertAlign w:val="subscript"/>
              </w:rPr>
              <w:t>2</w:t>
            </w:r>
            <w:r w:rsidR="009F48E8" w:rsidRPr="00F975B4">
              <w:rPr>
                <w:rStyle w:val="Hyperlink"/>
              </w:rPr>
              <w:t>)</w:t>
            </w:r>
          </w:hyperlink>
        </w:p>
        <w:p w14:paraId="7A09F0A2" w14:textId="3AC11F11" w:rsidR="009F48E8" w:rsidRDefault="00B93345">
          <w:pPr>
            <w:pStyle w:val="TOC3"/>
            <w:rPr>
              <w:rFonts w:eastAsiaTheme="minorEastAsia"/>
              <w:sz w:val="22"/>
              <w:szCs w:val="22"/>
              <w:lang w:val="en-AU" w:eastAsia="en-AU"/>
            </w:rPr>
          </w:pPr>
          <w:hyperlink w:anchor="_Toc518629910" w:history="1">
            <w:r w:rsidR="009F48E8" w:rsidRPr="00F975B4">
              <w:rPr>
                <w:rStyle w:val="Hyperlink"/>
              </w:rPr>
              <w:t>Measure 6: Non-road diesel engine standards (NO</w:t>
            </w:r>
            <w:r w:rsidR="009F48E8" w:rsidRPr="00F975B4">
              <w:rPr>
                <w:rStyle w:val="Hyperlink"/>
                <w:vertAlign w:val="subscript"/>
              </w:rPr>
              <w:t>2</w:t>
            </w:r>
            <w:r w:rsidR="009F48E8" w:rsidRPr="00F975B4">
              <w:rPr>
                <w:rStyle w:val="Hyperlink"/>
              </w:rPr>
              <w:t>)</w:t>
            </w:r>
          </w:hyperlink>
        </w:p>
        <w:p w14:paraId="6A6173C1" w14:textId="0BE3F772" w:rsidR="009F48E8" w:rsidRDefault="00B93345">
          <w:pPr>
            <w:pStyle w:val="TOC3"/>
            <w:rPr>
              <w:rFonts w:eastAsiaTheme="minorEastAsia"/>
              <w:sz w:val="22"/>
              <w:szCs w:val="22"/>
              <w:lang w:val="en-AU" w:eastAsia="en-AU"/>
            </w:rPr>
          </w:pPr>
          <w:hyperlink w:anchor="_Toc518629911" w:history="1">
            <w:r w:rsidR="009F48E8" w:rsidRPr="00F975B4">
              <w:rPr>
                <w:rStyle w:val="Hyperlink"/>
              </w:rPr>
              <w:t>Measure 13: Industry</w:t>
            </w:r>
            <w:r w:rsidR="009F48E8" w:rsidRPr="00F975B4">
              <w:rPr>
                <w:rStyle w:val="Hyperlink"/>
                <w:rFonts w:eastAsia="Times New Roman"/>
                <w:lang w:val="en-AU" w:eastAsia="en-AU"/>
              </w:rPr>
              <w:t xml:space="preserve"> </w:t>
            </w:r>
            <w:r w:rsidR="009F48E8" w:rsidRPr="00F975B4">
              <w:rPr>
                <w:rStyle w:val="Hyperlink"/>
              </w:rPr>
              <w:t>NO</w:t>
            </w:r>
            <w:r w:rsidR="009F48E8" w:rsidRPr="00F975B4">
              <w:rPr>
                <w:rStyle w:val="Hyperlink"/>
                <w:vertAlign w:val="subscript"/>
              </w:rPr>
              <w:t>X</w:t>
            </w:r>
            <w:r w:rsidR="009F48E8" w:rsidRPr="00F975B4">
              <w:rPr>
                <w:rStyle w:val="Hyperlink"/>
              </w:rPr>
              <w:t xml:space="preserve"> control technology (NO</w:t>
            </w:r>
            <w:r w:rsidR="009F48E8" w:rsidRPr="00F975B4">
              <w:rPr>
                <w:rStyle w:val="Hyperlink"/>
                <w:vertAlign w:val="subscript"/>
              </w:rPr>
              <w:t>2</w:t>
            </w:r>
            <w:r w:rsidR="009F48E8" w:rsidRPr="00F975B4">
              <w:rPr>
                <w:rStyle w:val="Hyperlink"/>
              </w:rPr>
              <w:t>)</w:t>
            </w:r>
          </w:hyperlink>
        </w:p>
        <w:p w14:paraId="533FBD55" w14:textId="248DAFAB" w:rsidR="00EA3C03" w:rsidRDefault="00EA3C03" w:rsidP="00772663">
          <w:pPr>
            <w:spacing w:before="240" w:after="240"/>
            <w:rPr>
              <w:b/>
              <w:bCs/>
              <w:noProof/>
            </w:rPr>
          </w:pPr>
          <w:r>
            <w:rPr>
              <w:b/>
              <w:bCs/>
              <w:noProof/>
            </w:rPr>
            <w:fldChar w:fldCharType="end"/>
          </w:r>
        </w:p>
        <w:p w14:paraId="23D4D872" w14:textId="77777777" w:rsidR="002962A2" w:rsidRDefault="002962A2" w:rsidP="00772663">
          <w:pPr>
            <w:spacing w:before="240" w:after="240"/>
            <w:rPr>
              <w:color w:val="7AB800" w:themeColor="accent1"/>
              <w:sz w:val="32"/>
            </w:rPr>
          </w:pPr>
        </w:p>
        <w:p w14:paraId="4F4F5898" w14:textId="4C34E227" w:rsidR="00EA3C03" w:rsidRPr="000E0BE2" w:rsidRDefault="00EA3C03" w:rsidP="00772663">
          <w:pPr>
            <w:spacing w:before="240" w:after="240"/>
            <w:rPr>
              <w:color w:val="7AB800" w:themeColor="accent1"/>
              <w:sz w:val="32"/>
            </w:rPr>
          </w:pPr>
          <w:r w:rsidRPr="00FE3755">
            <w:rPr>
              <w:color w:val="7AB800" w:themeColor="accent1"/>
              <w:sz w:val="32"/>
            </w:rPr>
            <w:lastRenderedPageBreak/>
            <w:t>Figures</w:t>
          </w:r>
        </w:p>
        <w:p w14:paraId="5876C903" w14:textId="0D5B3006" w:rsidR="009F48E8" w:rsidRDefault="00837FA0" w:rsidP="009F48E8">
          <w:pPr>
            <w:pStyle w:val="TableofFigures"/>
            <w:tabs>
              <w:tab w:val="clear" w:pos="5232"/>
              <w:tab w:val="right" w:leader="dot" w:pos="9639"/>
            </w:tabs>
            <w:rPr>
              <w:rFonts w:eastAsiaTheme="minorEastAsia"/>
              <w:sz w:val="22"/>
              <w:szCs w:val="22"/>
              <w:lang w:val="en-AU" w:eastAsia="en-AU"/>
            </w:rPr>
          </w:pPr>
          <w:r>
            <w:fldChar w:fldCharType="begin"/>
          </w:r>
          <w:r>
            <w:instrText xml:space="preserve"> TOC \h \z \c "Figure" </w:instrText>
          </w:r>
          <w:r>
            <w:fldChar w:fldCharType="separate"/>
          </w:r>
          <w:hyperlink w:anchor="_Toc518629912" w:history="1">
            <w:r w:rsidR="009F48E8" w:rsidRPr="00FF5BDC">
              <w:rPr>
                <w:rStyle w:val="Hyperlink"/>
              </w:rPr>
              <w:t>Figure 1 Impact pathway</w:t>
            </w:r>
            <w:r w:rsidR="009F48E8">
              <w:rPr>
                <w:webHidden/>
              </w:rPr>
              <w:tab/>
            </w:r>
            <w:r w:rsidR="009F48E8">
              <w:rPr>
                <w:webHidden/>
              </w:rPr>
              <w:fldChar w:fldCharType="begin"/>
            </w:r>
            <w:r w:rsidR="009F48E8">
              <w:rPr>
                <w:webHidden/>
              </w:rPr>
              <w:instrText xml:space="preserve"> PAGEREF _Toc518629912 \h </w:instrText>
            </w:r>
            <w:r w:rsidR="009F48E8">
              <w:rPr>
                <w:webHidden/>
              </w:rPr>
            </w:r>
            <w:r w:rsidR="009F48E8">
              <w:rPr>
                <w:webHidden/>
              </w:rPr>
              <w:fldChar w:fldCharType="separate"/>
            </w:r>
            <w:r w:rsidR="009F48E8">
              <w:rPr>
                <w:webHidden/>
              </w:rPr>
              <w:t>11</w:t>
            </w:r>
            <w:r w:rsidR="009F48E8">
              <w:rPr>
                <w:webHidden/>
              </w:rPr>
              <w:fldChar w:fldCharType="end"/>
            </w:r>
          </w:hyperlink>
        </w:p>
        <w:p w14:paraId="600A6BDA" w14:textId="28AD472F"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13" w:history="1">
            <w:r w:rsidR="009F48E8" w:rsidRPr="00FF5BDC">
              <w:rPr>
                <w:rStyle w:val="Hyperlink"/>
              </w:rPr>
              <w:t>Figure 2 Sensitivity of CBA results to changes in economic assumptions</w:t>
            </w:r>
            <w:r w:rsidR="009F48E8">
              <w:rPr>
                <w:webHidden/>
              </w:rPr>
              <w:tab/>
            </w:r>
            <w:r w:rsidR="009F48E8">
              <w:rPr>
                <w:webHidden/>
              </w:rPr>
              <w:fldChar w:fldCharType="begin"/>
            </w:r>
            <w:r w:rsidR="009F48E8">
              <w:rPr>
                <w:webHidden/>
              </w:rPr>
              <w:instrText xml:space="preserve"> PAGEREF _Toc518629913 \h </w:instrText>
            </w:r>
            <w:r w:rsidR="009F48E8">
              <w:rPr>
                <w:webHidden/>
              </w:rPr>
            </w:r>
            <w:r w:rsidR="009F48E8">
              <w:rPr>
                <w:webHidden/>
              </w:rPr>
              <w:fldChar w:fldCharType="separate"/>
            </w:r>
            <w:r w:rsidR="009F48E8">
              <w:rPr>
                <w:webHidden/>
              </w:rPr>
              <w:t>22</w:t>
            </w:r>
            <w:r w:rsidR="009F48E8">
              <w:rPr>
                <w:webHidden/>
              </w:rPr>
              <w:fldChar w:fldCharType="end"/>
            </w:r>
          </w:hyperlink>
        </w:p>
        <w:p w14:paraId="0AD87C64" w14:textId="1D1AE28F"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14" w:history="1">
            <w:r w:rsidR="009F48E8" w:rsidRPr="00FF5BDC">
              <w:rPr>
                <w:rStyle w:val="Hyperlink"/>
              </w:rPr>
              <w:t>Figure 3 Sensitivity of CBA results to changes in technical assumptions</w:t>
            </w:r>
            <w:r w:rsidR="009F48E8">
              <w:rPr>
                <w:webHidden/>
              </w:rPr>
              <w:tab/>
            </w:r>
            <w:r w:rsidR="009F48E8">
              <w:rPr>
                <w:webHidden/>
              </w:rPr>
              <w:fldChar w:fldCharType="begin"/>
            </w:r>
            <w:r w:rsidR="009F48E8">
              <w:rPr>
                <w:webHidden/>
              </w:rPr>
              <w:instrText xml:space="preserve"> PAGEREF _Toc518629914 \h </w:instrText>
            </w:r>
            <w:r w:rsidR="009F48E8">
              <w:rPr>
                <w:webHidden/>
              </w:rPr>
            </w:r>
            <w:r w:rsidR="009F48E8">
              <w:rPr>
                <w:webHidden/>
              </w:rPr>
              <w:fldChar w:fldCharType="separate"/>
            </w:r>
            <w:r w:rsidR="009F48E8">
              <w:rPr>
                <w:webHidden/>
              </w:rPr>
              <w:t>22</w:t>
            </w:r>
            <w:r w:rsidR="009F48E8">
              <w:rPr>
                <w:webHidden/>
              </w:rPr>
              <w:fldChar w:fldCharType="end"/>
            </w:r>
          </w:hyperlink>
        </w:p>
        <w:p w14:paraId="32069C95" w14:textId="331219DC" w:rsidR="00EA3C03" w:rsidRDefault="00837FA0" w:rsidP="009F48E8">
          <w:pPr>
            <w:tabs>
              <w:tab w:val="right" w:leader="dot" w:pos="9639"/>
            </w:tabs>
            <w:spacing w:before="240" w:after="240"/>
          </w:pPr>
          <w:r>
            <w:rPr>
              <w:noProof/>
            </w:rPr>
            <w:fldChar w:fldCharType="end"/>
          </w:r>
        </w:p>
        <w:p w14:paraId="42B1C00B" w14:textId="77777777" w:rsidR="00EA3C03" w:rsidRPr="000E0BE2" w:rsidRDefault="00EA3C03" w:rsidP="00772663">
          <w:pPr>
            <w:spacing w:before="240" w:after="240"/>
            <w:rPr>
              <w:color w:val="7AB800" w:themeColor="accent1"/>
              <w:sz w:val="32"/>
            </w:rPr>
          </w:pPr>
          <w:r w:rsidRPr="006A33B5">
            <w:rPr>
              <w:color w:val="7AB800" w:themeColor="accent1"/>
              <w:sz w:val="32"/>
            </w:rPr>
            <w:t>Tables</w:t>
          </w:r>
        </w:p>
        <w:p w14:paraId="4ED8DE97" w14:textId="1E653294" w:rsidR="009F48E8" w:rsidRDefault="00837FA0" w:rsidP="009F48E8">
          <w:pPr>
            <w:pStyle w:val="TableofFigures"/>
            <w:tabs>
              <w:tab w:val="clear" w:pos="5232"/>
              <w:tab w:val="right" w:leader="dot" w:pos="9639"/>
            </w:tabs>
            <w:rPr>
              <w:rFonts w:eastAsiaTheme="minorEastAsia"/>
              <w:sz w:val="22"/>
              <w:szCs w:val="22"/>
              <w:lang w:val="en-AU" w:eastAsia="en-AU"/>
            </w:rPr>
          </w:pPr>
          <w:r>
            <w:rPr>
              <w:lang w:val="en-AU"/>
            </w:rPr>
            <w:fldChar w:fldCharType="begin"/>
          </w:r>
          <w:r>
            <w:rPr>
              <w:lang w:val="en-AU"/>
            </w:rPr>
            <w:instrText xml:space="preserve"> TOC \h \z \c "Table" </w:instrText>
          </w:r>
          <w:r>
            <w:rPr>
              <w:lang w:val="en-AU"/>
            </w:rPr>
            <w:fldChar w:fldCharType="separate"/>
          </w:r>
          <w:hyperlink w:anchor="_Toc518629915" w:history="1">
            <w:r w:rsidR="009F48E8" w:rsidRPr="00EF3E72">
              <w:rPr>
                <w:rStyle w:val="Hyperlink"/>
              </w:rPr>
              <w:t>Table 3</w:t>
            </w:r>
            <w:r w:rsidR="009F48E8" w:rsidRPr="00EF3E72">
              <w:rPr>
                <w:rStyle w:val="Hyperlink"/>
              </w:rPr>
              <w:noBreakHyphen/>
              <w:t>1 Abatement measures selected for Cost-Benefit Analysis</w:t>
            </w:r>
            <w:r w:rsidR="009F48E8">
              <w:rPr>
                <w:webHidden/>
              </w:rPr>
              <w:tab/>
            </w:r>
            <w:r w:rsidR="009F48E8">
              <w:rPr>
                <w:webHidden/>
              </w:rPr>
              <w:fldChar w:fldCharType="begin"/>
            </w:r>
            <w:r w:rsidR="009F48E8">
              <w:rPr>
                <w:webHidden/>
              </w:rPr>
              <w:instrText xml:space="preserve"> PAGEREF _Toc518629915 \h </w:instrText>
            </w:r>
            <w:r w:rsidR="009F48E8">
              <w:rPr>
                <w:webHidden/>
              </w:rPr>
            </w:r>
            <w:r w:rsidR="009F48E8">
              <w:rPr>
                <w:webHidden/>
              </w:rPr>
              <w:fldChar w:fldCharType="separate"/>
            </w:r>
            <w:r w:rsidR="009F48E8">
              <w:rPr>
                <w:webHidden/>
              </w:rPr>
              <w:t>10</w:t>
            </w:r>
            <w:r w:rsidR="009F48E8">
              <w:rPr>
                <w:webHidden/>
              </w:rPr>
              <w:fldChar w:fldCharType="end"/>
            </w:r>
          </w:hyperlink>
        </w:p>
        <w:p w14:paraId="70E02AF5" w14:textId="5A3A32B9"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16" w:history="1">
            <w:r w:rsidR="009F48E8" w:rsidRPr="00EF3E72">
              <w:rPr>
                <w:rStyle w:val="Hyperlink"/>
              </w:rPr>
              <w:t>Table 3</w:t>
            </w:r>
            <w:r w:rsidR="009F48E8" w:rsidRPr="00EF3E72">
              <w:rPr>
                <w:rStyle w:val="Hyperlink"/>
              </w:rPr>
              <w:noBreakHyphen/>
              <w:t>2 Assumptions for economic value of health outcomes</w:t>
            </w:r>
            <w:r w:rsidR="009F48E8">
              <w:rPr>
                <w:webHidden/>
              </w:rPr>
              <w:tab/>
            </w:r>
            <w:r w:rsidR="009F48E8">
              <w:rPr>
                <w:webHidden/>
              </w:rPr>
              <w:fldChar w:fldCharType="begin"/>
            </w:r>
            <w:r w:rsidR="009F48E8">
              <w:rPr>
                <w:webHidden/>
              </w:rPr>
              <w:instrText xml:space="preserve"> PAGEREF _Toc518629916 \h </w:instrText>
            </w:r>
            <w:r w:rsidR="009F48E8">
              <w:rPr>
                <w:webHidden/>
              </w:rPr>
            </w:r>
            <w:r w:rsidR="009F48E8">
              <w:rPr>
                <w:webHidden/>
              </w:rPr>
              <w:fldChar w:fldCharType="separate"/>
            </w:r>
            <w:r w:rsidR="009F48E8">
              <w:rPr>
                <w:webHidden/>
              </w:rPr>
              <w:t>13</w:t>
            </w:r>
            <w:r w:rsidR="009F48E8">
              <w:rPr>
                <w:webHidden/>
              </w:rPr>
              <w:fldChar w:fldCharType="end"/>
            </w:r>
          </w:hyperlink>
        </w:p>
        <w:p w14:paraId="62DCEC9E" w14:textId="096F6EC4"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17" w:history="1">
            <w:r w:rsidR="009F48E8" w:rsidRPr="00EF3E72">
              <w:rPr>
                <w:rStyle w:val="Hyperlink"/>
              </w:rPr>
              <w:t>Table 3</w:t>
            </w:r>
            <w:r w:rsidR="009F48E8" w:rsidRPr="00EF3E72">
              <w:rPr>
                <w:rStyle w:val="Hyperlink"/>
              </w:rPr>
              <w:noBreakHyphen/>
              <w:t>3 Approach used to estimate health benefits</w:t>
            </w:r>
            <w:r w:rsidR="009F48E8">
              <w:rPr>
                <w:webHidden/>
              </w:rPr>
              <w:tab/>
            </w:r>
            <w:r w:rsidR="009F48E8">
              <w:rPr>
                <w:webHidden/>
              </w:rPr>
              <w:fldChar w:fldCharType="begin"/>
            </w:r>
            <w:r w:rsidR="009F48E8">
              <w:rPr>
                <w:webHidden/>
              </w:rPr>
              <w:instrText xml:space="preserve"> PAGEREF _Toc518629917 \h </w:instrText>
            </w:r>
            <w:r w:rsidR="009F48E8">
              <w:rPr>
                <w:webHidden/>
              </w:rPr>
            </w:r>
            <w:r w:rsidR="009F48E8">
              <w:rPr>
                <w:webHidden/>
              </w:rPr>
              <w:fldChar w:fldCharType="separate"/>
            </w:r>
            <w:r w:rsidR="009F48E8">
              <w:rPr>
                <w:webHidden/>
              </w:rPr>
              <w:t>15</w:t>
            </w:r>
            <w:r w:rsidR="009F48E8">
              <w:rPr>
                <w:webHidden/>
              </w:rPr>
              <w:fldChar w:fldCharType="end"/>
            </w:r>
          </w:hyperlink>
        </w:p>
        <w:p w14:paraId="506E4DBA" w14:textId="601E9BA0"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18" w:history="1">
            <w:r w:rsidR="009F48E8" w:rsidRPr="00EF3E72">
              <w:rPr>
                <w:rStyle w:val="Hyperlink"/>
              </w:rPr>
              <w:t>Table 4</w:t>
            </w:r>
            <w:r w:rsidR="009F48E8" w:rsidRPr="00EF3E72">
              <w:rPr>
                <w:rStyle w:val="Hyperlink"/>
              </w:rPr>
              <w:noBreakHyphen/>
              <w:t>1 Estimate of existing health burden between 2010-2014 (2016 $m PV)</w:t>
            </w:r>
            <w:r w:rsidR="009F48E8">
              <w:rPr>
                <w:webHidden/>
              </w:rPr>
              <w:tab/>
            </w:r>
            <w:r w:rsidR="009F48E8">
              <w:rPr>
                <w:webHidden/>
              </w:rPr>
              <w:fldChar w:fldCharType="begin"/>
            </w:r>
            <w:r w:rsidR="009F48E8">
              <w:rPr>
                <w:webHidden/>
              </w:rPr>
              <w:instrText xml:space="preserve"> PAGEREF _Toc518629918 \h </w:instrText>
            </w:r>
            <w:r w:rsidR="009F48E8">
              <w:rPr>
                <w:webHidden/>
              </w:rPr>
            </w:r>
            <w:r w:rsidR="009F48E8">
              <w:rPr>
                <w:webHidden/>
              </w:rPr>
              <w:fldChar w:fldCharType="separate"/>
            </w:r>
            <w:r w:rsidR="009F48E8">
              <w:rPr>
                <w:webHidden/>
              </w:rPr>
              <w:t>16</w:t>
            </w:r>
            <w:r w:rsidR="009F48E8">
              <w:rPr>
                <w:webHidden/>
              </w:rPr>
              <w:fldChar w:fldCharType="end"/>
            </w:r>
          </w:hyperlink>
        </w:p>
        <w:p w14:paraId="32A8BABA" w14:textId="25CE89DC"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19" w:history="1">
            <w:r w:rsidR="009F48E8" w:rsidRPr="00EF3E72">
              <w:rPr>
                <w:rStyle w:val="Hyperlink"/>
              </w:rPr>
              <w:t>Table 4</w:t>
            </w:r>
            <w:r w:rsidR="009F48E8" w:rsidRPr="00EF3E72">
              <w:rPr>
                <w:rStyle w:val="Hyperlink"/>
              </w:rPr>
              <w:noBreakHyphen/>
              <w:t>2 Range of uncertainty on existing health burden using different CRFs ($m PV)</w:t>
            </w:r>
            <w:r w:rsidR="009F48E8">
              <w:rPr>
                <w:webHidden/>
              </w:rPr>
              <w:tab/>
            </w:r>
            <w:r w:rsidR="009F48E8">
              <w:rPr>
                <w:webHidden/>
              </w:rPr>
              <w:fldChar w:fldCharType="begin"/>
            </w:r>
            <w:r w:rsidR="009F48E8">
              <w:rPr>
                <w:webHidden/>
              </w:rPr>
              <w:instrText xml:space="preserve"> PAGEREF _Toc518629919 \h </w:instrText>
            </w:r>
            <w:r w:rsidR="009F48E8">
              <w:rPr>
                <w:webHidden/>
              </w:rPr>
            </w:r>
            <w:r w:rsidR="009F48E8">
              <w:rPr>
                <w:webHidden/>
              </w:rPr>
              <w:fldChar w:fldCharType="separate"/>
            </w:r>
            <w:r w:rsidR="009F48E8">
              <w:rPr>
                <w:webHidden/>
              </w:rPr>
              <w:t>16</w:t>
            </w:r>
            <w:r w:rsidR="009F48E8">
              <w:rPr>
                <w:webHidden/>
              </w:rPr>
              <w:fldChar w:fldCharType="end"/>
            </w:r>
          </w:hyperlink>
        </w:p>
        <w:p w14:paraId="0E104977" w14:textId="51D3A702"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20" w:history="1">
            <w:r w:rsidR="009F48E8" w:rsidRPr="00EF3E72">
              <w:rPr>
                <w:rStyle w:val="Hyperlink"/>
              </w:rPr>
              <w:t>Table 5</w:t>
            </w:r>
            <w:r w:rsidR="009F48E8" w:rsidRPr="00EF3E72">
              <w:rPr>
                <w:rStyle w:val="Hyperlink"/>
              </w:rPr>
              <w:noBreakHyphen/>
              <w:t>1 Projected costs and benefits of implementing abatement package (2021-2040)</w:t>
            </w:r>
            <w:r w:rsidR="009F48E8">
              <w:rPr>
                <w:webHidden/>
              </w:rPr>
              <w:tab/>
            </w:r>
            <w:r w:rsidR="009F48E8">
              <w:rPr>
                <w:webHidden/>
              </w:rPr>
              <w:fldChar w:fldCharType="begin"/>
            </w:r>
            <w:r w:rsidR="009F48E8">
              <w:rPr>
                <w:webHidden/>
              </w:rPr>
              <w:instrText xml:space="preserve"> PAGEREF _Toc518629920 \h </w:instrText>
            </w:r>
            <w:r w:rsidR="009F48E8">
              <w:rPr>
                <w:webHidden/>
              </w:rPr>
            </w:r>
            <w:r w:rsidR="009F48E8">
              <w:rPr>
                <w:webHidden/>
              </w:rPr>
              <w:fldChar w:fldCharType="separate"/>
            </w:r>
            <w:r w:rsidR="009F48E8">
              <w:rPr>
                <w:webHidden/>
              </w:rPr>
              <w:t>17</w:t>
            </w:r>
            <w:r w:rsidR="009F48E8">
              <w:rPr>
                <w:webHidden/>
              </w:rPr>
              <w:fldChar w:fldCharType="end"/>
            </w:r>
          </w:hyperlink>
        </w:p>
        <w:p w14:paraId="21DF102E" w14:textId="36D5A4F9"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21" w:history="1">
            <w:r w:rsidR="009F48E8" w:rsidRPr="00EF3E72">
              <w:rPr>
                <w:rStyle w:val="Hyperlink"/>
              </w:rPr>
              <w:t>Table C</w:t>
            </w:r>
            <w:r w:rsidR="009F48E8" w:rsidRPr="00EF3E72">
              <w:rPr>
                <w:rStyle w:val="Hyperlink"/>
              </w:rPr>
              <w:noBreakHyphen/>
              <w:t>1 Abatement measures selected for cost-benefit analysis</w:t>
            </w:r>
            <w:r w:rsidR="009F48E8">
              <w:rPr>
                <w:webHidden/>
              </w:rPr>
              <w:tab/>
            </w:r>
            <w:r w:rsidR="009F48E8">
              <w:rPr>
                <w:webHidden/>
              </w:rPr>
              <w:fldChar w:fldCharType="begin"/>
            </w:r>
            <w:r w:rsidR="009F48E8">
              <w:rPr>
                <w:webHidden/>
              </w:rPr>
              <w:instrText xml:space="preserve"> PAGEREF _Toc518629921 \h </w:instrText>
            </w:r>
            <w:r w:rsidR="009F48E8">
              <w:rPr>
                <w:webHidden/>
              </w:rPr>
            </w:r>
            <w:r w:rsidR="009F48E8">
              <w:rPr>
                <w:webHidden/>
              </w:rPr>
              <w:fldChar w:fldCharType="separate"/>
            </w:r>
            <w:r w:rsidR="009F48E8">
              <w:rPr>
                <w:webHidden/>
              </w:rPr>
              <w:t>29</w:t>
            </w:r>
            <w:r w:rsidR="009F48E8">
              <w:rPr>
                <w:webHidden/>
              </w:rPr>
              <w:fldChar w:fldCharType="end"/>
            </w:r>
          </w:hyperlink>
        </w:p>
        <w:p w14:paraId="057C8629" w14:textId="1CEFBFA2"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22" w:history="1">
            <w:r w:rsidR="009F48E8" w:rsidRPr="00EF3E72">
              <w:rPr>
                <w:rStyle w:val="Hyperlink"/>
              </w:rPr>
              <w:t>Table C</w:t>
            </w:r>
            <w:r w:rsidR="009F48E8" w:rsidRPr="00EF3E72">
              <w:rPr>
                <w:rStyle w:val="Hyperlink"/>
              </w:rPr>
              <w:noBreakHyphen/>
              <w:t>2 Number of new motor vehicles per state (2015)</w:t>
            </w:r>
            <w:r w:rsidR="009F48E8">
              <w:rPr>
                <w:webHidden/>
              </w:rPr>
              <w:tab/>
            </w:r>
            <w:r w:rsidR="009F48E8">
              <w:rPr>
                <w:webHidden/>
              </w:rPr>
              <w:fldChar w:fldCharType="begin"/>
            </w:r>
            <w:r w:rsidR="009F48E8">
              <w:rPr>
                <w:webHidden/>
              </w:rPr>
              <w:instrText xml:space="preserve"> PAGEREF _Toc518629922 \h </w:instrText>
            </w:r>
            <w:r w:rsidR="009F48E8">
              <w:rPr>
                <w:webHidden/>
              </w:rPr>
            </w:r>
            <w:r w:rsidR="009F48E8">
              <w:rPr>
                <w:webHidden/>
              </w:rPr>
              <w:fldChar w:fldCharType="separate"/>
            </w:r>
            <w:r w:rsidR="009F48E8">
              <w:rPr>
                <w:webHidden/>
              </w:rPr>
              <w:t>30</w:t>
            </w:r>
            <w:r w:rsidR="009F48E8">
              <w:rPr>
                <w:webHidden/>
              </w:rPr>
              <w:fldChar w:fldCharType="end"/>
            </w:r>
          </w:hyperlink>
        </w:p>
        <w:p w14:paraId="15339762" w14:textId="5FFB073A"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23" w:history="1">
            <w:r w:rsidR="009F48E8" w:rsidRPr="00EF3E72">
              <w:rPr>
                <w:rStyle w:val="Hyperlink"/>
                <w:bCs/>
              </w:rPr>
              <w:t>Table C</w:t>
            </w:r>
            <w:r w:rsidR="009F48E8" w:rsidRPr="00EF3E72">
              <w:rPr>
                <w:rStyle w:val="Hyperlink"/>
                <w:bCs/>
              </w:rPr>
              <w:noBreakHyphen/>
              <w:t>3 Abatement measure 1 emissions reductions (O</w:t>
            </w:r>
            <w:r w:rsidR="009F48E8" w:rsidRPr="00EF3E72">
              <w:rPr>
                <w:rStyle w:val="Hyperlink"/>
                <w:bCs/>
                <w:vertAlign w:val="subscript"/>
              </w:rPr>
              <w:t>3</w:t>
            </w:r>
            <w:r w:rsidR="009F48E8" w:rsidRPr="00EF3E72">
              <w:rPr>
                <w:rStyle w:val="Hyperlink"/>
                <w:bCs/>
              </w:rPr>
              <w:t>)</w:t>
            </w:r>
            <w:r w:rsidR="009F48E8">
              <w:rPr>
                <w:webHidden/>
              </w:rPr>
              <w:tab/>
            </w:r>
            <w:r w:rsidR="009F48E8">
              <w:rPr>
                <w:webHidden/>
              </w:rPr>
              <w:fldChar w:fldCharType="begin"/>
            </w:r>
            <w:r w:rsidR="009F48E8">
              <w:rPr>
                <w:webHidden/>
              </w:rPr>
              <w:instrText xml:space="preserve"> PAGEREF _Toc518629923 \h </w:instrText>
            </w:r>
            <w:r w:rsidR="009F48E8">
              <w:rPr>
                <w:webHidden/>
              </w:rPr>
            </w:r>
            <w:r w:rsidR="009F48E8">
              <w:rPr>
                <w:webHidden/>
              </w:rPr>
              <w:fldChar w:fldCharType="separate"/>
            </w:r>
            <w:r w:rsidR="009F48E8">
              <w:rPr>
                <w:webHidden/>
              </w:rPr>
              <w:t>30</w:t>
            </w:r>
            <w:r w:rsidR="009F48E8">
              <w:rPr>
                <w:webHidden/>
              </w:rPr>
              <w:fldChar w:fldCharType="end"/>
            </w:r>
          </w:hyperlink>
        </w:p>
        <w:p w14:paraId="77433ED3" w14:textId="0FEB2A7F"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24" w:history="1">
            <w:r w:rsidR="009F48E8" w:rsidRPr="00EF3E72">
              <w:rPr>
                <w:rStyle w:val="Hyperlink"/>
                <w:bCs/>
              </w:rPr>
              <w:t>Table C</w:t>
            </w:r>
            <w:r w:rsidR="009F48E8" w:rsidRPr="00EF3E72">
              <w:rPr>
                <w:rStyle w:val="Hyperlink"/>
                <w:bCs/>
              </w:rPr>
              <w:noBreakHyphen/>
              <w:t>4 Abatement measure 10 emissions reductions (O</w:t>
            </w:r>
            <w:r w:rsidR="009F48E8" w:rsidRPr="00EF3E72">
              <w:rPr>
                <w:rStyle w:val="Hyperlink"/>
                <w:bCs/>
                <w:vertAlign w:val="subscript"/>
              </w:rPr>
              <w:t>3</w:t>
            </w:r>
            <w:r w:rsidR="009F48E8" w:rsidRPr="00EF3E72">
              <w:rPr>
                <w:rStyle w:val="Hyperlink"/>
                <w:bCs/>
              </w:rPr>
              <w:t>)</w:t>
            </w:r>
            <w:r w:rsidR="009F48E8">
              <w:rPr>
                <w:webHidden/>
              </w:rPr>
              <w:tab/>
            </w:r>
            <w:r w:rsidR="009F48E8">
              <w:rPr>
                <w:webHidden/>
              </w:rPr>
              <w:fldChar w:fldCharType="begin"/>
            </w:r>
            <w:r w:rsidR="009F48E8">
              <w:rPr>
                <w:webHidden/>
              </w:rPr>
              <w:instrText xml:space="preserve"> PAGEREF _Toc518629924 \h </w:instrText>
            </w:r>
            <w:r w:rsidR="009F48E8">
              <w:rPr>
                <w:webHidden/>
              </w:rPr>
            </w:r>
            <w:r w:rsidR="009F48E8">
              <w:rPr>
                <w:webHidden/>
              </w:rPr>
              <w:fldChar w:fldCharType="separate"/>
            </w:r>
            <w:r w:rsidR="009F48E8">
              <w:rPr>
                <w:webHidden/>
              </w:rPr>
              <w:t>31</w:t>
            </w:r>
            <w:r w:rsidR="009F48E8">
              <w:rPr>
                <w:webHidden/>
              </w:rPr>
              <w:fldChar w:fldCharType="end"/>
            </w:r>
          </w:hyperlink>
        </w:p>
        <w:p w14:paraId="69CE15A4" w14:textId="0ABC26A5"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25" w:history="1">
            <w:r w:rsidR="009F48E8" w:rsidRPr="00EF3E72">
              <w:rPr>
                <w:rStyle w:val="Hyperlink"/>
                <w:bCs/>
              </w:rPr>
              <w:t>Table C</w:t>
            </w:r>
            <w:r w:rsidR="009F48E8" w:rsidRPr="00EF3E72">
              <w:rPr>
                <w:rStyle w:val="Hyperlink"/>
                <w:bCs/>
              </w:rPr>
              <w:noBreakHyphen/>
              <w:t>5 Australian household assumptions</w:t>
            </w:r>
            <w:r w:rsidR="009F48E8">
              <w:rPr>
                <w:webHidden/>
              </w:rPr>
              <w:tab/>
            </w:r>
            <w:r w:rsidR="009F48E8">
              <w:rPr>
                <w:webHidden/>
              </w:rPr>
              <w:fldChar w:fldCharType="begin"/>
            </w:r>
            <w:r w:rsidR="009F48E8">
              <w:rPr>
                <w:webHidden/>
              </w:rPr>
              <w:instrText xml:space="preserve"> PAGEREF _Toc518629925 \h </w:instrText>
            </w:r>
            <w:r w:rsidR="009F48E8">
              <w:rPr>
                <w:webHidden/>
              </w:rPr>
            </w:r>
            <w:r w:rsidR="009F48E8">
              <w:rPr>
                <w:webHidden/>
              </w:rPr>
              <w:fldChar w:fldCharType="separate"/>
            </w:r>
            <w:r w:rsidR="009F48E8">
              <w:rPr>
                <w:webHidden/>
              </w:rPr>
              <w:t>32</w:t>
            </w:r>
            <w:r w:rsidR="009F48E8">
              <w:rPr>
                <w:webHidden/>
              </w:rPr>
              <w:fldChar w:fldCharType="end"/>
            </w:r>
          </w:hyperlink>
        </w:p>
        <w:p w14:paraId="2221317C" w14:textId="566F611C"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26" w:history="1">
            <w:r w:rsidR="009F48E8" w:rsidRPr="00EF3E72">
              <w:rPr>
                <w:rStyle w:val="Hyperlink"/>
                <w:bCs/>
              </w:rPr>
              <w:t>Table C</w:t>
            </w:r>
            <w:r w:rsidR="009F48E8" w:rsidRPr="00EF3E72">
              <w:rPr>
                <w:rStyle w:val="Hyperlink"/>
                <w:bCs/>
              </w:rPr>
              <w:noBreakHyphen/>
              <w:t>6 Abatement measure 16 emissions reductions (O</w:t>
            </w:r>
            <w:r w:rsidR="009F48E8" w:rsidRPr="00EF3E72">
              <w:rPr>
                <w:rStyle w:val="Hyperlink"/>
                <w:bCs/>
                <w:vertAlign w:val="subscript"/>
              </w:rPr>
              <w:t>3</w:t>
            </w:r>
            <w:r w:rsidR="009F48E8" w:rsidRPr="00EF3E72">
              <w:rPr>
                <w:rStyle w:val="Hyperlink"/>
                <w:bCs/>
              </w:rPr>
              <w:t>)</w:t>
            </w:r>
            <w:r w:rsidR="009F48E8">
              <w:rPr>
                <w:webHidden/>
              </w:rPr>
              <w:tab/>
            </w:r>
            <w:r w:rsidR="009F48E8">
              <w:rPr>
                <w:webHidden/>
              </w:rPr>
              <w:fldChar w:fldCharType="begin"/>
            </w:r>
            <w:r w:rsidR="009F48E8">
              <w:rPr>
                <w:webHidden/>
              </w:rPr>
              <w:instrText xml:space="preserve"> PAGEREF _Toc518629926 \h </w:instrText>
            </w:r>
            <w:r w:rsidR="009F48E8">
              <w:rPr>
                <w:webHidden/>
              </w:rPr>
            </w:r>
            <w:r w:rsidR="009F48E8">
              <w:rPr>
                <w:webHidden/>
              </w:rPr>
              <w:fldChar w:fldCharType="separate"/>
            </w:r>
            <w:r w:rsidR="009F48E8">
              <w:rPr>
                <w:webHidden/>
              </w:rPr>
              <w:t>32</w:t>
            </w:r>
            <w:r w:rsidR="009F48E8">
              <w:rPr>
                <w:webHidden/>
              </w:rPr>
              <w:fldChar w:fldCharType="end"/>
            </w:r>
          </w:hyperlink>
        </w:p>
        <w:p w14:paraId="6E743404" w14:textId="411BD825"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27" w:history="1">
            <w:r w:rsidR="009F48E8" w:rsidRPr="00EF3E72">
              <w:rPr>
                <w:rStyle w:val="Hyperlink"/>
                <w:bCs/>
              </w:rPr>
              <w:t>Table C</w:t>
            </w:r>
            <w:r w:rsidR="009F48E8" w:rsidRPr="00EF3E72">
              <w:rPr>
                <w:rStyle w:val="Hyperlink"/>
                <w:bCs/>
              </w:rPr>
              <w:noBreakHyphen/>
              <w:t>7 Affected power stations</w:t>
            </w:r>
            <w:r w:rsidR="009F48E8">
              <w:rPr>
                <w:webHidden/>
              </w:rPr>
              <w:tab/>
            </w:r>
            <w:r w:rsidR="009F48E8">
              <w:rPr>
                <w:webHidden/>
              </w:rPr>
              <w:fldChar w:fldCharType="begin"/>
            </w:r>
            <w:r w:rsidR="009F48E8">
              <w:rPr>
                <w:webHidden/>
              </w:rPr>
              <w:instrText xml:space="preserve"> PAGEREF _Toc518629927 \h </w:instrText>
            </w:r>
            <w:r w:rsidR="009F48E8">
              <w:rPr>
                <w:webHidden/>
              </w:rPr>
            </w:r>
            <w:r w:rsidR="009F48E8">
              <w:rPr>
                <w:webHidden/>
              </w:rPr>
              <w:fldChar w:fldCharType="separate"/>
            </w:r>
            <w:r w:rsidR="009F48E8">
              <w:rPr>
                <w:webHidden/>
              </w:rPr>
              <w:t>33</w:t>
            </w:r>
            <w:r w:rsidR="009F48E8">
              <w:rPr>
                <w:webHidden/>
              </w:rPr>
              <w:fldChar w:fldCharType="end"/>
            </w:r>
          </w:hyperlink>
        </w:p>
        <w:p w14:paraId="7AFC72B6" w14:textId="62F4450E"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28" w:history="1">
            <w:r w:rsidR="009F48E8" w:rsidRPr="00EF3E72">
              <w:rPr>
                <w:rStyle w:val="Hyperlink"/>
                <w:bCs/>
              </w:rPr>
              <w:t>Table C</w:t>
            </w:r>
            <w:r w:rsidR="009F48E8" w:rsidRPr="00EF3E72">
              <w:rPr>
                <w:rStyle w:val="Hyperlink"/>
                <w:bCs/>
              </w:rPr>
              <w:noBreakHyphen/>
              <w:t>8 Abatement measure 9 – Capital costs</w:t>
            </w:r>
            <w:r w:rsidR="009F48E8">
              <w:rPr>
                <w:webHidden/>
              </w:rPr>
              <w:tab/>
            </w:r>
            <w:r w:rsidR="009F48E8">
              <w:rPr>
                <w:webHidden/>
              </w:rPr>
              <w:fldChar w:fldCharType="begin"/>
            </w:r>
            <w:r w:rsidR="009F48E8">
              <w:rPr>
                <w:webHidden/>
              </w:rPr>
              <w:instrText xml:space="preserve"> PAGEREF _Toc518629928 \h </w:instrText>
            </w:r>
            <w:r w:rsidR="009F48E8">
              <w:rPr>
                <w:webHidden/>
              </w:rPr>
            </w:r>
            <w:r w:rsidR="009F48E8">
              <w:rPr>
                <w:webHidden/>
              </w:rPr>
              <w:fldChar w:fldCharType="separate"/>
            </w:r>
            <w:r w:rsidR="009F48E8">
              <w:rPr>
                <w:webHidden/>
              </w:rPr>
              <w:t>33</w:t>
            </w:r>
            <w:r w:rsidR="009F48E8">
              <w:rPr>
                <w:webHidden/>
              </w:rPr>
              <w:fldChar w:fldCharType="end"/>
            </w:r>
          </w:hyperlink>
        </w:p>
        <w:p w14:paraId="41C9BAA9" w14:textId="7B0254E7"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29" w:history="1">
            <w:r w:rsidR="009F48E8" w:rsidRPr="00EF3E72">
              <w:rPr>
                <w:rStyle w:val="Hyperlink"/>
                <w:bCs/>
              </w:rPr>
              <w:t>Table C</w:t>
            </w:r>
            <w:r w:rsidR="009F48E8" w:rsidRPr="00EF3E72">
              <w:rPr>
                <w:rStyle w:val="Hyperlink"/>
                <w:bCs/>
              </w:rPr>
              <w:noBreakHyphen/>
              <w:t>9 Abatement measure 9 – Operating and maintenance costs</w:t>
            </w:r>
            <w:r w:rsidR="009F48E8">
              <w:rPr>
                <w:webHidden/>
              </w:rPr>
              <w:tab/>
            </w:r>
            <w:r w:rsidR="009F48E8">
              <w:rPr>
                <w:webHidden/>
              </w:rPr>
              <w:fldChar w:fldCharType="begin"/>
            </w:r>
            <w:r w:rsidR="009F48E8">
              <w:rPr>
                <w:webHidden/>
              </w:rPr>
              <w:instrText xml:space="preserve"> PAGEREF _Toc518629929 \h </w:instrText>
            </w:r>
            <w:r w:rsidR="009F48E8">
              <w:rPr>
                <w:webHidden/>
              </w:rPr>
            </w:r>
            <w:r w:rsidR="009F48E8">
              <w:rPr>
                <w:webHidden/>
              </w:rPr>
              <w:fldChar w:fldCharType="separate"/>
            </w:r>
            <w:r w:rsidR="009F48E8">
              <w:rPr>
                <w:webHidden/>
              </w:rPr>
              <w:t>33</w:t>
            </w:r>
            <w:r w:rsidR="009F48E8">
              <w:rPr>
                <w:webHidden/>
              </w:rPr>
              <w:fldChar w:fldCharType="end"/>
            </w:r>
          </w:hyperlink>
        </w:p>
        <w:p w14:paraId="730AB9B0" w14:textId="16AEF7C4"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30" w:history="1">
            <w:r w:rsidR="009F48E8" w:rsidRPr="00EF3E72">
              <w:rPr>
                <w:rStyle w:val="Hyperlink"/>
                <w:bCs/>
              </w:rPr>
              <w:t>Table C</w:t>
            </w:r>
            <w:r w:rsidR="009F48E8" w:rsidRPr="00EF3E72">
              <w:rPr>
                <w:rStyle w:val="Hyperlink"/>
                <w:bCs/>
              </w:rPr>
              <w:noBreakHyphen/>
              <w:t>10 Abatement measure 9 emissions reductions (NO</w:t>
            </w:r>
            <w:r w:rsidR="009F48E8" w:rsidRPr="00EF3E72">
              <w:rPr>
                <w:rStyle w:val="Hyperlink"/>
                <w:bCs/>
                <w:vertAlign w:val="subscript"/>
              </w:rPr>
              <w:t>X</w:t>
            </w:r>
            <w:r w:rsidR="009F48E8" w:rsidRPr="00EF3E72">
              <w:rPr>
                <w:rStyle w:val="Hyperlink"/>
                <w:bCs/>
              </w:rPr>
              <w:t>, SO</w:t>
            </w:r>
            <w:r w:rsidR="009F48E8" w:rsidRPr="00EF3E72">
              <w:rPr>
                <w:rStyle w:val="Hyperlink"/>
                <w:bCs/>
                <w:vertAlign w:val="subscript"/>
              </w:rPr>
              <w:t>X</w:t>
            </w:r>
            <w:r w:rsidR="009F48E8" w:rsidRPr="00EF3E72">
              <w:rPr>
                <w:rStyle w:val="Hyperlink"/>
                <w:bCs/>
              </w:rPr>
              <w:t>)</w:t>
            </w:r>
            <w:r w:rsidR="009F48E8">
              <w:rPr>
                <w:webHidden/>
              </w:rPr>
              <w:tab/>
            </w:r>
            <w:r w:rsidR="009F48E8">
              <w:rPr>
                <w:webHidden/>
              </w:rPr>
              <w:fldChar w:fldCharType="begin"/>
            </w:r>
            <w:r w:rsidR="009F48E8">
              <w:rPr>
                <w:webHidden/>
              </w:rPr>
              <w:instrText xml:space="preserve"> PAGEREF _Toc518629930 \h </w:instrText>
            </w:r>
            <w:r w:rsidR="009F48E8">
              <w:rPr>
                <w:webHidden/>
              </w:rPr>
            </w:r>
            <w:r w:rsidR="009F48E8">
              <w:rPr>
                <w:webHidden/>
              </w:rPr>
              <w:fldChar w:fldCharType="separate"/>
            </w:r>
            <w:r w:rsidR="009F48E8">
              <w:rPr>
                <w:webHidden/>
              </w:rPr>
              <w:t>34</w:t>
            </w:r>
            <w:r w:rsidR="009F48E8">
              <w:rPr>
                <w:webHidden/>
              </w:rPr>
              <w:fldChar w:fldCharType="end"/>
            </w:r>
          </w:hyperlink>
        </w:p>
        <w:p w14:paraId="7D827C09" w14:textId="76500A4F"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31" w:history="1">
            <w:r w:rsidR="009F48E8" w:rsidRPr="00EF3E72">
              <w:rPr>
                <w:rStyle w:val="Hyperlink"/>
                <w:bCs/>
              </w:rPr>
              <w:t>Table C</w:t>
            </w:r>
            <w:r w:rsidR="009F48E8" w:rsidRPr="00EF3E72">
              <w:rPr>
                <w:rStyle w:val="Hyperlink"/>
                <w:bCs/>
              </w:rPr>
              <w:noBreakHyphen/>
              <w:t>11 Abatement measure 14 – Capital costs</w:t>
            </w:r>
            <w:r w:rsidR="009F48E8">
              <w:rPr>
                <w:webHidden/>
              </w:rPr>
              <w:tab/>
            </w:r>
            <w:r w:rsidR="009F48E8">
              <w:rPr>
                <w:webHidden/>
              </w:rPr>
              <w:fldChar w:fldCharType="begin"/>
            </w:r>
            <w:r w:rsidR="009F48E8">
              <w:rPr>
                <w:webHidden/>
              </w:rPr>
              <w:instrText xml:space="preserve"> PAGEREF _Toc518629931 \h </w:instrText>
            </w:r>
            <w:r w:rsidR="009F48E8">
              <w:rPr>
                <w:webHidden/>
              </w:rPr>
            </w:r>
            <w:r w:rsidR="009F48E8">
              <w:rPr>
                <w:webHidden/>
              </w:rPr>
              <w:fldChar w:fldCharType="separate"/>
            </w:r>
            <w:r w:rsidR="009F48E8">
              <w:rPr>
                <w:webHidden/>
              </w:rPr>
              <w:t>34</w:t>
            </w:r>
            <w:r w:rsidR="009F48E8">
              <w:rPr>
                <w:webHidden/>
              </w:rPr>
              <w:fldChar w:fldCharType="end"/>
            </w:r>
          </w:hyperlink>
        </w:p>
        <w:p w14:paraId="11DD6314" w14:textId="5EDBA2A9"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32" w:history="1">
            <w:r w:rsidR="009F48E8" w:rsidRPr="00EF3E72">
              <w:rPr>
                <w:rStyle w:val="Hyperlink"/>
                <w:bCs/>
              </w:rPr>
              <w:t>Table C</w:t>
            </w:r>
            <w:r w:rsidR="009F48E8" w:rsidRPr="00EF3E72">
              <w:rPr>
                <w:rStyle w:val="Hyperlink"/>
                <w:bCs/>
              </w:rPr>
              <w:noBreakHyphen/>
              <w:t>12 Abatement measure 14 emissions reductions (SO</w:t>
            </w:r>
            <w:r w:rsidR="009F48E8" w:rsidRPr="00EF3E72">
              <w:rPr>
                <w:rStyle w:val="Hyperlink"/>
                <w:bCs/>
                <w:vertAlign w:val="subscript"/>
              </w:rPr>
              <w:t>X</w:t>
            </w:r>
            <w:r w:rsidR="009F48E8" w:rsidRPr="00EF3E72">
              <w:rPr>
                <w:rStyle w:val="Hyperlink"/>
                <w:bCs/>
              </w:rPr>
              <w:t>)</w:t>
            </w:r>
            <w:r w:rsidR="009F48E8">
              <w:rPr>
                <w:webHidden/>
              </w:rPr>
              <w:tab/>
            </w:r>
            <w:r w:rsidR="009F48E8">
              <w:rPr>
                <w:webHidden/>
              </w:rPr>
              <w:fldChar w:fldCharType="begin"/>
            </w:r>
            <w:r w:rsidR="009F48E8">
              <w:rPr>
                <w:webHidden/>
              </w:rPr>
              <w:instrText xml:space="preserve"> PAGEREF _Toc518629932 \h </w:instrText>
            </w:r>
            <w:r w:rsidR="009F48E8">
              <w:rPr>
                <w:webHidden/>
              </w:rPr>
            </w:r>
            <w:r w:rsidR="009F48E8">
              <w:rPr>
                <w:webHidden/>
              </w:rPr>
              <w:fldChar w:fldCharType="separate"/>
            </w:r>
            <w:r w:rsidR="009F48E8">
              <w:rPr>
                <w:webHidden/>
              </w:rPr>
              <w:t>35</w:t>
            </w:r>
            <w:r w:rsidR="009F48E8">
              <w:rPr>
                <w:webHidden/>
              </w:rPr>
              <w:fldChar w:fldCharType="end"/>
            </w:r>
          </w:hyperlink>
        </w:p>
        <w:p w14:paraId="752EA8D7" w14:textId="23CBF13E"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33" w:history="1">
            <w:r w:rsidR="009F48E8" w:rsidRPr="00EF3E72">
              <w:rPr>
                <w:rStyle w:val="Hyperlink"/>
                <w:bCs/>
              </w:rPr>
              <w:t>Table C</w:t>
            </w:r>
            <w:r w:rsidR="009F48E8" w:rsidRPr="00EF3E72">
              <w:rPr>
                <w:rStyle w:val="Hyperlink"/>
                <w:bCs/>
              </w:rPr>
              <w:noBreakHyphen/>
              <w:t>13 Abatement measure 15 emissions reductions (SO</w:t>
            </w:r>
            <w:r w:rsidR="009F48E8" w:rsidRPr="00EF3E72">
              <w:rPr>
                <w:rStyle w:val="Hyperlink"/>
                <w:bCs/>
                <w:vertAlign w:val="subscript"/>
              </w:rPr>
              <w:t>X</w:t>
            </w:r>
            <w:r w:rsidR="009F48E8" w:rsidRPr="00EF3E72">
              <w:rPr>
                <w:rStyle w:val="Hyperlink"/>
                <w:bCs/>
              </w:rPr>
              <w:t>)</w:t>
            </w:r>
            <w:r w:rsidR="009F48E8">
              <w:rPr>
                <w:webHidden/>
              </w:rPr>
              <w:tab/>
            </w:r>
            <w:r w:rsidR="009F48E8">
              <w:rPr>
                <w:webHidden/>
              </w:rPr>
              <w:fldChar w:fldCharType="begin"/>
            </w:r>
            <w:r w:rsidR="009F48E8">
              <w:rPr>
                <w:webHidden/>
              </w:rPr>
              <w:instrText xml:space="preserve"> PAGEREF _Toc518629933 \h </w:instrText>
            </w:r>
            <w:r w:rsidR="009F48E8">
              <w:rPr>
                <w:webHidden/>
              </w:rPr>
            </w:r>
            <w:r w:rsidR="009F48E8">
              <w:rPr>
                <w:webHidden/>
              </w:rPr>
              <w:fldChar w:fldCharType="separate"/>
            </w:r>
            <w:r w:rsidR="009F48E8">
              <w:rPr>
                <w:webHidden/>
              </w:rPr>
              <w:t>36</w:t>
            </w:r>
            <w:r w:rsidR="009F48E8">
              <w:rPr>
                <w:webHidden/>
              </w:rPr>
              <w:fldChar w:fldCharType="end"/>
            </w:r>
          </w:hyperlink>
        </w:p>
        <w:p w14:paraId="1A103140" w14:textId="548ED22B"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34" w:history="1">
            <w:r w:rsidR="009F48E8" w:rsidRPr="00EF3E72">
              <w:rPr>
                <w:rStyle w:val="Hyperlink"/>
                <w:bCs/>
              </w:rPr>
              <w:t>Table C</w:t>
            </w:r>
            <w:r w:rsidR="009F48E8" w:rsidRPr="00EF3E72">
              <w:rPr>
                <w:rStyle w:val="Hyperlink"/>
                <w:bCs/>
              </w:rPr>
              <w:noBreakHyphen/>
              <w:t>14 Abatement measure 6 emissions reductions (NO</w:t>
            </w:r>
            <w:r w:rsidR="009F48E8" w:rsidRPr="00EF3E72">
              <w:rPr>
                <w:rStyle w:val="Hyperlink"/>
                <w:bCs/>
                <w:vertAlign w:val="subscript"/>
              </w:rPr>
              <w:t>X</w:t>
            </w:r>
            <w:r w:rsidR="009F48E8" w:rsidRPr="00EF3E72">
              <w:rPr>
                <w:rStyle w:val="Hyperlink"/>
                <w:bCs/>
              </w:rPr>
              <w:t>)</w:t>
            </w:r>
            <w:r w:rsidR="009F48E8">
              <w:rPr>
                <w:webHidden/>
              </w:rPr>
              <w:tab/>
            </w:r>
            <w:r w:rsidR="009F48E8">
              <w:rPr>
                <w:webHidden/>
              </w:rPr>
              <w:fldChar w:fldCharType="begin"/>
            </w:r>
            <w:r w:rsidR="009F48E8">
              <w:rPr>
                <w:webHidden/>
              </w:rPr>
              <w:instrText xml:space="preserve"> PAGEREF _Toc518629934 \h </w:instrText>
            </w:r>
            <w:r w:rsidR="009F48E8">
              <w:rPr>
                <w:webHidden/>
              </w:rPr>
            </w:r>
            <w:r w:rsidR="009F48E8">
              <w:rPr>
                <w:webHidden/>
              </w:rPr>
              <w:fldChar w:fldCharType="separate"/>
            </w:r>
            <w:r w:rsidR="009F48E8">
              <w:rPr>
                <w:webHidden/>
              </w:rPr>
              <w:t>37</w:t>
            </w:r>
            <w:r w:rsidR="009F48E8">
              <w:rPr>
                <w:webHidden/>
              </w:rPr>
              <w:fldChar w:fldCharType="end"/>
            </w:r>
          </w:hyperlink>
        </w:p>
        <w:p w14:paraId="7A3E2283" w14:textId="174354E2"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35" w:history="1">
            <w:r w:rsidR="009F48E8" w:rsidRPr="00EF3E72">
              <w:rPr>
                <w:rStyle w:val="Hyperlink"/>
                <w:bCs/>
              </w:rPr>
              <w:t>Table C</w:t>
            </w:r>
            <w:r w:rsidR="009F48E8" w:rsidRPr="00EF3E72">
              <w:rPr>
                <w:rStyle w:val="Hyperlink"/>
                <w:bCs/>
              </w:rPr>
              <w:noBreakHyphen/>
              <w:t>15 Abatement measure 13 assumed annual production of cement/clinker</w:t>
            </w:r>
            <w:r w:rsidR="009F48E8">
              <w:rPr>
                <w:webHidden/>
              </w:rPr>
              <w:tab/>
            </w:r>
            <w:r w:rsidR="009F48E8">
              <w:rPr>
                <w:webHidden/>
              </w:rPr>
              <w:fldChar w:fldCharType="begin"/>
            </w:r>
            <w:r w:rsidR="009F48E8">
              <w:rPr>
                <w:webHidden/>
              </w:rPr>
              <w:instrText xml:space="preserve"> PAGEREF _Toc518629935 \h </w:instrText>
            </w:r>
            <w:r w:rsidR="009F48E8">
              <w:rPr>
                <w:webHidden/>
              </w:rPr>
            </w:r>
            <w:r w:rsidR="009F48E8">
              <w:rPr>
                <w:webHidden/>
              </w:rPr>
              <w:fldChar w:fldCharType="separate"/>
            </w:r>
            <w:r w:rsidR="009F48E8">
              <w:rPr>
                <w:webHidden/>
              </w:rPr>
              <w:t>37</w:t>
            </w:r>
            <w:r w:rsidR="009F48E8">
              <w:rPr>
                <w:webHidden/>
              </w:rPr>
              <w:fldChar w:fldCharType="end"/>
            </w:r>
          </w:hyperlink>
        </w:p>
        <w:p w14:paraId="3CBEF99F" w14:textId="4CADBA92"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36" w:history="1">
            <w:r w:rsidR="009F48E8" w:rsidRPr="00EF3E72">
              <w:rPr>
                <w:rStyle w:val="Hyperlink"/>
                <w:bCs/>
              </w:rPr>
              <w:t>Table C</w:t>
            </w:r>
            <w:r w:rsidR="009F48E8" w:rsidRPr="00EF3E72">
              <w:rPr>
                <w:rStyle w:val="Hyperlink"/>
                <w:bCs/>
              </w:rPr>
              <w:noBreakHyphen/>
              <w:t>16 Abatement measure 13 assumed annual production of iron/steel</w:t>
            </w:r>
            <w:r w:rsidR="009F48E8">
              <w:rPr>
                <w:webHidden/>
              </w:rPr>
              <w:tab/>
            </w:r>
            <w:r w:rsidR="009F48E8">
              <w:rPr>
                <w:webHidden/>
              </w:rPr>
              <w:fldChar w:fldCharType="begin"/>
            </w:r>
            <w:r w:rsidR="009F48E8">
              <w:rPr>
                <w:webHidden/>
              </w:rPr>
              <w:instrText xml:space="preserve"> PAGEREF _Toc518629936 \h </w:instrText>
            </w:r>
            <w:r w:rsidR="009F48E8">
              <w:rPr>
                <w:webHidden/>
              </w:rPr>
            </w:r>
            <w:r w:rsidR="009F48E8">
              <w:rPr>
                <w:webHidden/>
              </w:rPr>
              <w:fldChar w:fldCharType="separate"/>
            </w:r>
            <w:r w:rsidR="009F48E8">
              <w:rPr>
                <w:webHidden/>
              </w:rPr>
              <w:t>38</w:t>
            </w:r>
            <w:r w:rsidR="009F48E8">
              <w:rPr>
                <w:webHidden/>
              </w:rPr>
              <w:fldChar w:fldCharType="end"/>
            </w:r>
          </w:hyperlink>
        </w:p>
        <w:p w14:paraId="057B1052" w14:textId="28CFCEFA"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37" w:history="1">
            <w:r w:rsidR="009F48E8" w:rsidRPr="00EF3E72">
              <w:rPr>
                <w:rStyle w:val="Hyperlink"/>
                <w:bCs/>
              </w:rPr>
              <w:t>Table C</w:t>
            </w:r>
            <w:r w:rsidR="009F48E8" w:rsidRPr="00EF3E72">
              <w:rPr>
                <w:rStyle w:val="Hyperlink"/>
                <w:bCs/>
              </w:rPr>
              <w:noBreakHyphen/>
              <w:t>17 Abatement measure 13 assumed annual production of aluminium/alumina</w:t>
            </w:r>
            <w:r w:rsidR="009F48E8">
              <w:rPr>
                <w:webHidden/>
              </w:rPr>
              <w:tab/>
            </w:r>
            <w:r w:rsidR="009F48E8">
              <w:rPr>
                <w:webHidden/>
              </w:rPr>
              <w:fldChar w:fldCharType="begin"/>
            </w:r>
            <w:r w:rsidR="009F48E8">
              <w:rPr>
                <w:webHidden/>
              </w:rPr>
              <w:instrText xml:space="preserve"> PAGEREF _Toc518629937 \h </w:instrText>
            </w:r>
            <w:r w:rsidR="009F48E8">
              <w:rPr>
                <w:webHidden/>
              </w:rPr>
            </w:r>
            <w:r w:rsidR="009F48E8">
              <w:rPr>
                <w:webHidden/>
              </w:rPr>
              <w:fldChar w:fldCharType="separate"/>
            </w:r>
            <w:r w:rsidR="009F48E8">
              <w:rPr>
                <w:webHidden/>
              </w:rPr>
              <w:t>38</w:t>
            </w:r>
            <w:r w:rsidR="009F48E8">
              <w:rPr>
                <w:webHidden/>
              </w:rPr>
              <w:fldChar w:fldCharType="end"/>
            </w:r>
          </w:hyperlink>
        </w:p>
        <w:p w14:paraId="5D2DDF2C" w14:textId="4DD46AC5" w:rsidR="009F48E8" w:rsidRDefault="00B93345" w:rsidP="009F48E8">
          <w:pPr>
            <w:pStyle w:val="TableofFigures"/>
            <w:tabs>
              <w:tab w:val="clear" w:pos="5232"/>
              <w:tab w:val="right" w:leader="dot" w:pos="9639"/>
            </w:tabs>
            <w:rPr>
              <w:rFonts w:eastAsiaTheme="minorEastAsia"/>
              <w:sz w:val="22"/>
              <w:szCs w:val="22"/>
              <w:lang w:val="en-AU" w:eastAsia="en-AU"/>
            </w:rPr>
          </w:pPr>
          <w:hyperlink w:anchor="_Toc518629938" w:history="1">
            <w:r w:rsidR="009F48E8" w:rsidRPr="00EF3E72">
              <w:rPr>
                <w:rStyle w:val="Hyperlink"/>
                <w:bCs/>
              </w:rPr>
              <w:t>Table C</w:t>
            </w:r>
            <w:r w:rsidR="009F48E8" w:rsidRPr="00EF3E72">
              <w:rPr>
                <w:rStyle w:val="Hyperlink"/>
                <w:bCs/>
              </w:rPr>
              <w:noBreakHyphen/>
              <w:t>18 Abatement measure 6 emissions reductions (NOx)</w:t>
            </w:r>
            <w:r w:rsidR="009F48E8">
              <w:rPr>
                <w:webHidden/>
              </w:rPr>
              <w:tab/>
            </w:r>
            <w:r w:rsidR="009F48E8">
              <w:rPr>
                <w:webHidden/>
              </w:rPr>
              <w:fldChar w:fldCharType="begin"/>
            </w:r>
            <w:r w:rsidR="009F48E8">
              <w:rPr>
                <w:webHidden/>
              </w:rPr>
              <w:instrText xml:space="preserve"> PAGEREF _Toc518629938 \h </w:instrText>
            </w:r>
            <w:r w:rsidR="009F48E8">
              <w:rPr>
                <w:webHidden/>
              </w:rPr>
            </w:r>
            <w:r w:rsidR="009F48E8">
              <w:rPr>
                <w:webHidden/>
              </w:rPr>
              <w:fldChar w:fldCharType="separate"/>
            </w:r>
            <w:r w:rsidR="009F48E8">
              <w:rPr>
                <w:webHidden/>
              </w:rPr>
              <w:t>39</w:t>
            </w:r>
            <w:r w:rsidR="009F48E8">
              <w:rPr>
                <w:webHidden/>
              </w:rPr>
              <w:fldChar w:fldCharType="end"/>
            </w:r>
          </w:hyperlink>
        </w:p>
        <w:p w14:paraId="6E41AA6C" w14:textId="6967D164" w:rsidR="00EA3C03" w:rsidRPr="00C92E26" w:rsidRDefault="00837FA0" w:rsidP="009F48E8">
          <w:pPr>
            <w:pStyle w:val="BodyText"/>
            <w:tabs>
              <w:tab w:val="right" w:leader="dot" w:pos="9639"/>
            </w:tabs>
          </w:pPr>
          <w:r>
            <w:rPr>
              <w:noProof/>
              <w:lang w:val="en-AU"/>
            </w:rPr>
            <w:fldChar w:fldCharType="end"/>
          </w:r>
        </w:p>
        <w:p w14:paraId="6833D749" w14:textId="77777777" w:rsidR="00EA3C03" w:rsidRPr="00735AB5" w:rsidRDefault="00B93345" w:rsidP="00772663">
          <w:pPr>
            <w:pStyle w:val="BodyText"/>
          </w:pPr>
        </w:p>
      </w:sdtContent>
    </w:sdt>
    <w:p w14:paraId="27D6F4A5" w14:textId="77777777" w:rsidR="00EA3C03" w:rsidRPr="00500D60" w:rsidRDefault="00EA3C03" w:rsidP="00772663"/>
    <w:p w14:paraId="7C7431B5" w14:textId="77777777" w:rsidR="00920451" w:rsidRDefault="00920451" w:rsidP="00741A93">
      <w:pPr>
        <w:spacing w:after="200" w:line="276" w:lineRule="auto"/>
        <w:sectPr w:rsidR="00920451" w:rsidSect="00EA3C03">
          <w:headerReference w:type="default" r:id="rId15"/>
          <w:footerReference w:type="default" r:id="rId16"/>
          <w:pgSz w:w="11906" w:h="16838"/>
          <w:pgMar w:top="850" w:right="850" w:bottom="850" w:left="1417" w:header="709" w:footer="709" w:gutter="0"/>
          <w:cols w:space="708"/>
          <w:docGrid w:linePitch="360"/>
        </w:sectPr>
      </w:pPr>
    </w:p>
    <w:p w14:paraId="10A3EFCF" w14:textId="77777777" w:rsidR="00920451" w:rsidRDefault="001B6724" w:rsidP="00920451">
      <w:pPr>
        <w:pStyle w:val="Heading1"/>
        <w:numPr>
          <w:ilvl w:val="0"/>
          <w:numId w:val="3"/>
        </w:numPr>
      </w:pPr>
      <w:bookmarkStart w:id="2" w:name="_Toc518629876"/>
      <w:r>
        <w:lastRenderedPageBreak/>
        <w:t>Executive Summary</w:t>
      </w:r>
      <w:bookmarkEnd w:id="2"/>
    </w:p>
    <w:p w14:paraId="5A650CBC" w14:textId="0D5A36C8" w:rsidR="008428CC" w:rsidRDefault="000F35AF" w:rsidP="00B61F61">
      <w:pPr>
        <w:pStyle w:val="BodyText"/>
        <w:rPr>
          <w:lang w:val="en-PH"/>
        </w:rPr>
      </w:pPr>
      <w:r>
        <w:t xml:space="preserve">This report presents a cost benefit analysis (CBA) of abatement measures </w:t>
      </w:r>
      <w:r w:rsidR="007504D9">
        <w:t xml:space="preserve">that </w:t>
      </w:r>
      <w:r>
        <w:t xml:space="preserve">target reductions in </w:t>
      </w:r>
      <w:r>
        <w:rPr>
          <w:lang w:val="en-PH"/>
        </w:rPr>
        <w:t>sulfur dioxide (SO</w:t>
      </w:r>
      <w:r w:rsidRPr="005162C7">
        <w:rPr>
          <w:vertAlign w:val="subscript"/>
          <w:lang w:val="en-PH"/>
        </w:rPr>
        <w:t>2</w:t>
      </w:r>
      <w:r>
        <w:rPr>
          <w:lang w:val="en-PH"/>
        </w:rPr>
        <w:t>), nitrogen dioxide (NO</w:t>
      </w:r>
      <w:r w:rsidRPr="005162C7">
        <w:rPr>
          <w:vertAlign w:val="subscript"/>
          <w:lang w:val="en-PH"/>
        </w:rPr>
        <w:t>2</w:t>
      </w:r>
      <w:r>
        <w:rPr>
          <w:lang w:val="en-PH"/>
        </w:rPr>
        <w:t>) and ozone (O</w:t>
      </w:r>
      <w:r w:rsidRPr="005162C7">
        <w:rPr>
          <w:vertAlign w:val="subscript"/>
          <w:lang w:val="en-PH"/>
        </w:rPr>
        <w:t>3</w:t>
      </w:r>
      <w:r>
        <w:rPr>
          <w:lang w:val="en-PH"/>
        </w:rPr>
        <w:t>)</w:t>
      </w:r>
      <w:r w:rsidR="008428CC">
        <w:rPr>
          <w:lang w:val="en-PH"/>
        </w:rPr>
        <w:t xml:space="preserve"> </w:t>
      </w:r>
      <w:r w:rsidR="00301AD9">
        <w:rPr>
          <w:lang w:val="en-PH"/>
        </w:rPr>
        <w:t xml:space="preserve">concentrations </w:t>
      </w:r>
      <w:r w:rsidR="008428CC">
        <w:rPr>
          <w:lang w:val="en-PH"/>
        </w:rPr>
        <w:t>in Australian airsheds</w:t>
      </w:r>
      <w:r w:rsidR="00B61F61">
        <w:rPr>
          <w:lang w:val="en-PH"/>
        </w:rPr>
        <w:t>. The CBA provides economic evidence to support the review of Ambient Air Quality (AAQ) standards for SO</w:t>
      </w:r>
      <w:r w:rsidR="00B61F61" w:rsidRPr="00733F33">
        <w:rPr>
          <w:vertAlign w:val="subscript"/>
          <w:lang w:val="en-PH"/>
        </w:rPr>
        <w:t>2</w:t>
      </w:r>
      <w:r w:rsidR="00B61F61" w:rsidRPr="00545975">
        <w:rPr>
          <w:lang w:val="en-PH"/>
        </w:rPr>
        <w:t>,</w:t>
      </w:r>
      <w:r w:rsidR="00B61F61">
        <w:rPr>
          <w:vertAlign w:val="subscript"/>
          <w:lang w:val="en-PH"/>
        </w:rPr>
        <w:t xml:space="preserve"> </w:t>
      </w:r>
      <w:r w:rsidR="00B61F61">
        <w:rPr>
          <w:lang w:val="en-PH"/>
        </w:rPr>
        <w:t>NO</w:t>
      </w:r>
      <w:r w:rsidR="00B61F61" w:rsidRPr="00733F33">
        <w:rPr>
          <w:vertAlign w:val="subscript"/>
          <w:lang w:val="en-PH"/>
        </w:rPr>
        <w:t>2</w:t>
      </w:r>
      <w:r w:rsidR="00B61F61">
        <w:rPr>
          <w:lang w:val="en-PH"/>
        </w:rPr>
        <w:t xml:space="preserve"> and O</w:t>
      </w:r>
      <w:r w:rsidR="00B61F61" w:rsidRPr="00733F33">
        <w:rPr>
          <w:vertAlign w:val="subscript"/>
          <w:lang w:val="en-PH"/>
        </w:rPr>
        <w:t>3</w:t>
      </w:r>
      <w:r w:rsidR="006C1428">
        <w:rPr>
          <w:lang w:val="en-PH"/>
        </w:rPr>
        <w:t xml:space="preserve"> by the National Environment Protection Council (NEPC).</w:t>
      </w:r>
    </w:p>
    <w:p w14:paraId="188E4173" w14:textId="074AE07F" w:rsidR="004D7D42" w:rsidRDefault="00E70FD5" w:rsidP="00B61F61">
      <w:pPr>
        <w:pStyle w:val="BodyText"/>
        <w:rPr>
          <w:lang w:val="en-PH"/>
        </w:rPr>
      </w:pPr>
      <w:r w:rsidRPr="00E70FD5">
        <w:rPr>
          <w:lang w:val="en-PH"/>
        </w:rPr>
        <w:t xml:space="preserve">The </w:t>
      </w:r>
      <w:r>
        <w:rPr>
          <w:lang w:val="en-PH"/>
        </w:rPr>
        <w:t xml:space="preserve">AAQ </w:t>
      </w:r>
      <w:r w:rsidR="00BF29A5">
        <w:rPr>
          <w:lang w:val="en-PH"/>
        </w:rPr>
        <w:t xml:space="preserve">National Environment </w:t>
      </w:r>
      <w:r w:rsidRPr="00E70FD5">
        <w:rPr>
          <w:lang w:val="en-PH"/>
        </w:rPr>
        <w:t xml:space="preserve">Protection Measure (AAQ NEPM) standards </w:t>
      </w:r>
      <w:r w:rsidR="005F3DF9">
        <w:rPr>
          <w:lang w:val="en-PH"/>
        </w:rPr>
        <w:t xml:space="preserve">specify </w:t>
      </w:r>
      <w:r w:rsidR="00D64765">
        <w:rPr>
          <w:lang w:val="en-PH"/>
        </w:rPr>
        <w:t>the maximum allowable ambient concentrations, calculated over selected ‘averaging periods’, for carbon monoxide (CO), SO</w:t>
      </w:r>
      <w:r w:rsidR="00D64765" w:rsidRPr="00733F33">
        <w:rPr>
          <w:vertAlign w:val="subscript"/>
          <w:lang w:val="en-PH"/>
        </w:rPr>
        <w:t>2</w:t>
      </w:r>
      <w:r w:rsidR="00D64765" w:rsidRPr="00545975">
        <w:rPr>
          <w:lang w:val="en-PH"/>
        </w:rPr>
        <w:t>,</w:t>
      </w:r>
      <w:r w:rsidR="00D64765">
        <w:rPr>
          <w:vertAlign w:val="subscript"/>
          <w:lang w:val="en-PH"/>
        </w:rPr>
        <w:t xml:space="preserve"> </w:t>
      </w:r>
      <w:r w:rsidR="00D64765">
        <w:rPr>
          <w:lang w:val="en-PH"/>
        </w:rPr>
        <w:t>NO</w:t>
      </w:r>
      <w:r w:rsidR="00D64765" w:rsidRPr="00733F33">
        <w:rPr>
          <w:vertAlign w:val="subscript"/>
          <w:lang w:val="en-PH"/>
        </w:rPr>
        <w:t>2</w:t>
      </w:r>
      <w:r w:rsidR="00D64765">
        <w:rPr>
          <w:lang w:val="en-PH"/>
        </w:rPr>
        <w:t>, O</w:t>
      </w:r>
      <w:r w:rsidR="00D64765" w:rsidRPr="00733F33">
        <w:rPr>
          <w:vertAlign w:val="subscript"/>
          <w:lang w:val="en-PH"/>
        </w:rPr>
        <w:t>3</w:t>
      </w:r>
      <w:r w:rsidR="00D64765">
        <w:rPr>
          <w:lang w:val="en-PH"/>
        </w:rPr>
        <w:t>, lead and particulate matter (PM). The NEPC</w:t>
      </w:r>
      <w:r w:rsidR="005F3DF9">
        <w:rPr>
          <w:lang w:val="en-PH"/>
        </w:rPr>
        <w:t xml:space="preserve"> is reviewing </w:t>
      </w:r>
      <w:r w:rsidR="001C094E">
        <w:rPr>
          <w:lang w:val="en-PH"/>
        </w:rPr>
        <w:t>t</w:t>
      </w:r>
      <w:r w:rsidR="005F3DF9">
        <w:rPr>
          <w:lang w:val="en-PH"/>
        </w:rPr>
        <w:t xml:space="preserve">he standards </w:t>
      </w:r>
      <w:r w:rsidR="001C094E">
        <w:rPr>
          <w:lang w:val="en-PH"/>
        </w:rPr>
        <w:t>for SO</w:t>
      </w:r>
      <w:r w:rsidR="001C094E" w:rsidRPr="00733F33">
        <w:rPr>
          <w:vertAlign w:val="subscript"/>
          <w:lang w:val="en-PH"/>
        </w:rPr>
        <w:t>2</w:t>
      </w:r>
      <w:r w:rsidR="001C094E" w:rsidRPr="00545975">
        <w:rPr>
          <w:lang w:val="en-PH"/>
        </w:rPr>
        <w:t>,</w:t>
      </w:r>
      <w:r w:rsidR="001C094E">
        <w:rPr>
          <w:vertAlign w:val="subscript"/>
          <w:lang w:val="en-PH"/>
        </w:rPr>
        <w:t xml:space="preserve"> </w:t>
      </w:r>
      <w:r w:rsidR="001C094E">
        <w:rPr>
          <w:lang w:val="en-PH"/>
        </w:rPr>
        <w:t>NO</w:t>
      </w:r>
      <w:r w:rsidR="001C094E" w:rsidRPr="00733F33">
        <w:rPr>
          <w:vertAlign w:val="subscript"/>
          <w:lang w:val="en-PH"/>
        </w:rPr>
        <w:t>2</w:t>
      </w:r>
      <w:r w:rsidR="004D7D42">
        <w:rPr>
          <w:lang w:val="en-PH"/>
        </w:rPr>
        <w:t xml:space="preserve"> and</w:t>
      </w:r>
      <w:r w:rsidR="001C094E">
        <w:rPr>
          <w:lang w:val="en-PH"/>
        </w:rPr>
        <w:t xml:space="preserve"> O</w:t>
      </w:r>
      <w:r w:rsidR="001C094E" w:rsidRPr="00733F33">
        <w:rPr>
          <w:vertAlign w:val="subscript"/>
          <w:lang w:val="en-PH"/>
        </w:rPr>
        <w:t>3</w:t>
      </w:r>
      <w:r w:rsidR="003C4FBA">
        <w:rPr>
          <w:vertAlign w:val="subscript"/>
          <w:lang w:val="en-PH"/>
        </w:rPr>
        <w:t xml:space="preserve">. </w:t>
      </w:r>
      <w:r w:rsidR="003C4FBA">
        <w:rPr>
          <w:lang w:val="en-PH"/>
        </w:rPr>
        <w:t xml:space="preserve">This </w:t>
      </w:r>
      <w:r w:rsidR="005F3DF9">
        <w:rPr>
          <w:lang w:val="en-PH"/>
        </w:rPr>
        <w:t xml:space="preserve">review is being led by </w:t>
      </w:r>
      <w:r w:rsidR="00FD4261">
        <w:rPr>
          <w:lang w:val="en-PH"/>
        </w:rPr>
        <w:t>Environment Pro</w:t>
      </w:r>
      <w:r w:rsidR="003C4FBA">
        <w:rPr>
          <w:lang w:val="en-PH"/>
        </w:rPr>
        <w:t>tection Authority (EPA) Victoria</w:t>
      </w:r>
      <w:r w:rsidR="00FD4261">
        <w:rPr>
          <w:lang w:val="en-PH"/>
        </w:rPr>
        <w:t>.</w:t>
      </w:r>
      <w:r w:rsidR="00A10C18">
        <w:rPr>
          <w:lang w:val="en-PH"/>
        </w:rPr>
        <w:t xml:space="preserve"> The review </w:t>
      </w:r>
      <w:r w:rsidR="003B449F">
        <w:rPr>
          <w:lang w:val="en-PH"/>
        </w:rPr>
        <w:t>consider</w:t>
      </w:r>
      <w:r w:rsidR="00DE49DA">
        <w:rPr>
          <w:lang w:val="en-PH"/>
        </w:rPr>
        <w:t>s</w:t>
      </w:r>
      <w:r w:rsidR="003B449F">
        <w:rPr>
          <w:lang w:val="en-PH"/>
        </w:rPr>
        <w:t xml:space="preserve"> recent developments in </w:t>
      </w:r>
      <w:r w:rsidR="00A10C18">
        <w:rPr>
          <w:lang w:val="en-PH"/>
        </w:rPr>
        <w:t xml:space="preserve">the health evidence on the </w:t>
      </w:r>
      <w:r w:rsidR="002945E3">
        <w:rPr>
          <w:lang w:val="en-PH"/>
        </w:rPr>
        <w:t xml:space="preserve">effects </w:t>
      </w:r>
      <w:r w:rsidR="00A10C18">
        <w:rPr>
          <w:lang w:val="en-PH"/>
        </w:rPr>
        <w:t xml:space="preserve">of </w:t>
      </w:r>
      <w:r w:rsidR="002945E3">
        <w:rPr>
          <w:lang w:val="en-PH"/>
        </w:rPr>
        <w:t>SO</w:t>
      </w:r>
      <w:r w:rsidR="002945E3" w:rsidRPr="00733F33">
        <w:rPr>
          <w:vertAlign w:val="subscript"/>
          <w:lang w:val="en-PH"/>
        </w:rPr>
        <w:t>2</w:t>
      </w:r>
      <w:r w:rsidR="002945E3" w:rsidRPr="00545975">
        <w:rPr>
          <w:lang w:val="en-PH"/>
        </w:rPr>
        <w:t>,</w:t>
      </w:r>
      <w:r w:rsidR="002945E3">
        <w:rPr>
          <w:vertAlign w:val="subscript"/>
          <w:lang w:val="en-PH"/>
        </w:rPr>
        <w:t xml:space="preserve"> </w:t>
      </w:r>
      <w:r w:rsidR="002945E3">
        <w:rPr>
          <w:lang w:val="en-PH"/>
        </w:rPr>
        <w:t>NO</w:t>
      </w:r>
      <w:r w:rsidR="002945E3" w:rsidRPr="00733F33">
        <w:rPr>
          <w:vertAlign w:val="subscript"/>
          <w:lang w:val="en-PH"/>
        </w:rPr>
        <w:t>2</w:t>
      </w:r>
      <w:r w:rsidR="002945E3">
        <w:rPr>
          <w:lang w:val="en-PH"/>
        </w:rPr>
        <w:t>, O</w:t>
      </w:r>
      <w:r w:rsidR="002945E3" w:rsidRPr="00733F33">
        <w:rPr>
          <w:vertAlign w:val="subscript"/>
          <w:lang w:val="en-PH"/>
        </w:rPr>
        <w:t>3</w:t>
      </w:r>
      <w:r w:rsidR="002945E3" w:rsidRPr="00C2275C">
        <w:rPr>
          <w:lang w:val="en-PH"/>
        </w:rPr>
        <w:t xml:space="preserve"> </w:t>
      </w:r>
      <w:r w:rsidR="00294CEB">
        <w:rPr>
          <w:lang w:val="en-PH"/>
        </w:rPr>
        <w:t>and</w:t>
      </w:r>
      <w:r w:rsidR="00947B93">
        <w:rPr>
          <w:lang w:val="en-PH"/>
        </w:rPr>
        <w:t xml:space="preserve"> international </w:t>
      </w:r>
      <w:r w:rsidR="00294CEB">
        <w:rPr>
          <w:lang w:val="en-PH"/>
        </w:rPr>
        <w:t>policy approaches</w:t>
      </w:r>
      <w:r w:rsidR="00441BC5">
        <w:rPr>
          <w:lang w:val="en-PH"/>
        </w:rPr>
        <w:t xml:space="preserve"> to </w:t>
      </w:r>
      <w:r w:rsidR="00771DBB">
        <w:rPr>
          <w:lang w:val="en-PH"/>
        </w:rPr>
        <w:t xml:space="preserve">manage </w:t>
      </w:r>
      <w:r w:rsidR="00395079">
        <w:rPr>
          <w:lang w:val="en-PH"/>
        </w:rPr>
        <w:t>concentrations</w:t>
      </w:r>
      <w:r w:rsidR="00294CEB">
        <w:rPr>
          <w:lang w:val="en-PH"/>
        </w:rPr>
        <w:t>.</w:t>
      </w:r>
    </w:p>
    <w:p w14:paraId="76EE69AC" w14:textId="11AEAC0A" w:rsidR="00E70FD5" w:rsidRDefault="004D7D42" w:rsidP="00B61F61">
      <w:pPr>
        <w:pStyle w:val="BodyText"/>
        <w:rPr>
          <w:lang w:val="en-PH"/>
        </w:rPr>
      </w:pPr>
      <w:r>
        <w:rPr>
          <w:lang w:val="en-PH"/>
        </w:rPr>
        <w:t>T</w:t>
      </w:r>
      <w:r w:rsidRPr="004D7D42">
        <w:rPr>
          <w:lang w:val="en-PH"/>
        </w:rPr>
        <w:t xml:space="preserve">he NEPC standard selection framework </w:t>
      </w:r>
      <w:r w:rsidR="000F660F">
        <w:rPr>
          <w:lang w:val="en-PH"/>
        </w:rPr>
        <w:t xml:space="preserve">considers </w:t>
      </w:r>
      <w:r>
        <w:rPr>
          <w:lang w:val="en-PH"/>
        </w:rPr>
        <w:t xml:space="preserve">a range of </w:t>
      </w:r>
      <w:r w:rsidRPr="004D7D42">
        <w:rPr>
          <w:lang w:val="en-PH"/>
        </w:rPr>
        <w:t xml:space="preserve">factors </w:t>
      </w:r>
      <w:r w:rsidR="000F660F">
        <w:rPr>
          <w:lang w:val="en-PH"/>
        </w:rPr>
        <w:t xml:space="preserve">and not just </w:t>
      </w:r>
      <w:r>
        <w:rPr>
          <w:lang w:val="en-PH"/>
        </w:rPr>
        <w:t xml:space="preserve">the </w:t>
      </w:r>
      <w:r w:rsidRPr="004D7D42">
        <w:rPr>
          <w:lang w:val="en-PH"/>
        </w:rPr>
        <w:t xml:space="preserve">costs and benefits </w:t>
      </w:r>
      <w:r>
        <w:rPr>
          <w:lang w:val="en-PH"/>
        </w:rPr>
        <w:t xml:space="preserve">of meeting standards. </w:t>
      </w:r>
      <w:r w:rsidR="000F660F">
        <w:rPr>
          <w:lang w:val="en-PH"/>
        </w:rPr>
        <w:t>The</w:t>
      </w:r>
      <w:r w:rsidR="00183E50">
        <w:rPr>
          <w:lang w:val="en-PH"/>
        </w:rPr>
        <w:t>se</w:t>
      </w:r>
      <w:r w:rsidR="000F660F">
        <w:rPr>
          <w:lang w:val="en-PH"/>
        </w:rPr>
        <w:t xml:space="preserve"> factors </w:t>
      </w:r>
      <w:r>
        <w:rPr>
          <w:lang w:val="en-PH"/>
        </w:rPr>
        <w:t xml:space="preserve">include the </w:t>
      </w:r>
      <w:r w:rsidRPr="004D7D42">
        <w:rPr>
          <w:lang w:val="en-PH"/>
        </w:rPr>
        <w:t>health protection</w:t>
      </w:r>
      <w:r>
        <w:rPr>
          <w:lang w:val="en-PH"/>
        </w:rPr>
        <w:t xml:space="preserve"> provided by a standard</w:t>
      </w:r>
      <w:r w:rsidRPr="004D7D42">
        <w:rPr>
          <w:lang w:val="en-PH"/>
        </w:rPr>
        <w:t xml:space="preserve">, </w:t>
      </w:r>
      <w:r>
        <w:rPr>
          <w:lang w:val="en-PH"/>
        </w:rPr>
        <w:t xml:space="preserve">and the </w:t>
      </w:r>
      <w:r w:rsidRPr="004D7D42">
        <w:rPr>
          <w:lang w:val="en-PH"/>
        </w:rPr>
        <w:t>standards used in other jurisdictions</w:t>
      </w:r>
      <w:r>
        <w:rPr>
          <w:lang w:val="en-PH"/>
        </w:rPr>
        <w:t xml:space="preserve">. </w:t>
      </w:r>
      <w:r w:rsidR="00294CEB">
        <w:rPr>
          <w:lang w:val="en-PH"/>
        </w:rPr>
        <w:t xml:space="preserve">The decision to vary the standards </w:t>
      </w:r>
      <w:r w:rsidR="00A24CDB">
        <w:rPr>
          <w:lang w:val="en-PH"/>
        </w:rPr>
        <w:t xml:space="preserve">is </w:t>
      </w:r>
      <w:r w:rsidR="00294CEB">
        <w:rPr>
          <w:lang w:val="en-PH"/>
        </w:rPr>
        <w:t xml:space="preserve">supported by analyses </w:t>
      </w:r>
      <w:r w:rsidR="00011C73">
        <w:rPr>
          <w:lang w:val="en-PH"/>
        </w:rPr>
        <w:t xml:space="preserve">commissioned by EPA Victoria – including an </w:t>
      </w:r>
      <w:r w:rsidR="009C151D">
        <w:rPr>
          <w:lang w:val="en-PH"/>
        </w:rPr>
        <w:t>Impact Statement</w:t>
      </w:r>
      <w:r w:rsidR="00011C73">
        <w:rPr>
          <w:lang w:val="en-PH"/>
        </w:rPr>
        <w:t>, which assesses the impacts of potential changes, a health risk assessment (HRA) and this CBA.</w:t>
      </w:r>
      <w:r>
        <w:rPr>
          <w:lang w:val="en-PH"/>
        </w:rPr>
        <w:t xml:space="preserve"> </w:t>
      </w:r>
    </w:p>
    <w:p w14:paraId="2F11DAA6" w14:textId="23916767" w:rsidR="00925940" w:rsidRDefault="00D26CF1" w:rsidP="00C96A63">
      <w:pPr>
        <w:pStyle w:val="BodyText"/>
        <w:rPr>
          <w:lang w:val="en-PH"/>
        </w:rPr>
      </w:pPr>
      <w:r>
        <w:rPr>
          <w:lang w:val="en-PH"/>
        </w:rPr>
        <w:t xml:space="preserve">The CBA assessed </w:t>
      </w:r>
      <w:r w:rsidR="00713F07">
        <w:rPr>
          <w:lang w:val="en-PH"/>
        </w:rPr>
        <w:t xml:space="preserve">the potential costs and benefits of </w:t>
      </w:r>
      <w:r w:rsidR="00DA60C5">
        <w:rPr>
          <w:lang w:val="en-PH"/>
        </w:rPr>
        <w:t xml:space="preserve">a set of potential </w:t>
      </w:r>
      <w:r w:rsidR="00713F07">
        <w:rPr>
          <w:lang w:val="en-PH"/>
        </w:rPr>
        <w:t>abatement measures</w:t>
      </w:r>
      <w:r w:rsidR="00DA60C5">
        <w:rPr>
          <w:lang w:val="en-PH"/>
        </w:rPr>
        <w:t>, referred to as the ‘</w:t>
      </w:r>
      <w:r w:rsidR="00746EDF">
        <w:rPr>
          <w:lang w:val="en-PH"/>
        </w:rPr>
        <w:t>Abatement Package</w:t>
      </w:r>
      <w:r w:rsidR="00E04274">
        <w:rPr>
          <w:lang w:val="en-PH"/>
        </w:rPr>
        <w:t xml:space="preserve"> scenario</w:t>
      </w:r>
      <w:r w:rsidR="00DA60C5">
        <w:rPr>
          <w:lang w:val="en-PH"/>
        </w:rPr>
        <w:t>’</w:t>
      </w:r>
      <w:r w:rsidR="004D3B5A">
        <w:rPr>
          <w:lang w:val="en-PH"/>
        </w:rPr>
        <w:t>,</w:t>
      </w:r>
      <w:r w:rsidR="00713F07">
        <w:rPr>
          <w:lang w:val="en-PH"/>
        </w:rPr>
        <w:t xml:space="preserve"> based on publicly available data on costs </w:t>
      </w:r>
      <w:r w:rsidR="00D16CBB">
        <w:rPr>
          <w:lang w:val="en-PH"/>
        </w:rPr>
        <w:t xml:space="preserve">and detailed modelling of the health benefits. </w:t>
      </w:r>
      <w:r w:rsidR="00D533D1">
        <w:rPr>
          <w:lang w:val="en-PH"/>
        </w:rPr>
        <w:t xml:space="preserve">The </w:t>
      </w:r>
      <w:r w:rsidR="00746EDF">
        <w:rPr>
          <w:lang w:val="en-PH"/>
        </w:rPr>
        <w:t>Abatement Package</w:t>
      </w:r>
      <w:r w:rsidR="00D533D1">
        <w:rPr>
          <w:lang w:val="en-PH"/>
        </w:rPr>
        <w:t xml:space="preserve"> </w:t>
      </w:r>
      <w:r w:rsidR="00E04274">
        <w:rPr>
          <w:lang w:val="en-PH"/>
        </w:rPr>
        <w:t xml:space="preserve">scenario </w:t>
      </w:r>
      <w:r w:rsidR="00D533D1">
        <w:rPr>
          <w:lang w:val="en-PH"/>
        </w:rPr>
        <w:t xml:space="preserve">was selected using </w:t>
      </w:r>
      <w:r w:rsidR="00D533D1" w:rsidRPr="00D533D1">
        <w:rPr>
          <w:lang w:val="en-PH"/>
        </w:rPr>
        <w:t>multi-criteria analysis (MCA)</w:t>
      </w:r>
      <w:r w:rsidR="00D533D1">
        <w:rPr>
          <w:lang w:val="en-PH"/>
        </w:rPr>
        <w:t xml:space="preserve">. The potential health benefits were estimated using a combination of </w:t>
      </w:r>
      <w:r w:rsidR="00FC0CF0">
        <w:rPr>
          <w:lang w:val="en-PH"/>
        </w:rPr>
        <w:t xml:space="preserve">the </w:t>
      </w:r>
      <w:r w:rsidR="00D533D1">
        <w:rPr>
          <w:lang w:val="en-PH"/>
        </w:rPr>
        <w:t>impact pathway</w:t>
      </w:r>
      <w:r w:rsidR="004377D4">
        <w:rPr>
          <w:lang w:val="en-PH"/>
        </w:rPr>
        <w:t xml:space="preserve"> approach</w:t>
      </w:r>
      <w:r w:rsidR="00C54373">
        <w:rPr>
          <w:lang w:val="en-PH"/>
        </w:rPr>
        <w:t>, which consider</w:t>
      </w:r>
      <w:r w:rsidR="00CE155B">
        <w:rPr>
          <w:lang w:val="en-PH"/>
        </w:rPr>
        <w:t>s</w:t>
      </w:r>
      <w:r w:rsidR="00C54373">
        <w:rPr>
          <w:lang w:val="en-PH"/>
        </w:rPr>
        <w:t xml:space="preserve"> the pathway from emissions to monetised health impacts,</w:t>
      </w:r>
      <w:r w:rsidR="00D533D1">
        <w:rPr>
          <w:lang w:val="en-PH"/>
        </w:rPr>
        <w:t xml:space="preserve"> and </w:t>
      </w:r>
      <w:r w:rsidR="00BE6851">
        <w:rPr>
          <w:lang w:val="en-PH"/>
        </w:rPr>
        <w:t xml:space="preserve">the </w:t>
      </w:r>
      <w:r w:rsidR="00D533D1">
        <w:rPr>
          <w:lang w:val="en-PH"/>
        </w:rPr>
        <w:t>damage cost approach</w:t>
      </w:r>
      <w:r w:rsidR="004377D4">
        <w:rPr>
          <w:lang w:val="en-PH"/>
        </w:rPr>
        <w:t xml:space="preserve">, </w:t>
      </w:r>
      <w:r w:rsidR="007B21D3">
        <w:rPr>
          <w:lang w:val="en-PH"/>
        </w:rPr>
        <w:t xml:space="preserve">which establishes a relationship between </w:t>
      </w:r>
      <w:r w:rsidR="00E85A54">
        <w:rPr>
          <w:lang w:val="en-PH"/>
        </w:rPr>
        <w:t xml:space="preserve">the </w:t>
      </w:r>
      <w:r w:rsidR="007B21D3">
        <w:rPr>
          <w:lang w:val="en-PH"/>
        </w:rPr>
        <w:t>quantity of emissions and monetised impacts</w:t>
      </w:r>
      <w:r w:rsidR="008D7232">
        <w:rPr>
          <w:lang w:val="en-PH"/>
        </w:rPr>
        <w:t>.</w:t>
      </w:r>
    </w:p>
    <w:p w14:paraId="7D865025" w14:textId="1C38A20D" w:rsidR="0033488B" w:rsidRDefault="00C96A63" w:rsidP="00C96A63">
      <w:pPr>
        <w:pStyle w:val="BodyText"/>
        <w:rPr>
          <w:lang w:val="en-PH"/>
        </w:rPr>
      </w:pPr>
      <w:r>
        <w:rPr>
          <w:lang w:val="en-PH"/>
        </w:rPr>
        <w:t xml:space="preserve">The results of the CBA show that the costs of the </w:t>
      </w:r>
      <w:r w:rsidR="00746EDF">
        <w:rPr>
          <w:lang w:val="en-PH"/>
        </w:rPr>
        <w:t>Abatement Package</w:t>
      </w:r>
      <w:r>
        <w:rPr>
          <w:lang w:val="en-PH"/>
        </w:rPr>
        <w:t xml:space="preserve"> </w:t>
      </w:r>
      <w:r w:rsidR="00E04274">
        <w:rPr>
          <w:lang w:val="en-PH"/>
        </w:rPr>
        <w:t xml:space="preserve">scenario </w:t>
      </w:r>
      <w:r>
        <w:rPr>
          <w:lang w:val="en-PH"/>
        </w:rPr>
        <w:t>are likely to significantly outweigh the health benefits.</w:t>
      </w:r>
      <w:r w:rsidR="0033488B">
        <w:rPr>
          <w:lang w:val="en-PH"/>
        </w:rPr>
        <w:t xml:space="preserve"> This partly reflects that the </w:t>
      </w:r>
      <w:r w:rsidR="0033488B" w:rsidRPr="0033488B">
        <w:rPr>
          <w:lang w:val="en-PH"/>
        </w:rPr>
        <w:t xml:space="preserve">package includes some high cost measures </w:t>
      </w:r>
      <w:r w:rsidR="0033488B">
        <w:rPr>
          <w:lang w:val="en-PH"/>
        </w:rPr>
        <w:t xml:space="preserve">to reduce emissions from </w:t>
      </w:r>
      <w:r w:rsidR="0033488B" w:rsidRPr="0033488B">
        <w:rPr>
          <w:lang w:val="en-PH"/>
        </w:rPr>
        <w:t>industry in low population areas</w:t>
      </w:r>
      <w:r w:rsidR="0033488B">
        <w:rPr>
          <w:lang w:val="en-PH"/>
        </w:rPr>
        <w:t xml:space="preserve">, which provide relatively low </w:t>
      </w:r>
      <w:r w:rsidR="0033488B" w:rsidRPr="0033488B">
        <w:rPr>
          <w:lang w:val="en-PH"/>
        </w:rPr>
        <w:t>health benefit</w:t>
      </w:r>
      <w:r w:rsidR="0033488B">
        <w:rPr>
          <w:lang w:val="en-PH"/>
        </w:rPr>
        <w:t>s.</w:t>
      </w:r>
    </w:p>
    <w:p w14:paraId="26400E6F" w14:textId="39122F9E" w:rsidR="00C96A63" w:rsidRDefault="00C96A63" w:rsidP="00C96A63">
      <w:pPr>
        <w:pStyle w:val="BodyText"/>
        <w:rPr>
          <w:lang w:val="en-PH"/>
        </w:rPr>
      </w:pPr>
      <w:r>
        <w:rPr>
          <w:lang w:val="en-PH"/>
        </w:rPr>
        <w:t xml:space="preserve">The </w:t>
      </w:r>
      <w:r w:rsidR="00D13E24">
        <w:rPr>
          <w:lang w:val="en-PH"/>
        </w:rPr>
        <w:t>benefit-cost ratio (</w:t>
      </w:r>
      <w:r>
        <w:rPr>
          <w:lang w:val="en-PH"/>
        </w:rPr>
        <w:t>BCR</w:t>
      </w:r>
      <w:r w:rsidR="00D13E24">
        <w:rPr>
          <w:lang w:val="en-PH"/>
        </w:rPr>
        <w:t>)</w:t>
      </w:r>
      <w:r>
        <w:rPr>
          <w:lang w:val="en-PH"/>
        </w:rPr>
        <w:t xml:space="preserve"> for the </w:t>
      </w:r>
      <w:r w:rsidR="00746EDF">
        <w:rPr>
          <w:lang w:val="en-PH"/>
        </w:rPr>
        <w:t>Abatement Package</w:t>
      </w:r>
      <w:r>
        <w:rPr>
          <w:lang w:val="en-PH"/>
        </w:rPr>
        <w:t xml:space="preserve"> </w:t>
      </w:r>
      <w:r w:rsidR="009074FB">
        <w:rPr>
          <w:lang w:val="en-PH"/>
        </w:rPr>
        <w:t xml:space="preserve">scenario </w:t>
      </w:r>
      <w:r>
        <w:rPr>
          <w:lang w:val="en-PH"/>
        </w:rPr>
        <w:t>corresponding to SO</w:t>
      </w:r>
      <w:r w:rsidRPr="00F014D2">
        <w:rPr>
          <w:vertAlign w:val="subscript"/>
          <w:lang w:val="en-PH"/>
        </w:rPr>
        <w:t>2</w:t>
      </w:r>
      <w:r>
        <w:rPr>
          <w:lang w:val="en-PH"/>
        </w:rPr>
        <w:t>, NO</w:t>
      </w:r>
      <w:r w:rsidRPr="00F014D2">
        <w:rPr>
          <w:vertAlign w:val="subscript"/>
          <w:lang w:val="en-PH"/>
        </w:rPr>
        <w:t>2</w:t>
      </w:r>
      <w:r>
        <w:rPr>
          <w:lang w:val="en-PH"/>
        </w:rPr>
        <w:t xml:space="preserve"> and O</w:t>
      </w:r>
      <w:r w:rsidRPr="00F014D2">
        <w:rPr>
          <w:vertAlign w:val="subscript"/>
          <w:lang w:val="en-PH"/>
        </w:rPr>
        <w:t>3</w:t>
      </w:r>
      <w:r>
        <w:rPr>
          <w:lang w:val="en-PH"/>
        </w:rPr>
        <w:t xml:space="preserve"> are estimated at 0.01, 0.</w:t>
      </w:r>
      <w:r w:rsidR="00D76101">
        <w:rPr>
          <w:lang w:val="en-PH"/>
        </w:rPr>
        <w:t xml:space="preserve">07 </w:t>
      </w:r>
      <w:r>
        <w:rPr>
          <w:lang w:val="en-PH"/>
        </w:rPr>
        <w:t xml:space="preserve">and </w:t>
      </w:r>
      <w:r w:rsidRPr="00F014D2">
        <w:rPr>
          <w:lang w:val="en-PH"/>
        </w:rPr>
        <w:t>0.05</w:t>
      </w:r>
      <w:r>
        <w:rPr>
          <w:lang w:val="en-PH"/>
        </w:rPr>
        <w:t xml:space="preserve"> respectively. However:</w:t>
      </w:r>
    </w:p>
    <w:p w14:paraId="027675B2" w14:textId="61F7DFB4" w:rsidR="00C96A63" w:rsidRDefault="00C96A63" w:rsidP="00C96A63">
      <w:pPr>
        <w:pStyle w:val="Bullet1"/>
        <w:rPr>
          <w:lang w:val="en-PH"/>
        </w:rPr>
      </w:pPr>
      <w:r>
        <w:rPr>
          <w:lang w:val="en-PH"/>
        </w:rPr>
        <w:t>there are a number of benefits which could not be reliability quantified</w:t>
      </w:r>
      <w:r w:rsidR="001541E6" w:rsidRPr="001541E6">
        <w:rPr>
          <w:lang w:val="en-PH"/>
        </w:rPr>
        <w:t xml:space="preserve"> </w:t>
      </w:r>
      <w:r w:rsidR="001541E6">
        <w:rPr>
          <w:lang w:val="en-PH"/>
        </w:rPr>
        <w:t>including lost labour productivity, a reduction in the emission of other pollutants, avoidance of some non-health impacts, and a reduction in secondary PM formation</w:t>
      </w:r>
    </w:p>
    <w:p w14:paraId="7A060336" w14:textId="77777777" w:rsidR="00A24CDB" w:rsidRDefault="00C96A63" w:rsidP="00C96A63">
      <w:pPr>
        <w:pStyle w:val="Bullet1"/>
        <w:rPr>
          <w:lang w:val="en-PH"/>
        </w:rPr>
      </w:pPr>
      <w:r w:rsidRPr="00BF329B">
        <w:rPr>
          <w:lang w:val="en-PH"/>
        </w:rPr>
        <w:t>the costs and benefits of the abatement measures do not reflect the likely costs and benefits of meeting various air quality standards</w:t>
      </w:r>
    </w:p>
    <w:p w14:paraId="7DA72366" w14:textId="110E36C5" w:rsidR="00C96A63" w:rsidRPr="00B326CA" w:rsidRDefault="00A24CDB" w:rsidP="00C96A63">
      <w:pPr>
        <w:pStyle w:val="Bullet1"/>
        <w:rPr>
          <w:lang w:val="en-PH"/>
        </w:rPr>
      </w:pPr>
      <w:r>
        <w:rPr>
          <w:lang w:val="en-PH"/>
        </w:rPr>
        <w:t>t</w:t>
      </w:r>
      <w:r w:rsidRPr="00A24CDB">
        <w:rPr>
          <w:lang w:val="en-PH"/>
        </w:rPr>
        <w:t xml:space="preserve">his does not mean that all potential actions with in the </w:t>
      </w:r>
      <w:r w:rsidR="00746EDF">
        <w:rPr>
          <w:lang w:val="en-PH"/>
        </w:rPr>
        <w:t>Abatement Package</w:t>
      </w:r>
      <w:r w:rsidRPr="00A24CDB">
        <w:rPr>
          <w:lang w:val="en-PH"/>
        </w:rPr>
        <w:t xml:space="preserve"> </w:t>
      </w:r>
      <w:r w:rsidR="009074FB">
        <w:rPr>
          <w:lang w:val="en-PH"/>
        </w:rPr>
        <w:t xml:space="preserve">scenario </w:t>
      </w:r>
      <w:r w:rsidRPr="00A24CDB">
        <w:rPr>
          <w:lang w:val="en-PH"/>
        </w:rPr>
        <w:t xml:space="preserve">have </w:t>
      </w:r>
      <w:r>
        <w:rPr>
          <w:lang w:val="en-PH"/>
        </w:rPr>
        <w:t>a BCR of less than one</w:t>
      </w:r>
      <w:r w:rsidR="00C96A63" w:rsidRPr="00BF329B">
        <w:rPr>
          <w:lang w:val="en-PH"/>
        </w:rPr>
        <w:t>.</w:t>
      </w:r>
    </w:p>
    <w:p w14:paraId="6C96E32E" w14:textId="20A280B6" w:rsidR="001541E6" w:rsidRDefault="00C96A63" w:rsidP="00C96A63">
      <w:pPr>
        <w:spacing w:after="200" w:line="276" w:lineRule="auto"/>
        <w:rPr>
          <w:lang w:val="en-PH"/>
        </w:rPr>
      </w:pPr>
      <w:r>
        <w:rPr>
          <w:lang w:val="en-PH"/>
        </w:rPr>
        <w:t xml:space="preserve">While the CBA estimates the costs and benefits of an </w:t>
      </w:r>
      <w:r w:rsidR="00746EDF">
        <w:rPr>
          <w:lang w:val="en-PH"/>
        </w:rPr>
        <w:t>Abatement Package</w:t>
      </w:r>
      <w:r>
        <w:rPr>
          <w:lang w:val="en-PH"/>
        </w:rPr>
        <w:t xml:space="preserve"> </w:t>
      </w:r>
      <w:r w:rsidR="009074FB">
        <w:rPr>
          <w:lang w:val="en-PH"/>
        </w:rPr>
        <w:t xml:space="preserve">scenario </w:t>
      </w:r>
      <w:r>
        <w:rPr>
          <w:lang w:val="en-PH"/>
        </w:rPr>
        <w:t>at a national level, it does not necessarily provide an indication of the likely costs and benefits of meeting alternative AAQ standards. This is because in practice, while some measures to meet standards are implemented at a national level, individual states and territory governments implement much of the regulation and policy designed to meet the standards in that state or territory.</w:t>
      </w:r>
      <w:r w:rsidR="002423BB">
        <w:rPr>
          <w:lang w:val="en-PH"/>
        </w:rPr>
        <w:t xml:space="preserve"> Moreover, </w:t>
      </w:r>
      <w:r w:rsidR="000C5407">
        <w:rPr>
          <w:lang w:val="en-PH"/>
        </w:rPr>
        <w:t xml:space="preserve">some </w:t>
      </w:r>
      <w:r w:rsidR="002423BB">
        <w:rPr>
          <w:lang w:val="en-PH"/>
        </w:rPr>
        <w:t>t</w:t>
      </w:r>
      <w:r w:rsidR="002423BB" w:rsidRPr="002423BB">
        <w:rPr>
          <w:lang w:val="en-PH"/>
        </w:rPr>
        <w:t>ightened standards could be met without the need for abatement and therefore without additional cost.</w:t>
      </w:r>
    </w:p>
    <w:p w14:paraId="1005F060" w14:textId="1530886F" w:rsidR="00C96A63" w:rsidRDefault="00C96A63" w:rsidP="00C96A63">
      <w:pPr>
        <w:spacing w:after="200" w:line="276" w:lineRule="auto"/>
        <w:rPr>
          <w:lang w:val="en-PH"/>
        </w:rPr>
      </w:pPr>
      <w:r>
        <w:rPr>
          <w:lang w:val="en-PH"/>
        </w:rPr>
        <w:t>As such, each jurisdiction assesses and implements abatement measures following their own policy processes, which may include jurisdiction-specific CBAs and other analyses to select the most appropriate set of abatement measures.</w:t>
      </w:r>
    </w:p>
    <w:p w14:paraId="4EE35124" w14:textId="77777777" w:rsidR="00C96A63" w:rsidRDefault="00C96A63" w:rsidP="00C96A63">
      <w:pPr>
        <w:pStyle w:val="BodyText"/>
        <w:rPr>
          <w:lang w:val="en-PH"/>
        </w:rPr>
      </w:pPr>
      <w:r>
        <w:rPr>
          <w:lang w:val="en-PH"/>
        </w:rPr>
        <w:t>The results of the CBA suggest that the implementation of abatement measures for selected pollutants can be economically efficient in selected airsheds. Therefore, this CBA recommends that abatement measures to meet updated AAQ standards should only be implemented if appropriate state-level policy assessment processes support their implementation, or if a national assessment, including more detailed CBA, supports their implementation at a national level.</w:t>
      </w:r>
    </w:p>
    <w:p w14:paraId="307705C9" w14:textId="20B37F46" w:rsidR="001B6724" w:rsidRDefault="00C96A63">
      <w:pPr>
        <w:spacing w:after="200" w:line="276" w:lineRule="auto"/>
      </w:pPr>
      <w:r>
        <w:rPr>
          <w:lang w:val="en-PH"/>
        </w:rPr>
        <w:lastRenderedPageBreak/>
        <w:t>Furthermore, the CBA also suggests that policy approaches such as an exposure reduction framework, which targets reductions in population exposure instead of average concentrations, could provide an effective complement to standards.</w:t>
      </w:r>
      <w:r w:rsidR="001B6724">
        <w:br w:type="page"/>
      </w:r>
    </w:p>
    <w:p w14:paraId="6125C4B0" w14:textId="77777777" w:rsidR="001B6724" w:rsidRDefault="001B6724" w:rsidP="001B6724">
      <w:pPr>
        <w:pStyle w:val="Heading1"/>
        <w:rPr>
          <w:lang w:val="en-PH"/>
        </w:rPr>
      </w:pPr>
      <w:bookmarkStart w:id="3" w:name="_Toc518629877"/>
      <w:r>
        <w:rPr>
          <w:lang w:val="en-PH"/>
        </w:rPr>
        <w:lastRenderedPageBreak/>
        <w:t>Introduction</w:t>
      </w:r>
      <w:bookmarkEnd w:id="3"/>
    </w:p>
    <w:p w14:paraId="00F77785" w14:textId="77777777" w:rsidR="001B6724" w:rsidRDefault="001B6724" w:rsidP="00DB4968">
      <w:pPr>
        <w:pStyle w:val="Heading2"/>
        <w:rPr>
          <w:lang w:val="en-PH"/>
        </w:rPr>
      </w:pPr>
      <w:bookmarkStart w:id="4" w:name="_Toc518629878"/>
      <w:r>
        <w:rPr>
          <w:lang w:val="en-PH"/>
        </w:rPr>
        <w:t>Background to the project</w:t>
      </w:r>
      <w:bookmarkEnd w:id="4"/>
    </w:p>
    <w:p w14:paraId="30B0EC27" w14:textId="24E9C7A0" w:rsidR="001B6724" w:rsidRDefault="001B6724" w:rsidP="001B6724">
      <w:pPr>
        <w:pStyle w:val="BodyText"/>
        <w:rPr>
          <w:lang w:val="en-PH"/>
        </w:rPr>
      </w:pPr>
      <w:r>
        <w:rPr>
          <w:lang w:val="en-PH"/>
        </w:rPr>
        <w:t xml:space="preserve">Environment Protection Authority (EPA) Victoria has commissioned Pacific Environment and Aurecon to prepare a Cost Benefit Analysis (CBA) and </w:t>
      </w:r>
      <w:r w:rsidR="009C151D">
        <w:rPr>
          <w:lang w:val="en-PH"/>
        </w:rPr>
        <w:t>Impact Statement</w:t>
      </w:r>
      <w:r>
        <w:rPr>
          <w:lang w:val="en-PH"/>
        </w:rPr>
        <w:t xml:space="preserve"> for the review </w:t>
      </w:r>
      <w:r w:rsidR="00545975">
        <w:rPr>
          <w:lang w:val="en-PH"/>
        </w:rPr>
        <w:t xml:space="preserve">of the </w:t>
      </w:r>
      <w:r>
        <w:rPr>
          <w:lang w:val="en-PH"/>
        </w:rPr>
        <w:t>national air quality standards for sulfur dioxide (SO</w:t>
      </w:r>
      <w:r w:rsidRPr="005162C7">
        <w:rPr>
          <w:vertAlign w:val="subscript"/>
          <w:lang w:val="en-PH"/>
        </w:rPr>
        <w:t>2</w:t>
      </w:r>
      <w:r>
        <w:rPr>
          <w:lang w:val="en-PH"/>
        </w:rPr>
        <w:t>), nitrogen dioxide (NO</w:t>
      </w:r>
      <w:r w:rsidRPr="005162C7">
        <w:rPr>
          <w:vertAlign w:val="subscript"/>
          <w:lang w:val="en-PH"/>
        </w:rPr>
        <w:t>2</w:t>
      </w:r>
      <w:r>
        <w:rPr>
          <w:lang w:val="en-PH"/>
        </w:rPr>
        <w:t>) and ozone (O</w:t>
      </w:r>
      <w:r w:rsidRPr="005162C7">
        <w:rPr>
          <w:vertAlign w:val="subscript"/>
          <w:lang w:val="en-PH"/>
        </w:rPr>
        <w:t>3</w:t>
      </w:r>
      <w:r>
        <w:rPr>
          <w:lang w:val="en-PH"/>
        </w:rPr>
        <w:t>).</w:t>
      </w:r>
    </w:p>
    <w:p w14:paraId="0E606EE9" w14:textId="56C9B8D0" w:rsidR="001B6724" w:rsidRDefault="001B6724" w:rsidP="001B6724">
      <w:pPr>
        <w:pStyle w:val="BodyText"/>
        <w:rPr>
          <w:lang w:val="en-PH"/>
        </w:rPr>
      </w:pPr>
      <w:r>
        <w:rPr>
          <w:lang w:val="en-PH"/>
        </w:rPr>
        <w:t xml:space="preserve">The Ambient Air Quality </w:t>
      </w:r>
      <w:r w:rsidR="00BF29A5">
        <w:rPr>
          <w:lang w:val="en-PH"/>
        </w:rPr>
        <w:t xml:space="preserve">National Environment </w:t>
      </w:r>
      <w:r>
        <w:rPr>
          <w:lang w:val="en-PH"/>
        </w:rPr>
        <w:t xml:space="preserve">Protection Measure (AAQ NEPM) standards include monitoring and advisory reporting standards for pollutants that affect human health. The standards are expressed as maximum allowable ambient concentrations, calculated over selected ‘averaging periods’, for carbon monoxide (CO), </w:t>
      </w:r>
      <w:r w:rsidR="00545975">
        <w:rPr>
          <w:lang w:val="en-PH"/>
        </w:rPr>
        <w:t>SO</w:t>
      </w:r>
      <w:r w:rsidR="00545975" w:rsidRPr="00733F33">
        <w:rPr>
          <w:vertAlign w:val="subscript"/>
          <w:lang w:val="en-PH"/>
        </w:rPr>
        <w:t>2</w:t>
      </w:r>
      <w:r w:rsidR="00545975" w:rsidRPr="00545975">
        <w:rPr>
          <w:lang w:val="en-PH"/>
        </w:rPr>
        <w:t>,</w:t>
      </w:r>
      <w:r w:rsidR="00545975">
        <w:rPr>
          <w:vertAlign w:val="subscript"/>
          <w:lang w:val="en-PH"/>
        </w:rPr>
        <w:t xml:space="preserve"> </w:t>
      </w:r>
      <w:r>
        <w:rPr>
          <w:lang w:val="en-PH"/>
        </w:rPr>
        <w:t>NO</w:t>
      </w:r>
      <w:r w:rsidRPr="00733F33">
        <w:rPr>
          <w:vertAlign w:val="subscript"/>
          <w:lang w:val="en-PH"/>
        </w:rPr>
        <w:t>2</w:t>
      </w:r>
      <w:r w:rsidR="00545975">
        <w:rPr>
          <w:lang w:val="en-PH"/>
        </w:rPr>
        <w:t>,</w:t>
      </w:r>
      <w:r>
        <w:rPr>
          <w:lang w:val="en-PH"/>
        </w:rPr>
        <w:t xml:space="preserve"> O</w:t>
      </w:r>
      <w:r w:rsidRPr="00733F33">
        <w:rPr>
          <w:vertAlign w:val="subscript"/>
          <w:lang w:val="en-PH"/>
        </w:rPr>
        <w:t>3</w:t>
      </w:r>
      <w:r>
        <w:rPr>
          <w:lang w:val="en-PH"/>
        </w:rPr>
        <w:t>, lead and particulate matter (PM).</w:t>
      </w:r>
    </w:p>
    <w:p w14:paraId="248B9E5A" w14:textId="2FEE5FCB" w:rsidR="001B6724" w:rsidRDefault="001B6724" w:rsidP="001B6724">
      <w:pPr>
        <w:spacing w:after="200" w:line="276" w:lineRule="auto"/>
        <w:rPr>
          <w:lang w:val="en-PH"/>
        </w:rPr>
      </w:pPr>
      <w:r>
        <w:rPr>
          <w:lang w:val="en-PH"/>
        </w:rPr>
        <w:t xml:space="preserve">A review of the AAQ NEPM in 2011 recommended </w:t>
      </w:r>
      <w:r w:rsidR="00204084">
        <w:rPr>
          <w:lang w:val="en-PH"/>
        </w:rPr>
        <w:t xml:space="preserve">a review of the </w:t>
      </w:r>
      <w:r>
        <w:rPr>
          <w:lang w:val="en-PH"/>
        </w:rPr>
        <w:t>standards for PM</w:t>
      </w:r>
      <w:r w:rsidR="00204084">
        <w:rPr>
          <w:lang w:val="en-PH"/>
        </w:rPr>
        <w:t>,</w:t>
      </w:r>
      <w:r>
        <w:rPr>
          <w:lang w:val="en-PH"/>
        </w:rPr>
        <w:t xml:space="preserve"> SO</w:t>
      </w:r>
      <w:r w:rsidRPr="00DD1F4B">
        <w:rPr>
          <w:vertAlign w:val="subscript"/>
          <w:lang w:val="en-PH"/>
        </w:rPr>
        <w:t>2</w:t>
      </w:r>
      <w:r>
        <w:rPr>
          <w:lang w:val="en-PH"/>
        </w:rPr>
        <w:t>, NO</w:t>
      </w:r>
      <w:r w:rsidRPr="00DD1F4B">
        <w:rPr>
          <w:vertAlign w:val="subscript"/>
          <w:lang w:val="en-PH"/>
        </w:rPr>
        <w:t>2</w:t>
      </w:r>
      <w:r w:rsidR="00204084">
        <w:rPr>
          <w:lang w:val="en-PH"/>
        </w:rPr>
        <w:t xml:space="preserve">, </w:t>
      </w:r>
      <w:r>
        <w:rPr>
          <w:lang w:val="en-PH"/>
        </w:rPr>
        <w:t>O</w:t>
      </w:r>
      <w:r w:rsidRPr="00DD1F4B">
        <w:rPr>
          <w:vertAlign w:val="subscript"/>
          <w:lang w:val="en-PH"/>
        </w:rPr>
        <w:t>3</w:t>
      </w:r>
      <w:r>
        <w:rPr>
          <w:lang w:val="en-PH"/>
        </w:rPr>
        <w:t xml:space="preserve"> </w:t>
      </w:r>
      <w:r w:rsidR="00204084">
        <w:rPr>
          <w:lang w:val="en-PH"/>
        </w:rPr>
        <w:t xml:space="preserve">and other pollutants, </w:t>
      </w:r>
      <w:r>
        <w:rPr>
          <w:lang w:val="en-PH"/>
        </w:rPr>
        <w:t>to take into account the most recent evidence on the effects of these pollutants on human health.</w:t>
      </w:r>
      <w:r w:rsidR="00204084">
        <w:rPr>
          <w:lang w:val="en-PH"/>
        </w:rPr>
        <w:t xml:space="preserve"> T</w:t>
      </w:r>
      <w:r w:rsidR="00204084" w:rsidRPr="00204084">
        <w:rPr>
          <w:lang w:val="en-PH"/>
        </w:rPr>
        <w:t xml:space="preserve">he Council of Australian Governments </w:t>
      </w:r>
      <w:r w:rsidR="00204084">
        <w:rPr>
          <w:lang w:val="en-PH"/>
        </w:rPr>
        <w:t xml:space="preserve">(COAG) </w:t>
      </w:r>
      <w:r w:rsidR="00204084" w:rsidRPr="00204084">
        <w:rPr>
          <w:lang w:val="en-PH"/>
        </w:rPr>
        <w:t>agreed </w:t>
      </w:r>
      <w:r w:rsidR="00204084">
        <w:rPr>
          <w:lang w:val="en-PH"/>
        </w:rPr>
        <w:t xml:space="preserve">that </w:t>
      </w:r>
      <w:r w:rsidR="00204084" w:rsidRPr="00204084">
        <w:rPr>
          <w:lang w:val="en-PH"/>
        </w:rPr>
        <w:t xml:space="preserve">the review </w:t>
      </w:r>
      <w:r w:rsidR="00204084">
        <w:rPr>
          <w:lang w:val="en-PH"/>
        </w:rPr>
        <w:t xml:space="preserve">of </w:t>
      </w:r>
      <w:r w:rsidR="00204084" w:rsidRPr="00204084">
        <w:rPr>
          <w:lang w:val="en-PH"/>
        </w:rPr>
        <w:t xml:space="preserve">the particle standards would be </w:t>
      </w:r>
      <w:r w:rsidR="00204084">
        <w:rPr>
          <w:lang w:val="en-PH"/>
        </w:rPr>
        <w:t>prioritised</w:t>
      </w:r>
      <w:r w:rsidR="00204084" w:rsidRPr="00204084">
        <w:rPr>
          <w:lang w:val="en-PH"/>
        </w:rPr>
        <w:t>.</w:t>
      </w:r>
    </w:p>
    <w:p w14:paraId="1B469948" w14:textId="6A7E15C7" w:rsidR="001B6724" w:rsidRDefault="001B6724" w:rsidP="001B6724">
      <w:pPr>
        <w:spacing w:after="200" w:line="276" w:lineRule="auto"/>
        <w:rPr>
          <w:lang w:val="en-PH"/>
        </w:rPr>
      </w:pPr>
      <w:r>
        <w:rPr>
          <w:lang w:val="en-PH"/>
        </w:rPr>
        <w:t>The AAQ NEPM was varied in 2016 to introduce more stringent standards for PM</w:t>
      </w:r>
      <w:r w:rsidRPr="00320850">
        <w:rPr>
          <w:vertAlign w:val="subscript"/>
          <w:lang w:val="en-PH"/>
        </w:rPr>
        <w:t>10</w:t>
      </w:r>
      <w:r>
        <w:rPr>
          <w:lang w:val="en-PH"/>
        </w:rPr>
        <w:t xml:space="preserve"> and PM</w:t>
      </w:r>
      <w:r w:rsidRPr="00925979">
        <w:rPr>
          <w:vertAlign w:val="subscript"/>
          <w:lang w:val="en-PH"/>
        </w:rPr>
        <w:t>2.5</w:t>
      </w:r>
      <w:r>
        <w:rPr>
          <w:lang w:val="en-PH"/>
        </w:rPr>
        <w:t xml:space="preserve">, which are particles with aerodynamic diameters of less than </w:t>
      </w:r>
      <w:r w:rsidR="00F603EC">
        <w:rPr>
          <w:lang w:val="en-PH"/>
        </w:rPr>
        <w:t xml:space="preserve">or equal to </w:t>
      </w:r>
      <w:r>
        <w:rPr>
          <w:lang w:val="en-PH"/>
        </w:rPr>
        <w:t xml:space="preserve">10 and 2.5 micrometres respectively. The variation was based on developments in the health evidence, and an economic analysis and </w:t>
      </w:r>
      <w:r w:rsidR="009526A8">
        <w:rPr>
          <w:lang w:val="en-PH"/>
        </w:rPr>
        <w:t>Impact Statement</w:t>
      </w:r>
      <w:r>
        <w:rPr>
          <w:lang w:val="en-PH"/>
        </w:rPr>
        <w:t xml:space="preserve"> that assessed the impact of potential changes to the standards.</w:t>
      </w:r>
    </w:p>
    <w:p w14:paraId="7E733249" w14:textId="70276896" w:rsidR="001B6724" w:rsidRDefault="001B6724" w:rsidP="001B6724">
      <w:pPr>
        <w:spacing w:after="200" w:line="276" w:lineRule="auto"/>
        <w:rPr>
          <w:lang w:val="en-PH"/>
        </w:rPr>
      </w:pPr>
      <w:r>
        <w:rPr>
          <w:lang w:val="en-PH"/>
        </w:rPr>
        <w:t xml:space="preserve">The purpose of this </w:t>
      </w:r>
      <w:r w:rsidR="00F11E2A">
        <w:rPr>
          <w:lang w:val="en-PH"/>
        </w:rPr>
        <w:t xml:space="preserve">review </w:t>
      </w:r>
      <w:r>
        <w:rPr>
          <w:lang w:val="en-PH"/>
        </w:rPr>
        <w:t>is to provide evidence to the National Environment Protection Council (NEPC) to inform the review of the standards for SO</w:t>
      </w:r>
      <w:r w:rsidRPr="00733F33">
        <w:rPr>
          <w:vertAlign w:val="subscript"/>
          <w:lang w:val="en-PH"/>
        </w:rPr>
        <w:t>2</w:t>
      </w:r>
      <w:r>
        <w:rPr>
          <w:lang w:val="en-PH"/>
        </w:rPr>
        <w:t>, NO</w:t>
      </w:r>
      <w:r w:rsidRPr="00733F33">
        <w:rPr>
          <w:vertAlign w:val="subscript"/>
          <w:lang w:val="en-PH"/>
        </w:rPr>
        <w:t>2</w:t>
      </w:r>
      <w:r>
        <w:rPr>
          <w:lang w:val="en-PH"/>
        </w:rPr>
        <w:t xml:space="preserve"> and O</w:t>
      </w:r>
      <w:r w:rsidRPr="00733F33">
        <w:rPr>
          <w:vertAlign w:val="subscript"/>
          <w:lang w:val="en-PH"/>
        </w:rPr>
        <w:t>3</w:t>
      </w:r>
      <w:r>
        <w:rPr>
          <w:vertAlign w:val="subscript"/>
          <w:lang w:val="en-PH"/>
        </w:rPr>
        <w:t>.</w:t>
      </w:r>
      <w:r>
        <w:rPr>
          <w:lang w:val="en-PH"/>
        </w:rPr>
        <w:t xml:space="preserve"> The </w:t>
      </w:r>
      <w:r w:rsidR="00F11E2A">
        <w:rPr>
          <w:lang w:val="en-PH"/>
        </w:rPr>
        <w:t xml:space="preserve">review </w:t>
      </w:r>
      <w:r>
        <w:rPr>
          <w:lang w:val="en-PH"/>
        </w:rPr>
        <w:t xml:space="preserve">includes a supporting air quality study, a health risk assessment (HRA), a CBA (described in this report), and an </w:t>
      </w:r>
      <w:r w:rsidR="009C151D">
        <w:rPr>
          <w:lang w:val="en-PH"/>
        </w:rPr>
        <w:t>Impact Statement</w:t>
      </w:r>
      <w:r>
        <w:rPr>
          <w:lang w:val="en-PH"/>
        </w:rPr>
        <w:t>.</w:t>
      </w:r>
    </w:p>
    <w:p w14:paraId="245D1BE3" w14:textId="5E43773F" w:rsidR="001B6724" w:rsidRDefault="001B6724" w:rsidP="001B6724">
      <w:pPr>
        <w:spacing w:after="200" w:line="276" w:lineRule="auto"/>
        <w:rPr>
          <w:lang w:val="en-PH"/>
        </w:rPr>
      </w:pPr>
      <w:r>
        <w:rPr>
          <w:lang w:val="en-PH"/>
        </w:rPr>
        <w:t xml:space="preserve">The </w:t>
      </w:r>
      <w:r w:rsidR="009C151D">
        <w:rPr>
          <w:lang w:val="en-PH"/>
        </w:rPr>
        <w:t>Impact Statement</w:t>
      </w:r>
      <w:r>
        <w:rPr>
          <w:lang w:val="en-PH"/>
        </w:rPr>
        <w:t xml:space="preserve"> summarises the air quality study, HRA and CBA, and also includes a broader discussion on the standards and policy approaches adopted internationally and the rationale for these policy approaches. </w:t>
      </w:r>
    </w:p>
    <w:p w14:paraId="59F7D63D" w14:textId="4C189C2B" w:rsidR="001B6724" w:rsidRDefault="001B6724" w:rsidP="00DB4968">
      <w:pPr>
        <w:pStyle w:val="Heading2"/>
        <w:rPr>
          <w:lang w:val="en-PH"/>
        </w:rPr>
      </w:pPr>
      <w:bookmarkStart w:id="5" w:name="_Toc518629879"/>
      <w:r>
        <w:rPr>
          <w:lang w:val="en-PH"/>
        </w:rPr>
        <w:t xml:space="preserve">Purpose and limitations of the </w:t>
      </w:r>
      <w:r w:rsidR="002B55F5">
        <w:rPr>
          <w:lang w:val="en-PH"/>
        </w:rPr>
        <w:t>cost benefit analysis</w:t>
      </w:r>
      <w:bookmarkEnd w:id="5"/>
    </w:p>
    <w:p w14:paraId="13E2C332" w14:textId="25B8B5CB" w:rsidR="001B6724" w:rsidRDefault="001B6724" w:rsidP="001B6724">
      <w:pPr>
        <w:spacing w:after="200" w:line="276" w:lineRule="auto"/>
        <w:rPr>
          <w:lang w:val="en-PH"/>
        </w:rPr>
      </w:pPr>
      <w:r>
        <w:rPr>
          <w:lang w:val="en-PH"/>
        </w:rPr>
        <w:t xml:space="preserve">This CBA aims to support the </w:t>
      </w:r>
      <w:r w:rsidR="009C151D">
        <w:rPr>
          <w:lang w:val="en-PH"/>
        </w:rPr>
        <w:t>Impact Statement</w:t>
      </w:r>
      <w:r>
        <w:rPr>
          <w:lang w:val="en-PH"/>
        </w:rPr>
        <w:t xml:space="preserve"> by providing economic evidence on the possible costs and benefits of abatement measures to reduce concentrations of SO</w:t>
      </w:r>
      <w:r w:rsidRPr="00733F33">
        <w:rPr>
          <w:vertAlign w:val="subscript"/>
          <w:lang w:val="en-PH"/>
        </w:rPr>
        <w:t>2</w:t>
      </w:r>
      <w:r>
        <w:rPr>
          <w:lang w:val="en-PH"/>
        </w:rPr>
        <w:t>, NO</w:t>
      </w:r>
      <w:r w:rsidRPr="00733F33">
        <w:rPr>
          <w:vertAlign w:val="subscript"/>
          <w:lang w:val="en-PH"/>
        </w:rPr>
        <w:t>2</w:t>
      </w:r>
      <w:r>
        <w:rPr>
          <w:lang w:val="en-PH"/>
        </w:rPr>
        <w:t xml:space="preserve"> and O</w:t>
      </w:r>
      <w:r w:rsidRPr="00733F33">
        <w:rPr>
          <w:vertAlign w:val="subscript"/>
          <w:lang w:val="en-PH"/>
        </w:rPr>
        <w:t>3</w:t>
      </w:r>
      <w:r w:rsidRPr="00C27F41">
        <w:rPr>
          <w:lang w:val="en-PH"/>
        </w:rPr>
        <w:t>.</w:t>
      </w:r>
      <w:r>
        <w:rPr>
          <w:lang w:val="en-PH"/>
        </w:rPr>
        <w:t xml:space="preserve"> The abatement measures target sources of </w:t>
      </w:r>
      <w:r w:rsidR="00B76951">
        <w:rPr>
          <w:lang w:val="en-PH"/>
        </w:rPr>
        <w:t>sulfur oxides (</w:t>
      </w:r>
      <w:r>
        <w:rPr>
          <w:lang w:val="en-PH"/>
        </w:rPr>
        <w:t>SO</w:t>
      </w:r>
      <w:r w:rsidRPr="00B57EB9">
        <w:rPr>
          <w:vertAlign w:val="subscript"/>
          <w:lang w:val="en-PH"/>
        </w:rPr>
        <w:t>X</w:t>
      </w:r>
      <w:r w:rsidR="00B76951" w:rsidRPr="00B326CA">
        <w:rPr>
          <w:lang w:val="en-PH"/>
        </w:rPr>
        <w:t>)</w:t>
      </w:r>
      <w:r>
        <w:rPr>
          <w:lang w:val="en-PH"/>
        </w:rPr>
        <w:t xml:space="preserve">, </w:t>
      </w:r>
      <w:r w:rsidR="00B76951">
        <w:rPr>
          <w:lang w:val="en-PH"/>
        </w:rPr>
        <w:t>nitrogen oxides (</w:t>
      </w:r>
      <w:r>
        <w:rPr>
          <w:lang w:val="en-PH"/>
        </w:rPr>
        <w:t>NO</w:t>
      </w:r>
      <w:r w:rsidRPr="00B57EB9">
        <w:rPr>
          <w:vertAlign w:val="subscript"/>
          <w:lang w:val="en-PH"/>
        </w:rPr>
        <w:t>X</w:t>
      </w:r>
      <w:r w:rsidR="00B76951">
        <w:rPr>
          <w:lang w:val="en-PH"/>
        </w:rPr>
        <w:t xml:space="preserve">) </w:t>
      </w:r>
      <w:r>
        <w:rPr>
          <w:lang w:val="en-PH"/>
        </w:rPr>
        <w:t xml:space="preserve">and </w:t>
      </w:r>
      <w:r w:rsidR="00B76951">
        <w:rPr>
          <w:lang w:val="en-PH"/>
        </w:rPr>
        <w:t>volatile organic compounds (</w:t>
      </w:r>
      <w:r>
        <w:rPr>
          <w:lang w:val="en-PH"/>
        </w:rPr>
        <w:t>VOC</w:t>
      </w:r>
      <w:r w:rsidR="00B76951">
        <w:rPr>
          <w:lang w:val="en-PH"/>
        </w:rPr>
        <w:t>)</w:t>
      </w:r>
      <w:r>
        <w:rPr>
          <w:lang w:val="en-PH"/>
        </w:rPr>
        <w:t xml:space="preserve"> emissions</w:t>
      </w:r>
      <w:r>
        <w:rPr>
          <w:rStyle w:val="FootnoteReference"/>
          <w:lang w:val="en-PH"/>
        </w:rPr>
        <w:footnoteReference w:id="1"/>
      </w:r>
      <w:r>
        <w:rPr>
          <w:lang w:val="en-PH"/>
        </w:rPr>
        <w:t xml:space="preserve">. The assessment of costs and emission reductions </w:t>
      </w:r>
      <w:r w:rsidR="00503110">
        <w:rPr>
          <w:lang w:val="en-PH"/>
        </w:rPr>
        <w:t>was</w:t>
      </w:r>
      <w:r>
        <w:rPr>
          <w:lang w:val="en-PH"/>
        </w:rPr>
        <w:t xml:space="preserve"> based on publicly available data. The benefits </w:t>
      </w:r>
      <w:r w:rsidR="00503110">
        <w:rPr>
          <w:lang w:val="en-PH"/>
        </w:rPr>
        <w:t xml:space="preserve">were </w:t>
      </w:r>
      <w:r>
        <w:rPr>
          <w:lang w:val="en-PH"/>
        </w:rPr>
        <w:t>estimated based on data provided by the HRA.</w:t>
      </w:r>
    </w:p>
    <w:p w14:paraId="7D671141" w14:textId="62044039" w:rsidR="001B6724" w:rsidRDefault="001B6724" w:rsidP="00545975">
      <w:pPr>
        <w:pStyle w:val="BodyText"/>
        <w:rPr>
          <w:lang w:val="en-PH"/>
        </w:rPr>
      </w:pPr>
      <w:r w:rsidRPr="00545975">
        <w:rPr>
          <w:lang w:val="en-PH"/>
        </w:rPr>
        <w:t>The CBA builds on prior work commissioned by EPA Victoria, including a multi-criteria analysis (MCA) to select abatement measures</w:t>
      </w:r>
      <w:r w:rsidR="00545975">
        <w:rPr>
          <w:lang w:val="en-PH"/>
        </w:rPr>
        <w:t xml:space="preserve"> (the ‘</w:t>
      </w:r>
      <w:r w:rsidR="00746EDF">
        <w:rPr>
          <w:lang w:val="en-PH"/>
        </w:rPr>
        <w:t>Abatement Package</w:t>
      </w:r>
      <w:r w:rsidR="009074FB">
        <w:rPr>
          <w:lang w:val="en-PH"/>
        </w:rPr>
        <w:t xml:space="preserve"> scenario</w:t>
      </w:r>
      <w:r w:rsidR="00545975">
        <w:rPr>
          <w:lang w:val="en-PH"/>
        </w:rPr>
        <w:t>’)</w:t>
      </w:r>
      <w:r w:rsidRPr="00545975">
        <w:rPr>
          <w:lang w:val="en-PH"/>
        </w:rPr>
        <w:t>, and the development of a framework to estimate the health benefits associated with the reduction in pollutant concentrations.</w:t>
      </w:r>
      <w:r w:rsidR="008E1058">
        <w:rPr>
          <w:lang w:val="en-PH"/>
        </w:rPr>
        <w:t xml:space="preserve"> T</w:t>
      </w:r>
      <w:r w:rsidR="008E1058" w:rsidRPr="008E1058">
        <w:rPr>
          <w:lang w:val="en-PH"/>
        </w:rPr>
        <w:t xml:space="preserve">he </w:t>
      </w:r>
      <w:r w:rsidR="00746EDF">
        <w:rPr>
          <w:lang w:val="en-PH"/>
        </w:rPr>
        <w:t>Abatement Package</w:t>
      </w:r>
      <w:r w:rsidR="008E1058" w:rsidRPr="008E1058">
        <w:rPr>
          <w:lang w:val="en-PH"/>
        </w:rPr>
        <w:t xml:space="preserve"> </w:t>
      </w:r>
      <w:r w:rsidR="009074FB">
        <w:rPr>
          <w:lang w:val="en-PH"/>
        </w:rPr>
        <w:t xml:space="preserve">scenario </w:t>
      </w:r>
      <w:r w:rsidR="008E1058" w:rsidRPr="008E1058">
        <w:rPr>
          <w:lang w:val="en-PH"/>
        </w:rPr>
        <w:t xml:space="preserve">was selected </w:t>
      </w:r>
      <w:r w:rsidR="008E1058">
        <w:rPr>
          <w:lang w:val="en-PH"/>
        </w:rPr>
        <w:t xml:space="preserve">by </w:t>
      </w:r>
      <w:r w:rsidR="008E1058" w:rsidRPr="008E1058">
        <w:rPr>
          <w:lang w:val="en-PH"/>
        </w:rPr>
        <w:t>prioritising measures on the quantum of abatement</w:t>
      </w:r>
      <w:r w:rsidR="005D178A">
        <w:rPr>
          <w:lang w:val="en-PH"/>
        </w:rPr>
        <w:t xml:space="preserve"> (30 per cent weight)</w:t>
      </w:r>
      <w:r w:rsidR="008E1058" w:rsidRPr="008E1058">
        <w:rPr>
          <w:lang w:val="en-PH"/>
        </w:rPr>
        <w:t xml:space="preserve">, cost </w:t>
      </w:r>
      <w:r w:rsidR="005D178A">
        <w:rPr>
          <w:lang w:val="en-PH"/>
        </w:rPr>
        <w:t xml:space="preserve">(30 per cent weight) </w:t>
      </w:r>
      <w:r w:rsidR="008E1058" w:rsidRPr="008E1058">
        <w:rPr>
          <w:lang w:val="en-PH"/>
        </w:rPr>
        <w:t>and to a</w:t>
      </w:r>
      <w:r w:rsidR="008E1058">
        <w:rPr>
          <w:lang w:val="en-PH"/>
        </w:rPr>
        <w:t xml:space="preserve"> lesser degree health benefits</w:t>
      </w:r>
      <w:r w:rsidR="005D178A">
        <w:rPr>
          <w:lang w:val="en-PH"/>
        </w:rPr>
        <w:t xml:space="preserve"> (10 per cent weight)</w:t>
      </w:r>
      <w:r w:rsidR="008E1058">
        <w:rPr>
          <w:lang w:val="en-PH"/>
        </w:rPr>
        <w:t xml:space="preserve">. </w:t>
      </w:r>
      <w:r w:rsidR="00A630B5">
        <w:rPr>
          <w:lang w:val="en-PH"/>
        </w:rPr>
        <w:t>Other factors included reliability, targeting of costs to the source, timeframe for implementation, technological status, co-benefits and dis</w:t>
      </w:r>
      <w:r w:rsidR="00A630B5">
        <w:rPr>
          <w:lang w:val="en-PH"/>
        </w:rPr>
        <w:noBreakHyphen/>
        <w:t xml:space="preserve">benefits (5 per cent weight each). </w:t>
      </w:r>
      <w:r w:rsidR="008E1058">
        <w:rPr>
          <w:lang w:val="en-PH"/>
        </w:rPr>
        <w:t xml:space="preserve">This </w:t>
      </w:r>
      <w:r w:rsidR="008E1058" w:rsidRPr="008E1058">
        <w:rPr>
          <w:lang w:val="en-PH"/>
        </w:rPr>
        <w:t xml:space="preserve">resulted in the highest scores being given to </w:t>
      </w:r>
      <w:r w:rsidR="008E1058">
        <w:rPr>
          <w:lang w:val="en-PH"/>
        </w:rPr>
        <w:t xml:space="preserve">high cost </w:t>
      </w:r>
      <w:r w:rsidR="008E1058" w:rsidRPr="008E1058">
        <w:rPr>
          <w:lang w:val="en-PH"/>
        </w:rPr>
        <w:t xml:space="preserve">industry specific measures </w:t>
      </w:r>
      <w:r w:rsidR="008E1058">
        <w:rPr>
          <w:lang w:val="en-PH"/>
        </w:rPr>
        <w:t xml:space="preserve">to reduce </w:t>
      </w:r>
      <w:r w:rsidR="008E1058" w:rsidRPr="008E1058">
        <w:rPr>
          <w:lang w:val="en-PH"/>
        </w:rPr>
        <w:t>SO</w:t>
      </w:r>
      <w:r w:rsidR="00250838">
        <w:rPr>
          <w:vertAlign w:val="subscript"/>
          <w:lang w:val="en-PH"/>
        </w:rPr>
        <w:t>2</w:t>
      </w:r>
      <w:r w:rsidR="008E1058">
        <w:rPr>
          <w:lang w:val="en-PH"/>
        </w:rPr>
        <w:t xml:space="preserve"> and NO</w:t>
      </w:r>
      <w:r w:rsidR="00250838">
        <w:rPr>
          <w:vertAlign w:val="subscript"/>
          <w:lang w:val="en-PH"/>
        </w:rPr>
        <w:t>2</w:t>
      </w:r>
      <w:r w:rsidR="008E1058" w:rsidRPr="008E1058">
        <w:rPr>
          <w:lang w:val="en-PH"/>
        </w:rPr>
        <w:t xml:space="preserve"> in areas with low populations.</w:t>
      </w:r>
      <w:r>
        <w:rPr>
          <w:lang w:val="en-PH"/>
        </w:rPr>
        <w:t xml:space="preserve"> </w:t>
      </w:r>
      <w:r w:rsidR="008E1058">
        <w:rPr>
          <w:lang w:val="en-PH"/>
        </w:rPr>
        <w:t xml:space="preserve"> </w:t>
      </w:r>
    </w:p>
    <w:p w14:paraId="6D3E7FA1" w14:textId="5820B3FB" w:rsidR="006F2E67" w:rsidRDefault="001B6724" w:rsidP="001B6724">
      <w:pPr>
        <w:spacing w:after="200" w:line="276" w:lineRule="auto"/>
        <w:rPr>
          <w:lang w:val="en-PH"/>
        </w:rPr>
      </w:pPr>
      <w:r>
        <w:rPr>
          <w:lang w:val="en-PH"/>
        </w:rPr>
        <w:t>While the CBA estimates the costs and benefits of the ‘</w:t>
      </w:r>
      <w:r w:rsidR="00746EDF">
        <w:rPr>
          <w:lang w:val="en-PH"/>
        </w:rPr>
        <w:t>Abatement Package</w:t>
      </w:r>
      <w:r w:rsidR="009074FB">
        <w:rPr>
          <w:lang w:val="en-PH"/>
        </w:rPr>
        <w:t xml:space="preserve"> scenario</w:t>
      </w:r>
      <w:r>
        <w:rPr>
          <w:lang w:val="en-PH"/>
        </w:rPr>
        <w:t>’</w:t>
      </w:r>
      <w:r w:rsidR="00435FE1">
        <w:rPr>
          <w:lang w:val="en-PH"/>
        </w:rPr>
        <w:t xml:space="preserve"> at a national level</w:t>
      </w:r>
      <w:r>
        <w:rPr>
          <w:lang w:val="en-PH"/>
        </w:rPr>
        <w:t xml:space="preserve">, it does not </w:t>
      </w:r>
      <w:r w:rsidR="00132D05">
        <w:rPr>
          <w:lang w:val="en-PH"/>
        </w:rPr>
        <w:t xml:space="preserve">necessarily provide an indication of </w:t>
      </w:r>
      <w:r>
        <w:rPr>
          <w:lang w:val="en-PH"/>
        </w:rPr>
        <w:t xml:space="preserve">the likely costs and benefits of meeting alternative AAQ standards. </w:t>
      </w:r>
      <w:r w:rsidR="006F2E67">
        <w:rPr>
          <w:lang w:val="en-PH"/>
        </w:rPr>
        <w:t xml:space="preserve">This is because in practice, </w:t>
      </w:r>
      <w:r w:rsidR="009D4ADA">
        <w:rPr>
          <w:lang w:val="en-PH"/>
        </w:rPr>
        <w:t xml:space="preserve">while some measures to meet standards are implemented at a national level, </w:t>
      </w:r>
      <w:r w:rsidR="006F2E67">
        <w:rPr>
          <w:lang w:val="en-PH"/>
        </w:rPr>
        <w:t>i</w:t>
      </w:r>
      <w:r w:rsidR="00DE5D3E">
        <w:rPr>
          <w:lang w:val="en-PH"/>
        </w:rPr>
        <w:t>ndividual states and territory governments</w:t>
      </w:r>
      <w:r w:rsidR="009D4ADA">
        <w:rPr>
          <w:lang w:val="en-PH"/>
        </w:rPr>
        <w:t xml:space="preserve"> implement much of the regulation and policy designed to meet the standards in that state or </w:t>
      </w:r>
      <w:r w:rsidR="00DE5D3E">
        <w:rPr>
          <w:lang w:val="en-PH"/>
        </w:rPr>
        <w:t>territory</w:t>
      </w:r>
      <w:r w:rsidR="006F2E67">
        <w:rPr>
          <w:lang w:val="en-PH"/>
        </w:rPr>
        <w:t xml:space="preserve">. </w:t>
      </w:r>
      <w:r w:rsidR="008B3A6E">
        <w:rPr>
          <w:lang w:val="en-PH"/>
        </w:rPr>
        <w:t>As such</w:t>
      </w:r>
      <w:r w:rsidR="006F2E67">
        <w:rPr>
          <w:lang w:val="en-PH"/>
        </w:rPr>
        <w:t>, each jurisdiction assess</w:t>
      </w:r>
      <w:r w:rsidR="00825379">
        <w:rPr>
          <w:lang w:val="en-PH"/>
        </w:rPr>
        <w:t>es</w:t>
      </w:r>
      <w:r w:rsidR="006F2E67">
        <w:rPr>
          <w:lang w:val="en-PH"/>
        </w:rPr>
        <w:t xml:space="preserve"> and implement</w:t>
      </w:r>
      <w:r w:rsidR="00825379">
        <w:rPr>
          <w:lang w:val="en-PH"/>
        </w:rPr>
        <w:t>s</w:t>
      </w:r>
      <w:r w:rsidR="006F2E67">
        <w:rPr>
          <w:lang w:val="en-PH"/>
        </w:rPr>
        <w:t xml:space="preserve"> </w:t>
      </w:r>
      <w:r w:rsidR="006F2E67">
        <w:rPr>
          <w:lang w:val="en-PH"/>
        </w:rPr>
        <w:lastRenderedPageBreak/>
        <w:t xml:space="preserve">abatement measures following their own policy processes, which may include jurisdiction-specific CBAs and other analyses </w:t>
      </w:r>
      <w:r w:rsidR="00FE0B3F">
        <w:rPr>
          <w:lang w:val="en-PH"/>
        </w:rPr>
        <w:t>to select the most appropriate set of abatement measures</w:t>
      </w:r>
      <w:r w:rsidR="006F2E67">
        <w:rPr>
          <w:lang w:val="en-PH"/>
        </w:rPr>
        <w:t>.</w:t>
      </w:r>
    </w:p>
    <w:p w14:paraId="12676E12" w14:textId="77777777" w:rsidR="001B6724" w:rsidRDefault="001B6724" w:rsidP="00DB4968">
      <w:pPr>
        <w:pStyle w:val="Heading2"/>
        <w:rPr>
          <w:lang w:val="en-PH"/>
        </w:rPr>
      </w:pPr>
      <w:bookmarkStart w:id="6" w:name="_Toc518629880"/>
      <w:r w:rsidRPr="00DB4968">
        <w:t>Structure</w:t>
      </w:r>
      <w:r>
        <w:rPr>
          <w:lang w:val="en-PH"/>
        </w:rPr>
        <w:t xml:space="preserve"> of this report</w:t>
      </w:r>
      <w:bookmarkEnd w:id="6"/>
    </w:p>
    <w:p w14:paraId="24F661C9" w14:textId="77777777" w:rsidR="001B6724" w:rsidRPr="00075A7A" w:rsidRDefault="001B6724" w:rsidP="001B6724">
      <w:pPr>
        <w:pStyle w:val="BodyText"/>
        <w:rPr>
          <w:lang w:val="en-PH"/>
        </w:rPr>
      </w:pPr>
      <w:r>
        <w:rPr>
          <w:lang w:val="en-PH"/>
        </w:rPr>
        <w:t xml:space="preserve">The </w:t>
      </w:r>
      <w:r w:rsidRPr="00075A7A">
        <w:rPr>
          <w:lang w:val="en-PH"/>
        </w:rPr>
        <w:t>remainder of this report is structured as follows:</w:t>
      </w:r>
    </w:p>
    <w:p w14:paraId="1B122D2B" w14:textId="07CE540D" w:rsidR="001B6724" w:rsidRDefault="00075A7A" w:rsidP="001B6724">
      <w:pPr>
        <w:pStyle w:val="Bullet1"/>
        <w:rPr>
          <w:lang w:val="en-PH"/>
        </w:rPr>
      </w:pPr>
      <w:r w:rsidRPr="00075A7A">
        <w:rPr>
          <w:lang w:val="en-PH"/>
        </w:rPr>
        <w:t xml:space="preserve">Section </w:t>
      </w:r>
      <w:r>
        <w:rPr>
          <w:highlight w:val="yellow"/>
          <w:lang w:val="en-PH"/>
        </w:rPr>
        <w:fldChar w:fldCharType="begin"/>
      </w:r>
      <w:r>
        <w:rPr>
          <w:lang w:val="en-PH"/>
        </w:rPr>
        <w:instrText xml:space="preserve"> REF _Ref508461441 \r \h </w:instrText>
      </w:r>
      <w:r>
        <w:rPr>
          <w:highlight w:val="yellow"/>
          <w:lang w:val="en-PH"/>
        </w:rPr>
      </w:r>
      <w:r>
        <w:rPr>
          <w:highlight w:val="yellow"/>
          <w:lang w:val="en-PH"/>
        </w:rPr>
        <w:fldChar w:fldCharType="separate"/>
      </w:r>
      <w:r w:rsidR="00A50702">
        <w:rPr>
          <w:lang w:val="en-PH"/>
        </w:rPr>
        <w:t>3</w:t>
      </w:r>
      <w:r>
        <w:rPr>
          <w:highlight w:val="yellow"/>
          <w:lang w:val="en-PH"/>
        </w:rPr>
        <w:fldChar w:fldCharType="end"/>
      </w:r>
      <w:r>
        <w:rPr>
          <w:lang w:val="en-PH"/>
        </w:rPr>
        <w:t xml:space="preserve"> </w:t>
      </w:r>
      <w:r w:rsidR="001B6724">
        <w:rPr>
          <w:lang w:val="en-PH"/>
        </w:rPr>
        <w:t>outlines the methodology used to select abatement measures, and estimate costs and benefits.</w:t>
      </w:r>
    </w:p>
    <w:p w14:paraId="1B4396EF" w14:textId="3AF81041" w:rsidR="00634AA6" w:rsidRDefault="00075A7A" w:rsidP="001B6724">
      <w:pPr>
        <w:pStyle w:val="Bullet1"/>
        <w:rPr>
          <w:lang w:val="en-PH"/>
        </w:rPr>
      </w:pPr>
      <w:r>
        <w:rPr>
          <w:lang w:val="en-PH"/>
        </w:rPr>
        <w:t xml:space="preserve">Section </w:t>
      </w:r>
      <w:r w:rsidR="00634AA6">
        <w:rPr>
          <w:lang w:val="en-PH"/>
        </w:rPr>
        <w:fldChar w:fldCharType="begin"/>
      </w:r>
      <w:r w:rsidR="00634AA6">
        <w:rPr>
          <w:lang w:val="en-PH"/>
        </w:rPr>
        <w:instrText xml:space="preserve"> REF _Ref508461484 \r \h </w:instrText>
      </w:r>
      <w:r w:rsidR="00634AA6">
        <w:rPr>
          <w:lang w:val="en-PH"/>
        </w:rPr>
      </w:r>
      <w:r w:rsidR="00634AA6">
        <w:rPr>
          <w:lang w:val="en-PH"/>
        </w:rPr>
        <w:fldChar w:fldCharType="separate"/>
      </w:r>
      <w:r w:rsidR="00A50702">
        <w:rPr>
          <w:lang w:val="en-PH"/>
        </w:rPr>
        <w:t>4</w:t>
      </w:r>
      <w:r w:rsidR="00634AA6">
        <w:rPr>
          <w:lang w:val="en-PH"/>
        </w:rPr>
        <w:fldChar w:fldCharType="end"/>
      </w:r>
      <w:r w:rsidR="00634AA6">
        <w:rPr>
          <w:lang w:val="en-PH"/>
        </w:rPr>
        <w:t xml:space="preserve"> provides an estimate of the existing health burden </w:t>
      </w:r>
      <w:r w:rsidR="004D5BC9">
        <w:rPr>
          <w:lang w:val="en-PH"/>
        </w:rPr>
        <w:t>of SO</w:t>
      </w:r>
      <w:r w:rsidR="004D5BC9" w:rsidRPr="00733F33">
        <w:rPr>
          <w:vertAlign w:val="subscript"/>
          <w:lang w:val="en-PH"/>
        </w:rPr>
        <w:t>2</w:t>
      </w:r>
      <w:r w:rsidR="004D5BC9">
        <w:rPr>
          <w:lang w:val="en-PH"/>
        </w:rPr>
        <w:t>, NO</w:t>
      </w:r>
      <w:r w:rsidR="004D5BC9" w:rsidRPr="00733F33">
        <w:rPr>
          <w:vertAlign w:val="subscript"/>
          <w:lang w:val="en-PH"/>
        </w:rPr>
        <w:t>2</w:t>
      </w:r>
      <w:r w:rsidR="004D5BC9">
        <w:rPr>
          <w:lang w:val="en-PH"/>
        </w:rPr>
        <w:t xml:space="preserve"> and O</w:t>
      </w:r>
      <w:r w:rsidR="004D5BC9" w:rsidRPr="00733F33">
        <w:rPr>
          <w:vertAlign w:val="subscript"/>
          <w:lang w:val="en-PH"/>
        </w:rPr>
        <w:t>3</w:t>
      </w:r>
      <w:r w:rsidR="004D5BC9">
        <w:rPr>
          <w:lang w:val="en-PH"/>
        </w:rPr>
        <w:t xml:space="preserve"> </w:t>
      </w:r>
      <w:r w:rsidR="00634AA6">
        <w:rPr>
          <w:lang w:val="en-PH"/>
        </w:rPr>
        <w:t>in monetary terms.</w:t>
      </w:r>
    </w:p>
    <w:p w14:paraId="73378E11" w14:textId="2D23A0E2" w:rsidR="00634AA6" w:rsidRDefault="004D5BC9" w:rsidP="001B6724">
      <w:pPr>
        <w:pStyle w:val="Bullet1"/>
        <w:rPr>
          <w:lang w:val="en-PH"/>
        </w:rPr>
      </w:pPr>
      <w:r>
        <w:rPr>
          <w:lang w:val="en-PH"/>
        </w:rPr>
        <w:t xml:space="preserve">Section </w:t>
      </w:r>
      <w:r w:rsidR="002838E1">
        <w:rPr>
          <w:lang w:val="en-PH"/>
        </w:rPr>
        <w:fldChar w:fldCharType="begin"/>
      </w:r>
      <w:r w:rsidR="002838E1">
        <w:rPr>
          <w:lang w:val="en-PH"/>
        </w:rPr>
        <w:instrText xml:space="preserve"> REF _Ref508461535 \r \h </w:instrText>
      </w:r>
      <w:r w:rsidR="002838E1">
        <w:rPr>
          <w:lang w:val="en-PH"/>
        </w:rPr>
      </w:r>
      <w:r w:rsidR="002838E1">
        <w:rPr>
          <w:lang w:val="en-PH"/>
        </w:rPr>
        <w:fldChar w:fldCharType="separate"/>
      </w:r>
      <w:r w:rsidR="00A50702">
        <w:rPr>
          <w:lang w:val="en-PH"/>
        </w:rPr>
        <w:t>5</w:t>
      </w:r>
      <w:r w:rsidR="002838E1">
        <w:rPr>
          <w:lang w:val="en-PH"/>
        </w:rPr>
        <w:fldChar w:fldCharType="end"/>
      </w:r>
      <w:r w:rsidR="002838E1">
        <w:rPr>
          <w:lang w:val="en-PH"/>
        </w:rPr>
        <w:t xml:space="preserve"> presents </w:t>
      </w:r>
      <w:r w:rsidR="001B6724">
        <w:rPr>
          <w:lang w:val="en-PH"/>
        </w:rPr>
        <w:t>the CBA results</w:t>
      </w:r>
    </w:p>
    <w:p w14:paraId="235B9999" w14:textId="06BCDDA0" w:rsidR="001B6724" w:rsidRDefault="00454C61" w:rsidP="001B6724">
      <w:pPr>
        <w:pStyle w:val="Bullet1"/>
        <w:rPr>
          <w:lang w:val="en-PH"/>
        </w:rPr>
      </w:pPr>
      <w:r>
        <w:rPr>
          <w:lang w:val="en-PH"/>
        </w:rPr>
        <w:t xml:space="preserve">Section </w:t>
      </w:r>
      <w:r>
        <w:rPr>
          <w:lang w:val="en-PH"/>
        </w:rPr>
        <w:fldChar w:fldCharType="begin"/>
      </w:r>
      <w:r>
        <w:rPr>
          <w:lang w:val="en-PH"/>
        </w:rPr>
        <w:instrText xml:space="preserve"> REF _Ref508461549 \r \h </w:instrText>
      </w:r>
      <w:r>
        <w:rPr>
          <w:lang w:val="en-PH"/>
        </w:rPr>
      </w:r>
      <w:r>
        <w:rPr>
          <w:lang w:val="en-PH"/>
        </w:rPr>
        <w:fldChar w:fldCharType="separate"/>
      </w:r>
      <w:r w:rsidR="00A50702">
        <w:rPr>
          <w:lang w:val="en-PH"/>
        </w:rPr>
        <w:t>6</w:t>
      </w:r>
      <w:r>
        <w:rPr>
          <w:lang w:val="en-PH"/>
        </w:rPr>
        <w:fldChar w:fldCharType="end"/>
      </w:r>
      <w:r w:rsidR="001B6724">
        <w:rPr>
          <w:lang w:val="en-PH"/>
        </w:rPr>
        <w:t xml:space="preserve"> </w:t>
      </w:r>
      <w:r>
        <w:rPr>
          <w:lang w:val="en-PH"/>
        </w:rPr>
        <w:t xml:space="preserve">presents an analysis of </w:t>
      </w:r>
      <w:r w:rsidR="001B6724">
        <w:rPr>
          <w:lang w:val="en-PH"/>
        </w:rPr>
        <w:t xml:space="preserve">the sensitivity of results to different values </w:t>
      </w:r>
      <w:r w:rsidR="006169F0">
        <w:rPr>
          <w:lang w:val="en-PH"/>
        </w:rPr>
        <w:t xml:space="preserve">of </w:t>
      </w:r>
      <w:r w:rsidR="001B6724">
        <w:rPr>
          <w:lang w:val="en-PH"/>
        </w:rPr>
        <w:t>uncertain assumptions.</w:t>
      </w:r>
    </w:p>
    <w:p w14:paraId="0C20474B" w14:textId="062CBCE5" w:rsidR="001B6724" w:rsidRDefault="00454C61" w:rsidP="001B6724">
      <w:pPr>
        <w:pStyle w:val="Bullet1"/>
        <w:rPr>
          <w:lang w:val="en-PH"/>
        </w:rPr>
      </w:pPr>
      <w:r>
        <w:rPr>
          <w:lang w:val="en-PH"/>
        </w:rPr>
        <w:t xml:space="preserve">Section </w:t>
      </w:r>
      <w:r>
        <w:rPr>
          <w:highlight w:val="yellow"/>
          <w:lang w:val="en-PH"/>
        </w:rPr>
        <w:fldChar w:fldCharType="begin"/>
      </w:r>
      <w:r>
        <w:rPr>
          <w:lang w:val="en-PH"/>
        </w:rPr>
        <w:instrText xml:space="preserve"> REF _Ref508461577 \r \h </w:instrText>
      </w:r>
      <w:r>
        <w:rPr>
          <w:highlight w:val="yellow"/>
          <w:lang w:val="en-PH"/>
        </w:rPr>
      </w:r>
      <w:r>
        <w:rPr>
          <w:highlight w:val="yellow"/>
          <w:lang w:val="en-PH"/>
        </w:rPr>
        <w:fldChar w:fldCharType="separate"/>
      </w:r>
      <w:r w:rsidR="00A50702">
        <w:rPr>
          <w:lang w:val="en-PH"/>
        </w:rPr>
        <w:t>7</w:t>
      </w:r>
      <w:r>
        <w:rPr>
          <w:highlight w:val="yellow"/>
          <w:lang w:val="en-PH"/>
        </w:rPr>
        <w:fldChar w:fldCharType="end"/>
      </w:r>
      <w:r>
        <w:rPr>
          <w:lang w:val="en-PH"/>
        </w:rPr>
        <w:t xml:space="preserve"> </w:t>
      </w:r>
      <w:r w:rsidR="001B6724">
        <w:rPr>
          <w:lang w:val="en-PH"/>
        </w:rPr>
        <w:t xml:space="preserve">summarises the main findings of the study. </w:t>
      </w:r>
    </w:p>
    <w:p w14:paraId="7B244816" w14:textId="567A610F" w:rsidR="008F4247" w:rsidRDefault="008F4247" w:rsidP="001B6724">
      <w:pPr>
        <w:pStyle w:val="Bullet1"/>
        <w:rPr>
          <w:lang w:val="en-PH"/>
        </w:rPr>
      </w:pPr>
      <w:r>
        <w:rPr>
          <w:highlight w:val="yellow"/>
          <w:lang w:val="en-PH"/>
        </w:rPr>
        <w:fldChar w:fldCharType="begin"/>
      </w:r>
      <w:r>
        <w:rPr>
          <w:lang w:val="en-PH"/>
        </w:rPr>
        <w:instrText xml:space="preserve"> REF _Ref508396181 \h </w:instrText>
      </w:r>
      <w:r>
        <w:rPr>
          <w:highlight w:val="yellow"/>
          <w:lang w:val="en-PH"/>
        </w:rPr>
      </w:r>
      <w:r>
        <w:rPr>
          <w:highlight w:val="yellow"/>
          <w:lang w:val="en-PH"/>
        </w:rPr>
        <w:fldChar w:fldCharType="separate"/>
      </w:r>
      <w:r w:rsidR="00A50702">
        <w:t>Annexure</w:t>
      </w:r>
      <w:r w:rsidR="00A50702" w:rsidRPr="00A47DA3">
        <w:t xml:space="preserve"> </w:t>
      </w:r>
      <w:r w:rsidR="00A50702">
        <w:rPr>
          <w:noProof/>
        </w:rPr>
        <w:t>A</w:t>
      </w:r>
      <w:r>
        <w:rPr>
          <w:highlight w:val="yellow"/>
          <w:lang w:val="en-PH"/>
        </w:rPr>
        <w:fldChar w:fldCharType="end"/>
      </w:r>
      <w:r>
        <w:rPr>
          <w:lang w:val="en-PH"/>
        </w:rPr>
        <w:t xml:space="preserve"> provides an overview of the HRA process.</w:t>
      </w:r>
    </w:p>
    <w:p w14:paraId="4D5BD160" w14:textId="614461C1" w:rsidR="001B6724" w:rsidRDefault="006E4303" w:rsidP="001B6724">
      <w:pPr>
        <w:pStyle w:val="Bullet1"/>
        <w:rPr>
          <w:lang w:val="en-PH"/>
        </w:rPr>
      </w:pPr>
      <w:r>
        <w:rPr>
          <w:highlight w:val="yellow"/>
          <w:lang w:val="en-PH"/>
        </w:rPr>
        <w:fldChar w:fldCharType="begin"/>
      </w:r>
      <w:r>
        <w:rPr>
          <w:lang w:val="en-PH"/>
        </w:rPr>
        <w:instrText xml:space="preserve"> REF _Ref508451514 \h </w:instrText>
      </w:r>
      <w:r>
        <w:rPr>
          <w:highlight w:val="yellow"/>
          <w:lang w:val="en-PH"/>
        </w:rPr>
      </w:r>
      <w:r>
        <w:rPr>
          <w:highlight w:val="yellow"/>
          <w:lang w:val="en-PH"/>
        </w:rPr>
        <w:fldChar w:fldCharType="separate"/>
      </w:r>
      <w:r w:rsidR="00A50702">
        <w:t>Annexure</w:t>
      </w:r>
      <w:r w:rsidR="00A50702" w:rsidRPr="00A47DA3">
        <w:t xml:space="preserve"> </w:t>
      </w:r>
      <w:r w:rsidR="00A50702">
        <w:rPr>
          <w:noProof/>
        </w:rPr>
        <w:t>B</w:t>
      </w:r>
      <w:r>
        <w:rPr>
          <w:highlight w:val="yellow"/>
          <w:lang w:val="en-PH"/>
        </w:rPr>
        <w:fldChar w:fldCharType="end"/>
      </w:r>
      <w:r>
        <w:rPr>
          <w:lang w:val="en-PH"/>
        </w:rPr>
        <w:t xml:space="preserve"> provides detail on the damage cost approach, which is a technique used to estimate some of the health benefits</w:t>
      </w:r>
      <w:r w:rsidR="001B6724">
        <w:rPr>
          <w:lang w:val="en-PH"/>
        </w:rPr>
        <w:t>.</w:t>
      </w:r>
    </w:p>
    <w:p w14:paraId="567C3481" w14:textId="04941446" w:rsidR="001B6724" w:rsidRPr="00F31D71" w:rsidRDefault="0024060F" w:rsidP="001B6724">
      <w:pPr>
        <w:pStyle w:val="Bullet1"/>
        <w:rPr>
          <w:lang w:val="en-PH"/>
        </w:rPr>
      </w:pPr>
      <w:r>
        <w:rPr>
          <w:lang w:val="en-PH"/>
        </w:rPr>
        <w:fldChar w:fldCharType="begin"/>
      </w:r>
      <w:r>
        <w:rPr>
          <w:lang w:val="en-PH"/>
        </w:rPr>
        <w:instrText xml:space="preserve"> REF _Ref508395353 \h </w:instrText>
      </w:r>
      <w:r>
        <w:rPr>
          <w:lang w:val="en-PH"/>
        </w:rPr>
      </w:r>
      <w:r>
        <w:rPr>
          <w:lang w:val="en-PH"/>
        </w:rPr>
        <w:fldChar w:fldCharType="separate"/>
      </w:r>
      <w:r w:rsidR="00A50702">
        <w:t xml:space="preserve">Annexure </w:t>
      </w:r>
      <w:r w:rsidR="00A50702">
        <w:rPr>
          <w:noProof/>
        </w:rPr>
        <w:t>C</w:t>
      </w:r>
      <w:r>
        <w:rPr>
          <w:lang w:val="en-PH"/>
        </w:rPr>
        <w:fldChar w:fldCharType="end"/>
      </w:r>
      <w:r>
        <w:rPr>
          <w:lang w:val="en-PH"/>
        </w:rPr>
        <w:t xml:space="preserve"> </w:t>
      </w:r>
      <w:r w:rsidR="00B81403">
        <w:rPr>
          <w:lang w:val="en-PH"/>
        </w:rPr>
        <w:t xml:space="preserve">summarises </w:t>
      </w:r>
      <w:r>
        <w:rPr>
          <w:lang w:val="en-PH"/>
        </w:rPr>
        <w:t>the abatement measures, and thei</w:t>
      </w:r>
      <w:r w:rsidR="000F5B5B">
        <w:rPr>
          <w:lang w:val="en-PH"/>
        </w:rPr>
        <w:t>r costs and emission reductions</w:t>
      </w:r>
      <w:r w:rsidR="001B6724">
        <w:rPr>
          <w:lang w:val="en-PH"/>
        </w:rPr>
        <w:t>.</w:t>
      </w:r>
    </w:p>
    <w:p w14:paraId="75F71087" w14:textId="77777777" w:rsidR="001B6724" w:rsidRDefault="001B6724" w:rsidP="001B6724">
      <w:pPr>
        <w:spacing w:after="200" w:line="276" w:lineRule="auto"/>
        <w:rPr>
          <w:lang w:val="en-PH"/>
        </w:rPr>
      </w:pPr>
    </w:p>
    <w:p w14:paraId="2241F8D1" w14:textId="5BFFF94F" w:rsidR="001B6724" w:rsidRDefault="001B6724" w:rsidP="001B6724">
      <w:pPr>
        <w:spacing w:after="200" w:line="276" w:lineRule="auto"/>
        <w:rPr>
          <w:lang w:val="en-PH"/>
        </w:rPr>
      </w:pPr>
    </w:p>
    <w:p w14:paraId="57F32172" w14:textId="77777777" w:rsidR="001B6724" w:rsidRDefault="001B6724" w:rsidP="001B6724">
      <w:pPr>
        <w:spacing w:after="200" w:line="276" w:lineRule="auto"/>
        <w:rPr>
          <w:lang w:val="en-PH"/>
        </w:rPr>
      </w:pPr>
    </w:p>
    <w:p w14:paraId="2557031C" w14:textId="77777777" w:rsidR="001B6724" w:rsidRDefault="001B6724">
      <w:pPr>
        <w:spacing w:after="200" w:line="276" w:lineRule="auto"/>
        <w:rPr>
          <w:lang w:val="en-PH"/>
        </w:rPr>
      </w:pPr>
      <w:r>
        <w:rPr>
          <w:lang w:val="en-PH"/>
        </w:rPr>
        <w:br w:type="page"/>
      </w:r>
    </w:p>
    <w:p w14:paraId="161F03D8" w14:textId="79A585E3" w:rsidR="001B6724" w:rsidRDefault="00F9460A" w:rsidP="001B6724">
      <w:pPr>
        <w:pStyle w:val="Heading1"/>
        <w:rPr>
          <w:lang w:val="en-PH"/>
        </w:rPr>
      </w:pPr>
      <w:bookmarkStart w:id="7" w:name="_Ref508461441"/>
      <w:bookmarkStart w:id="8" w:name="_Toc518629881"/>
      <w:r>
        <w:rPr>
          <w:lang w:val="en-PH"/>
        </w:rPr>
        <w:lastRenderedPageBreak/>
        <w:t xml:space="preserve">Cost benefit analysis </w:t>
      </w:r>
      <w:r w:rsidR="001B6724">
        <w:rPr>
          <w:lang w:val="en-PH"/>
        </w:rPr>
        <w:t>methodology</w:t>
      </w:r>
      <w:bookmarkEnd w:id="7"/>
      <w:bookmarkEnd w:id="8"/>
    </w:p>
    <w:p w14:paraId="3EE33190" w14:textId="0B1C29CF" w:rsidR="001B6724" w:rsidRDefault="00C7124C" w:rsidP="00DB4968">
      <w:pPr>
        <w:pStyle w:val="Heading2"/>
        <w:rPr>
          <w:lang w:val="en-PH"/>
        </w:rPr>
      </w:pPr>
      <w:bookmarkStart w:id="9" w:name="_Toc518629882"/>
      <w:r>
        <w:t>Cost benefit analysis f</w:t>
      </w:r>
      <w:r w:rsidR="001B6724" w:rsidRPr="00DB4968">
        <w:t>ramework</w:t>
      </w:r>
      <w:bookmarkEnd w:id="9"/>
    </w:p>
    <w:p w14:paraId="2CF12EB7" w14:textId="39ADF4EB" w:rsidR="001B6724" w:rsidRDefault="001B6724" w:rsidP="001B6724">
      <w:pPr>
        <w:pStyle w:val="BodyText"/>
        <w:rPr>
          <w:lang w:val="en-PH"/>
        </w:rPr>
      </w:pPr>
      <w:r>
        <w:rPr>
          <w:lang w:val="en-PH"/>
        </w:rPr>
        <w:t xml:space="preserve">The CBA </w:t>
      </w:r>
      <w:r w:rsidR="001E5761">
        <w:rPr>
          <w:lang w:val="en-PH"/>
        </w:rPr>
        <w:t xml:space="preserve">considered </w:t>
      </w:r>
      <w:r>
        <w:rPr>
          <w:lang w:val="en-PH"/>
        </w:rPr>
        <w:t xml:space="preserve">the incremental costs and benefits of emission reductions associated with the implementation of the </w:t>
      </w:r>
      <w:r w:rsidR="00746EDF">
        <w:rPr>
          <w:lang w:val="en-PH"/>
        </w:rPr>
        <w:t>Abatement Package</w:t>
      </w:r>
      <w:r w:rsidR="009074FB">
        <w:rPr>
          <w:lang w:val="en-PH"/>
        </w:rPr>
        <w:t xml:space="preserve"> scenario</w:t>
      </w:r>
      <w:r>
        <w:rPr>
          <w:lang w:val="en-PH"/>
        </w:rPr>
        <w:t>. Costs represent the economic resource costs associated with the implementation of the abatement measures, which include:</w:t>
      </w:r>
    </w:p>
    <w:p w14:paraId="3B99EE4F" w14:textId="77777777" w:rsidR="001B6724" w:rsidRDefault="001B6724" w:rsidP="001B6724">
      <w:pPr>
        <w:pStyle w:val="Bullet1"/>
        <w:rPr>
          <w:lang w:val="en-PH"/>
        </w:rPr>
      </w:pPr>
      <w:r>
        <w:rPr>
          <w:lang w:val="en-PH"/>
        </w:rPr>
        <w:t>the incremental capital costs associated with upgrades to machinery, plant and equipment</w:t>
      </w:r>
    </w:p>
    <w:p w14:paraId="1B581FA6" w14:textId="75766A53" w:rsidR="001B6724" w:rsidRDefault="001B6724" w:rsidP="001B6724">
      <w:pPr>
        <w:pStyle w:val="Bullet1"/>
        <w:rPr>
          <w:lang w:val="en-PH"/>
        </w:rPr>
      </w:pPr>
      <w:r>
        <w:rPr>
          <w:lang w:val="en-PH"/>
        </w:rPr>
        <w:t>the incremental operating and maintenance costs</w:t>
      </w:r>
    </w:p>
    <w:p w14:paraId="5AD9E52A" w14:textId="26FD252B" w:rsidR="009163F6" w:rsidRDefault="009163F6" w:rsidP="001B6724">
      <w:pPr>
        <w:pStyle w:val="Bullet1"/>
        <w:rPr>
          <w:lang w:val="en-PH"/>
        </w:rPr>
      </w:pPr>
      <w:r>
        <w:rPr>
          <w:lang w:val="en-PH"/>
        </w:rPr>
        <w:t>administrative and compliance costs</w:t>
      </w:r>
    </w:p>
    <w:p w14:paraId="1EC2D9B4" w14:textId="26B3E2A4" w:rsidR="001B6724" w:rsidRDefault="001B6724" w:rsidP="001B6724">
      <w:pPr>
        <w:pStyle w:val="Bullet1"/>
        <w:rPr>
          <w:lang w:val="en-PH"/>
        </w:rPr>
      </w:pPr>
      <w:r>
        <w:rPr>
          <w:lang w:val="en-PH"/>
        </w:rPr>
        <w:t>any co-benefits or dis-benefits associated with the abatement measures (e.g. change</w:t>
      </w:r>
      <w:r w:rsidR="00BB0844">
        <w:rPr>
          <w:lang w:val="en-PH"/>
        </w:rPr>
        <w:t>s</w:t>
      </w:r>
      <w:r>
        <w:rPr>
          <w:lang w:val="en-PH"/>
        </w:rPr>
        <w:t xml:space="preserve"> to fuel consumption etc.), which offset or increase the costs respectively.</w:t>
      </w:r>
    </w:p>
    <w:p w14:paraId="3426A349" w14:textId="14B0958C" w:rsidR="001B6724" w:rsidRDefault="001B6724" w:rsidP="001B6724">
      <w:pPr>
        <w:pStyle w:val="BodyText"/>
        <w:rPr>
          <w:lang w:val="en-PH"/>
        </w:rPr>
      </w:pPr>
      <w:r>
        <w:rPr>
          <w:lang w:val="en-PH"/>
        </w:rPr>
        <w:t xml:space="preserve">Benefits </w:t>
      </w:r>
      <w:r w:rsidR="001E5761">
        <w:rPr>
          <w:lang w:val="en-PH"/>
        </w:rPr>
        <w:t xml:space="preserve">were </w:t>
      </w:r>
      <w:r>
        <w:rPr>
          <w:lang w:val="en-PH"/>
        </w:rPr>
        <w:t>valued based on the emission reductions achieved. A reduction in emissions is estimated to result in a change to pollutant concentrations, which in turn results in an overall improvement in health outcomes for the exposed population.</w:t>
      </w:r>
    </w:p>
    <w:p w14:paraId="2150EF5F" w14:textId="77777777" w:rsidR="001B6724" w:rsidRDefault="001B6724" w:rsidP="00DB4968">
      <w:pPr>
        <w:pStyle w:val="Heading2"/>
        <w:rPr>
          <w:lang w:val="en-PH"/>
        </w:rPr>
      </w:pPr>
      <w:bookmarkStart w:id="10" w:name="_Ref514337065"/>
      <w:bookmarkStart w:id="11" w:name="_Toc518629883"/>
      <w:r w:rsidRPr="00DB4968">
        <w:t>Scope</w:t>
      </w:r>
      <w:bookmarkEnd w:id="10"/>
      <w:bookmarkEnd w:id="11"/>
    </w:p>
    <w:p w14:paraId="68D64134" w14:textId="43E0C72B" w:rsidR="00773442" w:rsidRDefault="001B6724" w:rsidP="001B6724">
      <w:pPr>
        <w:pStyle w:val="BodyText"/>
        <w:rPr>
          <w:lang w:val="en-PH"/>
        </w:rPr>
      </w:pPr>
      <w:r>
        <w:rPr>
          <w:lang w:val="en-PH"/>
        </w:rPr>
        <w:t xml:space="preserve">The </w:t>
      </w:r>
      <w:r w:rsidR="0049237E">
        <w:rPr>
          <w:lang w:val="en-PH"/>
        </w:rPr>
        <w:t xml:space="preserve">geographical </w:t>
      </w:r>
      <w:r>
        <w:rPr>
          <w:lang w:val="en-PH"/>
        </w:rPr>
        <w:t xml:space="preserve">scope of the CBA </w:t>
      </w:r>
      <w:r w:rsidR="005C6CF1">
        <w:rPr>
          <w:lang w:val="en-PH"/>
        </w:rPr>
        <w:t xml:space="preserve">was </w:t>
      </w:r>
      <w:r>
        <w:rPr>
          <w:lang w:val="en-PH"/>
        </w:rPr>
        <w:t xml:space="preserve">limited to the airsheds for which air quality data were available, and those where the abatement measures </w:t>
      </w:r>
      <w:r w:rsidR="00503110">
        <w:rPr>
          <w:lang w:val="en-PH"/>
        </w:rPr>
        <w:t xml:space="preserve">were </w:t>
      </w:r>
      <w:r>
        <w:rPr>
          <w:lang w:val="en-PH"/>
        </w:rPr>
        <w:t>estimated to reduce emissions from the airshed. These include Sydney, Newcastle, Wollongong, Melbourne, Latrobe Valley, Brisbane, Perth, Adelaide and Darwin.</w:t>
      </w:r>
      <w:r w:rsidR="00773442">
        <w:rPr>
          <w:lang w:val="en-PH"/>
        </w:rPr>
        <w:t xml:space="preserve"> T</w:t>
      </w:r>
      <w:r>
        <w:rPr>
          <w:lang w:val="en-PH"/>
        </w:rPr>
        <w:t>he airsheds cover a large proportion of the Australian population (approximately 70 per cent) and the airsheds cover the parts of Australia with the highest po</w:t>
      </w:r>
      <w:r w:rsidR="00773442">
        <w:rPr>
          <w:lang w:val="en-PH"/>
        </w:rPr>
        <w:t>pulation density.</w:t>
      </w:r>
    </w:p>
    <w:p w14:paraId="316DC7CD" w14:textId="1F891423" w:rsidR="001B6724" w:rsidRDefault="001B6724" w:rsidP="001B6724">
      <w:pPr>
        <w:pStyle w:val="BodyText"/>
        <w:rPr>
          <w:lang w:val="en-PH"/>
        </w:rPr>
      </w:pPr>
      <w:r>
        <w:rPr>
          <w:lang w:val="en-PH"/>
        </w:rPr>
        <w:t>Implicitly, the CBA assumes that abatement measures target these airsheds</w:t>
      </w:r>
      <w:r w:rsidR="00C9104B">
        <w:rPr>
          <w:lang w:val="en-PH"/>
        </w:rPr>
        <w:t>. T</w:t>
      </w:r>
      <w:r>
        <w:rPr>
          <w:lang w:val="en-PH"/>
        </w:rPr>
        <w:t>herefore</w:t>
      </w:r>
      <w:r w:rsidR="00C9104B">
        <w:rPr>
          <w:lang w:val="en-PH"/>
        </w:rPr>
        <w:t>,</w:t>
      </w:r>
      <w:r>
        <w:rPr>
          <w:lang w:val="en-PH"/>
        </w:rPr>
        <w:t xml:space="preserve"> the estimates of costs </w:t>
      </w:r>
      <w:r w:rsidR="0003315A">
        <w:rPr>
          <w:lang w:val="en-PH"/>
        </w:rPr>
        <w:t xml:space="preserve">relate to </w:t>
      </w:r>
      <w:r>
        <w:rPr>
          <w:lang w:val="en-PH"/>
        </w:rPr>
        <w:t>abatement measures for sources in these airsheds</w:t>
      </w:r>
      <w:r w:rsidR="00564D87">
        <w:rPr>
          <w:lang w:val="en-PH"/>
        </w:rPr>
        <w:t>,</w:t>
      </w:r>
      <w:r>
        <w:rPr>
          <w:lang w:val="en-PH"/>
        </w:rPr>
        <w:t xml:space="preserve"> and </w:t>
      </w:r>
      <w:r w:rsidR="0003315A">
        <w:rPr>
          <w:lang w:val="en-PH"/>
        </w:rPr>
        <w:t xml:space="preserve">the estimate of benefits relates to reduced exposure for the </w:t>
      </w:r>
      <w:r>
        <w:rPr>
          <w:lang w:val="en-PH"/>
        </w:rPr>
        <w:t>population residing in these airsheds.</w:t>
      </w:r>
    </w:p>
    <w:p w14:paraId="5B96DBD0" w14:textId="0C48DB07" w:rsidR="001B6724" w:rsidRDefault="001B6724" w:rsidP="001B6724">
      <w:pPr>
        <w:pStyle w:val="BodyText"/>
        <w:rPr>
          <w:lang w:val="en-PH"/>
        </w:rPr>
      </w:pPr>
      <w:r>
        <w:rPr>
          <w:lang w:val="en-PH"/>
        </w:rPr>
        <w:t xml:space="preserve">The choice of airsheds with the highest population densities reflects that abatement measures are expected to </w:t>
      </w:r>
      <w:r w:rsidR="00931094">
        <w:rPr>
          <w:lang w:val="en-PH"/>
        </w:rPr>
        <w:t xml:space="preserve">be </w:t>
      </w:r>
      <w:r>
        <w:rPr>
          <w:lang w:val="en-PH"/>
        </w:rPr>
        <w:t xml:space="preserve">more economically efficient </w:t>
      </w:r>
      <w:r w:rsidR="004F5F32">
        <w:rPr>
          <w:lang w:val="en-PH"/>
        </w:rPr>
        <w:t>where the measures target sources located in areas of high population density</w:t>
      </w:r>
      <w:r>
        <w:rPr>
          <w:lang w:val="en-PH"/>
        </w:rPr>
        <w:t>. This is because the benefits of emission reduction are strongly correlated with population density.</w:t>
      </w:r>
    </w:p>
    <w:p w14:paraId="31DC1AE0" w14:textId="5FD83527" w:rsidR="001B6724" w:rsidRDefault="001B6724" w:rsidP="001B6724">
      <w:pPr>
        <w:pStyle w:val="BodyText"/>
        <w:rPr>
          <w:lang w:val="en-PH"/>
        </w:rPr>
      </w:pPr>
      <w:r>
        <w:rPr>
          <w:lang w:val="en-PH"/>
        </w:rPr>
        <w:t>The scope of pollutants is limited to the three gases that are the subject of this study (SO</w:t>
      </w:r>
      <w:r w:rsidRPr="00F144B7">
        <w:rPr>
          <w:vertAlign w:val="subscript"/>
          <w:lang w:val="en-PH"/>
        </w:rPr>
        <w:t>2</w:t>
      </w:r>
      <w:r>
        <w:rPr>
          <w:lang w:val="en-PH"/>
        </w:rPr>
        <w:t>, NO</w:t>
      </w:r>
      <w:r w:rsidRPr="00F144B7">
        <w:rPr>
          <w:vertAlign w:val="subscript"/>
          <w:lang w:val="en-PH"/>
        </w:rPr>
        <w:t>2</w:t>
      </w:r>
      <w:r>
        <w:rPr>
          <w:lang w:val="en-PH"/>
        </w:rPr>
        <w:t xml:space="preserve"> and O</w:t>
      </w:r>
      <w:r w:rsidRPr="00F144B7">
        <w:rPr>
          <w:vertAlign w:val="subscript"/>
          <w:lang w:val="en-PH"/>
        </w:rPr>
        <w:t>3</w:t>
      </w:r>
      <w:r>
        <w:rPr>
          <w:lang w:val="en-PH"/>
        </w:rPr>
        <w:t xml:space="preserve">) and </w:t>
      </w:r>
      <w:r w:rsidR="007F4B68">
        <w:rPr>
          <w:lang w:val="en-PH"/>
        </w:rPr>
        <w:t xml:space="preserve">primary emissions of </w:t>
      </w:r>
      <w:r>
        <w:rPr>
          <w:lang w:val="en-PH"/>
        </w:rPr>
        <w:t>PM</w:t>
      </w:r>
      <w:r w:rsidRPr="00F144B7">
        <w:rPr>
          <w:vertAlign w:val="subscript"/>
          <w:lang w:val="en-PH"/>
        </w:rPr>
        <w:t>2.5</w:t>
      </w:r>
      <w:r>
        <w:rPr>
          <w:lang w:val="en-PH"/>
        </w:rPr>
        <w:t xml:space="preserve">. The latter is included because </w:t>
      </w:r>
      <w:r w:rsidR="00913457">
        <w:rPr>
          <w:lang w:val="en-PH"/>
        </w:rPr>
        <w:t xml:space="preserve">one </w:t>
      </w:r>
      <w:r>
        <w:rPr>
          <w:lang w:val="en-PH"/>
        </w:rPr>
        <w:t xml:space="preserve">of the abatement measures </w:t>
      </w:r>
      <w:r w:rsidR="0001356D">
        <w:rPr>
          <w:lang w:val="en-PH"/>
        </w:rPr>
        <w:t xml:space="preserve">(reducing emissions from non-road diesel equipment) </w:t>
      </w:r>
      <w:r w:rsidR="00B2797E">
        <w:rPr>
          <w:lang w:val="en-PH"/>
        </w:rPr>
        <w:t xml:space="preserve">is </w:t>
      </w:r>
      <w:r>
        <w:rPr>
          <w:lang w:val="en-PH"/>
        </w:rPr>
        <w:t>expected to reduce PM</w:t>
      </w:r>
      <w:r w:rsidRPr="00287F1F">
        <w:rPr>
          <w:vertAlign w:val="subscript"/>
          <w:lang w:val="en-PH"/>
        </w:rPr>
        <w:t>2.5</w:t>
      </w:r>
      <w:r>
        <w:rPr>
          <w:lang w:val="en-PH"/>
        </w:rPr>
        <w:t xml:space="preserve"> emissions, and this is expected to deliver substantial benefits to human health because of the strong health evidence </w:t>
      </w:r>
      <w:r w:rsidR="003F24B7">
        <w:rPr>
          <w:lang w:val="en-PH"/>
        </w:rPr>
        <w:t xml:space="preserve">on </w:t>
      </w:r>
      <w:r>
        <w:rPr>
          <w:lang w:val="en-PH"/>
        </w:rPr>
        <w:t>the effects of PM</w:t>
      </w:r>
      <w:r w:rsidRPr="00287F1F">
        <w:rPr>
          <w:vertAlign w:val="subscript"/>
          <w:lang w:val="en-PH"/>
        </w:rPr>
        <w:t>2.5</w:t>
      </w:r>
      <w:r>
        <w:rPr>
          <w:lang w:val="en-PH"/>
        </w:rPr>
        <w:t>.</w:t>
      </w:r>
    </w:p>
    <w:p w14:paraId="63FFCA1B" w14:textId="047BF376" w:rsidR="001B6724" w:rsidRDefault="00CA5DF1" w:rsidP="00DB4968">
      <w:pPr>
        <w:pStyle w:val="Heading2"/>
        <w:rPr>
          <w:lang w:val="en-PH"/>
        </w:rPr>
      </w:pPr>
      <w:bookmarkStart w:id="12" w:name="_Toc518629884"/>
      <w:r>
        <w:rPr>
          <w:lang w:val="en-PH"/>
        </w:rPr>
        <w:t xml:space="preserve">Cost benefit analysis </w:t>
      </w:r>
      <w:r w:rsidR="001B6724" w:rsidRPr="00DB4968">
        <w:t>parameters</w:t>
      </w:r>
      <w:bookmarkEnd w:id="12"/>
    </w:p>
    <w:p w14:paraId="66F959A1" w14:textId="2C38721F" w:rsidR="001B6724" w:rsidRPr="00E25B0F" w:rsidRDefault="001B6724" w:rsidP="001B6724">
      <w:pPr>
        <w:pStyle w:val="BodyText"/>
        <w:rPr>
          <w:lang w:val="en-PH"/>
        </w:rPr>
      </w:pPr>
      <w:r>
        <w:rPr>
          <w:lang w:val="en-PH"/>
        </w:rPr>
        <w:t>The CBA has been conducted over a 20-year evaluation period (2021-2040), using a central social discount rate of 7 per cent</w:t>
      </w:r>
      <w:r w:rsidR="00DA293D">
        <w:rPr>
          <w:lang w:val="en-PH"/>
        </w:rPr>
        <w:t xml:space="preserve"> (real)</w:t>
      </w:r>
      <w:r>
        <w:rPr>
          <w:lang w:val="en-PH"/>
        </w:rPr>
        <w:t xml:space="preserve">, and sensitivity discount rates of 3 and 10 per cent </w:t>
      </w:r>
      <w:r w:rsidR="00DA293D">
        <w:rPr>
          <w:lang w:val="en-PH"/>
        </w:rPr>
        <w:t xml:space="preserve">(real) </w:t>
      </w:r>
      <w:r>
        <w:rPr>
          <w:lang w:val="en-PH"/>
        </w:rPr>
        <w:t xml:space="preserve">as per Australian Government guidance (OBPR, 2016). </w:t>
      </w:r>
    </w:p>
    <w:p w14:paraId="06F05DF1" w14:textId="77777777" w:rsidR="001B6724" w:rsidRDefault="001B6724" w:rsidP="00DB4968">
      <w:pPr>
        <w:pStyle w:val="Heading2"/>
        <w:rPr>
          <w:lang w:val="en-PH"/>
        </w:rPr>
      </w:pPr>
      <w:bookmarkStart w:id="13" w:name="_Toc518629885"/>
      <w:r w:rsidRPr="00DB4968">
        <w:t>Methodology</w:t>
      </w:r>
      <w:r>
        <w:rPr>
          <w:lang w:val="en-PH"/>
        </w:rPr>
        <w:t xml:space="preserve"> to estimates costs</w:t>
      </w:r>
      <w:bookmarkEnd w:id="13"/>
    </w:p>
    <w:p w14:paraId="4E50A1F8" w14:textId="77777777" w:rsidR="002027F9" w:rsidRDefault="002027F9" w:rsidP="002027F9">
      <w:pPr>
        <w:pStyle w:val="BodyText"/>
      </w:pPr>
      <w:r>
        <w:t>The costs of abatement were estimated by:</w:t>
      </w:r>
    </w:p>
    <w:p w14:paraId="06628283" w14:textId="0E53ADD8" w:rsidR="002027F9" w:rsidRDefault="002027F9" w:rsidP="002027F9">
      <w:pPr>
        <w:pStyle w:val="Bullet1"/>
      </w:pPr>
      <w:r>
        <w:t xml:space="preserve">identifying measures </w:t>
      </w:r>
      <w:r w:rsidRPr="002A0891">
        <w:t>that target sources of SO</w:t>
      </w:r>
      <w:r w:rsidR="000C24E8" w:rsidRPr="000C24E8">
        <w:rPr>
          <w:vertAlign w:val="subscript"/>
        </w:rPr>
        <w:t>X</w:t>
      </w:r>
      <w:r w:rsidRPr="002A0891">
        <w:t>, NO</w:t>
      </w:r>
      <w:r w:rsidR="000C24E8" w:rsidRPr="000C24E8">
        <w:rPr>
          <w:vertAlign w:val="subscript"/>
        </w:rPr>
        <w:t>X</w:t>
      </w:r>
      <w:r w:rsidRPr="002A0891">
        <w:t xml:space="preserve"> and </w:t>
      </w:r>
      <w:r w:rsidR="002A7B0A">
        <w:t xml:space="preserve">VOC </w:t>
      </w:r>
      <w:r w:rsidRPr="002A0891">
        <w:t>emissions</w:t>
      </w:r>
    </w:p>
    <w:p w14:paraId="0C357FC9" w14:textId="45D6C74E" w:rsidR="002027F9" w:rsidRDefault="002027F9" w:rsidP="002027F9">
      <w:pPr>
        <w:pStyle w:val="Bullet1"/>
      </w:pPr>
      <w:r>
        <w:t xml:space="preserve">selecting a preferred set of measures using </w:t>
      </w:r>
      <w:r w:rsidR="00712070">
        <w:t>MCA</w:t>
      </w:r>
    </w:p>
    <w:p w14:paraId="7B73EB3A" w14:textId="58362283" w:rsidR="002027F9" w:rsidRDefault="002027F9" w:rsidP="002027F9">
      <w:pPr>
        <w:pStyle w:val="Bullet1"/>
      </w:pPr>
      <w:r>
        <w:t>estimating the costs and emission reductions for measures</w:t>
      </w:r>
      <w:r w:rsidR="00712070">
        <w:t xml:space="preserve"> selected through </w:t>
      </w:r>
      <w:r w:rsidR="00B45C5B">
        <w:t xml:space="preserve">the </w:t>
      </w:r>
      <w:r w:rsidR="002272A1">
        <w:t>MCA</w:t>
      </w:r>
    </w:p>
    <w:p w14:paraId="29140C87" w14:textId="77777777" w:rsidR="002027F9" w:rsidRPr="00407075" w:rsidRDefault="002027F9" w:rsidP="002027F9">
      <w:pPr>
        <w:pStyle w:val="Bullet1"/>
      </w:pPr>
      <w:r>
        <w:t>calculating a present value (PV) of costs by pollutant and jurisdiction for use the CBA.</w:t>
      </w:r>
    </w:p>
    <w:p w14:paraId="013165A6" w14:textId="77777777" w:rsidR="005A5732" w:rsidRPr="008F0FA7" w:rsidRDefault="005A5732" w:rsidP="00DC012E">
      <w:pPr>
        <w:pStyle w:val="Heading3"/>
      </w:pPr>
      <w:bookmarkStart w:id="14" w:name="_Toc508222142"/>
      <w:r w:rsidRPr="008F0FA7">
        <w:lastRenderedPageBreak/>
        <w:t>Multi-</w:t>
      </w:r>
      <w:r>
        <w:t>c</w:t>
      </w:r>
      <w:r w:rsidRPr="008F0FA7">
        <w:t xml:space="preserve">riteria </w:t>
      </w:r>
      <w:r>
        <w:t>a</w:t>
      </w:r>
      <w:r w:rsidRPr="008F0FA7">
        <w:t>nalysis</w:t>
      </w:r>
      <w:bookmarkEnd w:id="14"/>
    </w:p>
    <w:p w14:paraId="5F15332C" w14:textId="19DB6A88" w:rsidR="005A5732" w:rsidRDefault="005A5732" w:rsidP="005A5732">
      <w:pPr>
        <w:pStyle w:val="BodyText"/>
      </w:pPr>
      <w:r>
        <w:t>A total of</w:t>
      </w:r>
      <w:r w:rsidR="002272A1">
        <w:t xml:space="preserve"> </w:t>
      </w:r>
      <w:r>
        <w:t>18 candidate abatement measures that target emission sources of the three pollutants were identified (</w:t>
      </w:r>
      <w:r w:rsidR="002272A1">
        <w:t xml:space="preserve">refer to </w:t>
      </w:r>
      <w:r w:rsidR="002272A1">
        <w:rPr>
          <w:highlight w:val="yellow"/>
        </w:rPr>
        <w:fldChar w:fldCharType="begin"/>
      </w:r>
      <w:r w:rsidR="002272A1">
        <w:instrText xml:space="preserve"> REF _Ref508395353 \h </w:instrText>
      </w:r>
      <w:r w:rsidR="002272A1">
        <w:rPr>
          <w:highlight w:val="yellow"/>
        </w:rPr>
      </w:r>
      <w:r w:rsidR="002272A1">
        <w:rPr>
          <w:highlight w:val="yellow"/>
        </w:rPr>
        <w:fldChar w:fldCharType="separate"/>
      </w:r>
      <w:r w:rsidR="00A50702">
        <w:t xml:space="preserve">Annexure </w:t>
      </w:r>
      <w:r w:rsidR="00A50702">
        <w:rPr>
          <w:noProof/>
        </w:rPr>
        <w:t>C</w:t>
      </w:r>
      <w:r w:rsidR="002272A1">
        <w:rPr>
          <w:highlight w:val="yellow"/>
        </w:rPr>
        <w:fldChar w:fldCharType="end"/>
      </w:r>
      <w:r>
        <w:t xml:space="preserve">). </w:t>
      </w:r>
      <w:r w:rsidR="003C4359">
        <w:t xml:space="preserve"> </w:t>
      </w:r>
      <w:r w:rsidR="00201D8F">
        <w:t xml:space="preserve">MCA </w:t>
      </w:r>
      <w:r>
        <w:t>was used to select nine final abatement measures in the CBA. Each measure was assessed in terms of:</w:t>
      </w:r>
    </w:p>
    <w:p w14:paraId="4B58FCB8" w14:textId="77777777" w:rsidR="005A5732" w:rsidRDefault="005A5732" w:rsidP="005A5732">
      <w:pPr>
        <w:pStyle w:val="Bullet1"/>
        <w:numPr>
          <w:ilvl w:val="0"/>
          <w:numId w:val="1"/>
        </w:numPr>
        <w:ind w:left="227" w:hanging="227"/>
      </w:pPr>
      <w:r>
        <w:t>effectiveness (whether the measure targets the pollutant for which the abatement is required, the quantum of possible abatement, and the reliability of the abatement)</w:t>
      </w:r>
    </w:p>
    <w:p w14:paraId="2FE40D11" w14:textId="4318F8F1" w:rsidR="005A5732" w:rsidRDefault="005A5732" w:rsidP="005A5732">
      <w:pPr>
        <w:pStyle w:val="Bullet1"/>
        <w:numPr>
          <w:ilvl w:val="0"/>
          <w:numId w:val="1"/>
        </w:numPr>
        <w:ind w:left="227" w:hanging="227"/>
      </w:pPr>
      <w:r>
        <w:t>efficiency (the marginal cost of the abatement</w:t>
      </w:r>
      <w:r w:rsidR="00201D8F">
        <w:t xml:space="preserve"> and the </w:t>
      </w:r>
      <w:r w:rsidR="003212C2">
        <w:t>likely health benefits</w:t>
      </w:r>
      <w:r>
        <w:t>)</w:t>
      </w:r>
    </w:p>
    <w:p w14:paraId="5AD60011" w14:textId="12E86CB2" w:rsidR="005A5732" w:rsidRDefault="005A5732" w:rsidP="005A5732">
      <w:pPr>
        <w:pStyle w:val="Bullet1"/>
        <w:numPr>
          <w:ilvl w:val="0"/>
          <w:numId w:val="1"/>
        </w:numPr>
        <w:ind w:left="227" w:hanging="227"/>
      </w:pPr>
      <w:r>
        <w:t>appropriateness (</w:t>
      </w:r>
      <w:r w:rsidR="00B94A1A">
        <w:t xml:space="preserve">whether the measure targets sources that </w:t>
      </w:r>
      <w:r w:rsidR="003212C2">
        <w:t>cause the greatest exposure</w:t>
      </w:r>
      <w:r>
        <w:t>)</w:t>
      </w:r>
    </w:p>
    <w:p w14:paraId="7ADA6AF3" w14:textId="417AF660" w:rsidR="004864DD" w:rsidRDefault="004864DD" w:rsidP="003C4359">
      <w:pPr>
        <w:pStyle w:val="BodyText"/>
        <w:rPr>
          <w:lang w:val="en-PH"/>
        </w:rPr>
      </w:pPr>
      <w:r>
        <w:rPr>
          <w:lang w:val="en-PH"/>
        </w:rPr>
        <w:t>T</w:t>
      </w:r>
      <w:r w:rsidRPr="008E1058">
        <w:rPr>
          <w:lang w:val="en-PH"/>
        </w:rPr>
        <w:t xml:space="preserve">he </w:t>
      </w:r>
      <w:r w:rsidR="00746EDF">
        <w:rPr>
          <w:lang w:val="en-PH"/>
        </w:rPr>
        <w:t>Abatement Package</w:t>
      </w:r>
      <w:r w:rsidRPr="008E1058">
        <w:rPr>
          <w:lang w:val="en-PH"/>
        </w:rPr>
        <w:t xml:space="preserve"> </w:t>
      </w:r>
      <w:r w:rsidR="009074FB">
        <w:rPr>
          <w:lang w:val="en-PH"/>
        </w:rPr>
        <w:t xml:space="preserve">scenario </w:t>
      </w:r>
      <w:r w:rsidRPr="008E1058">
        <w:rPr>
          <w:lang w:val="en-PH"/>
        </w:rPr>
        <w:t xml:space="preserve">was selected </w:t>
      </w:r>
      <w:r>
        <w:rPr>
          <w:lang w:val="en-PH"/>
        </w:rPr>
        <w:t xml:space="preserve">by </w:t>
      </w:r>
      <w:r w:rsidRPr="008E1058">
        <w:rPr>
          <w:lang w:val="en-PH"/>
        </w:rPr>
        <w:t>prioritising measures on the quantum of abatement</w:t>
      </w:r>
      <w:r>
        <w:rPr>
          <w:lang w:val="en-PH"/>
        </w:rPr>
        <w:t xml:space="preserve"> (30 per cent weight)</w:t>
      </w:r>
      <w:r w:rsidRPr="008E1058">
        <w:rPr>
          <w:lang w:val="en-PH"/>
        </w:rPr>
        <w:t xml:space="preserve">, cost </w:t>
      </w:r>
      <w:r>
        <w:rPr>
          <w:lang w:val="en-PH"/>
        </w:rPr>
        <w:t xml:space="preserve">(30 per cent weight) </w:t>
      </w:r>
      <w:r w:rsidRPr="008E1058">
        <w:rPr>
          <w:lang w:val="en-PH"/>
        </w:rPr>
        <w:t>and to a</w:t>
      </w:r>
      <w:r>
        <w:rPr>
          <w:lang w:val="en-PH"/>
        </w:rPr>
        <w:t xml:space="preserve"> lesser degree health benefits (10 per cent weight). Other factors included reliability, targeting of costs to the source, timeframe for implementation, technological status, co-benefits and dis</w:t>
      </w:r>
      <w:r>
        <w:rPr>
          <w:lang w:val="en-PH"/>
        </w:rPr>
        <w:noBreakHyphen/>
        <w:t xml:space="preserve">benefits (5 per cent weight each). </w:t>
      </w:r>
      <w:r w:rsidR="008F2E70">
        <w:rPr>
          <w:lang w:val="en-PH"/>
        </w:rPr>
        <w:t>These criteria were grouped into effectiveness (</w:t>
      </w:r>
      <w:r w:rsidR="00874405">
        <w:rPr>
          <w:lang w:val="en-PH"/>
        </w:rPr>
        <w:t xml:space="preserve">quantum of abatement and reliability), </w:t>
      </w:r>
      <w:r w:rsidR="003920F0">
        <w:rPr>
          <w:lang w:val="en-PH"/>
        </w:rPr>
        <w:t>efficiency (targeting, timeframe for implementation, technological status and cost</w:t>
      </w:r>
      <w:r w:rsidR="00440C5C">
        <w:rPr>
          <w:lang w:val="en-PH"/>
        </w:rPr>
        <w:t>) and appropriateness (direct health benefits, co-benefits and dis-benefits).</w:t>
      </w:r>
    </w:p>
    <w:p w14:paraId="68113D4C" w14:textId="5BA8DCAB" w:rsidR="003C4359" w:rsidRDefault="003C4359" w:rsidP="003C4359">
      <w:pPr>
        <w:pStyle w:val="BodyText"/>
        <w:rPr>
          <w:lang w:val="en-PH"/>
        </w:rPr>
      </w:pPr>
      <w:r>
        <w:rPr>
          <w:lang w:val="en-PH"/>
        </w:rPr>
        <w:t>Each of the abatement measures targets sources that contribute to levels of SO</w:t>
      </w:r>
      <w:r w:rsidRPr="002E288C">
        <w:rPr>
          <w:vertAlign w:val="subscript"/>
          <w:lang w:val="en-PH"/>
        </w:rPr>
        <w:t>2</w:t>
      </w:r>
      <w:r>
        <w:rPr>
          <w:lang w:val="en-PH"/>
        </w:rPr>
        <w:t>, NO</w:t>
      </w:r>
      <w:r w:rsidRPr="002E288C">
        <w:rPr>
          <w:vertAlign w:val="subscript"/>
          <w:lang w:val="en-PH"/>
        </w:rPr>
        <w:t>2</w:t>
      </w:r>
      <w:r>
        <w:rPr>
          <w:lang w:val="en-PH"/>
        </w:rPr>
        <w:t xml:space="preserve"> and/or O</w:t>
      </w:r>
      <w:r w:rsidRPr="002E288C">
        <w:rPr>
          <w:vertAlign w:val="subscript"/>
          <w:lang w:val="en-PH"/>
        </w:rPr>
        <w:t>3</w:t>
      </w:r>
      <w:r>
        <w:rPr>
          <w:lang w:val="en-PH"/>
        </w:rPr>
        <w:t xml:space="preserve"> in the atmosphere. The abatement measures that target SO</w:t>
      </w:r>
      <w:r w:rsidRPr="005265BC">
        <w:rPr>
          <w:vertAlign w:val="subscript"/>
          <w:lang w:val="en-PH"/>
        </w:rPr>
        <w:t>2</w:t>
      </w:r>
      <w:r>
        <w:rPr>
          <w:lang w:val="en-PH"/>
        </w:rPr>
        <w:t xml:space="preserve"> and NO</w:t>
      </w:r>
      <w:r w:rsidRPr="005265BC">
        <w:rPr>
          <w:vertAlign w:val="subscript"/>
          <w:lang w:val="en-PH"/>
        </w:rPr>
        <w:t>2</w:t>
      </w:r>
      <w:r>
        <w:rPr>
          <w:lang w:val="en-PH"/>
        </w:rPr>
        <w:t xml:space="preserve"> </w:t>
      </w:r>
      <w:r w:rsidR="00402F0E">
        <w:rPr>
          <w:lang w:val="en-PH"/>
        </w:rPr>
        <w:t xml:space="preserve">reductions </w:t>
      </w:r>
      <w:r>
        <w:rPr>
          <w:lang w:val="en-PH"/>
        </w:rPr>
        <w:t>result in incrementally lower emissions of SO</w:t>
      </w:r>
      <w:r w:rsidRPr="005265BC">
        <w:rPr>
          <w:vertAlign w:val="subscript"/>
          <w:lang w:val="en-PH"/>
        </w:rPr>
        <w:t>X</w:t>
      </w:r>
      <w:r>
        <w:rPr>
          <w:lang w:val="en-PH"/>
        </w:rPr>
        <w:t xml:space="preserve"> and NO</w:t>
      </w:r>
      <w:r w:rsidRPr="005265BC">
        <w:rPr>
          <w:vertAlign w:val="subscript"/>
          <w:lang w:val="en-PH"/>
        </w:rPr>
        <w:t>X</w:t>
      </w:r>
      <w:r>
        <w:rPr>
          <w:lang w:val="en-PH"/>
        </w:rPr>
        <w:t xml:space="preserve"> respectively. The abatement measures that target sources contributing to O</w:t>
      </w:r>
      <w:r w:rsidRPr="00922CA7">
        <w:rPr>
          <w:vertAlign w:val="subscript"/>
          <w:lang w:val="en-PH"/>
        </w:rPr>
        <w:t>3</w:t>
      </w:r>
      <w:r>
        <w:rPr>
          <w:lang w:val="en-PH"/>
        </w:rPr>
        <w:t xml:space="preserve"> concentrations target sources of VOC emissions, which </w:t>
      </w:r>
      <w:r w:rsidR="009B4A1F">
        <w:rPr>
          <w:lang w:val="en-PH"/>
        </w:rPr>
        <w:t>are a precursor that contribute</w:t>
      </w:r>
      <w:r>
        <w:rPr>
          <w:lang w:val="en-PH"/>
        </w:rPr>
        <w:t xml:space="preserve"> to O</w:t>
      </w:r>
      <w:r w:rsidRPr="00922CA7">
        <w:rPr>
          <w:vertAlign w:val="subscript"/>
          <w:lang w:val="en-PH"/>
        </w:rPr>
        <w:t>3</w:t>
      </w:r>
      <w:r>
        <w:rPr>
          <w:lang w:val="en-PH"/>
        </w:rPr>
        <w:t xml:space="preserve"> formation. Therefore, abatement measures for O</w:t>
      </w:r>
      <w:r w:rsidRPr="00163703">
        <w:rPr>
          <w:vertAlign w:val="subscript"/>
          <w:lang w:val="en-PH"/>
        </w:rPr>
        <w:t>3</w:t>
      </w:r>
      <w:r>
        <w:rPr>
          <w:lang w:val="en-PH"/>
        </w:rPr>
        <w:t xml:space="preserve"> result in incrementally lower emissions of VOC.</w:t>
      </w:r>
    </w:p>
    <w:p w14:paraId="5ECD8389" w14:textId="02740477" w:rsidR="005A5732" w:rsidRDefault="005A5732" w:rsidP="005A5732">
      <w:pPr>
        <w:pStyle w:val="Bullet1"/>
        <w:numPr>
          <w:ilvl w:val="0"/>
          <w:numId w:val="0"/>
        </w:numPr>
      </w:pPr>
      <w:r>
        <w:t xml:space="preserve">The </w:t>
      </w:r>
      <w:r w:rsidR="00BD6258">
        <w:t xml:space="preserve">MCA </w:t>
      </w:r>
      <w:r>
        <w:t>was developed</w:t>
      </w:r>
      <w:r w:rsidR="0092406A">
        <w:t xml:space="preserve"> as part of prior work commissioned by the EPA</w:t>
      </w:r>
      <w:r w:rsidR="00DD2D60">
        <w:t xml:space="preserve"> Victoria</w:t>
      </w:r>
      <w:r w:rsidR="0092406A">
        <w:t>,</w:t>
      </w:r>
      <w:r>
        <w:t xml:space="preserve"> with </w:t>
      </w:r>
      <w:r w:rsidR="00C42946">
        <w:t>contributions</w:t>
      </w:r>
      <w:r>
        <w:t xml:space="preserve"> from </w:t>
      </w:r>
      <w:r w:rsidR="0092406A">
        <w:t xml:space="preserve">Ernst &amp; Young, </w:t>
      </w:r>
      <w:r w:rsidR="00DC012E">
        <w:t>Pacific Environment</w:t>
      </w:r>
      <w:r w:rsidR="0092406A">
        <w:t xml:space="preserve"> and </w:t>
      </w:r>
      <w:r>
        <w:t>EPA Victoria. Each abatement measure was scored against each of the above criteria to calculate a total score.</w:t>
      </w:r>
    </w:p>
    <w:p w14:paraId="0D3C062D" w14:textId="77777777" w:rsidR="00BA6926" w:rsidRDefault="00BA6926" w:rsidP="00BA6926">
      <w:pPr>
        <w:pStyle w:val="Heading3"/>
      </w:pPr>
      <w:r>
        <w:t>Selected abatement measures</w:t>
      </w:r>
    </w:p>
    <w:p w14:paraId="52C592EF" w14:textId="479383B7" w:rsidR="00525D4B" w:rsidRDefault="00525D4B" w:rsidP="00525D4B">
      <w:pPr>
        <w:pStyle w:val="BodyText"/>
      </w:pPr>
      <w:r>
        <w:t xml:space="preserve">Preferred abatement measures were identified as those with the highest weighted score based on the criteria </w:t>
      </w:r>
      <w:r w:rsidR="00E508CD">
        <w:t xml:space="preserve">weights for </w:t>
      </w:r>
      <w:r>
        <w:t>effectiveness</w:t>
      </w:r>
      <w:r w:rsidR="00E508CD">
        <w:t xml:space="preserve"> (35 per cent)</w:t>
      </w:r>
      <w:r>
        <w:t xml:space="preserve">, efficiency </w:t>
      </w:r>
      <w:r w:rsidR="00E508CD">
        <w:t>(45</w:t>
      </w:r>
      <w:r w:rsidR="0034288B">
        <w:t xml:space="preserve"> p</w:t>
      </w:r>
      <w:r w:rsidR="00747AB1">
        <w:t>er</w:t>
      </w:r>
      <w:r w:rsidR="00E508CD">
        <w:t xml:space="preserve"> cent) </w:t>
      </w:r>
      <w:r>
        <w:t>and appropriateness</w:t>
      </w:r>
      <w:r w:rsidR="00E508CD">
        <w:t xml:space="preserve"> (20 per cent)</w:t>
      </w:r>
      <w:r>
        <w:t xml:space="preserve">. The top three abatement measures for each pollutant were endorsed by EPA Victoria </w:t>
      </w:r>
      <w:r w:rsidR="00A2240A">
        <w:t>for inclusion</w:t>
      </w:r>
      <w:r>
        <w:t xml:space="preserve"> in the CBA.</w:t>
      </w:r>
    </w:p>
    <w:p w14:paraId="00A2C993" w14:textId="7BBC1939" w:rsidR="00525D4B" w:rsidRPr="002A0891" w:rsidRDefault="00525D4B" w:rsidP="00525D4B">
      <w:pPr>
        <w:pStyle w:val="BodyText"/>
      </w:pPr>
      <w:r>
        <w:t xml:space="preserve">The nine measures with the highest score are shown in </w:t>
      </w:r>
      <w:r>
        <w:fldChar w:fldCharType="begin"/>
      </w:r>
      <w:r>
        <w:instrText xml:space="preserve"> REF _Ref507405180 \h </w:instrText>
      </w:r>
      <w:r>
        <w:fldChar w:fldCharType="separate"/>
      </w:r>
      <w:r w:rsidR="00A50702">
        <w:t xml:space="preserve">Table </w:t>
      </w:r>
      <w:r w:rsidR="00A50702">
        <w:rPr>
          <w:noProof/>
        </w:rPr>
        <w:t>3</w:t>
      </w:r>
      <w:r w:rsidR="00A50702">
        <w:noBreakHyphen/>
      </w:r>
      <w:r w:rsidR="00A50702">
        <w:rPr>
          <w:noProof/>
        </w:rPr>
        <w:t>1</w:t>
      </w:r>
      <w:r>
        <w:fldChar w:fldCharType="end"/>
      </w:r>
      <w:r>
        <w:t xml:space="preserve"> below. </w:t>
      </w:r>
      <w:r w:rsidR="000341A7">
        <w:t>T</w:t>
      </w:r>
      <w:r w:rsidR="000341A7" w:rsidRPr="002A0891">
        <w:t xml:space="preserve">wo </w:t>
      </w:r>
      <w:r w:rsidR="000341A7">
        <w:t xml:space="preserve">measures </w:t>
      </w:r>
      <w:r w:rsidR="000341A7" w:rsidRPr="002A0891">
        <w:t>target SO</w:t>
      </w:r>
      <w:r w:rsidR="00250838">
        <w:rPr>
          <w:vertAlign w:val="subscript"/>
        </w:rPr>
        <w:t>2</w:t>
      </w:r>
      <w:r w:rsidR="000341A7" w:rsidRPr="002A0891">
        <w:t>,</w:t>
      </w:r>
      <w:r w:rsidR="000341A7">
        <w:t xml:space="preserve"> </w:t>
      </w:r>
      <w:r w:rsidR="000341A7" w:rsidRPr="002A0891">
        <w:t>two target NO</w:t>
      </w:r>
      <w:r w:rsidR="00250838">
        <w:rPr>
          <w:vertAlign w:val="subscript"/>
        </w:rPr>
        <w:t>2</w:t>
      </w:r>
      <w:r w:rsidR="000341A7">
        <w:t>, t</w:t>
      </w:r>
      <w:r w:rsidRPr="002A0891">
        <w:t>hree target O</w:t>
      </w:r>
      <w:r w:rsidRPr="00E4012D">
        <w:rPr>
          <w:vertAlign w:val="subscript"/>
        </w:rPr>
        <w:t>3</w:t>
      </w:r>
      <w:r w:rsidRPr="002A0891">
        <w:t xml:space="preserve">, and one measure targets </w:t>
      </w:r>
      <w:r w:rsidR="00E4012D">
        <w:t>both NO</w:t>
      </w:r>
      <w:r w:rsidR="00250838">
        <w:rPr>
          <w:vertAlign w:val="subscript"/>
        </w:rPr>
        <w:t>2</w:t>
      </w:r>
      <w:r w:rsidR="00E4012D">
        <w:t xml:space="preserve"> and SO</w:t>
      </w:r>
      <w:r w:rsidR="00250838">
        <w:rPr>
          <w:vertAlign w:val="subscript"/>
        </w:rPr>
        <w:t>2</w:t>
      </w:r>
      <w:r w:rsidRPr="002A0891">
        <w:t>.</w:t>
      </w:r>
    </w:p>
    <w:p w14:paraId="001BAB5A" w14:textId="3A6B9936" w:rsidR="00525D4B" w:rsidRDefault="00525D4B" w:rsidP="00525D4B">
      <w:pPr>
        <w:pStyle w:val="Caption"/>
      </w:pPr>
      <w:bookmarkStart w:id="15" w:name="_Ref507405180"/>
      <w:bookmarkStart w:id="16" w:name="_Toc508222210"/>
      <w:bookmarkStart w:id="17" w:name="_Toc518629915"/>
      <w:bookmarkStart w:id="18" w:name="_Hlk508462287"/>
      <w:r>
        <w:t xml:space="preserve">Table </w:t>
      </w:r>
      <w:r>
        <w:fldChar w:fldCharType="begin"/>
      </w:r>
      <w:r>
        <w:instrText xml:space="preserve"> STYLEREF 1 \s </w:instrText>
      </w:r>
      <w:r>
        <w:fldChar w:fldCharType="separate"/>
      </w:r>
      <w:r w:rsidR="00A50702">
        <w:rPr>
          <w:noProof/>
        </w:rPr>
        <w:t>3</w:t>
      </w:r>
      <w:r>
        <w:fldChar w:fldCharType="end"/>
      </w:r>
      <w:r>
        <w:noBreakHyphen/>
      </w:r>
      <w:r>
        <w:fldChar w:fldCharType="begin"/>
      </w:r>
      <w:r>
        <w:instrText xml:space="preserve"> SEQ Table \* ARABIC \s 1 </w:instrText>
      </w:r>
      <w:r>
        <w:fldChar w:fldCharType="separate"/>
      </w:r>
      <w:r w:rsidR="00A50702">
        <w:rPr>
          <w:noProof/>
        </w:rPr>
        <w:t>1</w:t>
      </w:r>
      <w:r>
        <w:fldChar w:fldCharType="end"/>
      </w:r>
      <w:bookmarkEnd w:id="15"/>
      <w:r>
        <w:t xml:space="preserve"> Abatement measures selected for Cost-Benefit Analysis</w:t>
      </w:r>
      <w:bookmarkEnd w:id="16"/>
      <w:bookmarkEnd w:id="17"/>
    </w:p>
    <w:tbl>
      <w:tblPr>
        <w:tblStyle w:val="AureconTable4"/>
        <w:tblW w:w="5011" w:type="pct"/>
        <w:tblLayout w:type="fixed"/>
        <w:tblLook w:val="04A0" w:firstRow="1" w:lastRow="0" w:firstColumn="1" w:lastColumn="0" w:noHBand="0" w:noVBand="1"/>
      </w:tblPr>
      <w:tblGrid>
        <w:gridCol w:w="1168"/>
        <w:gridCol w:w="1380"/>
        <w:gridCol w:w="7102"/>
      </w:tblGrid>
      <w:tr w:rsidR="00525D4B" w:rsidRPr="00B4030F" w14:paraId="69DDAA4C" w14:textId="77777777" w:rsidTr="00DE64D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5" w:type="pct"/>
            <w:noWrap/>
            <w:hideMark/>
          </w:tcPr>
          <w:bookmarkEnd w:id="18"/>
          <w:p w14:paraId="40894FD9" w14:textId="77777777" w:rsidR="00525D4B" w:rsidRPr="00E80D83" w:rsidRDefault="00525D4B" w:rsidP="00263635">
            <w:pPr>
              <w:rPr>
                <w:rFonts w:eastAsia="Times New Roman"/>
                <w:bCs/>
                <w:lang w:val="en-AU" w:eastAsia="en-AU"/>
              </w:rPr>
            </w:pPr>
            <w:r w:rsidRPr="00E80D83">
              <w:rPr>
                <w:rFonts w:eastAsia="Times New Roman"/>
                <w:bCs/>
                <w:lang w:val="en-AU" w:eastAsia="en-AU"/>
              </w:rPr>
              <w:t>Pollutant</w:t>
            </w:r>
          </w:p>
        </w:tc>
        <w:tc>
          <w:tcPr>
            <w:tcW w:w="715" w:type="pct"/>
            <w:noWrap/>
            <w:hideMark/>
          </w:tcPr>
          <w:p w14:paraId="6EC906FD" w14:textId="77777777" w:rsidR="00525D4B" w:rsidRPr="00E80D83" w:rsidRDefault="00DE64D3" w:rsidP="00263635">
            <w:pPr>
              <w:cnfStyle w:val="100000000000" w:firstRow="1" w:lastRow="0" w:firstColumn="0" w:lastColumn="0" w:oddVBand="0" w:evenVBand="0" w:oddHBand="0" w:evenHBand="0" w:firstRowFirstColumn="0" w:firstRowLastColumn="0" w:lastRowFirstColumn="0" w:lastRowLastColumn="0"/>
              <w:rPr>
                <w:rFonts w:eastAsia="Times New Roman"/>
                <w:bCs/>
                <w:lang w:val="en-AU" w:eastAsia="en-AU"/>
              </w:rPr>
            </w:pPr>
            <w:r>
              <w:rPr>
                <w:rFonts w:eastAsia="Times New Roman"/>
                <w:bCs/>
                <w:lang w:val="en-AU" w:eastAsia="en-AU"/>
              </w:rPr>
              <w:t>Measure No.</w:t>
            </w:r>
          </w:p>
        </w:tc>
        <w:tc>
          <w:tcPr>
            <w:tcW w:w="3680" w:type="pct"/>
            <w:noWrap/>
            <w:hideMark/>
          </w:tcPr>
          <w:p w14:paraId="311E1378" w14:textId="77777777" w:rsidR="00525D4B" w:rsidRPr="00E80D83" w:rsidRDefault="00525D4B" w:rsidP="00263635">
            <w:pPr>
              <w:cnfStyle w:val="100000000000" w:firstRow="1" w:lastRow="0" w:firstColumn="0" w:lastColumn="0" w:oddVBand="0" w:evenVBand="0" w:oddHBand="0" w:evenHBand="0" w:firstRowFirstColumn="0" w:firstRowLastColumn="0" w:lastRowFirstColumn="0" w:lastRowLastColumn="0"/>
              <w:rPr>
                <w:rFonts w:eastAsia="Times New Roman"/>
                <w:bCs/>
                <w:lang w:val="en-AU" w:eastAsia="en-AU"/>
              </w:rPr>
            </w:pPr>
            <w:r w:rsidRPr="00E80D83">
              <w:rPr>
                <w:rFonts w:eastAsia="Times New Roman"/>
                <w:bCs/>
                <w:lang w:val="en-AU" w:eastAsia="en-AU"/>
              </w:rPr>
              <w:t>Abatement Description</w:t>
            </w:r>
          </w:p>
        </w:tc>
      </w:tr>
      <w:tr w:rsidR="006A71ED" w:rsidRPr="00B4030F" w14:paraId="2E8316E5" w14:textId="77777777" w:rsidTr="00DE64D3">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77DB1F4A" w14:textId="77777777" w:rsidR="006A71ED" w:rsidRPr="00B4030F" w:rsidRDefault="006A71ED" w:rsidP="006A71ED">
            <w:pPr>
              <w:rPr>
                <w:rFonts w:eastAsia="Times New Roman"/>
                <w:color w:val="000000"/>
                <w:lang w:val="en-AU" w:eastAsia="en-AU"/>
              </w:rPr>
            </w:pPr>
            <w:r w:rsidRPr="00B4030F">
              <w:rPr>
                <w:rFonts w:eastAsia="Times New Roman"/>
                <w:color w:val="000000"/>
                <w:lang w:val="en-AU" w:eastAsia="en-AU"/>
              </w:rPr>
              <w:t>SO</w:t>
            </w:r>
            <w:r w:rsidRPr="006A71ED">
              <w:rPr>
                <w:rFonts w:eastAsia="Times New Roman"/>
                <w:color w:val="000000"/>
                <w:vertAlign w:val="subscript"/>
                <w:lang w:val="en-AU" w:eastAsia="en-AU"/>
              </w:rPr>
              <w:t>2</w:t>
            </w:r>
          </w:p>
        </w:tc>
        <w:tc>
          <w:tcPr>
            <w:tcW w:w="715" w:type="pct"/>
            <w:noWrap/>
          </w:tcPr>
          <w:p w14:paraId="2C4C597D"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9</w:t>
            </w:r>
          </w:p>
        </w:tc>
        <w:tc>
          <w:tcPr>
            <w:tcW w:w="3680" w:type="pct"/>
            <w:noWrap/>
          </w:tcPr>
          <w:p w14:paraId="0811D0C7" w14:textId="6A0CABEE" w:rsidR="006A71ED" w:rsidRPr="00B4030F" w:rsidRDefault="0075020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Pr>
                <w:rFonts w:eastAsia="Times New Roman"/>
                <w:color w:val="000000"/>
                <w:lang w:val="en-AU" w:eastAsia="en-AU"/>
              </w:rPr>
              <w:t>De-SO</w:t>
            </w:r>
            <w:r w:rsidRPr="0075020D">
              <w:rPr>
                <w:rFonts w:eastAsia="Times New Roman"/>
                <w:color w:val="000000"/>
                <w:vertAlign w:val="subscript"/>
                <w:lang w:val="en-AU" w:eastAsia="en-AU"/>
              </w:rPr>
              <w:t>X</w:t>
            </w:r>
            <w:r w:rsidR="006A71ED" w:rsidRPr="00B4030F">
              <w:rPr>
                <w:rFonts w:eastAsia="Times New Roman"/>
                <w:color w:val="000000"/>
                <w:lang w:val="en-AU" w:eastAsia="en-AU"/>
              </w:rPr>
              <w:t xml:space="preserve"> and </w:t>
            </w:r>
            <w:r>
              <w:rPr>
                <w:rFonts w:eastAsia="Times New Roman"/>
                <w:color w:val="000000"/>
                <w:lang w:val="en-AU" w:eastAsia="en-AU"/>
              </w:rPr>
              <w:t>NO</w:t>
            </w:r>
            <w:r w:rsidRPr="0075020D">
              <w:rPr>
                <w:rFonts w:eastAsia="Times New Roman"/>
                <w:color w:val="000000"/>
                <w:vertAlign w:val="subscript"/>
                <w:lang w:val="en-AU" w:eastAsia="en-AU"/>
              </w:rPr>
              <w:t>X</w:t>
            </w:r>
            <w:r w:rsidR="003A08C1">
              <w:rPr>
                <w:rFonts w:eastAsia="Times New Roman"/>
                <w:color w:val="000000"/>
                <w:vertAlign w:val="subscript"/>
                <w:lang w:val="en-AU" w:eastAsia="en-AU"/>
              </w:rPr>
              <w:t>,</w:t>
            </w:r>
            <w:r w:rsidRPr="00B4030F">
              <w:rPr>
                <w:rFonts w:eastAsia="Times New Roman"/>
                <w:color w:val="000000"/>
                <w:lang w:val="en-AU" w:eastAsia="en-AU"/>
              </w:rPr>
              <w:t xml:space="preserve"> </w:t>
            </w:r>
            <w:r w:rsidR="006A71ED" w:rsidRPr="00B4030F">
              <w:rPr>
                <w:rFonts w:eastAsia="Times New Roman"/>
                <w:color w:val="000000"/>
                <w:lang w:val="en-AU" w:eastAsia="en-AU"/>
              </w:rPr>
              <w:t>for power stations</w:t>
            </w:r>
          </w:p>
        </w:tc>
      </w:tr>
      <w:tr w:rsidR="006A71ED" w:rsidRPr="00B4030F" w14:paraId="4DA7F610" w14:textId="77777777" w:rsidTr="00DE64D3">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7612164C" w14:textId="77777777" w:rsidR="006A71ED" w:rsidRPr="00B4030F" w:rsidRDefault="006A71ED" w:rsidP="006A71ED">
            <w:pPr>
              <w:rPr>
                <w:rFonts w:eastAsia="Times New Roman"/>
                <w:color w:val="000000"/>
                <w:lang w:val="en-AU" w:eastAsia="en-AU"/>
              </w:rPr>
            </w:pPr>
            <w:r w:rsidRPr="00B4030F">
              <w:rPr>
                <w:rFonts w:eastAsia="Times New Roman"/>
                <w:color w:val="000000"/>
                <w:lang w:val="en-AU" w:eastAsia="en-AU"/>
              </w:rPr>
              <w:t>SO</w:t>
            </w:r>
            <w:r w:rsidRPr="006A71ED">
              <w:rPr>
                <w:rFonts w:eastAsia="Times New Roman"/>
                <w:color w:val="000000"/>
                <w:vertAlign w:val="subscript"/>
                <w:lang w:val="en-AU" w:eastAsia="en-AU"/>
              </w:rPr>
              <w:t>2</w:t>
            </w:r>
          </w:p>
        </w:tc>
        <w:tc>
          <w:tcPr>
            <w:tcW w:w="715" w:type="pct"/>
            <w:noWrap/>
          </w:tcPr>
          <w:p w14:paraId="2EEE49E9"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14</w:t>
            </w:r>
          </w:p>
        </w:tc>
        <w:tc>
          <w:tcPr>
            <w:tcW w:w="3680" w:type="pct"/>
            <w:noWrap/>
          </w:tcPr>
          <w:p w14:paraId="0696437E"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De-</w:t>
            </w:r>
            <w:r w:rsidR="0075020D">
              <w:rPr>
                <w:rFonts w:eastAsia="Times New Roman"/>
                <w:color w:val="000000"/>
                <w:lang w:val="en-AU" w:eastAsia="en-AU"/>
              </w:rPr>
              <w:t>SO</w:t>
            </w:r>
            <w:r w:rsidR="0075020D" w:rsidRPr="0075020D">
              <w:rPr>
                <w:rFonts w:eastAsia="Times New Roman"/>
                <w:color w:val="000000"/>
                <w:vertAlign w:val="subscript"/>
                <w:lang w:val="en-AU" w:eastAsia="en-AU"/>
              </w:rPr>
              <w:t>X</w:t>
            </w:r>
            <w:r w:rsidRPr="00B4030F">
              <w:rPr>
                <w:rFonts w:eastAsia="Times New Roman"/>
                <w:color w:val="000000"/>
                <w:lang w:val="en-AU" w:eastAsia="en-AU"/>
              </w:rPr>
              <w:t xml:space="preserve"> at petrol refineries</w:t>
            </w:r>
          </w:p>
        </w:tc>
      </w:tr>
      <w:tr w:rsidR="006A71ED" w:rsidRPr="00B4030F" w14:paraId="22C8244A" w14:textId="77777777" w:rsidTr="00DE64D3">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3F97B3FB" w14:textId="77777777" w:rsidR="006A71ED" w:rsidRPr="00B4030F" w:rsidRDefault="006A71ED" w:rsidP="006A71ED">
            <w:pPr>
              <w:rPr>
                <w:rFonts w:eastAsia="Times New Roman"/>
                <w:color w:val="000000"/>
                <w:lang w:val="en-AU" w:eastAsia="en-AU"/>
              </w:rPr>
            </w:pPr>
            <w:r w:rsidRPr="00B4030F">
              <w:rPr>
                <w:rFonts w:eastAsia="Times New Roman"/>
                <w:color w:val="000000"/>
                <w:lang w:val="en-AU" w:eastAsia="en-AU"/>
              </w:rPr>
              <w:t>SO</w:t>
            </w:r>
            <w:r w:rsidRPr="006A71ED">
              <w:rPr>
                <w:rFonts w:eastAsia="Times New Roman"/>
                <w:color w:val="000000"/>
                <w:vertAlign w:val="subscript"/>
                <w:lang w:val="en-AU" w:eastAsia="en-AU"/>
              </w:rPr>
              <w:t>2</w:t>
            </w:r>
          </w:p>
        </w:tc>
        <w:tc>
          <w:tcPr>
            <w:tcW w:w="715" w:type="pct"/>
            <w:noWrap/>
          </w:tcPr>
          <w:p w14:paraId="39E07ACD"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15</w:t>
            </w:r>
          </w:p>
        </w:tc>
        <w:tc>
          <w:tcPr>
            <w:tcW w:w="3680" w:type="pct"/>
            <w:noWrap/>
          </w:tcPr>
          <w:p w14:paraId="73D3E369"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De-</w:t>
            </w:r>
            <w:r w:rsidR="0075020D">
              <w:rPr>
                <w:rFonts w:eastAsia="Times New Roman"/>
                <w:color w:val="000000"/>
                <w:lang w:val="en-AU" w:eastAsia="en-AU"/>
              </w:rPr>
              <w:t>SO</w:t>
            </w:r>
            <w:r w:rsidR="0075020D" w:rsidRPr="0075020D">
              <w:rPr>
                <w:rFonts w:eastAsia="Times New Roman"/>
                <w:color w:val="000000"/>
                <w:vertAlign w:val="subscript"/>
                <w:lang w:val="en-AU" w:eastAsia="en-AU"/>
              </w:rPr>
              <w:t>X</w:t>
            </w:r>
            <w:r w:rsidR="0075020D" w:rsidRPr="00B4030F">
              <w:rPr>
                <w:rFonts w:eastAsia="Times New Roman"/>
                <w:color w:val="000000"/>
                <w:lang w:val="en-AU" w:eastAsia="en-AU"/>
              </w:rPr>
              <w:t xml:space="preserve"> </w:t>
            </w:r>
            <w:r w:rsidRPr="00B4030F">
              <w:rPr>
                <w:rFonts w:eastAsia="Times New Roman"/>
                <w:color w:val="000000"/>
                <w:lang w:val="en-AU" w:eastAsia="en-AU"/>
              </w:rPr>
              <w:t>at iron and steel production facilities</w:t>
            </w:r>
          </w:p>
        </w:tc>
      </w:tr>
      <w:tr w:rsidR="006A71ED" w:rsidRPr="00B4030F" w14:paraId="54645056" w14:textId="77777777" w:rsidTr="00DE64D3">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7324E925" w14:textId="77777777" w:rsidR="006A71ED" w:rsidRPr="00B4030F" w:rsidRDefault="006A71ED" w:rsidP="006A71ED">
            <w:pPr>
              <w:rPr>
                <w:rFonts w:eastAsia="Times New Roman"/>
                <w:color w:val="000000"/>
                <w:lang w:val="en-AU" w:eastAsia="en-AU"/>
              </w:rPr>
            </w:pPr>
            <w:r w:rsidRPr="00B4030F">
              <w:rPr>
                <w:rFonts w:eastAsia="Times New Roman"/>
                <w:color w:val="000000"/>
                <w:lang w:val="en-AU" w:eastAsia="en-AU"/>
              </w:rPr>
              <w:t>NO</w:t>
            </w:r>
            <w:r w:rsidRPr="006A71ED">
              <w:rPr>
                <w:rFonts w:eastAsia="Times New Roman"/>
                <w:color w:val="000000"/>
                <w:vertAlign w:val="subscript"/>
                <w:lang w:val="en-AU" w:eastAsia="en-AU"/>
              </w:rPr>
              <w:t>2</w:t>
            </w:r>
          </w:p>
        </w:tc>
        <w:tc>
          <w:tcPr>
            <w:tcW w:w="715" w:type="pct"/>
            <w:noWrap/>
          </w:tcPr>
          <w:p w14:paraId="6A112E78"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9</w:t>
            </w:r>
          </w:p>
        </w:tc>
        <w:tc>
          <w:tcPr>
            <w:tcW w:w="3680" w:type="pct"/>
            <w:noWrap/>
          </w:tcPr>
          <w:p w14:paraId="30309F84" w14:textId="032CC5FF" w:rsidR="006A71ED" w:rsidRPr="00B4030F" w:rsidRDefault="001611A3"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Pr>
                <w:rFonts w:eastAsia="Times New Roman"/>
                <w:color w:val="000000"/>
                <w:lang w:val="en-AU" w:eastAsia="en-AU"/>
              </w:rPr>
              <w:t>De-SO</w:t>
            </w:r>
            <w:r w:rsidRPr="0075020D">
              <w:rPr>
                <w:rFonts w:eastAsia="Times New Roman"/>
                <w:color w:val="000000"/>
                <w:vertAlign w:val="subscript"/>
                <w:lang w:val="en-AU" w:eastAsia="en-AU"/>
              </w:rPr>
              <w:t>X</w:t>
            </w:r>
            <w:r w:rsidRPr="00B4030F">
              <w:rPr>
                <w:rFonts w:eastAsia="Times New Roman"/>
                <w:color w:val="000000"/>
                <w:lang w:val="en-AU" w:eastAsia="en-AU"/>
              </w:rPr>
              <w:t xml:space="preserve"> and </w:t>
            </w:r>
            <w:r w:rsidR="0075020D">
              <w:rPr>
                <w:rFonts w:eastAsia="Times New Roman"/>
                <w:color w:val="000000"/>
                <w:lang w:val="en-AU" w:eastAsia="en-AU"/>
              </w:rPr>
              <w:t>NO</w:t>
            </w:r>
            <w:r w:rsidR="0075020D" w:rsidRPr="0075020D">
              <w:rPr>
                <w:rFonts w:eastAsia="Times New Roman"/>
                <w:color w:val="000000"/>
                <w:vertAlign w:val="subscript"/>
                <w:lang w:val="en-AU" w:eastAsia="en-AU"/>
              </w:rPr>
              <w:t>X</w:t>
            </w:r>
            <w:r w:rsidR="003A08C1">
              <w:rPr>
                <w:rFonts w:eastAsia="Times New Roman"/>
                <w:color w:val="000000"/>
                <w:vertAlign w:val="subscript"/>
                <w:lang w:val="en-AU" w:eastAsia="en-AU"/>
              </w:rPr>
              <w:t>,</w:t>
            </w:r>
            <w:r w:rsidR="006A71ED" w:rsidRPr="00B4030F">
              <w:rPr>
                <w:rFonts w:eastAsia="Times New Roman"/>
                <w:color w:val="000000"/>
                <w:lang w:val="en-AU" w:eastAsia="en-AU"/>
              </w:rPr>
              <w:t xml:space="preserve"> for power stations</w:t>
            </w:r>
          </w:p>
        </w:tc>
      </w:tr>
      <w:tr w:rsidR="006A71ED" w:rsidRPr="00B4030F" w14:paraId="603299B1" w14:textId="77777777" w:rsidTr="00DE64D3">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276AD4BA" w14:textId="77777777" w:rsidR="006A71ED" w:rsidRPr="00B4030F" w:rsidRDefault="006A71ED" w:rsidP="006A71ED">
            <w:pPr>
              <w:rPr>
                <w:rFonts w:eastAsia="Times New Roman"/>
                <w:color w:val="000000"/>
                <w:lang w:val="en-AU" w:eastAsia="en-AU"/>
              </w:rPr>
            </w:pPr>
            <w:r w:rsidRPr="00B4030F">
              <w:rPr>
                <w:rFonts w:eastAsia="Times New Roman"/>
                <w:color w:val="000000"/>
                <w:lang w:val="en-AU" w:eastAsia="en-AU"/>
              </w:rPr>
              <w:t>NO</w:t>
            </w:r>
            <w:r w:rsidRPr="006A71ED">
              <w:rPr>
                <w:rFonts w:eastAsia="Times New Roman"/>
                <w:color w:val="000000"/>
                <w:vertAlign w:val="subscript"/>
                <w:lang w:val="en-AU" w:eastAsia="en-AU"/>
              </w:rPr>
              <w:t>2</w:t>
            </w:r>
          </w:p>
        </w:tc>
        <w:tc>
          <w:tcPr>
            <w:tcW w:w="715" w:type="pct"/>
            <w:noWrap/>
          </w:tcPr>
          <w:p w14:paraId="486FA31C"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6</w:t>
            </w:r>
          </w:p>
        </w:tc>
        <w:tc>
          <w:tcPr>
            <w:tcW w:w="3680" w:type="pct"/>
            <w:noWrap/>
          </w:tcPr>
          <w:p w14:paraId="7DD14435" w14:textId="4D104CC0" w:rsidR="006A71ED" w:rsidRPr="00B4030F" w:rsidRDefault="00991D90"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Pr>
                <w:rFonts w:eastAsia="Times New Roman"/>
                <w:color w:val="000000"/>
                <w:lang w:val="en-AU" w:eastAsia="en-AU"/>
              </w:rPr>
              <w:t>Non-road diesel engine</w:t>
            </w:r>
            <w:r w:rsidR="006A71ED" w:rsidRPr="00B4030F">
              <w:rPr>
                <w:rFonts w:eastAsia="Times New Roman"/>
                <w:color w:val="000000"/>
                <w:lang w:val="en-AU" w:eastAsia="en-AU"/>
              </w:rPr>
              <w:t xml:space="preserve"> standards</w:t>
            </w:r>
          </w:p>
        </w:tc>
      </w:tr>
      <w:tr w:rsidR="006A71ED" w:rsidRPr="00B4030F" w14:paraId="615401B0" w14:textId="77777777" w:rsidTr="00DE64D3">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103EFFA2" w14:textId="77777777" w:rsidR="006A71ED" w:rsidRPr="00B4030F" w:rsidRDefault="006A71ED" w:rsidP="006A71ED">
            <w:pPr>
              <w:rPr>
                <w:rFonts w:eastAsia="Times New Roman"/>
                <w:color w:val="000000"/>
                <w:lang w:val="en-AU" w:eastAsia="en-AU"/>
              </w:rPr>
            </w:pPr>
            <w:r w:rsidRPr="00B4030F">
              <w:rPr>
                <w:rFonts w:eastAsia="Times New Roman"/>
                <w:color w:val="000000"/>
                <w:lang w:val="en-AU" w:eastAsia="en-AU"/>
              </w:rPr>
              <w:t>NO</w:t>
            </w:r>
            <w:r w:rsidRPr="006A71ED">
              <w:rPr>
                <w:rFonts w:eastAsia="Times New Roman"/>
                <w:color w:val="000000"/>
                <w:vertAlign w:val="subscript"/>
                <w:lang w:val="en-AU" w:eastAsia="en-AU"/>
              </w:rPr>
              <w:t>2</w:t>
            </w:r>
          </w:p>
        </w:tc>
        <w:tc>
          <w:tcPr>
            <w:tcW w:w="715" w:type="pct"/>
            <w:noWrap/>
          </w:tcPr>
          <w:p w14:paraId="5BE1A5A5"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13</w:t>
            </w:r>
          </w:p>
        </w:tc>
        <w:tc>
          <w:tcPr>
            <w:tcW w:w="3680" w:type="pct"/>
            <w:noWrap/>
          </w:tcPr>
          <w:p w14:paraId="7A9C82D4"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 xml:space="preserve">Industry </w:t>
            </w:r>
            <w:r w:rsidR="0075020D">
              <w:rPr>
                <w:rFonts w:eastAsia="Times New Roman"/>
                <w:color w:val="000000"/>
                <w:lang w:val="en-AU" w:eastAsia="en-AU"/>
              </w:rPr>
              <w:t>NO</w:t>
            </w:r>
            <w:r w:rsidR="0075020D" w:rsidRPr="0075020D">
              <w:rPr>
                <w:rFonts w:eastAsia="Times New Roman"/>
                <w:color w:val="000000"/>
                <w:vertAlign w:val="subscript"/>
                <w:lang w:val="en-AU" w:eastAsia="en-AU"/>
              </w:rPr>
              <w:t>X</w:t>
            </w:r>
            <w:r w:rsidR="0075020D" w:rsidRPr="00B4030F">
              <w:rPr>
                <w:rFonts w:eastAsia="Times New Roman"/>
                <w:color w:val="000000"/>
                <w:lang w:val="en-AU" w:eastAsia="en-AU"/>
              </w:rPr>
              <w:t xml:space="preserve"> </w:t>
            </w:r>
            <w:r w:rsidRPr="00B4030F">
              <w:rPr>
                <w:rFonts w:eastAsia="Times New Roman"/>
                <w:color w:val="000000"/>
                <w:lang w:val="en-AU" w:eastAsia="en-AU"/>
              </w:rPr>
              <w:t>control technology (cement, iron and steel, and aluminium industries)</w:t>
            </w:r>
          </w:p>
        </w:tc>
      </w:tr>
      <w:tr w:rsidR="006A71ED" w:rsidRPr="00B4030F" w14:paraId="7F58B668" w14:textId="77777777" w:rsidTr="00DE64D3">
        <w:trPr>
          <w:trHeight w:val="255"/>
        </w:trPr>
        <w:tc>
          <w:tcPr>
            <w:cnfStyle w:val="001000000000" w:firstRow="0" w:lastRow="0" w:firstColumn="1" w:lastColumn="0" w:oddVBand="0" w:evenVBand="0" w:oddHBand="0" w:evenHBand="0" w:firstRowFirstColumn="0" w:firstRowLastColumn="0" w:lastRowFirstColumn="0" w:lastRowLastColumn="0"/>
            <w:tcW w:w="605" w:type="pct"/>
            <w:noWrap/>
            <w:hideMark/>
          </w:tcPr>
          <w:p w14:paraId="6ED1B4BF" w14:textId="77777777" w:rsidR="006A71ED" w:rsidRPr="00B4030F" w:rsidRDefault="006A71ED" w:rsidP="006A71ED">
            <w:pPr>
              <w:rPr>
                <w:rFonts w:eastAsia="Times New Roman"/>
                <w:color w:val="000000"/>
                <w:lang w:val="en-AU" w:eastAsia="en-AU"/>
              </w:rPr>
            </w:pPr>
            <w:r w:rsidRPr="00B4030F">
              <w:rPr>
                <w:rFonts w:eastAsia="Times New Roman"/>
                <w:color w:val="000000"/>
                <w:lang w:val="en-AU" w:eastAsia="en-AU"/>
              </w:rPr>
              <w:t>O</w:t>
            </w:r>
            <w:r w:rsidRPr="006A71ED">
              <w:rPr>
                <w:rFonts w:eastAsia="Times New Roman"/>
                <w:color w:val="000000"/>
                <w:vertAlign w:val="subscript"/>
                <w:lang w:val="en-AU" w:eastAsia="en-AU"/>
              </w:rPr>
              <w:t>3</w:t>
            </w:r>
          </w:p>
        </w:tc>
        <w:tc>
          <w:tcPr>
            <w:tcW w:w="715" w:type="pct"/>
            <w:noWrap/>
            <w:hideMark/>
          </w:tcPr>
          <w:p w14:paraId="7E0FEE3B"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1</w:t>
            </w:r>
          </w:p>
        </w:tc>
        <w:tc>
          <w:tcPr>
            <w:tcW w:w="3680" w:type="pct"/>
            <w:noWrap/>
            <w:hideMark/>
          </w:tcPr>
          <w:p w14:paraId="44334E89"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On-board refuelling vapor recovery</w:t>
            </w:r>
          </w:p>
        </w:tc>
      </w:tr>
      <w:tr w:rsidR="006A71ED" w:rsidRPr="00B4030F" w14:paraId="1DA15716" w14:textId="77777777" w:rsidTr="00DE64D3">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095AAF6B" w14:textId="77777777" w:rsidR="006A71ED" w:rsidRPr="00B4030F" w:rsidRDefault="006A71ED" w:rsidP="006A71ED">
            <w:pPr>
              <w:rPr>
                <w:rFonts w:eastAsia="Times New Roman"/>
                <w:color w:val="000000"/>
                <w:lang w:val="en-AU" w:eastAsia="en-AU"/>
              </w:rPr>
            </w:pPr>
            <w:r w:rsidRPr="00B4030F">
              <w:rPr>
                <w:rFonts w:eastAsia="Times New Roman"/>
                <w:color w:val="000000"/>
                <w:lang w:val="en-AU" w:eastAsia="en-AU"/>
              </w:rPr>
              <w:t>O</w:t>
            </w:r>
            <w:r w:rsidRPr="006A71ED">
              <w:rPr>
                <w:rFonts w:eastAsia="Times New Roman"/>
                <w:color w:val="000000"/>
                <w:vertAlign w:val="subscript"/>
                <w:lang w:val="en-AU" w:eastAsia="en-AU"/>
              </w:rPr>
              <w:t>3</w:t>
            </w:r>
          </w:p>
        </w:tc>
        <w:tc>
          <w:tcPr>
            <w:tcW w:w="715" w:type="pct"/>
            <w:noWrap/>
          </w:tcPr>
          <w:p w14:paraId="77084441"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10</w:t>
            </w:r>
          </w:p>
        </w:tc>
        <w:tc>
          <w:tcPr>
            <w:tcW w:w="3680" w:type="pct"/>
            <w:noWrap/>
          </w:tcPr>
          <w:p w14:paraId="132F6E26"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Surface coating standards</w:t>
            </w:r>
          </w:p>
        </w:tc>
      </w:tr>
      <w:tr w:rsidR="006A71ED" w:rsidRPr="00B4030F" w14:paraId="169AAFD1" w14:textId="77777777" w:rsidTr="00DE64D3">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5196B212" w14:textId="77777777" w:rsidR="006A71ED" w:rsidRPr="00B4030F" w:rsidRDefault="006A71ED" w:rsidP="006A71ED">
            <w:pPr>
              <w:rPr>
                <w:rFonts w:eastAsia="Times New Roman"/>
                <w:color w:val="000000"/>
                <w:lang w:val="en-AU" w:eastAsia="en-AU"/>
              </w:rPr>
            </w:pPr>
            <w:r w:rsidRPr="00B4030F">
              <w:rPr>
                <w:rFonts w:eastAsia="Times New Roman"/>
                <w:color w:val="000000"/>
                <w:lang w:val="en-AU" w:eastAsia="en-AU"/>
              </w:rPr>
              <w:t>O</w:t>
            </w:r>
            <w:r w:rsidRPr="006A71ED">
              <w:rPr>
                <w:rFonts w:eastAsia="Times New Roman"/>
                <w:color w:val="000000"/>
                <w:vertAlign w:val="subscript"/>
                <w:lang w:val="en-AU" w:eastAsia="en-AU"/>
              </w:rPr>
              <w:t>3</w:t>
            </w:r>
          </w:p>
        </w:tc>
        <w:tc>
          <w:tcPr>
            <w:tcW w:w="715" w:type="pct"/>
            <w:noWrap/>
          </w:tcPr>
          <w:p w14:paraId="1D3A3688"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16</w:t>
            </w:r>
          </w:p>
        </w:tc>
        <w:tc>
          <w:tcPr>
            <w:tcW w:w="3680" w:type="pct"/>
            <w:noWrap/>
          </w:tcPr>
          <w:p w14:paraId="5D4AB8A6" w14:textId="77777777" w:rsidR="006A71ED" w:rsidRPr="00B4030F" w:rsidRDefault="006A71ED" w:rsidP="006A71ED">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VOC control for solvent aerosol use</w:t>
            </w:r>
          </w:p>
        </w:tc>
      </w:tr>
    </w:tbl>
    <w:p w14:paraId="4757B3E6" w14:textId="77777777" w:rsidR="00525D4B" w:rsidRPr="008F0FA7" w:rsidRDefault="00F1332D" w:rsidP="00525D4B">
      <w:pPr>
        <w:pStyle w:val="Heading3"/>
        <w:numPr>
          <w:ilvl w:val="2"/>
          <w:numId w:val="3"/>
        </w:numPr>
      </w:pPr>
      <w:bookmarkStart w:id="19" w:name="_Toc508138830"/>
      <w:bookmarkStart w:id="20" w:name="_Toc508138939"/>
      <w:bookmarkStart w:id="21" w:name="_Toc508222144"/>
      <w:bookmarkEnd w:id="19"/>
      <w:bookmarkEnd w:id="20"/>
      <w:bookmarkEnd w:id="21"/>
      <w:r>
        <w:t>Cost components</w:t>
      </w:r>
    </w:p>
    <w:p w14:paraId="0A9D69A1" w14:textId="77777777" w:rsidR="00525D4B" w:rsidRDefault="00525D4B" w:rsidP="00525D4B">
      <w:pPr>
        <w:pStyle w:val="BodyText"/>
      </w:pPr>
      <w:r>
        <w:t>The CBA includes the following costs associated with the implementation of abatement measures:</w:t>
      </w:r>
    </w:p>
    <w:p w14:paraId="53EA0E9E" w14:textId="1E497700" w:rsidR="00525D4B" w:rsidRDefault="00525D4B" w:rsidP="00525D4B">
      <w:pPr>
        <w:pStyle w:val="Bullet1"/>
        <w:numPr>
          <w:ilvl w:val="0"/>
          <w:numId w:val="1"/>
        </w:numPr>
        <w:ind w:left="227" w:hanging="227"/>
      </w:pPr>
      <w:r w:rsidRPr="00E80D83">
        <w:rPr>
          <w:b/>
        </w:rPr>
        <w:t xml:space="preserve">Capital </w:t>
      </w:r>
      <w:r>
        <w:rPr>
          <w:b/>
        </w:rPr>
        <w:t>c</w:t>
      </w:r>
      <w:r w:rsidRPr="00E80D83">
        <w:rPr>
          <w:b/>
        </w:rPr>
        <w:t>osts</w:t>
      </w:r>
      <w:r>
        <w:t xml:space="preserve"> – The costs associated with the purchase and installation of new </w:t>
      </w:r>
      <w:r w:rsidR="008638AC">
        <w:t xml:space="preserve">plant, machinery or </w:t>
      </w:r>
      <w:r>
        <w:t xml:space="preserve">equipment </w:t>
      </w:r>
      <w:r w:rsidR="0024235B">
        <w:t xml:space="preserve">and </w:t>
      </w:r>
      <w:r>
        <w:t xml:space="preserve">upgrades to existing </w:t>
      </w:r>
      <w:r w:rsidR="008638AC">
        <w:t>plant, machinery or equipment</w:t>
      </w:r>
      <w:r>
        <w:t xml:space="preserve">. </w:t>
      </w:r>
    </w:p>
    <w:p w14:paraId="553FA807" w14:textId="69C17844" w:rsidR="00525D4B" w:rsidRDefault="00525D4B" w:rsidP="00525D4B">
      <w:pPr>
        <w:pStyle w:val="Bullet1"/>
        <w:numPr>
          <w:ilvl w:val="0"/>
          <w:numId w:val="1"/>
        </w:numPr>
        <w:ind w:left="227" w:hanging="227"/>
      </w:pPr>
      <w:r w:rsidRPr="00E80D83">
        <w:rPr>
          <w:b/>
        </w:rPr>
        <w:t xml:space="preserve">Operating and </w:t>
      </w:r>
      <w:r>
        <w:rPr>
          <w:b/>
        </w:rPr>
        <w:t>m</w:t>
      </w:r>
      <w:r w:rsidRPr="00E80D83">
        <w:rPr>
          <w:b/>
        </w:rPr>
        <w:t>aintenance costs</w:t>
      </w:r>
      <w:r>
        <w:t xml:space="preserve"> – The ongoing costs associated with continued operation </w:t>
      </w:r>
      <w:r w:rsidR="005D03FB">
        <w:t>and</w:t>
      </w:r>
      <w:r>
        <w:t xml:space="preserve"> maintenance of </w:t>
      </w:r>
      <w:r w:rsidR="00B923AD">
        <w:t>the measure</w:t>
      </w:r>
      <w:r>
        <w:t xml:space="preserve">. </w:t>
      </w:r>
    </w:p>
    <w:p w14:paraId="061DEC37" w14:textId="74A42783" w:rsidR="00525D4B" w:rsidRDefault="00525D4B" w:rsidP="00525D4B">
      <w:pPr>
        <w:pStyle w:val="Bullet1"/>
        <w:numPr>
          <w:ilvl w:val="0"/>
          <w:numId w:val="1"/>
        </w:numPr>
        <w:ind w:left="227" w:hanging="227"/>
      </w:pPr>
      <w:r w:rsidRPr="00E80D83">
        <w:rPr>
          <w:b/>
        </w:rPr>
        <w:lastRenderedPageBreak/>
        <w:t xml:space="preserve">Administrative </w:t>
      </w:r>
      <w:r>
        <w:rPr>
          <w:b/>
        </w:rPr>
        <w:t>and</w:t>
      </w:r>
      <w:r w:rsidRPr="00E80D83">
        <w:rPr>
          <w:b/>
        </w:rPr>
        <w:t xml:space="preserve"> regulatory costs</w:t>
      </w:r>
      <w:r>
        <w:t xml:space="preserve"> – The costs incurred by either industry or government </w:t>
      </w:r>
      <w:r w:rsidR="000E2889">
        <w:t xml:space="preserve">for </w:t>
      </w:r>
      <w:r>
        <w:t xml:space="preserve">complying with new regulations </w:t>
      </w:r>
      <w:r w:rsidR="00F61745">
        <w:t>and</w:t>
      </w:r>
      <w:r>
        <w:t xml:space="preserve"> administering the regulations respectively.</w:t>
      </w:r>
    </w:p>
    <w:p w14:paraId="44FB9B06" w14:textId="79437D15" w:rsidR="00525D4B" w:rsidRDefault="00525D4B" w:rsidP="00525D4B">
      <w:pPr>
        <w:pStyle w:val="Bullet1"/>
        <w:numPr>
          <w:ilvl w:val="0"/>
          <w:numId w:val="1"/>
        </w:numPr>
        <w:ind w:left="227" w:hanging="227"/>
      </w:pPr>
      <w:r w:rsidRPr="00C24801">
        <w:rPr>
          <w:b/>
        </w:rPr>
        <w:t>Co-</w:t>
      </w:r>
      <w:r w:rsidRPr="00407075">
        <w:rPr>
          <w:b/>
        </w:rPr>
        <w:t>benefits and dis-benefits</w:t>
      </w:r>
      <w:r>
        <w:t xml:space="preserve"> –</w:t>
      </w:r>
      <w:r w:rsidR="00B14923">
        <w:t xml:space="preserve"> C</w:t>
      </w:r>
      <w:r>
        <w:t>hanges in fuel consumption</w:t>
      </w:r>
      <w:r w:rsidR="0066528D">
        <w:t>.</w:t>
      </w:r>
    </w:p>
    <w:p w14:paraId="037712FE" w14:textId="47B6EEFF" w:rsidR="00525D4B" w:rsidRDefault="00525D4B" w:rsidP="00525D4B">
      <w:pPr>
        <w:pStyle w:val="BodyText"/>
      </w:pPr>
      <w:r>
        <w:t xml:space="preserve">Costs for each selected abatement measure were derived from desktop research of publicly available information. </w:t>
      </w:r>
      <w:r w:rsidR="002700F9">
        <w:rPr>
          <w:highlight w:val="yellow"/>
        </w:rPr>
        <w:fldChar w:fldCharType="begin"/>
      </w:r>
      <w:r w:rsidR="002700F9">
        <w:instrText xml:space="preserve"> REF _Ref508395353 \h </w:instrText>
      </w:r>
      <w:r w:rsidR="002700F9">
        <w:rPr>
          <w:highlight w:val="yellow"/>
        </w:rPr>
      </w:r>
      <w:r w:rsidR="002700F9">
        <w:rPr>
          <w:highlight w:val="yellow"/>
        </w:rPr>
        <w:fldChar w:fldCharType="separate"/>
      </w:r>
      <w:r w:rsidR="00A50702">
        <w:t xml:space="preserve">Annexure </w:t>
      </w:r>
      <w:r w:rsidR="00A50702">
        <w:rPr>
          <w:noProof/>
        </w:rPr>
        <w:t>C</w:t>
      </w:r>
      <w:r w:rsidR="002700F9">
        <w:rPr>
          <w:highlight w:val="yellow"/>
        </w:rPr>
        <w:fldChar w:fldCharType="end"/>
      </w:r>
      <w:r w:rsidR="002700F9">
        <w:t xml:space="preserve"> </w:t>
      </w:r>
      <w:r>
        <w:t>outlines the assumptions and approach to estimate costs and emission reductions for each of the selected abatement measures.</w:t>
      </w:r>
    </w:p>
    <w:p w14:paraId="0A205DA3" w14:textId="50C68B1D" w:rsidR="001B6724" w:rsidRDefault="00263635" w:rsidP="001B6724">
      <w:pPr>
        <w:pStyle w:val="BodyText"/>
        <w:rPr>
          <w:lang w:val="en-PH"/>
        </w:rPr>
      </w:pPr>
      <w:r>
        <w:t>Where t</w:t>
      </w:r>
      <w:r w:rsidR="0066320E">
        <w:t xml:space="preserve">he </w:t>
      </w:r>
      <w:r w:rsidR="002E11EC">
        <w:t xml:space="preserve">literature provided </w:t>
      </w:r>
      <w:r w:rsidR="0066320E">
        <w:t>cost</w:t>
      </w:r>
      <w:r w:rsidR="00932D2A">
        <w:t>s</w:t>
      </w:r>
      <w:r w:rsidR="0066320E">
        <w:t xml:space="preserve"> and emission reduction estimates for implementing the measure acro</w:t>
      </w:r>
      <w:r>
        <w:t>ss an entire state or territory, the cost</w:t>
      </w:r>
      <w:r w:rsidR="002E11EC">
        <w:t>s</w:t>
      </w:r>
      <w:r>
        <w:t xml:space="preserve"> and emission reductions were pro-rated </w:t>
      </w:r>
      <w:r w:rsidR="001B1C34">
        <w:t xml:space="preserve">to </w:t>
      </w:r>
      <w:r>
        <w:t xml:space="preserve">the airsheds included in the scope of the </w:t>
      </w:r>
      <w:r w:rsidR="001B1C34">
        <w:t xml:space="preserve">CBA, using the proportion of population residing in the airsheds </w:t>
      </w:r>
      <w:r w:rsidR="009E033A">
        <w:t>included</w:t>
      </w:r>
      <w:r w:rsidR="001B1C34">
        <w:t>.</w:t>
      </w:r>
    </w:p>
    <w:p w14:paraId="16B4F502" w14:textId="77777777" w:rsidR="001B6724" w:rsidRDefault="001B6724" w:rsidP="00DB4968">
      <w:pPr>
        <w:pStyle w:val="Heading2"/>
        <w:rPr>
          <w:lang w:val="en-PH"/>
        </w:rPr>
      </w:pPr>
      <w:bookmarkStart w:id="22" w:name="_Ref508451582"/>
      <w:bookmarkStart w:id="23" w:name="_Toc518629886"/>
      <w:r w:rsidRPr="00DB4968">
        <w:t>Methodology</w:t>
      </w:r>
      <w:r>
        <w:rPr>
          <w:lang w:val="en-PH"/>
        </w:rPr>
        <w:t xml:space="preserve"> to estimate benefits</w:t>
      </w:r>
      <w:bookmarkEnd w:id="22"/>
      <w:bookmarkEnd w:id="23"/>
    </w:p>
    <w:p w14:paraId="15FF2B57" w14:textId="548DD14B" w:rsidR="001B6724" w:rsidRDefault="001B6724" w:rsidP="001B6724">
      <w:pPr>
        <w:pStyle w:val="BodyText"/>
        <w:rPr>
          <w:lang w:val="en-PH"/>
        </w:rPr>
      </w:pPr>
      <w:r>
        <w:rPr>
          <w:lang w:val="en-PH"/>
        </w:rPr>
        <w:t>The benefit of emission reductions was estimated based on a combination of the impact pathway approach</w:t>
      </w:r>
      <w:r w:rsidR="001145F9">
        <w:rPr>
          <w:lang w:val="en-PH"/>
        </w:rPr>
        <w:t xml:space="preserve"> (refer to section </w:t>
      </w:r>
      <w:r w:rsidR="001145F9">
        <w:rPr>
          <w:lang w:val="en-PH"/>
        </w:rPr>
        <w:fldChar w:fldCharType="begin"/>
      </w:r>
      <w:r w:rsidR="001145F9">
        <w:rPr>
          <w:lang w:val="en-PH"/>
        </w:rPr>
        <w:instrText xml:space="preserve"> REF _Ref508396064 \r \h </w:instrText>
      </w:r>
      <w:r w:rsidR="001145F9">
        <w:rPr>
          <w:lang w:val="en-PH"/>
        </w:rPr>
      </w:r>
      <w:r w:rsidR="001145F9">
        <w:rPr>
          <w:lang w:val="en-PH"/>
        </w:rPr>
        <w:fldChar w:fldCharType="separate"/>
      </w:r>
      <w:r w:rsidR="00A50702">
        <w:rPr>
          <w:lang w:val="en-PH"/>
        </w:rPr>
        <w:t>3.5.1</w:t>
      </w:r>
      <w:r w:rsidR="001145F9">
        <w:rPr>
          <w:lang w:val="en-PH"/>
        </w:rPr>
        <w:fldChar w:fldCharType="end"/>
      </w:r>
      <w:r w:rsidR="001145F9">
        <w:rPr>
          <w:lang w:val="en-PH"/>
        </w:rPr>
        <w:t>)</w:t>
      </w:r>
      <w:r>
        <w:rPr>
          <w:lang w:val="en-PH"/>
        </w:rPr>
        <w:t xml:space="preserve">, where the required data were available, and the damage cost </w:t>
      </w:r>
      <w:r w:rsidR="001145F9">
        <w:rPr>
          <w:lang w:val="en-PH"/>
        </w:rPr>
        <w:t xml:space="preserve">approach (refer to section </w:t>
      </w:r>
      <w:r w:rsidR="001145F9">
        <w:rPr>
          <w:lang w:val="en-PH"/>
        </w:rPr>
        <w:fldChar w:fldCharType="begin"/>
      </w:r>
      <w:r w:rsidR="001145F9">
        <w:rPr>
          <w:lang w:val="en-PH"/>
        </w:rPr>
        <w:instrText xml:space="preserve"> REF _Ref508396091 \r \h </w:instrText>
      </w:r>
      <w:r w:rsidR="001145F9">
        <w:rPr>
          <w:lang w:val="en-PH"/>
        </w:rPr>
      </w:r>
      <w:r w:rsidR="001145F9">
        <w:rPr>
          <w:lang w:val="en-PH"/>
        </w:rPr>
        <w:fldChar w:fldCharType="separate"/>
      </w:r>
      <w:r w:rsidR="00A50702">
        <w:rPr>
          <w:lang w:val="en-PH"/>
        </w:rPr>
        <w:t>3.5.5</w:t>
      </w:r>
      <w:r w:rsidR="001145F9">
        <w:rPr>
          <w:lang w:val="en-PH"/>
        </w:rPr>
        <w:fldChar w:fldCharType="end"/>
      </w:r>
      <w:r w:rsidR="001145F9">
        <w:rPr>
          <w:lang w:val="en-PH"/>
        </w:rPr>
        <w:t xml:space="preserve">) </w:t>
      </w:r>
      <w:r>
        <w:rPr>
          <w:lang w:val="en-PH"/>
        </w:rPr>
        <w:t>where they were no</w:t>
      </w:r>
      <w:r w:rsidR="00B364DF">
        <w:rPr>
          <w:lang w:val="en-PH"/>
        </w:rPr>
        <w:t>t</w:t>
      </w:r>
      <w:r>
        <w:rPr>
          <w:lang w:val="en-PH"/>
        </w:rPr>
        <w:t>.</w:t>
      </w:r>
    </w:p>
    <w:p w14:paraId="792E62AC" w14:textId="77777777" w:rsidR="001B6724" w:rsidRDefault="001B6724" w:rsidP="00DB4968">
      <w:pPr>
        <w:pStyle w:val="Heading3"/>
        <w:rPr>
          <w:lang w:val="en-PH"/>
        </w:rPr>
      </w:pPr>
      <w:bookmarkStart w:id="24" w:name="_Ref508396064"/>
      <w:r w:rsidRPr="00DB4968">
        <w:t>Impact</w:t>
      </w:r>
      <w:r>
        <w:rPr>
          <w:lang w:val="en-PH"/>
        </w:rPr>
        <w:t xml:space="preserve"> pathway approach</w:t>
      </w:r>
      <w:bookmarkEnd w:id="24"/>
    </w:p>
    <w:p w14:paraId="038C57ED" w14:textId="16F0E536" w:rsidR="001B6724" w:rsidRDefault="001B6724" w:rsidP="001B6724">
      <w:pPr>
        <w:pStyle w:val="BodyText"/>
        <w:rPr>
          <w:lang w:val="en-PH"/>
        </w:rPr>
      </w:pPr>
      <w:r>
        <w:rPr>
          <w:lang w:val="en-PH"/>
        </w:rPr>
        <w:t>Where the data were available, the CBA estimate</w:t>
      </w:r>
      <w:r w:rsidR="00EB1839">
        <w:rPr>
          <w:lang w:val="en-PH"/>
        </w:rPr>
        <w:t>d</w:t>
      </w:r>
      <w:r>
        <w:rPr>
          <w:lang w:val="en-PH"/>
        </w:rPr>
        <w:t xml:space="preserve"> the benefits associated with reductions in SO</w:t>
      </w:r>
      <w:r w:rsidRPr="002E288C">
        <w:rPr>
          <w:vertAlign w:val="subscript"/>
          <w:lang w:val="en-PH"/>
        </w:rPr>
        <w:t>2</w:t>
      </w:r>
      <w:r>
        <w:rPr>
          <w:lang w:val="en-PH"/>
        </w:rPr>
        <w:t>, NO</w:t>
      </w:r>
      <w:r w:rsidRPr="002E288C">
        <w:rPr>
          <w:vertAlign w:val="subscript"/>
          <w:lang w:val="en-PH"/>
        </w:rPr>
        <w:t>2</w:t>
      </w:r>
      <w:r>
        <w:rPr>
          <w:lang w:val="en-PH"/>
        </w:rPr>
        <w:t xml:space="preserve"> and O</w:t>
      </w:r>
      <w:r w:rsidRPr="002E288C">
        <w:rPr>
          <w:vertAlign w:val="subscript"/>
          <w:lang w:val="en-PH"/>
        </w:rPr>
        <w:t>3</w:t>
      </w:r>
      <w:r>
        <w:rPr>
          <w:lang w:val="en-PH"/>
        </w:rPr>
        <w:t xml:space="preserve"> </w:t>
      </w:r>
      <w:r w:rsidR="00456B92">
        <w:rPr>
          <w:lang w:val="en-PH"/>
        </w:rPr>
        <w:t xml:space="preserve">concentrations </w:t>
      </w:r>
      <w:r>
        <w:rPr>
          <w:lang w:val="en-PH"/>
        </w:rPr>
        <w:t>by considering:</w:t>
      </w:r>
    </w:p>
    <w:p w14:paraId="3A15C0E4" w14:textId="25D54350" w:rsidR="001B6724" w:rsidRDefault="001B6724" w:rsidP="001B6724">
      <w:pPr>
        <w:pStyle w:val="Bullet1"/>
        <w:rPr>
          <w:lang w:val="en-PH"/>
        </w:rPr>
      </w:pPr>
      <w:r>
        <w:rPr>
          <w:lang w:val="en-PH"/>
        </w:rPr>
        <w:t>the reduced quan</w:t>
      </w:r>
      <w:r w:rsidR="006739C1">
        <w:rPr>
          <w:lang w:val="en-PH"/>
        </w:rPr>
        <w:t xml:space="preserve">tity of </w:t>
      </w:r>
      <w:r w:rsidR="00FA3C9B">
        <w:rPr>
          <w:lang w:val="en-PH"/>
        </w:rPr>
        <w:t>SO</w:t>
      </w:r>
      <w:r w:rsidR="00402F0E">
        <w:rPr>
          <w:vertAlign w:val="subscript"/>
          <w:lang w:val="en-PH"/>
        </w:rPr>
        <w:t>X</w:t>
      </w:r>
      <w:r w:rsidR="00FA3C9B">
        <w:rPr>
          <w:lang w:val="en-PH"/>
        </w:rPr>
        <w:t>, NO</w:t>
      </w:r>
      <w:r w:rsidR="00FA3C9B" w:rsidRPr="00B326CA">
        <w:rPr>
          <w:vertAlign w:val="subscript"/>
          <w:lang w:val="en-PH"/>
        </w:rPr>
        <w:t>X</w:t>
      </w:r>
      <w:r w:rsidR="00FA3C9B">
        <w:rPr>
          <w:lang w:val="en-PH"/>
        </w:rPr>
        <w:t xml:space="preserve"> and VOC </w:t>
      </w:r>
      <w:r w:rsidR="006739C1">
        <w:rPr>
          <w:lang w:val="en-PH"/>
        </w:rPr>
        <w:t>emissions (tonnes p.a.)</w:t>
      </w:r>
    </w:p>
    <w:p w14:paraId="6F95C198" w14:textId="77777777" w:rsidR="001B6724" w:rsidRDefault="001B6724" w:rsidP="001B6724">
      <w:pPr>
        <w:pStyle w:val="Bullet1"/>
        <w:rPr>
          <w:lang w:val="en-PH"/>
        </w:rPr>
      </w:pPr>
      <w:r>
        <w:rPr>
          <w:lang w:val="en-PH"/>
        </w:rPr>
        <w:t>the resulting change in concentrations of SO</w:t>
      </w:r>
      <w:r w:rsidRPr="002E288C">
        <w:rPr>
          <w:vertAlign w:val="subscript"/>
          <w:lang w:val="en-PH"/>
        </w:rPr>
        <w:t>2</w:t>
      </w:r>
      <w:r>
        <w:rPr>
          <w:lang w:val="en-PH"/>
        </w:rPr>
        <w:t>, NO</w:t>
      </w:r>
      <w:r w:rsidRPr="002E288C">
        <w:rPr>
          <w:vertAlign w:val="subscript"/>
          <w:lang w:val="en-PH"/>
        </w:rPr>
        <w:t>2</w:t>
      </w:r>
      <w:r>
        <w:rPr>
          <w:lang w:val="en-PH"/>
        </w:rPr>
        <w:t xml:space="preserve"> and O</w:t>
      </w:r>
      <w:r w:rsidRPr="002E288C">
        <w:rPr>
          <w:vertAlign w:val="subscript"/>
          <w:lang w:val="en-PH"/>
        </w:rPr>
        <w:t>3</w:t>
      </w:r>
      <w:r>
        <w:rPr>
          <w:lang w:val="en-PH"/>
        </w:rPr>
        <w:t xml:space="preserve"> in each airshed</w:t>
      </w:r>
    </w:p>
    <w:p w14:paraId="5F30CB18" w14:textId="77777777" w:rsidR="001B6724" w:rsidRDefault="001B6724" w:rsidP="001B6724">
      <w:pPr>
        <w:pStyle w:val="Bullet1"/>
        <w:rPr>
          <w:lang w:val="en-PH"/>
        </w:rPr>
      </w:pPr>
      <w:r>
        <w:rPr>
          <w:lang w:val="en-PH"/>
        </w:rPr>
        <w:t>the resulting change in the populations’ exposure to the concentrations of these pollutants</w:t>
      </w:r>
    </w:p>
    <w:p w14:paraId="4E6417E3" w14:textId="77777777" w:rsidR="002844D2" w:rsidRDefault="001B6724" w:rsidP="001B6724">
      <w:pPr>
        <w:pStyle w:val="Bullet1"/>
        <w:rPr>
          <w:lang w:val="en-PH"/>
        </w:rPr>
      </w:pPr>
      <w:r>
        <w:rPr>
          <w:lang w:val="en-PH"/>
        </w:rPr>
        <w:t>the projected difference in health outcomes associated with that change in exposure</w:t>
      </w:r>
    </w:p>
    <w:p w14:paraId="6DEC40B1" w14:textId="3ABA8F83" w:rsidR="001B6724" w:rsidRDefault="002844D2" w:rsidP="001B6724">
      <w:pPr>
        <w:pStyle w:val="Bullet1"/>
        <w:rPr>
          <w:lang w:val="en-PH"/>
        </w:rPr>
      </w:pPr>
      <w:r>
        <w:rPr>
          <w:lang w:val="en-PH"/>
        </w:rPr>
        <w:t>the value of those health outcomes expressed in monetary terms</w:t>
      </w:r>
      <w:r w:rsidR="001B6724">
        <w:rPr>
          <w:lang w:val="en-PH"/>
        </w:rPr>
        <w:t>.</w:t>
      </w:r>
    </w:p>
    <w:p w14:paraId="1B7AB280" w14:textId="3130E37F" w:rsidR="001B6724" w:rsidRPr="00F916DE" w:rsidRDefault="001B6724" w:rsidP="001B6724">
      <w:pPr>
        <w:pStyle w:val="BodyText"/>
        <w:rPr>
          <w:lang w:val="en-PH"/>
        </w:rPr>
      </w:pPr>
      <w:r>
        <w:rPr>
          <w:lang w:val="en-PH"/>
        </w:rPr>
        <w:t>This approach is referred to as the ‘impact pathway’ (</w:t>
      </w:r>
      <w:r w:rsidR="00FC24E5">
        <w:rPr>
          <w:lang w:val="en-PH"/>
        </w:rPr>
        <w:t xml:space="preserve">DEFRA, </w:t>
      </w:r>
      <w:r w:rsidR="00E51880">
        <w:rPr>
          <w:lang w:val="en-PH"/>
        </w:rPr>
        <w:t>2013</w:t>
      </w:r>
      <w:r>
        <w:rPr>
          <w:lang w:val="en-PH"/>
        </w:rPr>
        <w:t xml:space="preserve">), and is summarised in </w:t>
      </w:r>
      <w:r w:rsidR="007D7047">
        <w:rPr>
          <w:highlight w:val="yellow"/>
          <w:lang w:val="en-PH"/>
        </w:rPr>
        <w:fldChar w:fldCharType="begin"/>
      </w:r>
      <w:r w:rsidR="007D7047">
        <w:rPr>
          <w:lang w:val="en-PH"/>
        </w:rPr>
        <w:instrText xml:space="preserve"> REF _Ref508462009 \h </w:instrText>
      </w:r>
      <w:r w:rsidR="007D7047">
        <w:rPr>
          <w:highlight w:val="yellow"/>
          <w:lang w:val="en-PH"/>
        </w:rPr>
      </w:r>
      <w:r w:rsidR="007D7047">
        <w:rPr>
          <w:highlight w:val="yellow"/>
          <w:lang w:val="en-PH"/>
        </w:rPr>
        <w:fldChar w:fldCharType="separate"/>
      </w:r>
      <w:r w:rsidR="00A50702">
        <w:t xml:space="preserve">Figure </w:t>
      </w:r>
      <w:r w:rsidR="00A50702">
        <w:rPr>
          <w:noProof/>
        </w:rPr>
        <w:t>1</w:t>
      </w:r>
      <w:r w:rsidR="007D7047">
        <w:rPr>
          <w:highlight w:val="yellow"/>
          <w:lang w:val="en-PH"/>
        </w:rPr>
        <w:fldChar w:fldCharType="end"/>
      </w:r>
      <w:r>
        <w:rPr>
          <w:lang w:val="en-PH"/>
        </w:rPr>
        <w:t>.</w:t>
      </w:r>
    </w:p>
    <w:p w14:paraId="08DF85E2" w14:textId="77777777" w:rsidR="000F567C" w:rsidRDefault="000F567C" w:rsidP="000F567C">
      <w:pPr>
        <w:pStyle w:val="BodyText"/>
        <w:jc w:val="center"/>
        <w:rPr>
          <w:lang w:val="en-PH"/>
        </w:rPr>
      </w:pPr>
      <w:r w:rsidRPr="009A3F8E">
        <w:rPr>
          <w:noProof/>
          <w:lang w:val="en-AU" w:eastAsia="en-AU"/>
        </w:rPr>
        <w:drawing>
          <wp:inline distT="0" distB="0" distL="0" distR="0" wp14:anchorId="4052978C" wp14:editId="3F710530">
            <wp:extent cx="5073162" cy="3600000"/>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73162" cy="3600000"/>
                    </a:xfrm>
                    <a:prstGeom prst="rect">
                      <a:avLst/>
                    </a:prstGeom>
                  </pic:spPr>
                </pic:pic>
              </a:graphicData>
            </a:graphic>
          </wp:inline>
        </w:drawing>
      </w:r>
    </w:p>
    <w:p w14:paraId="16F1A32E" w14:textId="3AF2144A" w:rsidR="000F567C" w:rsidRDefault="000F567C" w:rsidP="000F567C">
      <w:pPr>
        <w:pStyle w:val="Caption"/>
        <w:rPr>
          <w:lang w:val="en-PH"/>
        </w:rPr>
      </w:pPr>
      <w:bookmarkStart w:id="25" w:name="_Ref508462009"/>
      <w:bookmarkStart w:id="26" w:name="_Toc518629912"/>
      <w:r>
        <w:t xml:space="preserve">Figure </w:t>
      </w:r>
      <w:r>
        <w:fldChar w:fldCharType="begin"/>
      </w:r>
      <w:r>
        <w:instrText xml:space="preserve"> SEQ Figure \* ARABIC </w:instrText>
      </w:r>
      <w:r>
        <w:fldChar w:fldCharType="separate"/>
      </w:r>
      <w:r w:rsidR="00A50702">
        <w:rPr>
          <w:noProof/>
        </w:rPr>
        <w:t>1</w:t>
      </w:r>
      <w:r>
        <w:fldChar w:fldCharType="end"/>
      </w:r>
      <w:bookmarkEnd w:id="25"/>
      <w:r>
        <w:t xml:space="preserve"> Impact pathway</w:t>
      </w:r>
      <w:bookmarkEnd w:id="26"/>
    </w:p>
    <w:p w14:paraId="2996345B" w14:textId="33FA6B30" w:rsidR="001B6724" w:rsidRDefault="001B6724" w:rsidP="001B6724">
      <w:pPr>
        <w:pStyle w:val="BodyText"/>
        <w:rPr>
          <w:lang w:val="en-PH"/>
        </w:rPr>
      </w:pPr>
      <w:r>
        <w:rPr>
          <w:lang w:val="en-PH"/>
        </w:rPr>
        <w:t xml:space="preserve">Most of the above calculations were completed in the </w:t>
      </w:r>
      <w:r w:rsidR="000705A2" w:rsidRPr="000705A2">
        <w:rPr>
          <w:lang w:val="en-PH"/>
        </w:rPr>
        <w:t>air quality study</w:t>
      </w:r>
      <w:r w:rsidR="00C84E3F">
        <w:rPr>
          <w:lang w:val="en-PH"/>
        </w:rPr>
        <w:t xml:space="preserve"> and the</w:t>
      </w:r>
      <w:r w:rsidR="000705A2">
        <w:rPr>
          <w:lang w:val="en-PH"/>
        </w:rPr>
        <w:t xml:space="preserve"> </w:t>
      </w:r>
      <w:r>
        <w:rPr>
          <w:lang w:val="en-PH"/>
        </w:rPr>
        <w:t>HRA (</w:t>
      </w:r>
      <w:r w:rsidRPr="00DF2229">
        <w:rPr>
          <w:lang w:val="en-PH"/>
        </w:rPr>
        <w:t>Pacific Environment, 2018</w:t>
      </w:r>
      <w:r w:rsidR="00C84E3F">
        <w:rPr>
          <w:lang w:val="en-PH"/>
        </w:rPr>
        <w:t>a; Pacific Environment 2018b</w:t>
      </w:r>
      <w:r>
        <w:rPr>
          <w:lang w:val="en-PH"/>
        </w:rPr>
        <w:t xml:space="preserve">). </w:t>
      </w:r>
      <w:r w:rsidR="007C1EFA">
        <w:rPr>
          <w:lang w:val="en-PH"/>
        </w:rPr>
        <w:t xml:space="preserve">The air quality study estimates the changes in concentration resulting </w:t>
      </w:r>
      <w:r w:rsidR="007C1EFA">
        <w:rPr>
          <w:lang w:val="en-PH"/>
        </w:rPr>
        <w:lastRenderedPageBreak/>
        <w:t xml:space="preserve">from a change in emissions. </w:t>
      </w:r>
      <w:r>
        <w:rPr>
          <w:lang w:val="en-PH"/>
        </w:rPr>
        <w:t>The HRA provides the projected difference in health outcomes by considering the change in modelled concentrations and the associated change in population exposure.</w:t>
      </w:r>
    </w:p>
    <w:p w14:paraId="02633DFC" w14:textId="1B6F9875" w:rsidR="001B6724" w:rsidRDefault="000204FC" w:rsidP="001B6724">
      <w:pPr>
        <w:pStyle w:val="BodyText"/>
        <w:rPr>
          <w:lang w:val="en-PH"/>
        </w:rPr>
      </w:pPr>
      <w:r>
        <w:rPr>
          <w:highlight w:val="yellow"/>
          <w:lang w:val="en-PH"/>
        </w:rPr>
        <w:fldChar w:fldCharType="begin"/>
      </w:r>
      <w:r>
        <w:rPr>
          <w:lang w:val="en-PH"/>
        </w:rPr>
        <w:instrText xml:space="preserve"> REF _Ref508396181 \h </w:instrText>
      </w:r>
      <w:r>
        <w:rPr>
          <w:highlight w:val="yellow"/>
          <w:lang w:val="en-PH"/>
        </w:rPr>
      </w:r>
      <w:r>
        <w:rPr>
          <w:highlight w:val="yellow"/>
          <w:lang w:val="en-PH"/>
        </w:rPr>
        <w:fldChar w:fldCharType="separate"/>
      </w:r>
      <w:r w:rsidR="00A50702">
        <w:t>Annexure</w:t>
      </w:r>
      <w:r w:rsidR="00A50702" w:rsidRPr="00A47DA3">
        <w:t xml:space="preserve"> </w:t>
      </w:r>
      <w:r w:rsidR="00A50702">
        <w:rPr>
          <w:noProof/>
        </w:rPr>
        <w:t>A</w:t>
      </w:r>
      <w:r>
        <w:rPr>
          <w:highlight w:val="yellow"/>
          <w:lang w:val="en-PH"/>
        </w:rPr>
        <w:fldChar w:fldCharType="end"/>
      </w:r>
      <w:r>
        <w:rPr>
          <w:lang w:val="en-PH"/>
        </w:rPr>
        <w:t xml:space="preserve"> </w:t>
      </w:r>
      <w:r w:rsidR="001B6724">
        <w:rPr>
          <w:lang w:val="en-PH"/>
        </w:rPr>
        <w:t xml:space="preserve">provides an overview of the steps to conduct a HRA, which includes estimating baseline health incidence, </w:t>
      </w:r>
      <w:r>
        <w:rPr>
          <w:lang w:val="en-PH"/>
        </w:rPr>
        <w:t xml:space="preserve">the </w:t>
      </w:r>
      <w:r w:rsidR="001B6724">
        <w:rPr>
          <w:lang w:val="en-PH"/>
        </w:rPr>
        <w:t>changes in pollutant concentrations, and the changes in health incidence associated with the changes in pollutant concentrations.</w:t>
      </w:r>
    </w:p>
    <w:p w14:paraId="1AE3DAB5" w14:textId="64B15349" w:rsidR="0025007B" w:rsidRDefault="0025007B" w:rsidP="0025007B">
      <w:pPr>
        <w:pStyle w:val="Heading6"/>
        <w:rPr>
          <w:lang w:val="en-PH"/>
        </w:rPr>
      </w:pPr>
      <w:r>
        <w:rPr>
          <w:lang w:val="en-PH"/>
        </w:rPr>
        <w:t>Estimating changes in health incidence and uncertainty in health response</w:t>
      </w:r>
    </w:p>
    <w:p w14:paraId="344DA57E" w14:textId="5769F7E8" w:rsidR="001B6724" w:rsidRDefault="001B6724" w:rsidP="001B6724">
      <w:pPr>
        <w:pStyle w:val="BodyText"/>
        <w:rPr>
          <w:lang w:val="en-PH"/>
        </w:rPr>
      </w:pPr>
      <w:r>
        <w:rPr>
          <w:lang w:val="en-PH"/>
        </w:rPr>
        <w:t>The final step (changes in health incidence associated with</w:t>
      </w:r>
      <w:r w:rsidR="00A6429E">
        <w:rPr>
          <w:lang w:val="en-PH"/>
        </w:rPr>
        <w:t xml:space="preserve"> the</w:t>
      </w:r>
      <w:r>
        <w:rPr>
          <w:lang w:val="en-PH"/>
        </w:rPr>
        <w:t xml:space="preserve"> changes in pollutant concentrations) is estimated using concentration-response functions (CRF). CRFs used for this CBA are expressed as the percentage change in health incidence due to a unit change in concentration levels.</w:t>
      </w:r>
    </w:p>
    <w:p w14:paraId="72F85542" w14:textId="67B476C4" w:rsidR="00974CD8" w:rsidRDefault="001B6724" w:rsidP="001B6724">
      <w:pPr>
        <w:pStyle w:val="BodyText"/>
        <w:rPr>
          <w:lang w:val="en-PH"/>
        </w:rPr>
      </w:pPr>
      <w:r>
        <w:rPr>
          <w:lang w:val="en-PH"/>
        </w:rPr>
        <w:t>A range of sources are available to estimate the responsiveness of populati</w:t>
      </w:r>
      <w:r w:rsidR="00087856">
        <w:rPr>
          <w:lang w:val="en-PH"/>
        </w:rPr>
        <w:t>on health to changes in pollution</w:t>
      </w:r>
      <w:r>
        <w:rPr>
          <w:lang w:val="en-PH"/>
        </w:rPr>
        <w:t xml:space="preserve"> exposure. The central results in the CBA </w:t>
      </w:r>
      <w:r w:rsidR="00B40653">
        <w:rPr>
          <w:lang w:val="en-PH"/>
        </w:rPr>
        <w:t xml:space="preserve">use CRFs that </w:t>
      </w:r>
      <w:r>
        <w:rPr>
          <w:lang w:val="en-PH"/>
        </w:rPr>
        <w:t>are based on recommendations by the World Health Organi</w:t>
      </w:r>
      <w:r w:rsidR="005E4BB5">
        <w:rPr>
          <w:lang w:val="en-PH"/>
        </w:rPr>
        <w:t>z</w:t>
      </w:r>
      <w:r>
        <w:rPr>
          <w:lang w:val="en-PH"/>
        </w:rPr>
        <w:t xml:space="preserve">ation (WHO) from the recent </w:t>
      </w:r>
      <w:r w:rsidRPr="00A5116E">
        <w:rPr>
          <w:i/>
          <w:lang w:val="en-PH"/>
        </w:rPr>
        <w:t>Health risks of air pollution in Europe – HRAPIE</w:t>
      </w:r>
      <w:r w:rsidRPr="00A5116E">
        <w:rPr>
          <w:lang w:val="en-PH"/>
        </w:rPr>
        <w:t xml:space="preserve"> project</w:t>
      </w:r>
      <w:r>
        <w:rPr>
          <w:lang w:val="en-PH"/>
        </w:rPr>
        <w:t xml:space="preserve"> </w:t>
      </w:r>
      <w:r w:rsidR="001A7E91">
        <w:rPr>
          <w:lang w:val="en-PH"/>
        </w:rPr>
        <w:t>to model mortality outcomes associated with exposure to NO</w:t>
      </w:r>
      <w:r w:rsidR="001A7E91" w:rsidRPr="00B326CA">
        <w:rPr>
          <w:vertAlign w:val="subscript"/>
          <w:lang w:val="en-PH"/>
        </w:rPr>
        <w:t>2</w:t>
      </w:r>
      <w:r w:rsidR="001A7E91">
        <w:rPr>
          <w:lang w:val="en-PH"/>
        </w:rPr>
        <w:t xml:space="preserve"> and O</w:t>
      </w:r>
      <w:r w:rsidR="001A7E91" w:rsidRPr="00B326CA">
        <w:rPr>
          <w:vertAlign w:val="subscript"/>
          <w:lang w:val="en-PH"/>
        </w:rPr>
        <w:t>3</w:t>
      </w:r>
      <w:r w:rsidR="001A7E91">
        <w:rPr>
          <w:lang w:val="en-PH"/>
        </w:rPr>
        <w:t xml:space="preserve"> </w:t>
      </w:r>
      <w:r>
        <w:rPr>
          <w:lang w:val="en-PH"/>
        </w:rPr>
        <w:t>(WHO, 2013)</w:t>
      </w:r>
      <w:r w:rsidR="001A7E91">
        <w:rPr>
          <w:lang w:val="en-PH"/>
        </w:rPr>
        <w:t xml:space="preserve">, </w:t>
      </w:r>
      <w:r w:rsidR="003A0C2D">
        <w:rPr>
          <w:lang w:val="en-PH"/>
        </w:rPr>
        <w:t>a CRF recommended by Anderson et al (2007) to model mortality outcomes associated with exposure to SO</w:t>
      </w:r>
      <w:r w:rsidR="003A0C2D" w:rsidRPr="00B326CA">
        <w:rPr>
          <w:vertAlign w:val="subscript"/>
          <w:lang w:val="en-PH"/>
        </w:rPr>
        <w:t>2</w:t>
      </w:r>
      <w:r w:rsidR="003A0C2D">
        <w:rPr>
          <w:lang w:val="en-PH"/>
        </w:rPr>
        <w:t>, and CRFs recommended by Jalaludin and Cowie (2012) for other outcomes</w:t>
      </w:r>
      <w:r>
        <w:rPr>
          <w:lang w:val="en-PH"/>
        </w:rPr>
        <w:t>.</w:t>
      </w:r>
      <w:r w:rsidR="00974CD8">
        <w:rPr>
          <w:lang w:val="en-PH"/>
        </w:rPr>
        <w:t xml:space="preserve"> These are referred to as the ‘Group 1’ CRFs in the HRA.</w:t>
      </w:r>
    </w:p>
    <w:p w14:paraId="21D2AE6A" w14:textId="711CB8FC" w:rsidR="001B6724" w:rsidRDefault="001B6724" w:rsidP="001B6724">
      <w:pPr>
        <w:pStyle w:val="BodyText"/>
        <w:rPr>
          <w:lang w:val="en-PH"/>
        </w:rPr>
      </w:pPr>
      <w:r>
        <w:rPr>
          <w:lang w:val="en-PH"/>
        </w:rPr>
        <w:t xml:space="preserve">The HRAPIE study reviews the most up to date literature on the health effects of exposure to air pollution The central results follow the </w:t>
      </w:r>
      <w:r w:rsidR="00FE0CC2">
        <w:rPr>
          <w:lang w:val="en-PH"/>
        </w:rPr>
        <w:t xml:space="preserve">guidance in </w:t>
      </w:r>
      <w:r w:rsidR="00294E56">
        <w:rPr>
          <w:lang w:val="en-PH"/>
        </w:rPr>
        <w:t>WHO (2013)</w:t>
      </w:r>
      <w:r w:rsidR="00654830">
        <w:rPr>
          <w:lang w:val="en-PH"/>
        </w:rPr>
        <w:t xml:space="preserve"> on mortality outcomes associated with NO</w:t>
      </w:r>
      <w:r w:rsidR="00654830" w:rsidRPr="00B326CA">
        <w:rPr>
          <w:vertAlign w:val="subscript"/>
          <w:lang w:val="en-PH"/>
        </w:rPr>
        <w:t>2</w:t>
      </w:r>
      <w:r w:rsidR="00654830">
        <w:rPr>
          <w:lang w:val="en-PH"/>
        </w:rPr>
        <w:t xml:space="preserve"> and O</w:t>
      </w:r>
      <w:r w:rsidR="00654830" w:rsidRPr="00B326CA">
        <w:rPr>
          <w:vertAlign w:val="subscript"/>
          <w:lang w:val="en-PH"/>
        </w:rPr>
        <w:t>3</w:t>
      </w:r>
      <w:r w:rsidR="00654830">
        <w:rPr>
          <w:lang w:val="en-PH"/>
        </w:rPr>
        <w:t xml:space="preserve"> ex</w:t>
      </w:r>
      <w:r w:rsidR="00FD064A">
        <w:rPr>
          <w:lang w:val="en-PH"/>
        </w:rPr>
        <w:t>p</w:t>
      </w:r>
      <w:r w:rsidR="00654830">
        <w:rPr>
          <w:lang w:val="en-PH"/>
        </w:rPr>
        <w:t>osure</w:t>
      </w:r>
      <w:r>
        <w:rPr>
          <w:lang w:val="en-PH"/>
        </w:rPr>
        <w:t>, which include</w:t>
      </w:r>
      <w:r w:rsidR="00176045">
        <w:rPr>
          <w:lang w:val="en-PH"/>
        </w:rPr>
        <w:t xml:space="preserve"> recommendations on</w:t>
      </w:r>
      <w:r>
        <w:rPr>
          <w:lang w:val="en-PH"/>
        </w:rPr>
        <w:t>:</w:t>
      </w:r>
    </w:p>
    <w:p w14:paraId="2A79E89C" w14:textId="77777777" w:rsidR="001B6724" w:rsidRDefault="001B6724" w:rsidP="001B6724">
      <w:pPr>
        <w:pStyle w:val="Bullet1"/>
        <w:rPr>
          <w:lang w:val="en-PH"/>
        </w:rPr>
      </w:pPr>
      <w:r>
        <w:rPr>
          <w:lang w:val="en-PH"/>
        </w:rPr>
        <w:t>the expected change in health incidence based on a unit change in pollutant concentrations, measured as an average concentration over various averaging periods</w:t>
      </w:r>
    </w:p>
    <w:p w14:paraId="21DD62D2" w14:textId="01ED207A" w:rsidR="001B6724" w:rsidRDefault="001B6724" w:rsidP="001B6724">
      <w:pPr>
        <w:pStyle w:val="Bullet1"/>
        <w:rPr>
          <w:lang w:val="en-PH"/>
        </w:rPr>
      </w:pPr>
      <w:r>
        <w:rPr>
          <w:lang w:val="en-PH"/>
        </w:rPr>
        <w:t xml:space="preserve">a ‘cut-off’ point below which no change to health incidence is estimated because of the uncertainty in health effects below this </w:t>
      </w:r>
      <w:r w:rsidR="000415D0">
        <w:rPr>
          <w:lang w:val="en-PH"/>
        </w:rPr>
        <w:t>cut-off</w:t>
      </w:r>
      <w:r>
        <w:rPr>
          <w:lang w:val="en-PH"/>
        </w:rPr>
        <w:t>.</w:t>
      </w:r>
    </w:p>
    <w:p w14:paraId="4524C3F7" w14:textId="4B8267D6" w:rsidR="001B6724" w:rsidRDefault="001B6724" w:rsidP="001B6724">
      <w:pPr>
        <w:pStyle w:val="BodyText"/>
        <w:rPr>
          <w:lang w:val="en-PH"/>
        </w:rPr>
      </w:pPr>
      <w:r>
        <w:rPr>
          <w:lang w:val="en-PH"/>
        </w:rPr>
        <w:t xml:space="preserve">To reflect uncertainty in the possible health response, the CBA also reports two sensitivities using </w:t>
      </w:r>
      <w:r w:rsidR="00EA7A39">
        <w:rPr>
          <w:lang w:val="en-PH"/>
        </w:rPr>
        <w:t>alternat</w:t>
      </w:r>
      <w:r>
        <w:rPr>
          <w:lang w:val="en-PH"/>
        </w:rPr>
        <w:t xml:space="preserve">e </w:t>
      </w:r>
      <w:r w:rsidR="005B23D2">
        <w:rPr>
          <w:lang w:val="en-PH"/>
        </w:rPr>
        <w:t xml:space="preserve">groups </w:t>
      </w:r>
      <w:r>
        <w:rPr>
          <w:lang w:val="en-PH"/>
        </w:rPr>
        <w:t xml:space="preserve">of CRFs. The first </w:t>
      </w:r>
      <w:r w:rsidR="00264E51">
        <w:rPr>
          <w:lang w:val="en-PH"/>
        </w:rPr>
        <w:t xml:space="preserve">(Group 2) </w:t>
      </w:r>
      <w:r w:rsidR="00BD6258">
        <w:rPr>
          <w:lang w:val="en-PH"/>
        </w:rPr>
        <w:t xml:space="preserve">applies the HRAPIE recommendations except for the application of a cut-off (referred to as the ‘no cut-off’ sensitivity), because while uncertain there may be some health effects from population exposure to concentrations below the cut-off levels. </w:t>
      </w:r>
      <w:r>
        <w:rPr>
          <w:lang w:val="en-PH"/>
        </w:rPr>
        <w:t xml:space="preserve">The second </w:t>
      </w:r>
      <w:r w:rsidR="00294232">
        <w:rPr>
          <w:lang w:val="en-PH"/>
        </w:rPr>
        <w:t xml:space="preserve">(Group 3) </w:t>
      </w:r>
      <w:r w:rsidR="00BD6258">
        <w:rPr>
          <w:lang w:val="en-PH"/>
        </w:rPr>
        <w:t xml:space="preserve">uses recommendations from an earlier Australian study prepared for EPA Victoria titled </w:t>
      </w:r>
      <w:r w:rsidR="00BD6258">
        <w:rPr>
          <w:i/>
          <w:lang w:val="en-PH"/>
        </w:rPr>
        <w:t xml:space="preserve">Health Risk Assessment – Preliminary Work to Identify Concentration-Response Functions for Selected Ambient Air Pollutants </w:t>
      </w:r>
      <w:r w:rsidR="00BD6258">
        <w:rPr>
          <w:lang w:val="en-PH"/>
        </w:rPr>
        <w:t>(Jalaludin and Cowie, 2012), to quantify the mortality outcomes associated with exposure to NO</w:t>
      </w:r>
      <w:r w:rsidR="00BD6258" w:rsidRPr="00C617C6">
        <w:rPr>
          <w:vertAlign w:val="subscript"/>
          <w:lang w:val="en-PH"/>
        </w:rPr>
        <w:t>2</w:t>
      </w:r>
      <w:r w:rsidR="00BD6258">
        <w:rPr>
          <w:lang w:val="en-PH"/>
        </w:rPr>
        <w:t xml:space="preserve"> and O</w:t>
      </w:r>
      <w:r w:rsidR="00BD6258" w:rsidRPr="00C617C6">
        <w:rPr>
          <w:vertAlign w:val="subscript"/>
          <w:lang w:val="en-PH"/>
        </w:rPr>
        <w:t>3</w:t>
      </w:r>
      <w:r w:rsidR="00BD6258">
        <w:rPr>
          <w:lang w:val="en-PH"/>
        </w:rPr>
        <w:t xml:space="preserve">. </w:t>
      </w:r>
    </w:p>
    <w:p w14:paraId="2E7EC4FB" w14:textId="0E567A5B" w:rsidR="001B6724" w:rsidRDefault="001B6724" w:rsidP="001B6724">
      <w:pPr>
        <w:pStyle w:val="BodyText"/>
        <w:rPr>
          <w:lang w:val="en-PH"/>
        </w:rPr>
      </w:pPr>
      <w:r>
        <w:rPr>
          <w:lang w:val="en-PH"/>
        </w:rPr>
        <w:t>Data on health outcomes provided by the HRA include:</w:t>
      </w:r>
    </w:p>
    <w:p w14:paraId="50579A63" w14:textId="7133FD91" w:rsidR="001B6724" w:rsidRDefault="00EB795B" w:rsidP="001B6724">
      <w:pPr>
        <w:pStyle w:val="Bullet1"/>
        <w:rPr>
          <w:lang w:val="en-PH"/>
        </w:rPr>
      </w:pPr>
      <w:r>
        <w:rPr>
          <w:lang w:val="en-PH"/>
        </w:rPr>
        <w:t xml:space="preserve">premature </w:t>
      </w:r>
      <w:r w:rsidR="001B6724">
        <w:rPr>
          <w:lang w:val="en-PH"/>
        </w:rPr>
        <w:t>mortality (deaths brought forward)</w:t>
      </w:r>
    </w:p>
    <w:p w14:paraId="4BCAB390" w14:textId="77777777" w:rsidR="001B6724" w:rsidRDefault="001B6724" w:rsidP="001B6724">
      <w:pPr>
        <w:pStyle w:val="Bullet1"/>
        <w:rPr>
          <w:lang w:val="en-PH"/>
        </w:rPr>
      </w:pPr>
      <w:r>
        <w:rPr>
          <w:lang w:val="en-PH"/>
        </w:rPr>
        <w:t>hospital admissions related to cardiovascular and respiratory diseases</w:t>
      </w:r>
    </w:p>
    <w:p w14:paraId="3A576EDC" w14:textId="77777777" w:rsidR="001B6724" w:rsidRDefault="001B6724" w:rsidP="001B6724">
      <w:pPr>
        <w:pStyle w:val="Bullet1"/>
        <w:rPr>
          <w:lang w:val="en-PH"/>
        </w:rPr>
      </w:pPr>
      <w:r>
        <w:rPr>
          <w:lang w:val="en-PH"/>
        </w:rPr>
        <w:t>emergency department visits.</w:t>
      </w:r>
    </w:p>
    <w:p w14:paraId="19712EBC" w14:textId="44CF1344" w:rsidR="00F36534" w:rsidRDefault="00F36534" w:rsidP="00F36534">
      <w:pPr>
        <w:pStyle w:val="Heading6"/>
        <w:rPr>
          <w:lang w:val="en-PH"/>
        </w:rPr>
      </w:pPr>
      <w:r>
        <w:rPr>
          <w:lang w:val="en-PH"/>
        </w:rPr>
        <w:t>Economic costs of health outcomes</w:t>
      </w:r>
    </w:p>
    <w:p w14:paraId="4744B5B4" w14:textId="3E1D80A5" w:rsidR="001B6724" w:rsidRDefault="001B6724" w:rsidP="001B6724">
      <w:pPr>
        <w:pStyle w:val="BodyText"/>
        <w:rPr>
          <w:lang w:val="en-PH"/>
        </w:rPr>
      </w:pPr>
      <w:r>
        <w:rPr>
          <w:lang w:val="en-PH"/>
        </w:rPr>
        <w:t xml:space="preserve">The economic costs avoided from a reduction in these outcomes </w:t>
      </w:r>
      <w:r w:rsidR="00503110">
        <w:rPr>
          <w:lang w:val="en-PH"/>
        </w:rPr>
        <w:t xml:space="preserve">were </w:t>
      </w:r>
      <w:r>
        <w:rPr>
          <w:lang w:val="en-PH"/>
        </w:rPr>
        <w:t>estimated based on the willingness to pay (WTP) of the population to avoid the risk of premature mortality or a reduced quality of life, avoided hospitalisation costs, and the avoided loss in productivity associated with having to take time off work.</w:t>
      </w:r>
    </w:p>
    <w:p w14:paraId="1FDD3245" w14:textId="60635154" w:rsidR="00A72E9B" w:rsidRDefault="00635F24" w:rsidP="00635F24">
      <w:pPr>
        <w:pStyle w:val="BodyText"/>
        <w:rPr>
          <w:lang w:val="en-PH"/>
        </w:rPr>
      </w:pPr>
      <w:r>
        <w:rPr>
          <w:lang w:val="en-PH"/>
        </w:rPr>
        <w:t xml:space="preserve">The valuation of </w:t>
      </w:r>
      <w:r w:rsidR="0009533B">
        <w:rPr>
          <w:lang w:val="en-PH"/>
        </w:rPr>
        <w:t xml:space="preserve">premature </w:t>
      </w:r>
      <w:r>
        <w:rPr>
          <w:lang w:val="en-PH"/>
        </w:rPr>
        <w:t xml:space="preserve">mortality is based on the concept of the </w:t>
      </w:r>
      <w:r w:rsidRPr="00635F24">
        <w:rPr>
          <w:lang w:val="en-PH"/>
        </w:rPr>
        <w:t xml:space="preserve">value of a statistical life (VSL) </w:t>
      </w:r>
      <w:r>
        <w:rPr>
          <w:lang w:val="en-PH"/>
        </w:rPr>
        <w:t>and the value of a statistical life year (VSLY).</w:t>
      </w:r>
      <w:r w:rsidR="00A72E9B">
        <w:rPr>
          <w:lang w:val="en-PH"/>
        </w:rPr>
        <w:t xml:space="preserve"> The VSL represents the </w:t>
      </w:r>
      <w:r w:rsidR="007B5BEE">
        <w:rPr>
          <w:lang w:val="en-PH"/>
        </w:rPr>
        <w:t xml:space="preserve">WTP </w:t>
      </w:r>
      <w:r w:rsidR="00A72E9B">
        <w:rPr>
          <w:lang w:val="en-PH"/>
        </w:rPr>
        <w:t>of an individual to avoid the statistical risk of premature mortality.</w:t>
      </w:r>
      <w:r w:rsidR="00444699">
        <w:rPr>
          <w:lang w:val="en-PH"/>
        </w:rPr>
        <w:t xml:space="preserve"> The VSL can be estimated through analysis of survey responses or by analysing data on the choices individuals make</w:t>
      </w:r>
      <w:r w:rsidR="003B648E">
        <w:rPr>
          <w:lang w:val="en-PH"/>
        </w:rPr>
        <w:t xml:space="preserve"> in the real world</w:t>
      </w:r>
      <w:r w:rsidR="00444699">
        <w:rPr>
          <w:lang w:val="en-PH"/>
        </w:rPr>
        <w:t xml:space="preserve"> (e.g. by analysing the wage premium a worker needs to accept a job which has a risk of causing mortality).</w:t>
      </w:r>
      <w:r w:rsidR="00B44A9F">
        <w:rPr>
          <w:lang w:val="en-PH"/>
        </w:rPr>
        <w:t xml:space="preserve"> The VSLY is </w:t>
      </w:r>
      <w:r w:rsidR="006D700F">
        <w:rPr>
          <w:lang w:val="en-PH"/>
        </w:rPr>
        <w:t xml:space="preserve">a </w:t>
      </w:r>
      <w:r w:rsidR="00B44A9F">
        <w:rPr>
          <w:lang w:val="en-PH"/>
        </w:rPr>
        <w:t>related concept which measures the risk of bringing forward mortality by one year.</w:t>
      </w:r>
    </w:p>
    <w:p w14:paraId="21F354B8" w14:textId="47B3168D" w:rsidR="00635F24" w:rsidRDefault="001523B0" w:rsidP="00635F24">
      <w:pPr>
        <w:pStyle w:val="BodyText"/>
        <w:rPr>
          <w:lang w:val="en-PH"/>
        </w:rPr>
      </w:pPr>
      <w:r>
        <w:rPr>
          <w:lang w:val="en-PH"/>
        </w:rPr>
        <w:t xml:space="preserve">Premature mortalities </w:t>
      </w:r>
      <w:r w:rsidR="00C66A99">
        <w:rPr>
          <w:lang w:val="en-PH"/>
        </w:rPr>
        <w:t xml:space="preserve">due to chronic (long-term) exposure have </w:t>
      </w:r>
      <w:r w:rsidR="004C2CA6">
        <w:rPr>
          <w:lang w:val="en-PH"/>
        </w:rPr>
        <w:t xml:space="preserve">been valued based on the VSL. This is consistent with almost all of </w:t>
      </w:r>
      <w:r w:rsidR="00635F24" w:rsidRPr="00635F24">
        <w:rPr>
          <w:lang w:val="en-PH"/>
        </w:rPr>
        <w:t xml:space="preserve">the relevant </w:t>
      </w:r>
      <w:r w:rsidR="004C2CA6">
        <w:rPr>
          <w:lang w:val="en-PH"/>
        </w:rPr>
        <w:t xml:space="preserve">air quality CBA </w:t>
      </w:r>
      <w:r w:rsidR="00635F24" w:rsidRPr="00635F24">
        <w:rPr>
          <w:lang w:val="en-PH"/>
        </w:rPr>
        <w:t xml:space="preserve">studies in Australia </w:t>
      </w:r>
      <w:r w:rsidR="004C2CA6">
        <w:rPr>
          <w:lang w:val="en-PH"/>
        </w:rPr>
        <w:t>(e.g. Boulter and Kulkarni, 2013)</w:t>
      </w:r>
      <w:r w:rsidR="00635F24" w:rsidRPr="00635F24">
        <w:rPr>
          <w:lang w:val="en-PH"/>
        </w:rPr>
        <w:t>.</w:t>
      </w:r>
      <w:r>
        <w:rPr>
          <w:lang w:val="en-PH"/>
        </w:rPr>
        <w:t xml:space="preserve"> Premature mortalities due to acute (short-term) exposure have been valued based on the VSLY. </w:t>
      </w:r>
      <w:r w:rsidR="0000587E">
        <w:rPr>
          <w:lang w:val="en-PH"/>
        </w:rPr>
        <w:t xml:space="preserve">This </w:t>
      </w:r>
      <w:r w:rsidR="00BA0661">
        <w:rPr>
          <w:lang w:val="en-PH"/>
        </w:rPr>
        <w:t xml:space="preserve">reflects </w:t>
      </w:r>
      <w:r w:rsidR="00BA0661">
        <w:rPr>
          <w:lang w:val="en-PH"/>
        </w:rPr>
        <w:lastRenderedPageBreak/>
        <w:t>that acute premature mortality tends to affect the population with an already comprised health status (e.g. the elderly</w:t>
      </w:r>
      <w:r w:rsidR="009728A4">
        <w:rPr>
          <w:lang w:val="en-PH"/>
        </w:rPr>
        <w:t>), and therefore the expected shortening of life expectancy is much lower compared to chronic mortality.</w:t>
      </w:r>
    </w:p>
    <w:p w14:paraId="700939A8" w14:textId="77777777" w:rsidR="00480227" w:rsidRDefault="00480227" w:rsidP="00635F24">
      <w:pPr>
        <w:pStyle w:val="BodyText"/>
        <w:rPr>
          <w:lang w:val="en-PH"/>
        </w:rPr>
      </w:pPr>
      <w:r>
        <w:rPr>
          <w:lang w:val="en-PH"/>
        </w:rPr>
        <w:t>The remaining health outcomes incorporate:</w:t>
      </w:r>
    </w:p>
    <w:p w14:paraId="3C74F04C" w14:textId="68C6C4F0" w:rsidR="00480227" w:rsidRDefault="00480227" w:rsidP="00480227">
      <w:pPr>
        <w:pStyle w:val="Bullet1"/>
        <w:rPr>
          <w:lang w:val="en-PH"/>
        </w:rPr>
      </w:pPr>
      <w:r>
        <w:rPr>
          <w:lang w:val="en-PH"/>
        </w:rPr>
        <w:t>the concept of ‘disability weights’</w:t>
      </w:r>
      <w:r w:rsidR="00363BE4">
        <w:rPr>
          <w:lang w:val="en-PH"/>
        </w:rPr>
        <w:t xml:space="preserve"> (Access Economic, 2008)</w:t>
      </w:r>
      <w:r>
        <w:rPr>
          <w:lang w:val="en-PH"/>
        </w:rPr>
        <w:t>, which relates to the WTP to avoid the discomfort associated with the health condition</w:t>
      </w:r>
      <w:r w:rsidR="00377A5A">
        <w:rPr>
          <w:lang w:val="en-PH"/>
        </w:rPr>
        <w:t xml:space="preserve"> over a year</w:t>
      </w:r>
      <w:r>
        <w:rPr>
          <w:lang w:val="en-PH"/>
        </w:rPr>
        <w:t xml:space="preserve">, expressed as a fraction of </w:t>
      </w:r>
      <w:r w:rsidR="00132F30">
        <w:rPr>
          <w:lang w:val="en-PH"/>
        </w:rPr>
        <w:t>the VSLY</w:t>
      </w:r>
    </w:p>
    <w:p w14:paraId="07CA197C" w14:textId="47202B23" w:rsidR="00132F30" w:rsidRDefault="00C11EC9" w:rsidP="00480227">
      <w:pPr>
        <w:pStyle w:val="Bullet1"/>
        <w:rPr>
          <w:lang w:val="en-PH"/>
        </w:rPr>
      </w:pPr>
      <w:r>
        <w:rPr>
          <w:lang w:val="en-PH"/>
        </w:rPr>
        <w:t xml:space="preserve">the </w:t>
      </w:r>
      <w:r w:rsidR="002B73A3">
        <w:rPr>
          <w:lang w:val="en-PH"/>
        </w:rPr>
        <w:t>resources costs associated with hospitalisation</w:t>
      </w:r>
    </w:p>
    <w:p w14:paraId="71BB2CAF" w14:textId="1238EE29" w:rsidR="00617ED6" w:rsidRDefault="00617ED6" w:rsidP="00480227">
      <w:pPr>
        <w:pStyle w:val="Bullet1"/>
        <w:rPr>
          <w:lang w:val="en-PH"/>
        </w:rPr>
      </w:pPr>
      <w:r>
        <w:rPr>
          <w:lang w:val="en-PH"/>
        </w:rPr>
        <w:t xml:space="preserve">the cost of lost productivity from workers not being at work due to </w:t>
      </w:r>
      <w:r w:rsidR="001E6803">
        <w:rPr>
          <w:lang w:val="en-PH"/>
        </w:rPr>
        <w:t>hospitali</w:t>
      </w:r>
      <w:r w:rsidR="000558CA">
        <w:rPr>
          <w:lang w:val="en-PH"/>
        </w:rPr>
        <w:t>s</w:t>
      </w:r>
      <w:r w:rsidR="001E6803">
        <w:rPr>
          <w:lang w:val="en-PH"/>
        </w:rPr>
        <w:t>ation.</w:t>
      </w:r>
    </w:p>
    <w:p w14:paraId="31FB94AE" w14:textId="361AE1E9" w:rsidR="001B6724" w:rsidRDefault="001B6724" w:rsidP="001B6724">
      <w:pPr>
        <w:pStyle w:val="BodyText"/>
        <w:rPr>
          <w:lang w:val="en-PH"/>
        </w:rPr>
      </w:pPr>
      <w:r>
        <w:rPr>
          <w:lang w:val="en-PH"/>
        </w:rPr>
        <w:t xml:space="preserve">Assumptions relating to </w:t>
      </w:r>
      <w:r w:rsidR="00842348">
        <w:rPr>
          <w:lang w:val="en-PH"/>
        </w:rPr>
        <w:t>the valuati</w:t>
      </w:r>
      <w:r w:rsidR="00CC3E11">
        <w:rPr>
          <w:lang w:val="en-PH"/>
        </w:rPr>
        <w:t>on</w:t>
      </w:r>
      <w:r w:rsidR="00842348">
        <w:rPr>
          <w:lang w:val="en-PH"/>
        </w:rPr>
        <w:t xml:space="preserve"> of health outcomes </w:t>
      </w:r>
      <w:r>
        <w:rPr>
          <w:lang w:val="en-PH"/>
        </w:rPr>
        <w:t xml:space="preserve">are summarised in </w:t>
      </w:r>
      <w:r w:rsidR="006A66EE">
        <w:rPr>
          <w:highlight w:val="yellow"/>
          <w:lang w:val="en-PH"/>
        </w:rPr>
        <w:fldChar w:fldCharType="begin"/>
      </w:r>
      <w:r w:rsidR="006A66EE">
        <w:rPr>
          <w:lang w:val="en-PH"/>
        </w:rPr>
        <w:instrText xml:space="preserve"> REF _Ref508462681 \h </w:instrText>
      </w:r>
      <w:r w:rsidR="006A66EE">
        <w:rPr>
          <w:highlight w:val="yellow"/>
          <w:lang w:val="en-PH"/>
        </w:rPr>
      </w:r>
      <w:r w:rsidR="006A66EE">
        <w:rPr>
          <w:highlight w:val="yellow"/>
          <w:lang w:val="en-PH"/>
        </w:rPr>
        <w:fldChar w:fldCharType="separate"/>
      </w:r>
      <w:r w:rsidR="00A50702">
        <w:t xml:space="preserve">Table </w:t>
      </w:r>
      <w:r w:rsidR="00A50702">
        <w:rPr>
          <w:noProof/>
        </w:rPr>
        <w:t>3</w:t>
      </w:r>
      <w:r w:rsidR="00A50702">
        <w:noBreakHyphen/>
      </w:r>
      <w:r w:rsidR="00A50702">
        <w:rPr>
          <w:noProof/>
        </w:rPr>
        <w:t>2</w:t>
      </w:r>
      <w:r w:rsidR="006A66EE">
        <w:rPr>
          <w:highlight w:val="yellow"/>
          <w:lang w:val="en-PH"/>
        </w:rPr>
        <w:fldChar w:fldCharType="end"/>
      </w:r>
      <w:r>
        <w:rPr>
          <w:lang w:val="en-PH"/>
        </w:rPr>
        <w:t>.</w:t>
      </w:r>
    </w:p>
    <w:p w14:paraId="4E094B47" w14:textId="667CB662" w:rsidR="000B52BB" w:rsidRDefault="000B52BB" w:rsidP="000B52BB">
      <w:pPr>
        <w:pStyle w:val="Caption"/>
      </w:pPr>
      <w:bookmarkStart w:id="27" w:name="_Ref508462681"/>
      <w:bookmarkStart w:id="28" w:name="_Toc518629916"/>
      <w:r>
        <w:t xml:space="preserve">Table </w:t>
      </w:r>
      <w:r>
        <w:fldChar w:fldCharType="begin"/>
      </w:r>
      <w:r>
        <w:instrText xml:space="preserve"> STYLEREF 1 \s </w:instrText>
      </w:r>
      <w:r>
        <w:fldChar w:fldCharType="separate"/>
      </w:r>
      <w:r w:rsidR="00A50702">
        <w:rPr>
          <w:noProof/>
        </w:rPr>
        <w:t>3</w:t>
      </w:r>
      <w:r>
        <w:fldChar w:fldCharType="end"/>
      </w:r>
      <w:r>
        <w:noBreakHyphen/>
      </w:r>
      <w:r>
        <w:fldChar w:fldCharType="begin"/>
      </w:r>
      <w:r>
        <w:instrText xml:space="preserve"> SEQ Table \* ARABIC \s 1 </w:instrText>
      </w:r>
      <w:r>
        <w:fldChar w:fldCharType="separate"/>
      </w:r>
      <w:r w:rsidR="00A50702">
        <w:rPr>
          <w:noProof/>
        </w:rPr>
        <w:t>2</w:t>
      </w:r>
      <w:r>
        <w:fldChar w:fldCharType="end"/>
      </w:r>
      <w:bookmarkEnd w:id="27"/>
      <w:r>
        <w:t xml:space="preserve"> </w:t>
      </w:r>
      <w:r w:rsidRPr="007F33E0">
        <w:t xml:space="preserve">Assumptions </w:t>
      </w:r>
      <w:r w:rsidR="001B47B7">
        <w:t xml:space="preserve">for economic value of </w:t>
      </w:r>
      <w:r w:rsidRPr="007F33E0">
        <w:t>health outcomes</w:t>
      </w:r>
      <w:bookmarkEnd w:id="28"/>
    </w:p>
    <w:tbl>
      <w:tblPr>
        <w:tblStyle w:val="AureconTable4"/>
        <w:tblW w:w="9634" w:type="dxa"/>
        <w:tblInd w:w="-5" w:type="dxa"/>
        <w:tblLook w:val="04A0" w:firstRow="1" w:lastRow="0" w:firstColumn="1" w:lastColumn="0" w:noHBand="0" w:noVBand="1"/>
      </w:tblPr>
      <w:tblGrid>
        <w:gridCol w:w="3261"/>
        <w:gridCol w:w="2409"/>
        <w:gridCol w:w="3964"/>
      </w:tblGrid>
      <w:tr w:rsidR="007D2321" w14:paraId="57FA3010" w14:textId="4F20B283" w:rsidTr="009622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61" w:type="dxa"/>
          </w:tcPr>
          <w:p w14:paraId="4826F618" w14:textId="643377F5" w:rsidR="007D2321" w:rsidRDefault="007D2321" w:rsidP="002147BA">
            <w:pPr>
              <w:pStyle w:val="Bullet1"/>
              <w:numPr>
                <w:ilvl w:val="0"/>
                <w:numId w:val="0"/>
              </w:numPr>
              <w:jc w:val="center"/>
            </w:pPr>
            <w:r>
              <w:t>Assumption</w:t>
            </w:r>
          </w:p>
        </w:tc>
        <w:tc>
          <w:tcPr>
            <w:tcW w:w="2409" w:type="dxa"/>
          </w:tcPr>
          <w:p w14:paraId="19BBE2D8" w14:textId="4C978B56" w:rsidR="007D2321" w:rsidRDefault="007D2321" w:rsidP="002147BA">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pPr>
            <w:r>
              <w:t>Value</w:t>
            </w:r>
            <w:r w:rsidR="00E426E4">
              <w:t xml:space="preserve"> (2016 prices)</w:t>
            </w:r>
          </w:p>
        </w:tc>
        <w:tc>
          <w:tcPr>
            <w:tcW w:w="3964" w:type="dxa"/>
          </w:tcPr>
          <w:p w14:paraId="346D33D1" w14:textId="25115A97" w:rsidR="007D2321" w:rsidRDefault="007D2321" w:rsidP="002147BA">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pPr>
            <w:r>
              <w:t>Based on</w:t>
            </w:r>
          </w:p>
        </w:tc>
      </w:tr>
      <w:tr w:rsidR="007D2321" w14:paraId="4640627B" w14:textId="5C69A5CD" w:rsidTr="0096225F">
        <w:tc>
          <w:tcPr>
            <w:cnfStyle w:val="001000000000" w:firstRow="0" w:lastRow="0" w:firstColumn="1" w:lastColumn="0" w:oddVBand="0" w:evenVBand="0" w:oddHBand="0" w:evenHBand="0" w:firstRowFirstColumn="0" w:firstRowLastColumn="0" w:lastRowFirstColumn="0" w:lastRowLastColumn="0"/>
            <w:tcW w:w="3261" w:type="dxa"/>
          </w:tcPr>
          <w:p w14:paraId="3412CD79" w14:textId="129C0CD2" w:rsidR="007D2321" w:rsidRPr="00D41908" w:rsidRDefault="00E426E4" w:rsidP="002147BA">
            <w:pPr>
              <w:pStyle w:val="Bullet1"/>
              <w:numPr>
                <w:ilvl w:val="0"/>
                <w:numId w:val="0"/>
              </w:numPr>
              <w:jc w:val="center"/>
              <w:rPr>
                <w:szCs w:val="18"/>
              </w:rPr>
            </w:pPr>
            <w:r w:rsidRPr="00D41908">
              <w:rPr>
                <w:szCs w:val="18"/>
              </w:rPr>
              <w:t>V</w:t>
            </w:r>
            <w:r w:rsidR="00FB3A5F" w:rsidRPr="00D41908">
              <w:rPr>
                <w:szCs w:val="18"/>
              </w:rPr>
              <w:t>alue of a statistical life</w:t>
            </w:r>
          </w:p>
        </w:tc>
        <w:tc>
          <w:tcPr>
            <w:tcW w:w="2409" w:type="dxa"/>
          </w:tcPr>
          <w:p w14:paraId="506177DE" w14:textId="101ED584" w:rsidR="007D2321" w:rsidRPr="00D41908" w:rsidRDefault="00E426E4" w:rsidP="002147BA">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$7.4 m</w:t>
            </w:r>
            <w:r w:rsidR="002F113A">
              <w:rPr>
                <w:szCs w:val="18"/>
              </w:rPr>
              <w:t xml:space="preserve"> </w:t>
            </w:r>
            <w:r w:rsidR="002F113A" w:rsidRPr="00731F44">
              <w:rPr>
                <w:szCs w:val="18"/>
                <w:vertAlign w:val="superscript"/>
              </w:rPr>
              <w:t>^</w:t>
            </w:r>
          </w:p>
        </w:tc>
        <w:tc>
          <w:tcPr>
            <w:tcW w:w="3964" w:type="dxa"/>
          </w:tcPr>
          <w:p w14:paraId="5C0A913F" w14:textId="7988DC83" w:rsidR="007D2321" w:rsidRPr="00D41908" w:rsidRDefault="00E426E4" w:rsidP="002147BA">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Access Economics (2008)</w:t>
            </w:r>
          </w:p>
        </w:tc>
      </w:tr>
      <w:tr w:rsidR="00FB3A5F" w14:paraId="25253B60" w14:textId="1C730DAF" w:rsidTr="0096225F">
        <w:tc>
          <w:tcPr>
            <w:cnfStyle w:val="001000000000" w:firstRow="0" w:lastRow="0" w:firstColumn="1" w:lastColumn="0" w:oddVBand="0" w:evenVBand="0" w:oddHBand="0" w:evenHBand="0" w:firstRowFirstColumn="0" w:firstRowLastColumn="0" w:lastRowFirstColumn="0" w:lastRowLastColumn="0"/>
            <w:tcW w:w="3261" w:type="dxa"/>
          </w:tcPr>
          <w:p w14:paraId="2F0ED290" w14:textId="7E583888" w:rsidR="00FB3A5F" w:rsidRPr="00D41908" w:rsidRDefault="00FB3A5F" w:rsidP="00FB3A5F">
            <w:pPr>
              <w:pStyle w:val="Bullet1"/>
              <w:numPr>
                <w:ilvl w:val="0"/>
                <w:numId w:val="0"/>
              </w:numPr>
              <w:jc w:val="center"/>
              <w:rPr>
                <w:szCs w:val="18"/>
              </w:rPr>
            </w:pPr>
            <w:r w:rsidRPr="00D41908">
              <w:rPr>
                <w:szCs w:val="18"/>
              </w:rPr>
              <w:t>Value of a statistical life year</w:t>
            </w:r>
          </w:p>
        </w:tc>
        <w:tc>
          <w:tcPr>
            <w:tcW w:w="2409" w:type="dxa"/>
          </w:tcPr>
          <w:p w14:paraId="66B0BBE5" w14:textId="3309E1DF" w:rsidR="00FB3A5F" w:rsidRPr="00D41908" w:rsidRDefault="00FB3A5F" w:rsidP="00FB3A5F">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$320,000</w:t>
            </w:r>
          </w:p>
        </w:tc>
        <w:tc>
          <w:tcPr>
            <w:tcW w:w="3964" w:type="dxa"/>
          </w:tcPr>
          <w:p w14:paraId="04E0A65B" w14:textId="69C915DA" w:rsidR="00FB3A5F" w:rsidRPr="00D41908" w:rsidRDefault="00FB3A5F" w:rsidP="00FB3A5F">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Access Economics (2008)</w:t>
            </w:r>
          </w:p>
        </w:tc>
      </w:tr>
      <w:tr w:rsidR="00790376" w14:paraId="1E444FF5" w14:textId="77777777" w:rsidTr="0096225F">
        <w:tc>
          <w:tcPr>
            <w:cnfStyle w:val="001000000000" w:firstRow="0" w:lastRow="0" w:firstColumn="1" w:lastColumn="0" w:oddVBand="0" w:evenVBand="0" w:oddHBand="0" w:evenHBand="0" w:firstRowFirstColumn="0" w:firstRowLastColumn="0" w:lastRowFirstColumn="0" w:lastRowLastColumn="0"/>
            <w:tcW w:w="3261" w:type="dxa"/>
          </w:tcPr>
          <w:p w14:paraId="0349C3B2" w14:textId="3528369E" w:rsidR="00790376" w:rsidRPr="00D41908" w:rsidRDefault="00790376" w:rsidP="00FB3A5F">
            <w:pPr>
              <w:pStyle w:val="Bullet1"/>
              <w:numPr>
                <w:ilvl w:val="0"/>
                <w:numId w:val="0"/>
              </w:numPr>
              <w:jc w:val="center"/>
              <w:rPr>
                <w:szCs w:val="18"/>
              </w:rPr>
            </w:pPr>
            <w:r w:rsidRPr="00D41908">
              <w:rPr>
                <w:szCs w:val="18"/>
              </w:rPr>
              <w:t>Life years lost due to acute mortality</w:t>
            </w:r>
          </w:p>
        </w:tc>
        <w:tc>
          <w:tcPr>
            <w:tcW w:w="2409" w:type="dxa"/>
          </w:tcPr>
          <w:p w14:paraId="3FE533D8" w14:textId="6ADFB361" w:rsidR="00790376" w:rsidRPr="00D41908" w:rsidRDefault="00174B7B" w:rsidP="00FB3A5F">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0.5</w:t>
            </w:r>
          </w:p>
        </w:tc>
        <w:tc>
          <w:tcPr>
            <w:tcW w:w="3964" w:type="dxa"/>
          </w:tcPr>
          <w:p w14:paraId="5702B771" w14:textId="1FDCC690" w:rsidR="00790376" w:rsidRPr="00D41908" w:rsidRDefault="00174B7B" w:rsidP="00FB3A5F">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DEFRA (2013)</w:t>
            </w:r>
          </w:p>
        </w:tc>
      </w:tr>
      <w:tr w:rsidR="00D73567" w14:paraId="1C7C67FD" w14:textId="395A91E1" w:rsidTr="0096225F">
        <w:tc>
          <w:tcPr>
            <w:cnfStyle w:val="001000000000" w:firstRow="0" w:lastRow="0" w:firstColumn="1" w:lastColumn="0" w:oddVBand="0" w:evenVBand="0" w:oddHBand="0" w:evenHBand="0" w:firstRowFirstColumn="0" w:firstRowLastColumn="0" w:lastRowFirstColumn="0" w:lastRowLastColumn="0"/>
            <w:tcW w:w="3261" w:type="dxa"/>
          </w:tcPr>
          <w:p w14:paraId="20639D08" w14:textId="4E39A0A2" w:rsidR="00D73567" w:rsidRPr="00D41908" w:rsidRDefault="00D73567" w:rsidP="00D73567">
            <w:pPr>
              <w:pStyle w:val="Bullet1"/>
              <w:numPr>
                <w:ilvl w:val="0"/>
                <w:numId w:val="0"/>
              </w:numPr>
              <w:jc w:val="center"/>
              <w:rPr>
                <w:szCs w:val="18"/>
              </w:rPr>
            </w:pPr>
            <w:r w:rsidRPr="00D41908">
              <w:rPr>
                <w:szCs w:val="18"/>
              </w:rPr>
              <w:t>WTP to avoid illness (respiratory)</w:t>
            </w:r>
          </w:p>
        </w:tc>
        <w:tc>
          <w:tcPr>
            <w:tcW w:w="2409" w:type="dxa"/>
          </w:tcPr>
          <w:p w14:paraId="288BF680" w14:textId="50CCCEDF" w:rsidR="00D73567" w:rsidRPr="00D41908" w:rsidRDefault="00D62A5F" w:rsidP="00D73567">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$431</w:t>
            </w:r>
          </w:p>
        </w:tc>
        <w:tc>
          <w:tcPr>
            <w:tcW w:w="3964" w:type="dxa"/>
          </w:tcPr>
          <w:p w14:paraId="629B2DA4" w14:textId="55524481" w:rsidR="00D73567" w:rsidRPr="00D41908" w:rsidRDefault="00D73567" w:rsidP="00D73567">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Access Economics (2008)</w:t>
            </w:r>
            <w:r w:rsidR="0096225F" w:rsidRPr="00D41908">
              <w:rPr>
                <w:szCs w:val="18"/>
              </w:rPr>
              <w:t xml:space="preserve"> disability weights</w:t>
            </w:r>
          </w:p>
        </w:tc>
      </w:tr>
      <w:tr w:rsidR="00FD3B2B" w14:paraId="1BFB3308" w14:textId="77777777" w:rsidTr="0096225F">
        <w:tc>
          <w:tcPr>
            <w:cnfStyle w:val="001000000000" w:firstRow="0" w:lastRow="0" w:firstColumn="1" w:lastColumn="0" w:oddVBand="0" w:evenVBand="0" w:oddHBand="0" w:evenHBand="0" w:firstRowFirstColumn="0" w:firstRowLastColumn="0" w:lastRowFirstColumn="0" w:lastRowLastColumn="0"/>
            <w:tcW w:w="3261" w:type="dxa"/>
          </w:tcPr>
          <w:p w14:paraId="01A99739" w14:textId="2983B764" w:rsidR="00FD3B2B" w:rsidRPr="00D41908" w:rsidRDefault="00FD3B2B" w:rsidP="00FD3B2B">
            <w:pPr>
              <w:pStyle w:val="Bullet1"/>
              <w:numPr>
                <w:ilvl w:val="0"/>
                <w:numId w:val="0"/>
              </w:numPr>
              <w:jc w:val="center"/>
              <w:rPr>
                <w:szCs w:val="18"/>
              </w:rPr>
            </w:pPr>
            <w:r w:rsidRPr="00D41908">
              <w:rPr>
                <w:szCs w:val="18"/>
              </w:rPr>
              <w:t>WTP to avoid illness (cardiovascular)</w:t>
            </w:r>
          </w:p>
        </w:tc>
        <w:tc>
          <w:tcPr>
            <w:tcW w:w="2409" w:type="dxa"/>
          </w:tcPr>
          <w:p w14:paraId="621B0B9E" w14:textId="0090EAB6" w:rsidR="00FD3B2B" w:rsidRPr="00D41908" w:rsidRDefault="00D62A5F" w:rsidP="00FD3B2B">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$584</w:t>
            </w:r>
          </w:p>
        </w:tc>
        <w:tc>
          <w:tcPr>
            <w:tcW w:w="3964" w:type="dxa"/>
          </w:tcPr>
          <w:p w14:paraId="4299A928" w14:textId="13DD5076" w:rsidR="00FD3B2B" w:rsidRPr="00D41908" w:rsidRDefault="00FD3B2B" w:rsidP="00FD3B2B">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Access Economics (2008) disability weights</w:t>
            </w:r>
          </w:p>
        </w:tc>
      </w:tr>
      <w:tr w:rsidR="00FD3B2B" w14:paraId="59A4CB34" w14:textId="77777777" w:rsidTr="0096225F">
        <w:tc>
          <w:tcPr>
            <w:cnfStyle w:val="001000000000" w:firstRow="0" w:lastRow="0" w:firstColumn="1" w:lastColumn="0" w:oddVBand="0" w:evenVBand="0" w:oddHBand="0" w:evenHBand="0" w:firstRowFirstColumn="0" w:firstRowLastColumn="0" w:lastRowFirstColumn="0" w:lastRowLastColumn="0"/>
            <w:tcW w:w="3261" w:type="dxa"/>
          </w:tcPr>
          <w:p w14:paraId="3F596DF0" w14:textId="4D435215" w:rsidR="00FD3B2B" w:rsidRPr="00D41908" w:rsidRDefault="00BE5BDC" w:rsidP="00FD3B2B">
            <w:pPr>
              <w:pStyle w:val="Bullet1"/>
              <w:numPr>
                <w:ilvl w:val="0"/>
                <w:numId w:val="0"/>
              </w:numPr>
              <w:jc w:val="center"/>
              <w:rPr>
                <w:szCs w:val="18"/>
              </w:rPr>
            </w:pPr>
            <w:r w:rsidRPr="00D41908">
              <w:rPr>
                <w:szCs w:val="18"/>
              </w:rPr>
              <w:t>Average weekly earnings (AWE)</w:t>
            </w:r>
          </w:p>
        </w:tc>
        <w:tc>
          <w:tcPr>
            <w:tcW w:w="2409" w:type="dxa"/>
          </w:tcPr>
          <w:p w14:paraId="64DB59B1" w14:textId="27890D4F" w:rsidR="00FD3B2B" w:rsidRPr="00D41908" w:rsidRDefault="00BE5BDC" w:rsidP="00FD3B2B">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$1,161</w:t>
            </w:r>
          </w:p>
        </w:tc>
        <w:tc>
          <w:tcPr>
            <w:tcW w:w="3964" w:type="dxa"/>
          </w:tcPr>
          <w:p w14:paraId="4E0CBC68" w14:textId="0FDB8915" w:rsidR="00FD3B2B" w:rsidRPr="00D41908" w:rsidRDefault="00BE5BDC" w:rsidP="00FD3B2B">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ABS Cat. No 6302 AWE Australia (May 2016)</w:t>
            </w:r>
          </w:p>
        </w:tc>
      </w:tr>
      <w:tr w:rsidR="00F912C1" w14:paraId="5F421561" w14:textId="77777777" w:rsidTr="0096225F">
        <w:tc>
          <w:tcPr>
            <w:cnfStyle w:val="001000000000" w:firstRow="0" w:lastRow="0" w:firstColumn="1" w:lastColumn="0" w:oddVBand="0" w:evenVBand="0" w:oddHBand="0" w:evenHBand="0" w:firstRowFirstColumn="0" w:firstRowLastColumn="0" w:lastRowFirstColumn="0" w:lastRowLastColumn="0"/>
            <w:tcW w:w="3261" w:type="dxa"/>
          </w:tcPr>
          <w:p w14:paraId="1D601BD4" w14:textId="2416E7A9" w:rsidR="00F912C1" w:rsidRPr="00D41908" w:rsidRDefault="003B611B" w:rsidP="00FD3B2B">
            <w:pPr>
              <w:pStyle w:val="Bullet1"/>
              <w:numPr>
                <w:ilvl w:val="0"/>
                <w:numId w:val="0"/>
              </w:numPr>
              <w:jc w:val="center"/>
              <w:rPr>
                <w:szCs w:val="18"/>
              </w:rPr>
            </w:pPr>
            <w:r w:rsidRPr="00D41908">
              <w:rPr>
                <w:szCs w:val="18"/>
              </w:rPr>
              <w:t>Hospital stay (respiratory)</w:t>
            </w:r>
          </w:p>
        </w:tc>
        <w:tc>
          <w:tcPr>
            <w:tcW w:w="2409" w:type="dxa"/>
          </w:tcPr>
          <w:p w14:paraId="0B184878" w14:textId="19578B34" w:rsidR="00F912C1" w:rsidRPr="00D41908" w:rsidRDefault="003B611B" w:rsidP="00FD3B2B">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3 days</w:t>
            </w:r>
          </w:p>
        </w:tc>
        <w:tc>
          <w:tcPr>
            <w:tcW w:w="3964" w:type="dxa"/>
          </w:tcPr>
          <w:p w14:paraId="3DA0DCC4" w14:textId="1B02B947" w:rsidR="00F912C1" w:rsidRPr="00D41908" w:rsidRDefault="00CA47BE" w:rsidP="00FD3B2B">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431C31">
              <w:rPr>
                <w:szCs w:val="18"/>
              </w:rPr>
              <w:t>AIHW</w:t>
            </w:r>
            <w:r w:rsidR="00431C31" w:rsidRPr="00431C31">
              <w:rPr>
                <w:szCs w:val="18"/>
              </w:rPr>
              <w:t xml:space="preserve"> (2015)</w:t>
            </w:r>
          </w:p>
        </w:tc>
      </w:tr>
      <w:tr w:rsidR="00CA47BE" w14:paraId="47C08670" w14:textId="77777777" w:rsidTr="0096225F">
        <w:tc>
          <w:tcPr>
            <w:cnfStyle w:val="001000000000" w:firstRow="0" w:lastRow="0" w:firstColumn="1" w:lastColumn="0" w:oddVBand="0" w:evenVBand="0" w:oddHBand="0" w:evenHBand="0" w:firstRowFirstColumn="0" w:firstRowLastColumn="0" w:lastRowFirstColumn="0" w:lastRowLastColumn="0"/>
            <w:tcW w:w="3261" w:type="dxa"/>
          </w:tcPr>
          <w:p w14:paraId="6C87D256" w14:textId="3D5CDE96" w:rsidR="00CA47BE" w:rsidRPr="00D41908" w:rsidRDefault="003B611B" w:rsidP="00FD3B2B">
            <w:pPr>
              <w:pStyle w:val="Bullet1"/>
              <w:numPr>
                <w:ilvl w:val="0"/>
                <w:numId w:val="0"/>
              </w:numPr>
              <w:jc w:val="center"/>
              <w:rPr>
                <w:szCs w:val="18"/>
              </w:rPr>
            </w:pPr>
            <w:r w:rsidRPr="00D41908">
              <w:rPr>
                <w:szCs w:val="18"/>
              </w:rPr>
              <w:t>Hospital stay (cardiovascular)</w:t>
            </w:r>
          </w:p>
        </w:tc>
        <w:tc>
          <w:tcPr>
            <w:tcW w:w="2409" w:type="dxa"/>
          </w:tcPr>
          <w:p w14:paraId="319D2727" w14:textId="60A47DB5" w:rsidR="00CA47BE" w:rsidRPr="00D41908" w:rsidRDefault="00FB11E0" w:rsidP="00FD3B2B">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3.8 days</w:t>
            </w:r>
          </w:p>
        </w:tc>
        <w:tc>
          <w:tcPr>
            <w:tcW w:w="3964" w:type="dxa"/>
          </w:tcPr>
          <w:p w14:paraId="74F3CB05" w14:textId="1C35715E" w:rsidR="00CA47BE" w:rsidRPr="00D41908" w:rsidRDefault="00431C31" w:rsidP="00FD3B2B">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431C31">
              <w:rPr>
                <w:szCs w:val="18"/>
              </w:rPr>
              <w:t>AIHW (2015)</w:t>
            </w:r>
          </w:p>
        </w:tc>
      </w:tr>
      <w:tr w:rsidR="00CD5EDF" w14:paraId="2E202124" w14:textId="77777777" w:rsidTr="0096225F">
        <w:tc>
          <w:tcPr>
            <w:cnfStyle w:val="001000000000" w:firstRow="0" w:lastRow="0" w:firstColumn="1" w:lastColumn="0" w:oddVBand="0" w:evenVBand="0" w:oddHBand="0" w:evenHBand="0" w:firstRowFirstColumn="0" w:firstRowLastColumn="0" w:lastRowFirstColumn="0" w:lastRowLastColumn="0"/>
            <w:tcW w:w="3261" w:type="dxa"/>
          </w:tcPr>
          <w:p w14:paraId="6AEAF0D2" w14:textId="5D989778" w:rsidR="00CD5EDF" w:rsidRPr="00D41908" w:rsidRDefault="00CD5EDF" w:rsidP="00FD3B2B">
            <w:pPr>
              <w:pStyle w:val="Bullet1"/>
              <w:numPr>
                <w:ilvl w:val="0"/>
                <w:numId w:val="0"/>
              </w:numPr>
              <w:jc w:val="center"/>
              <w:rPr>
                <w:szCs w:val="18"/>
              </w:rPr>
            </w:pPr>
            <w:r w:rsidRPr="00D41908">
              <w:rPr>
                <w:szCs w:val="18"/>
              </w:rPr>
              <w:t>Lost productivity (respiratory)</w:t>
            </w:r>
          </w:p>
        </w:tc>
        <w:tc>
          <w:tcPr>
            <w:tcW w:w="2409" w:type="dxa"/>
          </w:tcPr>
          <w:p w14:paraId="5225893F" w14:textId="7771C28E" w:rsidR="00CD5EDF" w:rsidRPr="00D41908" w:rsidRDefault="00B67D3C" w:rsidP="00FD3B2B">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$697</w:t>
            </w:r>
          </w:p>
        </w:tc>
        <w:tc>
          <w:tcPr>
            <w:tcW w:w="3964" w:type="dxa"/>
          </w:tcPr>
          <w:p w14:paraId="050F1187" w14:textId="550AA259" w:rsidR="00CD5EDF" w:rsidRPr="00D41908" w:rsidRDefault="0090256F" w:rsidP="00FD3B2B">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highlight w:val="yellow"/>
              </w:rPr>
            </w:pPr>
            <w:r w:rsidRPr="00D41908">
              <w:rPr>
                <w:szCs w:val="18"/>
              </w:rPr>
              <w:t>Calculated based on above assumptions</w:t>
            </w:r>
          </w:p>
        </w:tc>
      </w:tr>
      <w:tr w:rsidR="00CD5EDF" w14:paraId="397C53DB" w14:textId="77777777" w:rsidTr="0096225F">
        <w:tc>
          <w:tcPr>
            <w:cnfStyle w:val="001000000000" w:firstRow="0" w:lastRow="0" w:firstColumn="1" w:lastColumn="0" w:oddVBand="0" w:evenVBand="0" w:oddHBand="0" w:evenHBand="0" w:firstRowFirstColumn="0" w:firstRowLastColumn="0" w:lastRowFirstColumn="0" w:lastRowLastColumn="0"/>
            <w:tcW w:w="3261" w:type="dxa"/>
          </w:tcPr>
          <w:p w14:paraId="5BA513C0" w14:textId="295D2051" w:rsidR="00CD5EDF" w:rsidRPr="00D41908" w:rsidRDefault="00CD5EDF" w:rsidP="00FD3B2B">
            <w:pPr>
              <w:pStyle w:val="Bullet1"/>
              <w:numPr>
                <w:ilvl w:val="0"/>
                <w:numId w:val="0"/>
              </w:numPr>
              <w:jc w:val="center"/>
              <w:rPr>
                <w:szCs w:val="18"/>
              </w:rPr>
            </w:pPr>
            <w:r w:rsidRPr="00D41908">
              <w:rPr>
                <w:szCs w:val="18"/>
              </w:rPr>
              <w:t>Lost productivity (cardiovascular)</w:t>
            </w:r>
          </w:p>
        </w:tc>
        <w:tc>
          <w:tcPr>
            <w:tcW w:w="2409" w:type="dxa"/>
          </w:tcPr>
          <w:p w14:paraId="66F3859D" w14:textId="764AE09F" w:rsidR="00CD5EDF" w:rsidRPr="00D41908" w:rsidRDefault="00B67D3C" w:rsidP="00FD3B2B">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$871</w:t>
            </w:r>
          </w:p>
        </w:tc>
        <w:tc>
          <w:tcPr>
            <w:tcW w:w="3964" w:type="dxa"/>
          </w:tcPr>
          <w:p w14:paraId="2759C236" w14:textId="2F38998E" w:rsidR="00CD5EDF" w:rsidRPr="00D41908" w:rsidRDefault="0090256F" w:rsidP="00FD3B2B">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highlight w:val="yellow"/>
              </w:rPr>
            </w:pPr>
            <w:r w:rsidRPr="00D41908">
              <w:rPr>
                <w:szCs w:val="18"/>
              </w:rPr>
              <w:t>Calculated based on above assumptions</w:t>
            </w:r>
          </w:p>
        </w:tc>
      </w:tr>
      <w:tr w:rsidR="00431C31" w14:paraId="536C4A03" w14:textId="77777777" w:rsidTr="0096225F">
        <w:tc>
          <w:tcPr>
            <w:cnfStyle w:val="001000000000" w:firstRow="0" w:lastRow="0" w:firstColumn="1" w:lastColumn="0" w:oddVBand="0" w:evenVBand="0" w:oddHBand="0" w:evenHBand="0" w:firstRowFirstColumn="0" w:firstRowLastColumn="0" w:lastRowFirstColumn="0" w:lastRowLastColumn="0"/>
            <w:tcW w:w="3261" w:type="dxa"/>
          </w:tcPr>
          <w:p w14:paraId="1A796727" w14:textId="38DC545D" w:rsidR="00431C31" w:rsidRPr="00D41908" w:rsidRDefault="00431C31" w:rsidP="00431C31">
            <w:pPr>
              <w:pStyle w:val="Bullet1"/>
              <w:numPr>
                <w:ilvl w:val="0"/>
                <w:numId w:val="0"/>
              </w:numPr>
              <w:jc w:val="center"/>
              <w:rPr>
                <w:szCs w:val="18"/>
              </w:rPr>
            </w:pPr>
            <w:r w:rsidRPr="00D41908">
              <w:rPr>
                <w:szCs w:val="18"/>
              </w:rPr>
              <w:t>Hospitalisation cost (respiratory)</w:t>
            </w:r>
          </w:p>
        </w:tc>
        <w:tc>
          <w:tcPr>
            <w:tcW w:w="2409" w:type="dxa"/>
          </w:tcPr>
          <w:p w14:paraId="3E770ACD" w14:textId="1E6FA853" w:rsidR="00431C31" w:rsidRPr="00D41908" w:rsidRDefault="00431C31" w:rsidP="00431C31">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 xml:space="preserve">$6,595 </w:t>
            </w:r>
          </w:p>
        </w:tc>
        <w:tc>
          <w:tcPr>
            <w:tcW w:w="3964" w:type="dxa"/>
          </w:tcPr>
          <w:p w14:paraId="77E626D2" w14:textId="395175C0" w:rsidR="00431C31" w:rsidRPr="00D41908" w:rsidRDefault="00431C31" w:rsidP="00431C31">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highlight w:val="yellow"/>
              </w:rPr>
            </w:pPr>
            <w:r w:rsidRPr="00781AC6">
              <w:rPr>
                <w:szCs w:val="18"/>
              </w:rPr>
              <w:t>AIHW (2015)</w:t>
            </w:r>
          </w:p>
        </w:tc>
      </w:tr>
      <w:tr w:rsidR="00431C31" w14:paraId="1D45E57E" w14:textId="77777777" w:rsidTr="0096225F">
        <w:tc>
          <w:tcPr>
            <w:cnfStyle w:val="001000000000" w:firstRow="0" w:lastRow="0" w:firstColumn="1" w:lastColumn="0" w:oddVBand="0" w:evenVBand="0" w:oddHBand="0" w:evenHBand="0" w:firstRowFirstColumn="0" w:firstRowLastColumn="0" w:lastRowFirstColumn="0" w:lastRowLastColumn="0"/>
            <w:tcW w:w="3261" w:type="dxa"/>
          </w:tcPr>
          <w:p w14:paraId="61A4BC76" w14:textId="27F4EE93" w:rsidR="00431C31" w:rsidRPr="00D41908" w:rsidRDefault="00431C31" w:rsidP="00431C31">
            <w:pPr>
              <w:pStyle w:val="Bullet1"/>
              <w:numPr>
                <w:ilvl w:val="0"/>
                <w:numId w:val="0"/>
              </w:numPr>
              <w:jc w:val="center"/>
              <w:rPr>
                <w:szCs w:val="18"/>
              </w:rPr>
            </w:pPr>
            <w:r w:rsidRPr="00D41908">
              <w:rPr>
                <w:szCs w:val="18"/>
              </w:rPr>
              <w:t>Hospitalisation cost (cardiovascular)</w:t>
            </w:r>
          </w:p>
        </w:tc>
        <w:tc>
          <w:tcPr>
            <w:tcW w:w="2409" w:type="dxa"/>
          </w:tcPr>
          <w:p w14:paraId="07DEDBE7" w14:textId="3C994D59" w:rsidR="00431C31" w:rsidRPr="00D41908" w:rsidRDefault="00431C31" w:rsidP="00431C31">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 xml:space="preserve">$6,316 </w:t>
            </w:r>
          </w:p>
        </w:tc>
        <w:tc>
          <w:tcPr>
            <w:tcW w:w="3964" w:type="dxa"/>
          </w:tcPr>
          <w:p w14:paraId="0BA6E904" w14:textId="13E4CD0B" w:rsidR="00431C31" w:rsidRPr="00D41908" w:rsidRDefault="00431C31" w:rsidP="00431C31">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highlight w:val="yellow"/>
              </w:rPr>
            </w:pPr>
            <w:r w:rsidRPr="00781AC6">
              <w:rPr>
                <w:szCs w:val="18"/>
              </w:rPr>
              <w:t>AIHW (2015)</w:t>
            </w:r>
          </w:p>
        </w:tc>
      </w:tr>
      <w:tr w:rsidR="00431C31" w14:paraId="00106B12" w14:textId="77777777" w:rsidTr="0096225F">
        <w:tc>
          <w:tcPr>
            <w:cnfStyle w:val="001000000000" w:firstRow="0" w:lastRow="0" w:firstColumn="1" w:lastColumn="0" w:oddVBand="0" w:evenVBand="0" w:oddHBand="0" w:evenHBand="0" w:firstRowFirstColumn="0" w:firstRowLastColumn="0" w:lastRowFirstColumn="0" w:lastRowLastColumn="0"/>
            <w:tcW w:w="3261" w:type="dxa"/>
          </w:tcPr>
          <w:p w14:paraId="7EEFA389" w14:textId="128FE7A2" w:rsidR="00431C31" w:rsidRPr="00D41908" w:rsidRDefault="00431C31" w:rsidP="00431C31">
            <w:pPr>
              <w:pStyle w:val="Bullet1"/>
              <w:numPr>
                <w:ilvl w:val="0"/>
                <w:numId w:val="0"/>
              </w:numPr>
              <w:jc w:val="center"/>
              <w:rPr>
                <w:szCs w:val="18"/>
              </w:rPr>
            </w:pPr>
            <w:r w:rsidRPr="00D41908">
              <w:rPr>
                <w:szCs w:val="18"/>
              </w:rPr>
              <w:t>Emergency department visit (asthma)</w:t>
            </w:r>
          </w:p>
        </w:tc>
        <w:tc>
          <w:tcPr>
            <w:tcW w:w="2409" w:type="dxa"/>
          </w:tcPr>
          <w:p w14:paraId="4A61CA10" w14:textId="023D6116" w:rsidR="00431C31" w:rsidRPr="00D41908" w:rsidRDefault="00431C31" w:rsidP="00431C31">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D41908">
              <w:rPr>
                <w:szCs w:val="18"/>
              </w:rPr>
              <w:t>$807</w:t>
            </w:r>
          </w:p>
        </w:tc>
        <w:tc>
          <w:tcPr>
            <w:tcW w:w="3964" w:type="dxa"/>
          </w:tcPr>
          <w:p w14:paraId="24919511" w14:textId="0D979CFC" w:rsidR="00431C31" w:rsidRPr="00D41908" w:rsidRDefault="00431C31" w:rsidP="00431C31">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highlight w:val="yellow"/>
              </w:rPr>
            </w:pPr>
            <w:r w:rsidRPr="00781AC6">
              <w:rPr>
                <w:szCs w:val="18"/>
              </w:rPr>
              <w:t>AIHW (2015)</w:t>
            </w:r>
          </w:p>
        </w:tc>
      </w:tr>
    </w:tbl>
    <w:p w14:paraId="11603FD5" w14:textId="5EA81305" w:rsidR="002F113A" w:rsidRPr="00731F44" w:rsidRDefault="00727605" w:rsidP="00731F44">
      <w:pPr>
        <w:pStyle w:val="BodyText"/>
        <w:rPr>
          <w:lang w:val="en-PH"/>
        </w:rPr>
      </w:pPr>
      <w:r w:rsidRPr="00905066">
        <w:rPr>
          <w:b/>
          <w:sz w:val="16"/>
          <w:szCs w:val="16"/>
        </w:rPr>
        <w:t>Note ^</w:t>
      </w:r>
      <w:r>
        <w:rPr>
          <w:b/>
          <w:sz w:val="16"/>
          <w:szCs w:val="16"/>
        </w:rPr>
        <w:t xml:space="preserve">: </w:t>
      </w:r>
      <w:r w:rsidR="00F15D26">
        <w:rPr>
          <w:sz w:val="16"/>
          <w:szCs w:val="16"/>
        </w:rPr>
        <w:t xml:space="preserve">This </w:t>
      </w:r>
      <w:r>
        <w:rPr>
          <w:sz w:val="16"/>
          <w:szCs w:val="16"/>
        </w:rPr>
        <w:t>VSL has been applied to estimate the health benefits in future years (2021-2040). Some previous studies have applied an ‘uplift’ factor to account for the expected growth in WTP to avoid health outcomes</w:t>
      </w:r>
      <w:r w:rsidR="00F15D26">
        <w:rPr>
          <w:sz w:val="16"/>
          <w:szCs w:val="16"/>
        </w:rPr>
        <w:t>,</w:t>
      </w:r>
      <w:r>
        <w:rPr>
          <w:sz w:val="16"/>
          <w:szCs w:val="16"/>
        </w:rPr>
        <w:t xml:space="preserve"> in line with </w:t>
      </w:r>
      <w:r w:rsidR="00F15D26">
        <w:rPr>
          <w:sz w:val="16"/>
          <w:szCs w:val="16"/>
        </w:rPr>
        <w:t xml:space="preserve">expected </w:t>
      </w:r>
      <w:r>
        <w:rPr>
          <w:sz w:val="16"/>
          <w:szCs w:val="16"/>
        </w:rPr>
        <w:t>growth in real incomes (e.g. Boulter and Kulkarni, 2013). An uplift factor has not been applied in this CBA because of uncertainty in the outlook for real incom</w:t>
      </w:r>
      <w:r w:rsidR="00BA7A33">
        <w:rPr>
          <w:sz w:val="16"/>
          <w:szCs w:val="16"/>
        </w:rPr>
        <w:t>e growth at the time of writing.</w:t>
      </w:r>
      <w:r>
        <w:rPr>
          <w:sz w:val="16"/>
          <w:szCs w:val="16"/>
        </w:rPr>
        <w:t xml:space="preserve"> </w:t>
      </w:r>
      <w:r w:rsidR="00BA7A33">
        <w:rPr>
          <w:sz w:val="16"/>
          <w:szCs w:val="16"/>
        </w:rPr>
        <w:t xml:space="preserve">This results </w:t>
      </w:r>
      <w:r>
        <w:rPr>
          <w:sz w:val="16"/>
          <w:szCs w:val="16"/>
        </w:rPr>
        <w:t>in a conservative estimate of future health benefits.</w:t>
      </w:r>
    </w:p>
    <w:p w14:paraId="44AFF253" w14:textId="67390420" w:rsidR="001B2C51" w:rsidRDefault="005537A1" w:rsidP="00DB4968">
      <w:pPr>
        <w:pStyle w:val="Heading3"/>
        <w:rPr>
          <w:lang w:val="en-PH"/>
        </w:rPr>
      </w:pPr>
      <w:bookmarkStart w:id="29" w:name="_Ref517706801"/>
      <w:r>
        <w:t>Particulate matter</w:t>
      </w:r>
      <w:r w:rsidR="001B2C51">
        <w:t xml:space="preserve"> co-benefits</w:t>
      </w:r>
      <w:bookmarkEnd w:id="29"/>
    </w:p>
    <w:p w14:paraId="4BC85CA4" w14:textId="162EC64E" w:rsidR="003C191F" w:rsidRDefault="004D74FC" w:rsidP="001B2C51">
      <w:pPr>
        <w:pStyle w:val="BodyText"/>
      </w:pPr>
      <w:r>
        <w:t xml:space="preserve">Some abatement </w:t>
      </w:r>
      <w:r w:rsidR="00991D90">
        <w:t xml:space="preserve">measures </w:t>
      </w:r>
      <w:r w:rsidR="001B2C51">
        <w:t>that target NO</w:t>
      </w:r>
      <w:r w:rsidR="001B2C51" w:rsidRPr="001B2C51">
        <w:rPr>
          <w:vertAlign w:val="subscript"/>
        </w:rPr>
        <w:t>X</w:t>
      </w:r>
      <w:r w:rsidR="001B2C51">
        <w:t xml:space="preserve"> emissions also reduce PM</w:t>
      </w:r>
      <w:r w:rsidR="001B2C51" w:rsidRPr="001B2C51">
        <w:rPr>
          <w:vertAlign w:val="subscript"/>
        </w:rPr>
        <w:t>2.5</w:t>
      </w:r>
      <w:r w:rsidR="001B2C51">
        <w:t xml:space="preserve"> emissions.</w:t>
      </w:r>
      <w:r>
        <w:t xml:space="preserve"> Of the abatement measures selected </w:t>
      </w:r>
      <w:r w:rsidR="00991D90">
        <w:t xml:space="preserve">for analysis </w:t>
      </w:r>
      <w:r>
        <w:t xml:space="preserve">in this study, </w:t>
      </w:r>
      <w:r w:rsidR="00991D90">
        <w:t>Measure 6 (non-road diesel engine standards) reduces emissions and therefore concentrations of PM</w:t>
      </w:r>
      <w:r w:rsidR="00991D90" w:rsidRPr="00991D90">
        <w:rPr>
          <w:vertAlign w:val="subscript"/>
        </w:rPr>
        <w:t>2.5</w:t>
      </w:r>
      <w:r w:rsidR="00991D90">
        <w:t xml:space="preserve"> in the atmosphere. The benefit of </w:t>
      </w:r>
      <w:r w:rsidR="00D745F1">
        <w:t>the PM</w:t>
      </w:r>
      <w:r w:rsidR="00D745F1" w:rsidRPr="00D745F1">
        <w:rPr>
          <w:vertAlign w:val="subscript"/>
        </w:rPr>
        <w:t>2.5</w:t>
      </w:r>
      <w:r w:rsidR="00D745F1">
        <w:t xml:space="preserve"> </w:t>
      </w:r>
      <w:r w:rsidR="00991D90">
        <w:t xml:space="preserve">emission reductions </w:t>
      </w:r>
      <w:r w:rsidR="007E40DD">
        <w:t xml:space="preserve">were </w:t>
      </w:r>
      <w:r w:rsidR="00B8793E">
        <w:t xml:space="preserve">valued using the </w:t>
      </w:r>
      <w:r w:rsidR="008D429B">
        <w:t>damage costs</w:t>
      </w:r>
      <w:r w:rsidR="00CC398B">
        <w:t xml:space="preserve"> provided by </w:t>
      </w:r>
      <w:r w:rsidR="00CC398B" w:rsidRPr="00CC398B">
        <w:t>PAEHolmes (2013)</w:t>
      </w:r>
      <w:r w:rsidR="00B8793E">
        <w:t>.</w:t>
      </w:r>
    </w:p>
    <w:p w14:paraId="61BDAFBD" w14:textId="78257619" w:rsidR="0039018E" w:rsidRDefault="0039018E" w:rsidP="001B2C51">
      <w:pPr>
        <w:pStyle w:val="BodyText"/>
      </w:pPr>
      <w:r>
        <w:t>Moreover, measures that reduce NO</w:t>
      </w:r>
      <w:r w:rsidRPr="00B326CA">
        <w:rPr>
          <w:vertAlign w:val="subscript"/>
        </w:rPr>
        <w:t>X</w:t>
      </w:r>
      <w:r>
        <w:t xml:space="preserve"> and SO</w:t>
      </w:r>
      <w:r w:rsidR="00402F0E" w:rsidRPr="00402F0E">
        <w:rPr>
          <w:vertAlign w:val="subscript"/>
        </w:rPr>
        <w:t>X</w:t>
      </w:r>
      <w:r>
        <w:t xml:space="preserve"> emissions also contribute to reduced formation of secondary particulate matter (nitrate and sulfate particles).</w:t>
      </w:r>
      <w:r w:rsidR="00267423">
        <w:t xml:space="preserve"> </w:t>
      </w:r>
      <w:r w:rsidR="00027B92">
        <w:t>However, the potential reduction in secondary PM is highly uncertain. Therefore, t</w:t>
      </w:r>
      <w:r w:rsidR="00267423">
        <w:t xml:space="preserve">he </w:t>
      </w:r>
      <w:r w:rsidR="00027B92">
        <w:t xml:space="preserve">CBA does not include the </w:t>
      </w:r>
      <w:r w:rsidR="00267423">
        <w:t xml:space="preserve">benefits of secondary PM </w:t>
      </w:r>
      <w:r w:rsidR="00027B92">
        <w:t>reduction.</w:t>
      </w:r>
    </w:p>
    <w:p w14:paraId="7C011C14" w14:textId="52D15B7F" w:rsidR="001B6724" w:rsidRDefault="001B6724" w:rsidP="00DB4968">
      <w:pPr>
        <w:pStyle w:val="Heading3"/>
        <w:rPr>
          <w:lang w:val="en-PH"/>
        </w:rPr>
      </w:pPr>
      <w:r>
        <w:rPr>
          <w:lang w:val="en-PH"/>
        </w:rPr>
        <w:t xml:space="preserve">Adjustments to </w:t>
      </w:r>
      <w:r w:rsidRPr="00DB4968">
        <w:t>avoid</w:t>
      </w:r>
      <w:r>
        <w:rPr>
          <w:lang w:val="en-PH"/>
        </w:rPr>
        <w:t xml:space="preserve"> double counting</w:t>
      </w:r>
    </w:p>
    <w:p w14:paraId="519F1510" w14:textId="5156FFBB" w:rsidR="001B6724" w:rsidRDefault="001B6724" w:rsidP="001B6724">
      <w:pPr>
        <w:pStyle w:val="BodyText"/>
        <w:rPr>
          <w:lang w:val="en-PH"/>
        </w:rPr>
      </w:pPr>
      <w:r w:rsidRPr="00EC7B7D">
        <w:rPr>
          <w:lang w:val="en-PH"/>
        </w:rPr>
        <w:t>The CBA</w:t>
      </w:r>
      <w:r>
        <w:rPr>
          <w:lang w:val="en-PH"/>
        </w:rPr>
        <w:t xml:space="preserve"> only includes changes to either long-term mortality (chronic ef</w:t>
      </w:r>
      <w:r w:rsidR="00C310F2">
        <w:rPr>
          <w:lang w:val="en-PH"/>
        </w:rPr>
        <w:t xml:space="preserve">fects) or short-term mortality </w:t>
      </w:r>
      <w:r>
        <w:rPr>
          <w:lang w:val="en-PH"/>
        </w:rPr>
        <w:t>(acute effects) from exposure to pollutant concentrations</w:t>
      </w:r>
      <w:r w:rsidR="0041475D">
        <w:rPr>
          <w:lang w:val="en-PH"/>
        </w:rPr>
        <w:t>, but not both</w:t>
      </w:r>
      <w:r>
        <w:rPr>
          <w:lang w:val="en-PH"/>
        </w:rPr>
        <w:t xml:space="preserve">. </w:t>
      </w:r>
      <w:r w:rsidR="00A374DE">
        <w:rPr>
          <w:lang w:val="en-PH"/>
        </w:rPr>
        <w:t>Jalaludin et al (2009) note</w:t>
      </w:r>
      <w:r>
        <w:rPr>
          <w:lang w:val="en-PH"/>
        </w:rPr>
        <w:t xml:space="preserve"> that including both in a CBA can risk double-counting health impacts.</w:t>
      </w:r>
    </w:p>
    <w:p w14:paraId="6071248F" w14:textId="1B7A6D17" w:rsidR="00717567" w:rsidRDefault="001B6724" w:rsidP="001B6724">
      <w:pPr>
        <w:pStyle w:val="BodyText"/>
        <w:rPr>
          <w:lang w:val="en-PH"/>
        </w:rPr>
      </w:pPr>
      <w:r>
        <w:rPr>
          <w:lang w:val="en-PH"/>
        </w:rPr>
        <w:lastRenderedPageBreak/>
        <w:t>This adjustment is only relevant for NO</w:t>
      </w:r>
      <w:r w:rsidRPr="0088480E">
        <w:rPr>
          <w:vertAlign w:val="subscript"/>
          <w:lang w:val="en-PH"/>
        </w:rPr>
        <w:t>2</w:t>
      </w:r>
      <w:r>
        <w:rPr>
          <w:lang w:val="en-PH"/>
        </w:rPr>
        <w:t xml:space="preserve">, which includes both long-term and short-term health endpoints. For the central CBA results, which use the CRFs recommended by </w:t>
      </w:r>
      <w:r w:rsidR="00584DB3">
        <w:rPr>
          <w:lang w:val="en-PH"/>
        </w:rPr>
        <w:t>HRAPIE</w:t>
      </w:r>
      <w:r>
        <w:rPr>
          <w:lang w:val="en-PH"/>
        </w:rPr>
        <w:t>, only short-term mortality is included, because</w:t>
      </w:r>
      <w:r w:rsidR="00717567">
        <w:rPr>
          <w:lang w:val="en-PH"/>
        </w:rPr>
        <w:t>:</w:t>
      </w:r>
    </w:p>
    <w:p w14:paraId="165CBAF0" w14:textId="54CE03D3" w:rsidR="00717567" w:rsidRDefault="001B6724" w:rsidP="00717567">
      <w:pPr>
        <w:pStyle w:val="Bullet1"/>
        <w:rPr>
          <w:lang w:val="en-PH"/>
        </w:rPr>
      </w:pPr>
      <w:r>
        <w:rPr>
          <w:lang w:val="en-PH"/>
        </w:rPr>
        <w:t>no</w:t>
      </w:r>
      <w:r w:rsidR="00566FB1">
        <w:rPr>
          <w:lang w:val="en-PH"/>
        </w:rPr>
        <w:t xml:space="preserve"> </w:t>
      </w:r>
      <w:r>
        <w:rPr>
          <w:lang w:val="en-PH"/>
        </w:rPr>
        <w:t>long</w:t>
      </w:r>
      <w:r w:rsidR="00566FB1">
        <w:rPr>
          <w:lang w:val="en-PH"/>
        </w:rPr>
        <w:t>-</w:t>
      </w:r>
      <w:r>
        <w:rPr>
          <w:lang w:val="en-PH"/>
        </w:rPr>
        <w:t xml:space="preserve">term mortalities are predicted by the </w:t>
      </w:r>
      <w:r w:rsidR="00382B68">
        <w:rPr>
          <w:lang w:val="en-PH"/>
        </w:rPr>
        <w:t xml:space="preserve">HRA </w:t>
      </w:r>
      <w:r>
        <w:rPr>
          <w:lang w:val="en-PH"/>
        </w:rPr>
        <w:t xml:space="preserve">due to </w:t>
      </w:r>
      <w:r w:rsidR="00717567">
        <w:rPr>
          <w:lang w:val="en-PH"/>
        </w:rPr>
        <w:t xml:space="preserve">the application of a </w:t>
      </w:r>
      <w:r w:rsidR="00D563E2">
        <w:rPr>
          <w:lang w:val="en-PH"/>
        </w:rPr>
        <w:t>cut-off</w:t>
      </w:r>
    </w:p>
    <w:p w14:paraId="293314E8" w14:textId="53FBB228" w:rsidR="00717567" w:rsidRDefault="00717567" w:rsidP="00717567">
      <w:pPr>
        <w:pStyle w:val="Bullet1"/>
        <w:rPr>
          <w:lang w:val="en-PH"/>
        </w:rPr>
      </w:pPr>
      <w:r>
        <w:rPr>
          <w:lang w:val="en-PH"/>
        </w:rPr>
        <w:t>WHO (2013) notes that the recommended CRF for long-term mortality is less certain than the CRF for short-term mortality, and therefore a lower level of confidence</w:t>
      </w:r>
      <w:r w:rsidR="00923FCB">
        <w:rPr>
          <w:lang w:val="en-PH"/>
        </w:rPr>
        <w:t xml:space="preserve"> is placed on results using the former</w:t>
      </w:r>
      <w:r w:rsidR="00112F48">
        <w:rPr>
          <w:rStyle w:val="FootnoteReference"/>
          <w:lang w:val="en-PH"/>
        </w:rPr>
        <w:footnoteReference w:id="2"/>
      </w:r>
      <w:r w:rsidR="004B7EA2">
        <w:rPr>
          <w:lang w:val="en-PH"/>
        </w:rPr>
        <w:t>.</w:t>
      </w:r>
    </w:p>
    <w:p w14:paraId="5EF7F2EF" w14:textId="542BCE0C" w:rsidR="001B6724" w:rsidRDefault="00717567" w:rsidP="001B6724">
      <w:pPr>
        <w:pStyle w:val="BodyText"/>
        <w:rPr>
          <w:lang w:val="en-PH"/>
        </w:rPr>
      </w:pPr>
      <w:r>
        <w:rPr>
          <w:lang w:val="en-PH"/>
        </w:rPr>
        <w:t xml:space="preserve">For the sensitivity </w:t>
      </w:r>
      <w:r w:rsidR="001B6724">
        <w:rPr>
          <w:lang w:val="en-PH"/>
        </w:rPr>
        <w:t xml:space="preserve">using </w:t>
      </w:r>
      <w:r w:rsidR="00262C70">
        <w:rPr>
          <w:lang w:val="en-PH"/>
        </w:rPr>
        <w:t xml:space="preserve">Group 2 and Group 3 </w:t>
      </w:r>
      <w:r w:rsidR="001B6724">
        <w:rPr>
          <w:lang w:val="en-PH"/>
        </w:rPr>
        <w:t>CRFs</w:t>
      </w:r>
      <w:r w:rsidR="00C01AD3">
        <w:rPr>
          <w:lang w:val="en-PH"/>
        </w:rPr>
        <w:t>,</w:t>
      </w:r>
      <w:r w:rsidR="001B6724">
        <w:rPr>
          <w:lang w:val="en-PH"/>
        </w:rPr>
        <w:t xml:space="preserve"> only </w:t>
      </w:r>
      <w:r w:rsidR="00E90E43">
        <w:rPr>
          <w:lang w:val="en-PH"/>
        </w:rPr>
        <w:t>short</w:t>
      </w:r>
      <w:r w:rsidR="001B6724">
        <w:rPr>
          <w:lang w:val="en-PH"/>
        </w:rPr>
        <w:t>-term mortality is included.</w:t>
      </w:r>
    </w:p>
    <w:p w14:paraId="692F98C8" w14:textId="33A992C7" w:rsidR="001B6724" w:rsidRDefault="001B6724" w:rsidP="001B6724">
      <w:pPr>
        <w:pStyle w:val="BodyText"/>
        <w:rPr>
          <w:lang w:val="en-PH"/>
        </w:rPr>
      </w:pPr>
      <w:r w:rsidRPr="00470D29">
        <w:rPr>
          <w:lang w:val="en-PH"/>
        </w:rPr>
        <w:t>Similarly, only the outcomes associated with exposure to SO</w:t>
      </w:r>
      <w:r w:rsidRPr="00470D29">
        <w:rPr>
          <w:vertAlign w:val="subscript"/>
          <w:lang w:val="en-PH"/>
        </w:rPr>
        <w:t>2</w:t>
      </w:r>
      <w:r w:rsidRPr="00470D29">
        <w:rPr>
          <w:lang w:val="en-PH"/>
        </w:rPr>
        <w:t xml:space="preserve"> concentration</w:t>
      </w:r>
      <w:r w:rsidR="007A6B2C" w:rsidRPr="00470D29">
        <w:rPr>
          <w:lang w:val="en-PH"/>
        </w:rPr>
        <w:t>s</w:t>
      </w:r>
      <w:r w:rsidRPr="00470D29">
        <w:rPr>
          <w:lang w:val="en-PH"/>
        </w:rPr>
        <w:t>, measured as a daily average concentration, are included. These include mortality and emergency department visits for Asthma. While the HRA includes an outcome associated with exposure to SO</w:t>
      </w:r>
      <w:r w:rsidRPr="00470D29">
        <w:rPr>
          <w:vertAlign w:val="subscript"/>
          <w:lang w:val="en-PH"/>
        </w:rPr>
        <w:t>2</w:t>
      </w:r>
      <w:r w:rsidRPr="00470D29">
        <w:rPr>
          <w:lang w:val="en-PH"/>
        </w:rPr>
        <w:t xml:space="preserve"> concentrations measured as the maximum 1-hour concentration for each day, this has been excluded to avoid potential double counting.</w:t>
      </w:r>
    </w:p>
    <w:p w14:paraId="7AE88855" w14:textId="77777777" w:rsidR="001B6724" w:rsidRDefault="001B6724" w:rsidP="00DB4968">
      <w:pPr>
        <w:pStyle w:val="Heading3"/>
        <w:rPr>
          <w:lang w:val="en-PH"/>
        </w:rPr>
      </w:pPr>
      <w:bookmarkStart w:id="30" w:name="_Ref508452398"/>
      <w:r w:rsidRPr="00DB4968">
        <w:t>Unquantified</w:t>
      </w:r>
      <w:r>
        <w:rPr>
          <w:lang w:val="en-PH"/>
        </w:rPr>
        <w:t xml:space="preserve"> impacts</w:t>
      </w:r>
      <w:bookmarkEnd w:id="30"/>
    </w:p>
    <w:p w14:paraId="45C32E13" w14:textId="77777777" w:rsidR="001B6724" w:rsidRDefault="001B6724" w:rsidP="001B6724">
      <w:pPr>
        <w:pStyle w:val="BodyText"/>
        <w:rPr>
          <w:lang w:val="en-PH"/>
        </w:rPr>
      </w:pPr>
      <w:r>
        <w:rPr>
          <w:lang w:val="en-PH"/>
        </w:rPr>
        <w:t>The emission reductions are expected to result in other health and non-health benefits that could not be quantified in the CBA due to data limitations. These include:</w:t>
      </w:r>
    </w:p>
    <w:p w14:paraId="6BCB58DB" w14:textId="6B205BD6" w:rsidR="001B6724" w:rsidRDefault="001B6724" w:rsidP="001B6724">
      <w:pPr>
        <w:pStyle w:val="Bullet1"/>
        <w:rPr>
          <w:lang w:val="en-PH"/>
        </w:rPr>
      </w:pPr>
      <w:r>
        <w:rPr>
          <w:lang w:val="en-PH"/>
        </w:rPr>
        <w:t>restricted activity days and working days lost (i.e. where population exposure results in time off work or lower productivity but not in hospitalisation or an emergency department visit)</w:t>
      </w:r>
    </w:p>
    <w:p w14:paraId="537018B4" w14:textId="28847333" w:rsidR="00A16130" w:rsidRDefault="00A16130" w:rsidP="001B6724">
      <w:pPr>
        <w:pStyle w:val="Bullet1"/>
        <w:rPr>
          <w:lang w:val="en-PH"/>
        </w:rPr>
      </w:pPr>
      <w:r>
        <w:rPr>
          <w:lang w:val="en-PH"/>
        </w:rPr>
        <w:t>low birth weights associated with SO</w:t>
      </w:r>
      <w:r w:rsidRPr="005806CF">
        <w:rPr>
          <w:vertAlign w:val="subscript"/>
          <w:lang w:val="en-PH"/>
        </w:rPr>
        <w:t>2</w:t>
      </w:r>
      <w:r>
        <w:rPr>
          <w:lang w:val="en-PH"/>
        </w:rPr>
        <w:t xml:space="preserve"> exposure, for which there is emerging evidence (e.g. Yang and Chou, 2017)</w:t>
      </w:r>
    </w:p>
    <w:p w14:paraId="731CAE1C" w14:textId="53B0EBBD" w:rsidR="001B6724" w:rsidRDefault="001B6724" w:rsidP="001B6724">
      <w:pPr>
        <w:pStyle w:val="Bullet1"/>
        <w:rPr>
          <w:lang w:val="en-PH"/>
        </w:rPr>
      </w:pPr>
      <w:r>
        <w:rPr>
          <w:lang w:val="en-PH"/>
        </w:rPr>
        <w:t>reduction in the emission</w:t>
      </w:r>
      <w:r w:rsidR="006C0E5D">
        <w:rPr>
          <w:lang w:val="en-PH"/>
        </w:rPr>
        <w:t>s</w:t>
      </w:r>
      <w:r>
        <w:rPr>
          <w:lang w:val="en-PH"/>
        </w:rPr>
        <w:t xml:space="preserve"> of other pollutants due to the implementation of abatement measures, including CO, benzene, toluene and xylenes</w:t>
      </w:r>
    </w:p>
    <w:p w14:paraId="2E505F62" w14:textId="1882A2C3" w:rsidR="001B6724" w:rsidRDefault="001B6724" w:rsidP="001B6724">
      <w:pPr>
        <w:pStyle w:val="Bullet1"/>
        <w:rPr>
          <w:lang w:val="en-PH"/>
        </w:rPr>
      </w:pPr>
      <w:r>
        <w:rPr>
          <w:lang w:val="en-PH"/>
        </w:rPr>
        <w:t xml:space="preserve">non-health impacts such as agricultural and timber yields, building soiling, materials damage, impact on coastal estuaries and aquatic ecosystem, and improved </w:t>
      </w:r>
      <w:r w:rsidR="006C0E5D">
        <w:rPr>
          <w:lang w:val="en-PH"/>
        </w:rPr>
        <w:t>visibility</w:t>
      </w:r>
      <w:r>
        <w:rPr>
          <w:lang w:val="en-PH"/>
        </w:rPr>
        <w:t>.</w:t>
      </w:r>
    </w:p>
    <w:p w14:paraId="5C680C24" w14:textId="58E26231" w:rsidR="001B6724" w:rsidRDefault="001B6724" w:rsidP="001B6724">
      <w:pPr>
        <w:pStyle w:val="BodyText"/>
        <w:rPr>
          <w:lang w:val="en-PH"/>
        </w:rPr>
      </w:pPr>
      <w:r>
        <w:rPr>
          <w:lang w:val="en-PH"/>
        </w:rPr>
        <w:t xml:space="preserve">There is limited data on these impacts, and previous assessments have tended to use qualitative or case study approaches (e.g. US EPA, 2010). </w:t>
      </w:r>
      <w:r w:rsidR="00B3440F">
        <w:rPr>
          <w:lang w:val="en-PH"/>
        </w:rPr>
        <w:t xml:space="preserve">The impacts </w:t>
      </w:r>
      <w:r>
        <w:rPr>
          <w:lang w:val="en-PH"/>
        </w:rPr>
        <w:t xml:space="preserve">are also expected to be less </w:t>
      </w:r>
      <w:r w:rsidRPr="00CC32BD">
        <w:rPr>
          <w:lang w:val="en-PH"/>
        </w:rPr>
        <w:t>material in monetary terms compared to the mortality and morbidity impacts included in the CBA. For example, US EPA (2010) estimates that the work days lost associated with exposure to PM</w:t>
      </w:r>
      <w:r w:rsidRPr="00CC32BD">
        <w:rPr>
          <w:vertAlign w:val="subscript"/>
          <w:lang w:val="en-PH"/>
        </w:rPr>
        <w:t>2.5</w:t>
      </w:r>
      <w:r w:rsidR="003E2759">
        <w:rPr>
          <w:lang w:val="en-PH"/>
        </w:rPr>
        <w:t xml:space="preserve"> represent</w:t>
      </w:r>
      <w:r w:rsidRPr="00CC32BD">
        <w:rPr>
          <w:lang w:val="en-PH"/>
        </w:rPr>
        <w:t xml:space="preserve"> around</w:t>
      </w:r>
      <w:r>
        <w:rPr>
          <w:lang w:val="en-PH"/>
        </w:rPr>
        <w:t xml:space="preserve"> 0.2 per cent of the total monetised health benefits.</w:t>
      </w:r>
    </w:p>
    <w:p w14:paraId="7FDDDA8C" w14:textId="791AF3BA" w:rsidR="0027278D" w:rsidRDefault="0027278D" w:rsidP="0027278D">
      <w:pPr>
        <w:pStyle w:val="Heading6"/>
        <w:rPr>
          <w:lang w:val="en-PH"/>
        </w:rPr>
      </w:pPr>
      <w:r>
        <w:rPr>
          <w:lang w:val="en-PH"/>
        </w:rPr>
        <w:t>Secondary PM formation</w:t>
      </w:r>
    </w:p>
    <w:p w14:paraId="60BDCF36" w14:textId="77777777" w:rsidR="006837A3" w:rsidRDefault="00914D55" w:rsidP="00F97683">
      <w:pPr>
        <w:pStyle w:val="BodyText"/>
        <w:rPr>
          <w:lang w:val="en-PH"/>
        </w:rPr>
      </w:pPr>
      <w:r>
        <w:rPr>
          <w:lang w:val="en-PH"/>
        </w:rPr>
        <w:t>SO</w:t>
      </w:r>
      <w:r w:rsidRPr="00914D55">
        <w:rPr>
          <w:vertAlign w:val="subscript"/>
          <w:lang w:val="en-PH"/>
        </w:rPr>
        <w:t>X</w:t>
      </w:r>
      <w:r>
        <w:rPr>
          <w:lang w:val="en-PH"/>
        </w:rPr>
        <w:t xml:space="preserve"> and NO</w:t>
      </w:r>
      <w:r w:rsidRPr="00914D55">
        <w:rPr>
          <w:vertAlign w:val="subscript"/>
          <w:lang w:val="en-PH"/>
        </w:rPr>
        <w:t>X</w:t>
      </w:r>
      <w:r>
        <w:rPr>
          <w:lang w:val="en-PH"/>
        </w:rPr>
        <w:t xml:space="preserve"> emissions contribute to the formation of secondary PM</w:t>
      </w:r>
      <w:r w:rsidRPr="00914D55">
        <w:rPr>
          <w:vertAlign w:val="subscript"/>
          <w:lang w:val="en-PH"/>
        </w:rPr>
        <w:t>2.5</w:t>
      </w:r>
      <w:r w:rsidR="00F97683">
        <w:rPr>
          <w:lang w:val="en-PH"/>
        </w:rPr>
        <w:t>, which is PM</w:t>
      </w:r>
      <w:r w:rsidR="00F97683" w:rsidRPr="00914D55">
        <w:rPr>
          <w:vertAlign w:val="subscript"/>
          <w:lang w:val="en-PH"/>
        </w:rPr>
        <w:t>2.5</w:t>
      </w:r>
      <w:r w:rsidR="00F97683">
        <w:rPr>
          <w:lang w:val="en-PH"/>
        </w:rPr>
        <w:t xml:space="preserve"> formed through chemical reactions in the atmosphere rather than being directly emitted. Therefore, a reduction in SO</w:t>
      </w:r>
      <w:r w:rsidR="00F97683" w:rsidRPr="00914D55">
        <w:rPr>
          <w:vertAlign w:val="subscript"/>
          <w:lang w:val="en-PH"/>
        </w:rPr>
        <w:t>X</w:t>
      </w:r>
      <w:r w:rsidR="00F97683">
        <w:rPr>
          <w:lang w:val="en-PH"/>
        </w:rPr>
        <w:t xml:space="preserve"> and NO</w:t>
      </w:r>
      <w:r w:rsidR="00F97683" w:rsidRPr="00914D55">
        <w:rPr>
          <w:vertAlign w:val="subscript"/>
          <w:lang w:val="en-PH"/>
        </w:rPr>
        <w:t>X</w:t>
      </w:r>
      <w:r w:rsidR="00F97683">
        <w:rPr>
          <w:lang w:val="en-PH"/>
        </w:rPr>
        <w:t xml:space="preserve"> emissions could reduce concentrations of secondary PM</w:t>
      </w:r>
      <w:r w:rsidR="00F97683" w:rsidRPr="00F97683">
        <w:rPr>
          <w:vertAlign w:val="subscript"/>
          <w:lang w:val="en-PH"/>
        </w:rPr>
        <w:t>2.5</w:t>
      </w:r>
      <w:r w:rsidR="00F97683">
        <w:rPr>
          <w:lang w:val="en-PH"/>
        </w:rPr>
        <w:t xml:space="preserve">. </w:t>
      </w:r>
      <w:r w:rsidR="00F97683" w:rsidRPr="00F97683">
        <w:rPr>
          <w:lang w:val="en-PH"/>
        </w:rPr>
        <w:t>This is</w:t>
      </w:r>
      <w:r w:rsidR="00F97683">
        <w:rPr>
          <w:lang w:val="en-PH"/>
        </w:rPr>
        <w:t xml:space="preserve"> important because secondary PM </w:t>
      </w:r>
      <w:r w:rsidR="00F97683" w:rsidRPr="00F97683">
        <w:rPr>
          <w:lang w:val="en-PH"/>
        </w:rPr>
        <w:t>dominates the air quality burden in many urban airsheds</w:t>
      </w:r>
      <w:r w:rsidR="006837A3">
        <w:rPr>
          <w:lang w:val="en-PH"/>
        </w:rPr>
        <w:t>.</w:t>
      </w:r>
    </w:p>
    <w:p w14:paraId="36A8CB71" w14:textId="40C15226" w:rsidR="00046D50" w:rsidRDefault="00F97683" w:rsidP="00F97683">
      <w:pPr>
        <w:pStyle w:val="BodyText"/>
        <w:rPr>
          <w:lang w:val="en-PH"/>
        </w:rPr>
      </w:pPr>
      <w:r>
        <w:rPr>
          <w:lang w:val="en-PH"/>
        </w:rPr>
        <w:t xml:space="preserve">While the mechanisms that lead to secondary PM formation </w:t>
      </w:r>
      <w:r w:rsidR="006837A3">
        <w:rPr>
          <w:lang w:val="en-PH"/>
        </w:rPr>
        <w:t xml:space="preserve">are well understood, limited data and modelling is available to reliably quantify the effect of reducing the precursor pollutants on secondary PM concentrations. </w:t>
      </w:r>
      <w:r w:rsidR="001D56E1">
        <w:rPr>
          <w:lang w:val="en-PH"/>
        </w:rPr>
        <w:t xml:space="preserve">Therefore, the benefits of avoided secondary PM were not included in the CBA. </w:t>
      </w:r>
      <w:r w:rsidR="0027563A">
        <w:rPr>
          <w:lang w:val="en-PH"/>
        </w:rPr>
        <w:t xml:space="preserve">Section </w:t>
      </w:r>
      <w:r w:rsidR="0027563A">
        <w:rPr>
          <w:lang w:val="en-PH"/>
        </w:rPr>
        <w:fldChar w:fldCharType="begin"/>
      </w:r>
      <w:r w:rsidR="0027563A">
        <w:rPr>
          <w:lang w:val="en-PH"/>
        </w:rPr>
        <w:instrText xml:space="preserve"> REF _Ref508451165 \r \h </w:instrText>
      </w:r>
      <w:r w:rsidR="0027563A">
        <w:rPr>
          <w:lang w:val="en-PH"/>
        </w:rPr>
      </w:r>
      <w:r w:rsidR="0027563A">
        <w:rPr>
          <w:lang w:val="en-PH"/>
        </w:rPr>
        <w:fldChar w:fldCharType="separate"/>
      </w:r>
      <w:r w:rsidR="00A50702">
        <w:rPr>
          <w:lang w:val="en-PH"/>
        </w:rPr>
        <w:t>5.2.3</w:t>
      </w:r>
      <w:r w:rsidR="0027563A">
        <w:rPr>
          <w:lang w:val="en-PH"/>
        </w:rPr>
        <w:fldChar w:fldCharType="end"/>
      </w:r>
      <w:r w:rsidR="0027563A">
        <w:rPr>
          <w:lang w:val="en-PH"/>
        </w:rPr>
        <w:t xml:space="preserve"> provides a discussion on the possible order of magnitude of these benefits based on some recent literature</w:t>
      </w:r>
      <w:r w:rsidR="00334C66">
        <w:rPr>
          <w:lang w:val="en-PH"/>
        </w:rPr>
        <w:t xml:space="preserve"> estimates from the United States</w:t>
      </w:r>
      <w:r w:rsidR="0027563A">
        <w:rPr>
          <w:lang w:val="en-PH"/>
        </w:rPr>
        <w:t>.</w:t>
      </w:r>
    </w:p>
    <w:p w14:paraId="78EB1708" w14:textId="77777777" w:rsidR="001B6724" w:rsidRDefault="001B6724" w:rsidP="00DB4968">
      <w:pPr>
        <w:pStyle w:val="Heading3"/>
        <w:rPr>
          <w:lang w:val="en-PH"/>
        </w:rPr>
      </w:pPr>
      <w:bookmarkStart w:id="31" w:name="_Ref508396091"/>
      <w:r w:rsidRPr="00DB4968">
        <w:t>Damage</w:t>
      </w:r>
      <w:r>
        <w:rPr>
          <w:lang w:val="en-PH"/>
        </w:rPr>
        <w:t xml:space="preserve"> cost approach</w:t>
      </w:r>
      <w:bookmarkEnd w:id="31"/>
    </w:p>
    <w:p w14:paraId="6DDF80FE" w14:textId="6FB5D512" w:rsidR="001B6724" w:rsidRDefault="001B6724" w:rsidP="001B6724">
      <w:pPr>
        <w:pStyle w:val="BodyText"/>
        <w:rPr>
          <w:lang w:val="en-PH"/>
        </w:rPr>
      </w:pPr>
      <w:r>
        <w:rPr>
          <w:lang w:val="en-PH"/>
        </w:rPr>
        <w:t xml:space="preserve">The HRA only provides an estimate of avoided health outcomes where the concentration data were available. Therefore, the impact pathway approach could only be applied for </w:t>
      </w:r>
      <w:r w:rsidR="0095697D">
        <w:rPr>
          <w:lang w:val="en-PH"/>
        </w:rPr>
        <w:t xml:space="preserve">some </w:t>
      </w:r>
      <w:r>
        <w:rPr>
          <w:lang w:val="en-PH"/>
        </w:rPr>
        <w:t xml:space="preserve">airshed and pollutant </w:t>
      </w:r>
      <w:r>
        <w:rPr>
          <w:lang w:val="en-PH"/>
        </w:rPr>
        <w:lastRenderedPageBreak/>
        <w:t>combinations</w:t>
      </w:r>
      <w:r w:rsidR="00D726C0">
        <w:rPr>
          <w:lang w:val="en-PH"/>
        </w:rPr>
        <w:t>, and for the other combinations a damage cost approach was used</w:t>
      </w:r>
      <w:r w:rsidR="0095697D">
        <w:rPr>
          <w:lang w:val="en-PH"/>
        </w:rPr>
        <w:t>. The approaches used for different combinations of airshed and pollutant are</w:t>
      </w:r>
      <w:r>
        <w:rPr>
          <w:lang w:val="en-PH"/>
        </w:rPr>
        <w:t xml:space="preserve"> summarised in </w:t>
      </w:r>
      <w:r w:rsidR="00D31374">
        <w:rPr>
          <w:highlight w:val="yellow"/>
          <w:lang w:val="en-PH"/>
        </w:rPr>
        <w:fldChar w:fldCharType="begin"/>
      </w:r>
      <w:r w:rsidR="00D31374">
        <w:rPr>
          <w:lang w:val="en-PH"/>
        </w:rPr>
        <w:instrText xml:space="preserve"> REF _Ref508465355 \h </w:instrText>
      </w:r>
      <w:r w:rsidR="00D31374">
        <w:rPr>
          <w:highlight w:val="yellow"/>
          <w:lang w:val="en-PH"/>
        </w:rPr>
      </w:r>
      <w:r w:rsidR="00D31374">
        <w:rPr>
          <w:highlight w:val="yellow"/>
          <w:lang w:val="en-PH"/>
        </w:rPr>
        <w:fldChar w:fldCharType="separate"/>
      </w:r>
      <w:r w:rsidR="00A50702">
        <w:t xml:space="preserve">Table </w:t>
      </w:r>
      <w:r w:rsidR="00A50702">
        <w:rPr>
          <w:noProof/>
        </w:rPr>
        <w:t>3</w:t>
      </w:r>
      <w:r w:rsidR="00A50702">
        <w:noBreakHyphen/>
      </w:r>
      <w:r w:rsidR="00A50702">
        <w:rPr>
          <w:noProof/>
        </w:rPr>
        <w:t>3</w:t>
      </w:r>
      <w:r w:rsidR="00D31374">
        <w:rPr>
          <w:highlight w:val="yellow"/>
          <w:lang w:val="en-PH"/>
        </w:rPr>
        <w:fldChar w:fldCharType="end"/>
      </w:r>
      <w:r>
        <w:rPr>
          <w:lang w:val="en-PH"/>
        </w:rPr>
        <w:t>.</w:t>
      </w:r>
    </w:p>
    <w:p w14:paraId="1009B974" w14:textId="3000EE7D" w:rsidR="00BC1241" w:rsidRDefault="00BC1241" w:rsidP="001B6724">
      <w:pPr>
        <w:pStyle w:val="BodyText"/>
        <w:rPr>
          <w:lang w:val="en-PH"/>
        </w:rPr>
      </w:pPr>
    </w:p>
    <w:p w14:paraId="2ECA0C60" w14:textId="567E1624" w:rsidR="00BC1241" w:rsidRDefault="00BC1241" w:rsidP="001B6724">
      <w:pPr>
        <w:pStyle w:val="BodyText"/>
        <w:rPr>
          <w:lang w:val="en-PH"/>
        </w:rPr>
      </w:pPr>
    </w:p>
    <w:p w14:paraId="3E245857" w14:textId="32D0FA91" w:rsidR="00BC1241" w:rsidRDefault="00BC1241" w:rsidP="001B6724">
      <w:pPr>
        <w:pStyle w:val="BodyText"/>
        <w:rPr>
          <w:lang w:val="en-PH"/>
        </w:rPr>
      </w:pPr>
    </w:p>
    <w:p w14:paraId="083335AE" w14:textId="1744710F" w:rsidR="003774AD" w:rsidRDefault="003774AD" w:rsidP="003774AD">
      <w:pPr>
        <w:pStyle w:val="Caption"/>
      </w:pPr>
      <w:bookmarkStart w:id="32" w:name="_Ref508465355"/>
      <w:bookmarkStart w:id="33" w:name="_Toc518629917"/>
      <w:r>
        <w:t xml:space="preserve">Table </w:t>
      </w:r>
      <w:r>
        <w:fldChar w:fldCharType="begin"/>
      </w:r>
      <w:r>
        <w:instrText xml:space="preserve"> STYLEREF 1 \s </w:instrText>
      </w:r>
      <w:r>
        <w:fldChar w:fldCharType="separate"/>
      </w:r>
      <w:r w:rsidR="00A50702">
        <w:rPr>
          <w:noProof/>
        </w:rPr>
        <w:t>3</w:t>
      </w:r>
      <w:r>
        <w:fldChar w:fldCharType="end"/>
      </w:r>
      <w:r>
        <w:noBreakHyphen/>
      </w:r>
      <w:r>
        <w:fldChar w:fldCharType="begin"/>
      </w:r>
      <w:r>
        <w:instrText xml:space="preserve"> SEQ Table \* ARABIC \s 1 </w:instrText>
      </w:r>
      <w:r>
        <w:fldChar w:fldCharType="separate"/>
      </w:r>
      <w:r w:rsidR="00A50702">
        <w:rPr>
          <w:noProof/>
        </w:rPr>
        <w:t>3</w:t>
      </w:r>
      <w:r>
        <w:fldChar w:fldCharType="end"/>
      </w:r>
      <w:bookmarkEnd w:id="32"/>
      <w:r>
        <w:t xml:space="preserve"> Approach used to estimate health benefits</w:t>
      </w:r>
      <w:bookmarkEnd w:id="33"/>
    </w:p>
    <w:tbl>
      <w:tblPr>
        <w:tblStyle w:val="AureconTable4"/>
        <w:tblW w:w="9634" w:type="dxa"/>
        <w:tblInd w:w="-5" w:type="dxa"/>
        <w:tblLook w:val="04A0" w:firstRow="1" w:lastRow="0" w:firstColumn="1" w:lastColumn="0" w:noHBand="0" w:noVBand="1"/>
      </w:tblPr>
      <w:tblGrid>
        <w:gridCol w:w="1560"/>
        <w:gridCol w:w="8074"/>
      </w:tblGrid>
      <w:tr w:rsidR="00B4699B" w14:paraId="05AFB114" w14:textId="77777777" w:rsidTr="002147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0" w:type="dxa"/>
          </w:tcPr>
          <w:p w14:paraId="6BC68614" w14:textId="3399BD73" w:rsidR="00B4699B" w:rsidRDefault="00B4699B" w:rsidP="002147BA">
            <w:pPr>
              <w:pStyle w:val="Bullet1"/>
              <w:numPr>
                <w:ilvl w:val="0"/>
                <w:numId w:val="0"/>
              </w:numPr>
              <w:jc w:val="center"/>
            </w:pPr>
            <w:r>
              <w:t>Pollutant</w:t>
            </w:r>
          </w:p>
        </w:tc>
        <w:tc>
          <w:tcPr>
            <w:tcW w:w="8074" w:type="dxa"/>
          </w:tcPr>
          <w:p w14:paraId="755CD6F7" w14:textId="34C329A7" w:rsidR="00B4699B" w:rsidRPr="00B4699B" w:rsidRDefault="0095697D" w:rsidP="00B4699B">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rPr>
                <w:b w:val="0"/>
              </w:rPr>
            </w:pPr>
            <w:r>
              <w:t>Airsheds</w:t>
            </w:r>
          </w:p>
        </w:tc>
      </w:tr>
      <w:tr w:rsidR="00B4699B" w14:paraId="14B85D4C" w14:textId="77777777" w:rsidTr="002147BA">
        <w:tc>
          <w:tcPr>
            <w:cnfStyle w:val="001000000000" w:firstRow="0" w:lastRow="0" w:firstColumn="1" w:lastColumn="0" w:oddVBand="0" w:evenVBand="0" w:oddHBand="0" w:evenHBand="0" w:firstRowFirstColumn="0" w:firstRowLastColumn="0" w:lastRowFirstColumn="0" w:lastRowLastColumn="0"/>
            <w:tcW w:w="9634" w:type="dxa"/>
            <w:gridSpan w:val="2"/>
          </w:tcPr>
          <w:p w14:paraId="04964A98" w14:textId="06C96470" w:rsidR="00B4699B" w:rsidRPr="00B4699B" w:rsidRDefault="00341648" w:rsidP="00B4699B">
            <w:pPr>
              <w:pStyle w:val="Bullet1"/>
              <w:numPr>
                <w:ilvl w:val="0"/>
                <w:numId w:val="0"/>
              </w:numPr>
              <w:rPr>
                <w:b/>
                <w:szCs w:val="18"/>
              </w:rPr>
            </w:pPr>
            <w:r w:rsidRPr="00B4699B">
              <w:rPr>
                <w:b/>
                <w:szCs w:val="18"/>
              </w:rPr>
              <w:t>Use of impact pathway approach</w:t>
            </w:r>
          </w:p>
        </w:tc>
      </w:tr>
      <w:tr w:rsidR="00B4699B" w14:paraId="4C742246" w14:textId="77777777" w:rsidTr="002147BA">
        <w:tc>
          <w:tcPr>
            <w:cnfStyle w:val="001000000000" w:firstRow="0" w:lastRow="0" w:firstColumn="1" w:lastColumn="0" w:oddVBand="0" w:evenVBand="0" w:oddHBand="0" w:evenHBand="0" w:firstRowFirstColumn="0" w:firstRowLastColumn="0" w:lastRowFirstColumn="0" w:lastRowLastColumn="0"/>
            <w:tcW w:w="1560" w:type="dxa"/>
          </w:tcPr>
          <w:p w14:paraId="4028FCBF" w14:textId="407DA0E6" w:rsidR="00B4699B" w:rsidRPr="00D41908" w:rsidRDefault="00B4699B" w:rsidP="002147BA">
            <w:pPr>
              <w:pStyle w:val="Bullet1"/>
              <w:numPr>
                <w:ilvl w:val="0"/>
                <w:numId w:val="0"/>
              </w:numPr>
              <w:jc w:val="center"/>
              <w:rPr>
                <w:szCs w:val="18"/>
              </w:rPr>
            </w:pPr>
            <w:r>
              <w:rPr>
                <w:szCs w:val="18"/>
              </w:rPr>
              <w:t>SO</w:t>
            </w:r>
            <w:r w:rsidRPr="00B4699B">
              <w:rPr>
                <w:szCs w:val="18"/>
                <w:vertAlign w:val="subscript"/>
              </w:rPr>
              <w:t>2</w:t>
            </w:r>
          </w:p>
        </w:tc>
        <w:tc>
          <w:tcPr>
            <w:tcW w:w="8074" w:type="dxa"/>
          </w:tcPr>
          <w:p w14:paraId="4496136D" w14:textId="5A29CA65" w:rsidR="00B4699B" w:rsidRPr="00D41908" w:rsidRDefault="00B4699B" w:rsidP="00B918FC">
            <w:pPr>
              <w:pStyle w:val="BodyText"/>
              <w:jc w:val="center"/>
              <w:cnfStyle w:val="000000000000" w:firstRow="0" w:lastRow="0" w:firstColumn="0" w:lastColumn="0" w:oddVBand="0" w:evenVBand="0" w:oddHBand="0" w:evenHBand="0" w:firstRowFirstColumn="0" w:firstRowLastColumn="0" w:lastRowFirstColumn="0" w:lastRowLastColumn="0"/>
            </w:pPr>
            <w:r>
              <w:t>Sydney, Newcastle, Wollongong, Melbourne, Latrobe Valley</w:t>
            </w:r>
          </w:p>
        </w:tc>
      </w:tr>
      <w:tr w:rsidR="00B4699B" w14:paraId="2ED15FEA" w14:textId="77777777" w:rsidTr="002147BA">
        <w:tc>
          <w:tcPr>
            <w:cnfStyle w:val="001000000000" w:firstRow="0" w:lastRow="0" w:firstColumn="1" w:lastColumn="0" w:oddVBand="0" w:evenVBand="0" w:oddHBand="0" w:evenHBand="0" w:firstRowFirstColumn="0" w:firstRowLastColumn="0" w:lastRowFirstColumn="0" w:lastRowLastColumn="0"/>
            <w:tcW w:w="1560" w:type="dxa"/>
          </w:tcPr>
          <w:p w14:paraId="55E6BCD5" w14:textId="487607A0" w:rsidR="00B4699B" w:rsidRDefault="00B4699B" w:rsidP="002147BA">
            <w:pPr>
              <w:pStyle w:val="Bullet1"/>
              <w:numPr>
                <w:ilvl w:val="0"/>
                <w:numId w:val="0"/>
              </w:numPr>
              <w:jc w:val="center"/>
              <w:rPr>
                <w:szCs w:val="18"/>
              </w:rPr>
            </w:pPr>
            <w:r>
              <w:rPr>
                <w:szCs w:val="18"/>
              </w:rPr>
              <w:t>NO</w:t>
            </w:r>
            <w:r w:rsidRPr="00B4699B">
              <w:rPr>
                <w:szCs w:val="18"/>
                <w:vertAlign w:val="subscript"/>
              </w:rPr>
              <w:t>2</w:t>
            </w:r>
          </w:p>
        </w:tc>
        <w:tc>
          <w:tcPr>
            <w:tcW w:w="8074" w:type="dxa"/>
          </w:tcPr>
          <w:p w14:paraId="0FE71305" w14:textId="7010A65E" w:rsidR="00B4699B" w:rsidRDefault="00D66FE7" w:rsidP="00B918FC">
            <w:pPr>
              <w:pStyle w:val="BodyText"/>
              <w:jc w:val="center"/>
              <w:cnfStyle w:val="000000000000" w:firstRow="0" w:lastRow="0" w:firstColumn="0" w:lastColumn="0" w:oddVBand="0" w:evenVBand="0" w:oddHBand="0" w:evenHBand="0" w:firstRowFirstColumn="0" w:firstRowLastColumn="0" w:lastRowFirstColumn="0" w:lastRowLastColumn="0"/>
            </w:pPr>
            <w:r>
              <w:t>Sydney, Newcastle, Wollongong, Melbourne</w:t>
            </w:r>
          </w:p>
        </w:tc>
      </w:tr>
      <w:tr w:rsidR="00D66FE7" w14:paraId="50987762" w14:textId="77777777" w:rsidTr="002147BA">
        <w:tc>
          <w:tcPr>
            <w:cnfStyle w:val="001000000000" w:firstRow="0" w:lastRow="0" w:firstColumn="1" w:lastColumn="0" w:oddVBand="0" w:evenVBand="0" w:oddHBand="0" w:evenHBand="0" w:firstRowFirstColumn="0" w:firstRowLastColumn="0" w:lastRowFirstColumn="0" w:lastRowLastColumn="0"/>
            <w:tcW w:w="1560" w:type="dxa"/>
          </w:tcPr>
          <w:p w14:paraId="027D7F8C" w14:textId="576B06AD" w:rsidR="00D66FE7" w:rsidRDefault="00D66FE7" w:rsidP="002147BA">
            <w:pPr>
              <w:pStyle w:val="Bullet1"/>
              <w:numPr>
                <w:ilvl w:val="0"/>
                <w:numId w:val="0"/>
              </w:numPr>
              <w:jc w:val="center"/>
              <w:rPr>
                <w:szCs w:val="18"/>
              </w:rPr>
            </w:pPr>
            <w:r>
              <w:rPr>
                <w:szCs w:val="18"/>
              </w:rPr>
              <w:t>O</w:t>
            </w:r>
            <w:r w:rsidRPr="00D66FE7">
              <w:rPr>
                <w:szCs w:val="18"/>
                <w:vertAlign w:val="subscript"/>
              </w:rPr>
              <w:t>3</w:t>
            </w:r>
          </w:p>
        </w:tc>
        <w:tc>
          <w:tcPr>
            <w:tcW w:w="8074" w:type="dxa"/>
          </w:tcPr>
          <w:p w14:paraId="2392C4E6" w14:textId="51E185EA" w:rsidR="00D66FE7" w:rsidRDefault="00D66FE7" w:rsidP="00B918FC">
            <w:pPr>
              <w:pStyle w:val="BodyText"/>
              <w:jc w:val="center"/>
              <w:cnfStyle w:val="000000000000" w:firstRow="0" w:lastRow="0" w:firstColumn="0" w:lastColumn="0" w:oddVBand="0" w:evenVBand="0" w:oddHBand="0" w:evenHBand="0" w:firstRowFirstColumn="0" w:firstRowLastColumn="0" w:lastRowFirstColumn="0" w:lastRowLastColumn="0"/>
            </w:pPr>
            <w:r>
              <w:t>Sydney, Newcastle, Wollongong, Melbourne, Latrobe Valley</w:t>
            </w:r>
          </w:p>
        </w:tc>
      </w:tr>
      <w:tr w:rsidR="00341648" w14:paraId="7AC97964" w14:textId="77777777" w:rsidTr="002147BA">
        <w:tc>
          <w:tcPr>
            <w:cnfStyle w:val="001000000000" w:firstRow="0" w:lastRow="0" w:firstColumn="1" w:lastColumn="0" w:oddVBand="0" w:evenVBand="0" w:oddHBand="0" w:evenHBand="0" w:firstRowFirstColumn="0" w:firstRowLastColumn="0" w:lastRowFirstColumn="0" w:lastRowLastColumn="0"/>
            <w:tcW w:w="9634" w:type="dxa"/>
            <w:gridSpan w:val="2"/>
          </w:tcPr>
          <w:p w14:paraId="12C06AAF" w14:textId="75713416" w:rsidR="00341648" w:rsidRDefault="00341648" w:rsidP="00341648">
            <w:pPr>
              <w:pStyle w:val="Bullet1"/>
              <w:numPr>
                <w:ilvl w:val="0"/>
                <w:numId w:val="0"/>
              </w:numPr>
              <w:rPr>
                <w:szCs w:val="18"/>
              </w:rPr>
            </w:pPr>
            <w:r w:rsidRPr="00B4699B">
              <w:rPr>
                <w:b/>
                <w:szCs w:val="18"/>
              </w:rPr>
              <w:t xml:space="preserve">Use of </w:t>
            </w:r>
            <w:r>
              <w:rPr>
                <w:b/>
                <w:szCs w:val="18"/>
              </w:rPr>
              <w:t xml:space="preserve">damage cost </w:t>
            </w:r>
            <w:r w:rsidRPr="00B4699B">
              <w:rPr>
                <w:b/>
                <w:szCs w:val="18"/>
              </w:rPr>
              <w:t>approach</w:t>
            </w:r>
          </w:p>
        </w:tc>
      </w:tr>
      <w:tr w:rsidR="00341648" w14:paraId="0714FA1A" w14:textId="77777777" w:rsidTr="002147BA">
        <w:tc>
          <w:tcPr>
            <w:cnfStyle w:val="001000000000" w:firstRow="0" w:lastRow="0" w:firstColumn="1" w:lastColumn="0" w:oddVBand="0" w:evenVBand="0" w:oddHBand="0" w:evenHBand="0" w:firstRowFirstColumn="0" w:firstRowLastColumn="0" w:lastRowFirstColumn="0" w:lastRowLastColumn="0"/>
            <w:tcW w:w="1560" w:type="dxa"/>
          </w:tcPr>
          <w:p w14:paraId="43B546DD" w14:textId="13C80F18" w:rsidR="00341648" w:rsidRDefault="00341648" w:rsidP="00341648">
            <w:pPr>
              <w:pStyle w:val="Bullet1"/>
              <w:numPr>
                <w:ilvl w:val="0"/>
                <w:numId w:val="0"/>
              </w:numPr>
              <w:jc w:val="center"/>
              <w:rPr>
                <w:szCs w:val="18"/>
              </w:rPr>
            </w:pPr>
            <w:r>
              <w:rPr>
                <w:szCs w:val="18"/>
              </w:rPr>
              <w:t>SO</w:t>
            </w:r>
            <w:r w:rsidRPr="00B4699B">
              <w:rPr>
                <w:szCs w:val="18"/>
                <w:vertAlign w:val="subscript"/>
              </w:rPr>
              <w:t>2</w:t>
            </w:r>
          </w:p>
        </w:tc>
        <w:tc>
          <w:tcPr>
            <w:tcW w:w="8074" w:type="dxa"/>
          </w:tcPr>
          <w:p w14:paraId="1C6C7018" w14:textId="76833E11" w:rsidR="00341648" w:rsidRDefault="00B918FC" w:rsidP="00B918FC">
            <w:pPr>
              <w:pStyle w:val="BodyText"/>
              <w:jc w:val="center"/>
              <w:cnfStyle w:val="000000000000" w:firstRow="0" w:lastRow="0" w:firstColumn="0" w:lastColumn="0" w:oddVBand="0" w:evenVBand="0" w:oddHBand="0" w:evenHBand="0" w:firstRowFirstColumn="0" w:firstRowLastColumn="0" w:lastRowFirstColumn="0" w:lastRowLastColumn="0"/>
            </w:pPr>
            <w:r>
              <w:t>Brisbane, Perth, Adelaide, Darwin</w:t>
            </w:r>
          </w:p>
        </w:tc>
      </w:tr>
      <w:tr w:rsidR="00B918FC" w14:paraId="32193586" w14:textId="77777777" w:rsidTr="002147BA">
        <w:tc>
          <w:tcPr>
            <w:cnfStyle w:val="001000000000" w:firstRow="0" w:lastRow="0" w:firstColumn="1" w:lastColumn="0" w:oddVBand="0" w:evenVBand="0" w:oddHBand="0" w:evenHBand="0" w:firstRowFirstColumn="0" w:firstRowLastColumn="0" w:lastRowFirstColumn="0" w:lastRowLastColumn="0"/>
            <w:tcW w:w="1560" w:type="dxa"/>
          </w:tcPr>
          <w:p w14:paraId="11494E2C" w14:textId="46691E9B" w:rsidR="00B918FC" w:rsidRDefault="00B918FC" w:rsidP="00B918FC">
            <w:pPr>
              <w:pStyle w:val="Bullet1"/>
              <w:numPr>
                <w:ilvl w:val="0"/>
                <w:numId w:val="0"/>
              </w:numPr>
              <w:jc w:val="center"/>
              <w:rPr>
                <w:szCs w:val="18"/>
              </w:rPr>
            </w:pPr>
            <w:r>
              <w:rPr>
                <w:szCs w:val="18"/>
              </w:rPr>
              <w:t>NO</w:t>
            </w:r>
            <w:r w:rsidRPr="00B4699B">
              <w:rPr>
                <w:szCs w:val="18"/>
                <w:vertAlign w:val="subscript"/>
              </w:rPr>
              <w:t>2</w:t>
            </w:r>
          </w:p>
        </w:tc>
        <w:tc>
          <w:tcPr>
            <w:tcW w:w="8074" w:type="dxa"/>
          </w:tcPr>
          <w:p w14:paraId="4448A61B" w14:textId="3CC57675" w:rsidR="00B918FC" w:rsidRDefault="00AF56DD" w:rsidP="00B918FC">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t xml:space="preserve">Latrobe Valley, </w:t>
            </w:r>
            <w:r w:rsidR="00B918FC">
              <w:t>Brisbane, Perth, Adelaide, Darwin</w:t>
            </w:r>
          </w:p>
        </w:tc>
      </w:tr>
      <w:tr w:rsidR="00B918FC" w14:paraId="6CD7869C" w14:textId="77777777" w:rsidTr="002147BA">
        <w:tc>
          <w:tcPr>
            <w:cnfStyle w:val="001000000000" w:firstRow="0" w:lastRow="0" w:firstColumn="1" w:lastColumn="0" w:oddVBand="0" w:evenVBand="0" w:oddHBand="0" w:evenHBand="0" w:firstRowFirstColumn="0" w:firstRowLastColumn="0" w:lastRowFirstColumn="0" w:lastRowLastColumn="0"/>
            <w:tcW w:w="1560" w:type="dxa"/>
          </w:tcPr>
          <w:p w14:paraId="5EF163F3" w14:textId="167B6500" w:rsidR="00B918FC" w:rsidRPr="00722AF6" w:rsidRDefault="00B918FC" w:rsidP="00B918FC">
            <w:pPr>
              <w:pStyle w:val="Bullet1"/>
              <w:numPr>
                <w:ilvl w:val="0"/>
                <w:numId w:val="0"/>
              </w:numPr>
              <w:jc w:val="center"/>
              <w:rPr>
                <w:szCs w:val="18"/>
              </w:rPr>
            </w:pPr>
            <w:r w:rsidRPr="00722AF6">
              <w:rPr>
                <w:szCs w:val="18"/>
              </w:rPr>
              <w:t>PM</w:t>
            </w:r>
            <w:r w:rsidRPr="00722AF6">
              <w:rPr>
                <w:szCs w:val="18"/>
                <w:vertAlign w:val="subscript"/>
              </w:rPr>
              <w:t>2.5</w:t>
            </w:r>
          </w:p>
        </w:tc>
        <w:tc>
          <w:tcPr>
            <w:tcW w:w="8074" w:type="dxa"/>
          </w:tcPr>
          <w:p w14:paraId="6D944993" w14:textId="51C2757C" w:rsidR="00B918FC" w:rsidRDefault="00722AF6" w:rsidP="00B918FC">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722AF6">
              <w:t xml:space="preserve">Sydney, Melbourne, </w:t>
            </w:r>
            <w:r w:rsidR="00B918FC" w:rsidRPr="00722AF6">
              <w:t>Newcastle, Wollongong, Latrobe Valley, Brisbane, Perth, Adelaide, Darwin</w:t>
            </w:r>
          </w:p>
        </w:tc>
      </w:tr>
      <w:tr w:rsidR="00B918FC" w14:paraId="0CDFB2EE" w14:textId="77777777" w:rsidTr="002147BA">
        <w:tc>
          <w:tcPr>
            <w:cnfStyle w:val="001000000000" w:firstRow="0" w:lastRow="0" w:firstColumn="1" w:lastColumn="0" w:oddVBand="0" w:evenVBand="0" w:oddHBand="0" w:evenHBand="0" w:firstRowFirstColumn="0" w:firstRowLastColumn="0" w:lastRowFirstColumn="0" w:lastRowLastColumn="0"/>
            <w:tcW w:w="1560" w:type="dxa"/>
          </w:tcPr>
          <w:p w14:paraId="7F7FB10B" w14:textId="6C0F3602" w:rsidR="00B918FC" w:rsidRDefault="00B918FC" w:rsidP="00B918FC">
            <w:pPr>
              <w:pStyle w:val="Bullet1"/>
              <w:numPr>
                <w:ilvl w:val="0"/>
                <w:numId w:val="0"/>
              </w:numPr>
              <w:jc w:val="center"/>
              <w:rPr>
                <w:szCs w:val="18"/>
              </w:rPr>
            </w:pPr>
            <w:r>
              <w:rPr>
                <w:szCs w:val="18"/>
              </w:rPr>
              <w:t>O</w:t>
            </w:r>
            <w:r w:rsidRPr="00D66FE7">
              <w:rPr>
                <w:szCs w:val="18"/>
                <w:vertAlign w:val="subscript"/>
              </w:rPr>
              <w:t>3</w:t>
            </w:r>
          </w:p>
        </w:tc>
        <w:tc>
          <w:tcPr>
            <w:tcW w:w="8074" w:type="dxa"/>
          </w:tcPr>
          <w:p w14:paraId="60B7F931" w14:textId="33550F7D" w:rsidR="00B918FC" w:rsidRDefault="00B918FC" w:rsidP="00B918FC">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Pr>
                <w:szCs w:val="18"/>
              </w:rPr>
              <w:t>None</w:t>
            </w:r>
          </w:p>
        </w:tc>
      </w:tr>
    </w:tbl>
    <w:p w14:paraId="3264907A" w14:textId="5B231416" w:rsidR="001B6724" w:rsidRDefault="001B6724" w:rsidP="001B6724">
      <w:pPr>
        <w:pStyle w:val="BodyText"/>
        <w:rPr>
          <w:lang w:val="en-PH"/>
        </w:rPr>
      </w:pPr>
    </w:p>
    <w:p w14:paraId="57076A11" w14:textId="6FE07015" w:rsidR="001B6724" w:rsidRDefault="00FF73BF" w:rsidP="001B6724">
      <w:pPr>
        <w:pStyle w:val="BodyText"/>
        <w:rPr>
          <w:lang w:val="en-PH"/>
        </w:rPr>
      </w:pPr>
      <w:r>
        <w:rPr>
          <w:lang w:val="en-PH"/>
        </w:rPr>
        <w:t>The d</w:t>
      </w:r>
      <w:r w:rsidR="001B6724">
        <w:rPr>
          <w:lang w:val="en-PH"/>
        </w:rPr>
        <w:t xml:space="preserve">amage cost </w:t>
      </w:r>
      <w:r>
        <w:rPr>
          <w:lang w:val="en-PH"/>
        </w:rPr>
        <w:t xml:space="preserve">approach </w:t>
      </w:r>
      <w:r w:rsidR="001B6724">
        <w:rPr>
          <w:lang w:val="en-PH"/>
        </w:rPr>
        <w:t>is applied by estimating a cost per tonne of emissions ($ per tonne) for each airshed, or in this case a benefit per tonne of emission reduction, and applying that figure to the estimated change in emissions.</w:t>
      </w:r>
    </w:p>
    <w:p w14:paraId="527CEE88" w14:textId="122E366D" w:rsidR="001B6724" w:rsidRDefault="001B6724" w:rsidP="001B6724">
      <w:pPr>
        <w:pStyle w:val="BodyText"/>
        <w:rPr>
          <w:lang w:val="en-PH"/>
        </w:rPr>
      </w:pPr>
      <w:r>
        <w:rPr>
          <w:lang w:val="en-PH"/>
        </w:rPr>
        <w:t xml:space="preserve">The avoided </w:t>
      </w:r>
      <w:r w:rsidR="00FF25C5">
        <w:rPr>
          <w:lang w:val="en-PH"/>
        </w:rPr>
        <w:t xml:space="preserve">benefit </w:t>
      </w:r>
      <w:r>
        <w:rPr>
          <w:lang w:val="en-PH"/>
        </w:rPr>
        <w:t>per tonne of NO</w:t>
      </w:r>
      <w:r w:rsidRPr="00332635">
        <w:rPr>
          <w:vertAlign w:val="subscript"/>
          <w:lang w:val="en-PH"/>
        </w:rPr>
        <w:t>X</w:t>
      </w:r>
      <w:r>
        <w:rPr>
          <w:lang w:val="en-PH"/>
        </w:rPr>
        <w:t xml:space="preserve"> and SO</w:t>
      </w:r>
      <w:r w:rsidRPr="00332635">
        <w:rPr>
          <w:vertAlign w:val="subscript"/>
          <w:lang w:val="en-PH"/>
        </w:rPr>
        <w:t>X</w:t>
      </w:r>
      <w:r>
        <w:rPr>
          <w:lang w:val="en-PH"/>
        </w:rPr>
        <w:t xml:space="preserve"> </w:t>
      </w:r>
      <w:r w:rsidR="00FF25C5">
        <w:rPr>
          <w:lang w:val="en-PH"/>
        </w:rPr>
        <w:t xml:space="preserve">reductions </w:t>
      </w:r>
      <w:r>
        <w:rPr>
          <w:lang w:val="en-PH"/>
        </w:rPr>
        <w:t xml:space="preserve">was estimated </w:t>
      </w:r>
      <w:r w:rsidR="005D1D37">
        <w:rPr>
          <w:lang w:val="en-PH"/>
        </w:rPr>
        <w:t xml:space="preserve">using the </w:t>
      </w:r>
      <w:r>
        <w:rPr>
          <w:lang w:val="en-PH"/>
        </w:rPr>
        <w:t>results of the impact pathway</w:t>
      </w:r>
      <w:r w:rsidR="005D1D37">
        <w:rPr>
          <w:lang w:val="en-PH"/>
        </w:rPr>
        <w:t xml:space="preserve"> analysis</w:t>
      </w:r>
      <w:r>
        <w:rPr>
          <w:lang w:val="en-PH"/>
        </w:rPr>
        <w:t xml:space="preserve">. </w:t>
      </w:r>
      <w:r w:rsidR="005D1D37">
        <w:rPr>
          <w:lang w:val="en-PH"/>
        </w:rPr>
        <w:t>This approach is consistent with p</w:t>
      </w:r>
      <w:r>
        <w:rPr>
          <w:lang w:val="en-PH"/>
        </w:rPr>
        <w:t>revious studies</w:t>
      </w:r>
      <w:r w:rsidR="005D1D37">
        <w:rPr>
          <w:lang w:val="en-PH"/>
        </w:rPr>
        <w:t>, which</w:t>
      </w:r>
      <w:r>
        <w:rPr>
          <w:lang w:val="en-PH"/>
        </w:rPr>
        <w:t xml:space="preserve"> have </w:t>
      </w:r>
      <w:r w:rsidR="00522BAD">
        <w:rPr>
          <w:lang w:val="en-PH"/>
        </w:rPr>
        <w:t>calculat</w:t>
      </w:r>
      <w:r w:rsidR="00640CCD">
        <w:rPr>
          <w:lang w:val="en-PH"/>
        </w:rPr>
        <w:t xml:space="preserve">ed </w:t>
      </w:r>
      <w:r w:rsidR="00617DBB">
        <w:rPr>
          <w:lang w:val="en-PH"/>
        </w:rPr>
        <w:t xml:space="preserve">damage costs </w:t>
      </w:r>
      <w:r>
        <w:rPr>
          <w:lang w:val="en-PH"/>
        </w:rPr>
        <w:t xml:space="preserve">by first collating $ per tonne estimates based on impact pathway results, and then regressing this </w:t>
      </w:r>
      <w:r w:rsidR="00073C4D">
        <w:rPr>
          <w:lang w:val="en-PH"/>
        </w:rPr>
        <w:t xml:space="preserve">data </w:t>
      </w:r>
      <w:r>
        <w:rPr>
          <w:lang w:val="en-PH"/>
        </w:rPr>
        <w:t xml:space="preserve">against the population density of </w:t>
      </w:r>
      <w:r w:rsidR="00380FEA">
        <w:rPr>
          <w:lang w:val="en-PH"/>
        </w:rPr>
        <w:t xml:space="preserve">the </w:t>
      </w:r>
      <w:r w:rsidR="00FE57F5">
        <w:rPr>
          <w:lang w:val="en-PH"/>
        </w:rPr>
        <w:t xml:space="preserve">corresponding </w:t>
      </w:r>
      <w:r>
        <w:rPr>
          <w:lang w:val="en-PH"/>
        </w:rPr>
        <w:t>airshed</w:t>
      </w:r>
      <w:r w:rsidR="00406EC9">
        <w:rPr>
          <w:lang w:val="en-PH"/>
        </w:rPr>
        <w:t>s</w:t>
      </w:r>
      <w:r>
        <w:rPr>
          <w:lang w:val="en-PH"/>
        </w:rPr>
        <w:t xml:space="preserve">. </w:t>
      </w:r>
      <w:r w:rsidR="00986C40">
        <w:rPr>
          <w:lang w:val="en-PH"/>
        </w:rPr>
        <w:t xml:space="preserve">This type of regression </w:t>
      </w:r>
      <w:r w:rsidR="00B366F1">
        <w:rPr>
          <w:lang w:val="en-PH"/>
        </w:rPr>
        <w:t xml:space="preserve">was </w:t>
      </w:r>
      <w:r w:rsidR="00986C40">
        <w:rPr>
          <w:lang w:val="en-PH"/>
        </w:rPr>
        <w:t xml:space="preserve">used </w:t>
      </w:r>
      <w:r>
        <w:rPr>
          <w:lang w:val="en-PH"/>
        </w:rPr>
        <w:t xml:space="preserve">because </w:t>
      </w:r>
      <w:r w:rsidR="0074533C">
        <w:rPr>
          <w:lang w:val="en-PH"/>
        </w:rPr>
        <w:t xml:space="preserve">the </w:t>
      </w:r>
      <w:r>
        <w:rPr>
          <w:lang w:val="en-PH"/>
        </w:rPr>
        <w:t>economic cost per tonne of pollutant is known to be related to the population density of the corresponding airshed. The results of the regression are then used to estimate the economic cost per tonne (the ‘unit damage cost’) in any airshed by using the population density of that airshed.</w:t>
      </w:r>
    </w:p>
    <w:p w14:paraId="1DD7C7E0" w14:textId="4FA89D02" w:rsidR="001B6724" w:rsidRDefault="001B6724" w:rsidP="001B6724">
      <w:pPr>
        <w:pStyle w:val="BodyText"/>
        <w:rPr>
          <w:lang w:val="en-PH"/>
        </w:rPr>
      </w:pPr>
      <w:r>
        <w:rPr>
          <w:lang w:val="en-PH"/>
        </w:rPr>
        <w:t>This CBA use</w:t>
      </w:r>
      <w:r w:rsidR="00F27249">
        <w:rPr>
          <w:lang w:val="en-PH"/>
        </w:rPr>
        <w:t>d</w:t>
      </w:r>
      <w:r>
        <w:rPr>
          <w:lang w:val="en-PH"/>
        </w:rPr>
        <w:t xml:space="preserve"> this approach by estimating </w:t>
      </w:r>
      <w:r w:rsidR="003D03B2">
        <w:rPr>
          <w:lang w:val="en-PH"/>
        </w:rPr>
        <w:t xml:space="preserve">the following </w:t>
      </w:r>
      <w:r>
        <w:rPr>
          <w:lang w:val="en-PH"/>
        </w:rPr>
        <w:t>for each combination of pollutant, airshed, scenario (BAU or Abatement) and year (2021, 2031 or 2040) for which impact pathway results were available:</w:t>
      </w:r>
    </w:p>
    <w:p w14:paraId="7A1BA880" w14:textId="77777777" w:rsidR="001B6724" w:rsidRDefault="001B6724" w:rsidP="001B6724">
      <w:pPr>
        <w:pStyle w:val="Bullet1"/>
        <w:rPr>
          <w:lang w:val="en-PH"/>
        </w:rPr>
      </w:pPr>
      <w:r>
        <w:rPr>
          <w:lang w:val="en-PH"/>
        </w:rPr>
        <w:t>the $ per tonne, calculated by dividing the avoided health costs by the emission reduction</w:t>
      </w:r>
    </w:p>
    <w:p w14:paraId="121C2552" w14:textId="77777777" w:rsidR="001B6724" w:rsidRDefault="001B6724" w:rsidP="001B6724">
      <w:pPr>
        <w:pStyle w:val="Bullet1"/>
        <w:rPr>
          <w:lang w:val="en-PH"/>
        </w:rPr>
      </w:pPr>
      <w:r>
        <w:rPr>
          <w:lang w:val="en-PH"/>
        </w:rPr>
        <w:t>the population density of the corresponding airshed.</w:t>
      </w:r>
    </w:p>
    <w:p w14:paraId="5CD08724" w14:textId="313F7DEC" w:rsidR="001B6724" w:rsidRDefault="005A3770" w:rsidP="001B6724">
      <w:pPr>
        <w:pStyle w:val="BodyText"/>
        <w:rPr>
          <w:lang w:val="en-PH"/>
        </w:rPr>
      </w:pPr>
      <w:r>
        <w:rPr>
          <w:lang w:val="en-PH"/>
        </w:rPr>
        <w:t>R</w:t>
      </w:r>
      <w:r w:rsidR="001B6724">
        <w:rPr>
          <w:lang w:val="en-PH"/>
        </w:rPr>
        <w:t xml:space="preserve">egression </w:t>
      </w:r>
      <w:r>
        <w:rPr>
          <w:lang w:val="en-PH"/>
        </w:rPr>
        <w:t xml:space="preserve">analysis was </w:t>
      </w:r>
      <w:r w:rsidR="001B6724">
        <w:rPr>
          <w:lang w:val="en-PH"/>
        </w:rPr>
        <w:t xml:space="preserve">used to estimate the relationship between unit damage costs and population density. The results of this regression </w:t>
      </w:r>
      <w:r w:rsidR="00482550">
        <w:rPr>
          <w:lang w:val="en-PH"/>
        </w:rPr>
        <w:t xml:space="preserve">were </w:t>
      </w:r>
      <w:r w:rsidR="001B6724">
        <w:rPr>
          <w:lang w:val="en-PH"/>
        </w:rPr>
        <w:t xml:space="preserve">used to estimate a unique unit damage cost for each airshed where no impact pathway results were available. The unit damage cost </w:t>
      </w:r>
      <w:r w:rsidR="00D301C6">
        <w:rPr>
          <w:lang w:val="en-PH"/>
        </w:rPr>
        <w:t xml:space="preserve">($ per tonne) </w:t>
      </w:r>
      <w:r w:rsidR="001B6724">
        <w:rPr>
          <w:lang w:val="en-PH"/>
        </w:rPr>
        <w:t xml:space="preserve">is then applied to the </w:t>
      </w:r>
      <w:r w:rsidR="00751C7B">
        <w:rPr>
          <w:lang w:val="en-PH"/>
        </w:rPr>
        <w:t xml:space="preserve">estimated </w:t>
      </w:r>
      <w:r w:rsidR="001B6724">
        <w:rPr>
          <w:lang w:val="en-PH"/>
        </w:rPr>
        <w:t xml:space="preserve">emission reduction </w:t>
      </w:r>
      <w:r w:rsidR="00D301C6">
        <w:rPr>
          <w:lang w:val="en-PH"/>
        </w:rPr>
        <w:t xml:space="preserve">(tonnes) </w:t>
      </w:r>
      <w:r w:rsidR="001B6724">
        <w:rPr>
          <w:lang w:val="en-PH"/>
        </w:rPr>
        <w:t>to arrive at an estimate of the avoided health costs</w:t>
      </w:r>
      <w:r w:rsidR="00D301C6">
        <w:rPr>
          <w:lang w:val="en-PH"/>
        </w:rPr>
        <w:t xml:space="preserve"> ($)</w:t>
      </w:r>
      <w:r w:rsidR="001B6724">
        <w:rPr>
          <w:lang w:val="en-PH"/>
        </w:rPr>
        <w:t>.</w:t>
      </w:r>
    </w:p>
    <w:p w14:paraId="46DD4D70" w14:textId="5425BB3E" w:rsidR="001B6724" w:rsidRDefault="001B6724" w:rsidP="001B6724">
      <w:pPr>
        <w:pStyle w:val="BodyText"/>
        <w:rPr>
          <w:lang w:val="en-PH"/>
        </w:rPr>
      </w:pPr>
      <w:r>
        <w:rPr>
          <w:lang w:val="en-PH"/>
        </w:rPr>
        <w:t xml:space="preserve">Details of the regression analysis and resulting damage costs are provided in </w:t>
      </w:r>
      <w:r w:rsidR="00EE2794">
        <w:rPr>
          <w:highlight w:val="yellow"/>
          <w:lang w:val="en-PH"/>
        </w:rPr>
        <w:fldChar w:fldCharType="begin"/>
      </w:r>
      <w:r w:rsidR="00EE2794">
        <w:rPr>
          <w:lang w:val="en-PH"/>
        </w:rPr>
        <w:instrText xml:space="preserve"> REF _Ref508451514 \h </w:instrText>
      </w:r>
      <w:r w:rsidR="00EE2794">
        <w:rPr>
          <w:highlight w:val="yellow"/>
          <w:lang w:val="en-PH"/>
        </w:rPr>
      </w:r>
      <w:r w:rsidR="00EE2794">
        <w:rPr>
          <w:highlight w:val="yellow"/>
          <w:lang w:val="en-PH"/>
        </w:rPr>
        <w:fldChar w:fldCharType="separate"/>
      </w:r>
      <w:r w:rsidR="00A50702">
        <w:t>Annexure</w:t>
      </w:r>
      <w:r w:rsidR="00A50702" w:rsidRPr="00A47DA3">
        <w:t xml:space="preserve"> </w:t>
      </w:r>
      <w:r w:rsidR="00A50702">
        <w:rPr>
          <w:noProof/>
        </w:rPr>
        <w:t>B</w:t>
      </w:r>
      <w:r w:rsidR="00EE2794">
        <w:rPr>
          <w:highlight w:val="yellow"/>
          <w:lang w:val="en-PH"/>
        </w:rPr>
        <w:fldChar w:fldCharType="end"/>
      </w:r>
      <w:r>
        <w:rPr>
          <w:lang w:val="en-PH"/>
        </w:rPr>
        <w:t>.</w:t>
      </w:r>
    </w:p>
    <w:p w14:paraId="32F0A7F7" w14:textId="77777777" w:rsidR="001B6724" w:rsidRDefault="001B6724" w:rsidP="001B6724">
      <w:pPr>
        <w:spacing w:after="200" w:line="276" w:lineRule="auto"/>
        <w:rPr>
          <w:lang w:val="en-PH"/>
        </w:rPr>
      </w:pPr>
      <w:r>
        <w:rPr>
          <w:lang w:val="en-PH"/>
        </w:rPr>
        <w:br w:type="page"/>
      </w:r>
    </w:p>
    <w:p w14:paraId="5568863F" w14:textId="77777777" w:rsidR="001B6724" w:rsidRDefault="001B6724" w:rsidP="00DB4968">
      <w:pPr>
        <w:pStyle w:val="Heading1"/>
        <w:rPr>
          <w:lang w:val="en-PH"/>
        </w:rPr>
      </w:pPr>
      <w:bookmarkStart w:id="34" w:name="_Ref508461484"/>
      <w:bookmarkStart w:id="35" w:name="_Toc518629887"/>
      <w:r>
        <w:rPr>
          <w:lang w:val="en-PH"/>
        </w:rPr>
        <w:lastRenderedPageBreak/>
        <w:t xml:space="preserve">Estimate of </w:t>
      </w:r>
      <w:r w:rsidRPr="00DB4968">
        <w:t>existing</w:t>
      </w:r>
      <w:r>
        <w:rPr>
          <w:lang w:val="en-PH"/>
        </w:rPr>
        <w:t xml:space="preserve"> health burden</w:t>
      </w:r>
      <w:bookmarkEnd w:id="34"/>
      <w:bookmarkEnd w:id="35"/>
    </w:p>
    <w:p w14:paraId="25F2FEB9" w14:textId="77777777" w:rsidR="001B6724" w:rsidRDefault="001B6724" w:rsidP="00DB4968">
      <w:pPr>
        <w:pStyle w:val="Heading2"/>
        <w:rPr>
          <w:lang w:val="en-PH"/>
        </w:rPr>
      </w:pPr>
      <w:bookmarkStart w:id="36" w:name="_Toc518629888"/>
      <w:r>
        <w:rPr>
          <w:lang w:val="en-PH"/>
        </w:rPr>
        <w:t xml:space="preserve">Central </w:t>
      </w:r>
      <w:r w:rsidRPr="00DB4968">
        <w:t>estimate</w:t>
      </w:r>
      <w:r>
        <w:rPr>
          <w:lang w:val="en-PH"/>
        </w:rPr>
        <w:t xml:space="preserve"> of health burden</w:t>
      </w:r>
      <w:bookmarkEnd w:id="36"/>
    </w:p>
    <w:p w14:paraId="7622BEE5" w14:textId="7C046CA5" w:rsidR="001B6724" w:rsidRDefault="001B6724" w:rsidP="001B6724">
      <w:pPr>
        <w:pStyle w:val="BodyText"/>
        <w:rPr>
          <w:lang w:val="en-PH"/>
        </w:rPr>
      </w:pPr>
      <w:bookmarkStart w:id="37" w:name="_Hlk508544175"/>
      <w:r>
        <w:rPr>
          <w:lang w:val="en-PH"/>
        </w:rPr>
        <w:t>The health costs of SO</w:t>
      </w:r>
      <w:r w:rsidRPr="00E75947">
        <w:rPr>
          <w:vertAlign w:val="subscript"/>
          <w:lang w:val="en-PH"/>
        </w:rPr>
        <w:t>2</w:t>
      </w:r>
      <w:r>
        <w:rPr>
          <w:lang w:val="en-PH"/>
        </w:rPr>
        <w:t>, NO</w:t>
      </w:r>
      <w:r w:rsidRPr="00E75947">
        <w:rPr>
          <w:vertAlign w:val="subscript"/>
          <w:lang w:val="en-PH"/>
        </w:rPr>
        <w:t>2</w:t>
      </w:r>
      <w:r>
        <w:rPr>
          <w:lang w:val="en-PH"/>
        </w:rPr>
        <w:t xml:space="preserve"> and O</w:t>
      </w:r>
      <w:r w:rsidRPr="00E75947">
        <w:rPr>
          <w:vertAlign w:val="subscript"/>
          <w:lang w:val="en-PH"/>
        </w:rPr>
        <w:t>3</w:t>
      </w:r>
      <w:r>
        <w:rPr>
          <w:lang w:val="en-PH"/>
        </w:rPr>
        <w:t xml:space="preserve"> over the period 2010 to 2014 </w:t>
      </w:r>
      <w:r w:rsidR="009C5D99">
        <w:rPr>
          <w:lang w:val="en-PH"/>
        </w:rPr>
        <w:t xml:space="preserve">were </w:t>
      </w:r>
      <w:r>
        <w:rPr>
          <w:lang w:val="en-PH"/>
        </w:rPr>
        <w:t xml:space="preserve">estimated using the </w:t>
      </w:r>
      <w:r w:rsidR="00E62BCE">
        <w:rPr>
          <w:lang w:val="en-PH"/>
        </w:rPr>
        <w:t xml:space="preserve">impact pathway approach </w:t>
      </w:r>
      <w:r>
        <w:rPr>
          <w:lang w:val="en-PH"/>
        </w:rPr>
        <w:t xml:space="preserve">outlined in </w:t>
      </w:r>
      <w:r w:rsidR="00D71EFE">
        <w:rPr>
          <w:lang w:val="en-PH"/>
        </w:rPr>
        <w:t>Section</w:t>
      </w:r>
      <w:r w:rsidR="00A80F72">
        <w:rPr>
          <w:lang w:val="en-PH"/>
        </w:rPr>
        <w:t xml:space="preserve"> </w:t>
      </w:r>
      <w:r w:rsidR="00A80F72">
        <w:rPr>
          <w:lang w:val="en-PH"/>
        </w:rPr>
        <w:fldChar w:fldCharType="begin"/>
      </w:r>
      <w:r w:rsidR="00A80F72">
        <w:rPr>
          <w:lang w:val="en-PH"/>
        </w:rPr>
        <w:instrText xml:space="preserve"> REF _Ref508396064 \r \h </w:instrText>
      </w:r>
      <w:r w:rsidR="00A80F72">
        <w:rPr>
          <w:lang w:val="en-PH"/>
        </w:rPr>
      </w:r>
      <w:r w:rsidR="00A80F72">
        <w:rPr>
          <w:lang w:val="en-PH"/>
        </w:rPr>
        <w:fldChar w:fldCharType="separate"/>
      </w:r>
      <w:r w:rsidR="00A50702">
        <w:rPr>
          <w:lang w:val="en-PH"/>
        </w:rPr>
        <w:t>3.5.1</w:t>
      </w:r>
      <w:r w:rsidR="00A80F72">
        <w:rPr>
          <w:lang w:val="en-PH"/>
        </w:rPr>
        <w:fldChar w:fldCharType="end"/>
      </w:r>
      <w:r>
        <w:rPr>
          <w:lang w:val="en-PH"/>
        </w:rPr>
        <w:t xml:space="preserve">. The results are provided in </w:t>
      </w:r>
      <w:r w:rsidR="00137988">
        <w:rPr>
          <w:lang w:val="en-PH"/>
        </w:rPr>
        <w:fldChar w:fldCharType="begin"/>
      </w:r>
      <w:r w:rsidR="00137988">
        <w:rPr>
          <w:lang w:val="en-PH"/>
        </w:rPr>
        <w:instrText xml:space="preserve"> REF _Ref508472649 \h </w:instrText>
      </w:r>
      <w:r w:rsidR="00137988">
        <w:rPr>
          <w:lang w:val="en-PH"/>
        </w:rPr>
      </w:r>
      <w:r w:rsidR="00137988">
        <w:rPr>
          <w:lang w:val="en-PH"/>
        </w:rPr>
        <w:fldChar w:fldCharType="separate"/>
      </w:r>
      <w:r w:rsidR="00A50702">
        <w:t xml:space="preserve">Table </w:t>
      </w:r>
      <w:r w:rsidR="00A50702">
        <w:rPr>
          <w:noProof/>
        </w:rPr>
        <w:t>4</w:t>
      </w:r>
      <w:r w:rsidR="00A50702">
        <w:noBreakHyphen/>
      </w:r>
      <w:r w:rsidR="00A50702">
        <w:rPr>
          <w:noProof/>
        </w:rPr>
        <w:t>1</w:t>
      </w:r>
      <w:r w:rsidR="00137988">
        <w:rPr>
          <w:lang w:val="en-PH"/>
        </w:rPr>
        <w:fldChar w:fldCharType="end"/>
      </w:r>
      <w:r w:rsidR="00137988">
        <w:rPr>
          <w:lang w:val="en-PH"/>
        </w:rPr>
        <w:t xml:space="preserve"> </w:t>
      </w:r>
      <w:r>
        <w:rPr>
          <w:lang w:val="en-PH"/>
        </w:rPr>
        <w:t>below.</w:t>
      </w:r>
      <w:bookmarkEnd w:id="37"/>
    </w:p>
    <w:p w14:paraId="151D2015" w14:textId="71A94A1D" w:rsidR="00137988" w:rsidRDefault="00137988" w:rsidP="00137988">
      <w:pPr>
        <w:pStyle w:val="Caption"/>
      </w:pPr>
      <w:bookmarkStart w:id="38" w:name="_Ref508472649"/>
      <w:bookmarkStart w:id="39" w:name="_Toc518629918"/>
      <w:r>
        <w:t xml:space="preserve">Table </w:t>
      </w:r>
      <w:r>
        <w:fldChar w:fldCharType="begin"/>
      </w:r>
      <w:r>
        <w:instrText xml:space="preserve"> STYLEREF 1 \s </w:instrText>
      </w:r>
      <w:r>
        <w:fldChar w:fldCharType="separate"/>
      </w:r>
      <w:r w:rsidR="00A50702">
        <w:rPr>
          <w:noProof/>
        </w:rPr>
        <w:t>4</w:t>
      </w:r>
      <w:r>
        <w:fldChar w:fldCharType="end"/>
      </w:r>
      <w:r>
        <w:noBreakHyphen/>
      </w:r>
      <w:r>
        <w:fldChar w:fldCharType="begin"/>
      </w:r>
      <w:r>
        <w:instrText xml:space="preserve"> SEQ Table \* ARABIC \s 1 </w:instrText>
      </w:r>
      <w:r>
        <w:fldChar w:fldCharType="separate"/>
      </w:r>
      <w:r w:rsidR="00A50702">
        <w:rPr>
          <w:noProof/>
        </w:rPr>
        <w:t>1</w:t>
      </w:r>
      <w:r>
        <w:fldChar w:fldCharType="end"/>
      </w:r>
      <w:bookmarkEnd w:id="38"/>
      <w:r>
        <w:t xml:space="preserve"> </w:t>
      </w:r>
      <w:r w:rsidR="006570AE">
        <w:t>Estimate</w:t>
      </w:r>
      <w:r w:rsidR="00990BB6">
        <w:t xml:space="preserve"> of existing health burden</w:t>
      </w:r>
      <w:r w:rsidR="00AB22B5">
        <w:t xml:space="preserve"> </w:t>
      </w:r>
      <w:bookmarkStart w:id="40" w:name="_Hlk508544340"/>
      <w:r w:rsidR="00FA7E13">
        <w:t xml:space="preserve">between 2010-2014 </w:t>
      </w:r>
      <w:r w:rsidR="00AB22B5">
        <w:t>(</w:t>
      </w:r>
      <w:r w:rsidR="001B39EA">
        <w:t xml:space="preserve">2016 </w:t>
      </w:r>
      <w:r w:rsidR="00AB22B5">
        <w:t>$m PV)</w:t>
      </w:r>
      <w:bookmarkEnd w:id="39"/>
    </w:p>
    <w:tbl>
      <w:tblPr>
        <w:tblStyle w:val="AureconTable4"/>
        <w:tblW w:w="5000" w:type="pct"/>
        <w:tblLook w:val="04A0" w:firstRow="1" w:lastRow="0" w:firstColumn="1" w:lastColumn="0" w:noHBand="0" w:noVBand="1"/>
      </w:tblPr>
      <w:tblGrid>
        <w:gridCol w:w="3574"/>
        <w:gridCol w:w="2003"/>
        <w:gridCol w:w="2026"/>
        <w:gridCol w:w="2026"/>
      </w:tblGrid>
      <w:tr w:rsidR="0084596B" w14:paraId="68A5A645" w14:textId="77777777" w:rsidTr="000D2E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56" w:type="pct"/>
          </w:tcPr>
          <w:bookmarkEnd w:id="40"/>
          <w:p w14:paraId="19648E89" w14:textId="77777777" w:rsidR="0084596B" w:rsidRDefault="0084596B" w:rsidP="00CE5427">
            <w:pPr>
              <w:pStyle w:val="Bullet1"/>
              <w:numPr>
                <w:ilvl w:val="0"/>
                <w:numId w:val="0"/>
              </w:numPr>
              <w:jc w:val="center"/>
            </w:pPr>
            <w:r>
              <w:t>Jurisdiction</w:t>
            </w:r>
          </w:p>
        </w:tc>
        <w:tc>
          <w:tcPr>
            <w:tcW w:w="1040" w:type="pct"/>
          </w:tcPr>
          <w:p w14:paraId="41BCED7E" w14:textId="77777777" w:rsidR="0084596B" w:rsidRPr="00B4699B" w:rsidRDefault="0084596B" w:rsidP="00CE5427">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rPr>
                <w:b w:val="0"/>
              </w:rPr>
            </w:pPr>
            <w:r>
              <w:t>SO</w:t>
            </w:r>
            <w:r w:rsidRPr="00AF35D6">
              <w:rPr>
                <w:vertAlign w:val="subscript"/>
              </w:rPr>
              <w:t>2</w:t>
            </w:r>
          </w:p>
        </w:tc>
        <w:tc>
          <w:tcPr>
            <w:tcW w:w="1052" w:type="pct"/>
          </w:tcPr>
          <w:p w14:paraId="07EFDECE" w14:textId="79AD0FBC" w:rsidR="0084596B" w:rsidRDefault="0084596B" w:rsidP="00CE5427">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pPr>
            <w:r>
              <w:t>NO</w:t>
            </w:r>
            <w:r w:rsidRPr="00AF35D6">
              <w:rPr>
                <w:vertAlign w:val="subscript"/>
              </w:rPr>
              <w:t>2</w:t>
            </w:r>
            <w:r w:rsidR="0009752E" w:rsidRPr="00905066">
              <w:rPr>
                <w:vertAlign w:val="superscript"/>
              </w:rPr>
              <w:t>^</w:t>
            </w:r>
          </w:p>
        </w:tc>
        <w:tc>
          <w:tcPr>
            <w:tcW w:w="1053" w:type="pct"/>
          </w:tcPr>
          <w:p w14:paraId="18434B1F" w14:textId="026AFC75" w:rsidR="0084596B" w:rsidRDefault="0084596B" w:rsidP="00CE5427">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pPr>
            <w:r>
              <w:t>O</w:t>
            </w:r>
            <w:r w:rsidRPr="00687B00">
              <w:rPr>
                <w:vertAlign w:val="subscript"/>
              </w:rPr>
              <w:t>3</w:t>
            </w:r>
          </w:p>
        </w:tc>
      </w:tr>
      <w:tr w:rsidR="0084596B" w14:paraId="2D819831" w14:textId="77777777" w:rsidTr="000D2EA4">
        <w:tc>
          <w:tcPr>
            <w:cnfStyle w:val="001000000000" w:firstRow="0" w:lastRow="0" w:firstColumn="1" w:lastColumn="0" w:oddVBand="0" w:evenVBand="0" w:oddHBand="0" w:evenHBand="0" w:firstRowFirstColumn="0" w:firstRowLastColumn="0" w:lastRowFirstColumn="0" w:lastRowLastColumn="0"/>
            <w:tcW w:w="1856" w:type="pct"/>
          </w:tcPr>
          <w:p w14:paraId="570CEED3" w14:textId="72A3DA03" w:rsidR="0084596B" w:rsidRPr="00D41908" w:rsidRDefault="0084596B" w:rsidP="00AB22B5">
            <w:pPr>
              <w:pStyle w:val="Bullet1"/>
              <w:numPr>
                <w:ilvl w:val="0"/>
                <w:numId w:val="0"/>
              </w:numPr>
              <w:jc w:val="center"/>
              <w:rPr>
                <w:szCs w:val="18"/>
              </w:rPr>
            </w:pPr>
            <w:r>
              <w:t>New South Wales (</w:t>
            </w:r>
            <w:r w:rsidRPr="00102FCE">
              <w:t>NSW</w:t>
            </w:r>
            <w:r>
              <w:t>)</w:t>
            </w:r>
          </w:p>
        </w:tc>
        <w:tc>
          <w:tcPr>
            <w:tcW w:w="1040" w:type="pct"/>
          </w:tcPr>
          <w:p w14:paraId="263307AB" w14:textId="1A3BA1ED" w:rsidR="0084596B" w:rsidRPr="00D41908"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$18</w:t>
            </w:r>
          </w:p>
        </w:tc>
        <w:tc>
          <w:tcPr>
            <w:tcW w:w="1052" w:type="pct"/>
          </w:tcPr>
          <w:p w14:paraId="0EB9FDFF" w14:textId="6467BB94"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$122</w:t>
            </w:r>
          </w:p>
        </w:tc>
        <w:tc>
          <w:tcPr>
            <w:tcW w:w="1053" w:type="pct"/>
          </w:tcPr>
          <w:p w14:paraId="1051CF12" w14:textId="5743C222"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$111</w:t>
            </w:r>
          </w:p>
        </w:tc>
      </w:tr>
      <w:tr w:rsidR="0084596B" w14:paraId="1308ADBD" w14:textId="77777777" w:rsidTr="000D2EA4">
        <w:tc>
          <w:tcPr>
            <w:cnfStyle w:val="001000000000" w:firstRow="0" w:lastRow="0" w:firstColumn="1" w:lastColumn="0" w:oddVBand="0" w:evenVBand="0" w:oddHBand="0" w:evenHBand="0" w:firstRowFirstColumn="0" w:firstRowLastColumn="0" w:lastRowFirstColumn="0" w:lastRowLastColumn="0"/>
            <w:tcW w:w="1856" w:type="pct"/>
          </w:tcPr>
          <w:p w14:paraId="5FB8618C" w14:textId="66DE4E76" w:rsidR="0084596B" w:rsidRPr="00D41908" w:rsidRDefault="0084596B" w:rsidP="00AB22B5">
            <w:pPr>
              <w:pStyle w:val="Bullet1"/>
              <w:numPr>
                <w:ilvl w:val="0"/>
                <w:numId w:val="0"/>
              </w:numPr>
              <w:jc w:val="center"/>
              <w:rPr>
                <w:szCs w:val="18"/>
              </w:rPr>
            </w:pPr>
            <w:r>
              <w:t>Victoria (</w:t>
            </w:r>
            <w:r w:rsidRPr="00102FCE">
              <w:t>VIC</w:t>
            </w:r>
            <w:r>
              <w:t>)</w:t>
            </w:r>
          </w:p>
        </w:tc>
        <w:tc>
          <w:tcPr>
            <w:tcW w:w="1040" w:type="pct"/>
          </w:tcPr>
          <w:p w14:paraId="3F831838" w14:textId="4C259087" w:rsidR="0084596B" w:rsidRPr="00D41908"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$29</w:t>
            </w:r>
          </w:p>
        </w:tc>
        <w:tc>
          <w:tcPr>
            <w:tcW w:w="1052" w:type="pct"/>
          </w:tcPr>
          <w:p w14:paraId="2344E673" w14:textId="5737BE66"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$83</w:t>
            </w:r>
          </w:p>
        </w:tc>
        <w:tc>
          <w:tcPr>
            <w:tcW w:w="1053" w:type="pct"/>
          </w:tcPr>
          <w:p w14:paraId="254995E8" w14:textId="659BA6D2"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$29</w:t>
            </w:r>
          </w:p>
        </w:tc>
      </w:tr>
      <w:tr w:rsidR="0084596B" w14:paraId="123514CA" w14:textId="77777777" w:rsidTr="000D2EA4">
        <w:tc>
          <w:tcPr>
            <w:cnfStyle w:val="001000000000" w:firstRow="0" w:lastRow="0" w:firstColumn="1" w:lastColumn="0" w:oddVBand="0" w:evenVBand="0" w:oddHBand="0" w:evenHBand="0" w:firstRowFirstColumn="0" w:firstRowLastColumn="0" w:lastRowFirstColumn="0" w:lastRowLastColumn="0"/>
            <w:tcW w:w="1856" w:type="pct"/>
          </w:tcPr>
          <w:p w14:paraId="4EFDF7F0" w14:textId="4908B529" w:rsidR="0084596B" w:rsidRPr="00D41908" w:rsidRDefault="0084596B" w:rsidP="00AB22B5">
            <w:pPr>
              <w:pStyle w:val="Bullet1"/>
              <w:numPr>
                <w:ilvl w:val="0"/>
                <w:numId w:val="0"/>
              </w:numPr>
              <w:jc w:val="center"/>
              <w:rPr>
                <w:szCs w:val="18"/>
              </w:rPr>
            </w:pPr>
            <w:r>
              <w:t>Queensland (</w:t>
            </w:r>
            <w:r w:rsidRPr="00102FCE">
              <w:t>QLD</w:t>
            </w:r>
            <w:r>
              <w:t>)</w:t>
            </w:r>
          </w:p>
        </w:tc>
        <w:tc>
          <w:tcPr>
            <w:tcW w:w="1040" w:type="pct"/>
          </w:tcPr>
          <w:p w14:paraId="001D8896" w14:textId="4DEA68B9" w:rsidR="0084596B" w:rsidRPr="00D41908"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$11</w:t>
            </w:r>
          </w:p>
        </w:tc>
        <w:tc>
          <w:tcPr>
            <w:tcW w:w="1052" w:type="pct"/>
          </w:tcPr>
          <w:p w14:paraId="080D802B" w14:textId="511E7C4A"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$27</w:t>
            </w:r>
          </w:p>
        </w:tc>
        <w:tc>
          <w:tcPr>
            <w:tcW w:w="1053" w:type="pct"/>
          </w:tcPr>
          <w:p w14:paraId="08FAA268" w14:textId="1C25E09E"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$34</w:t>
            </w:r>
          </w:p>
        </w:tc>
      </w:tr>
      <w:tr w:rsidR="0084596B" w14:paraId="099261D4" w14:textId="77777777" w:rsidTr="000D2EA4">
        <w:tc>
          <w:tcPr>
            <w:cnfStyle w:val="001000000000" w:firstRow="0" w:lastRow="0" w:firstColumn="1" w:lastColumn="0" w:oddVBand="0" w:evenVBand="0" w:oddHBand="0" w:evenHBand="0" w:firstRowFirstColumn="0" w:firstRowLastColumn="0" w:lastRowFirstColumn="0" w:lastRowLastColumn="0"/>
            <w:tcW w:w="1856" w:type="pct"/>
          </w:tcPr>
          <w:p w14:paraId="196B49A1" w14:textId="1FBE283A" w:rsidR="0084596B" w:rsidRDefault="0084596B" w:rsidP="00AB22B5">
            <w:pPr>
              <w:pStyle w:val="Bullet1"/>
              <w:numPr>
                <w:ilvl w:val="0"/>
                <w:numId w:val="0"/>
              </w:numPr>
              <w:jc w:val="center"/>
              <w:rPr>
                <w:szCs w:val="18"/>
              </w:rPr>
            </w:pPr>
            <w:r>
              <w:t>Western Australia (</w:t>
            </w:r>
            <w:r w:rsidRPr="00102FCE">
              <w:t>WA</w:t>
            </w:r>
            <w:r>
              <w:t>)</w:t>
            </w:r>
          </w:p>
        </w:tc>
        <w:tc>
          <w:tcPr>
            <w:tcW w:w="1040" w:type="pct"/>
          </w:tcPr>
          <w:p w14:paraId="43F45392" w14:textId="6296A476"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$12</w:t>
            </w:r>
          </w:p>
        </w:tc>
        <w:tc>
          <w:tcPr>
            <w:tcW w:w="1052" w:type="pct"/>
          </w:tcPr>
          <w:p w14:paraId="0F36D6B8" w14:textId="7D4DA96F"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$15</w:t>
            </w:r>
          </w:p>
        </w:tc>
        <w:tc>
          <w:tcPr>
            <w:tcW w:w="1053" w:type="pct"/>
          </w:tcPr>
          <w:p w14:paraId="45D7F9AE" w14:textId="0D0D0B33"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$32</w:t>
            </w:r>
          </w:p>
        </w:tc>
      </w:tr>
      <w:tr w:rsidR="0084596B" w14:paraId="52857E52" w14:textId="77777777" w:rsidTr="000D2EA4">
        <w:tc>
          <w:tcPr>
            <w:cnfStyle w:val="001000000000" w:firstRow="0" w:lastRow="0" w:firstColumn="1" w:lastColumn="0" w:oddVBand="0" w:evenVBand="0" w:oddHBand="0" w:evenHBand="0" w:firstRowFirstColumn="0" w:firstRowLastColumn="0" w:lastRowFirstColumn="0" w:lastRowLastColumn="0"/>
            <w:tcW w:w="1856" w:type="pct"/>
          </w:tcPr>
          <w:p w14:paraId="4FBFBEC8" w14:textId="6DFD6340" w:rsidR="0084596B" w:rsidRDefault="0084596B" w:rsidP="00AB22B5">
            <w:pPr>
              <w:pStyle w:val="Bullet1"/>
              <w:numPr>
                <w:ilvl w:val="0"/>
                <w:numId w:val="0"/>
              </w:numPr>
              <w:jc w:val="center"/>
              <w:rPr>
                <w:szCs w:val="18"/>
              </w:rPr>
            </w:pPr>
            <w:r>
              <w:t>South Australia (</w:t>
            </w:r>
            <w:r w:rsidRPr="00102FCE">
              <w:t>SA</w:t>
            </w:r>
            <w:r>
              <w:t>)</w:t>
            </w:r>
          </w:p>
        </w:tc>
        <w:tc>
          <w:tcPr>
            <w:tcW w:w="1040" w:type="pct"/>
          </w:tcPr>
          <w:p w14:paraId="0A06E46A" w14:textId="5B7CC5B5"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$2</w:t>
            </w:r>
          </w:p>
        </w:tc>
        <w:tc>
          <w:tcPr>
            <w:tcW w:w="1052" w:type="pct"/>
          </w:tcPr>
          <w:p w14:paraId="45755D3F" w14:textId="596AA853"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$19</w:t>
            </w:r>
          </w:p>
        </w:tc>
        <w:tc>
          <w:tcPr>
            <w:tcW w:w="1053" w:type="pct"/>
          </w:tcPr>
          <w:p w14:paraId="42871034" w14:textId="0A792313"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$16</w:t>
            </w:r>
          </w:p>
        </w:tc>
      </w:tr>
      <w:tr w:rsidR="0084596B" w14:paraId="49DDCE26" w14:textId="77777777" w:rsidTr="000D2EA4">
        <w:tc>
          <w:tcPr>
            <w:cnfStyle w:val="001000000000" w:firstRow="0" w:lastRow="0" w:firstColumn="1" w:lastColumn="0" w:oddVBand="0" w:evenVBand="0" w:oddHBand="0" w:evenHBand="0" w:firstRowFirstColumn="0" w:firstRowLastColumn="0" w:lastRowFirstColumn="0" w:lastRowLastColumn="0"/>
            <w:tcW w:w="1856" w:type="pct"/>
          </w:tcPr>
          <w:p w14:paraId="664BEB0D" w14:textId="70466490" w:rsidR="0084596B" w:rsidRDefault="0084596B" w:rsidP="00AB22B5">
            <w:pPr>
              <w:pStyle w:val="Bullet1"/>
              <w:numPr>
                <w:ilvl w:val="0"/>
                <w:numId w:val="0"/>
              </w:numPr>
              <w:jc w:val="center"/>
              <w:rPr>
                <w:szCs w:val="18"/>
              </w:rPr>
            </w:pPr>
            <w:r>
              <w:t>Northern Territory (</w:t>
            </w:r>
            <w:r w:rsidRPr="00102FCE">
              <w:t>NT</w:t>
            </w:r>
            <w:r>
              <w:t>)</w:t>
            </w:r>
          </w:p>
        </w:tc>
        <w:tc>
          <w:tcPr>
            <w:tcW w:w="1040" w:type="pct"/>
          </w:tcPr>
          <w:p w14:paraId="098534B5" w14:textId="71742AC5"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$0</w:t>
            </w:r>
          </w:p>
        </w:tc>
        <w:tc>
          <w:tcPr>
            <w:tcW w:w="1052" w:type="pct"/>
          </w:tcPr>
          <w:p w14:paraId="5643B535" w14:textId="7491F955"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$0</w:t>
            </w:r>
          </w:p>
        </w:tc>
        <w:tc>
          <w:tcPr>
            <w:tcW w:w="1053" w:type="pct"/>
          </w:tcPr>
          <w:p w14:paraId="7E8B8798" w14:textId="0542DD7B" w:rsidR="0084596B" w:rsidRDefault="0084596B" w:rsidP="00AB22B5">
            <w:pPr>
              <w:pStyle w:val="BodyText"/>
              <w:jc w:val="center"/>
              <w:cnfStyle w:val="000000000000" w:firstRow="0" w:lastRow="0" w:firstColumn="0" w:lastColumn="0" w:oddVBand="0" w:evenVBand="0" w:oddHBand="0" w:evenHBand="0" w:firstRowFirstColumn="0" w:firstRowLastColumn="0" w:lastRowFirstColumn="0" w:lastRowLastColumn="0"/>
            </w:pPr>
            <w:r w:rsidRPr="00102FCE">
              <w:t>$2</w:t>
            </w:r>
          </w:p>
        </w:tc>
      </w:tr>
      <w:tr w:rsidR="0084596B" w14:paraId="0623DC10" w14:textId="77777777" w:rsidTr="000D2EA4">
        <w:tc>
          <w:tcPr>
            <w:cnfStyle w:val="001000000000" w:firstRow="0" w:lastRow="0" w:firstColumn="1" w:lastColumn="0" w:oddVBand="0" w:evenVBand="0" w:oddHBand="0" w:evenHBand="0" w:firstRowFirstColumn="0" w:firstRowLastColumn="0" w:lastRowFirstColumn="0" w:lastRowLastColumn="0"/>
            <w:tcW w:w="1856" w:type="pct"/>
          </w:tcPr>
          <w:p w14:paraId="5D3A726D" w14:textId="77777777" w:rsidR="0084596B" w:rsidRPr="0091269D" w:rsidRDefault="0084596B" w:rsidP="00CE5427">
            <w:pPr>
              <w:pStyle w:val="Bullet1"/>
              <w:numPr>
                <w:ilvl w:val="0"/>
                <w:numId w:val="0"/>
              </w:numPr>
              <w:jc w:val="center"/>
              <w:rPr>
                <w:b/>
              </w:rPr>
            </w:pPr>
            <w:r w:rsidRPr="0091269D">
              <w:rPr>
                <w:b/>
              </w:rPr>
              <w:t>Total</w:t>
            </w:r>
          </w:p>
        </w:tc>
        <w:tc>
          <w:tcPr>
            <w:tcW w:w="1040" w:type="pct"/>
          </w:tcPr>
          <w:p w14:paraId="2644ABA5" w14:textId="43A15200" w:rsidR="0084596B" w:rsidRPr="0091269D" w:rsidRDefault="0084596B" w:rsidP="00CE5427">
            <w:pPr>
              <w:pStyle w:val="BodyText"/>
              <w:jc w:val="center"/>
              <w:cnfStyle w:val="000000000000" w:firstRow="0" w:lastRow="0" w:firstColumn="0" w:lastColumn="0" w:oddVBand="0" w:evenVBand="0" w:oddHBand="0" w:evenHBand="0" w:firstRowFirstColumn="0" w:firstRowLastColumn="0" w:lastRowFirstColumn="0" w:lastRowLastColumn="0"/>
              <w:rPr>
                <w:b/>
              </w:rPr>
            </w:pPr>
            <w:r w:rsidRPr="00AB22B5">
              <w:rPr>
                <w:b/>
              </w:rPr>
              <w:t>$72</w:t>
            </w:r>
          </w:p>
        </w:tc>
        <w:tc>
          <w:tcPr>
            <w:tcW w:w="1052" w:type="pct"/>
          </w:tcPr>
          <w:p w14:paraId="3379AFEF" w14:textId="56197763" w:rsidR="0084596B" w:rsidRPr="0091269D" w:rsidRDefault="0084596B" w:rsidP="00CE5427">
            <w:pPr>
              <w:pStyle w:val="BodyText"/>
              <w:jc w:val="center"/>
              <w:cnfStyle w:val="000000000000" w:firstRow="0" w:lastRow="0" w:firstColumn="0" w:lastColumn="0" w:oddVBand="0" w:evenVBand="0" w:oddHBand="0" w:evenHBand="0" w:firstRowFirstColumn="0" w:firstRowLastColumn="0" w:lastRowFirstColumn="0" w:lastRowLastColumn="0"/>
              <w:rPr>
                <w:b/>
              </w:rPr>
            </w:pPr>
            <w:r w:rsidRPr="00AB22B5">
              <w:rPr>
                <w:b/>
              </w:rPr>
              <w:t>$265</w:t>
            </w:r>
          </w:p>
        </w:tc>
        <w:tc>
          <w:tcPr>
            <w:tcW w:w="1053" w:type="pct"/>
          </w:tcPr>
          <w:p w14:paraId="5E5F393E" w14:textId="762DD487" w:rsidR="0084596B" w:rsidRPr="0091269D" w:rsidRDefault="0084596B" w:rsidP="00CE5427">
            <w:pPr>
              <w:pStyle w:val="BodyText"/>
              <w:jc w:val="center"/>
              <w:cnfStyle w:val="000000000000" w:firstRow="0" w:lastRow="0" w:firstColumn="0" w:lastColumn="0" w:oddVBand="0" w:evenVBand="0" w:oddHBand="0" w:evenHBand="0" w:firstRowFirstColumn="0" w:firstRowLastColumn="0" w:lastRowFirstColumn="0" w:lastRowLastColumn="0"/>
              <w:rPr>
                <w:b/>
              </w:rPr>
            </w:pPr>
            <w:r w:rsidRPr="00AB22B5">
              <w:rPr>
                <w:b/>
              </w:rPr>
              <w:t>$225</w:t>
            </w:r>
          </w:p>
        </w:tc>
      </w:tr>
    </w:tbl>
    <w:p w14:paraId="11F8DFD5" w14:textId="64ACBF28" w:rsidR="00137988" w:rsidRPr="00905066" w:rsidRDefault="0009752E" w:rsidP="00905066">
      <w:pPr>
        <w:pStyle w:val="BodyText"/>
        <w:spacing w:before="60"/>
        <w:rPr>
          <w:sz w:val="16"/>
          <w:szCs w:val="16"/>
        </w:rPr>
      </w:pPr>
      <w:bookmarkStart w:id="41" w:name="_Hlk508544220"/>
      <w:r w:rsidRPr="00905066">
        <w:rPr>
          <w:b/>
          <w:sz w:val="16"/>
          <w:szCs w:val="16"/>
        </w:rPr>
        <w:t>Note ^</w:t>
      </w:r>
      <w:r>
        <w:rPr>
          <w:b/>
          <w:sz w:val="16"/>
          <w:szCs w:val="16"/>
        </w:rPr>
        <w:t xml:space="preserve">: </w:t>
      </w:r>
      <w:r w:rsidR="004C0057">
        <w:rPr>
          <w:sz w:val="16"/>
          <w:szCs w:val="16"/>
        </w:rPr>
        <w:t xml:space="preserve">To avoid double-counting of health impacts, </w:t>
      </w:r>
      <w:r w:rsidR="004C0057" w:rsidRPr="004C0057">
        <w:rPr>
          <w:sz w:val="16"/>
          <w:szCs w:val="16"/>
        </w:rPr>
        <w:t>the CBA only includes changes to either long-term mortality (chronic effects) or short-term mortality (acute effects) from exposure to pollutant concentrations</w:t>
      </w:r>
      <w:r w:rsidR="004C0057">
        <w:rPr>
          <w:sz w:val="16"/>
          <w:szCs w:val="16"/>
        </w:rPr>
        <w:t>, but not both.</w:t>
      </w:r>
    </w:p>
    <w:p w14:paraId="13E6A295" w14:textId="6B59575B" w:rsidR="00350425" w:rsidRDefault="001B6724" w:rsidP="001B6724">
      <w:pPr>
        <w:pStyle w:val="BodyText"/>
        <w:rPr>
          <w:lang w:val="en-PH"/>
        </w:rPr>
      </w:pPr>
      <w:r>
        <w:rPr>
          <w:lang w:val="en-PH"/>
        </w:rPr>
        <w:t>Of the three pollutants, exposure to NO</w:t>
      </w:r>
      <w:r w:rsidRPr="00D254CD">
        <w:rPr>
          <w:vertAlign w:val="subscript"/>
          <w:lang w:val="en-PH"/>
        </w:rPr>
        <w:t>2</w:t>
      </w:r>
      <w:r>
        <w:rPr>
          <w:lang w:val="en-PH"/>
        </w:rPr>
        <w:t xml:space="preserve"> is estimated to have had the greatest health burden between 2010 – 2014, and the effects of NO</w:t>
      </w:r>
      <w:r w:rsidRPr="00503110">
        <w:rPr>
          <w:vertAlign w:val="subscript"/>
          <w:lang w:val="en-PH"/>
        </w:rPr>
        <w:t>2</w:t>
      </w:r>
      <w:r>
        <w:rPr>
          <w:lang w:val="en-PH"/>
        </w:rPr>
        <w:t xml:space="preserve"> are estimated </w:t>
      </w:r>
      <w:r w:rsidR="00441BAD">
        <w:rPr>
          <w:lang w:val="en-PH"/>
        </w:rPr>
        <w:t xml:space="preserve">to </w:t>
      </w:r>
      <w:r>
        <w:rPr>
          <w:lang w:val="en-PH"/>
        </w:rPr>
        <w:t xml:space="preserve">be </w:t>
      </w:r>
      <w:r w:rsidR="00441BAD">
        <w:rPr>
          <w:lang w:val="en-PH"/>
        </w:rPr>
        <w:t xml:space="preserve">the </w:t>
      </w:r>
      <w:r>
        <w:rPr>
          <w:lang w:val="en-PH"/>
        </w:rPr>
        <w:t>highest in NSW</w:t>
      </w:r>
      <w:r w:rsidR="00953553">
        <w:rPr>
          <w:lang w:val="en-PH"/>
        </w:rPr>
        <w:t xml:space="preserve">. This health burden for NSW reflects </w:t>
      </w:r>
      <w:r>
        <w:rPr>
          <w:lang w:val="en-PH"/>
        </w:rPr>
        <w:t>a combination of NO</w:t>
      </w:r>
      <w:r w:rsidRPr="00F6246A">
        <w:rPr>
          <w:vertAlign w:val="subscript"/>
          <w:lang w:val="en-PH"/>
        </w:rPr>
        <w:t>2</w:t>
      </w:r>
      <w:r>
        <w:rPr>
          <w:lang w:val="en-PH"/>
        </w:rPr>
        <w:t xml:space="preserve"> concentrations </w:t>
      </w:r>
      <w:r w:rsidR="00A230F3">
        <w:rPr>
          <w:lang w:val="en-PH"/>
        </w:rPr>
        <w:t xml:space="preserve">that are relatively higher than the other </w:t>
      </w:r>
      <w:r w:rsidR="00AB26B3">
        <w:rPr>
          <w:lang w:val="en-PH"/>
        </w:rPr>
        <w:t>airsheds</w:t>
      </w:r>
      <w:r w:rsidR="00A230F3">
        <w:rPr>
          <w:lang w:val="en-PH"/>
        </w:rPr>
        <w:t xml:space="preserve">, </w:t>
      </w:r>
      <w:r>
        <w:rPr>
          <w:lang w:val="en-PH"/>
        </w:rPr>
        <w:t>and a large population size. O</w:t>
      </w:r>
      <w:r w:rsidRPr="00B00824">
        <w:rPr>
          <w:vertAlign w:val="subscript"/>
          <w:lang w:val="en-PH"/>
        </w:rPr>
        <w:t>3</w:t>
      </w:r>
      <w:r>
        <w:rPr>
          <w:lang w:val="en-PH"/>
        </w:rPr>
        <w:t xml:space="preserve"> has the second highest estimated health cost of the three pollutants, </w:t>
      </w:r>
      <w:r w:rsidR="0012536F">
        <w:rPr>
          <w:lang w:val="en-PH"/>
        </w:rPr>
        <w:t xml:space="preserve">and </w:t>
      </w:r>
      <w:r>
        <w:rPr>
          <w:lang w:val="en-PH"/>
        </w:rPr>
        <w:t>for the same reasons as NO</w:t>
      </w:r>
      <w:r w:rsidRPr="00285D64">
        <w:rPr>
          <w:vertAlign w:val="subscript"/>
          <w:lang w:val="en-PH"/>
        </w:rPr>
        <w:t>2</w:t>
      </w:r>
      <w:r w:rsidR="0012536F" w:rsidRPr="0012536F">
        <w:rPr>
          <w:lang w:val="en-PH"/>
        </w:rPr>
        <w:t>,</w:t>
      </w:r>
      <w:r>
        <w:rPr>
          <w:lang w:val="en-PH"/>
        </w:rPr>
        <w:t xml:space="preserve"> </w:t>
      </w:r>
      <w:r w:rsidR="0012536F">
        <w:rPr>
          <w:lang w:val="en-PH"/>
        </w:rPr>
        <w:t>the greatest burden is estimated for NSW.</w:t>
      </w:r>
      <w:r w:rsidR="00350425">
        <w:rPr>
          <w:lang w:val="en-PH"/>
        </w:rPr>
        <w:t xml:space="preserve"> However, it should be noted that </w:t>
      </w:r>
      <w:r w:rsidR="00350425" w:rsidRPr="00350425">
        <w:rPr>
          <w:lang w:val="en-PH"/>
        </w:rPr>
        <w:t>the numbers of unique exceedances of the O</w:t>
      </w:r>
      <w:r w:rsidR="00350425" w:rsidRPr="00B326CA">
        <w:rPr>
          <w:vertAlign w:val="subscript"/>
          <w:lang w:val="en-PH"/>
        </w:rPr>
        <w:t>3</w:t>
      </w:r>
      <w:r w:rsidR="00350425" w:rsidRPr="00350425">
        <w:rPr>
          <w:lang w:val="en-PH"/>
        </w:rPr>
        <w:t xml:space="preserve"> standards are far greater than for NO</w:t>
      </w:r>
      <w:r w:rsidR="00350425" w:rsidRPr="00B326CA">
        <w:rPr>
          <w:vertAlign w:val="subscript"/>
          <w:lang w:val="en-PH"/>
        </w:rPr>
        <w:t>2</w:t>
      </w:r>
      <w:r w:rsidR="009C784D">
        <w:rPr>
          <w:lang w:val="en-PH"/>
        </w:rPr>
        <w:t xml:space="preserve"> (refer to Pacific Environment, 2018b)</w:t>
      </w:r>
      <w:r w:rsidR="00350425" w:rsidRPr="00350425">
        <w:rPr>
          <w:lang w:val="en-PH"/>
        </w:rPr>
        <w:t xml:space="preserve">, </w:t>
      </w:r>
      <w:r w:rsidR="002606D6">
        <w:rPr>
          <w:lang w:val="en-PH"/>
        </w:rPr>
        <w:t xml:space="preserve">but </w:t>
      </w:r>
      <w:r w:rsidR="00350425" w:rsidRPr="00350425">
        <w:rPr>
          <w:lang w:val="en-PH"/>
        </w:rPr>
        <w:t xml:space="preserve">the </w:t>
      </w:r>
      <w:r w:rsidR="000242DC">
        <w:rPr>
          <w:lang w:val="en-PH"/>
        </w:rPr>
        <w:t xml:space="preserve">higher health </w:t>
      </w:r>
      <w:r w:rsidR="00350425" w:rsidRPr="00350425">
        <w:rPr>
          <w:lang w:val="en-PH"/>
        </w:rPr>
        <w:t xml:space="preserve">burden </w:t>
      </w:r>
      <w:r w:rsidR="00687AF0">
        <w:rPr>
          <w:lang w:val="en-PH"/>
        </w:rPr>
        <w:t xml:space="preserve">of </w:t>
      </w:r>
      <w:r w:rsidR="000242DC">
        <w:rPr>
          <w:lang w:val="en-PH"/>
        </w:rPr>
        <w:t>NO</w:t>
      </w:r>
      <w:r w:rsidR="000242DC" w:rsidRPr="00B326CA">
        <w:rPr>
          <w:vertAlign w:val="subscript"/>
          <w:lang w:val="en-PH"/>
        </w:rPr>
        <w:t>2</w:t>
      </w:r>
      <w:r w:rsidR="000242DC">
        <w:rPr>
          <w:lang w:val="en-PH"/>
        </w:rPr>
        <w:t xml:space="preserve"> </w:t>
      </w:r>
      <w:r w:rsidR="002606D6">
        <w:rPr>
          <w:lang w:val="en-PH"/>
        </w:rPr>
        <w:t xml:space="preserve">reflects that there are greater </w:t>
      </w:r>
      <w:r w:rsidR="002606D6" w:rsidRPr="00350425">
        <w:rPr>
          <w:lang w:val="en-PH"/>
        </w:rPr>
        <w:t xml:space="preserve">mortality and morbidity </w:t>
      </w:r>
      <w:r w:rsidR="00384692">
        <w:rPr>
          <w:lang w:val="en-PH"/>
        </w:rPr>
        <w:t xml:space="preserve">outcomes </w:t>
      </w:r>
      <w:r w:rsidR="00350425" w:rsidRPr="00350425">
        <w:rPr>
          <w:lang w:val="en-PH"/>
        </w:rPr>
        <w:t xml:space="preserve">associated with </w:t>
      </w:r>
      <w:r w:rsidR="002606D6">
        <w:rPr>
          <w:lang w:val="en-PH"/>
        </w:rPr>
        <w:t xml:space="preserve">exposure to </w:t>
      </w:r>
      <w:r w:rsidR="00350425" w:rsidRPr="00350425">
        <w:rPr>
          <w:lang w:val="en-PH"/>
        </w:rPr>
        <w:t>NO</w:t>
      </w:r>
      <w:r w:rsidR="00350425" w:rsidRPr="00B326CA">
        <w:rPr>
          <w:vertAlign w:val="subscript"/>
          <w:lang w:val="en-PH"/>
        </w:rPr>
        <w:t>2</w:t>
      </w:r>
      <w:r w:rsidR="00350425" w:rsidRPr="00350425">
        <w:rPr>
          <w:lang w:val="en-PH"/>
        </w:rPr>
        <w:t>.</w:t>
      </w:r>
    </w:p>
    <w:p w14:paraId="27647788" w14:textId="5D7921A3" w:rsidR="001B6724" w:rsidRDefault="001B6724" w:rsidP="001B6724">
      <w:pPr>
        <w:pStyle w:val="BodyText"/>
        <w:rPr>
          <w:lang w:val="en-PH"/>
        </w:rPr>
      </w:pPr>
      <w:r>
        <w:rPr>
          <w:lang w:val="en-PH"/>
        </w:rPr>
        <w:t>The health costs associated with exposure to SO</w:t>
      </w:r>
      <w:r w:rsidRPr="00F42838">
        <w:rPr>
          <w:vertAlign w:val="subscript"/>
          <w:lang w:val="en-PH"/>
        </w:rPr>
        <w:t>2</w:t>
      </w:r>
      <w:r>
        <w:rPr>
          <w:lang w:val="en-PH"/>
        </w:rPr>
        <w:t xml:space="preserve"> are estimated to be the lowest, due to fewer mortalities estimated to be associated with exposure to SO</w:t>
      </w:r>
      <w:r w:rsidRPr="00F42838">
        <w:rPr>
          <w:vertAlign w:val="subscript"/>
          <w:lang w:val="en-PH"/>
        </w:rPr>
        <w:t>2</w:t>
      </w:r>
      <w:r>
        <w:rPr>
          <w:lang w:val="en-PH"/>
        </w:rPr>
        <w:t xml:space="preserve"> concentrations.</w:t>
      </w:r>
    </w:p>
    <w:p w14:paraId="544A61F0" w14:textId="0A3157A5" w:rsidR="001B6724" w:rsidRDefault="001B6724" w:rsidP="001B6724">
      <w:pPr>
        <w:pStyle w:val="BodyText"/>
        <w:rPr>
          <w:lang w:val="en-PH"/>
        </w:rPr>
      </w:pPr>
      <w:r>
        <w:rPr>
          <w:lang w:val="en-PH"/>
        </w:rPr>
        <w:t>Queensland, Western Australia, South Australia and Northern Territory are estimated to have a lower share of the health burden associated with exposure to SO</w:t>
      </w:r>
      <w:r w:rsidRPr="002555EF">
        <w:rPr>
          <w:vertAlign w:val="subscript"/>
          <w:lang w:val="en-PH"/>
        </w:rPr>
        <w:t>2</w:t>
      </w:r>
      <w:r>
        <w:rPr>
          <w:lang w:val="en-PH"/>
        </w:rPr>
        <w:t>, NO</w:t>
      </w:r>
      <w:r w:rsidRPr="002555EF">
        <w:rPr>
          <w:vertAlign w:val="subscript"/>
          <w:lang w:val="en-PH"/>
        </w:rPr>
        <w:t>2</w:t>
      </w:r>
      <w:r>
        <w:rPr>
          <w:lang w:val="en-PH"/>
        </w:rPr>
        <w:t xml:space="preserve"> </w:t>
      </w:r>
      <w:r w:rsidR="00AC2FE2">
        <w:rPr>
          <w:lang w:val="en-PH"/>
        </w:rPr>
        <w:t xml:space="preserve">and </w:t>
      </w:r>
      <w:r>
        <w:rPr>
          <w:lang w:val="en-PH"/>
        </w:rPr>
        <w:t>O</w:t>
      </w:r>
      <w:r w:rsidRPr="002555EF">
        <w:rPr>
          <w:vertAlign w:val="subscript"/>
          <w:lang w:val="en-PH"/>
        </w:rPr>
        <w:t>3</w:t>
      </w:r>
      <w:r>
        <w:rPr>
          <w:lang w:val="en-PH"/>
        </w:rPr>
        <w:t>. This is due to both lower concentrations and lower population size.</w:t>
      </w:r>
    </w:p>
    <w:p w14:paraId="449C239B" w14:textId="77777777" w:rsidR="001B6724" w:rsidRDefault="001B6724" w:rsidP="00DB4968">
      <w:pPr>
        <w:pStyle w:val="Heading2"/>
        <w:rPr>
          <w:lang w:val="en-PH"/>
        </w:rPr>
      </w:pPr>
      <w:bookmarkStart w:id="42" w:name="_Toc518629889"/>
      <w:bookmarkEnd w:id="41"/>
      <w:r>
        <w:rPr>
          <w:lang w:val="en-PH"/>
        </w:rPr>
        <w:t xml:space="preserve">Uncertainty in </w:t>
      </w:r>
      <w:r w:rsidRPr="00DB4968">
        <w:t>health</w:t>
      </w:r>
      <w:r>
        <w:rPr>
          <w:lang w:val="en-PH"/>
        </w:rPr>
        <w:t xml:space="preserve"> burden estimates</w:t>
      </w:r>
      <w:bookmarkEnd w:id="42"/>
    </w:p>
    <w:p w14:paraId="17A81B9C" w14:textId="66134025" w:rsidR="00C34235" w:rsidRDefault="001B6724" w:rsidP="00C34235">
      <w:pPr>
        <w:pStyle w:val="BodyText"/>
        <w:rPr>
          <w:lang w:val="en-PH"/>
        </w:rPr>
      </w:pPr>
      <w:r>
        <w:rPr>
          <w:lang w:val="en-PH"/>
        </w:rPr>
        <w:t xml:space="preserve">Due to the uncertainty in the health response, the health burden was estimated using the two alternative </w:t>
      </w:r>
      <w:r w:rsidR="005B23D2">
        <w:rPr>
          <w:lang w:val="en-PH"/>
        </w:rPr>
        <w:t xml:space="preserve">groups </w:t>
      </w:r>
      <w:r>
        <w:rPr>
          <w:lang w:val="en-PH"/>
        </w:rPr>
        <w:t>of CRFs</w:t>
      </w:r>
      <w:r w:rsidR="00962283">
        <w:rPr>
          <w:lang w:val="en-PH"/>
        </w:rPr>
        <w:t xml:space="preserve"> (Group 2 and Group 3)</w:t>
      </w:r>
      <w:r>
        <w:rPr>
          <w:lang w:val="en-PH"/>
        </w:rPr>
        <w:t>. Th</w:t>
      </w:r>
      <w:r w:rsidR="007B1C1E">
        <w:rPr>
          <w:lang w:val="en-PH"/>
        </w:rPr>
        <w:t>e</w:t>
      </w:r>
      <w:r>
        <w:rPr>
          <w:lang w:val="en-PH"/>
        </w:rPr>
        <w:t xml:space="preserve"> </w:t>
      </w:r>
      <w:r w:rsidR="00905066">
        <w:rPr>
          <w:lang w:val="en-PH"/>
        </w:rPr>
        <w:t xml:space="preserve">range of </w:t>
      </w:r>
      <w:r w:rsidR="00C34235">
        <w:rPr>
          <w:lang w:val="en-PH"/>
        </w:rPr>
        <w:t xml:space="preserve">uncertainty </w:t>
      </w:r>
      <w:r w:rsidR="00905066">
        <w:rPr>
          <w:lang w:val="en-PH"/>
        </w:rPr>
        <w:t xml:space="preserve">in </w:t>
      </w:r>
      <w:r w:rsidR="00C34235">
        <w:rPr>
          <w:lang w:val="en-PH"/>
        </w:rPr>
        <w:t xml:space="preserve">the health burden </w:t>
      </w:r>
      <w:r w:rsidR="00905066">
        <w:rPr>
          <w:lang w:val="en-PH"/>
        </w:rPr>
        <w:t xml:space="preserve">over </w:t>
      </w:r>
      <w:r w:rsidR="00962283">
        <w:rPr>
          <w:lang w:val="en-PH"/>
        </w:rPr>
        <w:t>the period 2010 to 2014</w:t>
      </w:r>
      <w:r w:rsidR="00905066">
        <w:rPr>
          <w:lang w:val="en-PH"/>
        </w:rPr>
        <w:t>, expressed as the range of estimates calculated using the different CRF groups,</w:t>
      </w:r>
      <w:r w:rsidR="00962283">
        <w:rPr>
          <w:lang w:val="en-PH"/>
        </w:rPr>
        <w:t xml:space="preserve"> </w:t>
      </w:r>
      <w:r w:rsidR="00905066">
        <w:rPr>
          <w:lang w:val="en-PH"/>
        </w:rPr>
        <w:t xml:space="preserve">is </w:t>
      </w:r>
      <w:r w:rsidR="00C34235">
        <w:rPr>
          <w:lang w:val="en-PH"/>
        </w:rPr>
        <w:t xml:space="preserve">provided in </w:t>
      </w:r>
      <w:r w:rsidR="00C17BC7">
        <w:rPr>
          <w:highlight w:val="yellow"/>
          <w:lang w:val="en-PH"/>
        </w:rPr>
        <w:fldChar w:fldCharType="begin"/>
      </w:r>
      <w:r w:rsidR="00C17BC7">
        <w:rPr>
          <w:lang w:val="en-PH"/>
        </w:rPr>
        <w:instrText xml:space="preserve"> REF _Ref508472917 \h </w:instrText>
      </w:r>
      <w:r w:rsidR="00C17BC7">
        <w:rPr>
          <w:highlight w:val="yellow"/>
          <w:lang w:val="en-PH"/>
        </w:rPr>
      </w:r>
      <w:r w:rsidR="00C17BC7">
        <w:rPr>
          <w:highlight w:val="yellow"/>
          <w:lang w:val="en-PH"/>
        </w:rPr>
        <w:fldChar w:fldCharType="separate"/>
      </w:r>
      <w:r w:rsidR="00A50702">
        <w:t xml:space="preserve">Table </w:t>
      </w:r>
      <w:r w:rsidR="00A50702">
        <w:rPr>
          <w:noProof/>
        </w:rPr>
        <w:t>4</w:t>
      </w:r>
      <w:r w:rsidR="00A50702">
        <w:noBreakHyphen/>
      </w:r>
      <w:r w:rsidR="00A50702">
        <w:rPr>
          <w:noProof/>
        </w:rPr>
        <w:t>2</w:t>
      </w:r>
      <w:r w:rsidR="00C17BC7">
        <w:rPr>
          <w:highlight w:val="yellow"/>
          <w:lang w:val="en-PH"/>
        </w:rPr>
        <w:fldChar w:fldCharType="end"/>
      </w:r>
      <w:r>
        <w:rPr>
          <w:lang w:val="en-PH"/>
        </w:rPr>
        <w:t>.</w:t>
      </w:r>
      <w:r w:rsidR="00C34235">
        <w:rPr>
          <w:lang w:val="en-PH"/>
        </w:rPr>
        <w:t xml:space="preserve"> The impact of the </w:t>
      </w:r>
      <w:r w:rsidR="00905066">
        <w:rPr>
          <w:lang w:val="en-PH"/>
        </w:rPr>
        <w:t xml:space="preserve">choice of </w:t>
      </w:r>
      <w:r w:rsidR="00C34235">
        <w:rPr>
          <w:lang w:val="en-PH"/>
        </w:rPr>
        <w:t>CRF</w:t>
      </w:r>
      <w:r w:rsidR="00905066">
        <w:rPr>
          <w:lang w:val="en-PH"/>
        </w:rPr>
        <w:t>s</w:t>
      </w:r>
      <w:r w:rsidR="00C34235">
        <w:rPr>
          <w:lang w:val="en-PH"/>
        </w:rPr>
        <w:t xml:space="preserve"> on the cost-benefit analysis </w:t>
      </w:r>
      <w:r w:rsidR="00BA7A33">
        <w:rPr>
          <w:lang w:val="en-PH"/>
        </w:rPr>
        <w:t xml:space="preserve">is </w:t>
      </w:r>
      <w:r w:rsidR="00C34235">
        <w:rPr>
          <w:lang w:val="en-PH"/>
        </w:rPr>
        <w:t>discussed further in Annexure B.</w:t>
      </w:r>
    </w:p>
    <w:p w14:paraId="44A5557B" w14:textId="23535857" w:rsidR="00C17BC7" w:rsidRDefault="00C17BC7" w:rsidP="00C17BC7">
      <w:pPr>
        <w:pStyle w:val="Caption"/>
      </w:pPr>
      <w:bookmarkStart w:id="43" w:name="_Ref508472917"/>
      <w:bookmarkStart w:id="44" w:name="_Toc518629919"/>
      <w:bookmarkStart w:id="45" w:name="_Hlk515880211"/>
      <w:r>
        <w:t xml:space="preserve">Table </w:t>
      </w:r>
      <w:r>
        <w:fldChar w:fldCharType="begin"/>
      </w:r>
      <w:r>
        <w:instrText xml:space="preserve"> STYLEREF 1 \s </w:instrText>
      </w:r>
      <w:r>
        <w:fldChar w:fldCharType="separate"/>
      </w:r>
      <w:r w:rsidR="00A50702">
        <w:rPr>
          <w:noProof/>
        </w:rPr>
        <w:t>4</w:t>
      </w:r>
      <w:r>
        <w:fldChar w:fldCharType="end"/>
      </w:r>
      <w:r>
        <w:noBreakHyphen/>
      </w:r>
      <w:r>
        <w:fldChar w:fldCharType="begin"/>
      </w:r>
      <w:r>
        <w:instrText xml:space="preserve"> SEQ Table \* ARABIC \s 1 </w:instrText>
      </w:r>
      <w:r>
        <w:fldChar w:fldCharType="separate"/>
      </w:r>
      <w:r w:rsidR="00A50702">
        <w:rPr>
          <w:noProof/>
        </w:rPr>
        <w:t>2</w:t>
      </w:r>
      <w:r>
        <w:fldChar w:fldCharType="end"/>
      </w:r>
      <w:bookmarkEnd w:id="43"/>
      <w:r>
        <w:t xml:space="preserve"> </w:t>
      </w:r>
      <w:r w:rsidR="00897082">
        <w:t xml:space="preserve">Range of uncertainty on existing health burden </w:t>
      </w:r>
      <w:r w:rsidR="003C49A6">
        <w:t xml:space="preserve">using different CRFs </w:t>
      </w:r>
      <w:r>
        <w:t>($m PV)</w:t>
      </w:r>
      <w:bookmarkEnd w:id="44"/>
    </w:p>
    <w:tbl>
      <w:tblPr>
        <w:tblStyle w:val="AureconTable4"/>
        <w:tblW w:w="6100" w:type="dxa"/>
        <w:tblInd w:w="-5" w:type="dxa"/>
        <w:tblLook w:val="04A0" w:firstRow="1" w:lastRow="0" w:firstColumn="1" w:lastColumn="0" w:noHBand="0" w:noVBand="1"/>
      </w:tblPr>
      <w:tblGrid>
        <w:gridCol w:w="1719"/>
        <w:gridCol w:w="1953"/>
        <w:gridCol w:w="2428"/>
      </w:tblGrid>
      <w:tr w:rsidR="00897082" w14:paraId="372FCAA2" w14:textId="77777777" w:rsidTr="0090506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74C8244E" w14:textId="77777777" w:rsidR="00897082" w:rsidRPr="00B4699B" w:rsidRDefault="00897082" w:rsidP="00CE5427">
            <w:pPr>
              <w:pStyle w:val="Bullet1"/>
              <w:numPr>
                <w:ilvl w:val="0"/>
                <w:numId w:val="0"/>
              </w:numPr>
              <w:jc w:val="center"/>
              <w:rPr>
                <w:b w:val="0"/>
              </w:rPr>
            </w:pPr>
            <w:bookmarkStart w:id="46" w:name="_Hlk515880203"/>
            <w:bookmarkEnd w:id="45"/>
            <w:r>
              <w:t>SO</w:t>
            </w:r>
            <w:r w:rsidRPr="00AF35D6">
              <w:rPr>
                <w:vertAlign w:val="subscript"/>
              </w:rPr>
              <w:t>2</w:t>
            </w:r>
          </w:p>
        </w:tc>
        <w:tc>
          <w:tcPr>
            <w:tcW w:w="0" w:type="dxa"/>
          </w:tcPr>
          <w:p w14:paraId="3D25BB2C" w14:textId="77777777" w:rsidR="00897082" w:rsidRDefault="00897082" w:rsidP="00CE5427">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pPr>
            <w:r>
              <w:t>NO</w:t>
            </w:r>
            <w:r w:rsidRPr="00AF35D6">
              <w:rPr>
                <w:vertAlign w:val="subscript"/>
              </w:rPr>
              <w:t>2</w:t>
            </w:r>
          </w:p>
        </w:tc>
        <w:tc>
          <w:tcPr>
            <w:tcW w:w="0" w:type="dxa"/>
          </w:tcPr>
          <w:p w14:paraId="6B8A641E" w14:textId="77777777" w:rsidR="00897082" w:rsidRDefault="00897082" w:rsidP="00CE5427">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pPr>
            <w:r>
              <w:t>O</w:t>
            </w:r>
            <w:r w:rsidRPr="00687B00">
              <w:rPr>
                <w:vertAlign w:val="subscript"/>
              </w:rPr>
              <w:t>3</w:t>
            </w:r>
          </w:p>
        </w:tc>
      </w:tr>
      <w:tr w:rsidR="00897082" w14:paraId="4C1FDDC2" w14:textId="77777777" w:rsidTr="00905066">
        <w:tc>
          <w:tcPr>
            <w:cnfStyle w:val="001000000000" w:firstRow="0" w:lastRow="0" w:firstColumn="1" w:lastColumn="0" w:oddVBand="0" w:evenVBand="0" w:oddHBand="0" w:evenHBand="0" w:firstRowFirstColumn="0" w:firstRowLastColumn="0" w:lastRowFirstColumn="0" w:lastRowLastColumn="0"/>
            <w:tcW w:w="0" w:type="dxa"/>
          </w:tcPr>
          <w:p w14:paraId="2E3FB08A" w14:textId="62C7E92F" w:rsidR="00897082" w:rsidRPr="00D41908" w:rsidRDefault="00897082" w:rsidP="003D33C7">
            <w:pPr>
              <w:pStyle w:val="BodyText"/>
              <w:jc w:val="center"/>
            </w:pPr>
            <w:r w:rsidRPr="00302D19">
              <w:t>$72</w:t>
            </w:r>
            <w:r>
              <w:t xml:space="preserve"> </w:t>
            </w:r>
            <w:r w:rsidRPr="00F95836">
              <w:rPr>
                <w:vertAlign w:val="superscript"/>
              </w:rPr>
              <w:t>^</w:t>
            </w:r>
          </w:p>
        </w:tc>
        <w:tc>
          <w:tcPr>
            <w:tcW w:w="0" w:type="dxa"/>
          </w:tcPr>
          <w:p w14:paraId="5C646277" w14:textId="383E7126" w:rsidR="00897082" w:rsidRDefault="00897082" w:rsidP="003D33C7">
            <w:pPr>
              <w:pStyle w:val="BodyText"/>
              <w:jc w:val="center"/>
              <w:cnfStyle w:val="000000000000" w:firstRow="0" w:lastRow="0" w:firstColumn="0" w:lastColumn="0" w:oddVBand="0" w:evenVBand="0" w:oddHBand="0" w:evenHBand="0" w:firstRowFirstColumn="0" w:firstRowLastColumn="0" w:lastRowFirstColumn="0" w:lastRowLastColumn="0"/>
            </w:pPr>
            <w:r w:rsidRPr="00146CD6">
              <w:t>$265</w:t>
            </w:r>
            <w:r>
              <w:t xml:space="preserve"> – $761</w:t>
            </w:r>
          </w:p>
        </w:tc>
        <w:tc>
          <w:tcPr>
            <w:tcW w:w="0" w:type="dxa"/>
          </w:tcPr>
          <w:p w14:paraId="12226240" w14:textId="5C4ACE9A" w:rsidR="00897082" w:rsidRDefault="00897082" w:rsidP="003D33C7">
            <w:pPr>
              <w:pStyle w:val="BodyText"/>
              <w:jc w:val="center"/>
              <w:cnfStyle w:val="000000000000" w:firstRow="0" w:lastRow="0" w:firstColumn="0" w:lastColumn="0" w:oddVBand="0" w:evenVBand="0" w:oddHBand="0" w:evenHBand="0" w:firstRowFirstColumn="0" w:firstRowLastColumn="0" w:lastRowFirstColumn="0" w:lastRowLastColumn="0"/>
            </w:pPr>
            <w:r w:rsidRPr="00D07834">
              <w:t>$</w:t>
            </w:r>
            <w:r w:rsidR="00C34235">
              <w:t>225</w:t>
            </w:r>
            <w:r>
              <w:t xml:space="preserve"> – $1,572</w:t>
            </w:r>
          </w:p>
        </w:tc>
      </w:tr>
    </w:tbl>
    <w:bookmarkEnd w:id="46"/>
    <w:p w14:paraId="780DEB08" w14:textId="1287E534" w:rsidR="00DC45EF" w:rsidRPr="00F20068" w:rsidRDefault="00DC45EF" w:rsidP="00DC45EF">
      <w:pPr>
        <w:pStyle w:val="BodyText"/>
        <w:spacing w:before="60"/>
        <w:rPr>
          <w:b/>
          <w:sz w:val="16"/>
          <w:szCs w:val="16"/>
        </w:rPr>
      </w:pPr>
      <w:r>
        <w:rPr>
          <w:b/>
          <w:sz w:val="16"/>
          <w:szCs w:val="16"/>
        </w:rPr>
        <w:t>Note ^</w:t>
      </w:r>
      <w:r w:rsidRPr="00F20068">
        <w:rPr>
          <w:b/>
          <w:sz w:val="16"/>
          <w:szCs w:val="16"/>
        </w:rPr>
        <w:t xml:space="preserve">: </w:t>
      </w:r>
      <w:r w:rsidR="004D4E3D">
        <w:rPr>
          <w:bCs/>
          <w:sz w:val="16"/>
          <w:szCs w:val="16"/>
        </w:rPr>
        <w:t xml:space="preserve">The </w:t>
      </w:r>
      <w:r w:rsidR="00F275ED">
        <w:rPr>
          <w:bCs/>
          <w:sz w:val="16"/>
          <w:szCs w:val="16"/>
        </w:rPr>
        <w:t xml:space="preserve">estimated </w:t>
      </w:r>
      <w:r w:rsidR="004D4E3D">
        <w:rPr>
          <w:bCs/>
          <w:sz w:val="16"/>
          <w:szCs w:val="16"/>
        </w:rPr>
        <w:t xml:space="preserve">health burden </w:t>
      </w:r>
      <w:r w:rsidR="00F275ED">
        <w:rPr>
          <w:bCs/>
          <w:sz w:val="16"/>
          <w:szCs w:val="16"/>
        </w:rPr>
        <w:t>of SO</w:t>
      </w:r>
      <w:r w:rsidR="00F275ED" w:rsidRPr="00B326CA">
        <w:rPr>
          <w:bCs/>
          <w:sz w:val="16"/>
          <w:szCs w:val="16"/>
          <w:vertAlign w:val="subscript"/>
        </w:rPr>
        <w:t>2</w:t>
      </w:r>
      <w:r w:rsidR="00F275ED">
        <w:rPr>
          <w:bCs/>
          <w:sz w:val="16"/>
          <w:szCs w:val="16"/>
        </w:rPr>
        <w:t xml:space="preserve"> </w:t>
      </w:r>
      <w:r w:rsidR="004D4E3D">
        <w:rPr>
          <w:bCs/>
          <w:sz w:val="16"/>
          <w:szCs w:val="16"/>
        </w:rPr>
        <w:t xml:space="preserve">is the same across </w:t>
      </w:r>
      <w:r w:rsidR="00F275ED">
        <w:rPr>
          <w:bCs/>
          <w:sz w:val="16"/>
          <w:szCs w:val="16"/>
        </w:rPr>
        <w:t xml:space="preserve">the three groups of CRFs because the exposure-response functions </w:t>
      </w:r>
      <w:r w:rsidR="009B6F48">
        <w:rPr>
          <w:bCs/>
          <w:sz w:val="16"/>
          <w:szCs w:val="16"/>
        </w:rPr>
        <w:t>used are the same.</w:t>
      </w:r>
    </w:p>
    <w:p w14:paraId="5C785F03" w14:textId="45822FDB" w:rsidR="001B6724" w:rsidRDefault="00962283" w:rsidP="00E34C53">
      <w:pPr>
        <w:pStyle w:val="BodyText"/>
        <w:rPr>
          <w:highlight w:val="yellow"/>
          <w:lang w:val="en-PH"/>
        </w:rPr>
      </w:pPr>
      <w:r>
        <w:rPr>
          <w:lang w:val="en-PH"/>
        </w:rPr>
        <w:t>T</w:t>
      </w:r>
      <w:r w:rsidR="001B6724">
        <w:rPr>
          <w:lang w:val="en-PH"/>
        </w:rPr>
        <w:t>he estimated mortality from long-term exposure to NO</w:t>
      </w:r>
      <w:r w:rsidR="001B6724" w:rsidRPr="008A092E">
        <w:rPr>
          <w:vertAlign w:val="subscript"/>
          <w:lang w:val="en-PH"/>
        </w:rPr>
        <w:t>2</w:t>
      </w:r>
      <w:r w:rsidR="001B6724">
        <w:rPr>
          <w:lang w:val="en-PH"/>
        </w:rPr>
        <w:t xml:space="preserve"> is substantially higher </w:t>
      </w:r>
      <w:r w:rsidR="00C459C2">
        <w:rPr>
          <w:lang w:val="en-PH"/>
        </w:rPr>
        <w:t xml:space="preserve">using the </w:t>
      </w:r>
      <w:r w:rsidR="006B50FF">
        <w:rPr>
          <w:lang w:val="en-PH"/>
        </w:rPr>
        <w:t xml:space="preserve">Group </w:t>
      </w:r>
      <w:r w:rsidR="00C34175">
        <w:rPr>
          <w:lang w:val="en-PH"/>
        </w:rPr>
        <w:t>3</w:t>
      </w:r>
      <w:r w:rsidR="006B50FF">
        <w:rPr>
          <w:lang w:val="en-PH"/>
        </w:rPr>
        <w:t xml:space="preserve"> </w:t>
      </w:r>
      <w:r w:rsidR="00C459C2">
        <w:rPr>
          <w:lang w:val="en-PH"/>
        </w:rPr>
        <w:t>CRFs</w:t>
      </w:r>
      <w:r w:rsidR="001B6724">
        <w:rPr>
          <w:lang w:val="en-PH"/>
        </w:rPr>
        <w:t xml:space="preserve">. </w:t>
      </w:r>
      <w:r w:rsidR="00E46C10">
        <w:rPr>
          <w:lang w:val="en-PH"/>
        </w:rPr>
        <w:t>In both of the alternative CRFs sensitivities, a much larger estimate of the health burden associated with O</w:t>
      </w:r>
      <w:r w:rsidR="00E46C10" w:rsidRPr="00BF1444">
        <w:rPr>
          <w:vertAlign w:val="subscript"/>
          <w:lang w:val="en-PH"/>
        </w:rPr>
        <w:t>3</w:t>
      </w:r>
      <w:r w:rsidR="00E46C10">
        <w:rPr>
          <w:lang w:val="en-PH"/>
        </w:rPr>
        <w:t xml:space="preserve"> exposure is estimated. This is because of higher estimated mortalities from exposure.</w:t>
      </w:r>
      <w:r w:rsidR="001B6724">
        <w:rPr>
          <w:highlight w:val="yellow"/>
          <w:lang w:val="en-PH"/>
        </w:rPr>
        <w:br w:type="page"/>
      </w:r>
    </w:p>
    <w:p w14:paraId="10E1D27B" w14:textId="77777777" w:rsidR="001B6724" w:rsidRDefault="001B6724" w:rsidP="00DB4968">
      <w:pPr>
        <w:pStyle w:val="Heading1"/>
        <w:rPr>
          <w:lang w:val="en-PH"/>
        </w:rPr>
      </w:pPr>
      <w:bookmarkStart w:id="47" w:name="_Ref508461535"/>
      <w:bookmarkStart w:id="48" w:name="_Toc518629890"/>
      <w:r w:rsidRPr="00DB4968">
        <w:lastRenderedPageBreak/>
        <w:t>Results</w:t>
      </w:r>
      <w:bookmarkEnd w:id="47"/>
      <w:bookmarkEnd w:id="48"/>
      <w:r>
        <w:rPr>
          <w:lang w:val="en-PH"/>
        </w:rPr>
        <w:t xml:space="preserve"> </w:t>
      </w:r>
    </w:p>
    <w:p w14:paraId="42546ABC" w14:textId="3C6910CC" w:rsidR="001B6724" w:rsidRDefault="001B6724" w:rsidP="00DB4968">
      <w:pPr>
        <w:pStyle w:val="Heading2"/>
        <w:rPr>
          <w:lang w:val="en-PH"/>
        </w:rPr>
      </w:pPr>
      <w:bookmarkStart w:id="49" w:name="_Toc518629891"/>
      <w:r>
        <w:rPr>
          <w:lang w:val="en-PH"/>
        </w:rPr>
        <w:t xml:space="preserve">Costs and benefits of the </w:t>
      </w:r>
      <w:r w:rsidR="00746EDF">
        <w:rPr>
          <w:lang w:val="en-PH"/>
        </w:rPr>
        <w:t>Abatement Package</w:t>
      </w:r>
      <w:r>
        <w:rPr>
          <w:lang w:val="en-PH"/>
        </w:rPr>
        <w:t xml:space="preserve"> </w:t>
      </w:r>
      <w:r w:rsidR="009074FB">
        <w:rPr>
          <w:lang w:val="en-PH"/>
        </w:rPr>
        <w:t>scenario</w:t>
      </w:r>
      <w:bookmarkEnd w:id="49"/>
    </w:p>
    <w:p w14:paraId="0E54E225" w14:textId="703B0B40" w:rsidR="001B6724" w:rsidRDefault="006C02E4" w:rsidP="001B6724">
      <w:pPr>
        <w:pStyle w:val="BodyText"/>
        <w:rPr>
          <w:lang w:val="en-PH"/>
        </w:rPr>
      </w:pPr>
      <w:r>
        <w:rPr>
          <w:lang w:val="en-PH"/>
        </w:rPr>
        <w:fldChar w:fldCharType="begin"/>
      </w:r>
      <w:r>
        <w:rPr>
          <w:lang w:val="en-PH"/>
        </w:rPr>
        <w:instrText xml:space="preserve"> REF _Ref508472155 \h </w:instrText>
      </w:r>
      <w:r>
        <w:rPr>
          <w:lang w:val="en-PH"/>
        </w:rPr>
      </w:r>
      <w:r>
        <w:rPr>
          <w:lang w:val="en-PH"/>
        </w:rPr>
        <w:fldChar w:fldCharType="separate"/>
      </w:r>
      <w:r w:rsidR="00A50702">
        <w:t xml:space="preserve">Table </w:t>
      </w:r>
      <w:r w:rsidR="00A50702">
        <w:rPr>
          <w:noProof/>
        </w:rPr>
        <w:t>5</w:t>
      </w:r>
      <w:r w:rsidR="00A50702">
        <w:noBreakHyphen/>
      </w:r>
      <w:r w:rsidR="00A50702">
        <w:rPr>
          <w:noProof/>
        </w:rPr>
        <w:t>1</w:t>
      </w:r>
      <w:r>
        <w:rPr>
          <w:lang w:val="en-PH"/>
        </w:rPr>
        <w:fldChar w:fldCharType="end"/>
      </w:r>
      <w:r>
        <w:rPr>
          <w:lang w:val="en-PH"/>
        </w:rPr>
        <w:t xml:space="preserve"> presents the </w:t>
      </w:r>
      <w:r w:rsidR="001B6724">
        <w:rPr>
          <w:lang w:val="en-PH"/>
        </w:rPr>
        <w:t>projected costs and benefits of implementing the abatement measures by</w:t>
      </w:r>
      <w:r>
        <w:rPr>
          <w:lang w:val="en-PH"/>
        </w:rPr>
        <w:t xml:space="preserve"> pollutant and jurisdiction.</w:t>
      </w:r>
      <w:r w:rsidR="00926825">
        <w:rPr>
          <w:lang w:val="en-PH"/>
        </w:rPr>
        <w:t xml:space="preserve"> Note that the results for NO</w:t>
      </w:r>
      <w:r w:rsidR="00926825" w:rsidRPr="00C155A2">
        <w:rPr>
          <w:vertAlign w:val="subscript"/>
          <w:lang w:val="en-PH"/>
        </w:rPr>
        <w:t>2</w:t>
      </w:r>
      <w:r w:rsidR="00926825">
        <w:rPr>
          <w:lang w:val="en-PH"/>
        </w:rPr>
        <w:t xml:space="preserve"> include the benefit from reductions in PM</w:t>
      </w:r>
      <w:r w:rsidR="00926825" w:rsidRPr="00926825">
        <w:rPr>
          <w:vertAlign w:val="subscript"/>
          <w:lang w:val="en-PH"/>
        </w:rPr>
        <w:t>2.5</w:t>
      </w:r>
      <w:r w:rsidR="00926825">
        <w:rPr>
          <w:lang w:val="en-PH"/>
        </w:rPr>
        <w:t xml:space="preserve"> emissions.</w:t>
      </w:r>
    </w:p>
    <w:p w14:paraId="75FE9CD4" w14:textId="7AF11E27" w:rsidR="006C02E4" w:rsidRDefault="006C02E4" w:rsidP="006C02E4">
      <w:pPr>
        <w:pStyle w:val="Caption"/>
      </w:pPr>
      <w:bookmarkStart w:id="50" w:name="_Ref508472155"/>
      <w:bookmarkStart w:id="51" w:name="_Toc518629920"/>
      <w:r>
        <w:t xml:space="preserve">Table </w:t>
      </w:r>
      <w:r>
        <w:fldChar w:fldCharType="begin"/>
      </w:r>
      <w:r>
        <w:instrText xml:space="preserve"> STYLEREF 1 \s </w:instrText>
      </w:r>
      <w:r>
        <w:fldChar w:fldCharType="separate"/>
      </w:r>
      <w:r w:rsidR="00A50702">
        <w:rPr>
          <w:noProof/>
        </w:rPr>
        <w:t>5</w:t>
      </w:r>
      <w:r>
        <w:fldChar w:fldCharType="end"/>
      </w:r>
      <w:r>
        <w:noBreakHyphen/>
      </w:r>
      <w:r>
        <w:fldChar w:fldCharType="begin"/>
      </w:r>
      <w:r>
        <w:instrText xml:space="preserve"> SEQ Table \* ARABIC \s 1 </w:instrText>
      </w:r>
      <w:r>
        <w:fldChar w:fldCharType="separate"/>
      </w:r>
      <w:r w:rsidR="00A50702">
        <w:rPr>
          <w:noProof/>
        </w:rPr>
        <w:t>1</w:t>
      </w:r>
      <w:r>
        <w:fldChar w:fldCharType="end"/>
      </w:r>
      <w:bookmarkEnd w:id="50"/>
      <w:r>
        <w:t xml:space="preserve"> </w:t>
      </w:r>
      <w:r w:rsidR="006A1B36">
        <w:t xml:space="preserve">Projected costs and benefits of implementing abatement </w:t>
      </w:r>
      <w:r w:rsidR="00DA15DE">
        <w:t>package (2021-2040)</w:t>
      </w:r>
      <w:bookmarkEnd w:id="51"/>
    </w:p>
    <w:tbl>
      <w:tblPr>
        <w:tblStyle w:val="AureconTable4"/>
        <w:tblW w:w="9634" w:type="dxa"/>
        <w:tblInd w:w="-5" w:type="dxa"/>
        <w:tblLook w:val="04A0" w:firstRow="1" w:lastRow="0" w:firstColumn="1" w:lastColumn="0" w:noHBand="0" w:noVBand="1"/>
      </w:tblPr>
      <w:tblGrid>
        <w:gridCol w:w="2672"/>
        <w:gridCol w:w="269"/>
        <w:gridCol w:w="1731"/>
        <w:gridCol w:w="758"/>
        <w:gridCol w:w="973"/>
        <w:gridCol w:w="665"/>
        <w:gridCol w:w="899"/>
        <w:gridCol w:w="1667"/>
      </w:tblGrid>
      <w:tr w:rsidR="00D35480" w14:paraId="2FA1B685" w14:textId="77777777" w:rsidTr="00B326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1" w:type="dxa"/>
            <w:gridSpan w:val="2"/>
          </w:tcPr>
          <w:p w14:paraId="43D378B6" w14:textId="77777777" w:rsidR="00D35480" w:rsidRDefault="00D35480" w:rsidP="00CE5427">
            <w:pPr>
              <w:pStyle w:val="Bullet1"/>
              <w:numPr>
                <w:ilvl w:val="0"/>
                <w:numId w:val="0"/>
              </w:numPr>
              <w:jc w:val="center"/>
            </w:pPr>
            <w:r>
              <w:t>Jurisdiction</w:t>
            </w:r>
          </w:p>
        </w:tc>
        <w:tc>
          <w:tcPr>
            <w:tcW w:w="1731" w:type="dxa"/>
          </w:tcPr>
          <w:p w14:paraId="22CAB629" w14:textId="77777777" w:rsidR="00D35480" w:rsidRPr="00B4699B" w:rsidRDefault="00D35480" w:rsidP="00CE5427">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rPr>
                <w:b w:val="0"/>
              </w:rPr>
            </w:pPr>
            <w:r>
              <w:t>SO</w:t>
            </w:r>
            <w:r w:rsidRPr="00AF35D6">
              <w:rPr>
                <w:vertAlign w:val="subscript"/>
              </w:rPr>
              <w:t>2</w:t>
            </w:r>
          </w:p>
        </w:tc>
        <w:tc>
          <w:tcPr>
            <w:tcW w:w="1731" w:type="dxa"/>
            <w:gridSpan w:val="2"/>
          </w:tcPr>
          <w:p w14:paraId="55BB06C7" w14:textId="5059A4C4" w:rsidR="00D35480" w:rsidRPr="00926825" w:rsidRDefault="00D35480" w:rsidP="00CE5427">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pPr>
            <w:r>
              <w:t>NO</w:t>
            </w:r>
            <w:r w:rsidRPr="00AF35D6">
              <w:rPr>
                <w:vertAlign w:val="subscript"/>
              </w:rPr>
              <w:t>2</w:t>
            </w:r>
            <w:r>
              <w:rPr>
                <w:vertAlign w:val="subscript"/>
              </w:rPr>
              <w:t xml:space="preserve"> </w:t>
            </w:r>
            <w:r w:rsidRPr="00926825">
              <w:rPr>
                <w:vertAlign w:val="superscript"/>
              </w:rPr>
              <w:t>^</w:t>
            </w:r>
            <w:r w:rsidR="004C0057" w:rsidRPr="004C0057">
              <w:rPr>
                <w:vertAlign w:val="superscript"/>
              </w:rPr>
              <w:t>*</w:t>
            </w:r>
          </w:p>
        </w:tc>
        <w:tc>
          <w:tcPr>
            <w:tcW w:w="1564" w:type="dxa"/>
            <w:gridSpan w:val="2"/>
          </w:tcPr>
          <w:p w14:paraId="39EB9602" w14:textId="4CA54EF7" w:rsidR="00D35480" w:rsidRDefault="00D35480" w:rsidP="00CE5427">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pPr>
            <w:r>
              <w:t>PM</w:t>
            </w:r>
            <w:r w:rsidRPr="00B326CA">
              <w:rPr>
                <w:vertAlign w:val="subscript"/>
              </w:rPr>
              <w:t>2.5</w:t>
            </w:r>
            <w:r w:rsidR="002C68C9">
              <w:rPr>
                <w:vertAlign w:val="subscript"/>
              </w:rPr>
              <w:t xml:space="preserve"> </w:t>
            </w:r>
            <w:r w:rsidRPr="00B326CA">
              <w:rPr>
                <w:vertAlign w:val="superscript"/>
              </w:rPr>
              <w:t>^</w:t>
            </w:r>
          </w:p>
        </w:tc>
        <w:tc>
          <w:tcPr>
            <w:tcW w:w="1667" w:type="dxa"/>
          </w:tcPr>
          <w:p w14:paraId="02FFEFDE" w14:textId="4F137E92" w:rsidR="00D35480" w:rsidRDefault="00D35480" w:rsidP="00CE5427">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pPr>
            <w:r>
              <w:t>O</w:t>
            </w:r>
            <w:r w:rsidRPr="00687B00">
              <w:rPr>
                <w:vertAlign w:val="subscript"/>
              </w:rPr>
              <w:t>3</w:t>
            </w:r>
          </w:p>
        </w:tc>
      </w:tr>
      <w:tr w:rsidR="00D35480" w14:paraId="2FCEA5C9" w14:textId="77777777" w:rsidTr="00B326CA">
        <w:tc>
          <w:tcPr>
            <w:cnfStyle w:val="001000000000" w:firstRow="0" w:lastRow="0" w:firstColumn="1" w:lastColumn="0" w:oddVBand="0" w:evenVBand="0" w:oddHBand="0" w:evenHBand="0" w:firstRowFirstColumn="0" w:firstRowLastColumn="0" w:lastRowFirstColumn="0" w:lastRowLastColumn="0"/>
            <w:tcW w:w="2672" w:type="dxa"/>
          </w:tcPr>
          <w:p w14:paraId="69E3DFDD" w14:textId="636D9345" w:rsidR="00D35480" w:rsidRPr="00B4699B" w:rsidRDefault="00D35480" w:rsidP="00CE5427">
            <w:pPr>
              <w:pStyle w:val="Bullet1"/>
              <w:numPr>
                <w:ilvl w:val="0"/>
                <w:numId w:val="0"/>
              </w:numPr>
              <w:rPr>
                <w:b/>
                <w:szCs w:val="18"/>
              </w:rPr>
            </w:pPr>
            <w:r>
              <w:rPr>
                <w:b/>
                <w:szCs w:val="18"/>
              </w:rPr>
              <w:t>Costs (2016 $m PV)</w:t>
            </w:r>
          </w:p>
        </w:tc>
        <w:tc>
          <w:tcPr>
            <w:tcW w:w="2758" w:type="dxa"/>
            <w:gridSpan w:val="3"/>
          </w:tcPr>
          <w:p w14:paraId="66100011" w14:textId="77777777" w:rsidR="00D35480" w:rsidRPr="00B4699B" w:rsidRDefault="00D35480" w:rsidP="00CE5427">
            <w:pPr>
              <w:pStyle w:val="Bullet1"/>
              <w:numPr>
                <w:ilvl w:val="0"/>
                <w:numId w:val="0"/>
              </w:numPr>
              <w:cnfStyle w:val="000000000000" w:firstRow="0" w:lastRow="0" w:firstColumn="0" w:lastColumn="0" w:oddVBand="0" w:evenVBand="0" w:oddHBand="0" w:evenHBand="0" w:firstRowFirstColumn="0" w:firstRowLastColumn="0" w:lastRowFirstColumn="0" w:lastRowLastColumn="0"/>
              <w:rPr>
                <w:b/>
                <w:szCs w:val="18"/>
              </w:rPr>
            </w:pPr>
          </w:p>
        </w:tc>
        <w:tc>
          <w:tcPr>
            <w:tcW w:w="1638" w:type="dxa"/>
            <w:gridSpan w:val="2"/>
          </w:tcPr>
          <w:p w14:paraId="34527FB4" w14:textId="77777777" w:rsidR="00D35480" w:rsidRPr="00B4699B" w:rsidRDefault="00D35480" w:rsidP="00CE5427">
            <w:pPr>
              <w:pStyle w:val="Bullet1"/>
              <w:numPr>
                <w:ilvl w:val="0"/>
                <w:numId w:val="0"/>
              </w:numPr>
              <w:cnfStyle w:val="000000000000" w:firstRow="0" w:lastRow="0" w:firstColumn="0" w:lastColumn="0" w:oddVBand="0" w:evenVBand="0" w:oddHBand="0" w:evenHBand="0" w:firstRowFirstColumn="0" w:firstRowLastColumn="0" w:lastRowFirstColumn="0" w:lastRowLastColumn="0"/>
              <w:rPr>
                <w:b/>
                <w:szCs w:val="18"/>
              </w:rPr>
            </w:pPr>
          </w:p>
        </w:tc>
        <w:tc>
          <w:tcPr>
            <w:tcW w:w="2566" w:type="dxa"/>
            <w:gridSpan w:val="2"/>
          </w:tcPr>
          <w:p w14:paraId="0EDF83C4" w14:textId="1DE6A4F1" w:rsidR="00D35480" w:rsidRPr="00B4699B" w:rsidRDefault="00D35480" w:rsidP="00CE5427">
            <w:pPr>
              <w:pStyle w:val="Bullet1"/>
              <w:numPr>
                <w:ilvl w:val="0"/>
                <w:numId w:val="0"/>
              </w:numPr>
              <w:cnfStyle w:val="000000000000" w:firstRow="0" w:lastRow="0" w:firstColumn="0" w:lastColumn="0" w:oddVBand="0" w:evenVBand="0" w:oddHBand="0" w:evenHBand="0" w:firstRowFirstColumn="0" w:firstRowLastColumn="0" w:lastRowFirstColumn="0" w:lastRowLastColumn="0"/>
              <w:rPr>
                <w:b/>
                <w:szCs w:val="18"/>
              </w:rPr>
            </w:pPr>
          </w:p>
        </w:tc>
      </w:tr>
      <w:tr w:rsidR="00D35480" w14:paraId="31C93BF5"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25BAD09C" w14:textId="77777777" w:rsidR="00D35480" w:rsidRPr="00D41908" w:rsidRDefault="00D35480" w:rsidP="00D35480">
            <w:pPr>
              <w:pStyle w:val="Bullet1"/>
              <w:numPr>
                <w:ilvl w:val="0"/>
                <w:numId w:val="0"/>
              </w:numPr>
              <w:jc w:val="center"/>
              <w:rPr>
                <w:szCs w:val="18"/>
              </w:rPr>
            </w:pPr>
            <w:r w:rsidRPr="00A43B6D">
              <w:t>NSW</w:t>
            </w:r>
          </w:p>
        </w:tc>
        <w:tc>
          <w:tcPr>
            <w:tcW w:w="1731" w:type="dxa"/>
          </w:tcPr>
          <w:p w14:paraId="0AE1BA2E" w14:textId="5D09274D" w:rsidR="00D35480" w:rsidRPr="00D41908"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$13,887</w:t>
            </w:r>
          </w:p>
        </w:tc>
        <w:tc>
          <w:tcPr>
            <w:tcW w:w="1731" w:type="dxa"/>
            <w:gridSpan w:val="2"/>
          </w:tcPr>
          <w:p w14:paraId="10B03175" w14:textId="4335A42B"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$9,604</w:t>
            </w:r>
          </w:p>
        </w:tc>
        <w:tc>
          <w:tcPr>
            <w:tcW w:w="1564" w:type="dxa"/>
            <w:gridSpan w:val="2"/>
          </w:tcPr>
          <w:p w14:paraId="1C404B73" w14:textId="77777777" w:rsidR="00D35480" w:rsidRPr="00FB673A"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52661890" w14:textId="7BE7CE60"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$109</w:t>
            </w:r>
          </w:p>
        </w:tc>
      </w:tr>
      <w:tr w:rsidR="00D35480" w14:paraId="4E590FF6"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100DF236" w14:textId="77777777" w:rsidR="00D35480" w:rsidRPr="00D41908" w:rsidRDefault="00D35480" w:rsidP="00D35480">
            <w:pPr>
              <w:pStyle w:val="Bullet1"/>
              <w:numPr>
                <w:ilvl w:val="0"/>
                <w:numId w:val="0"/>
              </w:numPr>
              <w:jc w:val="center"/>
              <w:rPr>
                <w:szCs w:val="18"/>
              </w:rPr>
            </w:pPr>
            <w:r w:rsidRPr="00A43B6D">
              <w:t>NT</w:t>
            </w:r>
          </w:p>
        </w:tc>
        <w:tc>
          <w:tcPr>
            <w:tcW w:w="1731" w:type="dxa"/>
          </w:tcPr>
          <w:p w14:paraId="0211AAAF" w14:textId="06E52107" w:rsidR="00D35480" w:rsidRPr="00D41908"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$543</w:t>
            </w:r>
          </w:p>
        </w:tc>
        <w:tc>
          <w:tcPr>
            <w:tcW w:w="1731" w:type="dxa"/>
            <w:gridSpan w:val="2"/>
          </w:tcPr>
          <w:p w14:paraId="7ACD9D5D" w14:textId="1F30CF9A"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$327</w:t>
            </w:r>
          </w:p>
        </w:tc>
        <w:tc>
          <w:tcPr>
            <w:tcW w:w="1564" w:type="dxa"/>
            <w:gridSpan w:val="2"/>
          </w:tcPr>
          <w:p w14:paraId="024A19C7" w14:textId="77777777" w:rsidR="00D35480" w:rsidRPr="00FB673A"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3D1AF5EB" w14:textId="2E991A6B"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$3</w:t>
            </w:r>
          </w:p>
        </w:tc>
      </w:tr>
      <w:tr w:rsidR="00D35480" w14:paraId="69E9A1CD"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49C6372B" w14:textId="77777777" w:rsidR="00D35480" w:rsidRPr="00D41908" w:rsidRDefault="00D35480" w:rsidP="00D35480">
            <w:pPr>
              <w:pStyle w:val="Bullet1"/>
              <w:numPr>
                <w:ilvl w:val="0"/>
                <w:numId w:val="0"/>
              </w:numPr>
              <w:jc w:val="center"/>
              <w:rPr>
                <w:szCs w:val="18"/>
              </w:rPr>
            </w:pPr>
            <w:r w:rsidRPr="00A43B6D">
              <w:t>QLD</w:t>
            </w:r>
          </w:p>
        </w:tc>
        <w:tc>
          <w:tcPr>
            <w:tcW w:w="1731" w:type="dxa"/>
          </w:tcPr>
          <w:p w14:paraId="543F4E8D" w14:textId="42973BAF" w:rsidR="00D35480" w:rsidRPr="00D41908"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$19</w:t>
            </w:r>
          </w:p>
        </w:tc>
        <w:tc>
          <w:tcPr>
            <w:tcW w:w="1731" w:type="dxa"/>
            <w:gridSpan w:val="2"/>
          </w:tcPr>
          <w:p w14:paraId="1BB56093" w14:textId="3ED986FC"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$3,333</w:t>
            </w:r>
          </w:p>
        </w:tc>
        <w:tc>
          <w:tcPr>
            <w:tcW w:w="1564" w:type="dxa"/>
            <w:gridSpan w:val="2"/>
          </w:tcPr>
          <w:p w14:paraId="7372CCEA" w14:textId="77777777" w:rsidR="00D35480" w:rsidRPr="00FB673A"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1846A9B7" w14:textId="3A1C464B"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$104</w:t>
            </w:r>
          </w:p>
        </w:tc>
      </w:tr>
      <w:tr w:rsidR="00D35480" w14:paraId="5D8096CD"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42F12AE3" w14:textId="77777777" w:rsidR="00D35480" w:rsidRDefault="00D35480" w:rsidP="00D35480">
            <w:pPr>
              <w:pStyle w:val="Bullet1"/>
              <w:numPr>
                <w:ilvl w:val="0"/>
                <w:numId w:val="0"/>
              </w:numPr>
              <w:jc w:val="center"/>
              <w:rPr>
                <w:szCs w:val="18"/>
              </w:rPr>
            </w:pPr>
            <w:r w:rsidRPr="00A43B6D">
              <w:t>SA</w:t>
            </w:r>
          </w:p>
        </w:tc>
        <w:tc>
          <w:tcPr>
            <w:tcW w:w="1731" w:type="dxa"/>
          </w:tcPr>
          <w:p w14:paraId="39071225" w14:textId="69C16F6E"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$0</w:t>
            </w:r>
          </w:p>
        </w:tc>
        <w:tc>
          <w:tcPr>
            <w:tcW w:w="1731" w:type="dxa"/>
            <w:gridSpan w:val="2"/>
          </w:tcPr>
          <w:p w14:paraId="5F4FDA73" w14:textId="3CDCB40A"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$2,125</w:t>
            </w:r>
          </w:p>
        </w:tc>
        <w:tc>
          <w:tcPr>
            <w:tcW w:w="1564" w:type="dxa"/>
            <w:gridSpan w:val="2"/>
          </w:tcPr>
          <w:p w14:paraId="382B3E3A" w14:textId="77777777" w:rsidR="00D35480" w:rsidRPr="00FB673A"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157C52C9" w14:textId="79F3BEBE"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$38</w:t>
            </w:r>
          </w:p>
        </w:tc>
      </w:tr>
      <w:tr w:rsidR="00D35480" w14:paraId="7F503DB0"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29260FA4" w14:textId="77777777" w:rsidR="00D35480" w:rsidRDefault="00D35480" w:rsidP="00D35480">
            <w:pPr>
              <w:pStyle w:val="Bullet1"/>
              <w:numPr>
                <w:ilvl w:val="0"/>
                <w:numId w:val="0"/>
              </w:numPr>
              <w:jc w:val="center"/>
              <w:rPr>
                <w:szCs w:val="18"/>
              </w:rPr>
            </w:pPr>
            <w:r w:rsidRPr="00A43B6D">
              <w:t>VIC</w:t>
            </w:r>
          </w:p>
        </w:tc>
        <w:tc>
          <w:tcPr>
            <w:tcW w:w="1731" w:type="dxa"/>
          </w:tcPr>
          <w:p w14:paraId="3432BFE6" w14:textId="16E97A6F"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$9,937</w:t>
            </w:r>
          </w:p>
        </w:tc>
        <w:tc>
          <w:tcPr>
            <w:tcW w:w="1731" w:type="dxa"/>
            <w:gridSpan w:val="2"/>
          </w:tcPr>
          <w:p w14:paraId="19F8B2AC" w14:textId="160AAE19"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$7,032</w:t>
            </w:r>
          </w:p>
        </w:tc>
        <w:tc>
          <w:tcPr>
            <w:tcW w:w="1564" w:type="dxa"/>
            <w:gridSpan w:val="2"/>
          </w:tcPr>
          <w:p w14:paraId="6BAEBE08" w14:textId="77777777" w:rsidR="00D35480" w:rsidRPr="00FB673A"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74EB3B56" w14:textId="32C5AA48"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$102</w:t>
            </w:r>
          </w:p>
        </w:tc>
      </w:tr>
      <w:tr w:rsidR="00D35480" w14:paraId="6CA79A66"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445B750F" w14:textId="77777777" w:rsidR="00D35480" w:rsidRDefault="00D35480" w:rsidP="00D35480">
            <w:pPr>
              <w:pStyle w:val="Bullet1"/>
              <w:numPr>
                <w:ilvl w:val="0"/>
                <w:numId w:val="0"/>
              </w:numPr>
              <w:jc w:val="center"/>
              <w:rPr>
                <w:szCs w:val="18"/>
              </w:rPr>
            </w:pPr>
            <w:r w:rsidRPr="00A43B6D">
              <w:t>WA</w:t>
            </w:r>
          </w:p>
        </w:tc>
        <w:tc>
          <w:tcPr>
            <w:tcW w:w="1731" w:type="dxa"/>
          </w:tcPr>
          <w:p w14:paraId="03A69E7D" w14:textId="642264A5"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$23</w:t>
            </w:r>
          </w:p>
        </w:tc>
        <w:tc>
          <w:tcPr>
            <w:tcW w:w="1731" w:type="dxa"/>
            <w:gridSpan w:val="2"/>
          </w:tcPr>
          <w:p w14:paraId="2A1AD350" w14:textId="167BFBA4"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$1,949</w:t>
            </w:r>
          </w:p>
        </w:tc>
        <w:tc>
          <w:tcPr>
            <w:tcW w:w="1564" w:type="dxa"/>
            <w:gridSpan w:val="2"/>
          </w:tcPr>
          <w:p w14:paraId="59958C51" w14:textId="77777777" w:rsidR="00D35480" w:rsidRPr="00FB673A"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62297CDA" w14:textId="2D71730F"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657D6F">
              <w:t>$75</w:t>
            </w:r>
          </w:p>
        </w:tc>
      </w:tr>
      <w:tr w:rsidR="00D35480" w14:paraId="2B9F3BE3"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74DB27C6" w14:textId="77777777" w:rsidR="00D35480" w:rsidRPr="0091269D" w:rsidRDefault="00D35480" w:rsidP="00D35480">
            <w:pPr>
              <w:pStyle w:val="Bullet1"/>
              <w:numPr>
                <w:ilvl w:val="0"/>
                <w:numId w:val="0"/>
              </w:numPr>
              <w:jc w:val="center"/>
              <w:rPr>
                <w:b/>
              </w:rPr>
            </w:pPr>
            <w:r w:rsidRPr="0091269D">
              <w:rPr>
                <w:b/>
              </w:rPr>
              <w:t>Total</w:t>
            </w:r>
          </w:p>
        </w:tc>
        <w:tc>
          <w:tcPr>
            <w:tcW w:w="1731" w:type="dxa"/>
          </w:tcPr>
          <w:p w14:paraId="1691C65A" w14:textId="7457CDEE" w:rsidR="00D35480" w:rsidRPr="00F97CD7"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rPr>
                <w:b/>
              </w:rPr>
            </w:pPr>
            <w:r w:rsidRPr="00B326CA">
              <w:rPr>
                <w:b/>
              </w:rPr>
              <w:t>$24,409</w:t>
            </w:r>
          </w:p>
        </w:tc>
        <w:tc>
          <w:tcPr>
            <w:tcW w:w="1731" w:type="dxa"/>
            <w:gridSpan w:val="2"/>
          </w:tcPr>
          <w:p w14:paraId="71732211" w14:textId="6784083D" w:rsidR="00D35480" w:rsidRPr="00F97CD7"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rPr>
                <w:b/>
              </w:rPr>
            </w:pPr>
            <w:r w:rsidRPr="00B326CA">
              <w:rPr>
                <w:b/>
              </w:rPr>
              <w:t>$24,369</w:t>
            </w:r>
          </w:p>
        </w:tc>
        <w:tc>
          <w:tcPr>
            <w:tcW w:w="1564" w:type="dxa"/>
            <w:gridSpan w:val="2"/>
          </w:tcPr>
          <w:p w14:paraId="5D20A49F" w14:textId="77777777" w:rsidR="00D35480" w:rsidRPr="00591A54"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rPr>
                <w:b/>
              </w:rPr>
            </w:pPr>
          </w:p>
        </w:tc>
        <w:tc>
          <w:tcPr>
            <w:tcW w:w="1667" w:type="dxa"/>
          </w:tcPr>
          <w:p w14:paraId="68EEC8EE" w14:textId="4F3CF1D6" w:rsidR="00D35480" w:rsidRPr="00F97CD7"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rPr>
                <w:b/>
              </w:rPr>
            </w:pPr>
            <w:r w:rsidRPr="00B326CA">
              <w:rPr>
                <w:b/>
              </w:rPr>
              <w:t>$430</w:t>
            </w:r>
          </w:p>
        </w:tc>
      </w:tr>
      <w:tr w:rsidR="00D35480" w14:paraId="12E97151" w14:textId="77777777" w:rsidTr="00B326CA">
        <w:tc>
          <w:tcPr>
            <w:cnfStyle w:val="001000000000" w:firstRow="0" w:lastRow="0" w:firstColumn="1" w:lastColumn="0" w:oddVBand="0" w:evenVBand="0" w:oddHBand="0" w:evenHBand="0" w:firstRowFirstColumn="0" w:firstRowLastColumn="0" w:lastRowFirstColumn="0" w:lastRowLastColumn="0"/>
            <w:tcW w:w="2672" w:type="dxa"/>
          </w:tcPr>
          <w:p w14:paraId="16C93CBF" w14:textId="770C124A" w:rsidR="00D35480" w:rsidRDefault="00D35480" w:rsidP="00CE5427">
            <w:pPr>
              <w:pStyle w:val="Bullet1"/>
              <w:numPr>
                <w:ilvl w:val="0"/>
                <w:numId w:val="0"/>
              </w:numPr>
              <w:rPr>
                <w:szCs w:val="18"/>
              </w:rPr>
            </w:pPr>
            <w:bookmarkStart w:id="52" w:name="_Hlk508544408"/>
            <w:r>
              <w:rPr>
                <w:b/>
                <w:szCs w:val="18"/>
              </w:rPr>
              <w:t>Benefits (2016 $m PV)</w:t>
            </w:r>
          </w:p>
        </w:tc>
        <w:tc>
          <w:tcPr>
            <w:tcW w:w="2758" w:type="dxa"/>
            <w:gridSpan w:val="3"/>
          </w:tcPr>
          <w:p w14:paraId="412C3797" w14:textId="77777777" w:rsidR="00D35480" w:rsidRPr="00B4699B" w:rsidRDefault="00D35480" w:rsidP="00CE5427">
            <w:pPr>
              <w:pStyle w:val="Bullet1"/>
              <w:numPr>
                <w:ilvl w:val="0"/>
                <w:numId w:val="0"/>
              </w:numPr>
              <w:cnfStyle w:val="000000000000" w:firstRow="0" w:lastRow="0" w:firstColumn="0" w:lastColumn="0" w:oddVBand="0" w:evenVBand="0" w:oddHBand="0" w:evenHBand="0" w:firstRowFirstColumn="0" w:firstRowLastColumn="0" w:lastRowFirstColumn="0" w:lastRowLastColumn="0"/>
              <w:rPr>
                <w:b/>
                <w:szCs w:val="18"/>
              </w:rPr>
            </w:pPr>
          </w:p>
        </w:tc>
        <w:tc>
          <w:tcPr>
            <w:tcW w:w="1638" w:type="dxa"/>
            <w:gridSpan w:val="2"/>
          </w:tcPr>
          <w:p w14:paraId="7F380753" w14:textId="77777777" w:rsidR="00D35480" w:rsidRPr="00B4699B" w:rsidRDefault="00D35480" w:rsidP="00CE5427">
            <w:pPr>
              <w:pStyle w:val="Bullet1"/>
              <w:numPr>
                <w:ilvl w:val="0"/>
                <w:numId w:val="0"/>
              </w:numPr>
              <w:cnfStyle w:val="000000000000" w:firstRow="0" w:lastRow="0" w:firstColumn="0" w:lastColumn="0" w:oddVBand="0" w:evenVBand="0" w:oddHBand="0" w:evenHBand="0" w:firstRowFirstColumn="0" w:firstRowLastColumn="0" w:lastRowFirstColumn="0" w:lastRowLastColumn="0"/>
              <w:rPr>
                <w:b/>
                <w:szCs w:val="18"/>
              </w:rPr>
            </w:pPr>
          </w:p>
        </w:tc>
        <w:tc>
          <w:tcPr>
            <w:tcW w:w="2566" w:type="dxa"/>
            <w:gridSpan w:val="2"/>
          </w:tcPr>
          <w:p w14:paraId="585D6B47" w14:textId="48585169" w:rsidR="00D35480" w:rsidRPr="00B4699B" w:rsidRDefault="00D35480" w:rsidP="00CE5427">
            <w:pPr>
              <w:pStyle w:val="Bullet1"/>
              <w:numPr>
                <w:ilvl w:val="0"/>
                <w:numId w:val="0"/>
              </w:numPr>
              <w:cnfStyle w:val="000000000000" w:firstRow="0" w:lastRow="0" w:firstColumn="0" w:lastColumn="0" w:oddVBand="0" w:evenVBand="0" w:oddHBand="0" w:evenHBand="0" w:firstRowFirstColumn="0" w:firstRowLastColumn="0" w:lastRowFirstColumn="0" w:lastRowLastColumn="0"/>
              <w:rPr>
                <w:b/>
                <w:szCs w:val="18"/>
              </w:rPr>
            </w:pPr>
          </w:p>
        </w:tc>
      </w:tr>
      <w:tr w:rsidR="00D35480" w14:paraId="65C9D128"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20ACE0D5" w14:textId="77777777" w:rsidR="00D35480" w:rsidRDefault="00D35480" w:rsidP="00D35480">
            <w:pPr>
              <w:pStyle w:val="Bullet1"/>
              <w:numPr>
                <w:ilvl w:val="0"/>
                <w:numId w:val="0"/>
              </w:numPr>
              <w:jc w:val="center"/>
              <w:rPr>
                <w:szCs w:val="18"/>
              </w:rPr>
            </w:pPr>
            <w:r w:rsidRPr="00690EBD">
              <w:t>NSW</w:t>
            </w:r>
          </w:p>
        </w:tc>
        <w:tc>
          <w:tcPr>
            <w:tcW w:w="1731" w:type="dxa"/>
          </w:tcPr>
          <w:p w14:paraId="233A0BE5" w14:textId="70168B3C"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$44</w:t>
            </w:r>
          </w:p>
        </w:tc>
        <w:tc>
          <w:tcPr>
            <w:tcW w:w="1731" w:type="dxa"/>
            <w:gridSpan w:val="2"/>
          </w:tcPr>
          <w:p w14:paraId="04E712BB" w14:textId="2BE87D9A"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$58</w:t>
            </w:r>
          </w:p>
        </w:tc>
        <w:tc>
          <w:tcPr>
            <w:tcW w:w="1564" w:type="dxa"/>
            <w:gridSpan w:val="2"/>
          </w:tcPr>
          <w:p w14:paraId="34FAEE65" w14:textId="2D42F4BC" w:rsidR="00D35480" w:rsidRPr="006900D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$1,183</w:t>
            </w:r>
          </w:p>
        </w:tc>
        <w:tc>
          <w:tcPr>
            <w:tcW w:w="1667" w:type="dxa"/>
          </w:tcPr>
          <w:p w14:paraId="2FC64ECD" w14:textId="112739B7"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$9</w:t>
            </w:r>
          </w:p>
        </w:tc>
      </w:tr>
      <w:tr w:rsidR="00D35480" w14:paraId="32D404FA"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0A69DEB3" w14:textId="77777777" w:rsidR="00D35480" w:rsidRDefault="00D35480" w:rsidP="00D35480">
            <w:pPr>
              <w:pStyle w:val="Bullet1"/>
              <w:numPr>
                <w:ilvl w:val="0"/>
                <w:numId w:val="0"/>
              </w:numPr>
              <w:jc w:val="center"/>
              <w:rPr>
                <w:szCs w:val="18"/>
              </w:rPr>
            </w:pPr>
            <w:r w:rsidRPr="00690EBD">
              <w:t>NT</w:t>
            </w:r>
          </w:p>
        </w:tc>
        <w:tc>
          <w:tcPr>
            <w:tcW w:w="1731" w:type="dxa"/>
          </w:tcPr>
          <w:p w14:paraId="1A913379" w14:textId="28DDE0DF"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$0</w:t>
            </w:r>
          </w:p>
        </w:tc>
        <w:tc>
          <w:tcPr>
            <w:tcW w:w="1731" w:type="dxa"/>
            <w:gridSpan w:val="2"/>
          </w:tcPr>
          <w:p w14:paraId="4F707682" w14:textId="6308981C"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$1</w:t>
            </w:r>
          </w:p>
        </w:tc>
        <w:tc>
          <w:tcPr>
            <w:tcW w:w="1564" w:type="dxa"/>
            <w:gridSpan w:val="2"/>
          </w:tcPr>
          <w:p w14:paraId="0432EDD7" w14:textId="46AAC77E" w:rsidR="00D35480" w:rsidRPr="006900D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$0</w:t>
            </w:r>
          </w:p>
        </w:tc>
        <w:tc>
          <w:tcPr>
            <w:tcW w:w="1667" w:type="dxa"/>
          </w:tcPr>
          <w:p w14:paraId="287F32FE" w14:textId="5BC066DA"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$0</w:t>
            </w:r>
          </w:p>
        </w:tc>
      </w:tr>
      <w:tr w:rsidR="00D35480" w14:paraId="127D14C1"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0ACFC856" w14:textId="77777777" w:rsidR="00D35480" w:rsidRDefault="00D35480" w:rsidP="00D35480">
            <w:pPr>
              <w:pStyle w:val="Bullet1"/>
              <w:numPr>
                <w:ilvl w:val="0"/>
                <w:numId w:val="0"/>
              </w:numPr>
              <w:jc w:val="center"/>
              <w:rPr>
                <w:szCs w:val="18"/>
              </w:rPr>
            </w:pPr>
            <w:r w:rsidRPr="00690EBD">
              <w:t>QLD</w:t>
            </w:r>
          </w:p>
        </w:tc>
        <w:tc>
          <w:tcPr>
            <w:tcW w:w="1731" w:type="dxa"/>
          </w:tcPr>
          <w:p w14:paraId="604532BA" w14:textId="7F369C9F"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$36</w:t>
            </w:r>
          </w:p>
        </w:tc>
        <w:tc>
          <w:tcPr>
            <w:tcW w:w="1731" w:type="dxa"/>
            <w:gridSpan w:val="2"/>
          </w:tcPr>
          <w:p w14:paraId="59B7FF35" w14:textId="6D238163"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$18</w:t>
            </w:r>
          </w:p>
        </w:tc>
        <w:tc>
          <w:tcPr>
            <w:tcW w:w="1564" w:type="dxa"/>
            <w:gridSpan w:val="2"/>
          </w:tcPr>
          <w:p w14:paraId="5A579BD0" w14:textId="06221ED7" w:rsidR="00D35480" w:rsidRPr="006900D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$0</w:t>
            </w:r>
          </w:p>
        </w:tc>
        <w:tc>
          <w:tcPr>
            <w:tcW w:w="1667" w:type="dxa"/>
          </w:tcPr>
          <w:p w14:paraId="02C674D7" w14:textId="06279619"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$0</w:t>
            </w:r>
          </w:p>
        </w:tc>
      </w:tr>
      <w:tr w:rsidR="00D35480" w14:paraId="36EF04BE"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6391EFE1" w14:textId="77777777" w:rsidR="00D35480" w:rsidRDefault="00D35480" w:rsidP="00D35480">
            <w:pPr>
              <w:pStyle w:val="Bullet1"/>
              <w:numPr>
                <w:ilvl w:val="0"/>
                <w:numId w:val="0"/>
              </w:numPr>
              <w:jc w:val="center"/>
              <w:rPr>
                <w:szCs w:val="18"/>
              </w:rPr>
            </w:pPr>
            <w:r w:rsidRPr="00690EBD">
              <w:t>SA</w:t>
            </w:r>
          </w:p>
        </w:tc>
        <w:tc>
          <w:tcPr>
            <w:tcW w:w="1731" w:type="dxa"/>
          </w:tcPr>
          <w:p w14:paraId="70AC6B51" w14:textId="37B5FC8C"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$0</w:t>
            </w:r>
          </w:p>
        </w:tc>
        <w:tc>
          <w:tcPr>
            <w:tcW w:w="1731" w:type="dxa"/>
            <w:gridSpan w:val="2"/>
          </w:tcPr>
          <w:p w14:paraId="219E07CD" w14:textId="5BA65AED"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$9</w:t>
            </w:r>
          </w:p>
        </w:tc>
        <w:tc>
          <w:tcPr>
            <w:tcW w:w="1564" w:type="dxa"/>
            <w:gridSpan w:val="2"/>
          </w:tcPr>
          <w:p w14:paraId="4571552F" w14:textId="44FAD17F" w:rsidR="00D35480" w:rsidRPr="006900D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$0</w:t>
            </w:r>
          </w:p>
        </w:tc>
        <w:tc>
          <w:tcPr>
            <w:tcW w:w="1667" w:type="dxa"/>
          </w:tcPr>
          <w:p w14:paraId="469E033D" w14:textId="17FB2EA9" w:rsidR="00D35480" w:rsidRDefault="00D35480" w:rsidP="00D35480">
            <w:pPr>
              <w:pStyle w:val="BodyText"/>
              <w:jc w:val="center"/>
              <w:cnfStyle w:val="000000000000" w:firstRow="0" w:lastRow="0" w:firstColumn="0" w:lastColumn="0" w:oddVBand="0" w:evenVBand="0" w:oddHBand="0" w:evenHBand="0" w:firstRowFirstColumn="0" w:firstRowLastColumn="0" w:lastRowFirstColumn="0" w:lastRowLastColumn="0"/>
            </w:pPr>
            <w:r w:rsidRPr="00A14C93">
              <w:t>$0</w:t>
            </w:r>
          </w:p>
        </w:tc>
      </w:tr>
      <w:tr w:rsidR="00D35480" w14:paraId="336FAF4F"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0A95AEBD" w14:textId="77777777" w:rsidR="00D35480" w:rsidRDefault="00D35480" w:rsidP="00D35480">
            <w:pPr>
              <w:pStyle w:val="Bullet1"/>
              <w:numPr>
                <w:ilvl w:val="0"/>
                <w:numId w:val="0"/>
              </w:numPr>
              <w:jc w:val="center"/>
              <w:rPr>
                <w:szCs w:val="18"/>
              </w:rPr>
            </w:pPr>
            <w:r w:rsidRPr="00690EBD">
              <w:t>VIC</w:t>
            </w:r>
          </w:p>
        </w:tc>
        <w:tc>
          <w:tcPr>
            <w:tcW w:w="1731" w:type="dxa"/>
          </w:tcPr>
          <w:p w14:paraId="2B5D479A" w14:textId="1A39C6D7" w:rsidR="00D35480"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A14C93">
              <w:t>$64</w:t>
            </w:r>
          </w:p>
        </w:tc>
        <w:tc>
          <w:tcPr>
            <w:tcW w:w="1731" w:type="dxa"/>
            <w:gridSpan w:val="2"/>
          </w:tcPr>
          <w:p w14:paraId="3490A89A" w14:textId="358DD77C" w:rsidR="00D35480"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r w:rsidRPr="00A14C93">
              <w:t>$26</w:t>
            </w:r>
          </w:p>
        </w:tc>
        <w:tc>
          <w:tcPr>
            <w:tcW w:w="1564" w:type="dxa"/>
            <w:gridSpan w:val="2"/>
          </w:tcPr>
          <w:p w14:paraId="00B6C26D" w14:textId="4D7F37D2" w:rsidR="00D35480" w:rsidRPr="006900D0"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r w:rsidRPr="00A14C93">
              <w:t>$457</w:t>
            </w:r>
          </w:p>
        </w:tc>
        <w:tc>
          <w:tcPr>
            <w:tcW w:w="1667" w:type="dxa"/>
          </w:tcPr>
          <w:p w14:paraId="2CA0E4A1" w14:textId="1D907E6D" w:rsidR="00D35480"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r w:rsidRPr="00A14C93">
              <w:t>$11</w:t>
            </w:r>
          </w:p>
        </w:tc>
      </w:tr>
      <w:tr w:rsidR="00D35480" w14:paraId="131B8C83"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5EA533BA" w14:textId="77777777" w:rsidR="00D35480" w:rsidRDefault="00D35480" w:rsidP="00D35480">
            <w:pPr>
              <w:pStyle w:val="Bullet1"/>
              <w:numPr>
                <w:ilvl w:val="0"/>
                <w:numId w:val="0"/>
              </w:numPr>
              <w:jc w:val="center"/>
              <w:rPr>
                <w:szCs w:val="18"/>
              </w:rPr>
            </w:pPr>
            <w:r w:rsidRPr="00690EBD">
              <w:t>WA</w:t>
            </w:r>
          </w:p>
        </w:tc>
        <w:tc>
          <w:tcPr>
            <w:tcW w:w="1731" w:type="dxa"/>
          </w:tcPr>
          <w:p w14:paraId="02BE5219" w14:textId="4B4ECEEC" w:rsidR="00D35480"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szCs w:val="18"/>
              </w:rPr>
            </w:pPr>
            <w:r w:rsidRPr="00A14C93">
              <w:t>$52</w:t>
            </w:r>
          </w:p>
        </w:tc>
        <w:tc>
          <w:tcPr>
            <w:tcW w:w="1731" w:type="dxa"/>
            <w:gridSpan w:val="2"/>
          </w:tcPr>
          <w:p w14:paraId="5A602F4B" w14:textId="29651DD6" w:rsidR="00D35480"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r w:rsidRPr="00A14C93">
              <w:t>$20</w:t>
            </w:r>
          </w:p>
        </w:tc>
        <w:tc>
          <w:tcPr>
            <w:tcW w:w="1564" w:type="dxa"/>
            <w:gridSpan w:val="2"/>
          </w:tcPr>
          <w:p w14:paraId="0003320F" w14:textId="74986C34" w:rsidR="00D35480" w:rsidRPr="006900D0"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r w:rsidRPr="00A14C93">
              <w:t>$0</w:t>
            </w:r>
          </w:p>
        </w:tc>
        <w:tc>
          <w:tcPr>
            <w:tcW w:w="1667" w:type="dxa"/>
          </w:tcPr>
          <w:p w14:paraId="37034284" w14:textId="27365603" w:rsidR="00D35480"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r w:rsidRPr="00A14C93">
              <w:t>$0</w:t>
            </w:r>
          </w:p>
        </w:tc>
      </w:tr>
      <w:tr w:rsidR="00D35480" w14:paraId="11D0F307"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22EA26CD" w14:textId="77777777" w:rsidR="00D35480" w:rsidRPr="00CB73C7" w:rsidRDefault="00D35480" w:rsidP="00D35480">
            <w:pPr>
              <w:pStyle w:val="Bullet1"/>
              <w:numPr>
                <w:ilvl w:val="0"/>
                <w:numId w:val="0"/>
              </w:numPr>
              <w:jc w:val="center"/>
              <w:rPr>
                <w:b/>
                <w:szCs w:val="18"/>
              </w:rPr>
            </w:pPr>
            <w:r w:rsidRPr="00CB73C7">
              <w:rPr>
                <w:b/>
              </w:rPr>
              <w:t>Total</w:t>
            </w:r>
          </w:p>
        </w:tc>
        <w:tc>
          <w:tcPr>
            <w:tcW w:w="1731" w:type="dxa"/>
          </w:tcPr>
          <w:p w14:paraId="0BDF5C92" w14:textId="6A8E7E90" w:rsidR="00D35480" w:rsidRPr="00F97CD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szCs w:val="18"/>
              </w:rPr>
            </w:pPr>
            <w:r w:rsidRPr="00B326CA">
              <w:rPr>
                <w:b/>
              </w:rPr>
              <w:t>$196</w:t>
            </w:r>
          </w:p>
        </w:tc>
        <w:tc>
          <w:tcPr>
            <w:tcW w:w="1731" w:type="dxa"/>
            <w:gridSpan w:val="2"/>
          </w:tcPr>
          <w:p w14:paraId="12EEF534" w14:textId="779A5378" w:rsidR="00D35480" w:rsidRPr="00F97CD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szCs w:val="18"/>
              </w:rPr>
            </w:pPr>
            <w:r w:rsidRPr="00B326CA">
              <w:rPr>
                <w:b/>
              </w:rPr>
              <w:t>$133</w:t>
            </w:r>
          </w:p>
        </w:tc>
        <w:tc>
          <w:tcPr>
            <w:tcW w:w="1564" w:type="dxa"/>
            <w:gridSpan w:val="2"/>
          </w:tcPr>
          <w:p w14:paraId="5640E763" w14:textId="5DBD5D2A" w:rsidR="00D35480" w:rsidRPr="00F97CD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B326CA">
              <w:rPr>
                <w:b/>
              </w:rPr>
              <w:t>$1,639</w:t>
            </w:r>
          </w:p>
        </w:tc>
        <w:tc>
          <w:tcPr>
            <w:tcW w:w="1667" w:type="dxa"/>
          </w:tcPr>
          <w:p w14:paraId="74418D26" w14:textId="768117C7" w:rsidR="00D35480" w:rsidRPr="00F97CD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szCs w:val="18"/>
              </w:rPr>
            </w:pPr>
            <w:r w:rsidRPr="00B326CA">
              <w:rPr>
                <w:b/>
              </w:rPr>
              <w:t>$20</w:t>
            </w:r>
          </w:p>
        </w:tc>
      </w:tr>
      <w:tr w:rsidR="0056408E" w14:paraId="084F8D7D" w14:textId="77777777" w:rsidTr="00897082">
        <w:tc>
          <w:tcPr>
            <w:cnfStyle w:val="001000000000" w:firstRow="0" w:lastRow="0" w:firstColumn="1" w:lastColumn="0" w:oddVBand="0" w:evenVBand="0" w:oddHBand="0" w:evenHBand="0" w:firstRowFirstColumn="0" w:firstRowLastColumn="0" w:lastRowFirstColumn="0" w:lastRowLastColumn="0"/>
            <w:tcW w:w="9634" w:type="dxa"/>
            <w:gridSpan w:val="8"/>
          </w:tcPr>
          <w:p w14:paraId="18080FB7" w14:textId="3D306961" w:rsidR="0056408E" w:rsidRPr="00CB73C7" w:rsidRDefault="0056408E" w:rsidP="0056408E">
            <w:pPr>
              <w:pStyle w:val="Bullet1"/>
              <w:numPr>
                <w:ilvl w:val="0"/>
                <w:numId w:val="0"/>
              </w:numPr>
              <w:jc w:val="both"/>
              <w:rPr>
                <w:b/>
              </w:rPr>
            </w:pPr>
            <w:r>
              <w:rPr>
                <w:b/>
              </w:rPr>
              <w:t>Benefit-cost ratio (BCR)</w:t>
            </w:r>
          </w:p>
        </w:tc>
      </w:tr>
      <w:tr w:rsidR="00D35480" w14:paraId="714FD9A6"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6EF3BC1D" w14:textId="77777777" w:rsidR="00D35480" w:rsidRPr="00CB73C7" w:rsidRDefault="00D35480" w:rsidP="00D35480">
            <w:pPr>
              <w:pStyle w:val="Bullet1"/>
              <w:numPr>
                <w:ilvl w:val="0"/>
                <w:numId w:val="0"/>
              </w:numPr>
              <w:jc w:val="center"/>
              <w:rPr>
                <w:b/>
              </w:rPr>
            </w:pPr>
            <w:r w:rsidRPr="003662DA">
              <w:t>NSW</w:t>
            </w:r>
          </w:p>
        </w:tc>
        <w:tc>
          <w:tcPr>
            <w:tcW w:w="1731" w:type="dxa"/>
          </w:tcPr>
          <w:p w14:paraId="17849E39" w14:textId="517A30CB"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0.0</w:t>
            </w:r>
          </w:p>
        </w:tc>
        <w:tc>
          <w:tcPr>
            <w:tcW w:w="1731" w:type="dxa"/>
            <w:gridSpan w:val="2"/>
          </w:tcPr>
          <w:p w14:paraId="55B6A395" w14:textId="57AEAD31"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0.1</w:t>
            </w:r>
          </w:p>
        </w:tc>
        <w:tc>
          <w:tcPr>
            <w:tcW w:w="1564" w:type="dxa"/>
            <w:gridSpan w:val="2"/>
          </w:tcPr>
          <w:p w14:paraId="5C78B1CB" w14:textId="77777777" w:rsidR="00D35480" w:rsidRPr="00ED09FC"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5AAE71C8" w14:textId="63371BA6"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0.1</w:t>
            </w:r>
          </w:p>
        </w:tc>
      </w:tr>
      <w:tr w:rsidR="00D35480" w14:paraId="0498BEE1"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1F5DA6E6" w14:textId="77777777" w:rsidR="00D35480" w:rsidRPr="00CB73C7" w:rsidRDefault="00D35480" w:rsidP="00D35480">
            <w:pPr>
              <w:pStyle w:val="Bullet1"/>
              <w:numPr>
                <w:ilvl w:val="0"/>
                <w:numId w:val="0"/>
              </w:numPr>
              <w:jc w:val="center"/>
              <w:rPr>
                <w:b/>
              </w:rPr>
            </w:pPr>
            <w:r w:rsidRPr="003662DA">
              <w:t>NT</w:t>
            </w:r>
          </w:p>
        </w:tc>
        <w:tc>
          <w:tcPr>
            <w:tcW w:w="1731" w:type="dxa"/>
          </w:tcPr>
          <w:p w14:paraId="66D8871D" w14:textId="542C89E4"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0.0</w:t>
            </w:r>
          </w:p>
        </w:tc>
        <w:tc>
          <w:tcPr>
            <w:tcW w:w="1731" w:type="dxa"/>
            <w:gridSpan w:val="2"/>
          </w:tcPr>
          <w:p w14:paraId="1BC46144" w14:textId="4BB2E0D2"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0.0</w:t>
            </w:r>
          </w:p>
        </w:tc>
        <w:tc>
          <w:tcPr>
            <w:tcW w:w="1564" w:type="dxa"/>
            <w:gridSpan w:val="2"/>
          </w:tcPr>
          <w:p w14:paraId="2BB448B7" w14:textId="77777777" w:rsidR="00D35480" w:rsidRPr="00ED09FC"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57D43F99" w14:textId="2867AED5"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0.0</w:t>
            </w:r>
          </w:p>
        </w:tc>
      </w:tr>
      <w:tr w:rsidR="00D35480" w14:paraId="0EDB4F3C"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72DF7F99" w14:textId="77777777" w:rsidR="00D35480" w:rsidRPr="00CB73C7" w:rsidRDefault="00D35480" w:rsidP="00D35480">
            <w:pPr>
              <w:pStyle w:val="Bullet1"/>
              <w:numPr>
                <w:ilvl w:val="0"/>
                <w:numId w:val="0"/>
              </w:numPr>
              <w:jc w:val="center"/>
              <w:rPr>
                <w:b/>
              </w:rPr>
            </w:pPr>
            <w:r w:rsidRPr="003662DA">
              <w:t>QLD</w:t>
            </w:r>
          </w:p>
        </w:tc>
        <w:tc>
          <w:tcPr>
            <w:tcW w:w="1731" w:type="dxa"/>
          </w:tcPr>
          <w:p w14:paraId="032F03D3" w14:textId="2CAAF35A"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1.9</w:t>
            </w:r>
          </w:p>
        </w:tc>
        <w:tc>
          <w:tcPr>
            <w:tcW w:w="1731" w:type="dxa"/>
            <w:gridSpan w:val="2"/>
          </w:tcPr>
          <w:p w14:paraId="3DB27737" w14:textId="35469299"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0.0</w:t>
            </w:r>
          </w:p>
        </w:tc>
        <w:tc>
          <w:tcPr>
            <w:tcW w:w="1564" w:type="dxa"/>
            <w:gridSpan w:val="2"/>
          </w:tcPr>
          <w:p w14:paraId="13C4DD9F" w14:textId="77777777" w:rsidR="00D35480" w:rsidRPr="00ED09FC"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0294505A" w14:textId="6F72B552"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0.0</w:t>
            </w:r>
          </w:p>
        </w:tc>
      </w:tr>
      <w:tr w:rsidR="00D35480" w14:paraId="382D6442"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0E7B6FAB" w14:textId="77777777" w:rsidR="00D35480" w:rsidRPr="00CB73C7" w:rsidRDefault="00D35480" w:rsidP="00D35480">
            <w:pPr>
              <w:pStyle w:val="Bullet1"/>
              <w:numPr>
                <w:ilvl w:val="0"/>
                <w:numId w:val="0"/>
              </w:numPr>
              <w:jc w:val="center"/>
              <w:rPr>
                <w:b/>
              </w:rPr>
            </w:pPr>
            <w:r w:rsidRPr="003662DA">
              <w:t>SA</w:t>
            </w:r>
          </w:p>
        </w:tc>
        <w:tc>
          <w:tcPr>
            <w:tcW w:w="1731" w:type="dxa"/>
          </w:tcPr>
          <w:p w14:paraId="3077A673" w14:textId="1EA2FE68"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n/a</w:t>
            </w:r>
          </w:p>
        </w:tc>
        <w:tc>
          <w:tcPr>
            <w:tcW w:w="1731" w:type="dxa"/>
            <w:gridSpan w:val="2"/>
          </w:tcPr>
          <w:p w14:paraId="79394D82" w14:textId="6E0699BF"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0.0</w:t>
            </w:r>
          </w:p>
        </w:tc>
        <w:tc>
          <w:tcPr>
            <w:tcW w:w="1564" w:type="dxa"/>
            <w:gridSpan w:val="2"/>
          </w:tcPr>
          <w:p w14:paraId="239E0025" w14:textId="77777777" w:rsidR="00D35480" w:rsidRPr="00ED09FC"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265F7C39" w14:textId="0E45168C"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0.0</w:t>
            </w:r>
          </w:p>
        </w:tc>
      </w:tr>
      <w:tr w:rsidR="00D35480" w14:paraId="67B919F5"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406C11BE" w14:textId="77777777" w:rsidR="00D35480" w:rsidRPr="00CB73C7" w:rsidRDefault="00D35480" w:rsidP="00D35480">
            <w:pPr>
              <w:pStyle w:val="Bullet1"/>
              <w:numPr>
                <w:ilvl w:val="0"/>
                <w:numId w:val="0"/>
              </w:numPr>
              <w:jc w:val="center"/>
              <w:rPr>
                <w:b/>
              </w:rPr>
            </w:pPr>
            <w:r w:rsidRPr="003662DA">
              <w:t>VIC</w:t>
            </w:r>
          </w:p>
        </w:tc>
        <w:tc>
          <w:tcPr>
            <w:tcW w:w="1731" w:type="dxa"/>
          </w:tcPr>
          <w:p w14:paraId="0CF170BB" w14:textId="0B7EAA8A"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0.0</w:t>
            </w:r>
          </w:p>
        </w:tc>
        <w:tc>
          <w:tcPr>
            <w:tcW w:w="1731" w:type="dxa"/>
            <w:gridSpan w:val="2"/>
          </w:tcPr>
          <w:p w14:paraId="257E6D15" w14:textId="15613405"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0.1</w:t>
            </w:r>
          </w:p>
        </w:tc>
        <w:tc>
          <w:tcPr>
            <w:tcW w:w="1564" w:type="dxa"/>
            <w:gridSpan w:val="2"/>
          </w:tcPr>
          <w:p w14:paraId="4493D4B7" w14:textId="77777777" w:rsidR="00D35480" w:rsidRPr="00ED09FC"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7E2B8C7A" w14:textId="4D156D05"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0.1</w:t>
            </w:r>
          </w:p>
        </w:tc>
      </w:tr>
      <w:tr w:rsidR="00D35480" w14:paraId="609801FD"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4325ACBD" w14:textId="77777777" w:rsidR="00D35480" w:rsidRPr="00CB73C7" w:rsidRDefault="00D35480" w:rsidP="00D35480">
            <w:pPr>
              <w:pStyle w:val="Bullet1"/>
              <w:numPr>
                <w:ilvl w:val="0"/>
                <w:numId w:val="0"/>
              </w:numPr>
              <w:jc w:val="center"/>
              <w:rPr>
                <w:b/>
              </w:rPr>
            </w:pPr>
            <w:r w:rsidRPr="003662DA">
              <w:t>WA</w:t>
            </w:r>
          </w:p>
        </w:tc>
        <w:tc>
          <w:tcPr>
            <w:tcW w:w="1731" w:type="dxa"/>
          </w:tcPr>
          <w:p w14:paraId="1760953F" w14:textId="4A04446A"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2.3</w:t>
            </w:r>
          </w:p>
        </w:tc>
        <w:tc>
          <w:tcPr>
            <w:tcW w:w="1731" w:type="dxa"/>
            <w:gridSpan w:val="2"/>
          </w:tcPr>
          <w:p w14:paraId="6F4A4968" w14:textId="20C16A0E"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0.0</w:t>
            </w:r>
          </w:p>
        </w:tc>
        <w:tc>
          <w:tcPr>
            <w:tcW w:w="1564" w:type="dxa"/>
            <w:gridSpan w:val="2"/>
          </w:tcPr>
          <w:p w14:paraId="1CC4E5AB" w14:textId="77777777" w:rsidR="00D35480" w:rsidRPr="00ED09FC"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p>
        </w:tc>
        <w:tc>
          <w:tcPr>
            <w:tcW w:w="1667" w:type="dxa"/>
          </w:tcPr>
          <w:p w14:paraId="0FEF0B7A" w14:textId="370E62DE" w:rsidR="00D35480" w:rsidRPr="00CB73C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42226">
              <w:t>0.0</w:t>
            </w:r>
          </w:p>
        </w:tc>
      </w:tr>
      <w:tr w:rsidR="00D35480" w14:paraId="4F3E0AF5"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4291295E" w14:textId="77777777" w:rsidR="00D35480" w:rsidRPr="00F871BF" w:rsidRDefault="00D35480" w:rsidP="00D35480">
            <w:pPr>
              <w:pStyle w:val="Bullet1"/>
              <w:numPr>
                <w:ilvl w:val="0"/>
                <w:numId w:val="0"/>
              </w:numPr>
              <w:jc w:val="center"/>
              <w:rPr>
                <w:b/>
              </w:rPr>
            </w:pPr>
            <w:r w:rsidRPr="00F871BF">
              <w:rPr>
                <w:b/>
              </w:rPr>
              <w:t>Total</w:t>
            </w:r>
          </w:p>
        </w:tc>
        <w:tc>
          <w:tcPr>
            <w:tcW w:w="1731" w:type="dxa"/>
          </w:tcPr>
          <w:p w14:paraId="55ECC88C" w14:textId="3DF3B8F0" w:rsidR="00D35480" w:rsidRPr="00F97CD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B326CA">
              <w:rPr>
                <w:b/>
              </w:rPr>
              <w:t>0.01</w:t>
            </w:r>
          </w:p>
        </w:tc>
        <w:tc>
          <w:tcPr>
            <w:tcW w:w="1731" w:type="dxa"/>
            <w:gridSpan w:val="2"/>
          </w:tcPr>
          <w:p w14:paraId="77D6950C" w14:textId="4A0AA44E" w:rsidR="00D35480" w:rsidRPr="00F97CD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B326CA">
              <w:rPr>
                <w:b/>
              </w:rPr>
              <w:t>0.07</w:t>
            </w:r>
          </w:p>
        </w:tc>
        <w:tc>
          <w:tcPr>
            <w:tcW w:w="1564" w:type="dxa"/>
            <w:gridSpan w:val="2"/>
          </w:tcPr>
          <w:p w14:paraId="78582440" w14:textId="77777777" w:rsidR="00D35480" w:rsidRPr="00591A54"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p>
        </w:tc>
        <w:tc>
          <w:tcPr>
            <w:tcW w:w="1667" w:type="dxa"/>
          </w:tcPr>
          <w:p w14:paraId="7E20E6AA" w14:textId="154E2B5E" w:rsidR="00D35480" w:rsidRPr="00F97CD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B326CA">
              <w:rPr>
                <w:b/>
              </w:rPr>
              <w:t>0.05</w:t>
            </w:r>
          </w:p>
        </w:tc>
      </w:tr>
      <w:tr w:rsidR="007A022D" w14:paraId="52F6D685" w14:textId="77777777" w:rsidTr="00897082">
        <w:tc>
          <w:tcPr>
            <w:cnfStyle w:val="001000000000" w:firstRow="0" w:lastRow="0" w:firstColumn="1" w:lastColumn="0" w:oddVBand="0" w:evenVBand="0" w:oddHBand="0" w:evenHBand="0" w:firstRowFirstColumn="0" w:firstRowLastColumn="0" w:lastRowFirstColumn="0" w:lastRowLastColumn="0"/>
            <w:tcW w:w="9634" w:type="dxa"/>
            <w:gridSpan w:val="8"/>
          </w:tcPr>
          <w:p w14:paraId="1A3734F2" w14:textId="68739951" w:rsidR="007A022D" w:rsidRPr="00CB73C7" w:rsidRDefault="007A022D" w:rsidP="00CE5427">
            <w:pPr>
              <w:pStyle w:val="Bullet1"/>
              <w:numPr>
                <w:ilvl w:val="0"/>
                <w:numId w:val="0"/>
              </w:numPr>
              <w:rPr>
                <w:b/>
              </w:rPr>
            </w:pPr>
            <w:r>
              <w:rPr>
                <w:b/>
              </w:rPr>
              <w:t>Net Present Value (NPV 2016 $m)</w:t>
            </w:r>
          </w:p>
        </w:tc>
      </w:tr>
      <w:tr w:rsidR="00D35480" w14:paraId="150383D1" w14:textId="77777777" w:rsidTr="00B326CA">
        <w:tc>
          <w:tcPr>
            <w:cnfStyle w:val="001000000000" w:firstRow="0" w:lastRow="0" w:firstColumn="1" w:lastColumn="0" w:oddVBand="0" w:evenVBand="0" w:oddHBand="0" w:evenHBand="0" w:firstRowFirstColumn="0" w:firstRowLastColumn="0" w:lastRowFirstColumn="0" w:lastRowLastColumn="0"/>
            <w:tcW w:w="2941" w:type="dxa"/>
            <w:gridSpan w:val="2"/>
          </w:tcPr>
          <w:p w14:paraId="62908568" w14:textId="77777777" w:rsidR="00D35480" w:rsidRPr="00C22822" w:rsidRDefault="00D35480" w:rsidP="00D35480">
            <w:pPr>
              <w:pStyle w:val="Bullet1"/>
              <w:numPr>
                <w:ilvl w:val="0"/>
                <w:numId w:val="0"/>
              </w:numPr>
              <w:jc w:val="center"/>
              <w:rPr>
                <w:b/>
              </w:rPr>
            </w:pPr>
            <w:r w:rsidRPr="00C22822">
              <w:rPr>
                <w:b/>
              </w:rPr>
              <w:t>Total</w:t>
            </w:r>
          </w:p>
        </w:tc>
        <w:tc>
          <w:tcPr>
            <w:tcW w:w="1731" w:type="dxa"/>
          </w:tcPr>
          <w:p w14:paraId="5D5ABF7F" w14:textId="72E25F41" w:rsidR="00D35480" w:rsidRPr="00F97CD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B326CA">
              <w:rPr>
                <w:b/>
              </w:rPr>
              <w:t>-$24,213</w:t>
            </w:r>
          </w:p>
        </w:tc>
        <w:tc>
          <w:tcPr>
            <w:tcW w:w="1731" w:type="dxa"/>
            <w:gridSpan w:val="2"/>
          </w:tcPr>
          <w:p w14:paraId="7D71475F" w14:textId="716D43F6" w:rsidR="00D35480" w:rsidRPr="00F97CD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B326CA">
              <w:rPr>
                <w:b/>
              </w:rPr>
              <w:t>-$22,597</w:t>
            </w:r>
          </w:p>
        </w:tc>
        <w:tc>
          <w:tcPr>
            <w:tcW w:w="1564" w:type="dxa"/>
            <w:gridSpan w:val="2"/>
          </w:tcPr>
          <w:p w14:paraId="4F20CDB0" w14:textId="77777777" w:rsidR="00D35480" w:rsidRPr="00591A54"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p>
        </w:tc>
        <w:tc>
          <w:tcPr>
            <w:tcW w:w="1667" w:type="dxa"/>
          </w:tcPr>
          <w:p w14:paraId="7DCBF85A" w14:textId="07D51E3F" w:rsidR="00D35480" w:rsidRPr="00F97CD7" w:rsidRDefault="00D35480" w:rsidP="00D35480">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B326CA">
              <w:rPr>
                <w:b/>
              </w:rPr>
              <w:t>-$410</w:t>
            </w:r>
          </w:p>
        </w:tc>
      </w:tr>
    </w:tbl>
    <w:bookmarkEnd w:id="52"/>
    <w:p w14:paraId="129DEC27" w14:textId="256B7D32" w:rsidR="00926825" w:rsidRPr="00F20068" w:rsidRDefault="00926825" w:rsidP="00926825">
      <w:pPr>
        <w:pStyle w:val="BodyText"/>
        <w:spacing w:before="60"/>
        <w:rPr>
          <w:b/>
          <w:sz w:val="16"/>
          <w:szCs w:val="16"/>
        </w:rPr>
      </w:pPr>
      <w:r>
        <w:rPr>
          <w:b/>
          <w:sz w:val="16"/>
          <w:szCs w:val="16"/>
        </w:rPr>
        <w:t>Note ^</w:t>
      </w:r>
      <w:r w:rsidRPr="00F20068">
        <w:rPr>
          <w:b/>
          <w:sz w:val="16"/>
          <w:szCs w:val="16"/>
        </w:rPr>
        <w:t xml:space="preserve">: </w:t>
      </w:r>
      <w:r w:rsidR="00D35480">
        <w:rPr>
          <w:bCs/>
          <w:sz w:val="16"/>
          <w:szCs w:val="16"/>
        </w:rPr>
        <w:t>B</w:t>
      </w:r>
      <w:r w:rsidR="00632747">
        <w:rPr>
          <w:bCs/>
          <w:sz w:val="16"/>
          <w:szCs w:val="16"/>
        </w:rPr>
        <w:t xml:space="preserve">enefits </w:t>
      </w:r>
      <w:r w:rsidR="00632747" w:rsidRPr="00632747">
        <w:rPr>
          <w:bCs/>
          <w:sz w:val="16"/>
          <w:szCs w:val="16"/>
        </w:rPr>
        <w:t>from reductions in PM</w:t>
      </w:r>
      <w:r w:rsidR="00632747" w:rsidRPr="00632747">
        <w:rPr>
          <w:bCs/>
          <w:sz w:val="16"/>
          <w:szCs w:val="16"/>
          <w:vertAlign w:val="subscript"/>
        </w:rPr>
        <w:t>2.5</w:t>
      </w:r>
      <w:r w:rsidR="00632747" w:rsidRPr="00632747">
        <w:rPr>
          <w:bCs/>
          <w:sz w:val="16"/>
          <w:szCs w:val="16"/>
        </w:rPr>
        <w:t xml:space="preserve"> emissions</w:t>
      </w:r>
      <w:r w:rsidR="00D35480">
        <w:rPr>
          <w:bCs/>
          <w:sz w:val="16"/>
          <w:szCs w:val="16"/>
        </w:rPr>
        <w:t xml:space="preserve"> are included in the NPV and BCR calculations for NO</w:t>
      </w:r>
      <w:r w:rsidR="00D35480" w:rsidRPr="00B326CA">
        <w:rPr>
          <w:bCs/>
          <w:sz w:val="16"/>
          <w:szCs w:val="16"/>
          <w:vertAlign w:val="subscript"/>
        </w:rPr>
        <w:t>X</w:t>
      </w:r>
      <w:r w:rsidR="00632747">
        <w:rPr>
          <w:bCs/>
          <w:sz w:val="16"/>
          <w:szCs w:val="16"/>
        </w:rPr>
        <w:t>.</w:t>
      </w:r>
    </w:p>
    <w:p w14:paraId="42F37C37" w14:textId="2BCF721E" w:rsidR="004C0057" w:rsidRPr="00D92B0E" w:rsidRDefault="004C0057" w:rsidP="004C0057">
      <w:pPr>
        <w:pStyle w:val="BodyText"/>
        <w:spacing w:before="60"/>
        <w:rPr>
          <w:sz w:val="16"/>
          <w:szCs w:val="16"/>
        </w:rPr>
      </w:pPr>
      <w:r w:rsidRPr="00D92B0E">
        <w:rPr>
          <w:b/>
          <w:sz w:val="16"/>
          <w:szCs w:val="16"/>
        </w:rPr>
        <w:t xml:space="preserve">Note </w:t>
      </w:r>
      <w:r>
        <w:rPr>
          <w:b/>
          <w:sz w:val="16"/>
          <w:szCs w:val="16"/>
        </w:rPr>
        <w:t xml:space="preserve">*: </w:t>
      </w:r>
      <w:r>
        <w:rPr>
          <w:sz w:val="16"/>
          <w:szCs w:val="16"/>
        </w:rPr>
        <w:t xml:space="preserve">To avoid double-counting of health impacts, </w:t>
      </w:r>
      <w:r w:rsidRPr="004C0057">
        <w:rPr>
          <w:sz w:val="16"/>
          <w:szCs w:val="16"/>
        </w:rPr>
        <w:t>the CBA only includes changes to either long-term mortality (chronic effects) or short-term mortality (acute effects) from exposure to pollutant concentrations</w:t>
      </w:r>
      <w:r>
        <w:rPr>
          <w:sz w:val="16"/>
          <w:szCs w:val="16"/>
        </w:rPr>
        <w:t>, but not both.</w:t>
      </w:r>
    </w:p>
    <w:p w14:paraId="52393BBD" w14:textId="32E223CF" w:rsidR="001B6724" w:rsidRDefault="001B6724" w:rsidP="001B6724">
      <w:pPr>
        <w:pStyle w:val="BodyText"/>
        <w:rPr>
          <w:lang w:val="en-PH"/>
        </w:rPr>
      </w:pPr>
      <w:r>
        <w:rPr>
          <w:lang w:val="en-PH"/>
        </w:rPr>
        <w:lastRenderedPageBreak/>
        <w:t xml:space="preserve">Costs exceed benefits for each pollutant, and therefore a negative NPV and a BCR of less than 1 is estimated for each pollutant. Overall, the </w:t>
      </w:r>
      <w:r w:rsidR="00746EDF">
        <w:rPr>
          <w:lang w:val="en-PH"/>
        </w:rPr>
        <w:t>Abatement Package</w:t>
      </w:r>
      <w:r>
        <w:rPr>
          <w:lang w:val="en-PH"/>
        </w:rPr>
        <w:t xml:space="preserve"> </w:t>
      </w:r>
      <w:r w:rsidR="009074FB">
        <w:rPr>
          <w:lang w:val="en-PH"/>
        </w:rPr>
        <w:t xml:space="preserve">scenario </w:t>
      </w:r>
      <w:r w:rsidR="00E7742F">
        <w:rPr>
          <w:lang w:val="en-PH"/>
        </w:rPr>
        <w:t xml:space="preserve">is estimated to result in a </w:t>
      </w:r>
      <w:r w:rsidR="00E7742F" w:rsidRPr="00CF2AB1">
        <w:rPr>
          <w:b/>
          <w:lang w:val="en-PH"/>
        </w:rPr>
        <w:t>NPV of</w:t>
      </w:r>
      <w:r w:rsidR="00CC73DD">
        <w:rPr>
          <w:lang w:val="en-PH"/>
        </w:rPr>
        <w:t xml:space="preserve"> </w:t>
      </w:r>
      <w:r w:rsidR="00CC73DD">
        <w:rPr>
          <w:lang w:val="en-PH"/>
        </w:rPr>
        <w:noBreakHyphen/>
      </w:r>
      <w:r w:rsidR="00CC73DD" w:rsidRPr="00B326CA">
        <w:rPr>
          <w:b/>
          <w:lang w:val="en-PH"/>
        </w:rPr>
        <w:t>$47,220</w:t>
      </w:r>
      <w:r w:rsidR="00CC73DD" w:rsidRPr="00CC73DD" w:rsidDel="00CC73DD">
        <w:rPr>
          <w:lang w:val="en-PH"/>
        </w:rPr>
        <w:t xml:space="preserve"> </w:t>
      </w:r>
      <w:r w:rsidR="00E7742F" w:rsidRPr="00E7742F">
        <w:rPr>
          <w:b/>
          <w:lang w:val="en-PH"/>
        </w:rPr>
        <w:t>million</w:t>
      </w:r>
      <w:r w:rsidR="00E7742F">
        <w:rPr>
          <w:lang w:val="en-PH"/>
        </w:rPr>
        <w:t xml:space="preserve"> </w:t>
      </w:r>
      <w:r>
        <w:rPr>
          <w:lang w:val="en-PH"/>
        </w:rPr>
        <w:t xml:space="preserve">and a </w:t>
      </w:r>
      <w:r w:rsidRPr="00CF2AB1">
        <w:rPr>
          <w:b/>
          <w:lang w:val="en-PH"/>
        </w:rPr>
        <w:t>BCR of</w:t>
      </w:r>
      <w:r>
        <w:rPr>
          <w:lang w:val="en-PH"/>
        </w:rPr>
        <w:t xml:space="preserve"> </w:t>
      </w:r>
      <w:r w:rsidR="003615F4" w:rsidRPr="003615F4">
        <w:rPr>
          <w:b/>
          <w:lang w:val="en-PH"/>
        </w:rPr>
        <w:t>0.</w:t>
      </w:r>
      <w:r w:rsidR="00CC73DD" w:rsidRPr="003615F4">
        <w:rPr>
          <w:b/>
          <w:lang w:val="en-PH"/>
        </w:rPr>
        <w:t>0</w:t>
      </w:r>
      <w:r w:rsidR="00CC73DD">
        <w:rPr>
          <w:b/>
          <w:lang w:val="en-PH"/>
        </w:rPr>
        <w:t>4</w:t>
      </w:r>
      <w:r>
        <w:rPr>
          <w:lang w:val="en-PH"/>
        </w:rPr>
        <w:t>.</w:t>
      </w:r>
      <w:r w:rsidR="0081147C">
        <w:rPr>
          <w:lang w:val="en-PH"/>
        </w:rPr>
        <w:t xml:space="preserve"> The results of the CBA should be interpreted considering the qualifications outlined in section </w:t>
      </w:r>
      <w:r w:rsidR="0081147C">
        <w:rPr>
          <w:lang w:val="en-PH"/>
        </w:rPr>
        <w:fldChar w:fldCharType="begin"/>
      </w:r>
      <w:r w:rsidR="0081147C">
        <w:rPr>
          <w:lang w:val="en-PH"/>
        </w:rPr>
        <w:instrText xml:space="preserve"> REF _Ref508452082 \r \h </w:instrText>
      </w:r>
      <w:r w:rsidR="0081147C">
        <w:rPr>
          <w:lang w:val="en-PH"/>
        </w:rPr>
      </w:r>
      <w:r w:rsidR="0081147C">
        <w:rPr>
          <w:lang w:val="en-PH"/>
        </w:rPr>
        <w:fldChar w:fldCharType="separate"/>
      </w:r>
      <w:r w:rsidR="00A50702">
        <w:rPr>
          <w:lang w:val="en-PH"/>
        </w:rPr>
        <w:t>5.2</w:t>
      </w:r>
      <w:r w:rsidR="0081147C">
        <w:rPr>
          <w:lang w:val="en-PH"/>
        </w:rPr>
        <w:fldChar w:fldCharType="end"/>
      </w:r>
      <w:r w:rsidR="0081147C">
        <w:rPr>
          <w:lang w:val="en-PH"/>
        </w:rPr>
        <w:t>.</w:t>
      </w:r>
    </w:p>
    <w:p w14:paraId="14FB9490" w14:textId="2E24DD24" w:rsidR="0081147C" w:rsidRDefault="00EA29C2" w:rsidP="001B6724">
      <w:pPr>
        <w:pStyle w:val="BodyText"/>
        <w:rPr>
          <w:lang w:val="en-PH"/>
        </w:rPr>
      </w:pPr>
      <w:r>
        <w:rPr>
          <w:lang w:val="en-PH"/>
        </w:rPr>
        <w:t>A higher BCR is estimated for NO</w:t>
      </w:r>
      <w:r w:rsidRPr="00EA29C2">
        <w:rPr>
          <w:vertAlign w:val="subscript"/>
          <w:lang w:val="en-PH"/>
        </w:rPr>
        <w:t>2</w:t>
      </w:r>
      <w:r>
        <w:rPr>
          <w:lang w:val="en-PH"/>
        </w:rPr>
        <w:t xml:space="preserve"> than SO</w:t>
      </w:r>
      <w:r w:rsidRPr="00EA29C2">
        <w:rPr>
          <w:vertAlign w:val="subscript"/>
          <w:lang w:val="en-PH"/>
        </w:rPr>
        <w:t>2</w:t>
      </w:r>
      <w:r>
        <w:rPr>
          <w:lang w:val="en-PH"/>
        </w:rPr>
        <w:t xml:space="preserve"> and O</w:t>
      </w:r>
      <w:r w:rsidRPr="00EA29C2">
        <w:rPr>
          <w:vertAlign w:val="subscript"/>
          <w:lang w:val="en-PH"/>
        </w:rPr>
        <w:t>3</w:t>
      </w:r>
      <w:r>
        <w:rPr>
          <w:lang w:val="en-PH"/>
        </w:rPr>
        <w:t>.</w:t>
      </w:r>
      <w:r w:rsidR="00926825">
        <w:rPr>
          <w:lang w:val="en-PH"/>
        </w:rPr>
        <w:t xml:space="preserve"> The main contributor to this result is the contribution of PM</w:t>
      </w:r>
      <w:r w:rsidR="00926825" w:rsidRPr="00926825">
        <w:rPr>
          <w:vertAlign w:val="subscript"/>
          <w:lang w:val="en-PH"/>
        </w:rPr>
        <w:t>2.5</w:t>
      </w:r>
      <w:r w:rsidR="00926825">
        <w:rPr>
          <w:lang w:val="en-PH"/>
        </w:rPr>
        <w:t xml:space="preserve"> reduction</w:t>
      </w:r>
      <w:r w:rsidR="004F448F">
        <w:rPr>
          <w:lang w:val="en-PH"/>
        </w:rPr>
        <w:t>s</w:t>
      </w:r>
      <w:r w:rsidR="00926825">
        <w:rPr>
          <w:lang w:val="en-PH"/>
        </w:rPr>
        <w:t xml:space="preserve"> to health benefits. </w:t>
      </w:r>
      <w:r w:rsidR="00DB54D2">
        <w:rPr>
          <w:lang w:val="en-PH"/>
        </w:rPr>
        <w:t>A lower BCR is estimate</w:t>
      </w:r>
      <w:r w:rsidR="00667B23">
        <w:rPr>
          <w:lang w:val="en-PH"/>
        </w:rPr>
        <w:t>d</w:t>
      </w:r>
      <w:r w:rsidR="00DB54D2">
        <w:rPr>
          <w:lang w:val="en-PH"/>
        </w:rPr>
        <w:t xml:space="preserve"> for SO</w:t>
      </w:r>
      <w:r w:rsidR="00DB54D2" w:rsidRPr="00796FF7">
        <w:rPr>
          <w:vertAlign w:val="subscript"/>
          <w:lang w:val="en-PH"/>
        </w:rPr>
        <w:t>2</w:t>
      </w:r>
      <w:r w:rsidR="00DB54D2">
        <w:rPr>
          <w:lang w:val="en-PH"/>
        </w:rPr>
        <w:t xml:space="preserve"> because unlike NO</w:t>
      </w:r>
      <w:r w:rsidR="00DB54D2" w:rsidRPr="00796FF7">
        <w:rPr>
          <w:vertAlign w:val="subscript"/>
          <w:lang w:val="en-PH"/>
        </w:rPr>
        <w:t>2</w:t>
      </w:r>
      <w:r w:rsidR="00DB54D2">
        <w:rPr>
          <w:lang w:val="en-PH"/>
        </w:rPr>
        <w:t xml:space="preserve"> and O</w:t>
      </w:r>
      <w:r w:rsidR="00DB54D2" w:rsidRPr="00796FF7">
        <w:rPr>
          <w:vertAlign w:val="subscript"/>
          <w:lang w:val="en-PH"/>
        </w:rPr>
        <w:t>3</w:t>
      </w:r>
      <w:r w:rsidR="00DB54D2">
        <w:rPr>
          <w:lang w:val="en-PH"/>
        </w:rPr>
        <w:t xml:space="preserve">, no mortality </w:t>
      </w:r>
      <w:r w:rsidR="00AA007A">
        <w:rPr>
          <w:lang w:val="en-PH"/>
        </w:rPr>
        <w:t xml:space="preserve">benefits </w:t>
      </w:r>
      <w:r w:rsidR="00DB54D2">
        <w:rPr>
          <w:lang w:val="en-PH"/>
        </w:rPr>
        <w:t xml:space="preserve">are expected </w:t>
      </w:r>
      <w:r w:rsidR="00AA007A">
        <w:rPr>
          <w:lang w:val="en-PH"/>
        </w:rPr>
        <w:t xml:space="preserve">from </w:t>
      </w:r>
      <w:r w:rsidR="00DB54D2">
        <w:rPr>
          <w:lang w:val="en-PH"/>
        </w:rPr>
        <w:t xml:space="preserve">a reduction in </w:t>
      </w:r>
      <w:r w:rsidR="00402F0E">
        <w:rPr>
          <w:lang w:val="en-PH"/>
        </w:rPr>
        <w:t>SO</w:t>
      </w:r>
      <w:r w:rsidR="00402F0E">
        <w:rPr>
          <w:vertAlign w:val="subscript"/>
          <w:lang w:val="en-PH"/>
        </w:rPr>
        <w:t>X</w:t>
      </w:r>
      <w:r w:rsidR="00402F0E">
        <w:rPr>
          <w:lang w:val="en-PH"/>
        </w:rPr>
        <w:t xml:space="preserve"> </w:t>
      </w:r>
      <w:r w:rsidR="00DB54D2">
        <w:rPr>
          <w:lang w:val="en-PH"/>
        </w:rPr>
        <w:t>emissions.</w:t>
      </w:r>
    </w:p>
    <w:p w14:paraId="343AA156" w14:textId="57448AEA" w:rsidR="00F27FA5" w:rsidRDefault="00F27FA5" w:rsidP="001B6724">
      <w:pPr>
        <w:pStyle w:val="BodyText"/>
        <w:rPr>
          <w:lang w:val="en-PH"/>
        </w:rPr>
      </w:pPr>
      <w:r>
        <w:rPr>
          <w:lang w:val="en-PH"/>
        </w:rPr>
        <w:t xml:space="preserve">A low BCR is estimated for </w:t>
      </w:r>
      <w:r w:rsidR="007E50B0">
        <w:rPr>
          <w:lang w:val="en-PH"/>
        </w:rPr>
        <w:t xml:space="preserve">most </w:t>
      </w:r>
      <w:r>
        <w:rPr>
          <w:lang w:val="en-PH"/>
        </w:rPr>
        <w:t>pollutant and jurisdiction combinations (0.1 or lower), except for SO</w:t>
      </w:r>
      <w:r w:rsidRPr="00F27FA5">
        <w:rPr>
          <w:vertAlign w:val="subscript"/>
          <w:lang w:val="en-PH"/>
        </w:rPr>
        <w:t>2</w:t>
      </w:r>
      <w:r>
        <w:rPr>
          <w:lang w:val="en-PH"/>
        </w:rPr>
        <w:t xml:space="preserve"> in Queensland and Western Australia.</w:t>
      </w:r>
      <w:r w:rsidR="001911C9">
        <w:rPr>
          <w:lang w:val="en-PH"/>
        </w:rPr>
        <w:t xml:space="preserve"> The results for SO</w:t>
      </w:r>
      <w:r w:rsidR="001911C9" w:rsidRPr="00C12CBB">
        <w:rPr>
          <w:vertAlign w:val="subscript"/>
          <w:lang w:val="en-PH"/>
        </w:rPr>
        <w:t>2</w:t>
      </w:r>
      <w:r w:rsidR="001911C9">
        <w:rPr>
          <w:lang w:val="en-PH"/>
        </w:rPr>
        <w:t xml:space="preserve"> in these jurisdictions largely reflects the effectiveness of </w:t>
      </w:r>
      <w:r w:rsidR="00D43B00">
        <w:rPr>
          <w:lang w:val="en-PH"/>
        </w:rPr>
        <w:t xml:space="preserve">the </w:t>
      </w:r>
      <w:r w:rsidR="001911C9">
        <w:rPr>
          <w:lang w:val="en-PH"/>
        </w:rPr>
        <w:t>de-SO</w:t>
      </w:r>
      <w:r w:rsidR="001911C9" w:rsidRPr="001911C9">
        <w:rPr>
          <w:vertAlign w:val="subscript"/>
          <w:lang w:val="en-PH"/>
        </w:rPr>
        <w:t>X</w:t>
      </w:r>
      <w:r w:rsidR="001911C9">
        <w:rPr>
          <w:lang w:val="en-PH"/>
        </w:rPr>
        <w:t xml:space="preserve"> measure at petrol refineries</w:t>
      </w:r>
      <w:r w:rsidR="00D43B00">
        <w:rPr>
          <w:lang w:val="en-PH"/>
        </w:rPr>
        <w:t>, which achieves large reductions in SO</w:t>
      </w:r>
      <w:r w:rsidR="00402F0E">
        <w:rPr>
          <w:vertAlign w:val="subscript"/>
          <w:lang w:val="en-PH"/>
        </w:rPr>
        <w:t>X</w:t>
      </w:r>
      <w:r w:rsidR="00D43B00">
        <w:rPr>
          <w:lang w:val="en-PH"/>
        </w:rPr>
        <w:t xml:space="preserve"> emissions at relatively low cost</w:t>
      </w:r>
      <w:r w:rsidR="001911C9">
        <w:rPr>
          <w:lang w:val="en-PH"/>
        </w:rPr>
        <w:t>.</w:t>
      </w:r>
    </w:p>
    <w:p w14:paraId="43DF061C" w14:textId="45329796" w:rsidR="001B6724" w:rsidRDefault="0081147C" w:rsidP="008F5028">
      <w:pPr>
        <w:pStyle w:val="Heading2"/>
        <w:rPr>
          <w:lang w:val="en-PH"/>
        </w:rPr>
      </w:pPr>
      <w:bookmarkStart w:id="53" w:name="_Ref508452082"/>
      <w:bookmarkStart w:id="54" w:name="_Toc518629892"/>
      <w:r>
        <w:rPr>
          <w:lang w:val="en-PH"/>
        </w:rPr>
        <w:t>Qualifications</w:t>
      </w:r>
      <w:bookmarkEnd w:id="53"/>
      <w:bookmarkEnd w:id="54"/>
    </w:p>
    <w:p w14:paraId="5DFA2A80" w14:textId="38E7DF73" w:rsidR="001B6724" w:rsidRDefault="001B6724" w:rsidP="001B6724">
      <w:pPr>
        <w:pStyle w:val="BodyText"/>
        <w:rPr>
          <w:lang w:val="en-PH"/>
        </w:rPr>
      </w:pPr>
      <w:r>
        <w:rPr>
          <w:lang w:val="en-PH"/>
        </w:rPr>
        <w:t xml:space="preserve">The following </w:t>
      </w:r>
      <w:r w:rsidR="0081147C">
        <w:rPr>
          <w:lang w:val="en-PH"/>
        </w:rPr>
        <w:t xml:space="preserve">qualifications </w:t>
      </w:r>
      <w:r>
        <w:rPr>
          <w:lang w:val="en-PH"/>
        </w:rPr>
        <w:t>accompany the CBA results:</w:t>
      </w:r>
    </w:p>
    <w:p w14:paraId="613D5188" w14:textId="77777777" w:rsidR="001B6724" w:rsidRDefault="001B6724" w:rsidP="001B6724">
      <w:pPr>
        <w:pStyle w:val="Bullet1"/>
        <w:rPr>
          <w:lang w:val="en-PH"/>
        </w:rPr>
      </w:pPr>
      <w:r w:rsidRPr="00E1652D">
        <w:rPr>
          <w:lang w:val="en-PH"/>
        </w:rPr>
        <w:t xml:space="preserve">the benefits are more meaningful when considered in total, rather than considering the benefits by an individual pollutant, because </w:t>
      </w:r>
      <w:r>
        <w:rPr>
          <w:lang w:val="en-PH"/>
        </w:rPr>
        <w:t>while abatement measures target individual pollutants their implementation can affect the levels of other (non-targeted) pollutants</w:t>
      </w:r>
    </w:p>
    <w:p w14:paraId="086DB0DE" w14:textId="67251335" w:rsidR="001B6724" w:rsidRDefault="001B6724" w:rsidP="001B6724">
      <w:pPr>
        <w:pStyle w:val="Bullet1"/>
        <w:rPr>
          <w:lang w:val="en-PH"/>
        </w:rPr>
      </w:pPr>
      <w:r>
        <w:rPr>
          <w:lang w:val="en-PH"/>
        </w:rPr>
        <w:t>the costs and benefits of the abatement measures do not reflect the likely costs and benefits of meeting various air quality standards</w:t>
      </w:r>
    </w:p>
    <w:p w14:paraId="145EB8EA" w14:textId="7B920EDE" w:rsidR="00C903AD" w:rsidRDefault="00C903AD" w:rsidP="001B6724">
      <w:pPr>
        <w:pStyle w:val="Bullet1"/>
        <w:rPr>
          <w:lang w:val="en-PH"/>
        </w:rPr>
      </w:pPr>
      <w:r>
        <w:rPr>
          <w:lang w:val="en-PH"/>
        </w:rPr>
        <w:t xml:space="preserve">there are a number of benefits which could not be </w:t>
      </w:r>
      <w:r w:rsidR="0017407B">
        <w:rPr>
          <w:lang w:val="en-PH"/>
        </w:rPr>
        <w:t xml:space="preserve">reliably </w:t>
      </w:r>
      <w:r>
        <w:rPr>
          <w:lang w:val="en-PH"/>
        </w:rPr>
        <w:t>quantified.</w:t>
      </w:r>
    </w:p>
    <w:p w14:paraId="7326DBAF" w14:textId="1A254B57" w:rsidR="001B6724" w:rsidRDefault="001B6724" w:rsidP="001B6724">
      <w:pPr>
        <w:pStyle w:val="BodyText"/>
        <w:rPr>
          <w:lang w:val="en-PH"/>
        </w:rPr>
      </w:pPr>
      <w:r>
        <w:rPr>
          <w:lang w:val="en-PH"/>
        </w:rPr>
        <w:t xml:space="preserve">Each of these </w:t>
      </w:r>
      <w:r w:rsidR="000D788D">
        <w:rPr>
          <w:lang w:val="en-PH"/>
        </w:rPr>
        <w:t xml:space="preserve">qualifications </w:t>
      </w:r>
      <w:r>
        <w:rPr>
          <w:lang w:val="en-PH"/>
        </w:rPr>
        <w:t>is discussed in turn.</w:t>
      </w:r>
    </w:p>
    <w:p w14:paraId="34C6BAC4" w14:textId="77777777" w:rsidR="001B6724" w:rsidRDefault="001B6724" w:rsidP="008F5028">
      <w:pPr>
        <w:pStyle w:val="Heading3"/>
        <w:rPr>
          <w:lang w:val="en-PH"/>
        </w:rPr>
      </w:pPr>
      <w:r>
        <w:rPr>
          <w:lang w:val="en-PH"/>
        </w:rPr>
        <w:t>Interaction between pollutants</w:t>
      </w:r>
    </w:p>
    <w:p w14:paraId="46F7C426" w14:textId="6462D263" w:rsidR="001B6724" w:rsidRDefault="001B6724" w:rsidP="001B6724">
      <w:pPr>
        <w:pStyle w:val="BodyText"/>
        <w:rPr>
          <w:lang w:val="en-PH"/>
        </w:rPr>
      </w:pPr>
      <w:r>
        <w:rPr>
          <w:lang w:val="en-PH"/>
        </w:rPr>
        <w:t>Some measures which target sources of NO</w:t>
      </w:r>
      <w:r w:rsidRPr="0069242B">
        <w:rPr>
          <w:vertAlign w:val="subscript"/>
          <w:lang w:val="en-PH"/>
        </w:rPr>
        <w:t>X</w:t>
      </w:r>
      <w:r>
        <w:rPr>
          <w:lang w:val="en-PH"/>
        </w:rPr>
        <w:t xml:space="preserve"> emissions can indirectly affect levels of O</w:t>
      </w:r>
      <w:r w:rsidRPr="0069242B">
        <w:rPr>
          <w:vertAlign w:val="subscript"/>
          <w:lang w:val="en-PH"/>
        </w:rPr>
        <w:t>3</w:t>
      </w:r>
      <w:r>
        <w:rPr>
          <w:lang w:val="en-PH"/>
        </w:rPr>
        <w:t xml:space="preserve"> in the atmosphere because of the complex chemical interactions that lead to the formation of O</w:t>
      </w:r>
      <w:r w:rsidRPr="0069242B">
        <w:rPr>
          <w:vertAlign w:val="subscript"/>
          <w:lang w:val="en-PH"/>
        </w:rPr>
        <w:t>3</w:t>
      </w:r>
      <w:r>
        <w:rPr>
          <w:lang w:val="en-PH"/>
        </w:rPr>
        <w:t>. Therefore, the changes to health outcomes associated with changes in O</w:t>
      </w:r>
      <w:r w:rsidRPr="00566F1D">
        <w:rPr>
          <w:vertAlign w:val="subscript"/>
          <w:lang w:val="en-PH"/>
        </w:rPr>
        <w:t>3</w:t>
      </w:r>
      <w:r>
        <w:rPr>
          <w:lang w:val="en-PH"/>
        </w:rPr>
        <w:t xml:space="preserve"> concentrations reflect not only the effect of abatement measures targeting O</w:t>
      </w:r>
      <w:r w:rsidRPr="000C54BE">
        <w:rPr>
          <w:vertAlign w:val="subscript"/>
          <w:lang w:val="en-PH"/>
        </w:rPr>
        <w:t>3</w:t>
      </w:r>
      <w:r>
        <w:rPr>
          <w:lang w:val="en-PH"/>
        </w:rPr>
        <w:t xml:space="preserve"> concentrations (by reducing VOC), but also those </w:t>
      </w:r>
      <w:r w:rsidR="00687490">
        <w:rPr>
          <w:lang w:val="en-PH"/>
        </w:rPr>
        <w:t xml:space="preserve">that </w:t>
      </w:r>
      <w:r>
        <w:rPr>
          <w:lang w:val="en-PH"/>
        </w:rPr>
        <w:t>target NO</w:t>
      </w:r>
      <w:r w:rsidRPr="00A53ACE">
        <w:rPr>
          <w:vertAlign w:val="subscript"/>
          <w:lang w:val="en-PH"/>
        </w:rPr>
        <w:t>2</w:t>
      </w:r>
      <w:r>
        <w:rPr>
          <w:lang w:val="en-PH"/>
        </w:rPr>
        <w:t xml:space="preserve"> </w:t>
      </w:r>
      <w:r w:rsidR="00687490">
        <w:rPr>
          <w:lang w:val="en-PH"/>
        </w:rPr>
        <w:t xml:space="preserve">concentrations </w:t>
      </w:r>
      <w:r>
        <w:rPr>
          <w:lang w:val="en-PH"/>
        </w:rPr>
        <w:t>(by reducing NO</w:t>
      </w:r>
      <w:r w:rsidRPr="00A53ACE">
        <w:rPr>
          <w:vertAlign w:val="subscript"/>
          <w:lang w:val="en-PH"/>
        </w:rPr>
        <w:t>X</w:t>
      </w:r>
      <w:r>
        <w:rPr>
          <w:lang w:val="en-PH"/>
        </w:rPr>
        <w:t>).</w:t>
      </w:r>
    </w:p>
    <w:p w14:paraId="2A2CC291" w14:textId="338E728C" w:rsidR="001B6724" w:rsidRDefault="001B6724" w:rsidP="001B6724">
      <w:pPr>
        <w:pStyle w:val="BodyText"/>
        <w:rPr>
          <w:lang w:val="en-PH"/>
        </w:rPr>
      </w:pPr>
      <w:r>
        <w:rPr>
          <w:lang w:val="en-PH"/>
        </w:rPr>
        <w:t>As such, the benefits associated with changes in O</w:t>
      </w:r>
      <w:r w:rsidRPr="000C54BE">
        <w:rPr>
          <w:vertAlign w:val="subscript"/>
          <w:lang w:val="en-PH"/>
        </w:rPr>
        <w:t>3</w:t>
      </w:r>
      <w:r>
        <w:rPr>
          <w:lang w:val="en-PH"/>
        </w:rPr>
        <w:t xml:space="preserve"> concentrations should not be interpreted as the benefits </w:t>
      </w:r>
      <w:r w:rsidR="00600C61">
        <w:rPr>
          <w:lang w:val="en-PH"/>
        </w:rPr>
        <w:t xml:space="preserve">solely </w:t>
      </w:r>
      <w:r>
        <w:rPr>
          <w:lang w:val="en-PH"/>
        </w:rPr>
        <w:t>associated with abatement measures that target O</w:t>
      </w:r>
      <w:r w:rsidRPr="000C54BE">
        <w:rPr>
          <w:vertAlign w:val="subscript"/>
          <w:lang w:val="en-PH"/>
        </w:rPr>
        <w:t>3</w:t>
      </w:r>
      <w:r>
        <w:rPr>
          <w:lang w:val="en-PH"/>
        </w:rPr>
        <w:t xml:space="preserve"> concentrations. </w:t>
      </w:r>
      <w:r w:rsidR="00AE7576">
        <w:rPr>
          <w:lang w:val="en-PH"/>
        </w:rPr>
        <w:t>T</w:t>
      </w:r>
      <w:r>
        <w:rPr>
          <w:lang w:val="en-PH"/>
        </w:rPr>
        <w:t xml:space="preserve">he </w:t>
      </w:r>
      <w:r w:rsidR="00734C21">
        <w:rPr>
          <w:lang w:val="en-PH"/>
        </w:rPr>
        <w:t xml:space="preserve">benefits estimated in this CBA also include </w:t>
      </w:r>
      <w:r>
        <w:rPr>
          <w:lang w:val="en-PH"/>
        </w:rPr>
        <w:t>the effect of a reduction in NO</w:t>
      </w:r>
      <w:r w:rsidRPr="00BF2B35">
        <w:rPr>
          <w:vertAlign w:val="subscript"/>
          <w:lang w:val="en-PH"/>
        </w:rPr>
        <w:t>2</w:t>
      </w:r>
      <w:r>
        <w:rPr>
          <w:lang w:val="en-PH"/>
        </w:rPr>
        <w:t xml:space="preserve"> </w:t>
      </w:r>
      <w:r w:rsidR="008E66EA">
        <w:rPr>
          <w:lang w:val="en-PH"/>
        </w:rPr>
        <w:t xml:space="preserve">on </w:t>
      </w:r>
      <w:r>
        <w:rPr>
          <w:lang w:val="en-PH"/>
        </w:rPr>
        <w:t>O</w:t>
      </w:r>
      <w:r w:rsidRPr="00BF2B35">
        <w:rPr>
          <w:vertAlign w:val="subscript"/>
          <w:lang w:val="en-PH"/>
        </w:rPr>
        <w:t>3</w:t>
      </w:r>
      <w:r>
        <w:rPr>
          <w:lang w:val="en-PH"/>
        </w:rPr>
        <w:t xml:space="preserve"> concentrations. </w:t>
      </w:r>
      <w:r w:rsidR="00CB556B">
        <w:rPr>
          <w:lang w:val="en-PH"/>
        </w:rPr>
        <w:t>As a result</w:t>
      </w:r>
      <w:r w:rsidR="002817DB">
        <w:rPr>
          <w:lang w:val="en-PH"/>
        </w:rPr>
        <w:t xml:space="preserve">, </w:t>
      </w:r>
      <w:r>
        <w:rPr>
          <w:lang w:val="en-PH"/>
        </w:rPr>
        <w:t>the estimated benefits associated with changes in O</w:t>
      </w:r>
      <w:r w:rsidRPr="00286D62">
        <w:rPr>
          <w:vertAlign w:val="subscript"/>
          <w:lang w:val="en-PH"/>
        </w:rPr>
        <w:t>3</w:t>
      </w:r>
      <w:r>
        <w:rPr>
          <w:lang w:val="en-PH"/>
        </w:rPr>
        <w:t xml:space="preserve"> concentrations from the implementation of the </w:t>
      </w:r>
      <w:r w:rsidRPr="002014E2">
        <w:rPr>
          <w:i/>
          <w:lang w:val="en-PH"/>
        </w:rPr>
        <w:t>total</w:t>
      </w:r>
      <w:r>
        <w:rPr>
          <w:lang w:val="en-PH"/>
        </w:rPr>
        <w:t xml:space="preserve"> </w:t>
      </w:r>
      <w:r w:rsidR="00746EDF">
        <w:rPr>
          <w:lang w:val="en-PH"/>
        </w:rPr>
        <w:t>Abatement Package</w:t>
      </w:r>
      <w:r w:rsidR="009074FB">
        <w:rPr>
          <w:lang w:val="en-PH"/>
        </w:rPr>
        <w:t xml:space="preserve"> scenario</w:t>
      </w:r>
      <w:r>
        <w:rPr>
          <w:lang w:val="en-PH"/>
        </w:rPr>
        <w:t xml:space="preserve"> </w:t>
      </w:r>
      <w:r w:rsidR="00CB556B">
        <w:rPr>
          <w:lang w:val="en-PH"/>
        </w:rPr>
        <w:t xml:space="preserve">should not be interpreted as </w:t>
      </w:r>
      <w:r>
        <w:rPr>
          <w:lang w:val="en-PH"/>
        </w:rPr>
        <w:t>the expected benefits of implementing only the measures which target VOC sources.</w:t>
      </w:r>
    </w:p>
    <w:p w14:paraId="12310993" w14:textId="392BA7DD" w:rsidR="001B6724" w:rsidRDefault="001B6724" w:rsidP="008F5028">
      <w:pPr>
        <w:pStyle w:val="Heading3"/>
        <w:rPr>
          <w:lang w:val="en-PH"/>
        </w:rPr>
      </w:pPr>
      <w:r>
        <w:rPr>
          <w:lang w:val="en-PH"/>
        </w:rPr>
        <w:t>Likely costs and benefits of meeting air quality standards</w:t>
      </w:r>
    </w:p>
    <w:p w14:paraId="0BB3CBF2" w14:textId="7ACD2F69" w:rsidR="006433F1" w:rsidRDefault="006433F1" w:rsidP="006433F1">
      <w:pPr>
        <w:spacing w:after="200" w:line="276" w:lineRule="auto"/>
        <w:rPr>
          <w:lang w:val="en-PH"/>
        </w:rPr>
      </w:pPr>
      <w:r>
        <w:rPr>
          <w:lang w:val="en-PH"/>
        </w:rPr>
        <w:t>While the CBA estimates the costs and benefits of the ‘</w:t>
      </w:r>
      <w:r w:rsidR="00746EDF">
        <w:rPr>
          <w:lang w:val="en-PH"/>
        </w:rPr>
        <w:t>Abatement Package</w:t>
      </w:r>
      <w:r w:rsidR="009074FB">
        <w:rPr>
          <w:lang w:val="en-PH"/>
        </w:rPr>
        <w:t xml:space="preserve"> scenario</w:t>
      </w:r>
      <w:r>
        <w:rPr>
          <w:lang w:val="en-PH"/>
        </w:rPr>
        <w:t xml:space="preserve">’ at a national level, it does not necessarily provide an indication of the likely costs and benefits of meeting alternative AAQ standards. </w:t>
      </w:r>
      <w:r w:rsidR="00D2654C">
        <w:rPr>
          <w:lang w:val="en-PH"/>
        </w:rPr>
        <w:t>This is because in practice, while some measures to meet standards are implemented at a national level, individual states and territory governments implement much of the regulation and policy designed to meet the standards in that state or territory. As such, each jurisdiction assesses and implements abatement measures following their own policy processes, which may include jurisdiction-specific CBAs and other analyses to select the most appropriate set of abatement measures.</w:t>
      </w:r>
      <w:r w:rsidR="00152E98">
        <w:rPr>
          <w:lang w:val="en-PH"/>
        </w:rPr>
        <w:t xml:space="preserve"> Moreover, some t</w:t>
      </w:r>
      <w:r w:rsidR="00152E98" w:rsidRPr="002423BB">
        <w:rPr>
          <w:lang w:val="en-PH"/>
        </w:rPr>
        <w:t>ightened standards could be met without the need for abatement and therefore without additional cost.</w:t>
      </w:r>
    </w:p>
    <w:p w14:paraId="74439DFA" w14:textId="77777777" w:rsidR="001B6724" w:rsidRDefault="001B6724" w:rsidP="008F5028">
      <w:pPr>
        <w:pStyle w:val="Heading3"/>
        <w:rPr>
          <w:lang w:val="en-PH"/>
        </w:rPr>
      </w:pPr>
      <w:bookmarkStart w:id="55" w:name="_Ref508451165"/>
      <w:r>
        <w:rPr>
          <w:lang w:val="en-PH"/>
        </w:rPr>
        <w:lastRenderedPageBreak/>
        <w:t>Unquantified benefits</w:t>
      </w:r>
      <w:bookmarkEnd w:id="55"/>
    </w:p>
    <w:p w14:paraId="61107F46" w14:textId="7F63477C" w:rsidR="001B6724" w:rsidRDefault="00D048C1" w:rsidP="001B6724">
      <w:pPr>
        <w:pStyle w:val="BodyText"/>
        <w:rPr>
          <w:lang w:val="en-PH"/>
        </w:rPr>
      </w:pPr>
      <w:r>
        <w:rPr>
          <w:lang w:val="en-PH"/>
        </w:rPr>
        <w:t>A number of benefits could not be reliably quantified</w:t>
      </w:r>
      <w:r w:rsidR="00A601F0">
        <w:rPr>
          <w:lang w:val="en-PH"/>
        </w:rPr>
        <w:t xml:space="preserve"> due to limited data (refer to section </w:t>
      </w:r>
      <w:r w:rsidR="00A601F0">
        <w:rPr>
          <w:lang w:val="en-PH"/>
        </w:rPr>
        <w:fldChar w:fldCharType="begin"/>
      </w:r>
      <w:r w:rsidR="00A601F0">
        <w:rPr>
          <w:lang w:val="en-PH"/>
        </w:rPr>
        <w:instrText xml:space="preserve"> REF _Ref508452398 \r \h </w:instrText>
      </w:r>
      <w:r w:rsidR="00A601F0">
        <w:rPr>
          <w:lang w:val="en-PH"/>
        </w:rPr>
      </w:r>
      <w:r w:rsidR="00A601F0">
        <w:rPr>
          <w:lang w:val="en-PH"/>
        </w:rPr>
        <w:fldChar w:fldCharType="separate"/>
      </w:r>
      <w:r w:rsidR="00A50702">
        <w:rPr>
          <w:lang w:val="en-PH"/>
        </w:rPr>
        <w:t>3.5.4</w:t>
      </w:r>
      <w:r w:rsidR="00A601F0">
        <w:rPr>
          <w:lang w:val="en-PH"/>
        </w:rPr>
        <w:fldChar w:fldCharType="end"/>
      </w:r>
      <w:r w:rsidR="00A601F0">
        <w:rPr>
          <w:lang w:val="en-PH"/>
        </w:rPr>
        <w:t>)</w:t>
      </w:r>
      <w:r>
        <w:rPr>
          <w:lang w:val="en-PH"/>
        </w:rPr>
        <w:t xml:space="preserve">. These include </w:t>
      </w:r>
      <w:r w:rsidR="00A601F0">
        <w:rPr>
          <w:lang w:val="en-PH"/>
        </w:rPr>
        <w:t xml:space="preserve">reduced labour productivity, a reduction in the emission of other pollutants, avoidance of some non-health </w:t>
      </w:r>
      <w:r w:rsidR="00C528B4">
        <w:rPr>
          <w:lang w:val="en-PH"/>
        </w:rPr>
        <w:t>impacts, and a reduction in secondary PM formation.</w:t>
      </w:r>
    </w:p>
    <w:p w14:paraId="48A48236" w14:textId="04E3C353" w:rsidR="00E633AF" w:rsidRDefault="00E633AF" w:rsidP="00E633AF">
      <w:pPr>
        <w:pStyle w:val="BodyText"/>
        <w:rPr>
          <w:lang w:val="en-PH"/>
        </w:rPr>
      </w:pPr>
      <w:r>
        <w:rPr>
          <w:lang w:val="en-PH"/>
        </w:rPr>
        <w:t xml:space="preserve">Some authors have estimated the </w:t>
      </w:r>
      <w:r w:rsidRPr="00E633AF">
        <w:rPr>
          <w:lang w:val="en-PH"/>
        </w:rPr>
        <w:t>marginal social costs of precursor emissions that lead to the</w:t>
      </w:r>
      <w:r>
        <w:rPr>
          <w:lang w:val="en-PH"/>
        </w:rPr>
        <w:t xml:space="preserve"> </w:t>
      </w:r>
      <w:r w:rsidRPr="00E633AF">
        <w:rPr>
          <w:lang w:val="en-PH"/>
        </w:rPr>
        <w:t xml:space="preserve">formation of secondary PM (e.g. see </w:t>
      </w:r>
      <w:r w:rsidR="00FC71D4">
        <w:rPr>
          <w:lang w:val="en-PH"/>
        </w:rPr>
        <w:t xml:space="preserve">Heo, Adams and Gao, 2016). </w:t>
      </w:r>
      <w:r w:rsidRPr="00E633AF">
        <w:rPr>
          <w:lang w:val="en-PH"/>
        </w:rPr>
        <w:t>Heo et al (2016) estimate a range of marginal social costs of</w:t>
      </w:r>
      <w:r w:rsidR="00FC71D4">
        <w:rPr>
          <w:lang w:val="en-PH"/>
        </w:rPr>
        <w:t xml:space="preserve"> </w:t>
      </w:r>
      <w:r w:rsidRPr="00E633AF">
        <w:rPr>
          <w:lang w:val="en-PH"/>
        </w:rPr>
        <w:t>US$3,800−14,000 per tonne NO</w:t>
      </w:r>
      <w:r w:rsidRPr="00FC71D4">
        <w:rPr>
          <w:vertAlign w:val="subscript"/>
          <w:lang w:val="en-PH"/>
        </w:rPr>
        <w:t>X</w:t>
      </w:r>
      <w:r w:rsidR="00FC71D4">
        <w:rPr>
          <w:lang w:val="en-PH"/>
        </w:rPr>
        <w:t xml:space="preserve">, and </w:t>
      </w:r>
      <w:r w:rsidR="000070BD">
        <w:rPr>
          <w:lang w:val="en-PH"/>
        </w:rPr>
        <w:t>US</w:t>
      </w:r>
      <w:r w:rsidR="000070BD" w:rsidRPr="000070BD">
        <w:rPr>
          <w:lang w:val="en-PH"/>
        </w:rPr>
        <w:t>$14,000−24,000</w:t>
      </w:r>
      <w:r w:rsidR="000070BD">
        <w:rPr>
          <w:lang w:val="en-PH"/>
        </w:rPr>
        <w:t xml:space="preserve"> </w:t>
      </w:r>
      <w:r w:rsidR="00FC71D4">
        <w:rPr>
          <w:lang w:val="en-PH"/>
        </w:rPr>
        <w:t>per tonne of SO</w:t>
      </w:r>
      <w:r w:rsidR="00FC71D4" w:rsidRPr="00FC71D4">
        <w:rPr>
          <w:vertAlign w:val="subscript"/>
          <w:lang w:val="en-PH"/>
        </w:rPr>
        <w:t>X</w:t>
      </w:r>
      <w:r w:rsidRPr="00E633AF">
        <w:rPr>
          <w:lang w:val="en-PH"/>
        </w:rPr>
        <w:t>. The authors note that ammonia is often the limiting factor for ammonium</w:t>
      </w:r>
      <w:r w:rsidR="00FC71D4">
        <w:rPr>
          <w:lang w:val="en-PH"/>
        </w:rPr>
        <w:t xml:space="preserve"> </w:t>
      </w:r>
      <w:r w:rsidRPr="00E633AF">
        <w:rPr>
          <w:lang w:val="en-PH"/>
        </w:rPr>
        <w:t>nitrate formation.</w:t>
      </w:r>
    </w:p>
    <w:p w14:paraId="1A998A50" w14:textId="2CA0C515" w:rsidR="00256378" w:rsidRDefault="00A45F34" w:rsidP="00E633AF">
      <w:pPr>
        <w:pStyle w:val="BodyText"/>
        <w:rPr>
          <w:lang w:val="en-PH"/>
        </w:rPr>
      </w:pPr>
      <w:r>
        <w:rPr>
          <w:lang w:val="en-PH"/>
        </w:rPr>
        <w:t>Using these estimates results in a very large potential benefit from reductions in secondary PM</w:t>
      </w:r>
      <w:r w:rsidR="00D9385D">
        <w:rPr>
          <w:lang w:val="en-PH"/>
        </w:rPr>
        <w:t xml:space="preserve"> formation,</w:t>
      </w:r>
      <w:r>
        <w:rPr>
          <w:lang w:val="en-PH"/>
        </w:rPr>
        <w:t xml:space="preserve"> through reductions in SO</w:t>
      </w:r>
      <w:r w:rsidRPr="00A45F34">
        <w:rPr>
          <w:vertAlign w:val="subscript"/>
          <w:lang w:val="en-PH"/>
        </w:rPr>
        <w:t>X</w:t>
      </w:r>
      <w:r>
        <w:rPr>
          <w:lang w:val="en-PH"/>
        </w:rPr>
        <w:t xml:space="preserve"> and NO</w:t>
      </w:r>
      <w:r w:rsidRPr="00A45F34">
        <w:rPr>
          <w:vertAlign w:val="subscript"/>
          <w:lang w:val="en-PH"/>
        </w:rPr>
        <w:t>X</w:t>
      </w:r>
      <w:r>
        <w:rPr>
          <w:lang w:val="en-PH"/>
        </w:rPr>
        <w:t xml:space="preserve"> emissions </w:t>
      </w:r>
      <w:r w:rsidR="00371F6E">
        <w:rPr>
          <w:lang w:val="en-PH"/>
        </w:rPr>
        <w:t xml:space="preserve">associated with the </w:t>
      </w:r>
      <w:r w:rsidR="00746EDF">
        <w:rPr>
          <w:lang w:val="en-PH"/>
        </w:rPr>
        <w:t>Abatement Package</w:t>
      </w:r>
      <w:r w:rsidR="009074FB">
        <w:rPr>
          <w:lang w:val="en-PH"/>
        </w:rPr>
        <w:t xml:space="preserve"> scenario</w:t>
      </w:r>
      <w:r w:rsidR="00D9385D">
        <w:rPr>
          <w:lang w:val="en-PH"/>
        </w:rPr>
        <w:t>,</w:t>
      </w:r>
      <w:r w:rsidR="00371F6E">
        <w:rPr>
          <w:lang w:val="en-PH"/>
        </w:rPr>
        <w:t xml:space="preserve"> </w:t>
      </w:r>
      <w:r>
        <w:rPr>
          <w:lang w:val="en-PH"/>
        </w:rPr>
        <w:t>of approximately AU$20 and AU $10 billion respectively.</w:t>
      </w:r>
      <w:r w:rsidR="00371F6E">
        <w:rPr>
          <w:lang w:val="en-PH"/>
        </w:rPr>
        <w:t xml:space="preserve"> However, </w:t>
      </w:r>
      <w:r w:rsidR="00E63A18">
        <w:rPr>
          <w:lang w:val="en-PH"/>
        </w:rPr>
        <w:t xml:space="preserve">these estimates are not appropriate </w:t>
      </w:r>
      <w:r w:rsidR="00256378">
        <w:rPr>
          <w:lang w:val="en-PH"/>
        </w:rPr>
        <w:t>to include in the CBA because:</w:t>
      </w:r>
    </w:p>
    <w:p w14:paraId="30C8F5FC" w14:textId="416F9269" w:rsidR="000523EC" w:rsidRDefault="00C750E6" w:rsidP="00256378">
      <w:pPr>
        <w:pStyle w:val="Bullet1"/>
        <w:rPr>
          <w:lang w:val="en-PH"/>
        </w:rPr>
      </w:pPr>
      <w:r>
        <w:rPr>
          <w:lang w:val="en-PH"/>
        </w:rPr>
        <w:t>population density and demographics in the source study are likely to be different to Australia airsheds</w:t>
      </w:r>
    </w:p>
    <w:p w14:paraId="7050A800" w14:textId="4F31905F" w:rsidR="00C750E6" w:rsidRDefault="00966F02" w:rsidP="00256378">
      <w:pPr>
        <w:pStyle w:val="Bullet1"/>
        <w:rPr>
          <w:lang w:val="en-PH"/>
        </w:rPr>
      </w:pPr>
      <w:r>
        <w:rPr>
          <w:lang w:val="en-PH"/>
        </w:rPr>
        <w:t>concentrations of ammonia are likely to play a major role in influencing the formation of secondary PM, and the relative concentrations of ammonia and other precursors to secondary PM formation are likely to be different in Australian airsheds compared to the airsheds of the source study</w:t>
      </w:r>
    </w:p>
    <w:p w14:paraId="3B7C7AA8" w14:textId="6769F140" w:rsidR="00966F02" w:rsidRDefault="00A13897" w:rsidP="00256378">
      <w:pPr>
        <w:pStyle w:val="Bullet1"/>
        <w:rPr>
          <w:lang w:val="en-PH"/>
        </w:rPr>
      </w:pPr>
      <w:r>
        <w:rPr>
          <w:lang w:val="en-PH"/>
        </w:rPr>
        <w:t>including both the effects from direct exposure and from secondary PM formation is likely to lead to double counting.</w:t>
      </w:r>
    </w:p>
    <w:p w14:paraId="717DC157" w14:textId="720E9DA8" w:rsidR="005F53F2" w:rsidRDefault="005F53F2" w:rsidP="00E633AF">
      <w:pPr>
        <w:pStyle w:val="BodyText"/>
        <w:rPr>
          <w:lang w:val="en-PH"/>
        </w:rPr>
      </w:pPr>
    </w:p>
    <w:p w14:paraId="46691F63" w14:textId="04051A35" w:rsidR="00A601F0" w:rsidRDefault="00A601F0" w:rsidP="001B6724">
      <w:pPr>
        <w:pStyle w:val="BodyText"/>
        <w:rPr>
          <w:lang w:val="en-PH"/>
        </w:rPr>
      </w:pPr>
    </w:p>
    <w:p w14:paraId="01DED640" w14:textId="5B082972" w:rsidR="00A601F0" w:rsidRDefault="00A601F0" w:rsidP="00A601F0">
      <w:pPr>
        <w:pStyle w:val="BodyText"/>
        <w:rPr>
          <w:lang w:val="en-PH"/>
        </w:rPr>
      </w:pPr>
    </w:p>
    <w:p w14:paraId="2A196F3C" w14:textId="77777777" w:rsidR="00A601F0" w:rsidRPr="00580105" w:rsidRDefault="00A601F0" w:rsidP="001B6724">
      <w:pPr>
        <w:pStyle w:val="BodyText"/>
        <w:rPr>
          <w:lang w:val="en-PH"/>
        </w:rPr>
      </w:pPr>
    </w:p>
    <w:p w14:paraId="50EF7938" w14:textId="77777777" w:rsidR="001B6724" w:rsidRDefault="001B6724" w:rsidP="001B6724">
      <w:pPr>
        <w:pStyle w:val="BodyText"/>
        <w:rPr>
          <w:lang w:val="en-PH"/>
        </w:rPr>
      </w:pPr>
    </w:p>
    <w:p w14:paraId="0E0A3C8D" w14:textId="77777777" w:rsidR="001B6724" w:rsidRPr="0069242B" w:rsidRDefault="001B6724" w:rsidP="001B6724">
      <w:pPr>
        <w:pStyle w:val="BodyText"/>
        <w:rPr>
          <w:lang w:val="en-PH"/>
        </w:rPr>
      </w:pPr>
    </w:p>
    <w:p w14:paraId="39C1B395" w14:textId="77777777" w:rsidR="001B6724" w:rsidRDefault="001B6724" w:rsidP="001B6724">
      <w:pPr>
        <w:pStyle w:val="BodyText"/>
        <w:rPr>
          <w:lang w:val="en-PH"/>
        </w:rPr>
      </w:pPr>
    </w:p>
    <w:p w14:paraId="5713241C" w14:textId="77777777" w:rsidR="001B6724" w:rsidRDefault="001B6724" w:rsidP="001B6724">
      <w:pPr>
        <w:pStyle w:val="BodyText"/>
        <w:rPr>
          <w:lang w:val="en-PH"/>
        </w:rPr>
      </w:pPr>
    </w:p>
    <w:p w14:paraId="145D1CDE" w14:textId="77777777" w:rsidR="001B6724" w:rsidRDefault="001B6724" w:rsidP="001B6724">
      <w:pPr>
        <w:pStyle w:val="BodyText"/>
        <w:rPr>
          <w:lang w:val="en-PH"/>
        </w:rPr>
      </w:pPr>
    </w:p>
    <w:p w14:paraId="53292A31" w14:textId="77777777" w:rsidR="001B6724" w:rsidRDefault="001B6724" w:rsidP="001B6724">
      <w:pPr>
        <w:spacing w:after="200" w:line="276" w:lineRule="auto"/>
        <w:rPr>
          <w:lang w:val="en-PH"/>
        </w:rPr>
      </w:pPr>
      <w:r>
        <w:rPr>
          <w:lang w:val="en-PH"/>
        </w:rPr>
        <w:br w:type="page"/>
      </w:r>
    </w:p>
    <w:p w14:paraId="6D4486D2" w14:textId="77777777" w:rsidR="001B6724" w:rsidRDefault="001B6724" w:rsidP="001B6724">
      <w:pPr>
        <w:pStyle w:val="Heading1"/>
        <w:rPr>
          <w:lang w:val="en-PH"/>
        </w:rPr>
      </w:pPr>
      <w:bookmarkStart w:id="56" w:name="_Ref508461549"/>
      <w:bookmarkStart w:id="57" w:name="_Toc518629893"/>
      <w:r>
        <w:rPr>
          <w:lang w:val="en-PH"/>
        </w:rPr>
        <w:lastRenderedPageBreak/>
        <w:t>Sensitivity analysis</w:t>
      </w:r>
      <w:bookmarkEnd w:id="56"/>
      <w:bookmarkEnd w:id="57"/>
    </w:p>
    <w:p w14:paraId="6BB950CC" w14:textId="77777777" w:rsidR="001B6724" w:rsidRDefault="001B6724" w:rsidP="008F5028">
      <w:pPr>
        <w:pStyle w:val="Heading2"/>
        <w:rPr>
          <w:lang w:val="en-PH"/>
        </w:rPr>
      </w:pPr>
      <w:bookmarkStart w:id="58" w:name="_Toc518629894"/>
      <w:r w:rsidRPr="008F5028">
        <w:t>Approach</w:t>
      </w:r>
      <w:r>
        <w:rPr>
          <w:lang w:val="en-PH"/>
        </w:rPr>
        <w:t xml:space="preserve"> to sensitivity analysis</w:t>
      </w:r>
      <w:bookmarkEnd w:id="58"/>
    </w:p>
    <w:p w14:paraId="03A4C5C8" w14:textId="4EBD03C2" w:rsidR="001B6724" w:rsidRDefault="00E27426" w:rsidP="001B6724">
      <w:pPr>
        <w:pStyle w:val="BodyText"/>
        <w:rPr>
          <w:lang w:val="en-PH"/>
        </w:rPr>
      </w:pPr>
      <w:r>
        <w:rPr>
          <w:lang w:val="en-PH"/>
        </w:rPr>
        <w:t xml:space="preserve">The CBA uses a number of </w:t>
      </w:r>
      <w:r w:rsidR="007E641E">
        <w:rPr>
          <w:lang w:val="en-PH"/>
        </w:rPr>
        <w:t xml:space="preserve">economic and technical </w:t>
      </w:r>
      <w:r>
        <w:rPr>
          <w:lang w:val="en-PH"/>
        </w:rPr>
        <w:t>assumptions that are inherently uncertain. These include:</w:t>
      </w:r>
    </w:p>
    <w:p w14:paraId="4C34A0E5" w14:textId="77777777" w:rsidR="004F6FA1" w:rsidRDefault="00DA293D" w:rsidP="00DA293D">
      <w:pPr>
        <w:pStyle w:val="Bullet1"/>
        <w:rPr>
          <w:lang w:val="en-PH"/>
        </w:rPr>
      </w:pPr>
      <w:r>
        <w:rPr>
          <w:lang w:val="en-PH"/>
        </w:rPr>
        <w:t>choice of social discount rate</w:t>
      </w:r>
    </w:p>
    <w:p w14:paraId="646F6ABF" w14:textId="77777777" w:rsidR="00684460" w:rsidRDefault="00684460" w:rsidP="00684460">
      <w:pPr>
        <w:pStyle w:val="Bullet1"/>
        <w:rPr>
          <w:lang w:val="en-PH"/>
        </w:rPr>
      </w:pPr>
      <w:r>
        <w:rPr>
          <w:lang w:val="en-PH"/>
        </w:rPr>
        <w:t>a low or high VSL</w:t>
      </w:r>
    </w:p>
    <w:p w14:paraId="555A159A" w14:textId="77777777" w:rsidR="00684460" w:rsidRDefault="00684460" w:rsidP="00684460">
      <w:pPr>
        <w:pStyle w:val="Bullet1"/>
        <w:rPr>
          <w:lang w:val="en-PH"/>
        </w:rPr>
      </w:pPr>
      <w:r>
        <w:rPr>
          <w:lang w:val="en-PH"/>
        </w:rPr>
        <w:t xml:space="preserve">uncertainty in costs </w:t>
      </w:r>
    </w:p>
    <w:p w14:paraId="11E4732E" w14:textId="67CA4B87" w:rsidR="004F6FA1" w:rsidRDefault="004F6FA1" w:rsidP="00DA293D">
      <w:pPr>
        <w:pStyle w:val="Bullet1"/>
        <w:rPr>
          <w:lang w:val="en-PH"/>
        </w:rPr>
      </w:pPr>
      <w:r>
        <w:rPr>
          <w:lang w:val="en-PH"/>
        </w:rPr>
        <w:t>choice of CRFs</w:t>
      </w:r>
    </w:p>
    <w:p w14:paraId="56C072AD" w14:textId="27BD701D" w:rsidR="00AD2F63" w:rsidRDefault="00AD2F63" w:rsidP="00DA293D">
      <w:pPr>
        <w:pStyle w:val="Bullet1"/>
        <w:rPr>
          <w:lang w:val="en-PH"/>
        </w:rPr>
      </w:pPr>
      <w:r>
        <w:rPr>
          <w:lang w:val="en-PH"/>
        </w:rPr>
        <w:t xml:space="preserve">uncertainty in the air quality analysis </w:t>
      </w:r>
      <w:r w:rsidR="004A32DE">
        <w:rPr>
          <w:lang w:val="en-PH"/>
        </w:rPr>
        <w:t xml:space="preserve">used to model changes in pollutant </w:t>
      </w:r>
      <w:r w:rsidR="0012133F">
        <w:rPr>
          <w:lang w:val="en-PH"/>
        </w:rPr>
        <w:t>concentrations</w:t>
      </w:r>
    </w:p>
    <w:p w14:paraId="4FAFE40B" w14:textId="5F12DF2E" w:rsidR="00B10588" w:rsidRDefault="008E7624" w:rsidP="00DA293D">
      <w:pPr>
        <w:pStyle w:val="Bullet1"/>
        <w:rPr>
          <w:lang w:val="en-PH"/>
        </w:rPr>
      </w:pPr>
      <w:r>
        <w:rPr>
          <w:lang w:val="en-PH"/>
        </w:rPr>
        <w:t>a low or high health response from change</w:t>
      </w:r>
      <w:r w:rsidR="0026076A">
        <w:rPr>
          <w:lang w:val="en-PH"/>
        </w:rPr>
        <w:t>s</w:t>
      </w:r>
      <w:r>
        <w:rPr>
          <w:lang w:val="en-PH"/>
        </w:rPr>
        <w:t xml:space="preserve"> in pollutant exposure</w:t>
      </w:r>
      <w:r w:rsidR="00C05A12">
        <w:rPr>
          <w:lang w:val="en-PH"/>
        </w:rPr>
        <w:t>.</w:t>
      </w:r>
    </w:p>
    <w:p w14:paraId="4999D4F1" w14:textId="5604656E" w:rsidR="0076680F" w:rsidRDefault="0076680F" w:rsidP="0076680F">
      <w:pPr>
        <w:pStyle w:val="Heading3"/>
        <w:rPr>
          <w:lang w:val="en-PH"/>
        </w:rPr>
      </w:pPr>
      <w:r>
        <w:rPr>
          <w:lang w:val="en-PH"/>
        </w:rPr>
        <w:t>Uncertain economic assumptions</w:t>
      </w:r>
    </w:p>
    <w:p w14:paraId="6344460C" w14:textId="7855A771" w:rsidR="001B6724" w:rsidRDefault="000672EC" w:rsidP="000672EC">
      <w:pPr>
        <w:pStyle w:val="Heading6"/>
        <w:rPr>
          <w:lang w:val="en-PH"/>
        </w:rPr>
      </w:pPr>
      <w:r>
        <w:rPr>
          <w:lang w:val="en-PH"/>
        </w:rPr>
        <w:t>Choice of social discount rate</w:t>
      </w:r>
    </w:p>
    <w:p w14:paraId="09058AE5" w14:textId="6B4EC872" w:rsidR="000672EC" w:rsidRDefault="000672EC" w:rsidP="000672EC">
      <w:pPr>
        <w:pStyle w:val="BodyText"/>
        <w:rPr>
          <w:lang w:val="en-PH"/>
        </w:rPr>
      </w:pPr>
      <w:r>
        <w:rPr>
          <w:lang w:val="en-PH"/>
        </w:rPr>
        <w:t>The social discount rate represents the rate at which future costs and benefits are reduced so that they are comparable with costs and benefits incurred today.</w:t>
      </w:r>
      <w:r w:rsidR="00FC3979">
        <w:rPr>
          <w:lang w:val="en-PH"/>
        </w:rPr>
        <w:t xml:space="preserve"> It can be based on the rate at which society is willing to give up consumption today for greater consumption in the future (the ‘time preference’ approach), or the rate of return that </w:t>
      </w:r>
      <w:r w:rsidR="00F60F6B">
        <w:rPr>
          <w:lang w:val="en-PH"/>
        </w:rPr>
        <w:t xml:space="preserve">the </w:t>
      </w:r>
      <w:r w:rsidR="00FC3979">
        <w:rPr>
          <w:lang w:val="en-PH"/>
        </w:rPr>
        <w:t>funds could have achieved by investing the funds in an alternative policy or project (the ‘opportunity cost’ approach).</w:t>
      </w:r>
    </w:p>
    <w:p w14:paraId="0A4B1564" w14:textId="0A6E591E" w:rsidR="0094061D" w:rsidRDefault="0094061D" w:rsidP="000672EC">
      <w:pPr>
        <w:pStyle w:val="BodyText"/>
        <w:rPr>
          <w:lang w:val="en-PH"/>
        </w:rPr>
      </w:pPr>
      <w:r>
        <w:rPr>
          <w:lang w:val="en-PH"/>
        </w:rPr>
        <w:t>This rate is both highly uncertain, and debated among economists.</w:t>
      </w:r>
      <w:r w:rsidR="000B14C1">
        <w:rPr>
          <w:lang w:val="en-PH"/>
        </w:rPr>
        <w:t xml:space="preserve"> </w:t>
      </w:r>
      <w:r w:rsidR="000B14C1" w:rsidRPr="000B14C1">
        <w:rPr>
          <w:lang w:val="en-PH"/>
        </w:rPr>
        <w:t xml:space="preserve">The CBA </w:t>
      </w:r>
      <w:r w:rsidR="000B14C1">
        <w:rPr>
          <w:lang w:val="en-PH"/>
        </w:rPr>
        <w:t xml:space="preserve">uses </w:t>
      </w:r>
      <w:r w:rsidR="000B14C1" w:rsidRPr="000B14C1">
        <w:rPr>
          <w:lang w:val="en-PH"/>
        </w:rPr>
        <w:t>a central social dis</w:t>
      </w:r>
      <w:r w:rsidR="000B14C1">
        <w:rPr>
          <w:lang w:val="en-PH"/>
        </w:rPr>
        <w:t xml:space="preserve">count rate of 7 per cent (real), consistent with the guidance provided by </w:t>
      </w:r>
      <w:r w:rsidR="000B14C1" w:rsidRPr="000B14C1">
        <w:rPr>
          <w:lang w:val="en-PH"/>
        </w:rPr>
        <w:t>OBPR</w:t>
      </w:r>
      <w:r w:rsidR="000B14C1">
        <w:rPr>
          <w:lang w:val="en-PH"/>
        </w:rPr>
        <w:t xml:space="preserve"> (</w:t>
      </w:r>
      <w:r w:rsidR="000B14C1" w:rsidRPr="000B14C1">
        <w:rPr>
          <w:lang w:val="en-PH"/>
        </w:rPr>
        <w:t>2016)</w:t>
      </w:r>
      <w:r w:rsidR="0015320F">
        <w:rPr>
          <w:lang w:val="en-PH"/>
        </w:rPr>
        <w:t xml:space="preserve">. Following the same guidance, the sensitivity analysis uses </w:t>
      </w:r>
      <w:r w:rsidR="000B14C1" w:rsidRPr="000B14C1">
        <w:rPr>
          <w:lang w:val="en-PH"/>
        </w:rPr>
        <w:t xml:space="preserve">discount rates of 3 </w:t>
      </w:r>
      <w:r w:rsidR="0015320F">
        <w:rPr>
          <w:lang w:val="en-PH"/>
        </w:rPr>
        <w:t>and 10 per cent (real).</w:t>
      </w:r>
      <w:r w:rsidR="00CE5427">
        <w:rPr>
          <w:lang w:val="en-PH"/>
        </w:rPr>
        <w:t xml:space="preserve"> In particular, a lower discount rate is justified on the grounds that the opportunity costs </w:t>
      </w:r>
      <w:r w:rsidR="00DB02AD">
        <w:rPr>
          <w:lang w:val="en-PH"/>
        </w:rPr>
        <w:t xml:space="preserve">of </w:t>
      </w:r>
      <w:r w:rsidR="00CE5427">
        <w:rPr>
          <w:lang w:val="en-PH"/>
        </w:rPr>
        <w:t xml:space="preserve">funds are currently </w:t>
      </w:r>
      <w:r w:rsidR="00D40182">
        <w:rPr>
          <w:lang w:val="en-PH"/>
        </w:rPr>
        <w:t>very low internationally, by historical standards</w:t>
      </w:r>
      <w:r w:rsidR="00CE5427">
        <w:rPr>
          <w:lang w:val="en-PH"/>
        </w:rPr>
        <w:t>.</w:t>
      </w:r>
    </w:p>
    <w:p w14:paraId="7D0AB725" w14:textId="77777777" w:rsidR="0076680F" w:rsidRDefault="0076680F" w:rsidP="0076680F">
      <w:pPr>
        <w:pStyle w:val="Heading6"/>
        <w:rPr>
          <w:lang w:val="en-PH"/>
        </w:rPr>
      </w:pPr>
      <w:r>
        <w:rPr>
          <w:lang w:val="en-PH"/>
        </w:rPr>
        <w:t>Low or high VSL</w:t>
      </w:r>
    </w:p>
    <w:p w14:paraId="1F210D77" w14:textId="77777777" w:rsidR="0076680F" w:rsidRPr="00965F77" w:rsidRDefault="0076680F" w:rsidP="0076680F">
      <w:pPr>
        <w:pStyle w:val="BodyText"/>
        <w:rPr>
          <w:lang w:val="en-PH"/>
        </w:rPr>
      </w:pPr>
      <w:r>
        <w:rPr>
          <w:lang w:val="en-PH"/>
        </w:rPr>
        <w:t>To reflect uncertainty in the estimate of the VSL, and the corresponding VSLY, Access Economics provides two sensitivity values for VSL. These have been used in sensitivity analysis, after adjusting for the increase in WTP to avoid the risk of premature mortality over time, and changes in prices. The results in low and high VSL values of $4.6 and $10.0 million (2016 prices), compared to a central value of $7.4 million.</w:t>
      </w:r>
    </w:p>
    <w:p w14:paraId="10C15FF1" w14:textId="77777777" w:rsidR="0076680F" w:rsidRDefault="0076680F" w:rsidP="0076680F">
      <w:pPr>
        <w:pStyle w:val="Heading6"/>
        <w:rPr>
          <w:lang w:val="en-PH"/>
        </w:rPr>
      </w:pPr>
      <w:r>
        <w:rPr>
          <w:lang w:val="en-PH"/>
        </w:rPr>
        <w:t>Lower or highest abatement costs</w:t>
      </w:r>
    </w:p>
    <w:p w14:paraId="658A64BC" w14:textId="77777777" w:rsidR="0076680F" w:rsidRPr="00022C94" w:rsidRDefault="0076680F" w:rsidP="0076680F">
      <w:pPr>
        <w:pStyle w:val="BodyText"/>
        <w:rPr>
          <w:lang w:val="en-PH"/>
        </w:rPr>
      </w:pPr>
      <w:r>
        <w:rPr>
          <w:lang w:val="en-PH"/>
        </w:rPr>
        <w:t>The abatement cost analysis relies on publicly available data on abatement measures adopted internationally. Some of these data may be out of date due to developments in abatement technologies and costs, and some may not reflect the likely costs of implementation in Australia. In many cases the sources acknowledge the uncertainty in cost estimates. To acknowledge this uncertainty, two sensitivity tests are included – a low costs sensitivity (assuming 50 per cent of the central costs) and a high costs sensitivity (assuming 150 per cent of the central costs).</w:t>
      </w:r>
    </w:p>
    <w:p w14:paraId="5A647DB4" w14:textId="49F97B76" w:rsidR="0076680F" w:rsidRDefault="0076680F" w:rsidP="0076680F">
      <w:pPr>
        <w:pStyle w:val="Heading3"/>
        <w:rPr>
          <w:lang w:val="en-PH"/>
        </w:rPr>
      </w:pPr>
      <w:r>
        <w:rPr>
          <w:lang w:val="en-PH"/>
        </w:rPr>
        <w:lastRenderedPageBreak/>
        <w:t>Uncertain technical assumptions</w:t>
      </w:r>
    </w:p>
    <w:p w14:paraId="0289A93C" w14:textId="6823F1B4" w:rsidR="00965F77" w:rsidRDefault="00965F77" w:rsidP="00965F77">
      <w:pPr>
        <w:pStyle w:val="Heading6"/>
        <w:rPr>
          <w:lang w:val="en-PH"/>
        </w:rPr>
      </w:pPr>
      <w:r>
        <w:rPr>
          <w:lang w:val="en-PH"/>
        </w:rPr>
        <w:t>Choice of CRFs</w:t>
      </w:r>
    </w:p>
    <w:p w14:paraId="61703767" w14:textId="2EB58CDF" w:rsidR="00876F38" w:rsidRDefault="00876F38" w:rsidP="00876F38">
      <w:pPr>
        <w:pStyle w:val="BodyText"/>
        <w:rPr>
          <w:lang w:val="en-PH"/>
        </w:rPr>
      </w:pPr>
      <w:r>
        <w:rPr>
          <w:lang w:val="en-PH"/>
        </w:rPr>
        <w:t xml:space="preserve">The central results in the CBA use CRFs </w:t>
      </w:r>
      <w:r w:rsidR="009C1316">
        <w:rPr>
          <w:lang w:val="en-PH"/>
        </w:rPr>
        <w:t>for NO</w:t>
      </w:r>
      <w:r w:rsidR="009C1316" w:rsidRPr="00B326CA">
        <w:rPr>
          <w:vertAlign w:val="subscript"/>
          <w:lang w:val="en-PH"/>
        </w:rPr>
        <w:t>2</w:t>
      </w:r>
      <w:r w:rsidR="009C1316">
        <w:rPr>
          <w:lang w:val="en-PH"/>
        </w:rPr>
        <w:t xml:space="preserve"> and O</w:t>
      </w:r>
      <w:r w:rsidR="009C1316" w:rsidRPr="00B326CA">
        <w:rPr>
          <w:vertAlign w:val="subscript"/>
          <w:lang w:val="en-PH"/>
        </w:rPr>
        <w:t>3</w:t>
      </w:r>
      <w:r w:rsidR="009C1316">
        <w:rPr>
          <w:lang w:val="en-PH"/>
        </w:rPr>
        <w:t xml:space="preserve"> exposure </w:t>
      </w:r>
      <w:r>
        <w:rPr>
          <w:lang w:val="en-PH"/>
        </w:rPr>
        <w:t>that are based on recommendations by the World Health Organi</w:t>
      </w:r>
      <w:r w:rsidR="005E4BB5">
        <w:rPr>
          <w:lang w:val="en-PH"/>
        </w:rPr>
        <w:t>z</w:t>
      </w:r>
      <w:r>
        <w:rPr>
          <w:lang w:val="en-PH"/>
        </w:rPr>
        <w:t xml:space="preserve">ation (WHO) from the recent </w:t>
      </w:r>
      <w:r w:rsidRPr="00A5116E">
        <w:rPr>
          <w:i/>
          <w:lang w:val="en-PH"/>
        </w:rPr>
        <w:t>Health risks of air pollution in Europe – HRAPIE</w:t>
      </w:r>
      <w:r w:rsidRPr="00A5116E">
        <w:rPr>
          <w:lang w:val="en-PH"/>
        </w:rPr>
        <w:t xml:space="preserve"> project</w:t>
      </w:r>
      <w:r>
        <w:rPr>
          <w:lang w:val="en-PH"/>
        </w:rPr>
        <w:t xml:space="preserve"> (WHO, 2013). </w:t>
      </w:r>
    </w:p>
    <w:p w14:paraId="1997DDEB" w14:textId="025F5E5C" w:rsidR="00876F38" w:rsidRDefault="00876F38" w:rsidP="00876F38">
      <w:pPr>
        <w:pStyle w:val="BodyText"/>
        <w:rPr>
          <w:lang w:val="en-PH"/>
        </w:rPr>
      </w:pPr>
      <w:r>
        <w:rPr>
          <w:lang w:val="en-PH"/>
        </w:rPr>
        <w:t xml:space="preserve">To reflect uncertainty in the possible health response, the CBA also reports two sensitivities using alternative </w:t>
      </w:r>
      <w:r w:rsidR="005B23D2">
        <w:rPr>
          <w:lang w:val="en-PH"/>
        </w:rPr>
        <w:t xml:space="preserve">groups </w:t>
      </w:r>
      <w:r>
        <w:rPr>
          <w:lang w:val="en-PH"/>
        </w:rPr>
        <w:t xml:space="preserve">of CRFs. The first </w:t>
      </w:r>
      <w:r w:rsidR="00BD3843">
        <w:rPr>
          <w:lang w:val="en-PH"/>
        </w:rPr>
        <w:t>(Group 2)</w:t>
      </w:r>
      <w:r w:rsidR="001676F5" w:rsidRPr="001676F5">
        <w:rPr>
          <w:lang w:val="en-PH"/>
        </w:rPr>
        <w:t xml:space="preserve"> </w:t>
      </w:r>
      <w:r w:rsidR="001676F5">
        <w:rPr>
          <w:lang w:val="en-PH"/>
        </w:rPr>
        <w:t>applies the HRAPIE recommendations except for the application of a cut-off (referred to as the ‘no cut-off’ sensitivity), because while uncertain there may be some health effects from population exposure to concentrations below the cut-off levels.</w:t>
      </w:r>
      <w:r>
        <w:rPr>
          <w:lang w:val="en-PH"/>
        </w:rPr>
        <w:t xml:space="preserve"> The second </w:t>
      </w:r>
      <w:r w:rsidR="00BD3843">
        <w:rPr>
          <w:lang w:val="en-PH"/>
        </w:rPr>
        <w:t xml:space="preserve">(Group 3) </w:t>
      </w:r>
      <w:r w:rsidR="001676F5">
        <w:rPr>
          <w:lang w:val="en-PH"/>
        </w:rPr>
        <w:t xml:space="preserve">uses recommendations from an earlier Australian study prepared for EPA Victoria titled </w:t>
      </w:r>
      <w:r w:rsidR="001676F5">
        <w:rPr>
          <w:i/>
          <w:lang w:val="en-PH"/>
        </w:rPr>
        <w:t xml:space="preserve">Health Risk Assessment – Preliminary Work to Identify Concentration-Response Functions for Selected Ambient Air Pollutants </w:t>
      </w:r>
      <w:r w:rsidR="001676F5">
        <w:rPr>
          <w:lang w:val="en-PH"/>
        </w:rPr>
        <w:t>(Jalaludin and Cowie, 2012) to quantify the mortality outcomes associated with exposure to NO</w:t>
      </w:r>
      <w:r w:rsidR="001676F5" w:rsidRPr="00B76FCC">
        <w:rPr>
          <w:vertAlign w:val="subscript"/>
          <w:lang w:val="en-PH"/>
        </w:rPr>
        <w:t>2</w:t>
      </w:r>
      <w:r w:rsidR="001676F5">
        <w:rPr>
          <w:lang w:val="en-PH"/>
        </w:rPr>
        <w:t xml:space="preserve"> and O</w:t>
      </w:r>
      <w:r w:rsidR="001676F5" w:rsidRPr="00B76FCC">
        <w:rPr>
          <w:vertAlign w:val="subscript"/>
          <w:lang w:val="en-PH"/>
        </w:rPr>
        <w:t>3</w:t>
      </w:r>
      <w:r w:rsidR="001676F5">
        <w:rPr>
          <w:lang w:val="en-PH"/>
        </w:rPr>
        <w:t>.</w:t>
      </w:r>
    </w:p>
    <w:p w14:paraId="1D096DB1" w14:textId="273495AB" w:rsidR="00876F38" w:rsidRDefault="007B1F49" w:rsidP="00876F38">
      <w:pPr>
        <w:pStyle w:val="Heading6"/>
        <w:rPr>
          <w:lang w:val="en-PH"/>
        </w:rPr>
      </w:pPr>
      <w:r>
        <w:rPr>
          <w:lang w:val="en-PH"/>
        </w:rPr>
        <w:t>Uncertainty in the air quality analysis</w:t>
      </w:r>
    </w:p>
    <w:p w14:paraId="45FC6A0C" w14:textId="5E06F78C" w:rsidR="00965F77" w:rsidRDefault="00DF6534" w:rsidP="00965F77">
      <w:pPr>
        <w:pStyle w:val="BodyText"/>
        <w:rPr>
          <w:lang w:val="en-PH"/>
        </w:rPr>
      </w:pPr>
      <w:r>
        <w:rPr>
          <w:lang w:val="en-PH"/>
        </w:rPr>
        <w:t xml:space="preserve">The estimate </w:t>
      </w:r>
      <w:r w:rsidRPr="00DF6534">
        <w:rPr>
          <w:lang w:val="en-PH"/>
        </w:rPr>
        <w:t xml:space="preserve">of health effects and </w:t>
      </w:r>
      <w:r>
        <w:rPr>
          <w:lang w:val="en-PH"/>
        </w:rPr>
        <w:t xml:space="preserve">associated </w:t>
      </w:r>
      <w:r w:rsidRPr="00DF6534">
        <w:rPr>
          <w:lang w:val="en-PH"/>
        </w:rPr>
        <w:t xml:space="preserve">benefits </w:t>
      </w:r>
      <w:r>
        <w:rPr>
          <w:lang w:val="en-PH"/>
        </w:rPr>
        <w:t xml:space="preserve">is </w:t>
      </w:r>
      <w:r w:rsidRPr="00DF6534">
        <w:rPr>
          <w:lang w:val="en-PH"/>
        </w:rPr>
        <w:t>based on modelling that predicts concentrations of pollutants</w:t>
      </w:r>
      <w:r>
        <w:rPr>
          <w:lang w:val="en-PH"/>
        </w:rPr>
        <w:t>.</w:t>
      </w:r>
      <w:r w:rsidRPr="00DF6534">
        <w:rPr>
          <w:lang w:val="en-PH"/>
        </w:rPr>
        <w:t xml:space="preserve"> </w:t>
      </w:r>
      <w:r w:rsidR="004A7AF9">
        <w:rPr>
          <w:lang w:val="en-PH"/>
        </w:rPr>
        <w:t>The acc</w:t>
      </w:r>
      <w:r w:rsidR="000C5661">
        <w:rPr>
          <w:lang w:val="en-PH"/>
        </w:rPr>
        <w:t>uracy of the models in predicting</w:t>
      </w:r>
      <w:r w:rsidR="004A7AF9">
        <w:rPr>
          <w:lang w:val="en-PH"/>
        </w:rPr>
        <w:t xml:space="preserve"> historical concentrations was analysed to characterise the uncertainty in air quality modelling and the impact this has </w:t>
      </w:r>
      <w:r w:rsidR="00295CBC">
        <w:rPr>
          <w:lang w:val="en-PH"/>
        </w:rPr>
        <w:t xml:space="preserve">on CBA results. </w:t>
      </w:r>
      <w:r w:rsidR="00433885">
        <w:rPr>
          <w:lang w:val="en-PH"/>
        </w:rPr>
        <w:t>This analysis focuse</w:t>
      </w:r>
      <w:r w:rsidR="00296346">
        <w:rPr>
          <w:lang w:val="en-PH"/>
        </w:rPr>
        <w:t>d</w:t>
      </w:r>
      <w:r w:rsidR="00433885">
        <w:rPr>
          <w:lang w:val="en-PH"/>
        </w:rPr>
        <w:t xml:space="preserve"> on the uncertainty in predicting NO</w:t>
      </w:r>
      <w:r w:rsidR="00433885" w:rsidRPr="00433885">
        <w:rPr>
          <w:vertAlign w:val="subscript"/>
          <w:lang w:val="en-PH"/>
        </w:rPr>
        <w:t>2</w:t>
      </w:r>
      <w:r w:rsidR="00433885">
        <w:rPr>
          <w:lang w:val="en-PH"/>
        </w:rPr>
        <w:t xml:space="preserve"> and O</w:t>
      </w:r>
      <w:r w:rsidR="00433885" w:rsidRPr="00433885">
        <w:rPr>
          <w:vertAlign w:val="subscript"/>
          <w:lang w:val="en-PH"/>
        </w:rPr>
        <w:t>3</w:t>
      </w:r>
      <w:r w:rsidR="00433885">
        <w:rPr>
          <w:lang w:val="en-PH"/>
        </w:rPr>
        <w:t xml:space="preserve"> concentrations because of their association with premature mortality, which dominates abatement benefits.</w:t>
      </w:r>
    </w:p>
    <w:p w14:paraId="74279614" w14:textId="5797C1C5" w:rsidR="00032858" w:rsidRPr="00965F77" w:rsidRDefault="00032858" w:rsidP="00965F77">
      <w:pPr>
        <w:pStyle w:val="BodyText"/>
        <w:rPr>
          <w:lang w:val="en-PH"/>
        </w:rPr>
      </w:pPr>
      <w:r>
        <w:rPr>
          <w:lang w:val="en-PH"/>
        </w:rPr>
        <w:t>The analysis was conducted by computing the average ratio of modelled vs monitored concentrations</w:t>
      </w:r>
      <w:r w:rsidR="00275171">
        <w:rPr>
          <w:lang w:val="en-PH"/>
        </w:rPr>
        <w:t xml:space="preserve"> across each of the monitoring locations in an airshed.</w:t>
      </w:r>
      <w:r w:rsidR="00B7392B">
        <w:rPr>
          <w:lang w:val="en-PH"/>
        </w:rPr>
        <w:t xml:space="preserve"> This produces a time series of ratio values</w:t>
      </w:r>
      <w:r w:rsidR="0079747D">
        <w:rPr>
          <w:lang w:val="en-PH"/>
        </w:rPr>
        <w:t>, including one for each day of the year for NO</w:t>
      </w:r>
      <w:r w:rsidR="0079747D" w:rsidRPr="0079747D">
        <w:rPr>
          <w:vertAlign w:val="subscript"/>
          <w:lang w:val="en-PH"/>
        </w:rPr>
        <w:t>2</w:t>
      </w:r>
      <w:r w:rsidR="0079747D">
        <w:rPr>
          <w:lang w:val="en-PH"/>
        </w:rPr>
        <w:t xml:space="preserve"> and O</w:t>
      </w:r>
      <w:r w:rsidR="0079747D" w:rsidRPr="0079747D">
        <w:rPr>
          <w:vertAlign w:val="subscript"/>
          <w:lang w:val="en-PH"/>
        </w:rPr>
        <w:t>3</w:t>
      </w:r>
      <w:r w:rsidR="00773D78">
        <w:rPr>
          <w:vertAlign w:val="subscript"/>
          <w:lang w:val="en-PH"/>
        </w:rPr>
        <w:t>.</w:t>
      </w:r>
      <w:r w:rsidR="00773D78">
        <w:rPr>
          <w:lang w:val="en-PH"/>
        </w:rPr>
        <w:t xml:space="preserve"> </w:t>
      </w:r>
      <w:r w:rsidR="00B7392B">
        <w:rPr>
          <w:lang w:val="en-PH"/>
        </w:rPr>
        <w:t>The 95</w:t>
      </w:r>
      <w:r w:rsidR="00B7392B" w:rsidRPr="00B7392B">
        <w:rPr>
          <w:vertAlign w:val="superscript"/>
          <w:lang w:val="en-PH"/>
        </w:rPr>
        <w:t>th</w:t>
      </w:r>
      <w:r w:rsidR="00B7392B">
        <w:rPr>
          <w:lang w:val="en-PH"/>
        </w:rPr>
        <w:t xml:space="preserve"> percentile </w:t>
      </w:r>
      <w:r w:rsidR="00773D78">
        <w:rPr>
          <w:lang w:val="en-PH"/>
        </w:rPr>
        <w:t xml:space="preserve">range of this series is approximately 50 per cent of modelled concentrations to 200 per cent of modelled concentrations. </w:t>
      </w:r>
      <w:r w:rsidR="00757576">
        <w:rPr>
          <w:lang w:val="en-PH"/>
        </w:rPr>
        <w:t xml:space="preserve">This range was used to assess how uncertainty in air quality modelling propagates to </w:t>
      </w:r>
      <w:r w:rsidR="000D7C41">
        <w:rPr>
          <w:lang w:val="en-PH"/>
        </w:rPr>
        <w:t xml:space="preserve">uncertainty in </w:t>
      </w:r>
      <w:r w:rsidR="00757576">
        <w:rPr>
          <w:lang w:val="en-PH"/>
        </w:rPr>
        <w:t>the CBA results.</w:t>
      </w:r>
    </w:p>
    <w:p w14:paraId="6639CF15" w14:textId="0D482500" w:rsidR="00650613" w:rsidRDefault="00650613" w:rsidP="00650613">
      <w:pPr>
        <w:pStyle w:val="Heading6"/>
        <w:rPr>
          <w:lang w:val="en-PH"/>
        </w:rPr>
      </w:pPr>
      <w:r>
        <w:rPr>
          <w:lang w:val="en-PH"/>
        </w:rPr>
        <w:t>Low or high health response</w:t>
      </w:r>
    </w:p>
    <w:p w14:paraId="23C01C16" w14:textId="0E9677C4" w:rsidR="00022C94" w:rsidRDefault="00022C94" w:rsidP="00022C94">
      <w:pPr>
        <w:pStyle w:val="BodyText"/>
        <w:rPr>
          <w:lang w:val="en-PH"/>
        </w:rPr>
      </w:pPr>
      <w:r>
        <w:rPr>
          <w:lang w:val="en-PH"/>
        </w:rPr>
        <w:t>The literature sources for CRFs provide a range of values to reflect uncertainty in the epidemiological data used to derive the CRF.</w:t>
      </w:r>
      <w:r w:rsidR="004534DB">
        <w:rPr>
          <w:lang w:val="en-PH"/>
        </w:rPr>
        <w:t xml:space="preserve"> The uncertainty range is normally presented as a 95 per cent confidence interval.</w:t>
      </w:r>
      <w:r w:rsidR="00E47FF5">
        <w:rPr>
          <w:lang w:val="en-PH"/>
        </w:rPr>
        <w:t xml:space="preserve"> The low and high values from this range have been used in the sensitivity analysis.</w:t>
      </w:r>
    </w:p>
    <w:p w14:paraId="30A3DF8F" w14:textId="77777777" w:rsidR="001B6724" w:rsidRDefault="001B6724" w:rsidP="008F5028">
      <w:pPr>
        <w:pStyle w:val="Heading2"/>
        <w:rPr>
          <w:lang w:val="en-PH"/>
        </w:rPr>
      </w:pPr>
      <w:bookmarkStart w:id="59" w:name="_Toc518629895"/>
      <w:r w:rsidRPr="008F5028">
        <w:t>Results</w:t>
      </w:r>
      <w:r>
        <w:rPr>
          <w:lang w:val="en-PH"/>
        </w:rPr>
        <w:t xml:space="preserve"> of the sensitivity analysis</w:t>
      </w:r>
      <w:bookmarkEnd w:id="59"/>
    </w:p>
    <w:p w14:paraId="19C44565" w14:textId="79088224" w:rsidR="001B6724" w:rsidRDefault="00663E98" w:rsidP="001B6724">
      <w:pPr>
        <w:pStyle w:val="BodyText"/>
        <w:rPr>
          <w:lang w:val="en-PH"/>
        </w:rPr>
      </w:pPr>
      <w:r w:rsidRPr="00D54A96">
        <w:rPr>
          <w:lang w:val="en-PH"/>
        </w:rPr>
        <w:t xml:space="preserve">The results of the sensitivity analysis are presented in </w:t>
      </w:r>
      <w:r w:rsidR="00D54A96" w:rsidRPr="00D54A96">
        <w:rPr>
          <w:lang w:val="en-PH"/>
        </w:rPr>
        <w:fldChar w:fldCharType="begin"/>
      </w:r>
      <w:r w:rsidR="00D54A96" w:rsidRPr="00D54A96">
        <w:rPr>
          <w:lang w:val="en-PH"/>
        </w:rPr>
        <w:instrText xml:space="preserve"> REF _Ref508536776 \h </w:instrText>
      </w:r>
      <w:r w:rsidR="00D54A96">
        <w:rPr>
          <w:lang w:val="en-PH"/>
        </w:rPr>
        <w:instrText xml:space="preserve"> \* MERGEFORMAT </w:instrText>
      </w:r>
      <w:r w:rsidR="00D54A96" w:rsidRPr="00D54A96">
        <w:rPr>
          <w:lang w:val="en-PH"/>
        </w:rPr>
      </w:r>
      <w:r w:rsidR="00D54A96" w:rsidRPr="00D54A96">
        <w:rPr>
          <w:lang w:val="en-PH"/>
        </w:rPr>
        <w:fldChar w:fldCharType="separate"/>
      </w:r>
      <w:r w:rsidR="00A50702">
        <w:t xml:space="preserve">Figure </w:t>
      </w:r>
      <w:r w:rsidR="00A50702">
        <w:rPr>
          <w:noProof/>
        </w:rPr>
        <w:t>2</w:t>
      </w:r>
      <w:r w:rsidR="00D54A96" w:rsidRPr="00D54A96">
        <w:rPr>
          <w:lang w:val="en-PH"/>
        </w:rPr>
        <w:fldChar w:fldCharType="end"/>
      </w:r>
      <w:r w:rsidR="00D54A96" w:rsidRPr="00D54A96">
        <w:rPr>
          <w:lang w:val="en-PH"/>
        </w:rPr>
        <w:t xml:space="preserve"> and </w:t>
      </w:r>
      <w:r w:rsidR="00D54A96" w:rsidRPr="00D54A96">
        <w:rPr>
          <w:lang w:val="en-PH"/>
        </w:rPr>
        <w:fldChar w:fldCharType="begin"/>
      </w:r>
      <w:r w:rsidR="00D54A96" w:rsidRPr="00D54A96">
        <w:rPr>
          <w:lang w:val="en-PH"/>
        </w:rPr>
        <w:instrText xml:space="preserve"> REF _Ref508536777 \h </w:instrText>
      </w:r>
      <w:r w:rsidR="00D54A96">
        <w:rPr>
          <w:lang w:val="en-PH"/>
        </w:rPr>
        <w:instrText xml:space="preserve"> \* MERGEFORMAT </w:instrText>
      </w:r>
      <w:r w:rsidR="00D54A96" w:rsidRPr="00D54A96">
        <w:rPr>
          <w:lang w:val="en-PH"/>
        </w:rPr>
      </w:r>
      <w:r w:rsidR="00D54A96" w:rsidRPr="00D54A96">
        <w:rPr>
          <w:lang w:val="en-PH"/>
        </w:rPr>
        <w:fldChar w:fldCharType="separate"/>
      </w:r>
      <w:r w:rsidR="00A50702">
        <w:t xml:space="preserve">Figure </w:t>
      </w:r>
      <w:r w:rsidR="00A50702">
        <w:rPr>
          <w:noProof/>
        </w:rPr>
        <w:t>3</w:t>
      </w:r>
      <w:r w:rsidR="00D54A96" w:rsidRPr="00D54A96">
        <w:rPr>
          <w:lang w:val="en-PH"/>
        </w:rPr>
        <w:fldChar w:fldCharType="end"/>
      </w:r>
      <w:r w:rsidR="00D54A96" w:rsidRPr="00D54A96">
        <w:rPr>
          <w:lang w:val="en-PH"/>
        </w:rPr>
        <w:t xml:space="preserve"> </w:t>
      </w:r>
      <w:r w:rsidRPr="00D54A96">
        <w:rPr>
          <w:lang w:val="en-PH"/>
        </w:rPr>
        <w:t>b</w:t>
      </w:r>
      <w:r>
        <w:rPr>
          <w:lang w:val="en-PH"/>
        </w:rPr>
        <w:t>elow.</w:t>
      </w:r>
    </w:p>
    <w:p w14:paraId="19A7025E" w14:textId="4C538E80" w:rsidR="001B6724" w:rsidRDefault="00F97CD7" w:rsidP="001B6724">
      <w:pPr>
        <w:pStyle w:val="BodyText"/>
        <w:rPr>
          <w:lang w:val="en-PH"/>
        </w:rPr>
      </w:pPr>
      <w:r w:rsidRPr="00F97CD7">
        <w:rPr>
          <w:lang w:val="en-PH"/>
        </w:rPr>
        <w:lastRenderedPageBreak/>
        <w:t xml:space="preserve"> </w:t>
      </w:r>
      <w:r w:rsidRPr="00F97CD7">
        <w:rPr>
          <w:noProof/>
          <w:lang w:val="en-AU" w:eastAsia="en-AU"/>
        </w:rPr>
        <w:drawing>
          <wp:inline distT="0" distB="0" distL="0" distR="0" wp14:anchorId="4739DE2D" wp14:editId="5E466228">
            <wp:extent cx="5996503" cy="4320000"/>
            <wp:effectExtent l="0" t="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6503" cy="4320000"/>
                    </a:xfrm>
                    <a:prstGeom prst="rect">
                      <a:avLst/>
                    </a:prstGeom>
                    <a:noFill/>
                    <a:ln>
                      <a:noFill/>
                    </a:ln>
                  </pic:spPr>
                </pic:pic>
              </a:graphicData>
            </a:graphic>
          </wp:inline>
        </w:drawing>
      </w:r>
    </w:p>
    <w:p w14:paraId="067AA34F" w14:textId="3CF028B1" w:rsidR="008149EF" w:rsidRDefault="008149EF" w:rsidP="008149EF">
      <w:pPr>
        <w:pStyle w:val="Caption"/>
        <w:rPr>
          <w:lang w:val="en-PH"/>
        </w:rPr>
      </w:pPr>
      <w:bookmarkStart w:id="60" w:name="_Ref508536776"/>
      <w:bookmarkStart w:id="61" w:name="_Toc518629913"/>
      <w:r>
        <w:t xml:space="preserve">Figure </w:t>
      </w:r>
      <w:r>
        <w:fldChar w:fldCharType="begin"/>
      </w:r>
      <w:r>
        <w:instrText xml:space="preserve"> SEQ Figure \* ARABIC </w:instrText>
      </w:r>
      <w:r>
        <w:fldChar w:fldCharType="separate"/>
      </w:r>
      <w:r w:rsidR="00A50702">
        <w:rPr>
          <w:noProof/>
        </w:rPr>
        <w:t>2</w:t>
      </w:r>
      <w:r>
        <w:fldChar w:fldCharType="end"/>
      </w:r>
      <w:bookmarkEnd w:id="60"/>
      <w:r>
        <w:t xml:space="preserve"> Sensitivity of CBA results to changes in economic assumptions</w:t>
      </w:r>
      <w:bookmarkEnd w:id="61"/>
    </w:p>
    <w:p w14:paraId="5A19BBA4" w14:textId="77777777" w:rsidR="008149EF" w:rsidRDefault="008149EF" w:rsidP="001B6724">
      <w:pPr>
        <w:pStyle w:val="BodyText"/>
        <w:rPr>
          <w:lang w:val="en-PH"/>
        </w:rPr>
      </w:pPr>
    </w:p>
    <w:p w14:paraId="4177B3B5" w14:textId="664AA7BD" w:rsidR="008149EF" w:rsidRDefault="007A0FD8" w:rsidP="001B6724">
      <w:pPr>
        <w:spacing w:after="200" w:line="276" w:lineRule="auto"/>
        <w:rPr>
          <w:lang w:val="en-PH"/>
        </w:rPr>
      </w:pPr>
      <w:r w:rsidRPr="007A0FD8">
        <w:rPr>
          <w:noProof/>
        </w:rPr>
        <w:t xml:space="preserve"> </w:t>
      </w:r>
      <w:r w:rsidRPr="007A0FD8">
        <w:rPr>
          <w:noProof/>
          <w:lang w:val="en-AU" w:eastAsia="en-AU"/>
        </w:rPr>
        <w:drawing>
          <wp:inline distT="0" distB="0" distL="0" distR="0" wp14:anchorId="78BEA352" wp14:editId="710477C9">
            <wp:extent cx="5980661" cy="4320000"/>
            <wp:effectExtent l="0" t="0" r="127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0661" cy="4320000"/>
                    </a:xfrm>
                    <a:prstGeom prst="rect">
                      <a:avLst/>
                    </a:prstGeom>
                    <a:noFill/>
                    <a:ln>
                      <a:noFill/>
                    </a:ln>
                  </pic:spPr>
                </pic:pic>
              </a:graphicData>
            </a:graphic>
          </wp:inline>
        </w:drawing>
      </w:r>
    </w:p>
    <w:p w14:paraId="1127F09E" w14:textId="6F2C0568" w:rsidR="008149EF" w:rsidRDefault="008149EF" w:rsidP="008149EF">
      <w:pPr>
        <w:pStyle w:val="Caption"/>
        <w:rPr>
          <w:lang w:val="en-PH"/>
        </w:rPr>
      </w:pPr>
      <w:bookmarkStart w:id="62" w:name="_Ref508536777"/>
      <w:bookmarkStart w:id="63" w:name="_Toc518629914"/>
      <w:r>
        <w:t xml:space="preserve">Figure </w:t>
      </w:r>
      <w:r>
        <w:fldChar w:fldCharType="begin"/>
      </w:r>
      <w:r>
        <w:instrText xml:space="preserve"> SEQ Figure \* ARABIC </w:instrText>
      </w:r>
      <w:r>
        <w:fldChar w:fldCharType="separate"/>
      </w:r>
      <w:r w:rsidR="00A50702">
        <w:rPr>
          <w:noProof/>
        </w:rPr>
        <w:t>3</w:t>
      </w:r>
      <w:r>
        <w:fldChar w:fldCharType="end"/>
      </w:r>
      <w:bookmarkEnd w:id="62"/>
      <w:r>
        <w:t xml:space="preserve"> Sensitivity of CBA results to changes in technical assumptions</w:t>
      </w:r>
      <w:bookmarkEnd w:id="63"/>
    </w:p>
    <w:p w14:paraId="530565DC" w14:textId="77777777" w:rsidR="00E21174" w:rsidRDefault="00E21174" w:rsidP="001B6724">
      <w:pPr>
        <w:spacing w:after="200" w:line="276" w:lineRule="auto"/>
        <w:rPr>
          <w:lang w:val="en-PH"/>
        </w:rPr>
      </w:pPr>
    </w:p>
    <w:p w14:paraId="000F0E81" w14:textId="6D57840C" w:rsidR="00D67E20" w:rsidRDefault="00E21174" w:rsidP="001B6724">
      <w:pPr>
        <w:spacing w:after="200" w:line="276" w:lineRule="auto"/>
        <w:rPr>
          <w:lang w:val="en-PH"/>
        </w:rPr>
      </w:pPr>
      <w:r>
        <w:rPr>
          <w:lang w:val="en-PH"/>
        </w:rPr>
        <w:t xml:space="preserve">The CBA results are more sensitive to changes in </w:t>
      </w:r>
      <w:r w:rsidR="00591A54">
        <w:rPr>
          <w:lang w:val="en-PH"/>
        </w:rPr>
        <w:t xml:space="preserve">economic </w:t>
      </w:r>
      <w:r>
        <w:rPr>
          <w:lang w:val="en-PH"/>
        </w:rPr>
        <w:t xml:space="preserve">assumptions than </w:t>
      </w:r>
      <w:r w:rsidR="00591A54">
        <w:rPr>
          <w:lang w:val="en-PH"/>
        </w:rPr>
        <w:t xml:space="preserve">technical </w:t>
      </w:r>
      <w:r>
        <w:rPr>
          <w:lang w:val="en-PH"/>
        </w:rPr>
        <w:t xml:space="preserve">assumptions. </w:t>
      </w:r>
      <w:r w:rsidR="00F257DD">
        <w:rPr>
          <w:lang w:val="en-PH"/>
        </w:rPr>
        <w:t xml:space="preserve">In particular, </w:t>
      </w:r>
      <w:r w:rsidR="00591A54">
        <w:rPr>
          <w:lang w:val="en-PH"/>
        </w:rPr>
        <w:t>l</w:t>
      </w:r>
      <w:r w:rsidR="00591A54" w:rsidRPr="00591A54">
        <w:rPr>
          <w:lang w:val="en-PH"/>
        </w:rPr>
        <w:t>ower assumed costs result in a</w:t>
      </w:r>
      <w:r w:rsidR="00591A54">
        <w:rPr>
          <w:lang w:val="en-PH"/>
        </w:rPr>
        <w:t>n</w:t>
      </w:r>
      <w:r w:rsidR="00591A54" w:rsidRPr="00591A54">
        <w:rPr>
          <w:lang w:val="en-PH"/>
        </w:rPr>
        <w:t xml:space="preserve"> improvement in BCR for NO</w:t>
      </w:r>
      <w:r w:rsidR="00591A54" w:rsidRPr="00731F44">
        <w:rPr>
          <w:vertAlign w:val="subscript"/>
          <w:lang w:val="en-PH"/>
        </w:rPr>
        <w:t>2</w:t>
      </w:r>
      <w:r w:rsidR="00591A54" w:rsidRPr="00591A54">
        <w:rPr>
          <w:lang w:val="en-PH"/>
        </w:rPr>
        <w:t xml:space="preserve"> and O</w:t>
      </w:r>
      <w:r w:rsidR="00591A54" w:rsidRPr="00731F44">
        <w:rPr>
          <w:vertAlign w:val="subscript"/>
          <w:lang w:val="en-PH"/>
        </w:rPr>
        <w:t>3</w:t>
      </w:r>
      <w:r w:rsidR="00591A54" w:rsidRPr="00591A54">
        <w:rPr>
          <w:lang w:val="en-PH"/>
        </w:rPr>
        <w:t xml:space="preserve">, reflecting that the costs of the Abatement Package scenario nationally are high, relative to national benefits. </w:t>
      </w:r>
    </w:p>
    <w:p w14:paraId="0AC9D8E2" w14:textId="57674FE9" w:rsidR="003027A4" w:rsidRDefault="00A451C0" w:rsidP="0009553E">
      <w:pPr>
        <w:spacing w:after="200" w:line="276" w:lineRule="auto"/>
        <w:rPr>
          <w:lang w:val="en-PH"/>
        </w:rPr>
      </w:pPr>
      <w:r>
        <w:rPr>
          <w:lang w:val="en-PH"/>
        </w:rPr>
        <w:t>Furthermore, a negative BCR is estimated for O</w:t>
      </w:r>
      <w:r w:rsidRPr="00A451C0">
        <w:rPr>
          <w:vertAlign w:val="subscript"/>
          <w:lang w:val="en-PH"/>
        </w:rPr>
        <w:t>3</w:t>
      </w:r>
      <w:r w:rsidR="009F5299">
        <w:rPr>
          <w:lang w:val="en-PH"/>
        </w:rPr>
        <w:t xml:space="preserve"> when using the alternat</w:t>
      </w:r>
      <w:r>
        <w:rPr>
          <w:lang w:val="en-PH"/>
        </w:rPr>
        <w:t xml:space="preserve">e </w:t>
      </w:r>
      <w:r w:rsidR="00E75B71">
        <w:rPr>
          <w:lang w:val="en-PH"/>
        </w:rPr>
        <w:t xml:space="preserve">groups </w:t>
      </w:r>
      <w:r>
        <w:rPr>
          <w:lang w:val="en-PH"/>
        </w:rPr>
        <w:t>of CRFs</w:t>
      </w:r>
      <w:r w:rsidR="003027A4">
        <w:rPr>
          <w:lang w:val="en-PH"/>
        </w:rPr>
        <w:t xml:space="preserve"> (groups 2 and 3)</w:t>
      </w:r>
      <w:r w:rsidR="003B6B27">
        <w:rPr>
          <w:lang w:val="en-PH"/>
        </w:rPr>
        <w:t>, as opposed to a positive BCR as estimated with the application of Group 1 CRFs</w:t>
      </w:r>
      <w:r>
        <w:rPr>
          <w:lang w:val="en-PH"/>
        </w:rPr>
        <w:t>.</w:t>
      </w:r>
      <w:r w:rsidR="003027A4">
        <w:rPr>
          <w:lang w:val="en-PH"/>
        </w:rPr>
        <w:t xml:space="preserve"> This is because:</w:t>
      </w:r>
    </w:p>
    <w:p w14:paraId="3C0A00C1" w14:textId="5047641E" w:rsidR="003027A4" w:rsidRDefault="003027A4" w:rsidP="00731F44">
      <w:pPr>
        <w:pStyle w:val="Bullet1"/>
        <w:rPr>
          <w:lang w:val="en-PH"/>
        </w:rPr>
      </w:pPr>
      <w:r>
        <w:rPr>
          <w:lang w:val="en-PH"/>
        </w:rPr>
        <w:t>according to the air quality modelling, concentrations of O</w:t>
      </w:r>
      <w:r w:rsidRPr="00731F44">
        <w:rPr>
          <w:vertAlign w:val="subscript"/>
          <w:lang w:val="en-PH"/>
        </w:rPr>
        <w:t>3</w:t>
      </w:r>
      <w:r>
        <w:rPr>
          <w:lang w:val="en-PH"/>
        </w:rPr>
        <w:t xml:space="preserve"> are projected to reduce with the implementation of measures in the Abatement Package scenario on some days, but increase on other days</w:t>
      </w:r>
    </w:p>
    <w:p w14:paraId="5DD8A10C" w14:textId="51FB03F6" w:rsidR="004949C2" w:rsidRDefault="00F17845" w:rsidP="00731F44">
      <w:pPr>
        <w:pStyle w:val="Bullet1"/>
        <w:rPr>
          <w:lang w:val="en-PH"/>
        </w:rPr>
      </w:pPr>
      <w:r>
        <w:rPr>
          <w:lang w:val="en-PH"/>
        </w:rPr>
        <w:t xml:space="preserve">as such, </w:t>
      </w:r>
      <w:r w:rsidR="004949C2">
        <w:rPr>
          <w:lang w:val="en-PH"/>
        </w:rPr>
        <w:t>health outcomes reduce on some days resulting in an incremental benefit, but health outcomes increase on other days resulting in an incremental cost</w:t>
      </w:r>
    </w:p>
    <w:p w14:paraId="674FE3E6" w14:textId="77777777" w:rsidR="00F17845" w:rsidRDefault="003027A4" w:rsidP="00731F44">
      <w:pPr>
        <w:pStyle w:val="Bullet1"/>
        <w:rPr>
          <w:lang w:val="en-PH"/>
        </w:rPr>
      </w:pPr>
      <w:r>
        <w:rPr>
          <w:lang w:val="en-PH"/>
        </w:rPr>
        <w:t xml:space="preserve">with the application of Group 1 CRFs, the benefit from days </w:t>
      </w:r>
      <w:r w:rsidR="001266D5">
        <w:rPr>
          <w:lang w:val="en-PH"/>
        </w:rPr>
        <w:t>with reduced O</w:t>
      </w:r>
      <w:r w:rsidR="001266D5" w:rsidRPr="00731F44">
        <w:rPr>
          <w:vertAlign w:val="subscript"/>
          <w:lang w:val="en-PH"/>
        </w:rPr>
        <w:t>3</w:t>
      </w:r>
      <w:r w:rsidR="001266D5">
        <w:rPr>
          <w:lang w:val="en-PH"/>
        </w:rPr>
        <w:t xml:space="preserve"> concentrations more than offsets the </w:t>
      </w:r>
      <w:r w:rsidR="004949C2">
        <w:rPr>
          <w:lang w:val="en-PH"/>
        </w:rPr>
        <w:t xml:space="preserve">cost </w:t>
      </w:r>
      <w:r w:rsidR="001266D5">
        <w:rPr>
          <w:lang w:val="en-PH"/>
        </w:rPr>
        <w:t>from days with increased O</w:t>
      </w:r>
      <w:r w:rsidR="001266D5" w:rsidRPr="00731F44">
        <w:rPr>
          <w:vertAlign w:val="subscript"/>
          <w:lang w:val="en-PH"/>
        </w:rPr>
        <w:t>3</w:t>
      </w:r>
      <w:r w:rsidR="001266D5">
        <w:rPr>
          <w:lang w:val="en-PH"/>
        </w:rPr>
        <w:t xml:space="preserve"> concentrations</w:t>
      </w:r>
    </w:p>
    <w:p w14:paraId="168D7274" w14:textId="08E8C90F" w:rsidR="003027A4" w:rsidRDefault="00F17845" w:rsidP="00731F44">
      <w:pPr>
        <w:pStyle w:val="Bullet1"/>
        <w:rPr>
          <w:lang w:val="en-PH"/>
        </w:rPr>
      </w:pPr>
      <w:r>
        <w:rPr>
          <w:lang w:val="en-PH"/>
        </w:rPr>
        <w:t xml:space="preserve">this result is driven by the application of a </w:t>
      </w:r>
      <w:r w:rsidR="00227E7C">
        <w:rPr>
          <w:lang w:val="en-PH"/>
        </w:rPr>
        <w:t>‘cut-off’</w:t>
      </w:r>
      <w:r>
        <w:rPr>
          <w:lang w:val="en-PH"/>
        </w:rPr>
        <w:t xml:space="preserve"> when applying the Group 1 CRFs (i.e. on some days where O</w:t>
      </w:r>
      <w:r w:rsidRPr="00731F44">
        <w:rPr>
          <w:vertAlign w:val="subscript"/>
          <w:lang w:val="en-PH"/>
        </w:rPr>
        <w:t>3</w:t>
      </w:r>
      <w:r>
        <w:rPr>
          <w:lang w:val="en-PH"/>
        </w:rPr>
        <w:t xml:space="preserve"> concentrations reduce, they reduce below a point where there are no longer any mortality health outcomes predicted, providing a very large benefit that more than offsets any incremental costs)</w:t>
      </w:r>
    </w:p>
    <w:p w14:paraId="10790C87" w14:textId="14B8F3CF" w:rsidR="00227E7C" w:rsidRDefault="00227E7C" w:rsidP="00731F44">
      <w:pPr>
        <w:pStyle w:val="Bullet1"/>
        <w:rPr>
          <w:lang w:val="en-PH"/>
        </w:rPr>
      </w:pPr>
      <w:r>
        <w:rPr>
          <w:lang w:val="en-PH"/>
        </w:rPr>
        <w:t>however, with the application of Group 2 or Group 3 CRFs, the benefit from days with reduced O</w:t>
      </w:r>
      <w:r w:rsidRPr="00731F44">
        <w:rPr>
          <w:vertAlign w:val="subscript"/>
          <w:lang w:val="en-PH"/>
        </w:rPr>
        <w:t>3</w:t>
      </w:r>
      <w:r>
        <w:rPr>
          <w:lang w:val="en-PH"/>
        </w:rPr>
        <w:t xml:space="preserve"> concentrations </w:t>
      </w:r>
      <w:r w:rsidR="00B072A8">
        <w:rPr>
          <w:lang w:val="en-PH"/>
        </w:rPr>
        <w:t xml:space="preserve">is more moderate because, unlike </w:t>
      </w:r>
      <w:r w:rsidR="00EB1FC1">
        <w:rPr>
          <w:lang w:val="en-PH"/>
        </w:rPr>
        <w:t xml:space="preserve">when applying the </w:t>
      </w:r>
      <w:r w:rsidR="00B072A8">
        <w:rPr>
          <w:lang w:val="en-PH"/>
        </w:rPr>
        <w:t>Group 1 CRFs, there is no longer a cut-off below which mortality health outcomes are completely avoided.</w:t>
      </w:r>
    </w:p>
    <w:p w14:paraId="7C9EB953" w14:textId="47BC6F19" w:rsidR="008D0A3E" w:rsidRDefault="002B68F9" w:rsidP="0009553E">
      <w:pPr>
        <w:spacing w:after="200" w:line="276" w:lineRule="auto"/>
        <w:rPr>
          <w:lang w:val="en-PH"/>
        </w:rPr>
      </w:pPr>
      <w:r>
        <w:rPr>
          <w:lang w:val="en-PH"/>
        </w:rPr>
        <w:t xml:space="preserve">As such, </w:t>
      </w:r>
      <w:r w:rsidR="00090E85">
        <w:rPr>
          <w:lang w:val="en-PH"/>
        </w:rPr>
        <w:t xml:space="preserve">there are </w:t>
      </w:r>
      <w:r w:rsidR="001261A9">
        <w:rPr>
          <w:lang w:val="en-PH"/>
        </w:rPr>
        <w:t xml:space="preserve">net </w:t>
      </w:r>
      <w:r w:rsidR="00090E85">
        <w:rPr>
          <w:lang w:val="en-PH"/>
        </w:rPr>
        <w:t xml:space="preserve">positive health </w:t>
      </w:r>
      <w:r w:rsidR="001261A9">
        <w:rPr>
          <w:lang w:val="en-PH"/>
        </w:rPr>
        <w:t xml:space="preserve">benefits </w:t>
      </w:r>
      <w:r w:rsidR="00090E85">
        <w:rPr>
          <w:lang w:val="en-PH"/>
        </w:rPr>
        <w:t xml:space="preserve">with the </w:t>
      </w:r>
      <w:r w:rsidR="00746EDF">
        <w:rPr>
          <w:lang w:val="en-PH"/>
        </w:rPr>
        <w:t>Abatement Package</w:t>
      </w:r>
      <w:r w:rsidR="00090E85">
        <w:rPr>
          <w:lang w:val="en-PH"/>
        </w:rPr>
        <w:t xml:space="preserve"> </w:t>
      </w:r>
      <w:r w:rsidR="009074FB">
        <w:rPr>
          <w:lang w:val="en-PH"/>
        </w:rPr>
        <w:t xml:space="preserve">scenario </w:t>
      </w:r>
      <w:r w:rsidR="00B072A8">
        <w:rPr>
          <w:lang w:val="en-PH"/>
        </w:rPr>
        <w:t xml:space="preserve">using </w:t>
      </w:r>
      <w:r w:rsidR="00090E85">
        <w:rPr>
          <w:lang w:val="en-PH"/>
        </w:rPr>
        <w:t xml:space="preserve">the </w:t>
      </w:r>
      <w:r w:rsidR="00B072A8">
        <w:rPr>
          <w:lang w:val="en-PH"/>
        </w:rPr>
        <w:t xml:space="preserve">Group 1 CRFs, </w:t>
      </w:r>
      <w:r w:rsidR="00090E85">
        <w:rPr>
          <w:lang w:val="en-PH"/>
        </w:rPr>
        <w:t xml:space="preserve">but </w:t>
      </w:r>
      <w:r w:rsidR="001261A9">
        <w:rPr>
          <w:lang w:val="en-PH"/>
        </w:rPr>
        <w:t xml:space="preserve">net </w:t>
      </w:r>
      <w:r w:rsidR="00090E85">
        <w:rPr>
          <w:lang w:val="en-PH"/>
        </w:rPr>
        <w:t xml:space="preserve">negative </w:t>
      </w:r>
      <w:r w:rsidR="001261A9">
        <w:rPr>
          <w:lang w:val="en-PH"/>
        </w:rPr>
        <w:t xml:space="preserve">health benefits </w:t>
      </w:r>
      <w:r w:rsidR="00090E85">
        <w:rPr>
          <w:lang w:val="en-PH"/>
        </w:rPr>
        <w:t>using the alternate groups of CRFs.</w:t>
      </w:r>
    </w:p>
    <w:p w14:paraId="37129F59" w14:textId="0478D2C2" w:rsidR="001B6724" w:rsidRDefault="001B6724" w:rsidP="001B6724">
      <w:pPr>
        <w:spacing w:after="200" w:line="276" w:lineRule="auto"/>
        <w:rPr>
          <w:lang w:val="en-PH"/>
        </w:rPr>
      </w:pPr>
      <w:r>
        <w:rPr>
          <w:lang w:val="en-PH"/>
        </w:rPr>
        <w:br w:type="page"/>
      </w:r>
    </w:p>
    <w:p w14:paraId="726CCEB3" w14:textId="77777777" w:rsidR="008D0A3E" w:rsidRDefault="008D0A3E" w:rsidP="001B6724">
      <w:pPr>
        <w:spacing w:after="200" w:line="276" w:lineRule="auto"/>
        <w:rPr>
          <w:lang w:val="en-PH"/>
        </w:rPr>
      </w:pPr>
    </w:p>
    <w:p w14:paraId="6077F2F2" w14:textId="77777777" w:rsidR="001B6724" w:rsidRDefault="001B6724" w:rsidP="001B6724">
      <w:pPr>
        <w:pStyle w:val="Heading1"/>
        <w:rPr>
          <w:lang w:val="en-PH"/>
        </w:rPr>
      </w:pPr>
      <w:bookmarkStart w:id="64" w:name="_Ref508461577"/>
      <w:bookmarkStart w:id="65" w:name="_Toc518629896"/>
      <w:r>
        <w:rPr>
          <w:lang w:val="en-PH"/>
        </w:rPr>
        <w:t>Conclusions</w:t>
      </w:r>
      <w:bookmarkEnd w:id="64"/>
      <w:bookmarkEnd w:id="65"/>
    </w:p>
    <w:p w14:paraId="2C0EB280" w14:textId="25F1F39F" w:rsidR="00135B80" w:rsidRDefault="00135B80" w:rsidP="001B6724">
      <w:pPr>
        <w:pStyle w:val="BodyText"/>
        <w:rPr>
          <w:lang w:val="en-PH"/>
        </w:rPr>
      </w:pPr>
      <w:r>
        <w:rPr>
          <w:lang w:val="en-PH"/>
        </w:rPr>
        <w:t xml:space="preserve">The CBA provides economic analysis to support the review of </w:t>
      </w:r>
      <w:r w:rsidR="0031413E">
        <w:rPr>
          <w:lang w:val="en-PH"/>
        </w:rPr>
        <w:t xml:space="preserve">the </w:t>
      </w:r>
      <w:r>
        <w:rPr>
          <w:lang w:val="en-PH"/>
        </w:rPr>
        <w:t>AAQ NEPM standards for SO</w:t>
      </w:r>
      <w:r w:rsidRPr="00733F33">
        <w:rPr>
          <w:vertAlign w:val="subscript"/>
          <w:lang w:val="en-PH"/>
        </w:rPr>
        <w:t>2</w:t>
      </w:r>
      <w:r w:rsidRPr="00545975">
        <w:rPr>
          <w:lang w:val="en-PH"/>
        </w:rPr>
        <w:t>,</w:t>
      </w:r>
      <w:r>
        <w:rPr>
          <w:vertAlign w:val="subscript"/>
          <w:lang w:val="en-PH"/>
        </w:rPr>
        <w:t xml:space="preserve"> </w:t>
      </w:r>
      <w:r>
        <w:rPr>
          <w:lang w:val="en-PH"/>
        </w:rPr>
        <w:t>NO</w:t>
      </w:r>
      <w:r w:rsidRPr="00733F33">
        <w:rPr>
          <w:vertAlign w:val="subscript"/>
          <w:lang w:val="en-PH"/>
        </w:rPr>
        <w:t>2</w:t>
      </w:r>
      <w:r>
        <w:rPr>
          <w:lang w:val="en-PH"/>
        </w:rPr>
        <w:t>, O</w:t>
      </w:r>
      <w:r w:rsidRPr="00733F33">
        <w:rPr>
          <w:vertAlign w:val="subscript"/>
          <w:lang w:val="en-PH"/>
        </w:rPr>
        <w:t>3</w:t>
      </w:r>
      <w:r>
        <w:rPr>
          <w:lang w:val="en-PH"/>
        </w:rPr>
        <w:t xml:space="preserve">. The analysis presented in the CBA </w:t>
      </w:r>
      <w:r w:rsidR="004E551C">
        <w:rPr>
          <w:lang w:val="en-PH"/>
        </w:rPr>
        <w:t xml:space="preserve">supplements </w:t>
      </w:r>
      <w:r>
        <w:rPr>
          <w:lang w:val="en-PH"/>
        </w:rPr>
        <w:t>other analyses that support the review</w:t>
      </w:r>
      <w:r w:rsidR="005431D5">
        <w:rPr>
          <w:lang w:val="en-PH"/>
        </w:rPr>
        <w:t xml:space="preserve">. These include a </w:t>
      </w:r>
      <w:r w:rsidR="00D75A23">
        <w:rPr>
          <w:lang w:val="en-PH"/>
        </w:rPr>
        <w:t>HRA</w:t>
      </w:r>
      <w:r w:rsidR="005431D5">
        <w:rPr>
          <w:lang w:val="en-PH"/>
        </w:rPr>
        <w:t>,</w:t>
      </w:r>
      <w:r w:rsidR="00D75A23">
        <w:rPr>
          <w:lang w:val="en-PH"/>
        </w:rPr>
        <w:t xml:space="preserve"> which assess</w:t>
      </w:r>
      <w:r w:rsidR="00824248">
        <w:rPr>
          <w:lang w:val="en-PH"/>
        </w:rPr>
        <w:t>es</w:t>
      </w:r>
      <w:r w:rsidR="00D75A23">
        <w:rPr>
          <w:lang w:val="en-PH"/>
        </w:rPr>
        <w:t xml:space="preserve"> </w:t>
      </w:r>
      <w:r>
        <w:rPr>
          <w:lang w:val="en-PH"/>
        </w:rPr>
        <w:t xml:space="preserve">the potential health benefits </w:t>
      </w:r>
      <w:r w:rsidR="00E67F0F">
        <w:rPr>
          <w:lang w:val="en-PH"/>
        </w:rPr>
        <w:t xml:space="preserve">from implementing a hypothetical </w:t>
      </w:r>
      <w:r w:rsidR="00746EDF">
        <w:rPr>
          <w:lang w:val="en-PH"/>
        </w:rPr>
        <w:t>Abatement Package</w:t>
      </w:r>
      <w:r>
        <w:rPr>
          <w:lang w:val="en-PH"/>
        </w:rPr>
        <w:t xml:space="preserve"> </w:t>
      </w:r>
      <w:r w:rsidR="009074FB">
        <w:rPr>
          <w:lang w:val="en-PH"/>
        </w:rPr>
        <w:t xml:space="preserve">scenario </w:t>
      </w:r>
      <w:r>
        <w:rPr>
          <w:lang w:val="en-PH"/>
        </w:rPr>
        <w:t>and adopting alternative air quality standards, and a</w:t>
      </w:r>
      <w:r w:rsidR="005431D5">
        <w:rPr>
          <w:lang w:val="en-PH"/>
        </w:rPr>
        <w:t xml:space="preserve">n </w:t>
      </w:r>
      <w:r w:rsidR="009C151D">
        <w:rPr>
          <w:lang w:val="en-PH"/>
        </w:rPr>
        <w:t>Impact Statement</w:t>
      </w:r>
      <w:r w:rsidR="005431D5">
        <w:rPr>
          <w:lang w:val="en-PH"/>
        </w:rPr>
        <w:t xml:space="preserve">, which </w:t>
      </w:r>
      <w:r>
        <w:rPr>
          <w:lang w:val="en-PH"/>
        </w:rPr>
        <w:t>review</w:t>
      </w:r>
      <w:r w:rsidR="005431D5">
        <w:rPr>
          <w:lang w:val="en-PH"/>
        </w:rPr>
        <w:t>s</w:t>
      </w:r>
      <w:r>
        <w:rPr>
          <w:lang w:val="en-PH"/>
        </w:rPr>
        <w:t xml:space="preserve"> standards adopted internationally</w:t>
      </w:r>
      <w:r w:rsidR="005431D5">
        <w:rPr>
          <w:lang w:val="en-PH"/>
        </w:rPr>
        <w:t xml:space="preserve"> and the evidence supporting these standards</w:t>
      </w:r>
      <w:r>
        <w:rPr>
          <w:lang w:val="en-PH"/>
        </w:rPr>
        <w:t>.</w:t>
      </w:r>
    </w:p>
    <w:p w14:paraId="25C1E196" w14:textId="2DDC831F" w:rsidR="00900B18" w:rsidRDefault="00900B18" w:rsidP="001B6724">
      <w:pPr>
        <w:pStyle w:val="BodyText"/>
        <w:rPr>
          <w:lang w:val="en-PH"/>
        </w:rPr>
      </w:pPr>
      <w:bookmarkStart w:id="66" w:name="_Hlk508543980"/>
      <w:r>
        <w:rPr>
          <w:lang w:val="en-PH"/>
        </w:rPr>
        <w:t xml:space="preserve">The results of the CBA show that the costs of the </w:t>
      </w:r>
      <w:r w:rsidR="00746EDF">
        <w:rPr>
          <w:lang w:val="en-PH"/>
        </w:rPr>
        <w:t>Abatement Package</w:t>
      </w:r>
      <w:r>
        <w:rPr>
          <w:lang w:val="en-PH"/>
        </w:rPr>
        <w:t xml:space="preserve"> </w:t>
      </w:r>
      <w:r w:rsidR="009074FB">
        <w:rPr>
          <w:lang w:val="en-PH"/>
        </w:rPr>
        <w:t xml:space="preserve">scenario </w:t>
      </w:r>
      <w:r>
        <w:rPr>
          <w:lang w:val="en-PH"/>
        </w:rPr>
        <w:t>are likely to significantly outweigh the health benefits.</w:t>
      </w:r>
      <w:r w:rsidR="00FD4FF9">
        <w:rPr>
          <w:lang w:val="en-PH"/>
        </w:rPr>
        <w:t xml:space="preserve"> </w:t>
      </w:r>
      <w:r w:rsidR="00F014D2">
        <w:rPr>
          <w:lang w:val="en-PH"/>
        </w:rPr>
        <w:t xml:space="preserve">The BCR for the </w:t>
      </w:r>
      <w:r w:rsidR="00746EDF">
        <w:rPr>
          <w:lang w:val="en-PH"/>
        </w:rPr>
        <w:t>Abatement Package</w:t>
      </w:r>
      <w:r w:rsidR="00F014D2">
        <w:rPr>
          <w:lang w:val="en-PH"/>
        </w:rPr>
        <w:t xml:space="preserve"> </w:t>
      </w:r>
      <w:r w:rsidR="009074FB">
        <w:rPr>
          <w:lang w:val="en-PH"/>
        </w:rPr>
        <w:t xml:space="preserve">scenario </w:t>
      </w:r>
      <w:r w:rsidR="00F014D2">
        <w:rPr>
          <w:lang w:val="en-PH"/>
        </w:rPr>
        <w:t>corresponding to SO</w:t>
      </w:r>
      <w:r w:rsidR="00F014D2" w:rsidRPr="00F014D2">
        <w:rPr>
          <w:vertAlign w:val="subscript"/>
          <w:lang w:val="en-PH"/>
        </w:rPr>
        <w:t>2</w:t>
      </w:r>
      <w:r w:rsidR="00F014D2">
        <w:rPr>
          <w:lang w:val="en-PH"/>
        </w:rPr>
        <w:t>, NO</w:t>
      </w:r>
      <w:r w:rsidR="00F014D2" w:rsidRPr="00F014D2">
        <w:rPr>
          <w:vertAlign w:val="subscript"/>
          <w:lang w:val="en-PH"/>
        </w:rPr>
        <w:t>2</w:t>
      </w:r>
      <w:r w:rsidR="00F014D2">
        <w:rPr>
          <w:lang w:val="en-PH"/>
        </w:rPr>
        <w:t xml:space="preserve"> and O</w:t>
      </w:r>
      <w:r w:rsidR="00F014D2" w:rsidRPr="00F014D2">
        <w:rPr>
          <w:vertAlign w:val="subscript"/>
          <w:lang w:val="en-PH"/>
        </w:rPr>
        <w:t>3</w:t>
      </w:r>
      <w:r w:rsidR="00F014D2">
        <w:rPr>
          <w:lang w:val="en-PH"/>
        </w:rPr>
        <w:t xml:space="preserve"> are estimated at 0.01, 0.06 and </w:t>
      </w:r>
      <w:r w:rsidR="00F014D2" w:rsidRPr="00F014D2">
        <w:rPr>
          <w:lang w:val="en-PH"/>
        </w:rPr>
        <w:t>0.05</w:t>
      </w:r>
      <w:r w:rsidR="00F014D2">
        <w:rPr>
          <w:lang w:val="en-PH"/>
        </w:rPr>
        <w:t xml:space="preserve"> respectively. </w:t>
      </w:r>
      <w:r w:rsidR="00FD4FF9">
        <w:rPr>
          <w:lang w:val="en-PH"/>
        </w:rPr>
        <w:t>However:</w:t>
      </w:r>
    </w:p>
    <w:p w14:paraId="0FE1E43C" w14:textId="558073F8" w:rsidR="00BF329B" w:rsidRDefault="00BF329B" w:rsidP="00F02B74">
      <w:pPr>
        <w:pStyle w:val="Bullet1"/>
        <w:rPr>
          <w:lang w:val="en-PH"/>
        </w:rPr>
      </w:pPr>
      <w:r>
        <w:rPr>
          <w:lang w:val="en-PH"/>
        </w:rPr>
        <w:t>there are a number of benefits which could not be reliability quantified</w:t>
      </w:r>
    </w:p>
    <w:p w14:paraId="1F39BD6C" w14:textId="0447133E" w:rsidR="00F02B74" w:rsidRPr="00BF329B" w:rsidRDefault="00F02B74" w:rsidP="009B4A1F">
      <w:pPr>
        <w:pStyle w:val="Bullet1"/>
        <w:rPr>
          <w:lang w:val="en-PH"/>
        </w:rPr>
      </w:pPr>
      <w:r w:rsidRPr="00BF329B">
        <w:rPr>
          <w:lang w:val="en-PH"/>
        </w:rPr>
        <w:t>the costs and benefits of the abatement measures do not reflect the likely costs and benefits of meeting various air quality standards</w:t>
      </w:r>
      <w:r w:rsidR="00BF329B" w:rsidRPr="00BF329B">
        <w:rPr>
          <w:lang w:val="en-PH"/>
        </w:rPr>
        <w:t>.</w:t>
      </w:r>
    </w:p>
    <w:p w14:paraId="0B9D81FF" w14:textId="0BC1E398" w:rsidR="00FD4FF9" w:rsidRDefault="002A2494" w:rsidP="001B6724">
      <w:pPr>
        <w:pStyle w:val="BodyText"/>
        <w:rPr>
          <w:lang w:val="en-PH"/>
        </w:rPr>
      </w:pPr>
      <w:r>
        <w:rPr>
          <w:lang w:val="en-PH"/>
        </w:rPr>
        <w:t>Unquantified benefits include lost labour productivity, a reduction in the emission of other pollutants, avoidance of some non-health impacts, and a reduction in secondary PM formation.</w:t>
      </w:r>
    </w:p>
    <w:p w14:paraId="41219639" w14:textId="7F9F0204" w:rsidR="000C5407" w:rsidRDefault="00BF329B" w:rsidP="00276E6C">
      <w:pPr>
        <w:spacing w:after="200" w:line="276" w:lineRule="auto"/>
        <w:rPr>
          <w:lang w:val="en-PH"/>
        </w:rPr>
      </w:pPr>
      <w:r>
        <w:rPr>
          <w:lang w:val="en-PH"/>
        </w:rPr>
        <w:t xml:space="preserve">While the CBA estimates the costs and benefits of </w:t>
      </w:r>
      <w:r w:rsidR="005C3DBA">
        <w:rPr>
          <w:lang w:val="en-PH"/>
        </w:rPr>
        <w:t xml:space="preserve">an </w:t>
      </w:r>
      <w:r w:rsidR="00746EDF">
        <w:rPr>
          <w:lang w:val="en-PH"/>
        </w:rPr>
        <w:t>Abatement Package</w:t>
      </w:r>
      <w:r w:rsidR="009074FB">
        <w:rPr>
          <w:lang w:val="en-PH"/>
        </w:rPr>
        <w:t xml:space="preserve"> scenario</w:t>
      </w:r>
      <w:r>
        <w:rPr>
          <w:lang w:val="en-PH"/>
        </w:rPr>
        <w:t xml:space="preserve"> at a national level, it does not necessarily provide an indication of the likely costs and benefits of meeting alternative AAQ standards. </w:t>
      </w:r>
      <w:r w:rsidR="00276E6C">
        <w:rPr>
          <w:lang w:val="en-PH"/>
        </w:rPr>
        <w:t>This is because in practice, while some measures to meet standards are implemented at a national level, individual states and territory governments implement much of the regulation and policy designed to meet the standards in that state or territory.</w:t>
      </w:r>
      <w:r w:rsidR="000C5407">
        <w:rPr>
          <w:lang w:val="en-PH"/>
        </w:rPr>
        <w:t xml:space="preserve"> </w:t>
      </w:r>
      <w:r w:rsidR="000C5407" w:rsidRPr="000C5407">
        <w:rPr>
          <w:lang w:val="en-PH"/>
        </w:rPr>
        <w:t xml:space="preserve">Moreover, </w:t>
      </w:r>
      <w:r w:rsidR="000C5407">
        <w:rPr>
          <w:lang w:val="en-PH"/>
        </w:rPr>
        <w:t xml:space="preserve">some </w:t>
      </w:r>
      <w:r w:rsidR="000C5407" w:rsidRPr="000C5407">
        <w:rPr>
          <w:lang w:val="en-PH"/>
        </w:rPr>
        <w:t>tightened standards could be met without the need for abatement and therefore without additional cost.</w:t>
      </w:r>
    </w:p>
    <w:p w14:paraId="600BF7F2" w14:textId="121D57C8" w:rsidR="00276E6C" w:rsidRDefault="00276E6C" w:rsidP="00276E6C">
      <w:pPr>
        <w:spacing w:after="200" w:line="276" w:lineRule="auto"/>
        <w:rPr>
          <w:lang w:val="en-PH"/>
        </w:rPr>
      </w:pPr>
      <w:r>
        <w:rPr>
          <w:lang w:val="en-PH"/>
        </w:rPr>
        <w:t>As such, each jurisdiction assesses and implements abatement measures following their own policy processes, which may include jurisdiction-specific CBAs and other analyses to select the most appropriate set of abatement measures.</w:t>
      </w:r>
    </w:p>
    <w:p w14:paraId="18BEC90E" w14:textId="7CFC2B6D" w:rsidR="00287987" w:rsidRDefault="00586B58" w:rsidP="001B6724">
      <w:pPr>
        <w:pStyle w:val="BodyText"/>
        <w:rPr>
          <w:lang w:val="en-PH"/>
        </w:rPr>
      </w:pPr>
      <w:r>
        <w:rPr>
          <w:lang w:val="en-PH"/>
        </w:rPr>
        <w:t xml:space="preserve">The results of the CBA suggest that the implementation of abatement measures </w:t>
      </w:r>
      <w:r w:rsidR="002848B9">
        <w:rPr>
          <w:lang w:val="en-PH"/>
        </w:rPr>
        <w:t xml:space="preserve">for selected pollutants </w:t>
      </w:r>
      <w:r>
        <w:rPr>
          <w:lang w:val="en-PH"/>
        </w:rPr>
        <w:t xml:space="preserve">can be </w:t>
      </w:r>
      <w:r w:rsidR="002848B9">
        <w:rPr>
          <w:lang w:val="en-PH"/>
        </w:rPr>
        <w:t>economically efficient in selected airsheds</w:t>
      </w:r>
      <w:r w:rsidR="00E4187C">
        <w:rPr>
          <w:lang w:val="en-PH"/>
        </w:rPr>
        <w:t>.</w:t>
      </w:r>
      <w:r w:rsidR="002848B9">
        <w:rPr>
          <w:lang w:val="en-PH"/>
        </w:rPr>
        <w:t xml:space="preserve"> </w:t>
      </w:r>
      <w:r w:rsidR="00E4187C">
        <w:rPr>
          <w:lang w:val="en-PH"/>
        </w:rPr>
        <w:t xml:space="preserve">Therefore, </w:t>
      </w:r>
      <w:r w:rsidR="00133CAF">
        <w:rPr>
          <w:lang w:val="en-PH"/>
        </w:rPr>
        <w:t xml:space="preserve">this CBA recommends that </w:t>
      </w:r>
      <w:r w:rsidR="00E4187C">
        <w:rPr>
          <w:lang w:val="en-PH"/>
        </w:rPr>
        <w:t xml:space="preserve">abatement measures to meet updated AAQ </w:t>
      </w:r>
      <w:r w:rsidR="00530C93">
        <w:rPr>
          <w:lang w:val="en-PH"/>
        </w:rPr>
        <w:t xml:space="preserve">standards </w:t>
      </w:r>
      <w:r w:rsidR="00E4187C">
        <w:rPr>
          <w:lang w:val="en-PH"/>
        </w:rPr>
        <w:t xml:space="preserve">should </w:t>
      </w:r>
      <w:r w:rsidR="00EF0EC5">
        <w:rPr>
          <w:lang w:val="en-PH"/>
        </w:rPr>
        <w:t xml:space="preserve">only </w:t>
      </w:r>
      <w:r w:rsidR="00133CAF">
        <w:rPr>
          <w:lang w:val="en-PH"/>
        </w:rPr>
        <w:t xml:space="preserve">be implemented </w:t>
      </w:r>
      <w:r w:rsidR="00EF5021">
        <w:rPr>
          <w:lang w:val="en-PH"/>
        </w:rPr>
        <w:t xml:space="preserve">if </w:t>
      </w:r>
      <w:r w:rsidR="00E66961">
        <w:rPr>
          <w:lang w:val="en-PH"/>
        </w:rPr>
        <w:t xml:space="preserve">appropriate </w:t>
      </w:r>
      <w:r w:rsidR="002C0F80">
        <w:rPr>
          <w:lang w:val="en-PH"/>
        </w:rPr>
        <w:t xml:space="preserve">state-level </w:t>
      </w:r>
      <w:r w:rsidR="00E66961">
        <w:rPr>
          <w:lang w:val="en-PH"/>
        </w:rPr>
        <w:t>policy assessment processes</w:t>
      </w:r>
      <w:r w:rsidR="00EF5021">
        <w:rPr>
          <w:lang w:val="en-PH"/>
        </w:rPr>
        <w:t xml:space="preserve"> support their </w:t>
      </w:r>
      <w:r w:rsidR="00EF0EC5">
        <w:rPr>
          <w:lang w:val="en-PH"/>
        </w:rPr>
        <w:t>implementation</w:t>
      </w:r>
      <w:r w:rsidR="00E66961">
        <w:rPr>
          <w:lang w:val="en-PH"/>
        </w:rPr>
        <w:t xml:space="preserve">, </w:t>
      </w:r>
      <w:r w:rsidR="00B31BE2">
        <w:rPr>
          <w:lang w:val="en-PH"/>
        </w:rPr>
        <w:t>or if a national assessment, including more detailed CBA, supports their implementation</w:t>
      </w:r>
      <w:r w:rsidR="000208B5">
        <w:rPr>
          <w:lang w:val="en-PH"/>
        </w:rPr>
        <w:t xml:space="preserve"> at a national level</w:t>
      </w:r>
      <w:r w:rsidR="00B31BE2">
        <w:rPr>
          <w:lang w:val="en-PH"/>
        </w:rPr>
        <w:t>.</w:t>
      </w:r>
    </w:p>
    <w:p w14:paraId="060323B0" w14:textId="75CDF9A6" w:rsidR="00287987" w:rsidRDefault="00870BD8" w:rsidP="001B6724">
      <w:pPr>
        <w:pStyle w:val="BodyText"/>
        <w:rPr>
          <w:lang w:val="en-PH"/>
        </w:rPr>
      </w:pPr>
      <w:r>
        <w:rPr>
          <w:lang w:val="en-PH"/>
        </w:rPr>
        <w:t xml:space="preserve">Furthermore, the CBA also suggests that policy approaches such as an exposure reduction framework, which targets reductions in population exposure instead of </w:t>
      </w:r>
      <w:r w:rsidR="001A5435">
        <w:rPr>
          <w:lang w:val="en-PH"/>
        </w:rPr>
        <w:t xml:space="preserve">average </w:t>
      </w:r>
      <w:r>
        <w:rPr>
          <w:lang w:val="en-PH"/>
        </w:rPr>
        <w:t>concentrations</w:t>
      </w:r>
      <w:r w:rsidR="002F4A04">
        <w:rPr>
          <w:lang w:val="en-PH"/>
        </w:rPr>
        <w:t>,</w:t>
      </w:r>
      <w:r>
        <w:rPr>
          <w:lang w:val="en-PH"/>
        </w:rPr>
        <w:t xml:space="preserve"> </w:t>
      </w:r>
      <w:r w:rsidR="002F4A04">
        <w:rPr>
          <w:lang w:val="en-PH"/>
        </w:rPr>
        <w:t>could provide an effective complement to standards.</w:t>
      </w:r>
    </w:p>
    <w:bookmarkEnd w:id="66"/>
    <w:p w14:paraId="61DE6B00" w14:textId="12C89091" w:rsidR="001B6724" w:rsidRDefault="001B6724" w:rsidP="001B6724">
      <w:pPr>
        <w:pStyle w:val="BodyText"/>
        <w:rPr>
          <w:lang w:val="en-PH"/>
        </w:rPr>
      </w:pPr>
    </w:p>
    <w:p w14:paraId="2CBBC341" w14:textId="77777777" w:rsidR="001B6724" w:rsidRDefault="001B6724" w:rsidP="001B6724">
      <w:pPr>
        <w:pStyle w:val="BodyText"/>
        <w:rPr>
          <w:lang w:val="en-PH"/>
        </w:rPr>
      </w:pPr>
    </w:p>
    <w:p w14:paraId="3A3E6FCD" w14:textId="4DBC9531" w:rsidR="002272A1" w:rsidRDefault="002272A1">
      <w:pPr>
        <w:spacing w:after="200" w:line="276" w:lineRule="auto"/>
        <w:rPr>
          <w:lang w:val="en-PH"/>
        </w:rPr>
      </w:pPr>
      <w:r>
        <w:rPr>
          <w:lang w:val="en-PH"/>
        </w:rPr>
        <w:br w:type="page"/>
      </w:r>
    </w:p>
    <w:p w14:paraId="56B466DF" w14:textId="3F7E0068" w:rsidR="001B6724" w:rsidRDefault="002272A1" w:rsidP="002272A1">
      <w:pPr>
        <w:pStyle w:val="Heading1"/>
        <w:rPr>
          <w:lang w:val="en-PH"/>
        </w:rPr>
      </w:pPr>
      <w:bookmarkStart w:id="67" w:name="_Toc518629897"/>
      <w:r>
        <w:rPr>
          <w:lang w:val="en-PH"/>
        </w:rPr>
        <w:lastRenderedPageBreak/>
        <w:t>References</w:t>
      </w:r>
      <w:bookmarkEnd w:id="67"/>
    </w:p>
    <w:p w14:paraId="3712151C" w14:textId="0AF78E6C" w:rsidR="009D7969" w:rsidRPr="005A4AA7" w:rsidRDefault="001624F8" w:rsidP="00550924">
      <w:pPr>
        <w:pStyle w:val="BodyText"/>
        <w:spacing w:after="240"/>
        <w:ind w:left="720" w:hanging="720"/>
        <w:rPr>
          <w:lang w:val="en-PH"/>
        </w:rPr>
      </w:pPr>
      <w:r>
        <w:rPr>
          <w:lang w:val="en-PH"/>
        </w:rPr>
        <w:t>California Air Resources Board (</w:t>
      </w:r>
      <w:r w:rsidR="009D7969" w:rsidRPr="005A4AA7">
        <w:rPr>
          <w:lang w:val="en-PH"/>
        </w:rPr>
        <w:t>2007</w:t>
      </w:r>
      <w:r>
        <w:rPr>
          <w:lang w:val="en-PH"/>
        </w:rPr>
        <w:t xml:space="preserve">). </w:t>
      </w:r>
      <w:r w:rsidRPr="001624F8">
        <w:rPr>
          <w:i/>
          <w:lang w:val="en-PH"/>
        </w:rPr>
        <w:t>2007 ARB SCM for Architectural Coatings Chapter 5. Technical Assessment Of Categories</w:t>
      </w:r>
      <w:r>
        <w:rPr>
          <w:lang w:val="en-PH"/>
        </w:rPr>
        <w:t>.</w:t>
      </w:r>
      <w:r w:rsidR="00B154FB">
        <w:rPr>
          <w:lang w:val="en-PH"/>
        </w:rPr>
        <w:t xml:space="preserve"> Retrieved from</w:t>
      </w:r>
      <w:r w:rsidR="00384EBE">
        <w:rPr>
          <w:lang w:val="en-PH"/>
        </w:rPr>
        <w:t>:</w:t>
      </w:r>
      <w:r w:rsidR="00B154FB">
        <w:rPr>
          <w:lang w:val="en-PH"/>
        </w:rPr>
        <w:t xml:space="preserve"> </w:t>
      </w:r>
      <w:r w:rsidR="00B154FB" w:rsidRPr="00B154FB">
        <w:rPr>
          <w:lang w:val="en-PH"/>
        </w:rPr>
        <w:t>https://www.arb.ca.gov/coatings/arch/docs.htm</w:t>
      </w:r>
    </w:p>
    <w:p w14:paraId="257F6E82" w14:textId="1AC3EDD3" w:rsidR="00AE39FC" w:rsidRPr="00A75F40" w:rsidRDefault="00A75F40" w:rsidP="00550924">
      <w:pPr>
        <w:pStyle w:val="BodyText"/>
        <w:spacing w:after="240"/>
        <w:ind w:left="720" w:hanging="720"/>
        <w:rPr>
          <w:i/>
          <w:lang w:val="en-PH"/>
        </w:rPr>
      </w:pPr>
      <w:r>
        <w:rPr>
          <w:lang w:val="en-PH"/>
        </w:rPr>
        <w:t>Caltex (</w:t>
      </w:r>
      <w:r w:rsidR="00AE39FC" w:rsidRPr="005A4AA7">
        <w:rPr>
          <w:lang w:val="en-PH"/>
        </w:rPr>
        <w:t>2014</w:t>
      </w:r>
      <w:r>
        <w:rPr>
          <w:lang w:val="en-PH"/>
        </w:rPr>
        <w:t xml:space="preserve">). </w:t>
      </w:r>
      <w:r w:rsidRPr="00A75F40">
        <w:rPr>
          <w:i/>
          <w:lang w:val="en-PH"/>
        </w:rPr>
        <w:t>Caltex submission on the 2014 Review of the Motor Vehicle Standards Act 1989</w:t>
      </w:r>
      <w:r>
        <w:rPr>
          <w:lang w:val="en-PH"/>
        </w:rPr>
        <w:t>.</w:t>
      </w:r>
    </w:p>
    <w:p w14:paraId="45B5F4CD" w14:textId="1FDEB698" w:rsidR="00443BC4" w:rsidRPr="00954E2D" w:rsidRDefault="00443BC4" w:rsidP="00550924">
      <w:pPr>
        <w:pStyle w:val="BodyText"/>
        <w:spacing w:after="240"/>
        <w:ind w:left="720" w:hanging="720"/>
        <w:rPr>
          <w:i/>
          <w:lang w:val="en-PH"/>
        </w:rPr>
      </w:pPr>
      <w:r w:rsidRPr="00443BC4">
        <w:rPr>
          <w:lang w:val="en-PH"/>
        </w:rPr>
        <w:t xml:space="preserve">Cichanowicz, </w:t>
      </w:r>
      <w:r w:rsidR="00954E2D">
        <w:rPr>
          <w:lang w:val="en-PH"/>
        </w:rPr>
        <w:t>J. E. (</w:t>
      </w:r>
      <w:r w:rsidRPr="00443BC4">
        <w:rPr>
          <w:lang w:val="en-PH"/>
        </w:rPr>
        <w:t>2010</w:t>
      </w:r>
      <w:r w:rsidR="00954E2D">
        <w:rPr>
          <w:lang w:val="en-PH"/>
        </w:rPr>
        <w:t xml:space="preserve">). </w:t>
      </w:r>
      <w:r w:rsidR="00954E2D" w:rsidRPr="00954E2D">
        <w:rPr>
          <w:i/>
          <w:lang w:val="en-PH"/>
        </w:rPr>
        <w:t>Current Capital Cost And Cost-Effectiveness Of Power Plant Emissions Control Technologies</w:t>
      </w:r>
      <w:r w:rsidR="00954E2D">
        <w:rPr>
          <w:lang w:val="en-PH"/>
        </w:rPr>
        <w:t>.</w:t>
      </w:r>
    </w:p>
    <w:p w14:paraId="70DD070B" w14:textId="06E566DB" w:rsidR="006F0FB0" w:rsidRDefault="008F6602" w:rsidP="00550924">
      <w:pPr>
        <w:pStyle w:val="BodyText"/>
        <w:spacing w:after="240"/>
        <w:ind w:left="720" w:hanging="720"/>
        <w:rPr>
          <w:lang w:val="en-PH"/>
        </w:rPr>
      </w:pPr>
      <w:r>
        <w:rPr>
          <w:lang w:val="en-PH"/>
        </w:rPr>
        <w:t xml:space="preserve">CONCAWE (2011). </w:t>
      </w:r>
      <w:r w:rsidRPr="008F6602">
        <w:rPr>
          <w:i/>
          <w:lang w:val="en-PH"/>
        </w:rPr>
        <w:t xml:space="preserve">Cost effectiveness of emissions abatement options in European refineries </w:t>
      </w:r>
      <w:r w:rsidR="006F0FB0" w:rsidRPr="008F6602">
        <w:rPr>
          <w:i/>
          <w:lang w:val="en-PH"/>
        </w:rPr>
        <w:t>DEFRA – Damage costs</w:t>
      </w:r>
      <w:r>
        <w:rPr>
          <w:lang w:val="en-PH"/>
        </w:rPr>
        <w:t>.</w:t>
      </w:r>
    </w:p>
    <w:p w14:paraId="5FE25CA9" w14:textId="4046F7D8" w:rsidR="002272A1" w:rsidRDefault="00F765C3" w:rsidP="00550924">
      <w:pPr>
        <w:pStyle w:val="BodyText"/>
        <w:spacing w:after="240"/>
        <w:ind w:left="720" w:hanging="720"/>
        <w:rPr>
          <w:lang w:val="en-PH"/>
        </w:rPr>
      </w:pPr>
      <w:r>
        <w:rPr>
          <w:lang w:val="en-PH"/>
        </w:rPr>
        <w:t xml:space="preserve">DEFRA </w:t>
      </w:r>
      <w:r w:rsidR="005A4AA7">
        <w:rPr>
          <w:lang w:val="en-PH"/>
        </w:rPr>
        <w:t xml:space="preserve">(2013). </w:t>
      </w:r>
      <w:r w:rsidR="005A4AA7" w:rsidRPr="005A4AA7">
        <w:rPr>
          <w:i/>
          <w:lang w:val="en-PH"/>
        </w:rPr>
        <w:t>Impact pathway guidance for valuing changes in air quality</w:t>
      </w:r>
      <w:r w:rsidR="005A4AA7" w:rsidRPr="005A4AA7">
        <w:rPr>
          <w:lang w:val="en-PH"/>
        </w:rPr>
        <w:t>. Retrieved from: https://www.gov.uk/government/uploads/system/uploads/attachment_data/file/197900/pb13913-impact-pathway-guidance.pdf</w:t>
      </w:r>
    </w:p>
    <w:p w14:paraId="6659D16E" w14:textId="77777777" w:rsidR="009D351C" w:rsidRDefault="009D351C" w:rsidP="00550924">
      <w:pPr>
        <w:pStyle w:val="BodyText"/>
        <w:spacing w:after="240"/>
        <w:ind w:left="720" w:hanging="720"/>
      </w:pPr>
      <w:r w:rsidRPr="00C71E18">
        <w:t>DEFRA (2015)</w:t>
      </w:r>
      <w:r>
        <w:t xml:space="preserve">. </w:t>
      </w:r>
      <w:r w:rsidRPr="00C41300">
        <w:rPr>
          <w:i/>
        </w:rPr>
        <w:t>Valuing impacts on air quality: Updates in valuing changes in emissions of Oxides of Nitrogen (NO</w:t>
      </w:r>
      <w:r w:rsidRPr="00C41300">
        <w:rPr>
          <w:i/>
          <w:vertAlign w:val="subscript"/>
        </w:rPr>
        <w:t>X</w:t>
      </w:r>
      <w:r w:rsidRPr="00C41300">
        <w:rPr>
          <w:i/>
        </w:rPr>
        <w:t>) and concentrations of Nitrogen Dioxide (NO</w:t>
      </w:r>
      <w:r w:rsidRPr="00C41300">
        <w:rPr>
          <w:i/>
          <w:vertAlign w:val="subscript"/>
        </w:rPr>
        <w:t>2</w:t>
      </w:r>
      <w:r w:rsidRPr="00C41300">
        <w:rPr>
          <w:i/>
        </w:rPr>
        <w:t>)</w:t>
      </w:r>
      <w:r>
        <w:t>.</w:t>
      </w:r>
    </w:p>
    <w:p w14:paraId="2C84B5AC" w14:textId="7FF397CC" w:rsidR="00AF0283" w:rsidRPr="00A012A2" w:rsidRDefault="00AF0283" w:rsidP="00550924">
      <w:pPr>
        <w:pStyle w:val="BodyText"/>
        <w:spacing w:after="240"/>
        <w:ind w:left="720" w:hanging="720"/>
        <w:rPr>
          <w:lang w:val="en-PH"/>
        </w:rPr>
      </w:pPr>
      <w:r w:rsidRPr="005A4AA7">
        <w:rPr>
          <w:lang w:val="en-PH"/>
        </w:rPr>
        <w:t>Economic and Social Council, Economic Commission for Europe (</w:t>
      </w:r>
      <w:r w:rsidR="00D115F1">
        <w:rPr>
          <w:lang w:val="en-PH"/>
        </w:rPr>
        <w:t>2012</w:t>
      </w:r>
      <w:r w:rsidRPr="005A4AA7">
        <w:rPr>
          <w:lang w:val="en-PH"/>
        </w:rPr>
        <w:t>)</w:t>
      </w:r>
      <w:r w:rsidR="00A012A2">
        <w:rPr>
          <w:lang w:val="en-PH"/>
        </w:rPr>
        <w:t xml:space="preserve">. </w:t>
      </w:r>
      <w:r w:rsidR="00A012A2" w:rsidRPr="00A012A2">
        <w:rPr>
          <w:i/>
          <w:lang w:val="en-PH"/>
        </w:rPr>
        <w:t>Guidance document on control techniques for emissions of sulphur, nitrogen oxides, volatile organic compounds and particulate matter (including PM</w:t>
      </w:r>
      <w:r w:rsidR="00A012A2" w:rsidRPr="00A012A2">
        <w:rPr>
          <w:i/>
          <w:vertAlign w:val="subscript"/>
          <w:lang w:val="en-PH"/>
        </w:rPr>
        <w:t>10</w:t>
      </w:r>
      <w:r w:rsidR="00A012A2" w:rsidRPr="00A012A2">
        <w:rPr>
          <w:i/>
          <w:lang w:val="en-PH"/>
        </w:rPr>
        <w:t>, PM</w:t>
      </w:r>
      <w:r w:rsidR="00A012A2" w:rsidRPr="00A012A2">
        <w:rPr>
          <w:i/>
          <w:vertAlign w:val="subscript"/>
          <w:lang w:val="en-PH"/>
        </w:rPr>
        <w:t>2.5</w:t>
      </w:r>
      <w:r w:rsidR="00A012A2" w:rsidRPr="00A012A2">
        <w:rPr>
          <w:i/>
          <w:lang w:val="en-PH"/>
        </w:rPr>
        <w:t xml:space="preserve"> and black carbon) from stationary sources)</w:t>
      </w:r>
      <w:r w:rsidR="00A012A2">
        <w:rPr>
          <w:lang w:val="en-PH"/>
        </w:rPr>
        <w:t xml:space="preserve">. Retrieved from: </w:t>
      </w:r>
      <w:r w:rsidR="00A012A2" w:rsidRPr="00A012A2">
        <w:rPr>
          <w:lang w:val="en-PH"/>
        </w:rPr>
        <w:t>https://www.unece.org/fileadmin/DAM/env/document</w:t>
      </w:r>
      <w:r w:rsidR="00A012A2">
        <w:rPr>
          <w:lang w:val="en-PH"/>
        </w:rPr>
        <w:t>s/2012/EB/ECE.EB.AIR.117_AV.pdf</w:t>
      </w:r>
    </w:p>
    <w:p w14:paraId="36D21D3C" w14:textId="25C1AB97" w:rsidR="00443BC4" w:rsidRPr="00D124F6" w:rsidRDefault="00443BC4" w:rsidP="00550924">
      <w:pPr>
        <w:pStyle w:val="BodyText"/>
        <w:spacing w:after="240"/>
        <w:ind w:left="720" w:hanging="720"/>
        <w:rPr>
          <w:i/>
          <w:lang w:val="en-PH"/>
        </w:rPr>
      </w:pPr>
      <w:r w:rsidRPr="00443BC4">
        <w:rPr>
          <w:lang w:val="en-PH"/>
        </w:rPr>
        <w:t xml:space="preserve">Electric </w:t>
      </w:r>
      <w:r w:rsidR="00D124F6">
        <w:rPr>
          <w:lang w:val="en-PH"/>
        </w:rPr>
        <w:t xml:space="preserve">Power Research Institute (2015). </w:t>
      </w:r>
      <w:r w:rsidR="00D124F6" w:rsidRPr="00D124F6">
        <w:rPr>
          <w:i/>
          <w:lang w:val="en-PH"/>
        </w:rPr>
        <w:t>Australian Power Generation Technology Report</w:t>
      </w:r>
      <w:r w:rsidR="00D124F6">
        <w:rPr>
          <w:lang w:val="en-PH"/>
        </w:rPr>
        <w:t xml:space="preserve">. </w:t>
      </w:r>
    </w:p>
    <w:p w14:paraId="3E37C9A6" w14:textId="77777777" w:rsidR="009D351C" w:rsidRDefault="009D351C" w:rsidP="00550924">
      <w:pPr>
        <w:pStyle w:val="BodyText"/>
        <w:spacing w:after="240"/>
        <w:ind w:left="720" w:hanging="720"/>
      </w:pPr>
      <w:r w:rsidRPr="009D351C">
        <w:rPr>
          <w:lang w:val="en-PH"/>
        </w:rPr>
        <w:t xml:space="preserve">ENVIRON (2013). </w:t>
      </w:r>
      <w:r w:rsidRPr="009D351C">
        <w:rPr>
          <w:i/>
          <w:lang w:val="en-PH"/>
        </w:rPr>
        <w:t>Locomotive Emissions Project: Scoping Study of Potential Measures to Reduce Emissions from New and In-Service Locomotives in NSW and Australia</w:t>
      </w:r>
      <w:r w:rsidRPr="009D351C">
        <w:rPr>
          <w:lang w:val="en-PH"/>
        </w:rPr>
        <w:t>. Prepared for NSW EPA.</w:t>
      </w:r>
    </w:p>
    <w:p w14:paraId="2D7DD974" w14:textId="0239283F" w:rsidR="00E633AF" w:rsidRPr="005A4AA7" w:rsidRDefault="009D351C" w:rsidP="00550924">
      <w:pPr>
        <w:pStyle w:val="BodyText"/>
        <w:spacing w:after="240"/>
        <w:ind w:left="720" w:hanging="720"/>
        <w:rPr>
          <w:lang w:val="en-PH"/>
        </w:rPr>
      </w:pPr>
      <w:r w:rsidRPr="00A9271A">
        <w:t>Heo J</w:t>
      </w:r>
      <w:r>
        <w:t>.</w:t>
      </w:r>
      <w:r w:rsidRPr="00A9271A">
        <w:t>, Adams P</w:t>
      </w:r>
      <w:r>
        <w:t xml:space="preserve">. </w:t>
      </w:r>
      <w:r w:rsidRPr="00A9271A">
        <w:t>J</w:t>
      </w:r>
      <w:r>
        <w:t>.</w:t>
      </w:r>
      <w:r w:rsidRPr="00A9271A">
        <w:t xml:space="preserve"> and Gao H.</w:t>
      </w:r>
      <w:r>
        <w:t xml:space="preserve"> </w:t>
      </w:r>
      <w:r w:rsidRPr="00A9271A">
        <w:t>O.</w:t>
      </w:r>
      <w:r>
        <w:t xml:space="preserve"> (</w:t>
      </w:r>
      <w:r w:rsidRPr="00A9271A">
        <w:t>2016</w:t>
      </w:r>
      <w:r>
        <w:t>)</w:t>
      </w:r>
      <w:r w:rsidRPr="00A9271A">
        <w:t xml:space="preserve"> Public Health Costs of Primary PM2.5 Precursor Emissions in the United States, </w:t>
      </w:r>
      <w:r w:rsidRPr="00A9271A">
        <w:rPr>
          <w:i/>
        </w:rPr>
        <w:t>Environmental Science and Technology</w:t>
      </w:r>
      <w:r w:rsidRPr="00A9271A">
        <w:t xml:space="preserve">, </w:t>
      </w:r>
      <w:r>
        <w:t xml:space="preserve">50. </w:t>
      </w:r>
      <w:r w:rsidRPr="00A9271A">
        <w:t>pp</w:t>
      </w:r>
      <w:r>
        <w:t xml:space="preserve">. </w:t>
      </w:r>
      <w:r w:rsidRPr="00A9271A">
        <w:t>6061–6070</w:t>
      </w:r>
      <w:r>
        <w:t>.</w:t>
      </w:r>
    </w:p>
    <w:p w14:paraId="4BFDCC36" w14:textId="7E6DB147" w:rsidR="00D85FA1" w:rsidRDefault="007C76CC" w:rsidP="00550924">
      <w:pPr>
        <w:pStyle w:val="BodyText"/>
        <w:spacing w:after="240"/>
        <w:ind w:left="720" w:hanging="720"/>
      </w:pPr>
      <w:r w:rsidRPr="007C76CC">
        <w:t xml:space="preserve">Golder Associates (2013). </w:t>
      </w:r>
      <w:r w:rsidRPr="007C76CC">
        <w:rPr>
          <w:i/>
        </w:rPr>
        <w:t>Exposure Assessment and Risk Characterisation to Inform Recommendations for Updating Ambient Air Quality Standards for PM</w:t>
      </w:r>
      <w:r w:rsidRPr="007C76CC">
        <w:rPr>
          <w:i/>
          <w:vertAlign w:val="subscript"/>
        </w:rPr>
        <w:t>2.5</w:t>
      </w:r>
      <w:r w:rsidRPr="007C76CC">
        <w:rPr>
          <w:i/>
        </w:rPr>
        <w:t>, PM</w:t>
      </w:r>
      <w:r w:rsidRPr="007C76CC">
        <w:rPr>
          <w:i/>
          <w:vertAlign w:val="subscript"/>
        </w:rPr>
        <w:t>10</w:t>
      </w:r>
      <w:r w:rsidRPr="007C76CC">
        <w:rPr>
          <w:i/>
        </w:rPr>
        <w:t>, O</w:t>
      </w:r>
      <w:r w:rsidRPr="007C76CC">
        <w:rPr>
          <w:i/>
          <w:vertAlign w:val="subscript"/>
        </w:rPr>
        <w:t>3</w:t>
      </w:r>
      <w:r w:rsidRPr="007C76CC">
        <w:rPr>
          <w:i/>
        </w:rPr>
        <w:t>, NO</w:t>
      </w:r>
      <w:r w:rsidRPr="007C76CC">
        <w:rPr>
          <w:i/>
          <w:vertAlign w:val="subscript"/>
        </w:rPr>
        <w:t>2</w:t>
      </w:r>
      <w:r w:rsidRPr="007C76CC">
        <w:rPr>
          <w:i/>
        </w:rPr>
        <w:t>, SO</w:t>
      </w:r>
      <w:r w:rsidRPr="007C76CC">
        <w:rPr>
          <w:i/>
          <w:vertAlign w:val="subscript"/>
        </w:rPr>
        <w:t>2</w:t>
      </w:r>
      <w:r w:rsidRPr="007C76CC">
        <w:t>. Golder Associates Report Number 127643066-001-R-Rev0.</w:t>
      </w:r>
    </w:p>
    <w:p w14:paraId="1224BCBE" w14:textId="3E244D91" w:rsidR="001624F8" w:rsidRPr="001624F8" w:rsidRDefault="001624F8" w:rsidP="00550924">
      <w:pPr>
        <w:pStyle w:val="BodyText"/>
        <w:spacing w:after="240"/>
        <w:ind w:left="720" w:hanging="720"/>
        <w:rPr>
          <w:lang w:val="en-PH"/>
        </w:rPr>
      </w:pPr>
      <w:r w:rsidRPr="001624F8">
        <w:rPr>
          <w:lang w:val="en-PH"/>
        </w:rPr>
        <w:t xml:space="preserve">Jalaludin, </w:t>
      </w:r>
      <w:r>
        <w:rPr>
          <w:lang w:val="en-PH"/>
        </w:rPr>
        <w:t xml:space="preserve">B., </w:t>
      </w:r>
      <w:r w:rsidRPr="001624F8">
        <w:rPr>
          <w:lang w:val="en-PH"/>
        </w:rPr>
        <w:t>Salkeld</w:t>
      </w:r>
      <w:r>
        <w:rPr>
          <w:lang w:val="en-PH"/>
        </w:rPr>
        <w:t>, G.</w:t>
      </w:r>
      <w:r w:rsidRPr="001624F8">
        <w:rPr>
          <w:lang w:val="en-PH"/>
        </w:rPr>
        <w:t xml:space="preserve">, Morgan, </w:t>
      </w:r>
      <w:r>
        <w:rPr>
          <w:lang w:val="en-PH"/>
        </w:rPr>
        <w:t xml:space="preserve">G. </w:t>
      </w:r>
      <w:r w:rsidRPr="001624F8">
        <w:rPr>
          <w:lang w:val="en-PH"/>
        </w:rPr>
        <w:t xml:space="preserve">Bee, </w:t>
      </w:r>
      <w:r>
        <w:rPr>
          <w:lang w:val="en-PH"/>
        </w:rPr>
        <w:t xml:space="preserve">T. and </w:t>
      </w:r>
      <w:r w:rsidRPr="001624F8">
        <w:rPr>
          <w:lang w:val="en-PH"/>
        </w:rPr>
        <w:t>Bin Nisar</w:t>
      </w:r>
      <w:r>
        <w:rPr>
          <w:lang w:val="en-PH"/>
        </w:rPr>
        <w:t xml:space="preserve">, Y. (2009). </w:t>
      </w:r>
      <w:r w:rsidRPr="001624F8">
        <w:rPr>
          <w:i/>
          <w:lang w:val="en-PH"/>
        </w:rPr>
        <w:t>A Methodology for Cost-Benefit Analysis of Ambient Air Pollution Health Impacts</w:t>
      </w:r>
      <w:r>
        <w:rPr>
          <w:lang w:val="en-PH"/>
        </w:rPr>
        <w:t>.</w:t>
      </w:r>
    </w:p>
    <w:p w14:paraId="50FCE2B0" w14:textId="6A9EA6E9" w:rsidR="000E3975" w:rsidRPr="005A4AA7" w:rsidRDefault="003075CD" w:rsidP="00550924">
      <w:pPr>
        <w:pStyle w:val="BodyText"/>
        <w:spacing w:after="240"/>
        <w:ind w:left="720" w:hanging="720"/>
        <w:rPr>
          <w:lang w:val="en-PH"/>
        </w:rPr>
      </w:pPr>
      <w:r w:rsidRPr="003075CD">
        <w:rPr>
          <w:lang w:val="en-PH"/>
        </w:rPr>
        <w:t xml:space="preserve">Jalaludin B and Cowie C (2012). </w:t>
      </w:r>
      <w:r w:rsidRPr="003075CD">
        <w:rPr>
          <w:i/>
          <w:lang w:val="en-PH"/>
        </w:rPr>
        <w:t>Health Risk Assessment – Preliminary Work to Identify Concentration-Response Functions for Selected Ambient Air Pollutants</w:t>
      </w:r>
      <w:r w:rsidRPr="003075CD">
        <w:rPr>
          <w:lang w:val="en-PH"/>
        </w:rPr>
        <w:t>. Report prepared for EPA Victoria. Respiratory and Environmental Epidemiology, Woolcock Institute of Medical Research. 30 June 2012.</w:t>
      </w:r>
    </w:p>
    <w:p w14:paraId="3270B41B" w14:textId="4F496347" w:rsidR="007B786D" w:rsidRPr="00E166EB" w:rsidRDefault="007B786D" w:rsidP="00550924">
      <w:pPr>
        <w:pStyle w:val="BodyText"/>
        <w:spacing w:after="240"/>
        <w:ind w:left="720" w:hanging="720"/>
        <w:rPr>
          <w:i/>
          <w:lang w:val="en-PH"/>
        </w:rPr>
      </w:pPr>
      <w:r w:rsidRPr="005A4AA7">
        <w:rPr>
          <w:lang w:val="en-PH"/>
        </w:rPr>
        <w:t>MACTEC</w:t>
      </w:r>
      <w:r w:rsidR="00E166EB">
        <w:rPr>
          <w:lang w:val="en-PH"/>
        </w:rPr>
        <w:t xml:space="preserve"> (</w:t>
      </w:r>
      <w:r w:rsidRPr="005A4AA7">
        <w:rPr>
          <w:lang w:val="en-PH"/>
        </w:rPr>
        <w:t>2005</w:t>
      </w:r>
      <w:r w:rsidR="00E166EB">
        <w:rPr>
          <w:lang w:val="en-PH"/>
        </w:rPr>
        <w:t xml:space="preserve">). </w:t>
      </w:r>
      <w:r w:rsidR="00E166EB" w:rsidRPr="00E166EB">
        <w:rPr>
          <w:i/>
          <w:lang w:val="en-PH"/>
        </w:rPr>
        <w:t>Midwest Regional Planning Organization (RPO) Iron and Steel Mills Best Available Retrofit Technology (BART) Engineering Analysis</w:t>
      </w:r>
      <w:r w:rsidR="00E166EB">
        <w:rPr>
          <w:lang w:val="en-PH"/>
        </w:rPr>
        <w:t>.</w:t>
      </w:r>
    </w:p>
    <w:p w14:paraId="793C19C0" w14:textId="7541BCA2" w:rsidR="008269FA" w:rsidRDefault="008269FA" w:rsidP="00550924">
      <w:pPr>
        <w:pStyle w:val="BodyText"/>
        <w:spacing w:after="240"/>
        <w:ind w:left="720" w:hanging="720"/>
        <w:rPr>
          <w:lang w:val="en-PH"/>
        </w:rPr>
      </w:pPr>
      <w:r>
        <w:rPr>
          <w:lang w:val="en-PH"/>
        </w:rPr>
        <w:t xml:space="preserve">NSW EPA (2014). </w:t>
      </w:r>
      <w:r w:rsidRPr="00B326CA">
        <w:rPr>
          <w:i/>
          <w:lang w:val="en-PH"/>
        </w:rPr>
        <w:t>Reducing Emissions from Non-Road Diesel Engines</w:t>
      </w:r>
      <w:r>
        <w:rPr>
          <w:lang w:val="en-PH"/>
        </w:rPr>
        <w:t>.</w:t>
      </w:r>
      <w:r w:rsidR="00A57C5A">
        <w:rPr>
          <w:lang w:val="en-PH"/>
        </w:rPr>
        <w:t xml:space="preserve"> Retrieved from:</w:t>
      </w:r>
      <w:r w:rsidRPr="008269FA">
        <w:rPr>
          <w:lang w:val="en-PH"/>
        </w:rPr>
        <w:t xml:space="preserve">  www.epa.nsw.gov.au/resources/air/140586NonrdDiesInfoRpt.pdf</w:t>
      </w:r>
    </w:p>
    <w:p w14:paraId="711D1B34" w14:textId="2D4CE00D" w:rsidR="002272A1" w:rsidRPr="00076DAD" w:rsidRDefault="00076DAD" w:rsidP="00550924">
      <w:pPr>
        <w:pStyle w:val="BodyText"/>
        <w:spacing w:after="240"/>
        <w:ind w:left="720" w:hanging="720"/>
        <w:rPr>
          <w:i/>
          <w:lang w:val="en-PH"/>
        </w:rPr>
      </w:pPr>
      <w:r>
        <w:rPr>
          <w:lang w:val="en-PH"/>
        </w:rPr>
        <w:t>OBPR (</w:t>
      </w:r>
      <w:r w:rsidR="002272A1" w:rsidRPr="002272A1">
        <w:rPr>
          <w:lang w:val="en-PH"/>
        </w:rPr>
        <w:t>2016</w:t>
      </w:r>
      <w:r>
        <w:rPr>
          <w:lang w:val="en-PH"/>
        </w:rPr>
        <w:t xml:space="preserve">). </w:t>
      </w:r>
      <w:r w:rsidRPr="00076DAD">
        <w:rPr>
          <w:i/>
          <w:lang w:val="en-PH"/>
        </w:rPr>
        <w:t>Guidance Note:</w:t>
      </w:r>
      <w:r>
        <w:rPr>
          <w:lang w:val="en-PH"/>
        </w:rPr>
        <w:t xml:space="preserve"> </w:t>
      </w:r>
      <w:r w:rsidRPr="00076DAD">
        <w:rPr>
          <w:i/>
          <w:lang w:val="en-PH"/>
        </w:rPr>
        <w:t>Cost-Benefit Analysis.</w:t>
      </w:r>
      <w:r>
        <w:rPr>
          <w:lang w:val="en-PH"/>
        </w:rPr>
        <w:t xml:space="preserve"> </w:t>
      </w:r>
      <w:r w:rsidR="00F96A68">
        <w:rPr>
          <w:lang w:val="en-PH"/>
        </w:rPr>
        <w:t xml:space="preserve">Retrieved from: </w:t>
      </w:r>
      <w:r w:rsidR="00F96A68" w:rsidRPr="00F96A68">
        <w:rPr>
          <w:lang w:val="en-PH"/>
        </w:rPr>
        <w:t>https://www.pmc.gov.au/sites/default/files/publications/006-Cost-benefit-analysis.pdf</w:t>
      </w:r>
    </w:p>
    <w:p w14:paraId="7A3B69BB" w14:textId="3F137B66" w:rsidR="000204FC" w:rsidRDefault="000204FC" w:rsidP="00550924">
      <w:pPr>
        <w:pStyle w:val="BodyText"/>
        <w:spacing w:after="240"/>
        <w:ind w:left="720" w:hanging="720"/>
        <w:rPr>
          <w:lang w:val="en-PH"/>
        </w:rPr>
      </w:pPr>
      <w:r w:rsidRPr="005A4AA7">
        <w:rPr>
          <w:lang w:val="en-PH"/>
        </w:rPr>
        <w:t>Pacific Environment</w:t>
      </w:r>
      <w:r w:rsidR="00DD51F9">
        <w:rPr>
          <w:lang w:val="en-PH"/>
        </w:rPr>
        <w:t xml:space="preserve"> (</w:t>
      </w:r>
      <w:r w:rsidRPr="005A4AA7">
        <w:rPr>
          <w:lang w:val="en-PH"/>
        </w:rPr>
        <w:t>2018</w:t>
      </w:r>
      <w:r w:rsidR="00DD51F9">
        <w:rPr>
          <w:lang w:val="en-PH"/>
        </w:rPr>
        <w:t xml:space="preserve">a). </w:t>
      </w:r>
      <w:r w:rsidR="007D47A4" w:rsidRPr="00B326CA">
        <w:rPr>
          <w:i/>
          <w:lang w:val="en-PH"/>
        </w:rPr>
        <w:t>Review of the Ambient Air Quality NEPM standards for SO</w:t>
      </w:r>
      <w:r w:rsidR="007D47A4" w:rsidRPr="00B326CA">
        <w:rPr>
          <w:i/>
          <w:vertAlign w:val="subscript"/>
          <w:lang w:val="en-PH"/>
        </w:rPr>
        <w:t>2</w:t>
      </w:r>
      <w:r w:rsidR="007D47A4" w:rsidRPr="00B326CA">
        <w:rPr>
          <w:i/>
          <w:lang w:val="en-PH"/>
        </w:rPr>
        <w:t>, NO</w:t>
      </w:r>
      <w:r w:rsidR="007D47A4" w:rsidRPr="00B326CA">
        <w:rPr>
          <w:i/>
          <w:vertAlign w:val="subscript"/>
          <w:lang w:val="en-PH"/>
        </w:rPr>
        <w:t>2</w:t>
      </w:r>
      <w:r w:rsidR="007D47A4" w:rsidRPr="00B326CA">
        <w:rPr>
          <w:i/>
          <w:lang w:val="en-PH"/>
        </w:rPr>
        <w:t xml:space="preserve"> and O</w:t>
      </w:r>
      <w:r w:rsidR="007D47A4" w:rsidRPr="00B326CA">
        <w:rPr>
          <w:i/>
          <w:vertAlign w:val="subscript"/>
          <w:lang w:val="en-PH"/>
        </w:rPr>
        <w:t>3</w:t>
      </w:r>
      <w:r w:rsidR="007D47A4" w:rsidRPr="00B326CA">
        <w:rPr>
          <w:i/>
          <w:lang w:val="en-PH"/>
        </w:rPr>
        <w:t>. Appendix A: Air Quality Study</w:t>
      </w:r>
      <w:r w:rsidR="007D47A4">
        <w:rPr>
          <w:lang w:val="en-PH"/>
        </w:rPr>
        <w:t>.</w:t>
      </w:r>
    </w:p>
    <w:p w14:paraId="6704FB59" w14:textId="42E66D57" w:rsidR="00D037C9" w:rsidRDefault="00D037C9" w:rsidP="00D037C9">
      <w:pPr>
        <w:pStyle w:val="BodyText"/>
        <w:spacing w:after="240"/>
        <w:ind w:left="720" w:hanging="720"/>
        <w:rPr>
          <w:lang w:val="en-PH"/>
        </w:rPr>
      </w:pPr>
      <w:r w:rsidRPr="005A4AA7">
        <w:rPr>
          <w:lang w:val="en-PH"/>
        </w:rPr>
        <w:lastRenderedPageBreak/>
        <w:t>Pacific Environment</w:t>
      </w:r>
      <w:r>
        <w:rPr>
          <w:lang w:val="en-PH"/>
        </w:rPr>
        <w:t xml:space="preserve"> (</w:t>
      </w:r>
      <w:r w:rsidRPr="005A4AA7">
        <w:rPr>
          <w:lang w:val="en-PH"/>
        </w:rPr>
        <w:t>2018</w:t>
      </w:r>
      <w:r>
        <w:rPr>
          <w:lang w:val="en-PH"/>
        </w:rPr>
        <w:t xml:space="preserve">b). </w:t>
      </w:r>
      <w:r w:rsidRPr="0082160F">
        <w:rPr>
          <w:i/>
          <w:lang w:val="en-PH"/>
        </w:rPr>
        <w:t>Review of the Ambient Air Quality NEPM standards for SO</w:t>
      </w:r>
      <w:r w:rsidRPr="0082160F">
        <w:rPr>
          <w:i/>
          <w:vertAlign w:val="subscript"/>
          <w:lang w:val="en-PH"/>
        </w:rPr>
        <w:t>2</w:t>
      </w:r>
      <w:r w:rsidRPr="0082160F">
        <w:rPr>
          <w:i/>
          <w:lang w:val="en-PH"/>
        </w:rPr>
        <w:t>, NO</w:t>
      </w:r>
      <w:r w:rsidRPr="0082160F">
        <w:rPr>
          <w:i/>
          <w:vertAlign w:val="subscript"/>
          <w:lang w:val="en-PH"/>
        </w:rPr>
        <w:t>2</w:t>
      </w:r>
      <w:r w:rsidRPr="0082160F">
        <w:rPr>
          <w:i/>
          <w:lang w:val="en-PH"/>
        </w:rPr>
        <w:t xml:space="preserve"> and O</w:t>
      </w:r>
      <w:r w:rsidRPr="0082160F">
        <w:rPr>
          <w:i/>
          <w:vertAlign w:val="subscript"/>
          <w:lang w:val="en-PH"/>
        </w:rPr>
        <w:t>3</w:t>
      </w:r>
      <w:r w:rsidRPr="0082160F">
        <w:rPr>
          <w:i/>
          <w:lang w:val="en-PH"/>
        </w:rPr>
        <w:t xml:space="preserve">. Appendix </w:t>
      </w:r>
      <w:r w:rsidR="00EC4248">
        <w:rPr>
          <w:i/>
          <w:lang w:val="en-PH"/>
        </w:rPr>
        <w:t>B:</w:t>
      </w:r>
      <w:r w:rsidRPr="0082160F">
        <w:rPr>
          <w:i/>
          <w:lang w:val="en-PH"/>
        </w:rPr>
        <w:t xml:space="preserve"> </w:t>
      </w:r>
      <w:r w:rsidR="00EC4248" w:rsidRPr="00EC4248">
        <w:rPr>
          <w:i/>
          <w:lang w:val="en-PH"/>
        </w:rPr>
        <w:t>Appendix B: Health risk assessment</w:t>
      </w:r>
      <w:r>
        <w:rPr>
          <w:lang w:val="en-PH"/>
        </w:rPr>
        <w:t>.</w:t>
      </w:r>
    </w:p>
    <w:p w14:paraId="206ECC20" w14:textId="0E4FFA15" w:rsidR="001C57E1" w:rsidRDefault="001C57E1" w:rsidP="00550924">
      <w:pPr>
        <w:pStyle w:val="BodyText"/>
        <w:spacing w:after="240"/>
        <w:ind w:left="720" w:hanging="720"/>
        <w:rPr>
          <w:lang w:val="en-PH"/>
        </w:rPr>
      </w:pPr>
      <w:r w:rsidRPr="001C57E1">
        <w:rPr>
          <w:lang w:val="en-PH"/>
        </w:rPr>
        <w:t xml:space="preserve">PAEHolmes (2013). </w:t>
      </w:r>
      <w:r w:rsidRPr="001C57E1">
        <w:rPr>
          <w:i/>
          <w:lang w:val="en-PH"/>
        </w:rPr>
        <w:t>Methodology for valuing the health impacts of changes in particle emissions – final report</w:t>
      </w:r>
      <w:r w:rsidRPr="001C57E1">
        <w:rPr>
          <w:lang w:val="en-PH"/>
        </w:rPr>
        <w:t>. Retrieved from: http://www.epa.nsw.gov.au/resources/air/HealthPartEmiss.pdf.</w:t>
      </w:r>
    </w:p>
    <w:p w14:paraId="1D9608B4" w14:textId="27F7BCE2" w:rsidR="00C001F8" w:rsidRDefault="00C001F8" w:rsidP="00550924">
      <w:pPr>
        <w:pStyle w:val="BodyText"/>
        <w:spacing w:after="240"/>
        <w:ind w:left="720" w:hanging="720"/>
        <w:rPr>
          <w:lang w:val="en-PH"/>
        </w:rPr>
      </w:pPr>
      <w:r w:rsidRPr="00C001F8">
        <w:rPr>
          <w:lang w:val="en-PH"/>
        </w:rPr>
        <w:t>SKM</w:t>
      </w:r>
      <w:r>
        <w:rPr>
          <w:lang w:val="en-PH"/>
        </w:rPr>
        <w:t xml:space="preserve"> (2010).</w:t>
      </w:r>
      <w:r w:rsidRPr="00C001F8">
        <w:rPr>
          <w:lang w:val="en-PH"/>
        </w:rPr>
        <w:t xml:space="preserve"> </w:t>
      </w:r>
      <w:r w:rsidRPr="00B326CA">
        <w:rPr>
          <w:i/>
          <w:lang w:val="en-PH"/>
        </w:rPr>
        <w:t>Department of Environment, Climate Change and Water (DECCW) – Cost Abatement Curves for Air Emission Reduction Actions</w:t>
      </w:r>
      <w:r>
        <w:rPr>
          <w:lang w:val="en-PH"/>
        </w:rPr>
        <w:t>.</w:t>
      </w:r>
    </w:p>
    <w:p w14:paraId="17C1FAAB" w14:textId="7B3439B0" w:rsidR="00BA4A25" w:rsidRPr="009B25E2" w:rsidRDefault="009B25E2" w:rsidP="00550924">
      <w:pPr>
        <w:pStyle w:val="BodyText"/>
        <w:spacing w:after="240"/>
        <w:ind w:left="720" w:hanging="720"/>
        <w:rPr>
          <w:i/>
          <w:lang w:val="en-PH"/>
        </w:rPr>
      </w:pPr>
      <w:r>
        <w:rPr>
          <w:lang w:val="en-PH"/>
        </w:rPr>
        <w:t>US EPA (</w:t>
      </w:r>
      <w:r w:rsidR="00BA4A25" w:rsidRPr="00BA4A25">
        <w:rPr>
          <w:lang w:val="en-PH"/>
        </w:rPr>
        <w:t>2010).</w:t>
      </w:r>
      <w:r>
        <w:rPr>
          <w:lang w:val="en-PH"/>
        </w:rPr>
        <w:t xml:space="preserve"> </w:t>
      </w:r>
      <w:r w:rsidRPr="009B25E2">
        <w:rPr>
          <w:i/>
          <w:lang w:val="en-PH"/>
        </w:rPr>
        <w:t>The Benefits and Costs of the Clean Air Act from 1990 to 2020</w:t>
      </w:r>
      <w:r>
        <w:rPr>
          <w:lang w:val="en-PH"/>
        </w:rPr>
        <w:t xml:space="preserve">. Retrieved from: </w:t>
      </w:r>
      <w:r w:rsidRPr="009B25E2">
        <w:rPr>
          <w:lang w:val="en-PH"/>
        </w:rPr>
        <w:t>https://www.epa.gov/sites/production/files/2015-07/documents/fullreport_rev_a.pdf</w:t>
      </w:r>
    </w:p>
    <w:p w14:paraId="05B0D680" w14:textId="7664669D" w:rsidR="0025220D" w:rsidRDefault="0025220D" w:rsidP="00550924">
      <w:pPr>
        <w:pStyle w:val="BodyText"/>
        <w:spacing w:after="240"/>
        <w:ind w:left="720" w:hanging="720"/>
        <w:rPr>
          <w:lang w:val="en-PH"/>
        </w:rPr>
      </w:pPr>
      <w:r>
        <w:t>WHO (2013a). Health risks of air pollution in Europe – HRAPIE project. Recommendations for concentration–response functions for cost–benefit analysis of particulate matter, ozone and nitrogen dioxide. World Health Organization Regional Office for Europe, Copenhagen, Denmark.u</w:t>
      </w:r>
    </w:p>
    <w:p w14:paraId="413C93CE" w14:textId="72362E2C" w:rsidR="00202139" w:rsidRDefault="00202139" w:rsidP="00550924">
      <w:pPr>
        <w:pStyle w:val="BodyText"/>
        <w:spacing w:after="240"/>
        <w:ind w:left="720" w:hanging="720"/>
        <w:rPr>
          <w:lang w:val="en-PH"/>
        </w:rPr>
      </w:pPr>
      <w:r w:rsidRPr="005A4AA7">
        <w:rPr>
          <w:lang w:val="en-PH"/>
        </w:rPr>
        <w:t xml:space="preserve">World </w:t>
      </w:r>
      <w:r w:rsidR="005708F6" w:rsidRPr="005A4AA7">
        <w:rPr>
          <w:lang w:val="en-PH"/>
        </w:rPr>
        <w:t>Alumin</w:t>
      </w:r>
      <w:r w:rsidR="00DF5982">
        <w:rPr>
          <w:lang w:val="en-PH"/>
        </w:rPr>
        <w:t>i</w:t>
      </w:r>
      <w:r w:rsidR="005708F6" w:rsidRPr="005A4AA7">
        <w:rPr>
          <w:lang w:val="en-PH"/>
        </w:rPr>
        <w:t>um</w:t>
      </w:r>
      <w:r w:rsidR="005708F6">
        <w:rPr>
          <w:lang w:val="en-PH"/>
        </w:rPr>
        <w:t xml:space="preserve"> (</w:t>
      </w:r>
      <w:r w:rsidRPr="005A4AA7">
        <w:rPr>
          <w:lang w:val="en-PH"/>
        </w:rPr>
        <w:t>2016</w:t>
      </w:r>
      <w:r w:rsidR="005708F6">
        <w:rPr>
          <w:lang w:val="en-PH"/>
        </w:rPr>
        <w:t>).</w:t>
      </w:r>
      <w:r w:rsidR="00DF5982">
        <w:rPr>
          <w:lang w:val="en-PH"/>
        </w:rPr>
        <w:t xml:space="preserve"> </w:t>
      </w:r>
      <w:r w:rsidR="00DF5982" w:rsidRPr="00B326CA">
        <w:rPr>
          <w:i/>
          <w:lang w:val="en-PH"/>
        </w:rPr>
        <w:t>Primary Aluminium Production Statistics</w:t>
      </w:r>
      <w:r w:rsidR="00DF5982">
        <w:rPr>
          <w:lang w:val="en-PH"/>
        </w:rPr>
        <w:t xml:space="preserve">. Retrieved from: </w:t>
      </w:r>
      <w:r w:rsidR="00DF5982" w:rsidRPr="00DF5982">
        <w:rPr>
          <w:lang w:val="en-PH"/>
        </w:rPr>
        <w:t>http://www.world-aluminium.org/statistics/</w:t>
      </w:r>
    </w:p>
    <w:p w14:paraId="1478CBC7" w14:textId="60937CDA" w:rsidR="00A33357" w:rsidRPr="002272A1" w:rsidRDefault="008E5F6B" w:rsidP="00550924">
      <w:pPr>
        <w:pStyle w:val="BodyText"/>
        <w:spacing w:after="240"/>
        <w:ind w:left="720" w:hanging="720"/>
        <w:rPr>
          <w:lang w:val="en-PH"/>
        </w:rPr>
      </w:pPr>
      <w:r w:rsidRPr="008E5F6B">
        <w:rPr>
          <w:lang w:val="en-PH"/>
        </w:rPr>
        <w:t xml:space="preserve">Yang M and Chou S-Y (2017). The Impact of Environmental Regulation on Fetal Health: Evidence from the Shutdown of a Coal-Fired Power Plant Located Upwind of New Jersey. </w:t>
      </w:r>
      <w:r w:rsidRPr="008E5F6B">
        <w:rPr>
          <w:i/>
          <w:lang w:val="en-PH"/>
        </w:rPr>
        <w:t>Journal of Environmental Economics and Management</w:t>
      </w:r>
      <w:r w:rsidRPr="008E5F6B">
        <w:rPr>
          <w:lang w:val="en-PH"/>
        </w:rPr>
        <w:t>. In press.</w:t>
      </w:r>
    </w:p>
    <w:p w14:paraId="0853E77D" w14:textId="30A83C9F" w:rsidR="001B6724" w:rsidRDefault="001B6724" w:rsidP="001B6724">
      <w:pPr>
        <w:spacing w:after="200" w:line="276" w:lineRule="auto"/>
        <w:rPr>
          <w:highlight w:val="yellow"/>
          <w:lang w:val="en-PH"/>
        </w:rPr>
      </w:pPr>
      <w:r>
        <w:rPr>
          <w:highlight w:val="yellow"/>
          <w:lang w:val="en-PH"/>
        </w:rPr>
        <w:br w:type="page"/>
      </w:r>
    </w:p>
    <w:p w14:paraId="74A9A783" w14:textId="2840F0B6" w:rsidR="00A84381" w:rsidRPr="00A47DA3" w:rsidRDefault="00A84381" w:rsidP="003120AB">
      <w:pPr>
        <w:pStyle w:val="Appendixheading"/>
        <w:numPr>
          <w:ilvl w:val="0"/>
          <w:numId w:val="0"/>
        </w:numPr>
      </w:pPr>
      <w:bookmarkStart w:id="68" w:name="_Toc518629898"/>
      <w:bookmarkStart w:id="69" w:name="_Ref508396181"/>
      <w:r>
        <w:lastRenderedPageBreak/>
        <w:t>Annexure</w:t>
      </w:r>
      <w:r w:rsidRPr="00A47DA3">
        <w:t xml:space="preserve"> </w:t>
      </w:r>
      <w:r w:rsidR="00B93345">
        <w:rPr>
          <w:noProof/>
        </w:rPr>
        <w:fldChar w:fldCharType="begin"/>
      </w:r>
      <w:r w:rsidR="00B93345">
        <w:rPr>
          <w:noProof/>
        </w:rPr>
        <w:instrText xml:space="preserve"> SEQ Appendix\* ALPHABETIC\n  \* MERGEFORMAT </w:instrText>
      </w:r>
      <w:r w:rsidR="00B93345">
        <w:rPr>
          <w:noProof/>
        </w:rPr>
        <w:fldChar w:fldCharType="separate"/>
      </w:r>
      <w:r w:rsidR="00A50702">
        <w:rPr>
          <w:noProof/>
        </w:rPr>
        <w:t>A</w:t>
      </w:r>
      <w:bookmarkEnd w:id="68"/>
      <w:r w:rsidR="00B93345">
        <w:rPr>
          <w:noProof/>
        </w:rPr>
        <w:fldChar w:fldCharType="end"/>
      </w:r>
      <w:bookmarkEnd w:id="69"/>
    </w:p>
    <w:bookmarkStart w:id="70" w:name="_Toc518629899"/>
    <w:p w14:paraId="2B8C4C0B" w14:textId="77777777" w:rsidR="00A84381" w:rsidRDefault="00B93345" w:rsidP="00263635">
      <w:pPr>
        <w:pStyle w:val="Appendixtitle"/>
      </w:pPr>
      <w:sdt>
        <w:sdtPr>
          <w:alias w:val="Appendix title"/>
          <w:tag w:val="Appendix title"/>
          <w:id w:val="1551563429"/>
          <w:placeholder>
            <w:docPart w:val="8163D186E9FC4983912F2594FF83162A"/>
          </w:placeholder>
        </w:sdtPr>
        <w:sdtEndPr/>
        <w:sdtContent>
          <w:r w:rsidR="00A84381">
            <w:t>Overview of health risk assessment</w:t>
          </w:r>
        </w:sdtContent>
      </w:sdt>
      <w:bookmarkEnd w:id="70"/>
    </w:p>
    <w:p w14:paraId="404E1AC9" w14:textId="7162FC00" w:rsidR="001B6724" w:rsidRDefault="007E6D22" w:rsidP="001B6724">
      <w:pPr>
        <w:pStyle w:val="BodyText"/>
        <w:rPr>
          <w:lang w:val="en-PH"/>
        </w:rPr>
      </w:pPr>
      <w:r>
        <w:rPr>
          <w:lang w:val="en-PH"/>
        </w:rPr>
        <w:t xml:space="preserve">A health risk assessment (HRA) was used to project the changes in health outcomes associated with changes in pollutant concentrations. </w:t>
      </w:r>
      <w:r w:rsidR="0088618B">
        <w:rPr>
          <w:lang w:val="en-PH"/>
        </w:rPr>
        <w:t>The HRA focuses on health outcomes that are known to be associated with exposure to the pollutant</w:t>
      </w:r>
      <w:r w:rsidR="00323460">
        <w:rPr>
          <w:lang w:val="en-PH"/>
        </w:rPr>
        <w:t>s</w:t>
      </w:r>
      <w:r w:rsidR="0088618B">
        <w:rPr>
          <w:lang w:val="en-PH"/>
        </w:rPr>
        <w:t xml:space="preserve"> being analyse</w:t>
      </w:r>
      <w:r w:rsidR="00C33C2B">
        <w:rPr>
          <w:lang w:val="en-PH"/>
        </w:rPr>
        <w:t>d</w:t>
      </w:r>
      <w:r w:rsidR="0088618B">
        <w:rPr>
          <w:lang w:val="en-PH"/>
        </w:rPr>
        <w:t xml:space="preserve">. </w:t>
      </w:r>
      <w:r w:rsidR="00C83CD3">
        <w:rPr>
          <w:lang w:val="en-PH"/>
        </w:rPr>
        <w:t>A HRA estimates these changes by:</w:t>
      </w:r>
    </w:p>
    <w:p w14:paraId="5F0E4FB7" w14:textId="4A0E9360" w:rsidR="00C83CD3" w:rsidRDefault="00C2105C" w:rsidP="00C2105C">
      <w:pPr>
        <w:pStyle w:val="Bullet1"/>
        <w:rPr>
          <w:lang w:val="en-PH"/>
        </w:rPr>
      </w:pPr>
      <w:r>
        <w:rPr>
          <w:lang w:val="en-PH"/>
        </w:rPr>
        <w:t>estimating the business as usual incidence rates of selected health outcomes</w:t>
      </w:r>
      <w:r w:rsidR="00B1287D">
        <w:rPr>
          <w:lang w:val="en-PH"/>
        </w:rPr>
        <w:t xml:space="preserve"> (e.g. rate of hospital visits for respiratory illness per 100,000 of population)</w:t>
      </w:r>
    </w:p>
    <w:p w14:paraId="63A06994" w14:textId="496F8161" w:rsidR="00B1287D" w:rsidRDefault="002D2C6D" w:rsidP="00C2105C">
      <w:pPr>
        <w:pStyle w:val="Bullet1"/>
        <w:rPr>
          <w:lang w:val="en-PH"/>
        </w:rPr>
      </w:pPr>
      <w:r>
        <w:rPr>
          <w:lang w:val="en-PH"/>
        </w:rPr>
        <w:t>obtaining estimates of the relationships between changes in concentration and changes in health outcomes based on reviews of epidemiological and other health studies</w:t>
      </w:r>
    </w:p>
    <w:p w14:paraId="0D00E04D" w14:textId="77777777" w:rsidR="009A505F" w:rsidRDefault="00104AED" w:rsidP="00C2105C">
      <w:pPr>
        <w:pStyle w:val="Bullet1"/>
        <w:rPr>
          <w:lang w:val="en-PH"/>
        </w:rPr>
      </w:pPr>
      <w:r>
        <w:rPr>
          <w:lang w:val="en-PH"/>
        </w:rPr>
        <w:t>applying these relationships, referred to as concentration response functions (CRFs) to projected changes in pollutant concentration</w:t>
      </w:r>
    </w:p>
    <w:p w14:paraId="55C32F4B" w14:textId="63091C8C" w:rsidR="00104AED" w:rsidRDefault="009A505F" w:rsidP="00C2105C">
      <w:pPr>
        <w:pStyle w:val="Bullet1"/>
        <w:rPr>
          <w:lang w:val="en-PH"/>
        </w:rPr>
      </w:pPr>
      <w:r>
        <w:rPr>
          <w:lang w:val="en-PH"/>
        </w:rPr>
        <w:t xml:space="preserve">presenting the results as the number of fewer </w:t>
      </w:r>
      <w:r w:rsidR="00D713D7">
        <w:rPr>
          <w:lang w:val="en-PH"/>
        </w:rPr>
        <w:t xml:space="preserve">or greater </w:t>
      </w:r>
      <w:r w:rsidR="00CE1FBD">
        <w:rPr>
          <w:lang w:val="en-PH"/>
        </w:rPr>
        <w:t>health outcomes for selecting endpoints</w:t>
      </w:r>
      <w:r w:rsidR="00104AED">
        <w:rPr>
          <w:lang w:val="en-PH"/>
        </w:rPr>
        <w:t>.</w:t>
      </w:r>
    </w:p>
    <w:p w14:paraId="06604568" w14:textId="10A436FA" w:rsidR="00A01EC0" w:rsidRDefault="00D85FA1" w:rsidP="00A01EC0">
      <w:pPr>
        <w:spacing w:after="240"/>
      </w:pPr>
      <w:r>
        <w:t>In the HRA for this review, h</w:t>
      </w:r>
      <w:r w:rsidR="00A01EC0">
        <w:t>ealth outcomes avoided have been calculated using the general approach used in previous studies (e.g. Golder Associates, 2013). That is, the change in health outcomes (denoted Δy) is expressed as a function of:</w:t>
      </w:r>
    </w:p>
    <w:p w14:paraId="36534C65" w14:textId="77777777" w:rsidR="00A01EC0" w:rsidRPr="00D85FA1" w:rsidRDefault="00A01EC0" w:rsidP="00D85FA1">
      <w:pPr>
        <w:pStyle w:val="Bullet1"/>
        <w:rPr>
          <w:lang w:val="en-PH"/>
        </w:rPr>
      </w:pPr>
      <w:r w:rsidRPr="00D85FA1">
        <w:rPr>
          <w:lang w:val="en-PH"/>
        </w:rPr>
        <w:t>the change in pollutant concentrations (denoted Δx)</w:t>
      </w:r>
    </w:p>
    <w:p w14:paraId="34A69F93" w14:textId="77777777" w:rsidR="00A01EC0" w:rsidRPr="00D85FA1" w:rsidRDefault="00A01EC0" w:rsidP="00D85FA1">
      <w:pPr>
        <w:pStyle w:val="Bullet1"/>
        <w:rPr>
          <w:lang w:val="en-PH"/>
        </w:rPr>
      </w:pPr>
      <w:r w:rsidRPr="00D85FA1">
        <w:rPr>
          <w:lang w:val="en-PH"/>
        </w:rPr>
        <w:t>a baseline incidence rate (denoted y</w:t>
      </w:r>
      <w:r w:rsidRPr="00937EC7">
        <w:rPr>
          <w:vertAlign w:val="subscript"/>
          <w:lang w:val="en-PH"/>
        </w:rPr>
        <w:t>0</w:t>
      </w:r>
      <w:r w:rsidRPr="00D85FA1">
        <w:rPr>
          <w:lang w:val="en-PH"/>
        </w:rPr>
        <w:t>)</w:t>
      </w:r>
    </w:p>
    <w:p w14:paraId="77449EEB" w14:textId="77777777" w:rsidR="00A01EC0" w:rsidRPr="00D85FA1" w:rsidRDefault="00A01EC0" w:rsidP="00D85FA1">
      <w:pPr>
        <w:pStyle w:val="Bullet1"/>
        <w:rPr>
          <w:lang w:val="en-PH"/>
        </w:rPr>
      </w:pPr>
      <w:r w:rsidRPr="00D85FA1">
        <w:rPr>
          <w:lang w:val="en-PH"/>
        </w:rPr>
        <w:t>a concentration response function (CRF).</w:t>
      </w:r>
    </w:p>
    <w:p w14:paraId="1E919961" w14:textId="77777777" w:rsidR="00A01EC0" w:rsidRDefault="00A01EC0" w:rsidP="00A01EC0">
      <w:pPr>
        <w:spacing w:after="240"/>
      </w:pPr>
      <w:r>
        <w:t>The general equation is provided below.</w:t>
      </w:r>
    </w:p>
    <w:p w14:paraId="52B5E964" w14:textId="77777777" w:rsidR="00A01EC0" w:rsidRDefault="00A01EC0" w:rsidP="00A01EC0">
      <w:pPr>
        <w:spacing w:after="240"/>
      </w:pPr>
      <m:oMathPara>
        <m:oMath>
          <m:r>
            <w:rPr>
              <w:rFonts w:ascii="Cambria Math" w:hAnsi="Cambria Math"/>
            </w:rPr>
            <m:t>∆y=f</m:t>
          </m:r>
          <m:d>
            <m:dPr>
              <m:ctrlPr>
                <w:rPr>
                  <w:rFonts w:ascii="Cambria Math" w:hAnsi="Cambria Math"/>
                  <w:i/>
                </w:rPr>
              </m:ctrlPr>
            </m:dPr>
            <m:e>
              <m:r>
                <w:rPr>
                  <w:rFonts w:ascii="Cambria Math" w:hAnsi="Cambria Math"/>
                </w:rPr>
                <m:t xml:space="preserve">∆x, </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,CRF</m:t>
              </m:r>
            </m:e>
          </m:d>
        </m:oMath>
      </m:oMathPara>
    </w:p>
    <w:p w14:paraId="27C7824A" w14:textId="77777777" w:rsidR="00A01EC0" w:rsidRDefault="00A01EC0" w:rsidP="00A01EC0">
      <w:pPr>
        <w:spacing w:after="240"/>
      </w:pPr>
      <w:r>
        <w:t>Golder Associates expresses the CRF as a ‘Beta’ (β) coefficient, which results in the following equation (Golder Associates, 2013, p.9):</w:t>
      </w:r>
    </w:p>
    <w:p w14:paraId="2BDE0602" w14:textId="77777777" w:rsidR="00A01EC0" w:rsidRDefault="00A01EC0" w:rsidP="00A01EC0">
      <w:pPr>
        <w:spacing w:after="240"/>
      </w:pPr>
      <m:oMathPara>
        <m:oMath>
          <m:r>
            <w:rPr>
              <w:rFonts w:ascii="Cambria Math" w:hAnsi="Cambria Math"/>
            </w:rPr>
            <m:t xml:space="preserve">∆y= </m:t>
          </m:r>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β∆x</m:t>
                  </m:r>
                </m:sup>
              </m:sSup>
              <m:r>
                <w:rPr>
                  <w:rFonts w:ascii="Cambria Math" w:hAnsi="Cambria Math"/>
                </w:rPr>
                <m:t>-1</m:t>
              </m:r>
            </m:e>
          </m:d>
          <m:sSub>
            <m:sSubPr>
              <m:ctrlPr>
                <w:rPr>
                  <w:rFonts w:ascii="Cambria Math" w:hAnsi="Cambria Math"/>
                  <w:i/>
                </w:rPr>
              </m:ctrlPr>
            </m:sSubPr>
            <m:e>
              <m:r>
                <w:rPr>
                  <w:rFonts w:ascii="Cambria Math" w:hAnsi="Cambria Math"/>
                </w:rPr>
                <m:t>y</m:t>
              </m:r>
            </m:e>
            <m:sub>
              <m:r>
                <w:rPr>
                  <w:rFonts w:ascii="Cambria Math" w:hAnsi="Cambria Math"/>
                </w:rPr>
                <m:t>o</m:t>
              </m:r>
            </m:sub>
          </m:sSub>
        </m:oMath>
      </m:oMathPara>
    </w:p>
    <w:p w14:paraId="7F994C3F" w14:textId="45D2EA97" w:rsidR="00A01EC0" w:rsidRDefault="00A01EC0" w:rsidP="00A01EC0">
      <w:pPr>
        <w:spacing w:after="240"/>
      </w:pPr>
      <w:r>
        <w:t xml:space="preserve">In </w:t>
      </w:r>
      <w:r w:rsidR="00937EC7">
        <w:t>the HRA used for this review</w:t>
      </w:r>
      <w:r>
        <w:t>, the CRF is expressed as a Relative Risk (RR), which is the form normally used by the source literature to express the CRF</w:t>
      </w:r>
      <w:r>
        <w:rPr>
          <w:rStyle w:val="FootnoteReference"/>
        </w:rPr>
        <w:footnoteReference w:id="3"/>
      </w:r>
      <w:r>
        <w:t>. The relationship between RR and β is presented in the equation below (Golder Associates, 2013, p.12):</w:t>
      </w:r>
    </w:p>
    <w:p w14:paraId="370EFEB4" w14:textId="77777777" w:rsidR="00A01EC0" w:rsidRDefault="00A01EC0" w:rsidP="00A01EC0">
      <w:pPr>
        <w:spacing w:after="240"/>
        <w:jc w:val="center"/>
      </w:pPr>
      <m:oMathPara>
        <m:oMath>
          <m:r>
            <w:rPr>
              <w:rFonts w:ascii="Cambria Math" w:hAnsi="Cambria Math"/>
            </w:rPr>
            <m:t>β=</m:t>
          </m:r>
          <m:f>
            <m:fPr>
              <m:type m:val="skw"/>
              <m:ctrlPr>
                <w:rPr>
                  <w:rFonts w:ascii="Cambria Math" w:hAnsi="Cambria Math"/>
                  <w:i/>
                </w:rPr>
              </m:ctrlPr>
            </m:fPr>
            <m:num>
              <m:func>
                <m:funcPr>
                  <m:ctrlPr>
                    <w:rPr>
                      <w:rFonts w:ascii="Cambria Math" w:hAnsi="Cambria Math"/>
                      <w:i/>
                    </w:rPr>
                  </m:ctrlPr>
                </m:funcPr>
                <m:fName>
                  <m:r>
                    <m:rPr>
                      <m:sty m:val="p"/>
                    </m:rPr>
                    <w:rPr>
                      <w:rFonts w:ascii="Cambria Math" w:hAnsi="Cambria Math"/>
                    </w:rPr>
                    <m:t>log</m:t>
                  </m:r>
                </m:fName>
                <m:e>
                  <m:r>
                    <w:rPr>
                      <w:rFonts w:ascii="Cambria Math" w:hAnsi="Cambria Math"/>
                    </w:rPr>
                    <m:t>RR</m:t>
                  </m:r>
                </m:e>
              </m:func>
            </m:num>
            <m:den>
              <m:r>
                <w:rPr>
                  <w:rFonts w:ascii="Cambria Math" w:hAnsi="Cambria Math"/>
                </w:rPr>
                <m:t>∆x</m:t>
              </m:r>
            </m:den>
          </m:f>
        </m:oMath>
      </m:oMathPara>
    </w:p>
    <w:p w14:paraId="554E15EF" w14:textId="77777777" w:rsidR="00A01EC0" w:rsidRDefault="00A01EC0" w:rsidP="00A01EC0">
      <w:pPr>
        <w:spacing w:after="240"/>
      </w:pPr>
      <w:r>
        <w:t>This results in the use of the following equation in this study, which is a transformed version of the Golder Associates (2013) version:</w:t>
      </w:r>
    </w:p>
    <w:p w14:paraId="2FAC43CC" w14:textId="77777777" w:rsidR="00A01EC0" w:rsidRDefault="00A01EC0" w:rsidP="00A01EC0">
      <w:pPr>
        <w:spacing w:after="240"/>
      </w:pPr>
      <m:oMathPara>
        <m:oMath>
          <m:r>
            <w:rPr>
              <w:rFonts w:ascii="Cambria Math" w:hAnsi="Cambria Math"/>
            </w:rPr>
            <m:t>∆y= Δx.(RR-1).</m:t>
          </m:r>
          <m:sSub>
            <m:sSubPr>
              <m:ctrlPr>
                <w:rPr>
                  <w:rFonts w:ascii="Cambria Math" w:hAnsi="Cambria Math"/>
                  <w:i/>
                </w:rPr>
              </m:ctrlPr>
            </m:sSubPr>
            <m:e>
              <m:r>
                <w:rPr>
                  <w:rFonts w:ascii="Cambria Math" w:hAnsi="Cambria Math"/>
                </w:rPr>
                <m:t>y</m:t>
              </m:r>
            </m:e>
            <m:sub>
              <m:r>
                <w:rPr>
                  <w:rFonts w:ascii="Cambria Math" w:hAnsi="Cambria Math"/>
                </w:rPr>
                <m:t>o</m:t>
              </m:r>
            </m:sub>
          </m:sSub>
        </m:oMath>
      </m:oMathPara>
    </w:p>
    <w:p w14:paraId="0F66743A" w14:textId="77777777" w:rsidR="001B6724" w:rsidRDefault="001B6724" w:rsidP="001B6724">
      <w:pPr>
        <w:pStyle w:val="BodyText"/>
        <w:rPr>
          <w:lang w:val="en-PH"/>
        </w:rPr>
      </w:pPr>
    </w:p>
    <w:p w14:paraId="68859B6D" w14:textId="77777777" w:rsidR="001B6724" w:rsidRDefault="001B6724" w:rsidP="001B6724">
      <w:pPr>
        <w:spacing w:after="200" w:line="276" w:lineRule="auto"/>
        <w:rPr>
          <w:lang w:val="en-PH"/>
        </w:rPr>
      </w:pPr>
      <w:r>
        <w:rPr>
          <w:lang w:val="en-PH"/>
        </w:rPr>
        <w:br w:type="page"/>
      </w:r>
    </w:p>
    <w:p w14:paraId="68A893F0" w14:textId="77777777" w:rsidR="00A84381" w:rsidRDefault="00A84381" w:rsidP="001B6724">
      <w:pPr>
        <w:pStyle w:val="Heading1"/>
        <w:rPr>
          <w:lang w:val="en-PH"/>
        </w:rPr>
        <w:sectPr w:rsidR="00A84381" w:rsidSect="00A84381">
          <w:headerReference w:type="default" r:id="rId20"/>
          <w:footerReference w:type="default" r:id="rId21"/>
          <w:pgSz w:w="11906" w:h="16838"/>
          <w:pgMar w:top="850" w:right="850" w:bottom="850" w:left="1417" w:header="709" w:footer="510" w:gutter="0"/>
          <w:cols w:space="708"/>
          <w:docGrid w:linePitch="360"/>
        </w:sectPr>
      </w:pPr>
    </w:p>
    <w:p w14:paraId="26405B3F" w14:textId="3B566911" w:rsidR="00A84381" w:rsidRPr="00A47DA3" w:rsidRDefault="00A84381" w:rsidP="003120AB">
      <w:pPr>
        <w:pStyle w:val="Appendixheading"/>
        <w:numPr>
          <w:ilvl w:val="0"/>
          <w:numId w:val="0"/>
        </w:numPr>
      </w:pPr>
      <w:bookmarkStart w:id="71" w:name="_Toc518629900"/>
      <w:bookmarkStart w:id="72" w:name="_Ref508451514"/>
      <w:r>
        <w:lastRenderedPageBreak/>
        <w:t>Annexure</w:t>
      </w:r>
      <w:r w:rsidRPr="00A47DA3">
        <w:t xml:space="preserve"> </w:t>
      </w:r>
      <w:r w:rsidR="00B93345">
        <w:rPr>
          <w:noProof/>
        </w:rPr>
        <w:fldChar w:fldCharType="begin"/>
      </w:r>
      <w:r w:rsidR="00B93345">
        <w:rPr>
          <w:noProof/>
        </w:rPr>
        <w:instrText xml:space="preserve"> SEQ Appendix\* ALPHABETIC\n  \* MERGEFORMAT </w:instrText>
      </w:r>
      <w:r w:rsidR="00B93345">
        <w:rPr>
          <w:noProof/>
        </w:rPr>
        <w:fldChar w:fldCharType="separate"/>
      </w:r>
      <w:r w:rsidR="00A50702">
        <w:rPr>
          <w:noProof/>
        </w:rPr>
        <w:t>B</w:t>
      </w:r>
      <w:bookmarkEnd w:id="71"/>
      <w:r w:rsidR="00B93345">
        <w:rPr>
          <w:noProof/>
        </w:rPr>
        <w:fldChar w:fldCharType="end"/>
      </w:r>
      <w:bookmarkEnd w:id="72"/>
    </w:p>
    <w:bookmarkStart w:id="73" w:name="_Toc518629901"/>
    <w:p w14:paraId="0DF9396F" w14:textId="77777777" w:rsidR="00A84381" w:rsidRDefault="00B93345" w:rsidP="00263635">
      <w:pPr>
        <w:pStyle w:val="Appendixtitle"/>
      </w:pPr>
      <w:sdt>
        <w:sdtPr>
          <w:alias w:val="Appendix title"/>
          <w:tag w:val="Appendix title"/>
          <w:id w:val="-929965119"/>
          <w:placeholder>
            <w:docPart w:val="AA5706FB3FC44D03BC7FA6A5E42C18DD"/>
          </w:placeholder>
        </w:sdtPr>
        <w:sdtEndPr/>
        <w:sdtContent>
          <w:r w:rsidR="00A84381">
            <w:t>Estimation of damage costs</w:t>
          </w:r>
        </w:sdtContent>
      </w:sdt>
      <w:bookmarkEnd w:id="73"/>
    </w:p>
    <w:p w14:paraId="2EAB4C3E" w14:textId="39354327" w:rsidR="00F27249" w:rsidRDefault="00F27249" w:rsidP="00F27249">
      <w:pPr>
        <w:pStyle w:val="BodyText"/>
        <w:rPr>
          <w:lang w:val="en-PH"/>
        </w:rPr>
      </w:pPr>
      <w:r>
        <w:rPr>
          <w:lang w:val="en-PH"/>
        </w:rPr>
        <w:t xml:space="preserve">The CBA uses a damage cost approach to estimate the health benefits of changes in </w:t>
      </w:r>
      <w:r w:rsidR="00E76B0E">
        <w:rPr>
          <w:lang w:val="en-PH"/>
        </w:rPr>
        <w:t>SO</w:t>
      </w:r>
      <w:r w:rsidR="00E76B0E" w:rsidRPr="00731F44">
        <w:rPr>
          <w:vertAlign w:val="subscript"/>
          <w:lang w:val="en-PH"/>
        </w:rPr>
        <w:t>X</w:t>
      </w:r>
      <w:r w:rsidR="00E76B0E">
        <w:rPr>
          <w:lang w:val="en-PH"/>
        </w:rPr>
        <w:t xml:space="preserve"> and NO</w:t>
      </w:r>
      <w:r w:rsidR="00E76B0E" w:rsidRPr="00731F44">
        <w:rPr>
          <w:vertAlign w:val="subscript"/>
          <w:lang w:val="en-PH"/>
        </w:rPr>
        <w:t>X</w:t>
      </w:r>
      <w:r w:rsidR="00E76B0E">
        <w:rPr>
          <w:lang w:val="en-PH"/>
        </w:rPr>
        <w:t xml:space="preserve"> </w:t>
      </w:r>
      <w:r>
        <w:rPr>
          <w:lang w:val="en-PH"/>
        </w:rPr>
        <w:t>emissions where data were not available to use an impact pathway approach. This was done by estimating the following for each combination of pollutant, airshed, scenario (BAU or Abatement) and year (2021, 2031 or 2040) for which impact pathway results were available:</w:t>
      </w:r>
    </w:p>
    <w:p w14:paraId="7C98BF4F" w14:textId="77777777" w:rsidR="00F27249" w:rsidRDefault="00F27249" w:rsidP="00F27249">
      <w:pPr>
        <w:pStyle w:val="Bullet1"/>
        <w:rPr>
          <w:lang w:val="en-PH"/>
        </w:rPr>
      </w:pPr>
      <w:r>
        <w:rPr>
          <w:lang w:val="en-PH"/>
        </w:rPr>
        <w:t>the $ per tonne, calculated by dividing the avoided health costs by the emission reduction</w:t>
      </w:r>
    </w:p>
    <w:p w14:paraId="0AF04345" w14:textId="77777777" w:rsidR="00F27249" w:rsidRDefault="00F27249" w:rsidP="00F27249">
      <w:pPr>
        <w:pStyle w:val="Bullet1"/>
        <w:rPr>
          <w:lang w:val="en-PH"/>
        </w:rPr>
      </w:pPr>
      <w:r>
        <w:rPr>
          <w:lang w:val="en-PH"/>
        </w:rPr>
        <w:t>the population density of the corresponding airshed.</w:t>
      </w:r>
    </w:p>
    <w:p w14:paraId="0569383B" w14:textId="7A80527C" w:rsidR="003A530B" w:rsidRDefault="003A530B" w:rsidP="00F27249">
      <w:pPr>
        <w:pStyle w:val="BodyText"/>
        <w:rPr>
          <w:lang w:val="en-PH"/>
        </w:rPr>
      </w:pPr>
      <w:r>
        <w:rPr>
          <w:lang w:val="en-PH"/>
        </w:rPr>
        <w:t>Note that the calculation of damage costs was based on the results from applying Group 1 CRFs only. The health outcomes included in the results include short-term (acute) mortality and morbidity associated with exposure to SO</w:t>
      </w:r>
      <w:r w:rsidRPr="00731F44">
        <w:rPr>
          <w:vertAlign w:val="subscript"/>
          <w:lang w:val="en-PH"/>
        </w:rPr>
        <w:t>2</w:t>
      </w:r>
      <w:r>
        <w:rPr>
          <w:lang w:val="en-PH"/>
        </w:rPr>
        <w:t xml:space="preserve"> and NO</w:t>
      </w:r>
      <w:r w:rsidRPr="00731F44">
        <w:rPr>
          <w:vertAlign w:val="subscript"/>
          <w:lang w:val="en-PH"/>
        </w:rPr>
        <w:t>2</w:t>
      </w:r>
      <w:r>
        <w:rPr>
          <w:lang w:val="en-PH"/>
        </w:rPr>
        <w:t>. A similar approach for O</w:t>
      </w:r>
      <w:r w:rsidRPr="00731F44">
        <w:rPr>
          <w:vertAlign w:val="subscript"/>
          <w:lang w:val="en-PH"/>
        </w:rPr>
        <w:t>3</w:t>
      </w:r>
      <w:r>
        <w:rPr>
          <w:lang w:val="en-PH"/>
        </w:rPr>
        <w:t xml:space="preserve"> could not be applied because O</w:t>
      </w:r>
      <w:r w:rsidRPr="00731F44">
        <w:rPr>
          <w:vertAlign w:val="subscript"/>
          <w:lang w:val="en-PH"/>
        </w:rPr>
        <w:t>3</w:t>
      </w:r>
      <w:r>
        <w:rPr>
          <w:lang w:val="en-PH"/>
        </w:rPr>
        <w:t xml:space="preserve"> is a secondary pollutant, </w:t>
      </w:r>
      <w:r w:rsidR="00DE4D39">
        <w:rPr>
          <w:lang w:val="en-PH"/>
        </w:rPr>
        <w:t xml:space="preserve">and is therefore not formed directly due to the emission of any </w:t>
      </w:r>
      <w:r w:rsidR="000D24C5">
        <w:rPr>
          <w:lang w:val="en-PH"/>
        </w:rPr>
        <w:t xml:space="preserve">single </w:t>
      </w:r>
      <w:r w:rsidR="00DE4D39">
        <w:rPr>
          <w:lang w:val="en-PH"/>
        </w:rPr>
        <w:t>pollutant.</w:t>
      </w:r>
      <w:r w:rsidR="000D2B30">
        <w:rPr>
          <w:lang w:val="en-PH"/>
        </w:rPr>
        <w:t xml:space="preserve"> </w:t>
      </w:r>
      <w:r w:rsidR="0097696F">
        <w:rPr>
          <w:lang w:val="en-PH"/>
        </w:rPr>
        <w:t>Moreover</w:t>
      </w:r>
      <w:r w:rsidR="000D2B30">
        <w:rPr>
          <w:lang w:val="en-PH"/>
        </w:rPr>
        <w:t>, a similar approach was not required for PM</w:t>
      </w:r>
      <w:r w:rsidR="000D2B30" w:rsidRPr="00731F44">
        <w:rPr>
          <w:vertAlign w:val="subscript"/>
          <w:lang w:val="en-PH"/>
        </w:rPr>
        <w:t>2.5</w:t>
      </w:r>
      <w:r w:rsidR="000D2B30">
        <w:rPr>
          <w:lang w:val="en-PH"/>
        </w:rPr>
        <w:t xml:space="preserve"> because damage costs for this pollutant were already available from the literature (refer to Section </w:t>
      </w:r>
      <w:r w:rsidR="000D2B30">
        <w:rPr>
          <w:lang w:val="en-PH"/>
        </w:rPr>
        <w:fldChar w:fldCharType="begin"/>
      </w:r>
      <w:r w:rsidR="000D2B30">
        <w:rPr>
          <w:lang w:val="en-PH"/>
        </w:rPr>
        <w:instrText xml:space="preserve"> REF _Ref517706801 \r \h </w:instrText>
      </w:r>
      <w:r w:rsidR="000D2B30">
        <w:rPr>
          <w:lang w:val="en-PH"/>
        </w:rPr>
      </w:r>
      <w:r w:rsidR="000D2B30">
        <w:rPr>
          <w:lang w:val="en-PH"/>
        </w:rPr>
        <w:fldChar w:fldCharType="separate"/>
      </w:r>
      <w:r w:rsidR="00A50702">
        <w:rPr>
          <w:lang w:val="en-PH"/>
        </w:rPr>
        <w:t>3.5.2</w:t>
      </w:r>
      <w:r w:rsidR="000D2B30">
        <w:rPr>
          <w:lang w:val="en-PH"/>
        </w:rPr>
        <w:fldChar w:fldCharType="end"/>
      </w:r>
      <w:r w:rsidR="000D2B30">
        <w:rPr>
          <w:lang w:val="en-PH"/>
        </w:rPr>
        <w:t>).</w:t>
      </w:r>
    </w:p>
    <w:p w14:paraId="3E51746D" w14:textId="3A23AB23" w:rsidR="00F27249" w:rsidRDefault="00F27249" w:rsidP="00F27249">
      <w:pPr>
        <w:pStyle w:val="BodyText"/>
        <w:rPr>
          <w:lang w:val="en-PH"/>
        </w:rPr>
      </w:pPr>
      <w:r>
        <w:rPr>
          <w:lang w:val="en-PH"/>
        </w:rPr>
        <w:t xml:space="preserve">Regression analysis was used to estimate the relationship between unit damage costs </w:t>
      </w:r>
      <w:r w:rsidR="00F23F8F">
        <w:rPr>
          <w:lang w:val="en-PH"/>
        </w:rPr>
        <w:t xml:space="preserve">($ per tonne) </w:t>
      </w:r>
      <w:r>
        <w:rPr>
          <w:lang w:val="en-PH"/>
        </w:rPr>
        <w:t>and population density</w:t>
      </w:r>
      <w:r w:rsidR="00F23F8F">
        <w:rPr>
          <w:lang w:val="en-PH"/>
        </w:rPr>
        <w:t xml:space="preserve"> (persons per km</w:t>
      </w:r>
      <w:r w:rsidR="00F23F8F" w:rsidRPr="00905066">
        <w:rPr>
          <w:vertAlign w:val="superscript"/>
          <w:lang w:val="en-PH"/>
        </w:rPr>
        <w:t>2</w:t>
      </w:r>
      <w:r w:rsidR="00F23F8F">
        <w:rPr>
          <w:lang w:val="en-PH"/>
        </w:rPr>
        <w:t>)</w:t>
      </w:r>
      <w:r>
        <w:rPr>
          <w:lang w:val="en-PH"/>
        </w:rPr>
        <w:t>. The results of this regression were used to estimate a unique unit damage cost for each airshed where no impact pathway results were available. The unit damage cost ($ per tonne) is then applied to the estimated emission reduction (tonnes) to arrive at an estimate of the avoided health costs ($).</w:t>
      </w:r>
    </w:p>
    <w:p w14:paraId="7456FF1B" w14:textId="3970583A" w:rsidR="00754100" w:rsidRDefault="00754100" w:rsidP="00F27249">
      <w:pPr>
        <w:pStyle w:val="BodyText"/>
        <w:rPr>
          <w:lang w:val="en-PH"/>
        </w:rPr>
      </w:pPr>
      <w:r>
        <w:rPr>
          <w:lang w:val="en-PH"/>
        </w:rPr>
        <w:t xml:space="preserve">Population density estimates were </w:t>
      </w:r>
      <w:r w:rsidR="00D50761">
        <w:rPr>
          <w:lang w:val="en-PH"/>
        </w:rPr>
        <w:t>based on ABS data on the population and area of Significant Urban Areas (SUAs) corresponding to each airshed</w:t>
      </w:r>
      <w:r w:rsidR="002901D5">
        <w:rPr>
          <w:lang w:val="en-PH"/>
        </w:rPr>
        <w:t>, except for Latrobe Valley where Local Government Areas (LGA) population and area estimates are used because there is no corresponding SUA</w:t>
      </w:r>
      <w:r w:rsidR="00D50761">
        <w:rPr>
          <w:lang w:val="en-PH"/>
        </w:rPr>
        <w:t>.</w:t>
      </w:r>
    </w:p>
    <w:p w14:paraId="3D4F9A81" w14:textId="0A13505B" w:rsidR="00A05A32" w:rsidRDefault="00A05A32" w:rsidP="00F27249">
      <w:pPr>
        <w:pStyle w:val="BodyText"/>
        <w:rPr>
          <w:lang w:val="en-PH"/>
        </w:rPr>
      </w:pPr>
    </w:p>
    <w:p w14:paraId="2109B426" w14:textId="77777777" w:rsidR="00C94E1A" w:rsidRDefault="00C94E1A" w:rsidP="001B6724">
      <w:pPr>
        <w:pStyle w:val="BodyText"/>
        <w:rPr>
          <w:b/>
          <w:highlight w:val="yellow"/>
          <w:lang w:val="en-PH"/>
        </w:rPr>
      </w:pPr>
    </w:p>
    <w:p w14:paraId="51140B09" w14:textId="5D206873" w:rsidR="001B6724" w:rsidRDefault="001B6724" w:rsidP="001B6724">
      <w:pPr>
        <w:pStyle w:val="BodyText"/>
        <w:rPr>
          <w:lang w:val="en-PH"/>
        </w:rPr>
      </w:pPr>
    </w:p>
    <w:p w14:paraId="08F844D8" w14:textId="77777777" w:rsidR="001B6724" w:rsidRPr="00F7477D" w:rsidRDefault="001B6724" w:rsidP="001B6724">
      <w:pPr>
        <w:pStyle w:val="BodyText"/>
        <w:rPr>
          <w:lang w:val="en-PH"/>
        </w:rPr>
      </w:pPr>
      <w:r>
        <w:rPr>
          <w:lang w:val="en-PH"/>
        </w:rPr>
        <w:t xml:space="preserve"> </w:t>
      </w:r>
    </w:p>
    <w:p w14:paraId="3775CD83" w14:textId="77777777" w:rsidR="001B6724" w:rsidRDefault="001B6724" w:rsidP="001B6724">
      <w:pPr>
        <w:spacing w:after="200" w:line="276" w:lineRule="auto"/>
        <w:rPr>
          <w:lang w:val="en-PH"/>
        </w:rPr>
      </w:pPr>
      <w:r>
        <w:rPr>
          <w:lang w:val="en-PH"/>
        </w:rPr>
        <w:br w:type="page"/>
      </w:r>
    </w:p>
    <w:p w14:paraId="3FC668D7" w14:textId="77777777" w:rsidR="001F44A3" w:rsidRDefault="001F44A3" w:rsidP="00741A93">
      <w:pPr>
        <w:spacing w:after="200" w:line="276" w:lineRule="auto"/>
        <w:sectPr w:rsidR="001F44A3" w:rsidSect="00A84381">
          <w:headerReference w:type="default" r:id="rId22"/>
          <w:footerReference w:type="default" r:id="rId23"/>
          <w:pgSz w:w="11906" w:h="16838"/>
          <w:pgMar w:top="850" w:right="850" w:bottom="850" w:left="1417" w:header="709" w:footer="510" w:gutter="0"/>
          <w:cols w:space="708"/>
          <w:docGrid w:linePitch="360"/>
        </w:sectPr>
      </w:pPr>
    </w:p>
    <w:p w14:paraId="39B0CDCF" w14:textId="596439DF" w:rsidR="001F44A3" w:rsidRPr="00A47DA3" w:rsidRDefault="001F44A3" w:rsidP="003120AB">
      <w:pPr>
        <w:pStyle w:val="Appendixheading"/>
        <w:numPr>
          <w:ilvl w:val="0"/>
          <w:numId w:val="0"/>
        </w:numPr>
      </w:pPr>
      <w:bookmarkStart w:id="74" w:name="_Toc503443526"/>
      <w:bookmarkStart w:id="75" w:name="_Toc518629902"/>
      <w:bookmarkStart w:id="76" w:name="_Ref508395353"/>
      <w:r>
        <w:lastRenderedPageBreak/>
        <w:t xml:space="preserve">Annexure </w:t>
      </w:r>
      <w:r w:rsidR="00B93345">
        <w:rPr>
          <w:noProof/>
        </w:rPr>
        <w:fldChar w:fldCharType="begin"/>
      </w:r>
      <w:r w:rsidR="00B93345">
        <w:rPr>
          <w:noProof/>
        </w:rPr>
        <w:instrText xml:space="preserve"> SEQ Appendix\* ALPHABETIC\n  \* MERGEFORMAT </w:instrText>
      </w:r>
      <w:r w:rsidR="00B93345">
        <w:rPr>
          <w:noProof/>
        </w:rPr>
        <w:fldChar w:fldCharType="separate"/>
      </w:r>
      <w:r w:rsidR="00A50702">
        <w:rPr>
          <w:noProof/>
        </w:rPr>
        <w:t>C</w:t>
      </w:r>
      <w:bookmarkEnd w:id="74"/>
      <w:bookmarkEnd w:id="75"/>
      <w:r w:rsidR="00B93345">
        <w:rPr>
          <w:noProof/>
        </w:rPr>
        <w:fldChar w:fldCharType="end"/>
      </w:r>
      <w:bookmarkEnd w:id="76"/>
    </w:p>
    <w:bookmarkStart w:id="77" w:name="_Toc518629903"/>
    <w:bookmarkStart w:id="78" w:name="_Toc503443527"/>
    <w:p w14:paraId="4ED43F89" w14:textId="73739A57" w:rsidR="001F44A3" w:rsidRDefault="00B93345" w:rsidP="001130D4">
      <w:pPr>
        <w:pStyle w:val="Appendixtitle"/>
      </w:pPr>
      <w:sdt>
        <w:sdtPr>
          <w:alias w:val="Appendix title"/>
          <w:tag w:val="Appendix title"/>
          <w:id w:val="343668888"/>
          <w:placeholder>
            <w:docPart w:val="133184DE12D2498F9C43DC38CA9A28F4"/>
          </w:placeholder>
        </w:sdtPr>
        <w:sdtEndPr/>
        <w:sdtContent>
          <w:r w:rsidR="001F44A3">
            <w:t>Analysis of abatement</w:t>
          </w:r>
          <w:r w:rsidR="00512AD0">
            <w:t xml:space="preserve"> measures</w:t>
          </w:r>
        </w:sdtContent>
      </w:sdt>
      <w:bookmarkEnd w:id="77"/>
      <w:r w:rsidR="001F44A3">
        <w:t xml:space="preserve"> </w:t>
      </w:r>
      <w:bookmarkEnd w:id="78"/>
    </w:p>
    <w:p w14:paraId="3F965398" w14:textId="77777777" w:rsidR="00F30A96" w:rsidRDefault="00F30A96" w:rsidP="001130D4">
      <w:pPr>
        <w:pStyle w:val="BodyText"/>
      </w:pPr>
    </w:p>
    <w:p w14:paraId="0511CC7C" w14:textId="26347FB3" w:rsidR="00F30A96" w:rsidRDefault="00F30A96" w:rsidP="00F30A96">
      <w:pPr>
        <w:pStyle w:val="BodyText"/>
      </w:pPr>
      <w:r w:rsidRPr="00565F7E">
        <w:t xml:space="preserve">Abatement measures selected for </w:t>
      </w:r>
      <w:r>
        <w:t xml:space="preserve">inclusion in the CBA </w:t>
      </w:r>
      <w:r w:rsidRPr="00565F7E">
        <w:t xml:space="preserve">are shown in </w:t>
      </w:r>
      <w:r w:rsidRPr="00407075">
        <w:fldChar w:fldCharType="begin"/>
      </w:r>
      <w:r w:rsidRPr="00043042">
        <w:instrText xml:space="preserve"> REF _Ref507409017 \h </w:instrText>
      </w:r>
      <w:r>
        <w:instrText xml:space="preserve"> \* MERGEFORMAT </w:instrText>
      </w:r>
      <w:r w:rsidRPr="00407075">
        <w:fldChar w:fldCharType="separate"/>
      </w:r>
      <w:r w:rsidR="00A50702">
        <w:t xml:space="preserve">Table </w:t>
      </w:r>
      <w:r w:rsidR="00A50702">
        <w:rPr>
          <w:noProof/>
        </w:rPr>
        <w:t>C</w:t>
      </w:r>
      <w:r w:rsidR="00A50702">
        <w:rPr>
          <w:noProof/>
        </w:rPr>
        <w:noBreakHyphen/>
        <w:t>1</w:t>
      </w:r>
      <w:r w:rsidRPr="00407075">
        <w:fldChar w:fldCharType="end"/>
      </w:r>
      <w:r w:rsidRPr="00407075">
        <w:t>.</w:t>
      </w:r>
    </w:p>
    <w:p w14:paraId="16DE517E" w14:textId="06B3BD43" w:rsidR="00F30A96" w:rsidRDefault="00F30A96" w:rsidP="00F30A96">
      <w:pPr>
        <w:pStyle w:val="Caption"/>
      </w:pPr>
      <w:bookmarkStart w:id="79" w:name="_Ref507409017"/>
      <w:bookmarkStart w:id="80" w:name="_Toc508222211"/>
      <w:bookmarkStart w:id="81" w:name="_Toc518629921"/>
      <w:r>
        <w:t xml:space="preserve">Table </w:t>
      </w:r>
      <w:r w:rsidR="004B45A8">
        <w:t>C</w:t>
      </w:r>
      <w:r>
        <w:noBreakHyphen/>
      </w:r>
      <w:r>
        <w:fldChar w:fldCharType="begin"/>
      </w:r>
      <w:r>
        <w:instrText xml:space="preserve"> SEQ Table \* ARABIC \s 1 </w:instrText>
      </w:r>
      <w:r>
        <w:fldChar w:fldCharType="separate"/>
      </w:r>
      <w:r w:rsidR="00A50702">
        <w:rPr>
          <w:noProof/>
        </w:rPr>
        <w:t>1</w:t>
      </w:r>
      <w:r>
        <w:fldChar w:fldCharType="end"/>
      </w:r>
      <w:bookmarkEnd w:id="79"/>
      <w:r>
        <w:t xml:space="preserve"> Abatement measures selected for </w:t>
      </w:r>
      <w:r w:rsidR="00650948">
        <w:t>c</w:t>
      </w:r>
      <w:r>
        <w:t>ost-</w:t>
      </w:r>
      <w:r w:rsidR="00650948">
        <w:t>b</w:t>
      </w:r>
      <w:r>
        <w:t xml:space="preserve">enefit </w:t>
      </w:r>
      <w:r w:rsidR="00650948">
        <w:t>a</w:t>
      </w:r>
      <w:r>
        <w:t>nalysis</w:t>
      </w:r>
      <w:bookmarkEnd w:id="80"/>
      <w:bookmarkEnd w:id="81"/>
    </w:p>
    <w:tbl>
      <w:tblPr>
        <w:tblStyle w:val="AureconTable4"/>
        <w:tblW w:w="5011" w:type="pct"/>
        <w:tblLayout w:type="fixed"/>
        <w:tblLook w:val="04A0" w:firstRow="1" w:lastRow="0" w:firstColumn="1" w:lastColumn="0" w:noHBand="0" w:noVBand="1"/>
      </w:tblPr>
      <w:tblGrid>
        <w:gridCol w:w="1168"/>
        <w:gridCol w:w="1380"/>
        <w:gridCol w:w="7102"/>
      </w:tblGrid>
      <w:tr w:rsidR="00F30A96" w:rsidRPr="00B4030F" w14:paraId="16809A60" w14:textId="77777777" w:rsidTr="001130D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05" w:type="pct"/>
            <w:noWrap/>
            <w:hideMark/>
          </w:tcPr>
          <w:p w14:paraId="69E91B33" w14:textId="77777777" w:rsidR="00F30A96" w:rsidRPr="00E80D83" w:rsidRDefault="00F30A96" w:rsidP="001130D4">
            <w:pPr>
              <w:rPr>
                <w:rFonts w:eastAsia="Times New Roman"/>
                <w:bCs/>
                <w:lang w:val="en-AU" w:eastAsia="en-AU"/>
              </w:rPr>
            </w:pPr>
            <w:r w:rsidRPr="00E80D83">
              <w:rPr>
                <w:rFonts w:eastAsia="Times New Roman"/>
                <w:bCs/>
                <w:lang w:val="en-AU" w:eastAsia="en-AU"/>
              </w:rPr>
              <w:t>Pollutant</w:t>
            </w:r>
          </w:p>
        </w:tc>
        <w:tc>
          <w:tcPr>
            <w:tcW w:w="715" w:type="pct"/>
            <w:noWrap/>
            <w:hideMark/>
          </w:tcPr>
          <w:p w14:paraId="2EC557DC" w14:textId="77777777" w:rsidR="00F30A96" w:rsidRPr="00E80D83" w:rsidRDefault="00F30A96" w:rsidP="001130D4">
            <w:pPr>
              <w:cnfStyle w:val="100000000000" w:firstRow="1" w:lastRow="0" w:firstColumn="0" w:lastColumn="0" w:oddVBand="0" w:evenVBand="0" w:oddHBand="0" w:evenHBand="0" w:firstRowFirstColumn="0" w:firstRowLastColumn="0" w:lastRowFirstColumn="0" w:lastRowLastColumn="0"/>
              <w:rPr>
                <w:rFonts w:eastAsia="Times New Roman"/>
                <w:bCs/>
                <w:lang w:val="en-AU" w:eastAsia="en-AU"/>
              </w:rPr>
            </w:pPr>
            <w:r>
              <w:rPr>
                <w:rFonts w:eastAsia="Times New Roman"/>
                <w:bCs/>
                <w:lang w:val="en-AU" w:eastAsia="en-AU"/>
              </w:rPr>
              <w:t>Measure No.</w:t>
            </w:r>
          </w:p>
        </w:tc>
        <w:tc>
          <w:tcPr>
            <w:tcW w:w="3680" w:type="pct"/>
            <w:noWrap/>
            <w:hideMark/>
          </w:tcPr>
          <w:p w14:paraId="63C84EB6" w14:textId="77777777" w:rsidR="00F30A96" w:rsidRPr="00E80D83" w:rsidRDefault="00F30A96" w:rsidP="001130D4">
            <w:pPr>
              <w:cnfStyle w:val="100000000000" w:firstRow="1" w:lastRow="0" w:firstColumn="0" w:lastColumn="0" w:oddVBand="0" w:evenVBand="0" w:oddHBand="0" w:evenHBand="0" w:firstRowFirstColumn="0" w:firstRowLastColumn="0" w:lastRowFirstColumn="0" w:lastRowLastColumn="0"/>
              <w:rPr>
                <w:rFonts w:eastAsia="Times New Roman"/>
                <w:bCs/>
                <w:lang w:val="en-AU" w:eastAsia="en-AU"/>
              </w:rPr>
            </w:pPr>
            <w:r w:rsidRPr="00E80D83">
              <w:rPr>
                <w:rFonts w:eastAsia="Times New Roman"/>
                <w:bCs/>
                <w:lang w:val="en-AU" w:eastAsia="en-AU"/>
              </w:rPr>
              <w:t>Abatement Description</w:t>
            </w:r>
          </w:p>
        </w:tc>
      </w:tr>
      <w:tr w:rsidR="00F30A96" w:rsidRPr="00B4030F" w14:paraId="75230C32" w14:textId="77777777" w:rsidTr="001130D4">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5EAF0AD2" w14:textId="77777777" w:rsidR="00F30A96" w:rsidRPr="00B4030F" w:rsidRDefault="00F30A96" w:rsidP="001130D4">
            <w:pPr>
              <w:rPr>
                <w:rFonts w:eastAsia="Times New Roman"/>
                <w:color w:val="000000"/>
                <w:lang w:val="en-AU" w:eastAsia="en-AU"/>
              </w:rPr>
            </w:pPr>
            <w:r w:rsidRPr="00B4030F">
              <w:rPr>
                <w:rFonts w:eastAsia="Times New Roman"/>
                <w:color w:val="000000"/>
                <w:lang w:val="en-AU" w:eastAsia="en-AU"/>
              </w:rPr>
              <w:t>SO</w:t>
            </w:r>
            <w:r w:rsidRPr="006A71ED">
              <w:rPr>
                <w:rFonts w:eastAsia="Times New Roman"/>
                <w:color w:val="000000"/>
                <w:vertAlign w:val="subscript"/>
                <w:lang w:val="en-AU" w:eastAsia="en-AU"/>
              </w:rPr>
              <w:t>2</w:t>
            </w:r>
          </w:p>
        </w:tc>
        <w:tc>
          <w:tcPr>
            <w:tcW w:w="715" w:type="pct"/>
            <w:noWrap/>
          </w:tcPr>
          <w:p w14:paraId="7C3F1219"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9</w:t>
            </w:r>
          </w:p>
        </w:tc>
        <w:tc>
          <w:tcPr>
            <w:tcW w:w="3680" w:type="pct"/>
            <w:noWrap/>
          </w:tcPr>
          <w:p w14:paraId="1AA633EF" w14:textId="40A9E358"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Pr>
                <w:rFonts w:eastAsia="Times New Roman"/>
                <w:color w:val="000000"/>
                <w:lang w:val="en-AU" w:eastAsia="en-AU"/>
              </w:rPr>
              <w:t>De-SO</w:t>
            </w:r>
            <w:r w:rsidRPr="0075020D">
              <w:rPr>
                <w:rFonts w:eastAsia="Times New Roman"/>
                <w:color w:val="000000"/>
                <w:vertAlign w:val="subscript"/>
                <w:lang w:val="en-AU" w:eastAsia="en-AU"/>
              </w:rPr>
              <w:t>X</w:t>
            </w:r>
            <w:r w:rsidRPr="00B4030F">
              <w:rPr>
                <w:rFonts w:eastAsia="Times New Roman"/>
                <w:color w:val="000000"/>
                <w:lang w:val="en-AU" w:eastAsia="en-AU"/>
              </w:rPr>
              <w:t xml:space="preserve"> and </w:t>
            </w:r>
            <w:r>
              <w:rPr>
                <w:rFonts w:eastAsia="Times New Roman"/>
                <w:color w:val="000000"/>
                <w:lang w:val="en-AU" w:eastAsia="en-AU"/>
              </w:rPr>
              <w:t>NO</w:t>
            </w:r>
            <w:r w:rsidRPr="0075020D">
              <w:rPr>
                <w:rFonts w:eastAsia="Times New Roman"/>
                <w:color w:val="000000"/>
                <w:vertAlign w:val="subscript"/>
                <w:lang w:val="en-AU" w:eastAsia="en-AU"/>
              </w:rPr>
              <w:t>X</w:t>
            </w:r>
            <w:r w:rsidR="003A08C1">
              <w:rPr>
                <w:rFonts w:eastAsia="Times New Roman"/>
                <w:color w:val="000000"/>
                <w:vertAlign w:val="subscript"/>
                <w:lang w:val="en-AU" w:eastAsia="en-AU"/>
              </w:rPr>
              <w:t>,</w:t>
            </w:r>
            <w:r w:rsidRPr="00B4030F">
              <w:rPr>
                <w:rFonts w:eastAsia="Times New Roman"/>
                <w:color w:val="000000"/>
                <w:lang w:val="en-AU" w:eastAsia="en-AU"/>
              </w:rPr>
              <w:t xml:space="preserve"> and for power stations</w:t>
            </w:r>
          </w:p>
        </w:tc>
      </w:tr>
      <w:tr w:rsidR="00F30A96" w:rsidRPr="00B4030F" w14:paraId="4FB36FC5" w14:textId="77777777" w:rsidTr="001130D4">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5C97D917" w14:textId="77777777" w:rsidR="00F30A96" w:rsidRPr="00B4030F" w:rsidRDefault="00F30A96" w:rsidP="001130D4">
            <w:pPr>
              <w:rPr>
                <w:rFonts w:eastAsia="Times New Roman"/>
                <w:color w:val="000000"/>
                <w:lang w:val="en-AU" w:eastAsia="en-AU"/>
              </w:rPr>
            </w:pPr>
            <w:r w:rsidRPr="00B4030F">
              <w:rPr>
                <w:rFonts w:eastAsia="Times New Roman"/>
                <w:color w:val="000000"/>
                <w:lang w:val="en-AU" w:eastAsia="en-AU"/>
              </w:rPr>
              <w:t>SO</w:t>
            </w:r>
            <w:r w:rsidRPr="006A71ED">
              <w:rPr>
                <w:rFonts w:eastAsia="Times New Roman"/>
                <w:color w:val="000000"/>
                <w:vertAlign w:val="subscript"/>
                <w:lang w:val="en-AU" w:eastAsia="en-AU"/>
              </w:rPr>
              <w:t>2</w:t>
            </w:r>
          </w:p>
        </w:tc>
        <w:tc>
          <w:tcPr>
            <w:tcW w:w="715" w:type="pct"/>
            <w:noWrap/>
          </w:tcPr>
          <w:p w14:paraId="48703C2B"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14</w:t>
            </w:r>
          </w:p>
        </w:tc>
        <w:tc>
          <w:tcPr>
            <w:tcW w:w="3680" w:type="pct"/>
            <w:noWrap/>
          </w:tcPr>
          <w:p w14:paraId="14C11E48"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De-</w:t>
            </w:r>
            <w:r>
              <w:rPr>
                <w:rFonts w:eastAsia="Times New Roman"/>
                <w:color w:val="000000"/>
                <w:lang w:val="en-AU" w:eastAsia="en-AU"/>
              </w:rPr>
              <w:t>SO</w:t>
            </w:r>
            <w:r w:rsidRPr="0075020D">
              <w:rPr>
                <w:rFonts w:eastAsia="Times New Roman"/>
                <w:color w:val="000000"/>
                <w:vertAlign w:val="subscript"/>
                <w:lang w:val="en-AU" w:eastAsia="en-AU"/>
              </w:rPr>
              <w:t>X</w:t>
            </w:r>
            <w:r w:rsidRPr="00B4030F">
              <w:rPr>
                <w:rFonts w:eastAsia="Times New Roman"/>
                <w:color w:val="000000"/>
                <w:lang w:val="en-AU" w:eastAsia="en-AU"/>
              </w:rPr>
              <w:t xml:space="preserve"> at petrol refineries</w:t>
            </w:r>
          </w:p>
        </w:tc>
      </w:tr>
      <w:tr w:rsidR="00F30A96" w:rsidRPr="00B4030F" w14:paraId="05E71DBD" w14:textId="77777777" w:rsidTr="001130D4">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31D3BA93" w14:textId="77777777" w:rsidR="00F30A96" w:rsidRPr="00B4030F" w:rsidRDefault="00F30A96" w:rsidP="001130D4">
            <w:pPr>
              <w:rPr>
                <w:rFonts w:eastAsia="Times New Roman"/>
                <w:color w:val="000000"/>
                <w:lang w:val="en-AU" w:eastAsia="en-AU"/>
              </w:rPr>
            </w:pPr>
            <w:r w:rsidRPr="00B4030F">
              <w:rPr>
                <w:rFonts w:eastAsia="Times New Roman"/>
                <w:color w:val="000000"/>
                <w:lang w:val="en-AU" w:eastAsia="en-AU"/>
              </w:rPr>
              <w:t>SO</w:t>
            </w:r>
            <w:r w:rsidRPr="006A71ED">
              <w:rPr>
                <w:rFonts w:eastAsia="Times New Roman"/>
                <w:color w:val="000000"/>
                <w:vertAlign w:val="subscript"/>
                <w:lang w:val="en-AU" w:eastAsia="en-AU"/>
              </w:rPr>
              <w:t>2</w:t>
            </w:r>
          </w:p>
        </w:tc>
        <w:tc>
          <w:tcPr>
            <w:tcW w:w="715" w:type="pct"/>
            <w:noWrap/>
          </w:tcPr>
          <w:p w14:paraId="22A9635C"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15</w:t>
            </w:r>
          </w:p>
        </w:tc>
        <w:tc>
          <w:tcPr>
            <w:tcW w:w="3680" w:type="pct"/>
            <w:noWrap/>
          </w:tcPr>
          <w:p w14:paraId="57557E9C"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De-</w:t>
            </w:r>
            <w:r>
              <w:rPr>
                <w:rFonts w:eastAsia="Times New Roman"/>
                <w:color w:val="000000"/>
                <w:lang w:val="en-AU" w:eastAsia="en-AU"/>
              </w:rPr>
              <w:t>SO</w:t>
            </w:r>
            <w:r w:rsidRPr="0075020D">
              <w:rPr>
                <w:rFonts w:eastAsia="Times New Roman"/>
                <w:color w:val="000000"/>
                <w:vertAlign w:val="subscript"/>
                <w:lang w:val="en-AU" w:eastAsia="en-AU"/>
              </w:rPr>
              <w:t>X</w:t>
            </w:r>
            <w:r w:rsidRPr="00B4030F">
              <w:rPr>
                <w:rFonts w:eastAsia="Times New Roman"/>
                <w:color w:val="000000"/>
                <w:lang w:val="en-AU" w:eastAsia="en-AU"/>
              </w:rPr>
              <w:t xml:space="preserve"> at iron and steel production facilities</w:t>
            </w:r>
          </w:p>
        </w:tc>
      </w:tr>
      <w:tr w:rsidR="00F30A96" w:rsidRPr="00B4030F" w14:paraId="160888B5" w14:textId="77777777" w:rsidTr="001130D4">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0E6C80D4" w14:textId="77777777" w:rsidR="00F30A96" w:rsidRPr="00B4030F" w:rsidRDefault="00F30A96" w:rsidP="001130D4">
            <w:pPr>
              <w:rPr>
                <w:rFonts w:eastAsia="Times New Roman"/>
                <w:color w:val="000000"/>
                <w:lang w:val="en-AU" w:eastAsia="en-AU"/>
              </w:rPr>
            </w:pPr>
            <w:r w:rsidRPr="00B4030F">
              <w:rPr>
                <w:rFonts w:eastAsia="Times New Roman"/>
                <w:color w:val="000000"/>
                <w:lang w:val="en-AU" w:eastAsia="en-AU"/>
              </w:rPr>
              <w:t>NO</w:t>
            </w:r>
            <w:r w:rsidRPr="006A71ED">
              <w:rPr>
                <w:rFonts w:eastAsia="Times New Roman"/>
                <w:color w:val="000000"/>
                <w:vertAlign w:val="subscript"/>
                <w:lang w:val="en-AU" w:eastAsia="en-AU"/>
              </w:rPr>
              <w:t>2</w:t>
            </w:r>
          </w:p>
        </w:tc>
        <w:tc>
          <w:tcPr>
            <w:tcW w:w="715" w:type="pct"/>
            <w:noWrap/>
          </w:tcPr>
          <w:p w14:paraId="7396FC16"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9</w:t>
            </w:r>
          </w:p>
        </w:tc>
        <w:tc>
          <w:tcPr>
            <w:tcW w:w="3680" w:type="pct"/>
            <w:noWrap/>
          </w:tcPr>
          <w:p w14:paraId="0251C53E" w14:textId="4039A599"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Pr>
                <w:rFonts w:eastAsia="Times New Roman"/>
                <w:color w:val="000000"/>
                <w:lang w:val="en-AU" w:eastAsia="en-AU"/>
              </w:rPr>
              <w:t>De-</w:t>
            </w:r>
            <w:r w:rsidR="008943A9">
              <w:rPr>
                <w:rFonts w:eastAsia="Times New Roman"/>
                <w:color w:val="000000"/>
                <w:lang w:val="en-AU" w:eastAsia="en-AU"/>
              </w:rPr>
              <w:t>S</w:t>
            </w:r>
            <w:r>
              <w:rPr>
                <w:rFonts w:eastAsia="Times New Roman"/>
                <w:color w:val="000000"/>
                <w:lang w:val="en-AU" w:eastAsia="en-AU"/>
              </w:rPr>
              <w:t>O</w:t>
            </w:r>
            <w:r w:rsidRPr="0075020D">
              <w:rPr>
                <w:rFonts w:eastAsia="Times New Roman"/>
                <w:color w:val="000000"/>
                <w:vertAlign w:val="subscript"/>
                <w:lang w:val="en-AU" w:eastAsia="en-AU"/>
              </w:rPr>
              <w:t>X</w:t>
            </w:r>
            <w:r w:rsidR="003A08C1">
              <w:rPr>
                <w:rFonts w:eastAsia="Times New Roman"/>
                <w:color w:val="000000"/>
                <w:vertAlign w:val="subscript"/>
                <w:lang w:val="en-AU" w:eastAsia="en-AU"/>
              </w:rPr>
              <w:t xml:space="preserve"> </w:t>
            </w:r>
            <w:r w:rsidR="003A08C1" w:rsidRPr="00B4030F">
              <w:rPr>
                <w:rFonts w:eastAsia="Times New Roman"/>
                <w:color w:val="000000"/>
                <w:lang w:val="en-AU" w:eastAsia="en-AU"/>
              </w:rPr>
              <w:t xml:space="preserve">and </w:t>
            </w:r>
            <w:r w:rsidR="003A08C1">
              <w:rPr>
                <w:rFonts w:eastAsia="Times New Roman"/>
                <w:color w:val="000000"/>
                <w:lang w:val="en-AU" w:eastAsia="en-AU"/>
              </w:rPr>
              <w:t>NO</w:t>
            </w:r>
            <w:r w:rsidR="003A08C1" w:rsidRPr="0075020D">
              <w:rPr>
                <w:rFonts w:eastAsia="Times New Roman"/>
                <w:color w:val="000000"/>
                <w:vertAlign w:val="subscript"/>
                <w:lang w:val="en-AU" w:eastAsia="en-AU"/>
              </w:rPr>
              <w:t>X</w:t>
            </w:r>
            <w:r w:rsidR="003A08C1">
              <w:rPr>
                <w:rFonts w:eastAsia="Times New Roman"/>
                <w:color w:val="000000"/>
                <w:lang w:val="en-AU" w:eastAsia="en-AU"/>
              </w:rPr>
              <w:t xml:space="preserve"> </w:t>
            </w:r>
            <w:r w:rsidRPr="00B4030F">
              <w:rPr>
                <w:rFonts w:eastAsia="Times New Roman"/>
                <w:color w:val="000000"/>
                <w:lang w:val="en-AU" w:eastAsia="en-AU"/>
              </w:rPr>
              <w:t>for power stations</w:t>
            </w:r>
          </w:p>
        </w:tc>
      </w:tr>
      <w:tr w:rsidR="00F30A96" w:rsidRPr="00B4030F" w14:paraId="00845F37" w14:textId="77777777" w:rsidTr="001130D4">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60714F89" w14:textId="77777777" w:rsidR="00F30A96" w:rsidRPr="00B4030F" w:rsidRDefault="00F30A96" w:rsidP="001130D4">
            <w:pPr>
              <w:rPr>
                <w:rFonts w:eastAsia="Times New Roman"/>
                <w:color w:val="000000"/>
                <w:lang w:val="en-AU" w:eastAsia="en-AU"/>
              </w:rPr>
            </w:pPr>
            <w:r w:rsidRPr="00B4030F">
              <w:rPr>
                <w:rFonts w:eastAsia="Times New Roman"/>
                <w:color w:val="000000"/>
                <w:lang w:val="en-AU" w:eastAsia="en-AU"/>
              </w:rPr>
              <w:t>NO</w:t>
            </w:r>
            <w:r w:rsidRPr="006A71ED">
              <w:rPr>
                <w:rFonts w:eastAsia="Times New Roman"/>
                <w:color w:val="000000"/>
                <w:vertAlign w:val="subscript"/>
                <w:lang w:val="en-AU" w:eastAsia="en-AU"/>
              </w:rPr>
              <w:t>2</w:t>
            </w:r>
          </w:p>
        </w:tc>
        <w:tc>
          <w:tcPr>
            <w:tcW w:w="715" w:type="pct"/>
            <w:noWrap/>
          </w:tcPr>
          <w:p w14:paraId="76052C0F"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6</w:t>
            </w:r>
          </w:p>
        </w:tc>
        <w:tc>
          <w:tcPr>
            <w:tcW w:w="3680" w:type="pct"/>
            <w:noWrap/>
          </w:tcPr>
          <w:p w14:paraId="3F782DDD" w14:textId="37EE8CD2"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 xml:space="preserve">Non-road diesel </w:t>
            </w:r>
            <w:r w:rsidR="00991D90">
              <w:rPr>
                <w:rFonts w:eastAsia="Times New Roman"/>
                <w:color w:val="000000"/>
                <w:lang w:val="en-AU" w:eastAsia="en-AU"/>
              </w:rPr>
              <w:t>engine standards</w:t>
            </w:r>
          </w:p>
        </w:tc>
      </w:tr>
      <w:tr w:rsidR="00F30A96" w:rsidRPr="00B4030F" w14:paraId="5CDA1F26" w14:textId="77777777" w:rsidTr="001130D4">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714571FB" w14:textId="77777777" w:rsidR="00F30A96" w:rsidRPr="00B4030F" w:rsidRDefault="00F30A96" w:rsidP="001130D4">
            <w:pPr>
              <w:rPr>
                <w:rFonts w:eastAsia="Times New Roman"/>
                <w:color w:val="000000"/>
                <w:lang w:val="en-AU" w:eastAsia="en-AU"/>
              </w:rPr>
            </w:pPr>
            <w:r w:rsidRPr="00B4030F">
              <w:rPr>
                <w:rFonts w:eastAsia="Times New Roman"/>
                <w:color w:val="000000"/>
                <w:lang w:val="en-AU" w:eastAsia="en-AU"/>
              </w:rPr>
              <w:t>NO</w:t>
            </w:r>
            <w:r w:rsidRPr="006A71ED">
              <w:rPr>
                <w:rFonts w:eastAsia="Times New Roman"/>
                <w:color w:val="000000"/>
                <w:vertAlign w:val="subscript"/>
                <w:lang w:val="en-AU" w:eastAsia="en-AU"/>
              </w:rPr>
              <w:t>2</w:t>
            </w:r>
          </w:p>
        </w:tc>
        <w:tc>
          <w:tcPr>
            <w:tcW w:w="715" w:type="pct"/>
            <w:noWrap/>
          </w:tcPr>
          <w:p w14:paraId="1032A273"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13</w:t>
            </w:r>
          </w:p>
        </w:tc>
        <w:tc>
          <w:tcPr>
            <w:tcW w:w="3680" w:type="pct"/>
            <w:noWrap/>
          </w:tcPr>
          <w:p w14:paraId="018EC2F7"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 xml:space="preserve">Industry </w:t>
            </w:r>
            <w:r>
              <w:rPr>
                <w:rFonts w:eastAsia="Times New Roman"/>
                <w:color w:val="000000"/>
                <w:lang w:val="en-AU" w:eastAsia="en-AU"/>
              </w:rPr>
              <w:t>NO</w:t>
            </w:r>
            <w:r w:rsidRPr="0075020D">
              <w:rPr>
                <w:rFonts w:eastAsia="Times New Roman"/>
                <w:color w:val="000000"/>
                <w:vertAlign w:val="subscript"/>
                <w:lang w:val="en-AU" w:eastAsia="en-AU"/>
              </w:rPr>
              <w:t>X</w:t>
            </w:r>
            <w:r w:rsidRPr="00B4030F">
              <w:rPr>
                <w:rFonts w:eastAsia="Times New Roman"/>
                <w:color w:val="000000"/>
                <w:lang w:val="en-AU" w:eastAsia="en-AU"/>
              </w:rPr>
              <w:t xml:space="preserve"> control technology (cement, iron and steel, and aluminium industries)</w:t>
            </w:r>
          </w:p>
        </w:tc>
      </w:tr>
      <w:tr w:rsidR="00F30A96" w:rsidRPr="00B4030F" w14:paraId="1C0D5750" w14:textId="77777777" w:rsidTr="001130D4">
        <w:trPr>
          <w:trHeight w:val="255"/>
        </w:trPr>
        <w:tc>
          <w:tcPr>
            <w:cnfStyle w:val="001000000000" w:firstRow="0" w:lastRow="0" w:firstColumn="1" w:lastColumn="0" w:oddVBand="0" w:evenVBand="0" w:oddHBand="0" w:evenHBand="0" w:firstRowFirstColumn="0" w:firstRowLastColumn="0" w:lastRowFirstColumn="0" w:lastRowLastColumn="0"/>
            <w:tcW w:w="605" w:type="pct"/>
            <w:noWrap/>
            <w:hideMark/>
          </w:tcPr>
          <w:p w14:paraId="36E9CF18" w14:textId="77777777" w:rsidR="00F30A96" w:rsidRPr="00B4030F" w:rsidRDefault="00F30A96" w:rsidP="001130D4">
            <w:pPr>
              <w:rPr>
                <w:rFonts w:eastAsia="Times New Roman"/>
                <w:color w:val="000000"/>
                <w:lang w:val="en-AU" w:eastAsia="en-AU"/>
              </w:rPr>
            </w:pPr>
            <w:r w:rsidRPr="00B4030F">
              <w:rPr>
                <w:rFonts w:eastAsia="Times New Roman"/>
                <w:color w:val="000000"/>
                <w:lang w:val="en-AU" w:eastAsia="en-AU"/>
              </w:rPr>
              <w:t>O</w:t>
            </w:r>
            <w:r w:rsidRPr="006A71ED">
              <w:rPr>
                <w:rFonts w:eastAsia="Times New Roman"/>
                <w:color w:val="000000"/>
                <w:vertAlign w:val="subscript"/>
                <w:lang w:val="en-AU" w:eastAsia="en-AU"/>
              </w:rPr>
              <w:t>3</w:t>
            </w:r>
          </w:p>
        </w:tc>
        <w:tc>
          <w:tcPr>
            <w:tcW w:w="715" w:type="pct"/>
            <w:noWrap/>
            <w:hideMark/>
          </w:tcPr>
          <w:p w14:paraId="42BAAC4D"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1</w:t>
            </w:r>
          </w:p>
        </w:tc>
        <w:tc>
          <w:tcPr>
            <w:tcW w:w="3680" w:type="pct"/>
            <w:noWrap/>
            <w:hideMark/>
          </w:tcPr>
          <w:p w14:paraId="0E70E4FC" w14:textId="3EFFB80D"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On-board refuelling vapo</w:t>
            </w:r>
            <w:r w:rsidR="00303E9F">
              <w:rPr>
                <w:rFonts w:eastAsia="Times New Roman"/>
                <w:color w:val="000000"/>
                <w:lang w:val="en-AU" w:eastAsia="en-AU"/>
              </w:rPr>
              <w:t>u</w:t>
            </w:r>
            <w:r w:rsidRPr="00B4030F">
              <w:rPr>
                <w:rFonts w:eastAsia="Times New Roman"/>
                <w:color w:val="000000"/>
                <w:lang w:val="en-AU" w:eastAsia="en-AU"/>
              </w:rPr>
              <w:t>r recovery</w:t>
            </w:r>
          </w:p>
        </w:tc>
      </w:tr>
      <w:tr w:rsidR="00F30A96" w:rsidRPr="00B4030F" w14:paraId="1327F11D" w14:textId="77777777" w:rsidTr="001130D4">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46DB61A4" w14:textId="77777777" w:rsidR="00F30A96" w:rsidRPr="00B4030F" w:rsidRDefault="00F30A96" w:rsidP="001130D4">
            <w:pPr>
              <w:rPr>
                <w:rFonts w:eastAsia="Times New Roman"/>
                <w:color w:val="000000"/>
                <w:lang w:val="en-AU" w:eastAsia="en-AU"/>
              </w:rPr>
            </w:pPr>
            <w:r w:rsidRPr="00B4030F">
              <w:rPr>
                <w:rFonts w:eastAsia="Times New Roman"/>
                <w:color w:val="000000"/>
                <w:lang w:val="en-AU" w:eastAsia="en-AU"/>
              </w:rPr>
              <w:t>O</w:t>
            </w:r>
            <w:r w:rsidRPr="006A71ED">
              <w:rPr>
                <w:rFonts w:eastAsia="Times New Roman"/>
                <w:color w:val="000000"/>
                <w:vertAlign w:val="subscript"/>
                <w:lang w:val="en-AU" w:eastAsia="en-AU"/>
              </w:rPr>
              <w:t>3</w:t>
            </w:r>
          </w:p>
        </w:tc>
        <w:tc>
          <w:tcPr>
            <w:tcW w:w="715" w:type="pct"/>
            <w:noWrap/>
          </w:tcPr>
          <w:p w14:paraId="693DB8A7"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10</w:t>
            </w:r>
          </w:p>
        </w:tc>
        <w:tc>
          <w:tcPr>
            <w:tcW w:w="3680" w:type="pct"/>
            <w:noWrap/>
          </w:tcPr>
          <w:p w14:paraId="7FE1C3F8"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Surface coating standards</w:t>
            </w:r>
          </w:p>
        </w:tc>
      </w:tr>
      <w:tr w:rsidR="00F30A96" w:rsidRPr="00B4030F" w14:paraId="379F49FD" w14:textId="77777777" w:rsidTr="001130D4">
        <w:trPr>
          <w:trHeight w:val="255"/>
        </w:trPr>
        <w:tc>
          <w:tcPr>
            <w:cnfStyle w:val="001000000000" w:firstRow="0" w:lastRow="0" w:firstColumn="1" w:lastColumn="0" w:oddVBand="0" w:evenVBand="0" w:oddHBand="0" w:evenHBand="0" w:firstRowFirstColumn="0" w:firstRowLastColumn="0" w:lastRowFirstColumn="0" w:lastRowLastColumn="0"/>
            <w:tcW w:w="605" w:type="pct"/>
            <w:noWrap/>
          </w:tcPr>
          <w:p w14:paraId="7E59AE49" w14:textId="77777777" w:rsidR="00F30A96" w:rsidRPr="00B4030F" w:rsidRDefault="00F30A96" w:rsidP="001130D4">
            <w:pPr>
              <w:rPr>
                <w:rFonts w:eastAsia="Times New Roman"/>
                <w:color w:val="000000"/>
                <w:lang w:val="en-AU" w:eastAsia="en-AU"/>
              </w:rPr>
            </w:pPr>
            <w:r w:rsidRPr="00B4030F">
              <w:rPr>
                <w:rFonts w:eastAsia="Times New Roman"/>
                <w:color w:val="000000"/>
                <w:lang w:val="en-AU" w:eastAsia="en-AU"/>
              </w:rPr>
              <w:t>O</w:t>
            </w:r>
            <w:r w:rsidRPr="006A71ED">
              <w:rPr>
                <w:rFonts w:eastAsia="Times New Roman"/>
                <w:color w:val="000000"/>
                <w:vertAlign w:val="subscript"/>
                <w:lang w:val="en-AU" w:eastAsia="en-AU"/>
              </w:rPr>
              <w:t>3</w:t>
            </w:r>
          </w:p>
        </w:tc>
        <w:tc>
          <w:tcPr>
            <w:tcW w:w="715" w:type="pct"/>
            <w:noWrap/>
          </w:tcPr>
          <w:p w14:paraId="51803508"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Measure</w:t>
            </w:r>
            <w:r>
              <w:rPr>
                <w:rFonts w:eastAsia="Times New Roman"/>
                <w:color w:val="000000"/>
                <w:lang w:val="en-AU" w:eastAsia="en-AU"/>
              </w:rPr>
              <w:t xml:space="preserve"> </w:t>
            </w:r>
            <w:r w:rsidRPr="00B4030F">
              <w:rPr>
                <w:rFonts w:eastAsia="Times New Roman"/>
                <w:color w:val="000000"/>
                <w:lang w:val="en-AU" w:eastAsia="en-AU"/>
              </w:rPr>
              <w:t>16</w:t>
            </w:r>
          </w:p>
        </w:tc>
        <w:tc>
          <w:tcPr>
            <w:tcW w:w="3680" w:type="pct"/>
            <w:noWrap/>
          </w:tcPr>
          <w:p w14:paraId="3E7F6054" w14:textId="77777777" w:rsidR="00F30A96" w:rsidRPr="00B4030F" w:rsidRDefault="00F30A96" w:rsidP="001130D4">
            <w:pPr>
              <w:cnfStyle w:val="000000000000" w:firstRow="0" w:lastRow="0" w:firstColumn="0" w:lastColumn="0" w:oddVBand="0" w:evenVBand="0" w:oddHBand="0" w:evenHBand="0" w:firstRowFirstColumn="0" w:firstRowLastColumn="0" w:lastRowFirstColumn="0" w:lastRowLastColumn="0"/>
              <w:rPr>
                <w:rFonts w:eastAsia="Times New Roman"/>
                <w:color w:val="000000"/>
                <w:lang w:val="en-AU" w:eastAsia="en-AU"/>
              </w:rPr>
            </w:pPr>
            <w:r w:rsidRPr="00B4030F">
              <w:rPr>
                <w:rFonts w:eastAsia="Times New Roman"/>
                <w:color w:val="000000"/>
                <w:lang w:val="en-AU" w:eastAsia="en-AU"/>
              </w:rPr>
              <w:t>VOC control for solvent aerosol use</w:t>
            </w:r>
          </w:p>
        </w:tc>
      </w:tr>
    </w:tbl>
    <w:p w14:paraId="74E62FB8" w14:textId="77777777" w:rsidR="00F30A96" w:rsidRPr="00E3348A" w:rsidRDefault="00F30A96" w:rsidP="00F30A96">
      <w:pPr>
        <w:pStyle w:val="BodyText"/>
      </w:pPr>
    </w:p>
    <w:p w14:paraId="3DC1AA9E" w14:textId="6D01E6A7" w:rsidR="001F44A3" w:rsidRDefault="00F30A96" w:rsidP="00F30A96">
      <w:pPr>
        <w:pStyle w:val="BodyText"/>
      </w:pPr>
      <w:r w:rsidRPr="00E3348A">
        <w:t xml:space="preserve">The following subsections describe the </w:t>
      </w:r>
      <w:r w:rsidRPr="002A0891">
        <w:t xml:space="preserve">approach </w:t>
      </w:r>
      <w:r w:rsidR="005B268C">
        <w:t xml:space="preserve">used </w:t>
      </w:r>
      <w:r w:rsidRPr="002A0891">
        <w:t>to estimate costs and emission reductions.</w:t>
      </w:r>
      <w:r w:rsidR="009B0D16">
        <w:t xml:space="preserve"> Capital and operating costs are based mainly on publicly available literature. Administration costs are </w:t>
      </w:r>
      <w:r w:rsidR="004B6030">
        <w:t>based on the expected level of effort for government to introduce regulations to require the adoption of these measures, and the expected level of administrative effort for industry to comply with these regulations.</w:t>
      </w:r>
    </w:p>
    <w:p w14:paraId="7CFA78EB" w14:textId="0505443E" w:rsidR="00DD7229" w:rsidRDefault="00DD7229" w:rsidP="00F30A96">
      <w:pPr>
        <w:pStyle w:val="BodyText"/>
      </w:pPr>
      <w:r>
        <w:t xml:space="preserve">Emission reductions are based on </w:t>
      </w:r>
      <w:r w:rsidR="0065203E">
        <w:t xml:space="preserve">the assumed time profile for implementing the abatement measures during </w:t>
      </w:r>
      <w:r w:rsidR="00B2285C">
        <w:t xml:space="preserve">the 2021-2040 evaluation period, and </w:t>
      </w:r>
      <w:r w:rsidR="00BF5F90">
        <w:t xml:space="preserve">based on </w:t>
      </w:r>
      <w:r w:rsidR="00B2285C">
        <w:t>modelling by Pacific Environment on the effectiveness of the measures in reducing emissions (e.g. considering changes to emission factors, capture efficiency etc.).</w:t>
      </w:r>
    </w:p>
    <w:p w14:paraId="49BB4424" w14:textId="77777777" w:rsidR="00F64D60" w:rsidRDefault="00F64D60" w:rsidP="00F64D60">
      <w:pPr>
        <w:pStyle w:val="Appendixheading1"/>
      </w:pPr>
      <w:bookmarkStart w:id="82" w:name="_Toc518629904"/>
      <w:r w:rsidRPr="00F64D60">
        <w:t>Measure 1: On-board refuelling vapour recovery (ORVR) (O</w:t>
      </w:r>
      <w:r w:rsidRPr="00F64D60">
        <w:rPr>
          <w:vertAlign w:val="subscript"/>
        </w:rPr>
        <w:t>3</w:t>
      </w:r>
      <w:r w:rsidRPr="00F64D60">
        <w:t>)</w:t>
      </w:r>
      <w:bookmarkEnd w:id="82"/>
    </w:p>
    <w:p w14:paraId="303203A1" w14:textId="77777777" w:rsidR="00F64D60" w:rsidRDefault="00F64D60" w:rsidP="00F64D60">
      <w:pPr>
        <w:pStyle w:val="BodyText"/>
      </w:pPr>
      <w:r>
        <w:t>On-board refuelling vapour recovery (ORVR) is a vehicle emission control system that captures volatile organic compounds (VOC) from the vehicle’s petrol tank during refuelling. Fuel vapour contains VOCs which contribute to atmospheric ozone concentrations.</w:t>
      </w:r>
    </w:p>
    <w:p w14:paraId="09C1F635" w14:textId="77777777" w:rsidR="00F64D60" w:rsidRPr="00407075" w:rsidRDefault="00F64D60" w:rsidP="00F64D60">
      <w:pPr>
        <w:pStyle w:val="Heading6"/>
      </w:pPr>
      <w:r w:rsidRPr="00407075">
        <w:t xml:space="preserve">Capital </w:t>
      </w:r>
      <w:r>
        <w:t>c</w:t>
      </w:r>
      <w:r w:rsidRPr="00407075">
        <w:t>osts</w:t>
      </w:r>
    </w:p>
    <w:p w14:paraId="710F0400" w14:textId="77777777" w:rsidR="00F64D60" w:rsidRDefault="00F64D60" w:rsidP="00F64D60">
      <w:pPr>
        <w:pStyle w:val="BodyText"/>
      </w:pPr>
      <w:r>
        <w:t>The following assumptions have been used to estimate capital costs:</w:t>
      </w:r>
    </w:p>
    <w:p w14:paraId="68196F68" w14:textId="1594974F" w:rsidR="00F64D60" w:rsidRDefault="00F64D60" w:rsidP="00F64D60">
      <w:pPr>
        <w:pStyle w:val="Bullet1"/>
      </w:pPr>
      <w:r>
        <w:t xml:space="preserve">ORVR </w:t>
      </w:r>
      <w:r w:rsidR="00D0783A">
        <w:t xml:space="preserve">was </w:t>
      </w:r>
      <w:r>
        <w:t>assumed to be fitted in new vehicles sold in targeted abatement areas from 2021 onwards.</w:t>
      </w:r>
    </w:p>
    <w:p w14:paraId="32D3C8EA" w14:textId="77777777" w:rsidR="00F64D60" w:rsidRDefault="00F64D60" w:rsidP="00F64D60">
      <w:pPr>
        <w:pStyle w:val="Bullet1"/>
      </w:pPr>
      <w:r w:rsidRPr="00E80D83">
        <w:t xml:space="preserve">The </w:t>
      </w:r>
      <w:r>
        <w:t xml:space="preserve">assumed uptake of ORVR in new vehicles is 20% in 2021, 50% in 2031 and 100% in 2040. </w:t>
      </w:r>
    </w:p>
    <w:p w14:paraId="01CF9493" w14:textId="56FB2F1D" w:rsidR="00F64D60" w:rsidRDefault="005F3F16" w:rsidP="004E22C0">
      <w:pPr>
        <w:pStyle w:val="Bullet1"/>
      </w:pPr>
      <w:r>
        <w:t>The cost of ORVR was</w:t>
      </w:r>
      <w:r w:rsidR="00F64D60">
        <w:t xml:space="preserve"> estimated to be $18 per vehicle </w:t>
      </w:r>
      <w:r w:rsidR="004E22C0">
        <w:t xml:space="preserve">based on data from </w:t>
      </w:r>
      <w:r w:rsidR="00F64D60">
        <w:t>Caltex</w:t>
      </w:r>
      <w:r w:rsidR="004E22C0">
        <w:t xml:space="preserve"> (</w:t>
      </w:r>
      <w:r w:rsidR="00F64D60">
        <w:t>2014)</w:t>
      </w:r>
      <w:r w:rsidR="004E22C0">
        <w:t xml:space="preserve">, which was in turn sourced from original equipment </w:t>
      </w:r>
      <w:r w:rsidR="004E22C0" w:rsidRPr="004E22C0">
        <w:t>manufacture</w:t>
      </w:r>
      <w:r w:rsidR="004E22C0">
        <w:t>rs (OEMs) in the United States (US).</w:t>
      </w:r>
    </w:p>
    <w:p w14:paraId="13837D88" w14:textId="55AD26B0" w:rsidR="00F64D60" w:rsidRDefault="003B23CF" w:rsidP="00F64D60">
      <w:pPr>
        <w:pStyle w:val="Bullet1"/>
      </w:pPr>
      <w:r>
        <w:t>Projections of t</w:t>
      </w:r>
      <w:r w:rsidR="00F64D60">
        <w:t xml:space="preserve">he </w:t>
      </w:r>
      <w:r w:rsidR="00F64D60" w:rsidRPr="00A20C70">
        <w:t xml:space="preserve">number </w:t>
      </w:r>
      <w:r w:rsidR="00535FDE">
        <w:t>new motor vehicle sales</w:t>
      </w:r>
      <w:r w:rsidR="00F64D60">
        <w:t xml:space="preserve"> (</w:t>
      </w:r>
      <w:r w:rsidR="00F64D60" w:rsidRPr="00A20C70">
        <w:fldChar w:fldCharType="begin"/>
      </w:r>
      <w:r w:rsidR="00F64D60" w:rsidRPr="00A20C70">
        <w:instrText xml:space="preserve"> REF _Ref507429961 \h </w:instrText>
      </w:r>
      <w:r w:rsidR="00F64D60">
        <w:instrText xml:space="preserve"> \* MERGEFORMAT </w:instrText>
      </w:r>
      <w:r w:rsidR="00F64D60" w:rsidRPr="00A20C70">
        <w:fldChar w:fldCharType="separate"/>
      </w:r>
      <w:r w:rsidR="00A50702" w:rsidRPr="00407075">
        <w:t xml:space="preserve">Table </w:t>
      </w:r>
      <w:r w:rsidR="00A50702">
        <w:t>C</w:t>
      </w:r>
      <w:r w:rsidR="00A50702" w:rsidRPr="00407075">
        <w:noBreakHyphen/>
      </w:r>
      <w:r w:rsidR="00A50702">
        <w:t>2</w:t>
      </w:r>
      <w:r w:rsidR="00F64D60" w:rsidRPr="00A20C70">
        <w:fldChar w:fldCharType="end"/>
      </w:r>
      <w:r w:rsidR="00F64D60">
        <w:t>)</w:t>
      </w:r>
      <w:r w:rsidR="00F64D60" w:rsidRPr="00A20C70">
        <w:t xml:space="preserve"> </w:t>
      </w:r>
      <w:r w:rsidR="00B366F1">
        <w:t xml:space="preserve">was </w:t>
      </w:r>
      <w:r w:rsidR="00F64D60" w:rsidRPr="00A20C70">
        <w:t xml:space="preserve">used </w:t>
      </w:r>
      <w:r w:rsidR="00F64D60">
        <w:t xml:space="preserve">to </w:t>
      </w:r>
      <w:r w:rsidR="00F64D60" w:rsidRPr="00A20C70">
        <w:t>estimate the total cost</w:t>
      </w:r>
      <w:r w:rsidR="00F64D60">
        <w:t xml:space="preserve"> per year for each state. </w:t>
      </w:r>
    </w:p>
    <w:p w14:paraId="367391BE" w14:textId="11A319FF" w:rsidR="00F64D60" w:rsidRDefault="00242CBE" w:rsidP="00F64D60">
      <w:pPr>
        <w:pStyle w:val="Bullet1"/>
      </w:pPr>
      <w:r>
        <w:t xml:space="preserve">An </w:t>
      </w:r>
      <w:r w:rsidR="00F64D60" w:rsidRPr="00A20C70">
        <w:t>annual average growth rate</w:t>
      </w:r>
      <w:r w:rsidR="00F64D60">
        <w:t xml:space="preserve"> for new motor vehicles</w:t>
      </w:r>
      <w:r w:rsidR="00F64D60" w:rsidRPr="00A20C70">
        <w:t xml:space="preserve"> between </w:t>
      </w:r>
      <w:r w:rsidR="00D0783A">
        <w:t>was</w:t>
      </w:r>
      <w:r>
        <w:t xml:space="preserve"> assumed</w:t>
      </w:r>
      <w:r w:rsidR="00F64D60">
        <w:t>.</w:t>
      </w:r>
    </w:p>
    <w:p w14:paraId="7E22BC71" w14:textId="4ECC3965" w:rsidR="00D807B3" w:rsidRDefault="00D807B3">
      <w:pPr>
        <w:spacing w:after="200" w:line="276" w:lineRule="auto"/>
      </w:pPr>
      <w:r>
        <w:br w:type="page"/>
      </w:r>
    </w:p>
    <w:p w14:paraId="0BC2C71D" w14:textId="77777777" w:rsidR="00D807B3" w:rsidRDefault="00D807B3" w:rsidP="00D807B3"/>
    <w:p w14:paraId="0AAAED82" w14:textId="7F8182CF" w:rsidR="00F64D60" w:rsidRPr="00407075" w:rsidRDefault="00F64D60" w:rsidP="00F20068">
      <w:pPr>
        <w:pStyle w:val="BodyText"/>
      </w:pPr>
      <w:bookmarkStart w:id="83" w:name="_Ref507429961"/>
      <w:bookmarkStart w:id="84" w:name="_Toc508222212"/>
      <w:bookmarkStart w:id="85" w:name="_Toc518629922"/>
      <w:r w:rsidRPr="00407075">
        <w:t xml:space="preserve">Table </w:t>
      </w:r>
      <w:r w:rsidR="00AE39FC">
        <w:t>C</w:t>
      </w:r>
      <w:r w:rsidRPr="00407075">
        <w:noBreakHyphen/>
      </w:r>
      <w:r w:rsidRPr="00407075">
        <w:fldChar w:fldCharType="begin"/>
      </w:r>
      <w:r w:rsidRPr="00407075">
        <w:instrText xml:space="preserve"> SEQ Table \* ARABIC \s 1 </w:instrText>
      </w:r>
      <w:r w:rsidRPr="00407075">
        <w:fldChar w:fldCharType="separate"/>
      </w:r>
      <w:r w:rsidR="00A50702">
        <w:rPr>
          <w:noProof/>
        </w:rPr>
        <w:t>2</w:t>
      </w:r>
      <w:r w:rsidRPr="00407075">
        <w:fldChar w:fldCharType="end"/>
      </w:r>
      <w:bookmarkEnd w:id="83"/>
      <w:r w:rsidRPr="00407075">
        <w:t xml:space="preserve"> </w:t>
      </w:r>
      <w:r>
        <w:t>Number of new motor vehicles per state (2015)</w:t>
      </w:r>
      <w:bookmarkEnd w:id="84"/>
      <w:bookmarkEnd w:id="85"/>
    </w:p>
    <w:tbl>
      <w:tblPr>
        <w:tblStyle w:val="AureconTable4"/>
        <w:tblW w:w="0" w:type="auto"/>
        <w:tblInd w:w="-5" w:type="dxa"/>
        <w:tblLayout w:type="fixed"/>
        <w:tblLook w:val="04A0" w:firstRow="1" w:lastRow="0" w:firstColumn="1" w:lastColumn="0" w:noHBand="0" w:noVBand="1"/>
      </w:tblPr>
      <w:tblGrid>
        <w:gridCol w:w="3402"/>
        <w:gridCol w:w="3969"/>
      </w:tblGrid>
      <w:tr w:rsidR="00F20068" w14:paraId="77873823" w14:textId="77777777" w:rsidTr="003332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45216E31" w14:textId="77777777" w:rsidR="00F20068" w:rsidRDefault="00F20068" w:rsidP="00F20068">
            <w:pPr>
              <w:pStyle w:val="BodyText"/>
              <w:jc w:val="center"/>
            </w:pPr>
            <w:r>
              <w:t>Location</w:t>
            </w:r>
          </w:p>
        </w:tc>
        <w:tc>
          <w:tcPr>
            <w:tcW w:w="3969" w:type="dxa"/>
          </w:tcPr>
          <w:p w14:paraId="2E8D2312" w14:textId="77777777" w:rsidR="00F20068" w:rsidRDefault="00F20068" w:rsidP="00F20068">
            <w:pPr>
              <w:pStyle w:val="BodyText"/>
              <w:jc w:val="center"/>
              <w:cnfStyle w:val="100000000000" w:firstRow="1" w:lastRow="0" w:firstColumn="0" w:lastColumn="0" w:oddVBand="0" w:evenVBand="0" w:oddHBand="0" w:evenHBand="0" w:firstRowFirstColumn="0" w:firstRowLastColumn="0" w:lastRowFirstColumn="0" w:lastRowLastColumn="0"/>
            </w:pPr>
            <w:r>
              <w:t>Number of New Motor Vehicles (2015)</w:t>
            </w:r>
          </w:p>
        </w:tc>
      </w:tr>
      <w:tr w:rsidR="00F20068" w14:paraId="7EB15614" w14:textId="77777777" w:rsidTr="0033323C">
        <w:tc>
          <w:tcPr>
            <w:cnfStyle w:val="001000000000" w:firstRow="0" w:lastRow="0" w:firstColumn="1" w:lastColumn="0" w:oddVBand="0" w:evenVBand="0" w:oddHBand="0" w:evenHBand="0" w:firstRowFirstColumn="0" w:firstRowLastColumn="0" w:lastRowFirstColumn="0" w:lastRowLastColumn="0"/>
            <w:tcW w:w="3402" w:type="dxa"/>
          </w:tcPr>
          <w:p w14:paraId="19818550" w14:textId="77777777" w:rsidR="00F20068" w:rsidRDefault="00F20068" w:rsidP="00F20068">
            <w:pPr>
              <w:pStyle w:val="BodyText"/>
              <w:jc w:val="center"/>
            </w:pPr>
            <w:r>
              <w:t>ACT</w:t>
            </w:r>
          </w:p>
        </w:tc>
        <w:tc>
          <w:tcPr>
            <w:tcW w:w="3969" w:type="dxa"/>
          </w:tcPr>
          <w:p w14:paraId="18E40570" w14:textId="77777777" w:rsidR="00F20068" w:rsidRDefault="00F20068" w:rsidP="00F20068">
            <w:pPr>
              <w:pStyle w:val="BodyText"/>
              <w:jc w:val="center"/>
              <w:cnfStyle w:val="000000000000" w:firstRow="0" w:lastRow="0" w:firstColumn="0" w:lastColumn="0" w:oddVBand="0" w:evenVBand="0" w:oddHBand="0" w:evenHBand="0" w:firstRowFirstColumn="0" w:firstRowLastColumn="0" w:lastRowFirstColumn="0" w:lastRowLastColumn="0"/>
            </w:pPr>
            <w:r>
              <w:t>18,038</w:t>
            </w:r>
          </w:p>
        </w:tc>
      </w:tr>
      <w:tr w:rsidR="00F20068" w14:paraId="6E06B57E" w14:textId="77777777" w:rsidTr="0033323C">
        <w:tc>
          <w:tcPr>
            <w:cnfStyle w:val="001000000000" w:firstRow="0" w:lastRow="0" w:firstColumn="1" w:lastColumn="0" w:oddVBand="0" w:evenVBand="0" w:oddHBand="0" w:evenHBand="0" w:firstRowFirstColumn="0" w:firstRowLastColumn="0" w:lastRowFirstColumn="0" w:lastRowLastColumn="0"/>
            <w:tcW w:w="3402" w:type="dxa"/>
          </w:tcPr>
          <w:p w14:paraId="74402689" w14:textId="77777777" w:rsidR="00F20068" w:rsidRDefault="00F20068" w:rsidP="00F20068">
            <w:pPr>
              <w:pStyle w:val="BodyText"/>
              <w:jc w:val="center"/>
            </w:pPr>
            <w:r>
              <w:t>NSW</w:t>
            </w:r>
          </w:p>
        </w:tc>
        <w:tc>
          <w:tcPr>
            <w:tcW w:w="3969" w:type="dxa"/>
          </w:tcPr>
          <w:p w14:paraId="5C135DEA" w14:textId="77777777" w:rsidR="00F20068" w:rsidRDefault="00F20068" w:rsidP="00F20068">
            <w:pPr>
              <w:pStyle w:val="BodyText"/>
              <w:jc w:val="center"/>
              <w:cnfStyle w:val="000000000000" w:firstRow="0" w:lastRow="0" w:firstColumn="0" w:lastColumn="0" w:oddVBand="0" w:evenVBand="0" w:oddHBand="0" w:evenHBand="0" w:firstRowFirstColumn="0" w:firstRowLastColumn="0" w:lastRowFirstColumn="0" w:lastRowLastColumn="0"/>
            </w:pPr>
            <w:r>
              <w:t>380,865</w:t>
            </w:r>
          </w:p>
        </w:tc>
      </w:tr>
      <w:tr w:rsidR="00F20068" w14:paraId="693A2B4C" w14:textId="77777777" w:rsidTr="0033323C">
        <w:tc>
          <w:tcPr>
            <w:cnfStyle w:val="001000000000" w:firstRow="0" w:lastRow="0" w:firstColumn="1" w:lastColumn="0" w:oddVBand="0" w:evenVBand="0" w:oddHBand="0" w:evenHBand="0" w:firstRowFirstColumn="0" w:firstRowLastColumn="0" w:lastRowFirstColumn="0" w:lastRowLastColumn="0"/>
            <w:tcW w:w="3402" w:type="dxa"/>
          </w:tcPr>
          <w:p w14:paraId="126D9AA9" w14:textId="77777777" w:rsidR="00F20068" w:rsidRDefault="00F20068" w:rsidP="00F20068">
            <w:pPr>
              <w:pStyle w:val="BodyText"/>
              <w:jc w:val="center"/>
            </w:pPr>
            <w:r>
              <w:t>NT</w:t>
            </w:r>
          </w:p>
        </w:tc>
        <w:tc>
          <w:tcPr>
            <w:tcW w:w="3969" w:type="dxa"/>
          </w:tcPr>
          <w:p w14:paraId="11D310DA" w14:textId="77777777" w:rsidR="00F20068" w:rsidRDefault="00F20068" w:rsidP="00F20068">
            <w:pPr>
              <w:pStyle w:val="BodyText"/>
              <w:jc w:val="center"/>
              <w:cnfStyle w:val="000000000000" w:firstRow="0" w:lastRow="0" w:firstColumn="0" w:lastColumn="0" w:oddVBand="0" w:evenVBand="0" w:oddHBand="0" w:evenHBand="0" w:firstRowFirstColumn="0" w:firstRowLastColumn="0" w:lastRowFirstColumn="0" w:lastRowLastColumn="0"/>
            </w:pPr>
            <w:r>
              <w:t>10,524</w:t>
            </w:r>
          </w:p>
        </w:tc>
      </w:tr>
      <w:tr w:rsidR="00F20068" w14:paraId="4C206BD6" w14:textId="77777777" w:rsidTr="0033323C">
        <w:tc>
          <w:tcPr>
            <w:cnfStyle w:val="001000000000" w:firstRow="0" w:lastRow="0" w:firstColumn="1" w:lastColumn="0" w:oddVBand="0" w:evenVBand="0" w:oddHBand="0" w:evenHBand="0" w:firstRowFirstColumn="0" w:firstRowLastColumn="0" w:lastRowFirstColumn="0" w:lastRowLastColumn="0"/>
            <w:tcW w:w="3402" w:type="dxa"/>
          </w:tcPr>
          <w:p w14:paraId="779BF3F9" w14:textId="77777777" w:rsidR="00F20068" w:rsidRDefault="00F20068" w:rsidP="00F20068">
            <w:pPr>
              <w:pStyle w:val="BodyText"/>
              <w:jc w:val="center"/>
            </w:pPr>
            <w:r>
              <w:t>QLD</w:t>
            </w:r>
          </w:p>
        </w:tc>
        <w:tc>
          <w:tcPr>
            <w:tcW w:w="3969" w:type="dxa"/>
          </w:tcPr>
          <w:p w14:paraId="34EB90D8" w14:textId="77777777" w:rsidR="00F20068" w:rsidRDefault="00F20068" w:rsidP="00F20068">
            <w:pPr>
              <w:pStyle w:val="BodyText"/>
              <w:jc w:val="center"/>
              <w:cnfStyle w:val="000000000000" w:firstRow="0" w:lastRow="0" w:firstColumn="0" w:lastColumn="0" w:oddVBand="0" w:evenVBand="0" w:oddHBand="0" w:evenHBand="0" w:firstRowFirstColumn="0" w:firstRowLastColumn="0" w:lastRowFirstColumn="0" w:lastRowLastColumn="0"/>
            </w:pPr>
            <w:r>
              <w:t>235,674</w:t>
            </w:r>
          </w:p>
        </w:tc>
      </w:tr>
      <w:tr w:rsidR="00F20068" w14:paraId="65239017" w14:textId="77777777" w:rsidTr="0033323C">
        <w:tc>
          <w:tcPr>
            <w:cnfStyle w:val="001000000000" w:firstRow="0" w:lastRow="0" w:firstColumn="1" w:lastColumn="0" w:oddVBand="0" w:evenVBand="0" w:oddHBand="0" w:evenHBand="0" w:firstRowFirstColumn="0" w:firstRowLastColumn="0" w:lastRowFirstColumn="0" w:lastRowLastColumn="0"/>
            <w:tcW w:w="3402" w:type="dxa"/>
          </w:tcPr>
          <w:p w14:paraId="12D5C185" w14:textId="77777777" w:rsidR="00F20068" w:rsidRDefault="00F20068" w:rsidP="00F20068">
            <w:pPr>
              <w:pStyle w:val="BodyText"/>
              <w:jc w:val="center"/>
            </w:pPr>
            <w:r>
              <w:t>SA</w:t>
            </w:r>
          </w:p>
        </w:tc>
        <w:tc>
          <w:tcPr>
            <w:tcW w:w="3969" w:type="dxa"/>
          </w:tcPr>
          <w:p w14:paraId="2D6DB773" w14:textId="77777777" w:rsidR="00F20068" w:rsidRDefault="00F20068" w:rsidP="00F20068">
            <w:pPr>
              <w:pStyle w:val="BodyText"/>
              <w:jc w:val="center"/>
              <w:cnfStyle w:val="000000000000" w:firstRow="0" w:lastRow="0" w:firstColumn="0" w:lastColumn="0" w:oddVBand="0" w:evenVBand="0" w:oddHBand="0" w:evenHBand="0" w:firstRowFirstColumn="0" w:firstRowLastColumn="0" w:lastRowFirstColumn="0" w:lastRowLastColumn="0"/>
            </w:pPr>
            <w:r>
              <w:t>69,047</w:t>
            </w:r>
          </w:p>
        </w:tc>
      </w:tr>
      <w:tr w:rsidR="00F20068" w14:paraId="1BFE4D45" w14:textId="77777777" w:rsidTr="0033323C">
        <w:tc>
          <w:tcPr>
            <w:cnfStyle w:val="001000000000" w:firstRow="0" w:lastRow="0" w:firstColumn="1" w:lastColumn="0" w:oddVBand="0" w:evenVBand="0" w:oddHBand="0" w:evenHBand="0" w:firstRowFirstColumn="0" w:firstRowLastColumn="0" w:lastRowFirstColumn="0" w:lastRowLastColumn="0"/>
            <w:tcW w:w="3402" w:type="dxa"/>
          </w:tcPr>
          <w:p w14:paraId="205BAFFA" w14:textId="77777777" w:rsidR="00F20068" w:rsidRDefault="00F20068" w:rsidP="00F20068">
            <w:pPr>
              <w:pStyle w:val="BodyText"/>
              <w:jc w:val="center"/>
            </w:pPr>
            <w:r>
              <w:t>VIC</w:t>
            </w:r>
          </w:p>
        </w:tc>
        <w:tc>
          <w:tcPr>
            <w:tcW w:w="3969" w:type="dxa"/>
          </w:tcPr>
          <w:p w14:paraId="787AD9B1" w14:textId="77777777" w:rsidR="00F20068" w:rsidRDefault="00F20068" w:rsidP="00F20068">
            <w:pPr>
              <w:pStyle w:val="BodyText"/>
              <w:jc w:val="center"/>
              <w:cnfStyle w:val="000000000000" w:firstRow="0" w:lastRow="0" w:firstColumn="0" w:lastColumn="0" w:oddVBand="0" w:evenVBand="0" w:oddHBand="0" w:evenHBand="0" w:firstRowFirstColumn="0" w:firstRowLastColumn="0" w:lastRowFirstColumn="0" w:lastRowLastColumn="0"/>
            </w:pPr>
            <w:r>
              <w:t>315,389</w:t>
            </w:r>
          </w:p>
        </w:tc>
      </w:tr>
      <w:tr w:rsidR="00F20068" w14:paraId="0C97B07D" w14:textId="77777777" w:rsidTr="0033323C">
        <w:tc>
          <w:tcPr>
            <w:cnfStyle w:val="001000000000" w:firstRow="0" w:lastRow="0" w:firstColumn="1" w:lastColumn="0" w:oddVBand="0" w:evenVBand="0" w:oddHBand="0" w:evenHBand="0" w:firstRowFirstColumn="0" w:firstRowLastColumn="0" w:lastRowFirstColumn="0" w:lastRowLastColumn="0"/>
            <w:tcW w:w="3402" w:type="dxa"/>
          </w:tcPr>
          <w:p w14:paraId="05E70E30" w14:textId="77777777" w:rsidR="00F20068" w:rsidRDefault="00F20068" w:rsidP="00F20068">
            <w:pPr>
              <w:pStyle w:val="BodyText"/>
              <w:jc w:val="center"/>
            </w:pPr>
            <w:r>
              <w:t>WA</w:t>
            </w:r>
          </w:p>
        </w:tc>
        <w:tc>
          <w:tcPr>
            <w:tcW w:w="3969" w:type="dxa"/>
          </w:tcPr>
          <w:p w14:paraId="0C17EACF" w14:textId="77777777" w:rsidR="00F20068" w:rsidRDefault="00F20068" w:rsidP="00F20068">
            <w:pPr>
              <w:pStyle w:val="BodyText"/>
              <w:jc w:val="center"/>
              <w:cnfStyle w:val="000000000000" w:firstRow="0" w:lastRow="0" w:firstColumn="0" w:lastColumn="0" w:oddVBand="0" w:evenVBand="0" w:oddHBand="0" w:evenHBand="0" w:firstRowFirstColumn="0" w:firstRowLastColumn="0" w:lastRowFirstColumn="0" w:lastRowLastColumn="0"/>
            </w:pPr>
            <w:r>
              <w:t>106,188</w:t>
            </w:r>
          </w:p>
        </w:tc>
      </w:tr>
    </w:tbl>
    <w:p w14:paraId="60C5F123" w14:textId="229CC84F" w:rsidR="00F64D60" w:rsidRPr="00F20068" w:rsidRDefault="00F20068" w:rsidP="000B1213">
      <w:pPr>
        <w:pStyle w:val="BodyText"/>
        <w:spacing w:before="60"/>
        <w:rPr>
          <w:b/>
          <w:sz w:val="16"/>
          <w:szCs w:val="16"/>
        </w:rPr>
      </w:pPr>
      <w:r w:rsidRPr="00F20068">
        <w:rPr>
          <w:b/>
          <w:sz w:val="16"/>
          <w:szCs w:val="16"/>
        </w:rPr>
        <w:t xml:space="preserve">Source: </w:t>
      </w:r>
      <w:r w:rsidRPr="00F20068">
        <w:rPr>
          <w:bCs/>
          <w:sz w:val="16"/>
          <w:szCs w:val="16"/>
        </w:rPr>
        <w:t>ABS Cat. No 9314 – Sales of New Motor Vehicles Australia</w:t>
      </w:r>
    </w:p>
    <w:p w14:paraId="24C0B4D7" w14:textId="77777777" w:rsidR="00F64D60" w:rsidRDefault="00F64D60" w:rsidP="00F64D60">
      <w:pPr>
        <w:pStyle w:val="Heading6"/>
      </w:pPr>
      <w:r>
        <w:t>Operating and maintenance costs</w:t>
      </w:r>
    </w:p>
    <w:p w14:paraId="0FE66FE1" w14:textId="77777777" w:rsidR="00F64D60" w:rsidRPr="00407075" w:rsidRDefault="00F64D60" w:rsidP="00F64D60">
      <w:pPr>
        <w:pStyle w:val="BodyText"/>
      </w:pPr>
      <w:r>
        <w:t>Operating and m</w:t>
      </w:r>
      <w:r w:rsidRPr="00407075">
        <w:t xml:space="preserve">aintenance costs </w:t>
      </w:r>
      <w:r>
        <w:t xml:space="preserve">for Measure 1 are </w:t>
      </w:r>
      <w:r w:rsidRPr="00407075">
        <w:t xml:space="preserve">assumed to be </w:t>
      </w:r>
      <w:r w:rsidRPr="0088274C">
        <w:t>negligible</w:t>
      </w:r>
      <w:r>
        <w:t xml:space="preserve">, as ORVR is not assumed to affect operating and maintenance costs for vehicles or petrol stations. </w:t>
      </w:r>
    </w:p>
    <w:p w14:paraId="165EC110" w14:textId="77777777" w:rsidR="00F64D60" w:rsidRDefault="00F64D60" w:rsidP="00F64D60">
      <w:pPr>
        <w:pStyle w:val="Heading6"/>
      </w:pPr>
      <w:r w:rsidRPr="00407075">
        <w:t xml:space="preserve">Co-benefits and </w:t>
      </w:r>
      <w:r>
        <w:t>d</w:t>
      </w:r>
      <w:r w:rsidRPr="00407075">
        <w:t>is-benefit</w:t>
      </w:r>
      <w:r>
        <w:t>s</w:t>
      </w:r>
    </w:p>
    <w:p w14:paraId="4C2150BD" w14:textId="7E31A3DC" w:rsidR="00F64D60" w:rsidRDefault="00F64D60" w:rsidP="00F64D60">
      <w:pPr>
        <w:pStyle w:val="BodyText"/>
      </w:pPr>
      <w:r>
        <w:t xml:space="preserve">ORVR </w:t>
      </w:r>
      <w:r w:rsidR="00D0783A">
        <w:t xml:space="preserve">was </w:t>
      </w:r>
      <w:r>
        <w:t xml:space="preserve">assumed to provide fuel savings to consumers. </w:t>
      </w:r>
      <w:r w:rsidRPr="00407075">
        <w:t>ORVR returns fuel vapour to the vehicle fuel tank and thus results in gross petrol savings. Over the average life of a vehicle (10 years), these savings would equate to $15 per vehicle</w:t>
      </w:r>
      <w:r>
        <w:t xml:space="preserve"> (Caltex, 2014). The </w:t>
      </w:r>
      <w:r w:rsidRPr="00A20C70">
        <w:t>number of new motor vehicles</w:t>
      </w:r>
      <w:r>
        <w:t xml:space="preserve"> (</w:t>
      </w:r>
      <w:r w:rsidRPr="00A20C70">
        <w:fldChar w:fldCharType="begin"/>
      </w:r>
      <w:r w:rsidRPr="00A20C70">
        <w:instrText xml:space="preserve"> REF _Ref507429961 \h </w:instrText>
      </w:r>
      <w:r>
        <w:instrText xml:space="preserve"> \* MERGEFORMAT </w:instrText>
      </w:r>
      <w:r w:rsidRPr="00A20C70">
        <w:fldChar w:fldCharType="separate"/>
      </w:r>
      <w:r w:rsidR="00A50702" w:rsidRPr="00407075">
        <w:t xml:space="preserve">Table </w:t>
      </w:r>
      <w:r w:rsidR="00A50702">
        <w:t>C</w:t>
      </w:r>
      <w:r w:rsidR="00A50702" w:rsidRPr="00407075">
        <w:noBreakHyphen/>
      </w:r>
      <w:r w:rsidR="00A50702">
        <w:t>2</w:t>
      </w:r>
      <w:r w:rsidRPr="00A20C70">
        <w:fldChar w:fldCharType="end"/>
      </w:r>
      <w:r>
        <w:t xml:space="preserve">) has also been used to quantify this </w:t>
      </w:r>
      <w:r w:rsidR="00833F63">
        <w:t>co</w:t>
      </w:r>
      <w:r>
        <w:t>-benefit</w:t>
      </w:r>
      <w:r w:rsidR="007B75F3">
        <w:t>.</w:t>
      </w:r>
    </w:p>
    <w:p w14:paraId="352338E7" w14:textId="455666A9" w:rsidR="00F64D60" w:rsidRDefault="001130D4" w:rsidP="00A04C26">
      <w:pPr>
        <w:pStyle w:val="Heading6"/>
      </w:pPr>
      <w:bookmarkStart w:id="86" w:name="_Toc508222149"/>
      <w:r>
        <w:t>E</w:t>
      </w:r>
      <w:r w:rsidR="00F64D60">
        <w:t>mission reductions</w:t>
      </w:r>
      <w:bookmarkEnd w:id="86"/>
    </w:p>
    <w:p w14:paraId="234AD262" w14:textId="4AF51401" w:rsidR="00F64D60" w:rsidRDefault="00F64D60" w:rsidP="00F64D60">
      <w:pPr>
        <w:pStyle w:val="BodyText"/>
      </w:pPr>
      <w:r w:rsidRPr="004F417B">
        <w:t xml:space="preserve">Emission reductions were estimated based on the profile of gradual </w:t>
      </w:r>
      <w:r>
        <w:t>uptake</w:t>
      </w:r>
      <w:r w:rsidRPr="004F417B">
        <w:t xml:space="preserve"> of ORVR across the fleet. </w:t>
      </w:r>
      <w:r>
        <w:fldChar w:fldCharType="begin"/>
      </w:r>
      <w:r>
        <w:instrText xml:space="preserve"> REF _Ref508112990 \h  \* MERGEFORMAT </w:instrText>
      </w:r>
      <w:r>
        <w:fldChar w:fldCharType="separate"/>
      </w:r>
      <w:r w:rsidR="00A50702" w:rsidRPr="00A50702">
        <w:t>Table C</w:t>
      </w:r>
      <w:r w:rsidR="00A50702" w:rsidRPr="00A50702">
        <w:noBreakHyphen/>
        <w:t>3</w:t>
      </w:r>
      <w:r>
        <w:fldChar w:fldCharType="end"/>
      </w:r>
      <w:r w:rsidRPr="004F417B">
        <w:t xml:space="preserve"> summarises the estimated emission reductions.</w:t>
      </w:r>
    </w:p>
    <w:p w14:paraId="0875B2A0" w14:textId="3F45BE45" w:rsidR="00F64D60" w:rsidRDefault="00F64D60" w:rsidP="00F64D60">
      <w:pPr>
        <w:pStyle w:val="BodyText"/>
        <w:keepNext/>
        <w:rPr>
          <w:b/>
          <w:bCs/>
          <w:color w:val="353D30" w:themeColor="accent2"/>
          <w:sz w:val="18"/>
          <w:szCs w:val="18"/>
        </w:rPr>
      </w:pPr>
      <w:bookmarkStart w:id="87" w:name="_Ref508112990"/>
      <w:bookmarkStart w:id="88" w:name="_Toc508222213"/>
      <w:bookmarkStart w:id="89" w:name="_Toc518629923"/>
      <w:r w:rsidRPr="00407075">
        <w:rPr>
          <w:b/>
          <w:bCs/>
          <w:color w:val="353D30" w:themeColor="accent2"/>
          <w:sz w:val="18"/>
          <w:szCs w:val="18"/>
        </w:rPr>
        <w:t xml:space="preserve">Table </w:t>
      </w:r>
      <w:r w:rsidR="007627BC">
        <w:rPr>
          <w:b/>
          <w:bCs/>
          <w:color w:val="353D30" w:themeColor="accent2"/>
          <w:sz w:val="18"/>
          <w:szCs w:val="18"/>
        </w:rPr>
        <w:t>C</w:t>
      </w:r>
      <w:r w:rsidRPr="00407075">
        <w:rPr>
          <w:b/>
          <w:bCs/>
          <w:color w:val="353D30" w:themeColor="accent2"/>
          <w:sz w:val="18"/>
          <w:szCs w:val="18"/>
        </w:rPr>
        <w:noBreakHyphen/>
      </w:r>
      <w:r w:rsidRPr="00407075">
        <w:rPr>
          <w:b/>
          <w:bCs/>
          <w:color w:val="353D30" w:themeColor="accent2"/>
          <w:sz w:val="18"/>
          <w:szCs w:val="18"/>
        </w:rPr>
        <w:fldChar w:fldCharType="begin"/>
      </w:r>
      <w:r w:rsidRPr="00407075">
        <w:rPr>
          <w:b/>
          <w:bCs/>
          <w:color w:val="353D30" w:themeColor="accent2"/>
          <w:sz w:val="18"/>
          <w:szCs w:val="18"/>
        </w:rPr>
        <w:instrText xml:space="preserve"> SEQ Table \* ARABIC \s 1 </w:instrText>
      </w:r>
      <w:r w:rsidRPr="00407075">
        <w:rPr>
          <w:b/>
          <w:bCs/>
          <w:color w:val="353D30" w:themeColor="accent2"/>
          <w:sz w:val="18"/>
          <w:szCs w:val="18"/>
        </w:rPr>
        <w:fldChar w:fldCharType="separate"/>
      </w:r>
      <w:r w:rsidR="00A50702">
        <w:rPr>
          <w:b/>
          <w:bCs/>
          <w:noProof/>
          <w:color w:val="353D30" w:themeColor="accent2"/>
          <w:sz w:val="18"/>
          <w:szCs w:val="18"/>
        </w:rPr>
        <w:t>3</w:t>
      </w:r>
      <w:r w:rsidRPr="00407075">
        <w:rPr>
          <w:b/>
          <w:bCs/>
          <w:color w:val="353D30" w:themeColor="accent2"/>
          <w:sz w:val="18"/>
          <w:szCs w:val="18"/>
        </w:rPr>
        <w:fldChar w:fldCharType="end"/>
      </w:r>
      <w:bookmarkEnd w:id="87"/>
      <w:r w:rsidRPr="00407075">
        <w:rPr>
          <w:b/>
          <w:bCs/>
          <w:color w:val="353D30" w:themeColor="accent2"/>
          <w:sz w:val="18"/>
          <w:szCs w:val="18"/>
        </w:rPr>
        <w:t xml:space="preserve"> </w:t>
      </w:r>
      <w:r>
        <w:rPr>
          <w:b/>
          <w:bCs/>
          <w:color w:val="353D30" w:themeColor="accent2"/>
          <w:sz w:val="18"/>
          <w:szCs w:val="18"/>
        </w:rPr>
        <w:t>Abatement measure 1 emissions reductions (O</w:t>
      </w:r>
      <w:r w:rsidRPr="00491FBC">
        <w:rPr>
          <w:b/>
          <w:bCs/>
          <w:color w:val="353D30" w:themeColor="accent2"/>
          <w:sz w:val="18"/>
          <w:szCs w:val="18"/>
          <w:vertAlign w:val="subscript"/>
        </w:rPr>
        <w:t>3</w:t>
      </w:r>
      <w:r>
        <w:rPr>
          <w:b/>
          <w:bCs/>
          <w:color w:val="353D30" w:themeColor="accent2"/>
          <w:sz w:val="18"/>
          <w:szCs w:val="18"/>
        </w:rPr>
        <w:t>)</w:t>
      </w:r>
      <w:bookmarkEnd w:id="88"/>
      <w:bookmarkEnd w:id="89"/>
    </w:p>
    <w:tbl>
      <w:tblPr>
        <w:tblStyle w:val="AureconTable4"/>
        <w:tblW w:w="7371" w:type="dxa"/>
        <w:tblInd w:w="-5" w:type="dxa"/>
        <w:tblLook w:val="04A0" w:firstRow="1" w:lastRow="0" w:firstColumn="1" w:lastColumn="0" w:noHBand="0" w:noVBand="1"/>
      </w:tblPr>
      <w:tblGrid>
        <w:gridCol w:w="3685"/>
        <w:gridCol w:w="3686"/>
      </w:tblGrid>
      <w:tr w:rsidR="00F64D60" w14:paraId="7B3C6BFE" w14:textId="77777777" w:rsidTr="003332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5" w:type="dxa"/>
          </w:tcPr>
          <w:p w14:paraId="2652605F" w14:textId="77777777" w:rsidR="00F64D60" w:rsidRDefault="00F64D60" w:rsidP="0033323C">
            <w:pPr>
              <w:pStyle w:val="BodyText"/>
              <w:jc w:val="center"/>
            </w:pPr>
            <w:r>
              <w:t>Year</w:t>
            </w:r>
          </w:p>
        </w:tc>
        <w:tc>
          <w:tcPr>
            <w:tcW w:w="3686" w:type="dxa"/>
          </w:tcPr>
          <w:p w14:paraId="4147D17C" w14:textId="77777777" w:rsidR="00F64D60" w:rsidRDefault="00F64D60" w:rsidP="0033323C">
            <w:pPr>
              <w:pStyle w:val="BodyText"/>
              <w:jc w:val="center"/>
              <w:cnfStyle w:val="100000000000" w:firstRow="1" w:lastRow="0" w:firstColumn="0" w:lastColumn="0" w:oddVBand="0" w:evenVBand="0" w:oddHBand="0" w:evenHBand="0" w:firstRowFirstColumn="0" w:firstRowLastColumn="0" w:lastRowFirstColumn="0" w:lastRowLastColumn="0"/>
            </w:pPr>
            <w:r>
              <w:t>O</w:t>
            </w:r>
            <w:r w:rsidRPr="00BD7049">
              <w:rPr>
                <w:vertAlign w:val="subscript"/>
              </w:rPr>
              <w:t>3</w:t>
            </w:r>
            <w:r>
              <w:t xml:space="preserve"> Reduction (tonnes per year)</w:t>
            </w:r>
          </w:p>
        </w:tc>
      </w:tr>
      <w:tr w:rsidR="00F64D60" w14:paraId="0B579A81" w14:textId="77777777" w:rsidTr="0033323C">
        <w:tc>
          <w:tcPr>
            <w:cnfStyle w:val="001000000000" w:firstRow="0" w:lastRow="0" w:firstColumn="1" w:lastColumn="0" w:oddVBand="0" w:evenVBand="0" w:oddHBand="0" w:evenHBand="0" w:firstRowFirstColumn="0" w:firstRowLastColumn="0" w:lastRowFirstColumn="0" w:lastRowLastColumn="0"/>
            <w:tcW w:w="3685" w:type="dxa"/>
          </w:tcPr>
          <w:p w14:paraId="5807E955" w14:textId="77777777" w:rsidR="00F64D60" w:rsidRDefault="00F64D60" w:rsidP="0033323C">
            <w:pPr>
              <w:pStyle w:val="BodyText"/>
              <w:jc w:val="center"/>
            </w:pPr>
            <w:r>
              <w:t>2021</w:t>
            </w:r>
          </w:p>
        </w:tc>
        <w:tc>
          <w:tcPr>
            <w:tcW w:w="3686" w:type="dxa"/>
          </w:tcPr>
          <w:p w14:paraId="428F37AC" w14:textId="77777777" w:rsidR="00F64D60" w:rsidRDefault="00F64D60" w:rsidP="0033323C">
            <w:pPr>
              <w:pStyle w:val="BodyText"/>
              <w:jc w:val="center"/>
              <w:cnfStyle w:val="000000000000" w:firstRow="0" w:lastRow="0" w:firstColumn="0" w:lastColumn="0" w:oddVBand="0" w:evenVBand="0" w:oddHBand="0" w:evenHBand="0" w:firstRowFirstColumn="0" w:firstRowLastColumn="0" w:lastRowFirstColumn="0" w:lastRowLastColumn="0"/>
            </w:pPr>
            <w:r>
              <w:t>2,194</w:t>
            </w:r>
          </w:p>
        </w:tc>
      </w:tr>
      <w:tr w:rsidR="00F64D60" w14:paraId="455DA9FE" w14:textId="77777777" w:rsidTr="0033323C">
        <w:tc>
          <w:tcPr>
            <w:cnfStyle w:val="001000000000" w:firstRow="0" w:lastRow="0" w:firstColumn="1" w:lastColumn="0" w:oddVBand="0" w:evenVBand="0" w:oddHBand="0" w:evenHBand="0" w:firstRowFirstColumn="0" w:firstRowLastColumn="0" w:lastRowFirstColumn="0" w:lastRowLastColumn="0"/>
            <w:tcW w:w="3685" w:type="dxa"/>
          </w:tcPr>
          <w:p w14:paraId="3ACEF23F" w14:textId="77777777" w:rsidR="00F64D60" w:rsidRDefault="00F64D60" w:rsidP="0033323C">
            <w:pPr>
              <w:pStyle w:val="BodyText"/>
              <w:jc w:val="center"/>
            </w:pPr>
            <w:r>
              <w:t>2030</w:t>
            </w:r>
          </w:p>
        </w:tc>
        <w:tc>
          <w:tcPr>
            <w:tcW w:w="3686" w:type="dxa"/>
          </w:tcPr>
          <w:p w14:paraId="30303B3F" w14:textId="77777777" w:rsidR="00F64D60" w:rsidRDefault="00F64D60" w:rsidP="0033323C">
            <w:pPr>
              <w:pStyle w:val="BodyText"/>
              <w:jc w:val="center"/>
              <w:cnfStyle w:val="000000000000" w:firstRow="0" w:lastRow="0" w:firstColumn="0" w:lastColumn="0" w:oddVBand="0" w:evenVBand="0" w:oddHBand="0" w:evenHBand="0" w:firstRowFirstColumn="0" w:firstRowLastColumn="0" w:lastRowFirstColumn="0" w:lastRowLastColumn="0"/>
            </w:pPr>
            <w:r>
              <w:t>5,926</w:t>
            </w:r>
          </w:p>
        </w:tc>
      </w:tr>
      <w:tr w:rsidR="00F64D60" w14:paraId="01CF61A8" w14:textId="77777777" w:rsidTr="0033323C">
        <w:tc>
          <w:tcPr>
            <w:cnfStyle w:val="001000000000" w:firstRow="0" w:lastRow="0" w:firstColumn="1" w:lastColumn="0" w:oddVBand="0" w:evenVBand="0" w:oddHBand="0" w:evenHBand="0" w:firstRowFirstColumn="0" w:firstRowLastColumn="0" w:lastRowFirstColumn="0" w:lastRowLastColumn="0"/>
            <w:tcW w:w="3685" w:type="dxa"/>
          </w:tcPr>
          <w:p w14:paraId="354F4167" w14:textId="77777777" w:rsidR="00F64D60" w:rsidRDefault="00F64D60" w:rsidP="0033323C">
            <w:pPr>
              <w:pStyle w:val="BodyText"/>
              <w:jc w:val="center"/>
            </w:pPr>
            <w:r>
              <w:t>2040</w:t>
            </w:r>
          </w:p>
        </w:tc>
        <w:tc>
          <w:tcPr>
            <w:tcW w:w="3686" w:type="dxa"/>
          </w:tcPr>
          <w:p w14:paraId="3C8CD4E0" w14:textId="77777777" w:rsidR="00F64D60" w:rsidRDefault="00F64D60" w:rsidP="0033323C">
            <w:pPr>
              <w:pStyle w:val="BodyText"/>
              <w:jc w:val="center"/>
              <w:cnfStyle w:val="000000000000" w:firstRow="0" w:lastRow="0" w:firstColumn="0" w:lastColumn="0" w:oddVBand="0" w:evenVBand="0" w:oddHBand="0" w:evenHBand="0" w:firstRowFirstColumn="0" w:firstRowLastColumn="0" w:lastRowFirstColumn="0" w:lastRowLastColumn="0"/>
            </w:pPr>
            <w:r>
              <w:t>13,758</w:t>
            </w:r>
          </w:p>
        </w:tc>
      </w:tr>
      <w:tr w:rsidR="00F64D60" w14:paraId="577DC1F7" w14:textId="77777777" w:rsidTr="0033323C">
        <w:tc>
          <w:tcPr>
            <w:cnfStyle w:val="001000000000" w:firstRow="0" w:lastRow="0" w:firstColumn="1" w:lastColumn="0" w:oddVBand="0" w:evenVBand="0" w:oddHBand="0" w:evenHBand="0" w:firstRowFirstColumn="0" w:firstRowLastColumn="0" w:lastRowFirstColumn="0" w:lastRowLastColumn="0"/>
            <w:tcW w:w="3685" w:type="dxa"/>
          </w:tcPr>
          <w:p w14:paraId="0BE21A10" w14:textId="77777777" w:rsidR="00F64D60" w:rsidRPr="005D4667" w:rsidRDefault="00F64D60" w:rsidP="0033323C">
            <w:pPr>
              <w:pStyle w:val="BodyText"/>
              <w:jc w:val="center"/>
              <w:rPr>
                <w:b/>
              </w:rPr>
            </w:pPr>
            <w:r w:rsidRPr="005D4667">
              <w:rPr>
                <w:b/>
              </w:rPr>
              <w:t>Total (2016 – 2040)</w:t>
            </w:r>
          </w:p>
        </w:tc>
        <w:tc>
          <w:tcPr>
            <w:tcW w:w="3686" w:type="dxa"/>
          </w:tcPr>
          <w:p w14:paraId="7C0E9BD9" w14:textId="77777777" w:rsidR="00F64D60" w:rsidRPr="005D4667" w:rsidRDefault="00F64D60" w:rsidP="0033323C">
            <w:pPr>
              <w:pStyle w:val="BodyText"/>
              <w:jc w:val="center"/>
              <w:cnfStyle w:val="000000000000" w:firstRow="0" w:lastRow="0" w:firstColumn="0" w:lastColumn="0" w:oddVBand="0" w:evenVBand="0" w:oddHBand="0" w:evenHBand="0" w:firstRowFirstColumn="0" w:firstRowLastColumn="0" w:lastRowFirstColumn="0" w:lastRowLastColumn="0"/>
              <w:rPr>
                <w:b/>
              </w:rPr>
            </w:pPr>
            <w:r w:rsidRPr="005D4667">
              <w:rPr>
                <w:b/>
              </w:rPr>
              <w:t>138,531</w:t>
            </w:r>
          </w:p>
        </w:tc>
      </w:tr>
    </w:tbl>
    <w:p w14:paraId="0E871240" w14:textId="77777777" w:rsidR="00F64D60" w:rsidRDefault="00F64D60" w:rsidP="00F64D60"/>
    <w:p w14:paraId="6ED3DBD7" w14:textId="77777777" w:rsidR="00F64D60" w:rsidRDefault="00F64D60" w:rsidP="00912786">
      <w:pPr>
        <w:pStyle w:val="Appendixheading1"/>
      </w:pPr>
      <w:bookmarkStart w:id="90" w:name="_Toc508138836"/>
      <w:bookmarkStart w:id="91" w:name="_Toc508138945"/>
      <w:bookmarkStart w:id="92" w:name="_Toc508222150"/>
      <w:bookmarkStart w:id="93" w:name="_Toc508138837"/>
      <w:bookmarkStart w:id="94" w:name="_Toc508138946"/>
      <w:bookmarkStart w:id="95" w:name="_Toc508222151"/>
      <w:bookmarkStart w:id="96" w:name="_Toc508138838"/>
      <w:bookmarkStart w:id="97" w:name="_Toc508138947"/>
      <w:bookmarkStart w:id="98" w:name="_Toc508222152"/>
      <w:bookmarkStart w:id="99" w:name="_Toc508138839"/>
      <w:bookmarkStart w:id="100" w:name="_Toc508138948"/>
      <w:bookmarkStart w:id="101" w:name="_Toc508222153"/>
      <w:bookmarkStart w:id="102" w:name="_Toc508222154"/>
      <w:bookmarkStart w:id="103" w:name="_Toc518629905"/>
      <w:bookmarkEnd w:id="90"/>
      <w:bookmarkEnd w:id="91"/>
      <w:bookmarkEnd w:id="92"/>
      <w:bookmarkEnd w:id="93"/>
      <w:bookmarkEnd w:id="94"/>
      <w:bookmarkEnd w:id="95"/>
      <w:bookmarkEnd w:id="96"/>
      <w:bookmarkEnd w:id="97"/>
      <w:bookmarkEnd w:id="98"/>
      <w:bookmarkEnd w:id="99"/>
      <w:bookmarkEnd w:id="100"/>
      <w:bookmarkEnd w:id="101"/>
      <w:r>
        <w:t>Measure 10: Surface coating standards (O</w:t>
      </w:r>
      <w:r w:rsidRPr="00407075">
        <w:rPr>
          <w:vertAlign w:val="subscript"/>
        </w:rPr>
        <w:t>3</w:t>
      </w:r>
      <w:r>
        <w:t>)</w:t>
      </w:r>
      <w:bookmarkEnd w:id="102"/>
      <w:bookmarkEnd w:id="103"/>
    </w:p>
    <w:p w14:paraId="50A5C8F5" w14:textId="7D4B43CC" w:rsidR="00F64D60" w:rsidRDefault="002A7B0A" w:rsidP="00F64D60">
      <w:pPr>
        <w:pStyle w:val="BodyText"/>
      </w:pPr>
      <w:r>
        <w:t xml:space="preserve">VOC </w:t>
      </w:r>
      <w:r w:rsidR="00F64D60">
        <w:t xml:space="preserve">emissions result from the evaporation of solvents in solvent-based and water-based coatings. Abatement measure 10 focuses on reducing VOC emissions in architectural, industrial and automotive refinishing segments by implementing re-formulated low VOC coating technology </w:t>
      </w:r>
      <w:r w:rsidR="003A38F9">
        <w:t xml:space="preserve">for </w:t>
      </w:r>
      <w:r w:rsidR="00561192">
        <w:t>all solvents in these segments</w:t>
      </w:r>
      <w:r w:rsidR="0017655E">
        <w:t>,</w:t>
      </w:r>
      <w:r w:rsidR="00561192">
        <w:t xml:space="preserve"> </w:t>
      </w:r>
      <w:r w:rsidR="00F64D60">
        <w:t>which will meet new surface coating standards.</w:t>
      </w:r>
    </w:p>
    <w:p w14:paraId="58EFA690" w14:textId="19BB80C5" w:rsidR="0017655E" w:rsidRDefault="0017655E" w:rsidP="00F64D60">
      <w:pPr>
        <w:pStyle w:val="BodyText"/>
      </w:pPr>
      <w:r>
        <w:t>The standards are assumed to commence in 2021, but are assumed to increase in stringency over time, consistent with the legislative approach used in Euro</w:t>
      </w:r>
      <w:r w:rsidR="00EF66A1">
        <w:t>p</w:t>
      </w:r>
      <w:r>
        <w:t xml:space="preserve">e. </w:t>
      </w:r>
    </w:p>
    <w:p w14:paraId="1E122680" w14:textId="77777777" w:rsidR="00F64D60" w:rsidRDefault="00F64D60" w:rsidP="00F64D60">
      <w:pPr>
        <w:pStyle w:val="Heading6"/>
      </w:pPr>
      <w:r w:rsidRPr="00E80D83">
        <w:lastRenderedPageBreak/>
        <w:t xml:space="preserve">Capital </w:t>
      </w:r>
      <w:r>
        <w:t>c</w:t>
      </w:r>
      <w:r w:rsidRPr="00E80D83">
        <w:t>osts</w:t>
      </w:r>
    </w:p>
    <w:p w14:paraId="395BB885" w14:textId="77777777" w:rsidR="00F64D60" w:rsidRPr="0000289A" w:rsidRDefault="00F64D60" w:rsidP="00F64D60">
      <w:pPr>
        <w:pStyle w:val="BodyText"/>
      </w:pPr>
      <w:r>
        <w:t xml:space="preserve">The following assumptions have been used </w:t>
      </w:r>
      <w:r w:rsidRPr="0000289A">
        <w:t>to estimate capital costs:</w:t>
      </w:r>
    </w:p>
    <w:p w14:paraId="589E71B3" w14:textId="7E342173" w:rsidR="00F64D60" w:rsidRDefault="00F64D60" w:rsidP="00F64D60">
      <w:pPr>
        <w:pStyle w:val="Bullet1"/>
      </w:pPr>
      <w:r>
        <w:t xml:space="preserve">The </w:t>
      </w:r>
      <w:r w:rsidR="00F7434E">
        <w:t xml:space="preserve">amortised </w:t>
      </w:r>
      <w:r>
        <w:t xml:space="preserve">capital cost of reducing VOC emissions in surface coatings </w:t>
      </w:r>
      <w:r w:rsidR="00503110">
        <w:t xml:space="preserve">were </w:t>
      </w:r>
      <w:r>
        <w:t>estimated to be $3,000 per tonne of VOC reduced (</w:t>
      </w:r>
      <w:r w:rsidR="00856E42">
        <w:t>California Air Resources Board, 2007</w:t>
      </w:r>
      <w:r>
        <w:t>).</w:t>
      </w:r>
    </w:p>
    <w:p w14:paraId="30F4250D" w14:textId="4199F515" w:rsidR="00F7434E" w:rsidRDefault="00A50B13" w:rsidP="00F64D60">
      <w:pPr>
        <w:pStyle w:val="Bullet1"/>
      </w:pPr>
      <w:r>
        <w:t xml:space="preserve">The capital costs will be incurred </w:t>
      </w:r>
      <w:r w:rsidR="00895F5A">
        <w:t>when the equipment is installed</w:t>
      </w:r>
      <w:r w:rsidR="00CF0212">
        <w:t xml:space="preserve"> (i.e. upfront)</w:t>
      </w:r>
      <w:r w:rsidR="00895F5A">
        <w:t xml:space="preserve">, </w:t>
      </w:r>
      <w:r>
        <w:t xml:space="preserve">but for modelling purposes have been amortised (spread over) the evaluation period in proportion to annual emission reductions. </w:t>
      </w:r>
    </w:p>
    <w:p w14:paraId="3AC33703" w14:textId="77777777" w:rsidR="001130D4" w:rsidRDefault="001130D4" w:rsidP="001130D4">
      <w:pPr>
        <w:pStyle w:val="Heading6"/>
      </w:pPr>
      <w:r>
        <w:t>Operating and maintenance costs</w:t>
      </w:r>
    </w:p>
    <w:p w14:paraId="6E224BBF" w14:textId="348D7207" w:rsidR="001130D4" w:rsidRPr="00E80D83" w:rsidRDefault="001130D4" w:rsidP="001130D4">
      <w:pPr>
        <w:pStyle w:val="BodyText"/>
      </w:pPr>
      <w:r w:rsidRPr="007D78B2">
        <w:t xml:space="preserve">Operating and maintenance costs for Measure 10 are assumed to be negligible, as the re-formulation of coating products </w:t>
      </w:r>
      <w:r w:rsidR="00D0783A">
        <w:t xml:space="preserve">was </w:t>
      </w:r>
      <w:r w:rsidRPr="007D78B2">
        <w:t>assumed to not affect operation and maintenance costs for manufacturers.</w:t>
      </w:r>
    </w:p>
    <w:p w14:paraId="517CB299" w14:textId="1EC371F1" w:rsidR="00F64D60" w:rsidRDefault="00176319" w:rsidP="00176319">
      <w:pPr>
        <w:pStyle w:val="Heading6"/>
      </w:pPr>
      <w:bookmarkStart w:id="104" w:name="_Toc508138842"/>
      <w:bookmarkStart w:id="105" w:name="_Toc508138951"/>
      <w:bookmarkStart w:id="106" w:name="_Toc508222156"/>
      <w:bookmarkStart w:id="107" w:name="_Toc508138843"/>
      <w:bookmarkStart w:id="108" w:name="_Toc508138952"/>
      <w:bookmarkStart w:id="109" w:name="_Toc508222157"/>
      <w:bookmarkStart w:id="110" w:name="_Toc508222173"/>
      <w:bookmarkEnd w:id="104"/>
      <w:bookmarkEnd w:id="105"/>
      <w:bookmarkEnd w:id="106"/>
      <w:bookmarkEnd w:id="107"/>
      <w:bookmarkEnd w:id="108"/>
      <w:bookmarkEnd w:id="109"/>
      <w:r>
        <w:t>E</w:t>
      </w:r>
      <w:r w:rsidR="00F64D60">
        <w:t>missions reductions</w:t>
      </w:r>
      <w:bookmarkEnd w:id="110"/>
    </w:p>
    <w:p w14:paraId="37DC77DE" w14:textId="263E929C" w:rsidR="00F64D60" w:rsidRDefault="009D7969" w:rsidP="00F64D60">
      <w:pPr>
        <w:pStyle w:val="BodyText"/>
      </w:pPr>
      <w:r>
        <w:t>Emission</w:t>
      </w:r>
      <w:r w:rsidR="00F64D60">
        <w:t xml:space="preserve"> reductions </w:t>
      </w:r>
      <w:r w:rsidR="00503110">
        <w:t xml:space="preserve">were </w:t>
      </w:r>
      <w:r w:rsidR="00F64D60">
        <w:t>estimated based on the profile of gradual up-take of re-formulating surface coating products in indust</w:t>
      </w:r>
      <w:r w:rsidR="00F64D60" w:rsidRPr="00CB0183">
        <w:t xml:space="preserve">ry. </w:t>
      </w:r>
      <w:r w:rsidR="00F64D60" w:rsidRPr="00BE4A27">
        <w:fldChar w:fldCharType="begin"/>
      </w:r>
      <w:r w:rsidR="00F64D60" w:rsidRPr="002A0891">
        <w:instrText xml:space="preserve"> REF _Ref508115562 \h </w:instrText>
      </w:r>
      <w:r w:rsidR="00F64D60">
        <w:instrText xml:space="preserve"> \* MERGEFORMAT </w:instrText>
      </w:r>
      <w:r w:rsidR="00F64D60" w:rsidRPr="00BE4A27">
        <w:fldChar w:fldCharType="separate"/>
      </w:r>
      <w:r w:rsidR="00A50702" w:rsidRPr="00A50702">
        <w:t>Table C</w:t>
      </w:r>
      <w:r w:rsidR="00A50702" w:rsidRPr="00A50702">
        <w:noBreakHyphen/>
        <w:t>4</w:t>
      </w:r>
      <w:r w:rsidR="00F64D60" w:rsidRPr="00BE4A27">
        <w:fldChar w:fldCharType="end"/>
      </w:r>
      <w:r w:rsidR="00F64D60">
        <w:t xml:space="preserve"> summarises the estimated emission reductions.</w:t>
      </w:r>
    </w:p>
    <w:p w14:paraId="1FEF42C9" w14:textId="6A80B687" w:rsidR="00F64D60" w:rsidRPr="009D7969" w:rsidRDefault="00F64D60" w:rsidP="009D7969">
      <w:pPr>
        <w:pStyle w:val="BodyText"/>
        <w:keepNext/>
        <w:rPr>
          <w:b/>
          <w:bCs/>
          <w:color w:val="353D30" w:themeColor="accent2"/>
          <w:sz w:val="18"/>
          <w:szCs w:val="18"/>
        </w:rPr>
      </w:pPr>
      <w:bookmarkStart w:id="111" w:name="_Ref508115562"/>
      <w:bookmarkStart w:id="112" w:name="_Toc508222214"/>
      <w:bookmarkStart w:id="113" w:name="_Toc518629924"/>
      <w:r w:rsidRPr="009D7969">
        <w:rPr>
          <w:b/>
          <w:bCs/>
          <w:color w:val="353D30" w:themeColor="accent2"/>
          <w:sz w:val="18"/>
          <w:szCs w:val="18"/>
        </w:rPr>
        <w:t xml:space="preserve">Table </w:t>
      </w:r>
      <w:r w:rsidR="009D7969">
        <w:rPr>
          <w:b/>
          <w:bCs/>
          <w:color w:val="353D30" w:themeColor="accent2"/>
          <w:sz w:val="18"/>
          <w:szCs w:val="18"/>
        </w:rPr>
        <w:t>C</w:t>
      </w:r>
      <w:r w:rsidRPr="009D7969">
        <w:rPr>
          <w:b/>
          <w:bCs/>
          <w:color w:val="353D30" w:themeColor="accent2"/>
          <w:sz w:val="18"/>
          <w:szCs w:val="18"/>
        </w:rPr>
        <w:noBreakHyphen/>
      </w:r>
      <w:r w:rsidRPr="009D7969">
        <w:rPr>
          <w:b/>
          <w:bCs/>
          <w:color w:val="353D30" w:themeColor="accent2"/>
          <w:sz w:val="18"/>
          <w:szCs w:val="18"/>
        </w:rPr>
        <w:fldChar w:fldCharType="begin"/>
      </w:r>
      <w:r w:rsidRPr="009D7969">
        <w:rPr>
          <w:b/>
          <w:bCs/>
          <w:color w:val="353D30" w:themeColor="accent2"/>
          <w:sz w:val="18"/>
          <w:szCs w:val="18"/>
        </w:rPr>
        <w:instrText xml:space="preserve"> SEQ Table \* ARABIC \s 1 </w:instrText>
      </w:r>
      <w:r w:rsidRPr="009D7969">
        <w:rPr>
          <w:b/>
          <w:bCs/>
          <w:color w:val="353D30" w:themeColor="accent2"/>
          <w:sz w:val="18"/>
          <w:szCs w:val="18"/>
        </w:rPr>
        <w:fldChar w:fldCharType="separate"/>
      </w:r>
      <w:r w:rsidR="00A50702">
        <w:rPr>
          <w:b/>
          <w:bCs/>
          <w:noProof/>
          <w:color w:val="353D30" w:themeColor="accent2"/>
          <w:sz w:val="18"/>
          <w:szCs w:val="18"/>
        </w:rPr>
        <w:t>4</w:t>
      </w:r>
      <w:r w:rsidRPr="009D7969">
        <w:rPr>
          <w:b/>
          <w:bCs/>
          <w:color w:val="353D30" w:themeColor="accent2"/>
          <w:sz w:val="18"/>
          <w:szCs w:val="18"/>
        </w:rPr>
        <w:fldChar w:fldCharType="end"/>
      </w:r>
      <w:bookmarkEnd w:id="111"/>
      <w:r w:rsidRPr="009D7969">
        <w:rPr>
          <w:b/>
          <w:bCs/>
          <w:color w:val="353D30" w:themeColor="accent2"/>
          <w:sz w:val="18"/>
          <w:szCs w:val="18"/>
        </w:rPr>
        <w:t xml:space="preserve"> Abatement measure 10 emissions reductions (O</w:t>
      </w:r>
      <w:r w:rsidRPr="009D7969">
        <w:rPr>
          <w:b/>
          <w:bCs/>
          <w:color w:val="353D30" w:themeColor="accent2"/>
          <w:sz w:val="18"/>
          <w:szCs w:val="18"/>
          <w:vertAlign w:val="subscript"/>
        </w:rPr>
        <w:t>3</w:t>
      </w:r>
      <w:r w:rsidRPr="009D7969">
        <w:rPr>
          <w:b/>
          <w:bCs/>
          <w:color w:val="353D30" w:themeColor="accent2"/>
          <w:sz w:val="18"/>
          <w:szCs w:val="18"/>
        </w:rPr>
        <w:t>)</w:t>
      </w:r>
      <w:bookmarkEnd w:id="112"/>
      <w:bookmarkEnd w:id="113"/>
    </w:p>
    <w:tbl>
      <w:tblPr>
        <w:tblStyle w:val="AureconTable4"/>
        <w:tblW w:w="7371" w:type="dxa"/>
        <w:tblInd w:w="-5" w:type="dxa"/>
        <w:tblLook w:val="04A0" w:firstRow="1" w:lastRow="0" w:firstColumn="1" w:lastColumn="0" w:noHBand="0" w:noVBand="1"/>
      </w:tblPr>
      <w:tblGrid>
        <w:gridCol w:w="3685"/>
        <w:gridCol w:w="3686"/>
      </w:tblGrid>
      <w:tr w:rsidR="00F64D60" w14:paraId="2A77B59B" w14:textId="77777777" w:rsidTr="009D79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5" w:type="dxa"/>
          </w:tcPr>
          <w:p w14:paraId="38E1E945" w14:textId="77777777" w:rsidR="00F64D60" w:rsidRDefault="00F64D60" w:rsidP="001130D4">
            <w:pPr>
              <w:pStyle w:val="Bullet1"/>
              <w:numPr>
                <w:ilvl w:val="0"/>
                <w:numId w:val="0"/>
              </w:numPr>
              <w:jc w:val="center"/>
            </w:pPr>
            <w:r>
              <w:t>Year</w:t>
            </w:r>
          </w:p>
        </w:tc>
        <w:tc>
          <w:tcPr>
            <w:tcW w:w="3686" w:type="dxa"/>
          </w:tcPr>
          <w:p w14:paraId="4DBEC426" w14:textId="77777777" w:rsidR="00F64D60" w:rsidRDefault="00F64D60" w:rsidP="001130D4">
            <w:pPr>
              <w:pStyle w:val="Bullet1"/>
              <w:numPr>
                <w:ilvl w:val="0"/>
                <w:numId w:val="0"/>
              </w:numPr>
              <w:jc w:val="center"/>
              <w:cnfStyle w:val="100000000000" w:firstRow="1" w:lastRow="0" w:firstColumn="0" w:lastColumn="0" w:oddVBand="0" w:evenVBand="0" w:oddHBand="0" w:evenHBand="0" w:firstRowFirstColumn="0" w:firstRowLastColumn="0" w:lastRowFirstColumn="0" w:lastRowLastColumn="0"/>
            </w:pPr>
            <w:r>
              <w:t>O</w:t>
            </w:r>
            <w:r w:rsidRPr="009D7969">
              <w:rPr>
                <w:vertAlign w:val="subscript"/>
              </w:rPr>
              <w:t>3</w:t>
            </w:r>
            <w:r>
              <w:t xml:space="preserve"> Reduction (tonnes per year)</w:t>
            </w:r>
          </w:p>
        </w:tc>
      </w:tr>
      <w:tr w:rsidR="00F64D60" w14:paraId="2F49E6A7" w14:textId="77777777" w:rsidTr="009D7969">
        <w:tc>
          <w:tcPr>
            <w:cnfStyle w:val="001000000000" w:firstRow="0" w:lastRow="0" w:firstColumn="1" w:lastColumn="0" w:oddVBand="0" w:evenVBand="0" w:oddHBand="0" w:evenHBand="0" w:firstRowFirstColumn="0" w:firstRowLastColumn="0" w:lastRowFirstColumn="0" w:lastRowLastColumn="0"/>
            <w:tcW w:w="3685" w:type="dxa"/>
          </w:tcPr>
          <w:p w14:paraId="4D7EBFF1" w14:textId="77777777" w:rsidR="00F64D60" w:rsidRDefault="00F64D60" w:rsidP="001130D4">
            <w:pPr>
              <w:pStyle w:val="Bullet1"/>
              <w:numPr>
                <w:ilvl w:val="0"/>
                <w:numId w:val="0"/>
              </w:numPr>
              <w:jc w:val="center"/>
            </w:pPr>
            <w:r>
              <w:t>2021</w:t>
            </w:r>
          </w:p>
        </w:tc>
        <w:tc>
          <w:tcPr>
            <w:tcW w:w="3686" w:type="dxa"/>
          </w:tcPr>
          <w:p w14:paraId="12966914" w14:textId="77777777" w:rsidR="00F64D60" w:rsidRDefault="00F64D60" w:rsidP="001130D4">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r>
              <w:t>3,719</w:t>
            </w:r>
          </w:p>
        </w:tc>
      </w:tr>
      <w:tr w:rsidR="00F64D60" w14:paraId="3D173AA9" w14:textId="77777777" w:rsidTr="009D7969">
        <w:tc>
          <w:tcPr>
            <w:cnfStyle w:val="001000000000" w:firstRow="0" w:lastRow="0" w:firstColumn="1" w:lastColumn="0" w:oddVBand="0" w:evenVBand="0" w:oddHBand="0" w:evenHBand="0" w:firstRowFirstColumn="0" w:firstRowLastColumn="0" w:lastRowFirstColumn="0" w:lastRowLastColumn="0"/>
            <w:tcW w:w="3685" w:type="dxa"/>
          </w:tcPr>
          <w:p w14:paraId="41226BF6" w14:textId="77777777" w:rsidR="00F64D60" w:rsidRDefault="00F64D60" w:rsidP="001130D4">
            <w:pPr>
              <w:pStyle w:val="Bullet1"/>
              <w:numPr>
                <w:ilvl w:val="0"/>
                <w:numId w:val="0"/>
              </w:numPr>
              <w:jc w:val="center"/>
            </w:pPr>
            <w:r>
              <w:t>2030</w:t>
            </w:r>
          </w:p>
        </w:tc>
        <w:tc>
          <w:tcPr>
            <w:tcW w:w="3686" w:type="dxa"/>
          </w:tcPr>
          <w:p w14:paraId="6094874B" w14:textId="77777777" w:rsidR="00F64D60" w:rsidRDefault="00F64D60" w:rsidP="001130D4">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r>
              <w:t>21,384</w:t>
            </w:r>
          </w:p>
        </w:tc>
      </w:tr>
      <w:tr w:rsidR="00F64D60" w14:paraId="742AD889" w14:textId="77777777" w:rsidTr="009D7969">
        <w:tc>
          <w:tcPr>
            <w:cnfStyle w:val="001000000000" w:firstRow="0" w:lastRow="0" w:firstColumn="1" w:lastColumn="0" w:oddVBand="0" w:evenVBand="0" w:oddHBand="0" w:evenHBand="0" w:firstRowFirstColumn="0" w:firstRowLastColumn="0" w:lastRowFirstColumn="0" w:lastRowLastColumn="0"/>
            <w:tcW w:w="3685" w:type="dxa"/>
          </w:tcPr>
          <w:p w14:paraId="3F324D3F" w14:textId="77777777" w:rsidR="00F64D60" w:rsidRDefault="00F64D60" w:rsidP="001130D4">
            <w:pPr>
              <w:pStyle w:val="Bullet1"/>
              <w:numPr>
                <w:ilvl w:val="0"/>
                <w:numId w:val="0"/>
              </w:numPr>
              <w:jc w:val="center"/>
            </w:pPr>
            <w:r>
              <w:t>2040</w:t>
            </w:r>
          </w:p>
        </w:tc>
        <w:tc>
          <w:tcPr>
            <w:tcW w:w="3686" w:type="dxa"/>
          </w:tcPr>
          <w:p w14:paraId="07CA3A4A" w14:textId="77777777" w:rsidR="00F64D60" w:rsidRDefault="00F64D60" w:rsidP="001130D4">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pPr>
            <w:r>
              <w:t>45,019</w:t>
            </w:r>
          </w:p>
        </w:tc>
      </w:tr>
      <w:tr w:rsidR="00F64D60" w14:paraId="5ECE4EED" w14:textId="77777777" w:rsidTr="009D7969">
        <w:tc>
          <w:tcPr>
            <w:cnfStyle w:val="001000000000" w:firstRow="0" w:lastRow="0" w:firstColumn="1" w:lastColumn="0" w:oddVBand="0" w:evenVBand="0" w:oddHBand="0" w:evenHBand="0" w:firstRowFirstColumn="0" w:firstRowLastColumn="0" w:lastRowFirstColumn="0" w:lastRowLastColumn="0"/>
            <w:tcW w:w="3685" w:type="dxa"/>
          </w:tcPr>
          <w:p w14:paraId="2AC1EDB1" w14:textId="77777777" w:rsidR="00F64D60" w:rsidRPr="0000289A" w:rsidRDefault="00F64D60" w:rsidP="001130D4">
            <w:pPr>
              <w:pStyle w:val="Bullet1"/>
              <w:numPr>
                <w:ilvl w:val="0"/>
                <w:numId w:val="0"/>
              </w:numPr>
              <w:jc w:val="center"/>
              <w:rPr>
                <w:b/>
              </w:rPr>
            </w:pPr>
            <w:r w:rsidRPr="0000289A">
              <w:rPr>
                <w:b/>
              </w:rPr>
              <w:t>Total (2016 – 2040)</w:t>
            </w:r>
          </w:p>
        </w:tc>
        <w:tc>
          <w:tcPr>
            <w:tcW w:w="3686" w:type="dxa"/>
          </w:tcPr>
          <w:p w14:paraId="6CC864C2" w14:textId="77777777" w:rsidR="00F64D60" w:rsidRPr="0000289A" w:rsidRDefault="00F64D60" w:rsidP="001130D4">
            <w:pPr>
              <w:pStyle w:val="Bullet1"/>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sidRPr="0000289A">
              <w:rPr>
                <w:b/>
              </w:rPr>
              <w:t>536,872</w:t>
            </w:r>
          </w:p>
        </w:tc>
      </w:tr>
    </w:tbl>
    <w:p w14:paraId="2BB6BC08" w14:textId="77777777" w:rsidR="00F64D60" w:rsidRPr="00336BAB" w:rsidRDefault="00F64D60" w:rsidP="008C2F73">
      <w:pPr>
        <w:pStyle w:val="Appendixheading1"/>
      </w:pPr>
      <w:bookmarkStart w:id="114" w:name="_Toc508222174"/>
      <w:bookmarkStart w:id="115" w:name="_Toc508222175"/>
      <w:bookmarkStart w:id="116" w:name="_Toc508222176"/>
      <w:bookmarkStart w:id="117" w:name="_Toc508222177"/>
      <w:bookmarkStart w:id="118" w:name="_Toc508222178"/>
      <w:bookmarkStart w:id="119" w:name="_Toc518629906"/>
      <w:bookmarkEnd w:id="114"/>
      <w:bookmarkEnd w:id="115"/>
      <w:bookmarkEnd w:id="116"/>
      <w:bookmarkEnd w:id="117"/>
      <w:r w:rsidRPr="00336BAB">
        <w:t xml:space="preserve">Measure 16: </w:t>
      </w:r>
      <w:r w:rsidRPr="00407075">
        <w:t>VOC control for solvent aerosol use</w:t>
      </w:r>
      <w:r w:rsidRPr="00336BAB">
        <w:t xml:space="preserve"> (O</w:t>
      </w:r>
      <w:r w:rsidRPr="00407075">
        <w:rPr>
          <w:vertAlign w:val="subscript"/>
        </w:rPr>
        <w:t>3</w:t>
      </w:r>
      <w:r w:rsidRPr="00336BAB">
        <w:t>)</w:t>
      </w:r>
      <w:bookmarkEnd w:id="118"/>
      <w:bookmarkEnd w:id="119"/>
    </w:p>
    <w:p w14:paraId="1C5841E5" w14:textId="570C57E3" w:rsidR="00F64D60" w:rsidRPr="00407075" w:rsidRDefault="00F64D60" w:rsidP="00F64D60">
      <w:pPr>
        <w:pStyle w:val="BodyText"/>
      </w:pPr>
      <w:r>
        <w:t>Abatement measure 16</w:t>
      </w:r>
      <w:r w:rsidRPr="00407075">
        <w:t xml:space="preserve"> seeks to reduce VOC content in aerosols by implementing California Air Resource Board (CARB) regulation</w:t>
      </w:r>
      <w:r>
        <w:t>s</w:t>
      </w:r>
      <w:r w:rsidRPr="00407075">
        <w:t xml:space="preserve"> for domestic solvents and aerosols. This </w:t>
      </w:r>
      <w:r>
        <w:t>involves</w:t>
      </w:r>
      <w:r w:rsidRPr="00407075">
        <w:t xml:space="preserve"> </w:t>
      </w:r>
      <w:r>
        <w:t>phasing out</w:t>
      </w:r>
      <w:r w:rsidRPr="00407075">
        <w:t xml:space="preserve"> non-compliant household aerosol products from the market, which in turn incurs an additional </w:t>
      </w:r>
      <w:r w:rsidR="004938A1">
        <w:t xml:space="preserve">production </w:t>
      </w:r>
      <w:r w:rsidRPr="00407075">
        <w:t>cost to manufacturers.</w:t>
      </w:r>
    </w:p>
    <w:p w14:paraId="66F01FB4" w14:textId="0A6AD319" w:rsidR="008C2F73" w:rsidRDefault="008C2F73" w:rsidP="008C2F73">
      <w:pPr>
        <w:pStyle w:val="Heading6"/>
      </w:pPr>
      <w:r w:rsidRPr="00E80D83">
        <w:t xml:space="preserve">Capital </w:t>
      </w:r>
      <w:r w:rsidR="0079478B">
        <w:t xml:space="preserve">and operating </w:t>
      </w:r>
      <w:r>
        <w:t>c</w:t>
      </w:r>
      <w:r w:rsidRPr="00E80D83">
        <w:t>osts</w:t>
      </w:r>
    </w:p>
    <w:p w14:paraId="49E90F8D" w14:textId="4F222341" w:rsidR="00F64D60" w:rsidRPr="0000289A" w:rsidRDefault="00F64D60" w:rsidP="00F64D60">
      <w:pPr>
        <w:pStyle w:val="BodyText"/>
      </w:pPr>
      <w:r>
        <w:t xml:space="preserve">The following assumptions </w:t>
      </w:r>
      <w:r w:rsidR="00156812">
        <w:t xml:space="preserve">have been </w:t>
      </w:r>
      <w:r>
        <w:t>used to estimate operating and maintenance costs:</w:t>
      </w:r>
    </w:p>
    <w:p w14:paraId="0D067795" w14:textId="0380FDAB" w:rsidR="00F64D60" w:rsidRDefault="00F64D60" w:rsidP="00F64D60">
      <w:pPr>
        <w:pStyle w:val="Bullet1"/>
      </w:pPr>
      <w:r>
        <w:t xml:space="preserve">The phasing out of non-compliant products </w:t>
      </w:r>
      <w:r w:rsidR="00D0783A">
        <w:t>was</w:t>
      </w:r>
      <w:r>
        <w:t xml:space="preserve"> assumed to begin in </w:t>
      </w:r>
      <w:r w:rsidR="00E643EE">
        <w:t>2021</w:t>
      </w:r>
      <w:r>
        <w:t>.</w:t>
      </w:r>
    </w:p>
    <w:p w14:paraId="2C2D9B22" w14:textId="33C5AA70" w:rsidR="007B0888" w:rsidRDefault="007B0888" w:rsidP="00F64D60">
      <w:pPr>
        <w:pStyle w:val="Bullet1"/>
      </w:pPr>
      <w:r>
        <w:t>The measure assumes the coverage of products required to be re-formulated will increase from 2021 to 2040, after which all household aerosol products are required to be re-formulated.</w:t>
      </w:r>
    </w:p>
    <w:p w14:paraId="4C263D0F" w14:textId="4DA7478E" w:rsidR="00F64D60" w:rsidRPr="00346D8C" w:rsidRDefault="00F64D60" w:rsidP="00F64D60">
      <w:pPr>
        <w:pStyle w:val="Bullet1"/>
      </w:pPr>
      <w:r>
        <w:t xml:space="preserve">It </w:t>
      </w:r>
      <w:r w:rsidR="005F3F16">
        <w:t>was</w:t>
      </w:r>
      <w:r>
        <w:t xml:space="preserve"> estimated that there is a 20% </w:t>
      </w:r>
      <w:r w:rsidR="00E643EE">
        <w:t xml:space="preserve">cost </w:t>
      </w:r>
      <w:r>
        <w:t>premium for compliant products versus non-compliant aerosol products (</w:t>
      </w:r>
      <w:r w:rsidR="005D4667">
        <w:t>SKM, 2010</w:t>
      </w:r>
      <w:r>
        <w:t>). This equates to an additional $0.6 spend per household per week</w:t>
      </w:r>
      <w:r w:rsidR="00E643EE">
        <w:t>, with an increase in price reflecting the increase in the costs of production</w:t>
      </w:r>
      <w:r>
        <w:t xml:space="preserve">. This additional </w:t>
      </w:r>
      <w:r w:rsidR="00814F38">
        <w:t xml:space="preserve">cost </w:t>
      </w:r>
      <w:r w:rsidR="00D20393">
        <w:t xml:space="preserve">is </w:t>
      </w:r>
      <w:r>
        <w:t>multiplied by the number of households (</w:t>
      </w:r>
      <w:r w:rsidRPr="00286840">
        <w:fldChar w:fldCharType="begin"/>
      </w:r>
      <w:r w:rsidRPr="00286840">
        <w:instrText xml:space="preserve"> REF _Ref508019130 \h </w:instrText>
      </w:r>
      <w:r>
        <w:instrText xml:space="preserve"> \* MERGEFORMAT </w:instrText>
      </w:r>
      <w:r w:rsidRPr="00286840">
        <w:fldChar w:fldCharType="separate"/>
      </w:r>
      <w:r w:rsidR="00A50702" w:rsidRPr="00A50702">
        <w:t>Table C</w:t>
      </w:r>
      <w:r w:rsidR="00A50702" w:rsidRPr="00A50702">
        <w:noBreakHyphen/>
        <w:t>5</w:t>
      </w:r>
      <w:r w:rsidRPr="00286840">
        <w:fldChar w:fldCharType="end"/>
      </w:r>
      <w:r>
        <w:t>) to quantify costs incurred per state.</w:t>
      </w:r>
    </w:p>
    <w:p w14:paraId="72014F8C" w14:textId="28448DF5" w:rsidR="00F64D60" w:rsidRDefault="00F64D60" w:rsidP="00F64D60">
      <w:pPr>
        <w:pStyle w:val="Bullet1"/>
      </w:pPr>
      <w:r>
        <w:t xml:space="preserve">The annual average growth </w:t>
      </w:r>
      <w:r w:rsidR="00D80127">
        <w:t xml:space="preserve">in </w:t>
      </w:r>
      <w:r>
        <w:t xml:space="preserve">number of households of 1.6% </w:t>
      </w:r>
      <w:r w:rsidR="00D0783A">
        <w:t>was</w:t>
      </w:r>
      <w:r w:rsidR="00D20393">
        <w:t xml:space="preserve"> </w:t>
      </w:r>
      <w:r w:rsidR="00D80127">
        <w:t>assumed</w:t>
      </w:r>
      <w:r>
        <w:t>.</w:t>
      </w:r>
    </w:p>
    <w:p w14:paraId="6C6E7F10" w14:textId="5D0E19A8" w:rsidR="00D80127" w:rsidRDefault="00D80127" w:rsidP="00D80127">
      <w:pPr>
        <w:pStyle w:val="BodyText"/>
      </w:pPr>
    </w:p>
    <w:p w14:paraId="00FB2E28" w14:textId="30F6D265" w:rsidR="00AC64FD" w:rsidRDefault="00AC64FD" w:rsidP="00D80127">
      <w:pPr>
        <w:pStyle w:val="BodyText"/>
      </w:pPr>
    </w:p>
    <w:p w14:paraId="07F229B0" w14:textId="4E4081DD" w:rsidR="00AC64FD" w:rsidRDefault="00AC64FD" w:rsidP="00D80127">
      <w:pPr>
        <w:pStyle w:val="BodyText"/>
      </w:pPr>
    </w:p>
    <w:p w14:paraId="1BC2ECCE" w14:textId="37494DA9" w:rsidR="00AC64FD" w:rsidRDefault="00AC64FD" w:rsidP="00D80127">
      <w:pPr>
        <w:pStyle w:val="BodyText"/>
      </w:pPr>
    </w:p>
    <w:p w14:paraId="3755ABAA" w14:textId="733F5CD9" w:rsidR="00F64D60" w:rsidRPr="00FA654C" w:rsidRDefault="00F64D60" w:rsidP="00FA654C">
      <w:pPr>
        <w:pStyle w:val="BodyText"/>
        <w:keepNext/>
        <w:rPr>
          <w:b/>
          <w:bCs/>
          <w:color w:val="353D30" w:themeColor="accent2"/>
          <w:sz w:val="18"/>
          <w:szCs w:val="18"/>
        </w:rPr>
      </w:pPr>
      <w:bookmarkStart w:id="120" w:name="_Ref508019130"/>
      <w:bookmarkStart w:id="121" w:name="_Toc508222215"/>
      <w:bookmarkStart w:id="122" w:name="_Toc518629925"/>
      <w:r w:rsidRPr="00FA654C">
        <w:rPr>
          <w:b/>
          <w:bCs/>
          <w:color w:val="353D30" w:themeColor="accent2"/>
          <w:sz w:val="18"/>
          <w:szCs w:val="18"/>
        </w:rPr>
        <w:lastRenderedPageBreak/>
        <w:t xml:space="preserve">Table </w:t>
      </w:r>
      <w:r w:rsidR="00FA654C" w:rsidRPr="00FA654C">
        <w:rPr>
          <w:b/>
          <w:bCs/>
          <w:color w:val="353D30" w:themeColor="accent2"/>
          <w:sz w:val="18"/>
          <w:szCs w:val="18"/>
        </w:rPr>
        <w:t>C</w:t>
      </w:r>
      <w:r w:rsidRPr="00FA654C">
        <w:rPr>
          <w:b/>
          <w:bCs/>
          <w:color w:val="353D30" w:themeColor="accent2"/>
          <w:sz w:val="18"/>
          <w:szCs w:val="18"/>
        </w:rPr>
        <w:noBreakHyphen/>
      </w:r>
      <w:r w:rsidRPr="00FA654C">
        <w:rPr>
          <w:b/>
          <w:bCs/>
          <w:color w:val="353D30" w:themeColor="accent2"/>
          <w:sz w:val="18"/>
          <w:szCs w:val="18"/>
        </w:rPr>
        <w:fldChar w:fldCharType="begin"/>
      </w:r>
      <w:r w:rsidRPr="00FA654C">
        <w:rPr>
          <w:b/>
          <w:bCs/>
          <w:color w:val="353D30" w:themeColor="accent2"/>
          <w:sz w:val="18"/>
          <w:szCs w:val="18"/>
        </w:rPr>
        <w:instrText xml:space="preserve"> SEQ Table \* ARABIC \s 1 </w:instrText>
      </w:r>
      <w:r w:rsidRPr="00FA654C">
        <w:rPr>
          <w:b/>
          <w:bCs/>
          <w:color w:val="353D30" w:themeColor="accent2"/>
          <w:sz w:val="18"/>
          <w:szCs w:val="18"/>
        </w:rPr>
        <w:fldChar w:fldCharType="separate"/>
      </w:r>
      <w:r w:rsidR="00A50702">
        <w:rPr>
          <w:b/>
          <w:bCs/>
          <w:noProof/>
          <w:color w:val="353D30" w:themeColor="accent2"/>
          <w:sz w:val="18"/>
          <w:szCs w:val="18"/>
        </w:rPr>
        <w:t>5</w:t>
      </w:r>
      <w:r w:rsidRPr="00FA654C">
        <w:rPr>
          <w:b/>
          <w:bCs/>
          <w:color w:val="353D30" w:themeColor="accent2"/>
          <w:sz w:val="18"/>
          <w:szCs w:val="18"/>
        </w:rPr>
        <w:fldChar w:fldCharType="end"/>
      </w:r>
      <w:bookmarkEnd w:id="120"/>
      <w:r w:rsidRPr="00FA654C">
        <w:rPr>
          <w:b/>
          <w:bCs/>
          <w:color w:val="353D30" w:themeColor="accent2"/>
          <w:sz w:val="18"/>
          <w:szCs w:val="18"/>
        </w:rPr>
        <w:t xml:space="preserve"> Au</w:t>
      </w:r>
      <w:r w:rsidR="00FA654C">
        <w:rPr>
          <w:b/>
          <w:bCs/>
          <w:color w:val="353D30" w:themeColor="accent2"/>
          <w:sz w:val="18"/>
          <w:szCs w:val="18"/>
        </w:rPr>
        <w:t>stralian household assumptions</w:t>
      </w:r>
      <w:bookmarkEnd w:id="121"/>
      <w:bookmarkEnd w:id="122"/>
    </w:p>
    <w:tbl>
      <w:tblPr>
        <w:tblStyle w:val="AureconTable4"/>
        <w:tblW w:w="7371" w:type="dxa"/>
        <w:tblInd w:w="-5" w:type="dxa"/>
        <w:tblLook w:val="04A0" w:firstRow="1" w:lastRow="0" w:firstColumn="1" w:lastColumn="0" w:noHBand="0" w:noVBand="1"/>
      </w:tblPr>
      <w:tblGrid>
        <w:gridCol w:w="3685"/>
        <w:gridCol w:w="3686"/>
      </w:tblGrid>
      <w:tr w:rsidR="00F64D60" w14:paraId="16C28578" w14:textId="77777777" w:rsidTr="00FA65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5" w:type="dxa"/>
          </w:tcPr>
          <w:p w14:paraId="6CA771B2" w14:textId="77777777" w:rsidR="00F64D60" w:rsidRDefault="00F64D60" w:rsidP="00FA654C">
            <w:pPr>
              <w:pStyle w:val="BodyText"/>
              <w:jc w:val="center"/>
            </w:pPr>
            <w:r>
              <w:t>State</w:t>
            </w:r>
          </w:p>
        </w:tc>
        <w:tc>
          <w:tcPr>
            <w:tcW w:w="3686" w:type="dxa"/>
          </w:tcPr>
          <w:p w14:paraId="6EC1AACE" w14:textId="77777777" w:rsidR="00F64D60" w:rsidRDefault="00F64D60" w:rsidP="00FA654C">
            <w:pPr>
              <w:pStyle w:val="BodyText"/>
              <w:jc w:val="center"/>
              <w:cnfStyle w:val="100000000000" w:firstRow="1" w:lastRow="0" w:firstColumn="0" w:lastColumn="0" w:oddVBand="0" w:evenVBand="0" w:oddHBand="0" w:evenHBand="0" w:firstRowFirstColumn="0" w:firstRowLastColumn="0" w:lastRowFirstColumn="0" w:lastRowLastColumn="0"/>
            </w:pPr>
            <w:r>
              <w:t>Number of Households (2016)</w:t>
            </w:r>
          </w:p>
        </w:tc>
      </w:tr>
      <w:tr w:rsidR="00F64D60" w14:paraId="399B5012" w14:textId="77777777" w:rsidTr="00FA654C">
        <w:tc>
          <w:tcPr>
            <w:cnfStyle w:val="001000000000" w:firstRow="0" w:lastRow="0" w:firstColumn="1" w:lastColumn="0" w:oddVBand="0" w:evenVBand="0" w:oddHBand="0" w:evenHBand="0" w:firstRowFirstColumn="0" w:firstRowLastColumn="0" w:lastRowFirstColumn="0" w:lastRowLastColumn="0"/>
            <w:tcW w:w="3685" w:type="dxa"/>
          </w:tcPr>
          <w:p w14:paraId="3F86FDF9" w14:textId="77777777" w:rsidR="00F64D60" w:rsidRDefault="00F64D60" w:rsidP="00FA654C">
            <w:pPr>
              <w:pStyle w:val="BodyText"/>
              <w:jc w:val="center"/>
            </w:pPr>
            <w:r>
              <w:t>ACT</w:t>
            </w:r>
          </w:p>
        </w:tc>
        <w:tc>
          <w:tcPr>
            <w:tcW w:w="3686" w:type="dxa"/>
          </w:tcPr>
          <w:p w14:paraId="38CA07D5" w14:textId="77777777" w:rsidR="00F64D60" w:rsidRDefault="00F64D60" w:rsidP="00FA654C">
            <w:pPr>
              <w:pStyle w:val="BodyText"/>
              <w:jc w:val="center"/>
              <w:cnfStyle w:val="000000000000" w:firstRow="0" w:lastRow="0" w:firstColumn="0" w:lastColumn="0" w:oddVBand="0" w:evenVBand="0" w:oddHBand="0" w:evenHBand="0" w:firstRowFirstColumn="0" w:firstRowLastColumn="0" w:lastRowFirstColumn="0" w:lastRowLastColumn="0"/>
            </w:pPr>
            <w:r>
              <w:t>78,162</w:t>
            </w:r>
          </w:p>
        </w:tc>
      </w:tr>
      <w:tr w:rsidR="00F64D60" w14:paraId="0470EC4B" w14:textId="77777777" w:rsidTr="00FA654C">
        <w:tc>
          <w:tcPr>
            <w:cnfStyle w:val="001000000000" w:firstRow="0" w:lastRow="0" w:firstColumn="1" w:lastColumn="0" w:oddVBand="0" w:evenVBand="0" w:oddHBand="0" w:evenHBand="0" w:firstRowFirstColumn="0" w:firstRowLastColumn="0" w:lastRowFirstColumn="0" w:lastRowLastColumn="0"/>
            <w:tcW w:w="3685" w:type="dxa"/>
          </w:tcPr>
          <w:p w14:paraId="165B8647" w14:textId="77777777" w:rsidR="00F64D60" w:rsidRDefault="00F64D60" w:rsidP="00FA654C">
            <w:pPr>
              <w:pStyle w:val="BodyText"/>
              <w:jc w:val="center"/>
            </w:pPr>
            <w:r>
              <w:t>NSW</w:t>
            </w:r>
          </w:p>
        </w:tc>
        <w:tc>
          <w:tcPr>
            <w:tcW w:w="3686" w:type="dxa"/>
          </w:tcPr>
          <w:p w14:paraId="503B0D10" w14:textId="77777777" w:rsidR="00F64D60" w:rsidRDefault="00F64D60" w:rsidP="00FA654C">
            <w:pPr>
              <w:pStyle w:val="BodyText"/>
              <w:jc w:val="center"/>
              <w:cnfStyle w:val="000000000000" w:firstRow="0" w:lastRow="0" w:firstColumn="0" w:lastColumn="0" w:oddVBand="0" w:evenVBand="0" w:oddHBand="0" w:evenHBand="0" w:firstRowFirstColumn="0" w:firstRowLastColumn="0" w:lastRowFirstColumn="0" w:lastRowLastColumn="0"/>
            </w:pPr>
            <w:r>
              <w:t>2,889,877</w:t>
            </w:r>
          </w:p>
        </w:tc>
      </w:tr>
      <w:tr w:rsidR="00F64D60" w14:paraId="5419DD68" w14:textId="77777777" w:rsidTr="00FA654C">
        <w:tc>
          <w:tcPr>
            <w:cnfStyle w:val="001000000000" w:firstRow="0" w:lastRow="0" w:firstColumn="1" w:lastColumn="0" w:oddVBand="0" w:evenVBand="0" w:oddHBand="0" w:evenHBand="0" w:firstRowFirstColumn="0" w:firstRowLastColumn="0" w:lastRowFirstColumn="0" w:lastRowLastColumn="0"/>
            <w:tcW w:w="3685" w:type="dxa"/>
          </w:tcPr>
          <w:p w14:paraId="7B25A5AD" w14:textId="77777777" w:rsidR="00F64D60" w:rsidRDefault="00F64D60" w:rsidP="00FA654C">
            <w:pPr>
              <w:pStyle w:val="BodyText"/>
              <w:jc w:val="center"/>
            </w:pPr>
            <w:r>
              <w:t>NT</w:t>
            </w:r>
          </w:p>
        </w:tc>
        <w:tc>
          <w:tcPr>
            <w:tcW w:w="3686" w:type="dxa"/>
          </w:tcPr>
          <w:p w14:paraId="6E51D308" w14:textId="77777777" w:rsidR="00F64D60" w:rsidRDefault="00F64D60" w:rsidP="00FA654C">
            <w:pPr>
              <w:pStyle w:val="BodyText"/>
              <w:jc w:val="center"/>
              <w:cnfStyle w:val="000000000000" w:firstRow="0" w:lastRow="0" w:firstColumn="0" w:lastColumn="0" w:oddVBand="0" w:evenVBand="0" w:oddHBand="0" w:evenHBand="0" w:firstRowFirstColumn="0" w:firstRowLastColumn="0" w:lastRowFirstColumn="0" w:lastRowLastColumn="0"/>
            </w:pPr>
            <w:r>
              <w:t>215,656</w:t>
            </w:r>
          </w:p>
        </w:tc>
      </w:tr>
      <w:tr w:rsidR="00F64D60" w14:paraId="418C911C" w14:textId="77777777" w:rsidTr="00FA654C">
        <w:tc>
          <w:tcPr>
            <w:cnfStyle w:val="001000000000" w:firstRow="0" w:lastRow="0" w:firstColumn="1" w:lastColumn="0" w:oddVBand="0" w:evenVBand="0" w:oddHBand="0" w:evenHBand="0" w:firstRowFirstColumn="0" w:firstRowLastColumn="0" w:lastRowFirstColumn="0" w:lastRowLastColumn="0"/>
            <w:tcW w:w="3685" w:type="dxa"/>
          </w:tcPr>
          <w:p w14:paraId="7F4FB03A" w14:textId="77777777" w:rsidR="00F64D60" w:rsidRDefault="00F64D60" w:rsidP="00FA654C">
            <w:pPr>
              <w:pStyle w:val="BodyText"/>
              <w:jc w:val="center"/>
            </w:pPr>
            <w:r>
              <w:t>QLD</w:t>
            </w:r>
          </w:p>
        </w:tc>
        <w:tc>
          <w:tcPr>
            <w:tcW w:w="3686" w:type="dxa"/>
          </w:tcPr>
          <w:p w14:paraId="2F288BEB" w14:textId="77777777" w:rsidR="00F64D60" w:rsidRDefault="00F64D60" w:rsidP="00FA654C">
            <w:pPr>
              <w:pStyle w:val="BodyText"/>
              <w:jc w:val="center"/>
              <w:cnfStyle w:val="000000000000" w:firstRow="0" w:lastRow="0" w:firstColumn="0" w:lastColumn="0" w:oddVBand="0" w:evenVBand="0" w:oddHBand="0" w:evenHBand="0" w:firstRowFirstColumn="0" w:firstRowLastColumn="0" w:lastRowFirstColumn="0" w:lastRowLastColumn="0"/>
            </w:pPr>
            <w:r>
              <w:t>1,868,125</w:t>
            </w:r>
          </w:p>
        </w:tc>
      </w:tr>
      <w:tr w:rsidR="00F64D60" w14:paraId="7AABFF16" w14:textId="77777777" w:rsidTr="00FA654C">
        <w:tc>
          <w:tcPr>
            <w:cnfStyle w:val="001000000000" w:firstRow="0" w:lastRow="0" w:firstColumn="1" w:lastColumn="0" w:oddVBand="0" w:evenVBand="0" w:oddHBand="0" w:evenHBand="0" w:firstRowFirstColumn="0" w:firstRowLastColumn="0" w:lastRowFirstColumn="0" w:lastRowLastColumn="0"/>
            <w:tcW w:w="3685" w:type="dxa"/>
          </w:tcPr>
          <w:p w14:paraId="48A7B7BD" w14:textId="77777777" w:rsidR="00F64D60" w:rsidRDefault="00F64D60" w:rsidP="00FA654C">
            <w:pPr>
              <w:pStyle w:val="BodyText"/>
              <w:jc w:val="center"/>
            </w:pPr>
            <w:r>
              <w:t>SA</w:t>
            </w:r>
          </w:p>
        </w:tc>
        <w:tc>
          <w:tcPr>
            <w:tcW w:w="3686" w:type="dxa"/>
          </w:tcPr>
          <w:p w14:paraId="65409BF5" w14:textId="77777777" w:rsidR="00F64D60" w:rsidRDefault="00F64D60" w:rsidP="00FA654C">
            <w:pPr>
              <w:pStyle w:val="BodyText"/>
              <w:jc w:val="center"/>
              <w:cnfStyle w:val="000000000000" w:firstRow="0" w:lastRow="0" w:firstColumn="0" w:lastColumn="0" w:oddVBand="0" w:evenVBand="0" w:oddHBand="0" w:evenHBand="0" w:firstRowFirstColumn="0" w:firstRowLastColumn="0" w:lastRowFirstColumn="0" w:lastRowLastColumn="0"/>
            </w:pPr>
            <w:r>
              <w:t>701,538</w:t>
            </w:r>
          </w:p>
        </w:tc>
      </w:tr>
      <w:tr w:rsidR="00F64D60" w14:paraId="00C2DF3F" w14:textId="77777777" w:rsidTr="00FA654C">
        <w:tc>
          <w:tcPr>
            <w:cnfStyle w:val="001000000000" w:firstRow="0" w:lastRow="0" w:firstColumn="1" w:lastColumn="0" w:oddVBand="0" w:evenVBand="0" w:oddHBand="0" w:evenHBand="0" w:firstRowFirstColumn="0" w:firstRowLastColumn="0" w:lastRowFirstColumn="0" w:lastRowLastColumn="0"/>
            <w:tcW w:w="3685" w:type="dxa"/>
          </w:tcPr>
          <w:p w14:paraId="3365DD36" w14:textId="77777777" w:rsidR="00F64D60" w:rsidRDefault="00F64D60" w:rsidP="00FA654C">
            <w:pPr>
              <w:pStyle w:val="BodyText"/>
              <w:jc w:val="center"/>
            </w:pPr>
            <w:r>
              <w:t>VIC</w:t>
            </w:r>
          </w:p>
        </w:tc>
        <w:tc>
          <w:tcPr>
            <w:tcW w:w="3686" w:type="dxa"/>
          </w:tcPr>
          <w:p w14:paraId="65E441F2" w14:textId="77777777" w:rsidR="00F64D60" w:rsidRDefault="00F64D60" w:rsidP="00FA654C">
            <w:pPr>
              <w:pStyle w:val="BodyText"/>
              <w:jc w:val="center"/>
              <w:cnfStyle w:val="000000000000" w:firstRow="0" w:lastRow="0" w:firstColumn="0" w:lastColumn="0" w:oddVBand="0" w:evenVBand="0" w:oddHBand="0" w:evenHBand="0" w:firstRowFirstColumn="0" w:firstRowLastColumn="0" w:lastRowFirstColumn="0" w:lastRowLastColumn="0"/>
            </w:pPr>
            <w:r>
              <w:t>2,310,623</w:t>
            </w:r>
          </w:p>
        </w:tc>
      </w:tr>
      <w:tr w:rsidR="00F64D60" w14:paraId="3B214795" w14:textId="77777777" w:rsidTr="00FA654C">
        <w:tc>
          <w:tcPr>
            <w:cnfStyle w:val="001000000000" w:firstRow="0" w:lastRow="0" w:firstColumn="1" w:lastColumn="0" w:oddVBand="0" w:evenVBand="0" w:oddHBand="0" w:evenHBand="0" w:firstRowFirstColumn="0" w:firstRowLastColumn="0" w:lastRowFirstColumn="0" w:lastRowLastColumn="0"/>
            <w:tcW w:w="3685" w:type="dxa"/>
          </w:tcPr>
          <w:p w14:paraId="4EFB30CE" w14:textId="77777777" w:rsidR="00F64D60" w:rsidRDefault="00F64D60" w:rsidP="00FA654C">
            <w:pPr>
              <w:pStyle w:val="BodyText"/>
              <w:jc w:val="center"/>
            </w:pPr>
            <w:r>
              <w:t>WA</w:t>
            </w:r>
          </w:p>
        </w:tc>
        <w:tc>
          <w:tcPr>
            <w:tcW w:w="3686" w:type="dxa"/>
          </w:tcPr>
          <w:p w14:paraId="158C1C2B" w14:textId="77777777" w:rsidR="00F64D60" w:rsidRDefault="00F64D60" w:rsidP="00FA654C">
            <w:pPr>
              <w:pStyle w:val="BodyText"/>
              <w:jc w:val="center"/>
              <w:cnfStyle w:val="000000000000" w:firstRow="0" w:lastRow="0" w:firstColumn="0" w:lastColumn="0" w:oddVBand="0" w:evenVBand="0" w:oddHBand="0" w:evenHBand="0" w:firstRowFirstColumn="0" w:firstRowLastColumn="0" w:lastRowFirstColumn="0" w:lastRowLastColumn="0"/>
            </w:pPr>
            <w:r>
              <w:t>1,023,042</w:t>
            </w:r>
          </w:p>
        </w:tc>
      </w:tr>
    </w:tbl>
    <w:p w14:paraId="06C3EE2F" w14:textId="6897B79E" w:rsidR="00F64D60" w:rsidRPr="00FA654C" w:rsidRDefault="00FA654C" w:rsidP="00FA654C">
      <w:pPr>
        <w:pStyle w:val="BodyText"/>
        <w:spacing w:before="60"/>
        <w:rPr>
          <w:sz w:val="16"/>
          <w:szCs w:val="16"/>
        </w:rPr>
      </w:pPr>
      <w:r w:rsidRPr="00FA654C">
        <w:rPr>
          <w:b/>
          <w:sz w:val="16"/>
          <w:szCs w:val="16"/>
        </w:rPr>
        <w:t xml:space="preserve">Source: </w:t>
      </w:r>
      <w:r w:rsidRPr="00FA654C">
        <w:rPr>
          <w:sz w:val="16"/>
          <w:szCs w:val="16"/>
        </w:rPr>
        <w:t>ABS Cat. No 3236 – Household and Family Projections Australia</w:t>
      </w:r>
    </w:p>
    <w:p w14:paraId="25952664" w14:textId="77777777" w:rsidR="00F64D60" w:rsidRDefault="00F64D60" w:rsidP="00F64D60">
      <w:pPr>
        <w:pStyle w:val="Heading6"/>
      </w:pPr>
      <w:r>
        <w:t>Administrative and regulatory costs</w:t>
      </w:r>
    </w:p>
    <w:p w14:paraId="65EE8F56" w14:textId="46B7A2B7" w:rsidR="00F64D60" w:rsidRDefault="00F64D60" w:rsidP="00F64D60">
      <w:pPr>
        <w:pStyle w:val="BodyText"/>
      </w:pPr>
      <w:r w:rsidRPr="00407075">
        <w:t xml:space="preserve">A one-off administration cost for set-up and the implementation of regulations of $1,000,000 </w:t>
      </w:r>
      <w:r w:rsidR="00D0783A">
        <w:t xml:space="preserve">was </w:t>
      </w:r>
      <w:r w:rsidRPr="00407075">
        <w:t xml:space="preserve">assumed </w:t>
      </w:r>
      <w:r w:rsidR="00D75353">
        <w:t xml:space="preserve">to be incurred </w:t>
      </w:r>
      <w:r w:rsidRPr="00407075">
        <w:t xml:space="preserve">in 2021. This cost </w:t>
      </w:r>
      <w:r w:rsidR="00B53EE8">
        <w:t xml:space="preserve">is </w:t>
      </w:r>
      <w:r w:rsidR="008738EA">
        <w:t xml:space="preserve">apportioned equally across </w:t>
      </w:r>
      <w:r>
        <w:t>all affected airsheds</w:t>
      </w:r>
      <w:r w:rsidRPr="00407075">
        <w:t xml:space="preserve">. </w:t>
      </w:r>
    </w:p>
    <w:p w14:paraId="0BFDBB40" w14:textId="0C674A40" w:rsidR="00F64D60" w:rsidRDefault="00D86BD4" w:rsidP="00C64BF3">
      <w:pPr>
        <w:pStyle w:val="Heading6"/>
      </w:pPr>
      <w:bookmarkStart w:id="123" w:name="_Toc508222180"/>
      <w:r>
        <w:t>E</w:t>
      </w:r>
      <w:r w:rsidR="00F64D60">
        <w:t>mission reductions</w:t>
      </w:r>
      <w:bookmarkEnd w:id="123"/>
    </w:p>
    <w:p w14:paraId="20053409" w14:textId="249C2DED" w:rsidR="00F64D60" w:rsidRDefault="00F64D60" w:rsidP="00F64D60">
      <w:pPr>
        <w:pStyle w:val="BodyText"/>
      </w:pPr>
      <w:r w:rsidRPr="00286840">
        <w:t xml:space="preserve">Emission reductions </w:t>
      </w:r>
      <w:r w:rsidR="00503110">
        <w:t xml:space="preserve">were </w:t>
      </w:r>
      <w:r w:rsidRPr="00286840">
        <w:t xml:space="preserve">estimated based on the profile of gradual </w:t>
      </w:r>
      <w:r>
        <w:t>uptake</w:t>
      </w:r>
      <w:r w:rsidRPr="00286840">
        <w:t xml:space="preserve"> of </w:t>
      </w:r>
      <w:r>
        <w:t xml:space="preserve">compliant household aerosol products. </w:t>
      </w:r>
      <w:r w:rsidRPr="00286840">
        <w:t xml:space="preserve"> </w:t>
      </w:r>
      <w:r w:rsidRPr="002A2872">
        <w:fldChar w:fldCharType="begin"/>
      </w:r>
      <w:r w:rsidRPr="00DA3EDF">
        <w:instrText xml:space="preserve"> REF _Ref508117148 \h </w:instrText>
      </w:r>
      <w:r>
        <w:instrText xml:space="preserve"> \* MERGEFORMAT </w:instrText>
      </w:r>
      <w:r w:rsidRPr="002A2872">
        <w:fldChar w:fldCharType="separate"/>
      </w:r>
      <w:r w:rsidR="00A50702" w:rsidRPr="00A50702">
        <w:t>Table C</w:t>
      </w:r>
      <w:r w:rsidR="00A50702" w:rsidRPr="00A50702">
        <w:noBreakHyphen/>
        <w:t>6</w:t>
      </w:r>
      <w:r w:rsidRPr="002A2872">
        <w:fldChar w:fldCharType="end"/>
      </w:r>
      <w:r w:rsidRPr="00DA3EDF">
        <w:t xml:space="preserve"> summarises</w:t>
      </w:r>
      <w:r w:rsidRPr="00286840">
        <w:t xml:space="preserve"> the estimated emission reductions.</w:t>
      </w:r>
    </w:p>
    <w:p w14:paraId="4DD7A325" w14:textId="77777777" w:rsidR="00F77C0C" w:rsidRDefault="00F77C0C" w:rsidP="00F64D60">
      <w:pPr>
        <w:pStyle w:val="BodyText"/>
      </w:pPr>
    </w:p>
    <w:p w14:paraId="02A9F013" w14:textId="2F163876" w:rsidR="00F64D60" w:rsidRDefault="00F64D60" w:rsidP="00F64D60">
      <w:pPr>
        <w:pStyle w:val="BodyText"/>
        <w:keepNext/>
        <w:rPr>
          <w:b/>
          <w:bCs/>
          <w:color w:val="353D30" w:themeColor="accent2"/>
          <w:sz w:val="18"/>
          <w:szCs w:val="18"/>
        </w:rPr>
      </w:pPr>
      <w:bookmarkStart w:id="124" w:name="_Ref508117148"/>
      <w:bookmarkStart w:id="125" w:name="_Toc508222216"/>
      <w:bookmarkStart w:id="126" w:name="_Toc518629926"/>
      <w:r w:rsidRPr="00407075">
        <w:rPr>
          <w:b/>
          <w:bCs/>
          <w:color w:val="353D30" w:themeColor="accent2"/>
          <w:sz w:val="18"/>
          <w:szCs w:val="18"/>
        </w:rPr>
        <w:t xml:space="preserve">Table </w:t>
      </w:r>
      <w:r w:rsidR="00BA2246">
        <w:rPr>
          <w:b/>
          <w:bCs/>
          <w:color w:val="353D30" w:themeColor="accent2"/>
          <w:sz w:val="18"/>
          <w:szCs w:val="18"/>
        </w:rPr>
        <w:t>C</w:t>
      </w:r>
      <w:r w:rsidRPr="00407075">
        <w:rPr>
          <w:b/>
          <w:bCs/>
          <w:color w:val="353D30" w:themeColor="accent2"/>
          <w:sz w:val="18"/>
          <w:szCs w:val="18"/>
        </w:rPr>
        <w:noBreakHyphen/>
      </w:r>
      <w:r w:rsidRPr="00407075">
        <w:rPr>
          <w:b/>
          <w:bCs/>
          <w:color w:val="353D30" w:themeColor="accent2"/>
          <w:sz w:val="18"/>
          <w:szCs w:val="18"/>
        </w:rPr>
        <w:fldChar w:fldCharType="begin"/>
      </w:r>
      <w:r w:rsidRPr="00407075">
        <w:rPr>
          <w:b/>
          <w:bCs/>
          <w:color w:val="353D30" w:themeColor="accent2"/>
          <w:sz w:val="18"/>
          <w:szCs w:val="18"/>
        </w:rPr>
        <w:instrText xml:space="preserve"> SEQ Table \* ARABIC \s 1 </w:instrText>
      </w:r>
      <w:r w:rsidRPr="00407075">
        <w:rPr>
          <w:b/>
          <w:bCs/>
          <w:color w:val="353D30" w:themeColor="accent2"/>
          <w:sz w:val="18"/>
          <w:szCs w:val="18"/>
        </w:rPr>
        <w:fldChar w:fldCharType="separate"/>
      </w:r>
      <w:r w:rsidR="00A50702">
        <w:rPr>
          <w:b/>
          <w:bCs/>
          <w:noProof/>
          <w:color w:val="353D30" w:themeColor="accent2"/>
          <w:sz w:val="18"/>
          <w:szCs w:val="18"/>
        </w:rPr>
        <w:t>6</w:t>
      </w:r>
      <w:r w:rsidRPr="00407075">
        <w:rPr>
          <w:b/>
          <w:bCs/>
          <w:color w:val="353D30" w:themeColor="accent2"/>
          <w:sz w:val="18"/>
          <w:szCs w:val="18"/>
        </w:rPr>
        <w:fldChar w:fldCharType="end"/>
      </w:r>
      <w:bookmarkEnd w:id="124"/>
      <w:r w:rsidRPr="00407075">
        <w:rPr>
          <w:b/>
          <w:bCs/>
          <w:color w:val="353D30" w:themeColor="accent2"/>
          <w:sz w:val="18"/>
          <w:szCs w:val="18"/>
        </w:rPr>
        <w:t xml:space="preserve"> </w:t>
      </w:r>
      <w:r>
        <w:rPr>
          <w:b/>
          <w:bCs/>
          <w:color w:val="353D30" w:themeColor="accent2"/>
          <w:sz w:val="18"/>
          <w:szCs w:val="18"/>
        </w:rPr>
        <w:t>Abatement measure 16 emissions reductions (O</w:t>
      </w:r>
      <w:r w:rsidRPr="001735C1">
        <w:rPr>
          <w:b/>
          <w:bCs/>
          <w:color w:val="353D30" w:themeColor="accent2"/>
          <w:sz w:val="18"/>
          <w:szCs w:val="18"/>
          <w:vertAlign w:val="subscript"/>
        </w:rPr>
        <w:t>3</w:t>
      </w:r>
      <w:r>
        <w:rPr>
          <w:b/>
          <w:bCs/>
          <w:color w:val="353D30" w:themeColor="accent2"/>
          <w:sz w:val="18"/>
          <w:szCs w:val="18"/>
        </w:rPr>
        <w:t>)</w:t>
      </w:r>
      <w:bookmarkEnd w:id="125"/>
      <w:bookmarkEnd w:id="126"/>
    </w:p>
    <w:tbl>
      <w:tblPr>
        <w:tblStyle w:val="AureconTable4"/>
        <w:tblW w:w="7371" w:type="dxa"/>
        <w:tblInd w:w="-5" w:type="dxa"/>
        <w:tblLook w:val="04A0" w:firstRow="1" w:lastRow="0" w:firstColumn="1" w:lastColumn="0" w:noHBand="0" w:noVBand="1"/>
      </w:tblPr>
      <w:tblGrid>
        <w:gridCol w:w="3685"/>
        <w:gridCol w:w="3686"/>
      </w:tblGrid>
      <w:tr w:rsidR="00F64D60" w14:paraId="6B526C82" w14:textId="77777777" w:rsidTr="00BA22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5" w:type="dxa"/>
          </w:tcPr>
          <w:p w14:paraId="4C6BC239" w14:textId="77777777" w:rsidR="00F64D60" w:rsidRDefault="00F64D60" w:rsidP="00BA2246">
            <w:pPr>
              <w:pStyle w:val="BodyText"/>
              <w:jc w:val="center"/>
            </w:pPr>
            <w:r>
              <w:t>Year</w:t>
            </w:r>
          </w:p>
        </w:tc>
        <w:tc>
          <w:tcPr>
            <w:tcW w:w="3686" w:type="dxa"/>
          </w:tcPr>
          <w:p w14:paraId="5D06DCD3" w14:textId="77777777" w:rsidR="00F64D60" w:rsidRDefault="00F64D60" w:rsidP="00BA2246">
            <w:pPr>
              <w:pStyle w:val="BodyText"/>
              <w:jc w:val="center"/>
              <w:cnfStyle w:val="100000000000" w:firstRow="1" w:lastRow="0" w:firstColumn="0" w:lastColumn="0" w:oddVBand="0" w:evenVBand="0" w:oddHBand="0" w:evenHBand="0" w:firstRowFirstColumn="0" w:firstRowLastColumn="0" w:lastRowFirstColumn="0" w:lastRowLastColumn="0"/>
            </w:pPr>
            <w:r>
              <w:t>O</w:t>
            </w:r>
            <w:r w:rsidRPr="00BA2246">
              <w:rPr>
                <w:vertAlign w:val="subscript"/>
              </w:rPr>
              <w:t>3</w:t>
            </w:r>
            <w:r>
              <w:t xml:space="preserve"> Reduction (tonnes per year)</w:t>
            </w:r>
          </w:p>
        </w:tc>
      </w:tr>
      <w:tr w:rsidR="00F64D60" w14:paraId="6A0E07A0" w14:textId="77777777" w:rsidTr="00BA2246">
        <w:tc>
          <w:tcPr>
            <w:cnfStyle w:val="001000000000" w:firstRow="0" w:lastRow="0" w:firstColumn="1" w:lastColumn="0" w:oddVBand="0" w:evenVBand="0" w:oddHBand="0" w:evenHBand="0" w:firstRowFirstColumn="0" w:firstRowLastColumn="0" w:lastRowFirstColumn="0" w:lastRowLastColumn="0"/>
            <w:tcW w:w="3685" w:type="dxa"/>
          </w:tcPr>
          <w:p w14:paraId="5419999B" w14:textId="77777777" w:rsidR="00F64D60" w:rsidRDefault="00F64D60" w:rsidP="00BA2246">
            <w:pPr>
              <w:pStyle w:val="BodyText"/>
              <w:jc w:val="center"/>
            </w:pPr>
            <w:r>
              <w:t>2021</w:t>
            </w:r>
          </w:p>
        </w:tc>
        <w:tc>
          <w:tcPr>
            <w:tcW w:w="3686" w:type="dxa"/>
          </w:tcPr>
          <w:p w14:paraId="7526BC2D" w14:textId="77777777" w:rsidR="00F64D60" w:rsidRDefault="00F64D60" w:rsidP="00BA2246">
            <w:pPr>
              <w:pStyle w:val="BodyText"/>
              <w:jc w:val="center"/>
              <w:cnfStyle w:val="000000000000" w:firstRow="0" w:lastRow="0" w:firstColumn="0" w:lastColumn="0" w:oddVBand="0" w:evenVBand="0" w:oddHBand="0" w:evenHBand="0" w:firstRowFirstColumn="0" w:firstRowLastColumn="0" w:lastRowFirstColumn="0" w:lastRowLastColumn="0"/>
            </w:pPr>
            <w:r>
              <w:t>9,484</w:t>
            </w:r>
          </w:p>
        </w:tc>
      </w:tr>
      <w:tr w:rsidR="00F64D60" w14:paraId="2E486073" w14:textId="77777777" w:rsidTr="00BA2246">
        <w:tc>
          <w:tcPr>
            <w:cnfStyle w:val="001000000000" w:firstRow="0" w:lastRow="0" w:firstColumn="1" w:lastColumn="0" w:oddVBand="0" w:evenVBand="0" w:oddHBand="0" w:evenHBand="0" w:firstRowFirstColumn="0" w:firstRowLastColumn="0" w:lastRowFirstColumn="0" w:lastRowLastColumn="0"/>
            <w:tcW w:w="3685" w:type="dxa"/>
          </w:tcPr>
          <w:p w14:paraId="374779F0" w14:textId="77777777" w:rsidR="00F64D60" w:rsidRDefault="00F64D60" w:rsidP="00BA2246">
            <w:pPr>
              <w:pStyle w:val="BodyText"/>
              <w:jc w:val="center"/>
            </w:pPr>
            <w:r>
              <w:t>2030</w:t>
            </w:r>
          </w:p>
        </w:tc>
        <w:tc>
          <w:tcPr>
            <w:tcW w:w="3686" w:type="dxa"/>
          </w:tcPr>
          <w:p w14:paraId="4C1DCCD8" w14:textId="77777777" w:rsidR="00F64D60" w:rsidRDefault="00F64D60" w:rsidP="00BA2246">
            <w:pPr>
              <w:pStyle w:val="BodyText"/>
              <w:jc w:val="center"/>
              <w:cnfStyle w:val="000000000000" w:firstRow="0" w:lastRow="0" w:firstColumn="0" w:lastColumn="0" w:oddVBand="0" w:evenVBand="0" w:oddHBand="0" w:evenHBand="0" w:firstRowFirstColumn="0" w:firstRowLastColumn="0" w:lastRowFirstColumn="0" w:lastRowLastColumn="0"/>
            </w:pPr>
            <w:r>
              <w:t>26,064</w:t>
            </w:r>
          </w:p>
        </w:tc>
      </w:tr>
      <w:tr w:rsidR="00F64D60" w14:paraId="06DC59FF" w14:textId="77777777" w:rsidTr="00BA2246">
        <w:tc>
          <w:tcPr>
            <w:cnfStyle w:val="001000000000" w:firstRow="0" w:lastRow="0" w:firstColumn="1" w:lastColumn="0" w:oddVBand="0" w:evenVBand="0" w:oddHBand="0" w:evenHBand="0" w:firstRowFirstColumn="0" w:firstRowLastColumn="0" w:lastRowFirstColumn="0" w:lastRowLastColumn="0"/>
            <w:tcW w:w="3685" w:type="dxa"/>
          </w:tcPr>
          <w:p w14:paraId="29A8D76C" w14:textId="77777777" w:rsidR="00F64D60" w:rsidRDefault="00F64D60" w:rsidP="00BA2246">
            <w:pPr>
              <w:pStyle w:val="BodyText"/>
              <w:jc w:val="center"/>
            </w:pPr>
            <w:r>
              <w:t>2040</w:t>
            </w:r>
          </w:p>
        </w:tc>
        <w:tc>
          <w:tcPr>
            <w:tcW w:w="3686" w:type="dxa"/>
          </w:tcPr>
          <w:p w14:paraId="4D5D1430" w14:textId="77777777" w:rsidR="00F64D60" w:rsidRDefault="00F64D60" w:rsidP="00BA2246">
            <w:pPr>
              <w:pStyle w:val="BodyText"/>
              <w:jc w:val="center"/>
              <w:cnfStyle w:val="000000000000" w:firstRow="0" w:lastRow="0" w:firstColumn="0" w:lastColumn="0" w:oddVBand="0" w:evenVBand="0" w:oddHBand="0" w:evenHBand="0" w:firstRowFirstColumn="0" w:firstRowLastColumn="0" w:lastRowFirstColumn="0" w:lastRowLastColumn="0"/>
            </w:pPr>
            <w:r>
              <w:t>59,929</w:t>
            </w:r>
          </w:p>
        </w:tc>
      </w:tr>
      <w:tr w:rsidR="00F64D60" w14:paraId="19900CFC" w14:textId="77777777" w:rsidTr="00BA2246">
        <w:tc>
          <w:tcPr>
            <w:cnfStyle w:val="001000000000" w:firstRow="0" w:lastRow="0" w:firstColumn="1" w:lastColumn="0" w:oddVBand="0" w:evenVBand="0" w:oddHBand="0" w:evenHBand="0" w:firstRowFirstColumn="0" w:firstRowLastColumn="0" w:lastRowFirstColumn="0" w:lastRowLastColumn="0"/>
            <w:tcW w:w="3685" w:type="dxa"/>
          </w:tcPr>
          <w:p w14:paraId="4E7535F8" w14:textId="77777777" w:rsidR="00F64D60" w:rsidRPr="0000289A" w:rsidRDefault="00F64D60" w:rsidP="00BA2246">
            <w:pPr>
              <w:pStyle w:val="BodyText"/>
              <w:jc w:val="center"/>
            </w:pPr>
            <w:r w:rsidRPr="0000289A">
              <w:t>Total (2016 – 2040)</w:t>
            </w:r>
          </w:p>
        </w:tc>
        <w:tc>
          <w:tcPr>
            <w:tcW w:w="3686" w:type="dxa"/>
          </w:tcPr>
          <w:p w14:paraId="01A45CFD" w14:textId="77777777" w:rsidR="00F64D60" w:rsidRPr="0000289A" w:rsidRDefault="00F64D60" w:rsidP="00BA2246">
            <w:pPr>
              <w:pStyle w:val="BodyText"/>
              <w:jc w:val="center"/>
              <w:cnfStyle w:val="000000000000" w:firstRow="0" w:lastRow="0" w:firstColumn="0" w:lastColumn="0" w:oddVBand="0" w:evenVBand="0" w:oddHBand="0" w:evenHBand="0" w:firstRowFirstColumn="0" w:firstRowLastColumn="0" w:lastRowFirstColumn="0" w:lastRowLastColumn="0"/>
            </w:pPr>
            <w:r w:rsidRPr="0000289A">
              <w:t>628,918</w:t>
            </w:r>
          </w:p>
        </w:tc>
      </w:tr>
    </w:tbl>
    <w:p w14:paraId="464EE66E" w14:textId="0667F47A" w:rsidR="00F64D60" w:rsidRPr="00336BAB" w:rsidRDefault="00F64D60" w:rsidP="004B36B4">
      <w:pPr>
        <w:pStyle w:val="Appendixheading1"/>
      </w:pPr>
      <w:bookmarkStart w:id="127" w:name="_Toc508222181"/>
      <w:bookmarkStart w:id="128" w:name="_Toc508138863"/>
      <w:bookmarkStart w:id="129" w:name="_Toc508138972"/>
      <w:bookmarkStart w:id="130" w:name="_Toc508222182"/>
      <w:bookmarkStart w:id="131" w:name="_Toc508138864"/>
      <w:bookmarkStart w:id="132" w:name="_Toc508138973"/>
      <w:bookmarkStart w:id="133" w:name="_Toc508222183"/>
      <w:bookmarkStart w:id="134" w:name="_Toc508138865"/>
      <w:bookmarkStart w:id="135" w:name="_Toc508138974"/>
      <w:bookmarkStart w:id="136" w:name="_Toc508222184"/>
      <w:bookmarkStart w:id="137" w:name="_Toc508138866"/>
      <w:bookmarkStart w:id="138" w:name="_Toc508138975"/>
      <w:bookmarkStart w:id="139" w:name="_Toc508222185"/>
      <w:bookmarkStart w:id="140" w:name="_Toc508138867"/>
      <w:bookmarkStart w:id="141" w:name="_Toc508138976"/>
      <w:bookmarkStart w:id="142" w:name="_Toc508222186"/>
      <w:bookmarkStart w:id="143" w:name="_Toc508222187"/>
      <w:bookmarkStart w:id="144" w:name="_Toc51862990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Measure 9</w:t>
      </w:r>
      <w:r w:rsidRPr="00336BAB">
        <w:t xml:space="preserve">: </w:t>
      </w:r>
      <w:r w:rsidR="004B36B4">
        <w:t>De-SO</w:t>
      </w:r>
      <w:r w:rsidR="004B36B4" w:rsidRPr="004B36B4">
        <w:rPr>
          <w:vertAlign w:val="subscript"/>
        </w:rPr>
        <w:t>X</w:t>
      </w:r>
      <w:r w:rsidR="004B36B4">
        <w:t xml:space="preserve"> and de-NO</w:t>
      </w:r>
      <w:r w:rsidR="004B36B4" w:rsidRPr="004B36B4">
        <w:rPr>
          <w:vertAlign w:val="subscript"/>
        </w:rPr>
        <w:t>X</w:t>
      </w:r>
      <w:r>
        <w:t xml:space="preserve"> for power stations (SO</w:t>
      </w:r>
      <w:r w:rsidRPr="00407075">
        <w:rPr>
          <w:vertAlign w:val="subscript"/>
        </w:rPr>
        <w:t>2</w:t>
      </w:r>
      <w:r>
        <w:t>, NO</w:t>
      </w:r>
      <w:r w:rsidRPr="00407075">
        <w:rPr>
          <w:vertAlign w:val="subscript"/>
        </w:rPr>
        <w:t>2</w:t>
      </w:r>
      <w:r>
        <w:t>)</w:t>
      </w:r>
      <w:bookmarkEnd w:id="143"/>
      <w:bookmarkEnd w:id="144"/>
    </w:p>
    <w:p w14:paraId="5BEAE8DB" w14:textId="6E4356FE" w:rsidR="00F64D60" w:rsidRDefault="00F64D60" w:rsidP="00F64D60">
      <w:pPr>
        <w:pStyle w:val="BodyText"/>
      </w:pPr>
      <w:r w:rsidRPr="00407075">
        <w:t>Abatement measure 9 involves the installation of wet flue gas de</w:t>
      </w:r>
      <w:r>
        <w:t>-</w:t>
      </w:r>
      <w:r w:rsidRPr="00407075">
        <w:t>sulfurisation (FGD) scrubbers to reduce SO</w:t>
      </w:r>
      <w:r w:rsidR="00402F0E">
        <w:rPr>
          <w:vertAlign w:val="subscript"/>
        </w:rPr>
        <w:t>X</w:t>
      </w:r>
      <w:r w:rsidRPr="00407075">
        <w:t xml:space="preserve"> emissions, and the installation of selective catalytic reduction (SCR) to reduce NO</w:t>
      </w:r>
      <w:r w:rsidR="00820772">
        <w:rPr>
          <w:vertAlign w:val="subscript"/>
        </w:rPr>
        <w:t>X</w:t>
      </w:r>
      <w:r w:rsidRPr="00407075">
        <w:t xml:space="preserve"> emissions</w:t>
      </w:r>
      <w:r w:rsidR="00112576">
        <w:t xml:space="preserve"> at power stations</w:t>
      </w:r>
      <w:r w:rsidRPr="00407075">
        <w:t>.</w:t>
      </w:r>
      <w:r>
        <w:t xml:space="preserve"> </w:t>
      </w:r>
    </w:p>
    <w:p w14:paraId="5DF40873" w14:textId="4AC3CF25" w:rsidR="00F64D60" w:rsidRDefault="00F64D60" w:rsidP="00F64D60">
      <w:pPr>
        <w:pStyle w:val="BodyText"/>
      </w:pPr>
      <w:r w:rsidRPr="009B65A5">
        <w:t>FG</w:t>
      </w:r>
      <w:r>
        <w:t>D involves scrubbing</w:t>
      </w:r>
      <w:r w:rsidRPr="009B65A5">
        <w:t xml:space="preserve"> flue gas </w:t>
      </w:r>
      <w:r>
        <w:t xml:space="preserve">released from </w:t>
      </w:r>
      <w:r w:rsidR="00904B79">
        <w:t xml:space="preserve">power stations </w:t>
      </w:r>
      <w:r w:rsidR="00F93FDC">
        <w:t>by absorbing SO</w:t>
      </w:r>
      <w:r w:rsidR="00F93FDC" w:rsidRPr="00F93FDC">
        <w:rPr>
          <w:vertAlign w:val="subscript"/>
        </w:rPr>
        <w:t>X</w:t>
      </w:r>
      <w:r w:rsidR="00F93FDC">
        <w:t xml:space="preserve"> </w:t>
      </w:r>
      <w:r>
        <w:t>compounds in a chemical solution. SCR involves injecting a reagent into the flue gas in t</w:t>
      </w:r>
      <w:r w:rsidR="00F93FDC">
        <w:t>he furnace which reacts with NO</w:t>
      </w:r>
      <w:r w:rsidR="00F93FDC" w:rsidRPr="00F93FDC">
        <w:rPr>
          <w:vertAlign w:val="subscript"/>
        </w:rPr>
        <w:t>X</w:t>
      </w:r>
      <w:r>
        <w:t xml:space="preserve"> compounds to form N</w:t>
      </w:r>
      <w:r w:rsidRPr="0000289A">
        <w:rPr>
          <w:vertAlign w:val="subscript"/>
        </w:rPr>
        <w:t>2</w:t>
      </w:r>
      <w:r>
        <w:t xml:space="preserve"> gas and water.</w:t>
      </w:r>
    </w:p>
    <w:p w14:paraId="75F51D62" w14:textId="4647C8D8" w:rsidR="00F64D60" w:rsidRDefault="00F64D60" w:rsidP="00F64D60">
      <w:pPr>
        <w:pStyle w:val="BodyText"/>
      </w:pPr>
      <w:r>
        <w:t xml:space="preserve">These technologies </w:t>
      </w:r>
      <w:r w:rsidR="003D3109">
        <w:t xml:space="preserve">are </w:t>
      </w:r>
      <w:r>
        <w:t xml:space="preserve">assumed to affect the power stations </w:t>
      </w:r>
      <w:r w:rsidRPr="00C01B02">
        <w:t>listed in</w:t>
      </w:r>
      <w:r w:rsidR="00C01B02" w:rsidRPr="00C01B02">
        <w:t xml:space="preserve"> </w:t>
      </w:r>
      <w:r w:rsidR="00C01B02" w:rsidRPr="00C01B02">
        <w:fldChar w:fldCharType="begin"/>
      </w:r>
      <w:r w:rsidR="00C01B02" w:rsidRPr="00C01B02">
        <w:instrText xml:space="preserve"> REF _Ref508437853 \h </w:instrText>
      </w:r>
      <w:r w:rsidR="00C01B02">
        <w:instrText xml:space="preserve"> \* MERGEFORMAT </w:instrText>
      </w:r>
      <w:r w:rsidR="00C01B02" w:rsidRPr="00C01B02">
        <w:fldChar w:fldCharType="separate"/>
      </w:r>
      <w:r w:rsidR="00A50702" w:rsidRPr="00A50702">
        <w:t>Table C</w:t>
      </w:r>
      <w:r w:rsidR="00A50702" w:rsidRPr="00A50702">
        <w:noBreakHyphen/>
        <w:t>7</w:t>
      </w:r>
      <w:r w:rsidR="00C01B02" w:rsidRPr="00C01B02">
        <w:fldChar w:fldCharType="end"/>
      </w:r>
      <w:r w:rsidRPr="00C01B02">
        <w:t>.</w:t>
      </w:r>
      <w:r w:rsidR="00DC2158">
        <w:t xml:space="preserve"> Note that FGD would only apply to the coal power stations in </w:t>
      </w:r>
      <w:r w:rsidR="00DC2158" w:rsidRPr="00C01B02">
        <w:t xml:space="preserve"> </w:t>
      </w:r>
      <w:r w:rsidR="00DC2158" w:rsidRPr="00C01B02">
        <w:fldChar w:fldCharType="begin"/>
      </w:r>
      <w:r w:rsidR="00DC2158" w:rsidRPr="00C01B02">
        <w:instrText xml:space="preserve"> REF _Ref508437853 \h </w:instrText>
      </w:r>
      <w:r w:rsidR="00DC2158">
        <w:instrText xml:space="preserve"> \* MERGEFORMAT </w:instrText>
      </w:r>
      <w:r w:rsidR="00DC2158" w:rsidRPr="00C01B02">
        <w:fldChar w:fldCharType="separate"/>
      </w:r>
      <w:r w:rsidR="00A50702" w:rsidRPr="00A50702">
        <w:t>Table C</w:t>
      </w:r>
      <w:r w:rsidR="00A50702" w:rsidRPr="00A50702">
        <w:noBreakHyphen/>
        <w:t>7</w:t>
      </w:r>
      <w:r w:rsidR="00DC2158" w:rsidRPr="00C01B02">
        <w:fldChar w:fldCharType="end"/>
      </w:r>
      <w:r w:rsidR="00DC2158">
        <w:t xml:space="preserve">. Furthermore, </w:t>
      </w:r>
      <w:r w:rsidR="008E0920">
        <w:t>some of the coal power stations are likely to close by 2040</w:t>
      </w:r>
      <w:r w:rsidR="002230F2">
        <w:t xml:space="preserve">. Therefore, the costs and emission reductions could be lower than estimated in this CBA. </w:t>
      </w:r>
      <w:r w:rsidR="002B5472">
        <w:t xml:space="preserve">The sensitivity analysis </w:t>
      </w:r>
      <w:r w:rsidR="00EA7749">
        <w:t xml:space="preserve">(refer to section </w:t>
      </w:r>
      <w:r w:rsidR="00EA7749">
        <w:fldChar w:fldCharType="begin"/>
      </w:r>
      <w:r w:rsidR="00EA7749">
        <w:instrText xml:space="preserve"> REF _Ref508461549 \r \h </w:instrText>
      </w:r>
      <w:r w:rsidR="00EA7749">
        <w:fldChar w:fldCharType="separate"/>
      </w:r>
      <w:r w:rsidR="00A50702">
        <w:t>6</w:t>
      </w:r>
      <w:r w:rsidR="00EA7749">
        <w:fldChar w:fldCharType="end"/>
      </w:r>
      <w:r w:rsidR="00EA7749">
        <w:t xml:space="preserve">) tests a range of </w:t>
      </w:r>
      <w:r w:rsidR="001D6218">
        <w:t xml:space="preserve">assumptions for </w:t>
      </w:r>
      <w:r w:rsidR="00EA7749">
        <w:t>costs and benefits, which incorporates the effect of these and other uncertain assumptions.</w:t>
      </w:r>
      <w:r w:rsidR="005E2557">
        <w:t xml:space="preserve"> This simplification is likely to result in a reduction in the magnitude of the NPV for SO</w:t>
      </w:r>
      <w:r w:rsidR="005E2557" w:rsidRPr="00B326CA">
        <w:rPr>
          <w:vertAlign w:val="subscript"/>
        </w:rPr>
        <w:t>2</w:t>
      </w:r>
      <w:r w:rsidR="005E2557">
        <w:t xml:space="preserve"> (i.e. both reduced costs and benefits), but not the sign.</w:t>
      </w:r>
    </w:p>
    <w:p w14:paraId="00143524" w14:textId="77777777" w:rsidR="00F77C0C" w:rsidRDefault="00F77C0C" w:rsidP="00F64D60">
      <w:pPr>
        <w:pStyle w:val="BodyText"/>
      </w:pPr>
    </w:p>
    <w:p w14:paraId="5775313C" w14:textId="33508617" w:rsidR="00F64D60" w:rsidRPr="00B8039D" w:rsidRDefault="00F64D60" w:rsidP="00E8656D">
      <w:pPr>
        <w:pStyle w:val="BodyText"/>
        <w:keepNext/>
        <w:rPr>
          <w:b/>
          <w:bCs/>
          <w:color w:val="353D30" w:themeColor="accent2"/>
          <w:sz w:val="18"/>
          <w:szCs w:val="18"/>
        </w:rPr>
      </w:pPr>
      <w:bookmarkStart w:id="145" w:name="_Ref508437853"/>
      <w:bookmarkStart w:id="146" w:name="_Toc508222217"/>
      <w:bookmarkStart w:id="147" w:name="_Toc518629927"/>
      <w:r w:rsidRPr="00B8039D">
        <w:rPr>
          <w:b/>
          <w:bCs/>
          <w:color w:val="353D30" w:themeColor="accent2"/>
          <w:sz w:val="18"/>
          <w:szCs w:val="18"/>
        </w:rPr>
        <w:lastRenderedPageBreak/>
        <w:t xml:space="preserve">Table </w:t>
      </w:r>
      <w:r w:rsidR="00C01B02">
        <w:rPr>
          <w:b/>
          <w:bCs/>
          <w:color w:val="353D30" w:themeColor="accent2"/>
          <w:sz w:val="18"/>
          <w:szCs w:val="18"/>
        </w:rPr>
        <w:t>C</w:t>
      </w:r>
      <w:r w:rsidRPr="00B8039D">
        <w:rPr>
          <w:b/>
          <w:bCs/>
          <w:color w:val="353D30" w:themeColor="accent2"/>
          <w:sz w:val="18"/>
          <w:szCs w:val="18"/>
        </w:rPr>
        <w:noBreakHyphen/>
      </w:r>
      <w:r w:rsidRPr="00B8039D">
        <w:rPr>
          <w:b/>
          <w:bCs/>
          <w:color w:val="353D30" w:themeColor="accent2"/>
          <w:sz w:val="18"/>
          <w:szCs w:val="18"/>
        </w:rPr>
        <w:fldChar w:fldCharType="begin"/>
      </w:r>
      <w:r w:rsidRPr="00B8039D">
        <w:rPr>
          <w:b/>
          <w:bCs/>
          <w:color w:val="353D30" w:themeColor="accent2"/>
          <w:sz w:val="18"/>
          <w:szCs w:val="18"/>
        </w:rPr>
        <w:instrText xml:space="preserve"> SEQ Table \* ARABIC \s 1 </w:instrText>
      </w:r>
      <w:r w:rsidRPr="00B8039D">
        <w:rPr>
          <w:b/>
          <w:bCs/>
          <w:color w:val="353D30" w:themeColor="accent2"/>
          <w:sz w:val="18"/>
          <w:szCs w:val="18"/>
        </w:rPr>
        <w:fldChar w:fldCharType="separate"/>
      </w:r>
      <w:r w:rsidR="00A50702">
        <w:rPr>
          <w:b/>
          <w:bCs/>
          <w:noProof/>
          <w:color w:val="353D30" w:themeColor="accent2"/>
          <w:sz w:val="18"/>
          <w:szCs w:val="18"/>
        </w:rPr>
        <w:t>7</w:t>
      </w:r>
      <w:r w:rsidRPr="00B8039D">
        <w:rPr>
          <w:b/>
          <w:bCs/>
          <w:color w:val="353D30" w:themeColor="accent2"/>
          <w:sz w:val="18"/>
          <w:szCs w:val="18"/>
        </w:rPr>
        <w:fldChar w:fldCharType="end"/>
      </w:r>
      <w:bookmarkEnd w:id="145"/>
      <w:r w:rsidRPr="00B8039D">
        <w:rPr>
          <w:b/>
          <w:bCs/>
          <w:color w:val="353D30" w:themeColor="accent2"/>
          <w:sz w:val="18"/>
          <w:szCs w:val="18"/>
        </w:rPr>
        <w:t xml:space="preserve"> </w:t>
      </w:r>
      <w:r>
        <w:rPr>
          <w:b/>
          <w:bCs/>
          <w:color w:val="353D30" w:themeColor="accent2"/>
          <w:sz w:val="18"/>
          <w:szCs w:val="18"/>
        </w:rPr>
        <w:t>Affected power stations</w:t>
      </w:r>
      <w:bookmarkEnd w:id="146"/>
      <w:bookmarkEnd w:id="147"/>
    </w:p>
    <w:tbl>
      <w:tblPr>
        <w:tblStyle w:val="AureconTable4"/>
        <w:tblW w:w="5000" w:type="pct"/>
        <w:tblLook w:val="04A0" w:firstRow="1" w:lastRow="0" w:firstColumn="1" w:lastColumn="0" w:noHBand="0" w:noVBand="1"/>
      </w:tblPr>
      <w:tblGrid>
        <w:gridCol w:w="3209"/>
        <w:gridCol w:w="3210"/>
        <w:gridCol w:w="3210"/>
      </w:tblGrid>
      <w:tr w:rsidR="00F64D60" w14:paraId="6AC63916" w14:textId="77777777" w:rsidTr="00C01B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Pr>
          <w:p w14:paraId="45EEB5B8" w14:textId="77777777" w:rsidR="00F64D60" w:rsidRDefault="00F64D60" w:rsidP="00C01B02">
            <w:pPr>
              <w:pStyle w:val="BodyText"/>
              <w:jc w:val="center"/>
            </w:pPr>
            <w:r>
              <w:t>State</w:t>
            </w:r>
          </w:p>
        </w:tc>
        <w:tc>
          <w:tcPr>
            <w:tcW w:w="1667" w:type="pct"/>
          </w:tcPr>
          <w:p w14:paraId="71BE3566" w14:textId="77777777" w:rsidR="00F64D60" w:rsidRDefault="00F64D60" w:rsidP="00C01B02">
            <w:pPr>
              <w:pStyle w:val="BodyText"/>
              <w:jc w:val="center"/>
              <w:cnfStyle w:val="100000000000" w:firstRow="1" w:lastRow="0" w:firstColumn="0" w:lastColumn="0" w:oddVBand="0" w:evenVBand="0" w:oddHBand="0" w:evenHBand="0" w:firstRowFirstColumn="0" w:firstRowLastColumn="0" w:lastRowFirstColumn="0" w:lastRowLastColumn="0"/>
            </w:pPr>
            <w:r>
              <w:t>Affected power stations</w:t>
            </w:r>
          </w:p>
        </w:tc>
        <w:tc>
          <w:tcPr>
            <w:tcW w:w="1667" w:type="pct"/>
          </w:tcPr>
          <w:p w14:paraId="291376ED" w14:textId="77777777" w:rsidR="00F64D60" w:rsidRDefault="00F64D60" w:rsidP="00C01B02">
            <w:pPr>
              <w:pStyle w:val="BodyText"/>
              <w:jc w:val="center"/>
              <w:cnfStyle w:val="100000000000" w:firstRow="1" w:lastRow="0" w:firstColumn="0" w:lastColumn="0" w:oddVBand="0" w:evenVBand="0" w:oddHBand="0" w:evenHBand="0" w:firstRowFirstColumn="0" w:firstRowLastColumn="0" w:lastRowFirstColumn="0" w:lastRowLastColumn="0"/>
            </w:pPr>
            <w:r>
              <w:t>Total Capacity (kW)</w:t>
            </w:r>
          </w:p>
        </w:tc>
      </w:tr>
      <w:tr w:rsidR="00F64D60" w14:paraId="0868D59E" w14:textId="77777777" w:rsidTr="00C01B02">
        <w:tc>
          <w:tcPr>
            <w:cnfStyle w:val="001000000000" w:firstRow="0" w:lastRow="0" w:firstColumn="1" w:lastColumn="0" w:oddVBand="0" w:evenVBand="0" w:oddHBand="0" w:evenHBand="0" w:firstRowFirstColumn="0" w:firstRowLastColumn="0" w:lastRowFirstColumn="0" w:lastRowLastColumn="0"/>
            <w:tcW w:w="1666" w:type="pct"/>
          </w:tcPr>
          <w:p w14:paraId="5188FCC6" w14:textId="77777777" w:rsidR="00F64D60" w:rsidRDefault="00F64D60" w:rsidP="00C01B02">
            <w:pPr>
              <w:pStyle w:val="BodyText"/>
              <w:jc w:val="center"/>
            </w:pPr>
            <w:r>
              <w:t>ACT</w:t>
            </w:r>
          </w:p>
        </w:tc>
        <w:tc>
          <w:tcPr>
            <w:tcW w:w="1667" w:type="pct"/>
          </w:tcPr>
          <w:p w14:paraId="0F561478" w14:textId="294E109C" w:rsidR="00F64D60" w:rsidRDefault="004F337A" w:rsidP="00C01B02">
            <w:pPr>
              <w:pStyle w:val="BodyText"/>
              <w:jc w:val="center"/>
              <w:cnfStyle w:val="000000000000" w:firstRow="0" w:lastRow="0" w:firstColumn="0" w:lastColumn="0" w:oddVBand="0" w:evenVBand="0" w:oddHBand="0" w:evenHBand="0" w:firstRowFirstColumn="0" w:firstRowLastColumn="0" w:lastRowFirstColumn="0" w:lastRowLastColumn="0"/>
            </w:pPr>
            <w:r>
              <w:t>None</w:t>
            </w:r>
          </w:p>
        </w:tc>
        <w:tc>
          <w:tcPr>
            <w:tcW w:w="1667" w:type="pct"/>
          </w:tcPr>
          <w:p w14:paraId="745BFF94" w14:textId="395B90E5" w:rsidR="00F64D60" w:rsidRDefault="004F337A" w:rsidP="00C01B02">
            <w:pPr>
              <w:pStyle w:val="BodyText"/>
              <w:jc w:val="center"/>
              <w:cnfStyle w:val="000000000000" w:firstRow="0" w:lastRow="0" w:firstColumn="0" w:lastColumn="0" w:oddVBand="0" w:evenVBand="0" w:oddHBand="0" w:evenHBand="0" w:firstRowFirstColumn="0" w:firstRowLastColumn="0" w:lastRowFirstColumn="0" w:lastRowLastColumn="0"/>
            </w:pPr>
            <w:r>
              <w:t>None</w:t>
            </w:r>
          </w:p>
        </w:tc>
      </w:tr>
      <w:tr w:rsidR="00F64D60" w14:paraId="233B2A40" w14:textId="77777777" w:rsidTr="00C01B02">
        <w:tc>
          <w:tcPr>
            <w:cnfStyle w:val="001000000000" w:firstRow="0" w:lastRow="0" w:firstColumn="1" w:lastColumn="0" w:oddVBand="0" w:evenVBand="0" w:oddHBand="0" w:evenHBand="0" w:firstRowFirstColumn="0" w:firstRowLastColumn="0" w:lastRowFirstColumn="0" w:lastRowLastColumn="0"/>
            <w:tcW w:w="1666" w:type="pct"/>
          </w:tcPr>
          <w:p w14:paraId="38D7C3D3" w14:textId="77777777" w:rsidR="00F64D60" w:rsidRDefault="00F64D60" w:rsidP="00C01B02">
            <w:pPr>
              <w:pStyle w:val="BodyText"/>
              <w:jc w:val="center"/>
            </w:pPr>
            <w:r>
              <w:t>NSW</w:t>
            </w:r>
          </w:p>
        </w:tc>
        <w:tc>
          <w:tcPr>
            <w:tcW w:w="1667" w:type="pct"/>
          </w:tcPr>
          <w:p w14:paraId="48803CAF" w14:textId="77777777" w:rsidR="00F64D60" w:rsidRDefault="00F64D60" w:rsidP="00C01B02">
            <w:pPr>
              <w:pStyle w:val="BodyText"/>
              <w:jc w:val="center"/>
              <w:cnfStyle w:val="000000000000" w:firstRow="0" w:lastRow="0" w:firstColumn="0" w:lastColumn="0" w:oddVBand="0" w:evenVBand="0" w:oddHBand="0" w:evenHBand="0" w:firstRowFirstColumn="0" w:firstRowLastColumn="0" w:lastRowFirstColumn="0" w:lastRowLastColumn="0"/>
            </w:pPr>
            <w:r>
              <w:t>Appin, Eraring, Kurri Kurri, Vale Point, Bayswater, Liddell, Mt Piper, Smithfield, Tahmoor, Teralba, Tallawarra</w:t>
            </w:r>
          </w:p>
        </w:tc>
        <w:tc>
          <w:tcPr>
            <w:tcW w:w="1667" w:type="pct"/>
          </w:tcPr>
          <w:p w14:paraId="7AA4E6E7" w14:textId="77777777" w:rsidR="00F64D60" w:rsidRDefault="00F64D60" w:rsidP="00C01B02">
            <w:pPr>
              <w:pStyle w:val="BodyText"/>
              <w:jc w:val="center"/>
              <w:cnfStyle w:val="000000000000" w:firstRow="0" w:lastRow="0" w:firstColumn="0" w:lastColumn="0" w:oddVBand="0" w:evenVBand="0" w:oddHBand="0" w:evenHBand="0" w:firstRowFirstColumn="0" w:firstRowLastColumn="0" w:lastRowFirstColumn="0" w:lastRowLastColumn="0"/>
            </w:pPr>
            <w:r>
              <w:t>11,000</w:t>
            </w:r>
          </w:p>
        </w:tc>
      </w:tr>
      <w:tr w:rsidR="00F64D60" w14:paraId="0EA76544" w14:textId="77777777" w:rsidTr="00C01B02">
        <w:tc>
          <w:tcPr>
            <w:cnfStyle w:val="001000000000" w:firstRow="0" w:lastRow="0" w:firstColumn="1" w:lastColumn="0" w:oddVBand="0" w:evenVBand="0" w:oddHBand="0" w:evenHBand="0" w:firstRowFirstColumn="0" w:firstRowLastColumn="0" w:lastRowFirstColumn="0" w:lastRowLastColumn="0"/>
            <w:tcW w:w="1666" w:type="pct"/>
          </w:tcPr>
          <w:p w14:paraId="2FD09651" w14:textId="77777777" w:rsidR="00F64D60" w:rsidRDefault="00F64D60" w:rsidP="00C01B02">
            <w:pPr>
              <w:pStyle w:val="BodyText"/>
              <w:jc w:val="center"/>
            </w:pPr>
            <w:r>
              <w:t>NT</w:t>
            </w:r>
          </w:p>
        </w:tc>
        <w:tc>
          <w:tcPr>
            <w:tcW w:w="1667" w:type="pct"/>
          </w:tcPr>
          <w:p w14:paraId="70237CB0" w14:textId="05E3D7CA" w:rsidR="00F64D60" w:rsidRDefault="00F64D60" w:rsidP="00C01B02">
            <w:pPr>
              <w:pStyle w:val="BodyText"/>
              <w:jc w:val="center"/>
              <w:cnfStyle w:val="000000000000" w:firstRow="0" w:lastRow="0" w:firstColumn="0" w:lastColumn="0" w:oddVBand="0" w:evenVBand="0" w:oddHBand="0" w:evenHBand="0" w:firstRowFirstColumn="0" w:firstRowLastColumn="0" w:lastRowFirstColumn="0" w:lastRowLastColumn="0"/>
            </w:pPr>
            <w:r>
              <w:t>Channel Island, Weddell</w:t>
            </w:r>
          </w:p>
        </w:tc>
        <w:tc>
          <w:tcPr>
            <w:tcW w:w="1667" w:type="pct"/>
          </w:tcPr>
          <w:p w14:paraId="1C734EEC" w14:textId="77777777" w:rsidR="00F64D60" w:rsidRDefault="00F64D60" w:rsidP="00C01B02">
            <w:pPr>
              <w:pStyle w:val="BodyText"/>
              <w:jc w:val="center"/>
              <w:cnfStyle w:val="000000000000" w:firstRow="0" w:lastRow="0" w:firstColumn="0" w:lastColumn="0" w:oddVBand="0" w:evenVBand="0" w:oddHBand="0" w:evenHBand="0" w:firstRowFirstColumn="0" w:firstRowLastColumn="0" w:lastRowFirstColumn="0" w:lastRowLastColumn="0"/>
            </w:pPr>
            <w:r>
              <w:t>400</w:t>
            </w:r>
          </w:p>
        </w:tc>
      </w:tr>
      <w:tr w:rsidR="00F64D60" w14:paraId="56F06C30" w14:textId="77777777" w:rsidTr="00C01B02">
        <w:tc>
          <w:tcPr>
            <w:cnfStyle w:val="001000000000" w:firstRow="0" w:lastRow="0" w:firstColumn="1" w:lastColumn="0" w:oddVBand="0" w:evenVBand="0" w:oddHBand="0" w:evenHBand="0" w:firstRowFirstColumn="0" w:firstRowLastColumn="0" w:lastRowFirstColumn="0" w:lastRowLastColumn="0"/>
            <w:tcW w:w="1666" w:type="pct"/>
          </w:tcPr>
          <w:p w14:paraId="46E497A7" w14:textId="77777777" w:rsidR="00F64D60" w:rsidRDefault="00F64D60" w:rsidP="00C01B02">
            <w:pPr>
              <w:pStyle w:val="BodyText"/>
              <w:jc w:val="center"/>
            </w:pPr>
            <w:r>
              <w:t>QLD</w:t>
            </w:r>
          </w:p>
        </w:tc>
        <w:tc>
          <w:tcPr>
            <w:tcW w:w="1667" w:type="pct"/>
          </w:tcPr>
          <w:p w14:paraId="4A9AB31D" w14:textId="77777777" w:rsidR="00F64D60" w:rsidRDefault="00F64D60" w:rsidP="00C01B02">
            <w:pPr>
              <w:pStyle w:val="BodyText"/>
              <w:jc w:val="center"/>
              <w:cnfStyle w:val="000000000000" w:firstRow="0" w:lastRow="0" w:firstColumn="0" w:lastColumn="0" w:oddVBand="0" w:evenVBand="0" w:oddHBand="0" w:evenHBand="0" w:firstRowFirstColumn="0" w:firstRowLastColumn="0" w:lastRowFirstColumn="0" w:lastRowLastColumn="0"/>
            </w:pPr>
            <w:r>
              <w:t>Millmerran, Darling Downs, Tarong, Raceview</w:t>
            </w:r>
          </w:p>
        </w:tc>
        <w:tc>
          <w:tcPr>
            <w:tcW w:w="1667" w:type="pct"/>
          </w:tcPr>
          <w:p w14:paraId="2BD64A62" w14:textId="77777777" w:rsidR="00F64D60" w:rsidRDefault="00F64D60" w:rsidP="00C01B02">
            <w:pPr>
              <w:pStyle w:val="BodyText"/>
              <w:jc w:val="center"/>
              <w:cnfStyle w:val="000000000000" w:firstRow="0" w:lastRow="0" w:firstColumn="0" w:lastColumn="0" w:oddVBand="0" w:evenVBand="0" w:oddHBand="0" w:evenHBand="0" w:firstRowFirstColumn="0" w:firstRowLastColumn="0" w:lastRowFirstColumn="0" w:lastRowLastColumn="0"/>
            </w:pPr>
            <w:r>
              <w:t>3,700</w:t>
            </w:r>
          </w:p>
        </w:tc>
      </w:tr>
      <w:tr w:rsidR="00F64D60" w14:paraId="56BEE6A4" w14:textId="77777777" w:rsidTr="00C01B02">
        <w:tc>
          <w:tcPr>
            <w:cnfStyle w:val="001000000000" w:firstRow="0" w:lastRow="0" w:firstColumn="1" w:lastColumn="0" w:oddVBand="0" w:evenVBand="0" w:oddHBand="0" w:evenHBand="0" w:firstRowFirstColumn="0" w:firstRowLastColumn="0" w:lastRowFirstColumn="0" w:lastRowLastColumn="0"/>
            <w:tcW w:w="1666" w:type="pct"/>
          </w:tcPr>
          <w:p w14:paraId="60735E6D" w14:textId="77777777" w:rsidR="00F64D60" w:rsidRDefault="00F64D60" w:rsidP="00C01B02">
            <w:pPr>
              <w:pStyle w:val="BodyText"/>
              <w:jc w:val="center"/>
            </w:pPr>
            <w:r>
              <w:t>SA</w:t>
            </w:r>
          </w:p>
        </w:tc>
        <w:tc>
          <w:tcPr>
            <w:tcW w:w="1667" w:type="pct"/>
          </w:tcPr>
          <w:p w14:paraId="44FA7881" w14:textId="77777777" w:rsidR="00F64D60" w:rsidRDefault="00F64D60" w:rsidP="00C01B02">
            <w:pPr>
              <w:pStyle w:val="BodyText"/>
              <w:jc w:val="center"/>
              <w:cnfStyle w:val="000000000000" w:firstRow="0" w:lastRow="0" w:firstColumn="0" w:lastColumn="0" w:oddVBand="0" w:evenVBand="0" w:oddHBand="0" w:evenHBand="0" w:firstRowFirstColumn="0" w:firstRowLastColumn="0" w:lastRowFirstColumn="0" w:lastRowLastColumn="0"/>
            </w:pPr>
            <w:r>
              <w:t>Torrens Island, Lonsdale, Pt Stanvac, Quarantine, Osborne, Pelican Point, Dry Creek</w:t>
            </w:r>
          </w:p>
        </w:tc>
        <w:tc>
          <w:tcPr>
            <w:tcW w:w="1667" w:type="pct"/>
          </w:tcPr>
          <w:p w14:paraId="57EDBED5" w14:textId="77777777" w:rsidR="00F64D60" w:rsidRDefault="00F64D60" w:rsidP="00C01B02">
            <w:pPr>
              <w:pStyle w:val="BodyText"/>
              <w:jc w:val="center"/>
              <w:cnfStyle w:val="000000000000" w:firstRow="0" w:lastRow="0" w:firstColumn="0" w:lastColumn="0" w:oddVBand="0" w:evenVBand="0" w:oddHBand="0" w:evenHBand="0" w:firstRowFirstColumn="0" w:firstRowLastColumn="0" w:lastRowFirstColumn="0" w:lastRowLastColumn="0"/>
            </w:pPr>
            <w:r>
              <w:t>2,400</w:t>
            </w:r>
          </w:p>
        </w:tc>
      </w:tr>
      <w:tr w:rsidR="00F64D60" w14:paraId="72D28856" w14:textId="77777777" w:rsidTr="00C01B02">
        <w:tc>
          <w:tcPr>
            <w:cnfStyle w:val="001000000000" w:firstRow="0" w:lastRow="0" w:firstColumn="1" w:lastColumn="0" w:oddVBand="0" w:evenVBand="0" w:oddHBand="0" w:evenHBand="0" w:firstRowFirstColumn="0" w:firstRowLastColumn="0" w:lastRowFirstColumn="0" w:lastRowLastColumn="0"/>
            <w:tcW w:w="1666" w:type="pct"/>
          </w:tcPr>
          <w:p w14:paraId="74A305AE" w14:textId="77777777" w:rsidR="00F64D60" w:rsidRDefault="00F64D60" w:rsidP="00C01B02">
            <w:pPr>
              <w:pStyle w:val="BodyText"/>
              <w:jc w:val="center"/>
            </w:pPr>
            <w:r>
              <w:t>VIC</w:t>
            </w:r>
          </w:p>
        </w:tc>
        <w:tc>
          <w:tcPr>
            <w:tcW w:w="1667" w:type="pct"/>
          </w:tcPr>
          <w:p w14:paraId="2D1DD7D4" w14:textId="10DA0F5E" w:rsidR="00F64D60" w:rsidRDefault="00F64D60" w:rsidP="00C01B02">
            <w:pPr>
              <w:pStyle w:val="BodyText"/>
              <w:jc w:val="center"/>
              <w:cnfStyle w:val="000000000000" w:firstRow="0" w:lastRow="0" w:firstColumn="0" w:lastColumn="0" w:oddVBand="0" w:evenVBand="0" w:oddHBand="0" w:evenHBand="0" w:firstRowFirstColumn="0" w:firstRowLastColumn="0" w:lastRowFirstColumn="0" w:lastRowLastColumn="0"/>
            </w:pPr>
            <w:r>
              <w:t>Somerton, Newport, Laverton North, Loy Yand A, Jeeraland, Yallourn, Loy Yang B, Hazelwood, Valley</w:t>
            </w:r>
          </w:p>
        </w:tc>
        <w:tc>
          <w:tcPr>
            <w:tcW w:w="1667" w:type="pct"/>
          </w:tcPr>
          <w:p w14:paraId="6CED9DFB" w14:textId="77777777" w:rsidR="00F64D60" w:rsidRDefault="00F64D60" w:rsidP="00C01B02">
            <w:pPr>
              <w:pStyle w:val="BodyText"/>
              <w:jc w:val="center"/>
              <w:cnfStyle w:val="000000000000" w:firstRow="0" w:lastRow="0" w:firstColumn="0" w:lastColumn="0" w:oddVBand="0" w:evenVBand="0" w:oddHBand="0" w:evenHBand="0" w:firstRowFirstColumn="0" w:firstRowLastColumn="0" w:lastRowFirstColumn="0" w:lastRowLastColumn="0"/>
            </w:pPr>
            <w:r>
              <w:t>8,000</w:t>
            </w:r>
          </w:p>
        </w:tc>
      </w:tr>
      <w:tr w:rsidR="00F64D60" w14:paraId="780DA9D9" w14:textId="77777777" w:rsidTr="00C01B02">
        <w:tc>
          <w:tcPr>
            <w:cnfStyle w:val="001000000000" w:firstRow="0" w:lastRow="0" w:firstColumn="1" w:lastColumn="0" w:oddVBand="0" w:evenVBand="0" w:oddHBand="0" w:evenHBand="0" w:firstRowFirstColumn="0" w:firstRowLastColumn="0" w:lastRowFirstColumn="0" w:lastRowLastColumn="0"/>
            <w:tcW w:w="1666" w:type="pct"/>
          </w:tcPr>
          <w:p w14:paraId="11C549A6" w14:textId="77777777" w:rsidR="00F64D60" w:rsidRDefault="00F64D60" w:rsidP="00C01B02">
            <w:pPr>
              <w:pStyle w:val="BodyText"/>
              <w:jc w:val="center"/>
            </w:pPr>
            <w:r>
              <w:t>WA</w:t>
            </w:r>
          </w:p>
        </w:tc>
        <w:tc>
          <w:tcPr>
            <w:tcW w:w="1667" w:type="pct"/>
          </w:tcPr>
          <w:p w14:paraId="58A72943" w14:textId="77777777" w:rsidR="00F64D60" w:rsidRDefault="00F64D60" w:rsidP="00C01B02">
            <w:pPr>
              <w:pStyle w:val="BodyText"/>
              <w:jc w:val="center"/>
              <w:cnfStyle w:val="000000000000" w:firstRow="0" w:lastRow="0" w:firstColumn="0" w:lastColumn="0" w:oddVBand="0" w:evenVBand="0" w:oddHBand="0" w:evenHBand="0" w:firstRowFirstColumn="0" w:firstRowLastColumn="0" w:lastRowFirstColumn="0" w:lastRowLastColumn="0"/>
            </w:pPr>
            <w:r>
              <w:t>Newgen Neerabup, Cockburn, Kwinana, Pinjar</w:t>
            </w:r>
          </w:p>
        </w:tc>
        <w:tc>
          <w:tcPr>
            <w:tcW w:w="1667" w:type="pct"/>
          </w:tcPr>
          <w:p w14:paraId="1FE6E5E1" w14:textId="77777777" w:rsidR="00F64D60" w:rsidRDefault="00F64D60" w:rsidP="00C01B02">
            <w:pPr>
              <w:pStyle w:val="BodyText"/>
              <w:jc w:val="center"/>
              <w:cnfStyle w:val="000000000000" w:firstRow="0" w:lastRow="0" w:firstColumn="0" w:lastColumn="0" w:oddVBand="0" w:evenVBand="0" w:oddHBand="0" w:evenHBand="0" w:firstRowFirstColumn="0" w:firstRowLastColumn="0" w:lastRowFirstColumn="0" w:lastRowLastColumn="0"/>
            </w:pPr>
            <w:r>
              <w:t>1,900</w:t>
            </w:r>
          </w:p>
        </w:tc>
      </w:tr>
    </w:tbl>
    <w:p w14:paraId="2AF11729" w14:textId="77777777" w:rsidR="00F64D60" w:rsidRPr="00E80D83" w:rsidRDefault="00F64D60" w:rsidP="00F64D60">
      <w:pPr>
        <w:pStyle w:val="Heading6"/>
      </w:pPr>
      <w:bookmarkStart w:id="148" w:name="_Toc508138869"/>
      <w:bookmarkStart w:id="149" w:name="_Toc508138978"/>
      <w:bookmarkStart w:id="150" w:name="_Toc508222188"/>
      <w:bookmarkEnd w:id="148"/>
      <w:bookmarkEnd w:id="149"/>
      <w:bookmarkEnd w:id="150"/>
      <w:r>
        <w:t xml:space="preserve">Capital </w:t>
      </w:r>
      <w:r w:rsidRPr="002A2872">
        <w:t>costs</w:t>
      </w:r>
    </w:p>
    <w:p w14:paraId="28644A92" w14:textId="7ADF38D1" w:rsidR="00E8656D" w:rsidRDefault="00953441" w:rsidP="002E50DE">
      <w:pPr>
        <w:pStyle w:val="BodyText"/>
      </w:pPr>
      <w:r>
        <w:t>FGD and SCR technologies are assumed to be installed at power stations from</w:t>
      </w:r>
      <w:r w:rsidRPr="007348A5">
        <w:t xml:space="preserve"> </w:t>
      </w:r>
      <w:r>
        <w:t>2021</w:t>
      </w:r>
      <w:r w:rsidRPr="00407075">
        <w:t>.</w:t>
      </w:r>
      <w:r>
        <w:t xml:space="preserve"> </w:t>
      </w:r>
      <w:r w:rsidR="00F64D60">
        <w:t xml:space="preserve">The </w:t>
      </w:r>
      <w:r w:rsidR="00DB13DF">
        <w:t xml:space="preserve">estimated </w:t>
      </w:r>
      <w:r w:rsidR="00F64D60">
        <w:t>capital costs</w:t>
      </w:r>
      <w:r w:rsidR="000E66B7">
        <w:t xml:space="preserve"> </w:t>
      </w:r>
      <w:r w:rsidR="00DB13DF">
        <w:t xml:space="preserve">are </w:t>
      </w:r>
      <w:r>
        <w:t xml:space="preserve">based on publicly available data </w:t>
      </w:r>
      <w:r w:rsidR="000E66B7">
        <w:t>(Electric Power Research Institute, 2015; Cichanowicz, 2010)</w:t>
      </w:r>
      <w:r w:rsidR="008C3F67">
        <w:t xml:space="preserve">, by </w:t>
      </w:r>
      <w:r w:rsidR="008C3F67" w:rsidRPr="008C3F67">
        <w:t xml:space="preserve">estimating a </w:t>
      </w:r>
      <w:r w:rsidR="00F64D60" w:rsidRPr="008C3F67">
        <w:t xml:space="preserve">unit rate </w:t>
      </w:r>
      <w:r w:rsidR="008C3F67" w:rsidRPr="008C3F67">
        <w:t xml:space="preserve">for FGD and SCR </w:t>
      </w:r>
      <w:r w:rsidR="00F64D60" w:rsidRPr="008C3F67">
        <w:t>per kW of power station capacity (</w:t>
      </w:r>
      <w:r w:rsidR="008C3F67" w:rsidRPr="008C3F67">
        <w:fldChar w:fldCharType="begin"/>
      </w:r>
      <w:r w:rsidR="008C3F67" w:rsidRPr="008C3F67">
        <w:instrText xml:space="preserve"> REF _Ref507755376 \h </w:instrText>
      </w:r>
      <w:r w:rsidR="008C3F67">
        <w:instrText xml:space="preserve"> \* MERGEFORMAT </w:instrText>
      </w:r>
      <w:r w:rsidR="008C3F67" w:rsidRPr="008C3F67">
        <w:fldChar w:fldCharType="separate"/>
      </w:r>
      <w:r w:rsidR="00A50702" w:rsidRPr="00A50702">
        <w:t>Table C</w:t>
      </w:r>
      <w:r w:rsidR="00A50702" w:rsidRPr="00A50702">
        <w:noBreakHyphen/>
        <w:t>8</w:t>
      </w:r>
      <w:r w:rsidR="008C3F67" w:rsidRPr="008C3F67">
        <w:fldChar w:fldCharType="end"/>
      </w:r>
      <w:r w:rsidR="008C3F67" w:rsidRPr="008C3F67">
        <w:t>).</w:t>
      </w:r>
    </w:p>
    <w:p w14:paraId="716A7599" w14:textId="0C0A71B3" w:rsidR="00F64D60" w:rsidRPr="00407075" w:rsidRDefault="00F64D60" w:rsidP="002E50DE">
      <w:pPr>
        <w:pStyle w:val="BodyText"/>
        <w:rPr>
          <w:b/>
          <w:bCs/>
          <w:color w:val="353D30" w:themeColor="accent2"/>
          <w:sz w:val="18"/>
          <w:szCs w:val="18"/>
        </w:rPr>
      </w:pPr>
      <w:bookmarkStart w:id="151" w:name="_Ref507755376"/>
      <w:bookmarkStart w:id="152" w:name="_Toc508222218"/>
      <w:bookmarkStart w:id="153" w:name="_Toc518629928"/>
      <w:r w:rsidRPr="00407075">
        <w:rPr>
          <w:b/>
          <w:bCs/>
          <w:color w:val="353D30" w:themeColor="accent2"/>
          <w:sz w:val="18"/>
          <w:szCs w:val="18"/>
        </w:rPr>
        <w:t xml:space="preserve">Table </w:t>
      </w:r>
      <w:r w:rsidR="008C3F67">
        <w:rPr>
          <w:b/>
          <w:bCs/>
          <w:color w:val="353D30" w:themeColor="accent2"/>
          <w:sz w:val="18"/>
          <w:szCs w:val="18"/>
        </w:rPr>
        <w:t>C</w:t>
      </w:r>
      <w:r w:rsidRPr="00407075">
        <w:rPr>
          <w:b/>
          <w:bCs/>
          <w:color w:val="353D30" w:themeColor="accent2"/>
          <w:sz w:val="18"/>
          <w:szCs w:val="18"/>
        </w:rPr>
        <w:noBreakHyphen/>
      </w:r>
      <w:r w:rsidRPr="00407075">
        <w:rPr>
          <w:b/>
          <w:bCs/>
          <w:color w:val="353D30" w:themeColor="accent2"/>
          <w:sz w:val="18"/>
          <w:szCs w:val="18"/>
        </w:rPr>
        <w:fldChar w:fldCharType="begin"/>
      </w:r>
      <w:r w:rsidRPr="00407075">
        <w:rPr>
          <w:b/>
          <w:bCs/>
          <w:color w:val="353D30" w:themeColor="accent2"/>
          <w:sz w:val="18"/>
          <w:szCs w:val="18"/>
        </w:rPr>
        <w:instrText xml:space="preserve"> SEQ Table \* ARABIC \s 1 </w:instrText>
      </w:r>
      <w:r w:rsidRPr="00407075">
        <w:rPr>
          <w:b/>
          <w:bCs/>
          <w:color w:val="353D30" w:themeColor="accent2"/>
          <w:sz w:val="18"/>
          <w:szCs w:val="18"/>
        </w:rPr>
        <w:fldChar w:fldCharType="separate"/>
      </w:r>
      <w:r w:rsidR="00A50702">
        <w:rPr>
          <w:b/>
          <w:bCs/>
          <w:noProof/>
          <w:color w:val="353D30" w:themeColor="accent2"/>
          <w:sz w:val="18"/>
          <w:szCs w:val="18"/>
        </w:rPr>
        <w:t>8</w:t>
      </w:r>
      <w:r w:rsidRPr="00407075">
        <w:rPr>
          <w:b/>
          <w:bCs/>
          <w:color w:val="353D30" w:themeColor="accent2"/>
          <w:sz w:val="18"/>
          <w:szCs w:val="18"/>
        </w:rPr>
        <w:fldChar w:fldCharType="end"/>
      </w:r>
      <w:bookmarkEnd w:id="151"/>
      <w:r w:rsidRPr="00407075">
        <w:rPr>
          <w:b/>
          <w:bCs/>
          <w:color w:val="353D30" w:themeColor="accent2"/>
          <w:sz w:val="18"/>
          <w:szCs w:val="18"/>
        </w:rPr>
        <w:t xml:space="preserve"> </w:t>
      </w:r>
      <w:r>
        <w:rPr>
          <w:b/>
          <w:bCs/>
          <w:color w:val="353D30" w:themeColor="accent2"/>
          <w:sz w:val="18"/>
          <w:szCs w:val="18"/>
        </w:rPr>
        <w:t>Abatement measure 9 – Capital costs</w:t>
      </w:r>
      <w:bookmarkEnd w:id="152"/>
      <w:bookmarkEnd w:id="153"/>
    </w:p>
    <w:tbl>
      <w:tblPr>
        <w:tblStyle w:val="AureconTable4"/>
        <w:tblW w:w="2721" w:type="pct"/>
        <w:tblLook w:val="04A0" w:firstRow="1" w:lastRow="0" w:firstColumn="1" w:lastColumn="0" w:noHBand="0" w:noVBand="1"/>
      </w:tblPr>
      <w:tblGrid>
        <w:gridCol w:w="2620"/>
        <w:gridCol w:w="2620"/>
      </w:tblGrid>
      <w:tr w:rsidR="002E50DE" w14:paraId="2C568650" w14:textId="77777777" w:rsidTr="002E50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tcPr>
          <w:p w14:paraId="1C2E50D1" w14:textId="34D946F0" w:rsidR="002E50DE" w:rsidRDefault="002E50DE" w:rsidP="002E50DE">
            <w:pPr>
              <w:pStyle w:val="BodyText"/>
              <w:jc w:val="center"/>
            </w:pPr>
            <w:r>
              <w:t>Capital costs for</w:t>
            </w:r>
          </w:p>
        </w:tc>
        <w:tc>
          <w:tcPr>
            <w:tcW w:w="2500" w:type="pct"/>
          </w:tcPr>
          <w:p w14:paraId="37DF1A7F" w14:textId="77777777" w:rsidR="002E50DE" w:rsidRDefault="002E50DE" w:rsidP="002E50DE">
            <w:pPr>
              <w:pStyle w:val="BodyText"/>
              <w:jc w:val="center"/>
              <w:cnfStyle w:val="100000000000" w:firstRow="1" w:lastRow="0" w:firstColumn="0" w:lastColumn="0" w:oddVBand="0" w:evenVBand="0" w:oddHBand="0" w:evenHBand="0" w:firstRowFirstColumn="0" w:firstRowLastColumn="0" w:lastRowFirstColumn="0" w:lastRowLastColumn="0"/>
            </w:pPr>
            <w:r>
              <w:t>Cost ($/kW)</w:t>
            </w:r>
          </w:p>
        </w:tc>
      </w:tr>
      <w:tr w:rsidR="002E50DE" w14:paraId="4605D9CF" w14:textId="77777777" w:rsidTr="002E50DE">
        <w:tc>
          <w:tcPr>
            <w:cnfStyle w:val="001000000000" w:firstRow="0" w:lastRow="0" w:firstColumn="1" w:lastColumn="0" w:oddVBand="0" w:evenVBand="0" w:oddHBand="0" w:evenHBand="0" w:firstRowFirstColumn="0" w:firstRowLastColumn="0" w:lastRowFirstColumn="0" w:lastRowLastColumn="0"/>
            <w:tcW w:w="2500" w:type="pct"/>
          </w:tcPr>
          <w:p w14:paraId="0E6B6C67" w14:textId="77777777" w:rsidR="002E50DE" w:rsidRDefault="002E50DE" w:rsidP="002E50DE">
            <w:pPr>
              <w:pStyle w:val="BodyText"/>
              <w:jc w:val="center"/>
            </w:pPr>
            <w:r>
              <w:t>FGD</w:t>
            </w:r>
          </w:p>
        </w:tc>
        <w:tc>
          <w:tcPr>
            <w:tcW w:w="2500" w:type="pct"/>
          </w:tcPr>
          <w:p w14:paraId="4A2A6DE1" w14:textId="77777777" w:rsidR="002E50DE" w:rsidRDefault="002E50DE" w:rsidP="002E50DE">
            <w:pPr>
              <w:pStyle w:val="BodyText"/>
              <w:jc w:val="center"/>
              <w:cnfStyle w:val="000000000000" w:firstRow="0" w:lastRow="0" w:firstColumn="0" w:lastColumn="0" w:oddVBand="0" w:evenVBand="0" w:oddHBand="0" w:evenHBand="0" w:firstRowFirstColumn="0" w:firstRowLastColumn="0" w:lastRowFirstColumn="0" w:lastRowLastColumn="0"/>
            </w:pPr>
            <w:r>
              <w:t>$1,090</w:t>
            </w:r>
          </w:p>
        </w:tc>
      </w:tr>
      <w:tr w:rsidR="002E50DE" w14:paraId="483F7B80" w14:textId="77777777" w:rsidTr="002E50DE">
        <w:tc>
          <w:tcPr>
            <w:cnfStyle w:val="001000000000" w:firstRow="0" w:lastRow="0" w:firstColumn="1" w:lastColumn="0" w:oddVBand="0" w:evenVBand="0" w:oddHBand="0" w:evenHBand="0" w:firstRowFirstColumn="0" w:firstRowLastColumn="0" w:lastRowFirstColumn="0" w:lastRowLastColumn="0"/>
            <w:tcW w:w="2500" w:type="pct"/>
          </w:tcPr>
          <w:p w14:paraId="6981A6A0" w14:textId="77777777" w:rsidR="002E50DE" w:rsidRDefault="002E50DE" w:rsidP="002E50DE">
            <w:pPr>
              <w:pStyle w:val="BodyText"/>
              <w:jc w:val="center"/>
            </w:pPr>
            <w:r>
              <w:t>SCR</w:t>
            </w:r>
          </w:p>
        </w:tc>
        <w:tc>
          <w:tcPr>
            <w:tcW w:w="2500" w:type="pct"/>
          </w:tcPr>
          <w:p w14:paraId="2DE22C75" w14:textId="77777777" w:rsidR="002E50DE" w:rsidRDefault="002E50DE" w:rsidP="002E50DE">
            <w:pPr>
              <w:pStyle w:val="BodyText"/>
              <w:jc w:val="center"/>
              <w:cnfStyle w:val="000000000000" w:firstRow="0" w:lastRow="0" w:firstColumn="0" w:lastColumn="0" w:oddVBand="0" w:evenVBand="0" w:oddHBand="0" w:evenHBand="0" w:firstRowFirstColumn="0" w:firstRowLastColumn="0" w:lastRowFirstColumn="0" w:lastRowLastColumn="0"/>
            </w:pPr>
            <w:r>
              <w:t>$858</w:t>
            </w:r>
          </w:p>
        </w:tc>
      </w:tr>
    </w:tbl>
    <w:p w14:paraId="4671B9D0" w14:textId="77777777" w:rsidR="00F64D60" w:rsidRDefault="00F64D60" w:rsidP="002E50DE">
      <w:pPr>
        <w:pStyle w:val="BodyText"/>
      </w:pPr>
    </w:p>
    <w:p w14:paraId="13F23203" w14:textId="77777777" w:rsidR="00F64D60" w:rsidRPr="00E80D83" w:rsidRDefault="00F64D60" w:rsidP="00F64D60">
      <w:pPr>
        <w:pStyle w:val="Heading6"/>
      </w:pPr>
      <w:r>
        <w:t>Operating and maintenance costs</w:t>
      </w:r>
    </w:p>
    <w:p w14:paraId="403B274C" w14:textId="1E200AD7" w:rsidR="00357CBD" w:rsidRDefault="00F64D60" w:rsidP="001A0C13">
      <w:pPr>
        <w:pStyle w:val="BodyText"/>
      </w:pPr>
      <w:r>
        <w:t xml:space="preserve">Operating and maintenance </w:t>
      </w:r>
      <w:r w:rsidRPr="0055483C">
        <w:t xml:space="preserve">costs for FGD and SCR are calculated as a unit rate per kW of power station capacity per year. Cost rate values are </w:t>
      </w:r>
      <w:r w:rsidR="0055483C" w:rsidRPr="0055483C">
        <w:t xml:space="preserve">presented </w:t>
      </w:r>
      <w:r w:rsidRPr="0055483C">
        <w:t>in</w:t>
      </w:r>
      <w:r w:rsidR="0055483C" w:rsidRPr="0055483C">
        <w:t xml:space="preserve"> </w:t>
      </w:r>
      <w:r w:rsidR="0055483C" w:rsidRPr="0055483C">
        <w:fldChar w:fldCharType="begin"/>
      </w:r>
      <w:r w:rsidR="0055483C" w:rsidRPr="0055483C">
        <w:instrText xml:space="preserve"> REF _Ref508448362 \h </w:instrText>
      </w:r>
      <w:r w:rsidR="0055483C">
        <w:instrText xml:space="preserve"> \* MERGEFORMAT </w:instrText>
      </w:r>
      <w:r w:rsidR="0055483C" w:rsidRPr="0055483C">
        <w:fldChar w:fldCharType="separate"/>
      </w:r>
      <w:r w:rsidR="00A50702" w:rsidRPr="00A50702">
        <w:t>Table C</w:t>
      </w:r>
      <w:r w:rsidR="00A50702" w:rsidRPr="00A50702">
        <w:noBreakHyphen/>
        <w:t>9</w:t>
      </w:r>
      <w:r w:rsidR="0055483C" w:rsidRPr="0055483C">
        <w:fldChar w:fldCharType="end"/>
      </w:r>
      <w:r w:rsidRPr="0055483C">
        <w:t>.</w:t>
      </w:r>
    </w:p>
    <w:p w14:paraId="20973476" w14:textId="233CA8E9" w:rsidR="00F64D60" w:rsidRPr="00D10D9B" w:rsidRDefault="00F64D60" w:rsidP="00D10D9B">
      <w:pPr>
        <w:pStyle w:val="BodyText"/>
        <w:rPr>
          <w:b/>
          <w:bCs/>
          <w:color w:val="353D30" w:themeColor="accent2"/>
          <w:sz w:val="18"/>
          <w:szCs w:val="18"/>
        </w:rPr>
      </w:pPr>
      <w:bookmarkStart w:id="154" w:name="_Ref508448362"/>
      <w:bookmarkStart w:id="155" w:name="_Toc508222219"/>
      <w:bookmarkStart w:id="156" w:name="_Toc518629929"/>
      <w:r w:rsidRPr="00D10D9B">
        <w:rPr>
          <w:b/>
          <w:bCs/>
          <w:color w:val="353D30" w:themeColor="accent2"/>
          <w:sz w:val="18"/>
          <w:szCs w:val="18"/>
        </w:rPr>
        <w:t xml:space="preserve">Table </w:t>
      </w:r>
      <w:r w:rsidR="00D10D9B" w:rsidRPr="00D10D9B">
        <w:rPr>
          <w:b/>
          <w:bCs/>
          <w:color w:val="353D30" w:themeColor="accent2"/>
          <w:sz w:val="18"/>
          <w:szCs w:val="18"/>
        </w:rPr>
        <w:t>C</w:t>
      </w:r>
      <w:r w:rsidRPr="00D10D9B">
        <w:rPr>
          <w:b/>
          <w:bCs/>
          <w:color w:val="353D30" w:themeColor="accent2"/>
          <w:sz w:val="18"/>
          <w:szCs w:val="18"/>
        </w:rPr>
        <w:noBreakHyphen/>
      </w:r>
      <w:r w:rsidRPr="00D10D9B">
        <w:rPr>
          <w:b/>
          <w:bCs/>
          <w:color w:val="353D30" w:themeColor="accent2"/>
          <w:sz w:val="18"/>
          <w:szCs w:val="18"/>
        </w:rPr>
        <w:fldChar w:fldCharType="begin"/>
      </w:r>
      <w:r w:rsidRPr="00D10D9B">
        <w:rPr>
          <w:b/>
          <w:bCs/>
          <w:color w:val="353D30" w:themeColor="accent2"/>
          <w:sz w:val="18"/>
          <w:szCs w:val="18"/>
        </w:rPr>
        <w:instrText xml:space="preserve"> SEQ Table \* ARABIC \s 1 </w:instrText>
      </w:r>
      <w:r w:rsidRPr="00D10D9B">
        <w:rPr>
          <w:b/>
          <w:bCs/>
          <w:color w:val="353D30" w:themeColor="accent2"/>
          <w:sz w:val="18"/>
          <w:szCs w:val="18"/>
        </w:rPr>
        <w:fldChar w:fldCharType="separate"/>
      </w:r>
      <w:r w:rsidR="00A50702">
        <w:rPr>
          <w:b/>
          <w:bCs/>
          <w:noProof/>
          <w:color w:val="353D30" w:themeColor="accent2"/>
          <w:sz w:val="18"/>
          <w:szCs w:val="18"/>
        </w:rPr>
        <w:t>9</w:t>
      </w:r>
      <w:r w:rsidRPr="00D10D9B">
        <w:rPr>
          <w:b/>
          <w:bCs/>
          <w:color w:val="353D30" w:themeColor="accent2"/>
          <w:sz w:val="18"/>
          <w:szCs w:val="18"/>
        </w:rPr>
        <w:fldChar w:fldCharType="end"/>
      </w:r>
      <w:bookmarkEnd w:id="154"/>
      <w:r w:rsidRPr="00D10D9B">
        <w:rPr>
          <w:b/>
          <w:bCs/>
          <w:color w:val="353D30" w:themeColor="accent2"/>
          <w:sz w:val="18"/>
          <w:szCs w:val="18"/>
        </w:rPr>
        <w:t xml:space="preserve"> Abatement measure 9 – Operating and maintenance costs</w:t>
      </w:r>
      <w:bookmarkEnd w:id="155"/>
      <w:bookmarkEnd w:id="156"/>
    </w:p>
    <w:tbl>
      <w:tblPr>
        <w:tblStyle w:val="AureconTable4"/>
        <w:tblW w:w="3787" w:type="pct"/>
        <w:tblInd w:w="-5" w:type="dxa"/>
        <w:tblLook w:val="04A0" w:firstRow="1" w:lastRow="0" w:firstColumn="1" w:lastColumn="0" w:noHBand="0" w:noVBand="1"/>
      </w:tblPr>
      <w:tblGrid>
        <w:gridCol w:w="3529"/>
        <w:gridCol w:w="3528"/>
        <w:gridCol w:w="236"/>
      </w:tblGrid>
      <w:tr w:rsidR="00F64D60" w14:paraId="7C1F2E0C" w14:textId="77777777" w:rsidTr="00D10D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19" w:type="pct"/>
          </w:tcPr>
          <w:p w14:paraId="63C464E9" w14:textId="77777777" w:rsidR="00F64D60" w:rsidRDefault="00F64D60" w:rsidP="00D10D9B">
            <w:pPr>
              <w:pStyle w:val="BodyText"/>
              <w:jc w:val="center"/>
            </w:pPr>
            <w:r>
              <w:t>Costs</w:t>
            </w:r>
          </w:p>
        </w:tc>
        <w:tc>
          <w:tcPr>
            <w:tcW w:w="2419" w:type="pct"/>
          </w:tcPr>
          <w:p w14:paraId="00603AE1" w14:textId="77777777" w:rsidR="00F64D60" w:rsidRDefault="00F64D60" w:rsidP="00D10D9B">
            <w:pPr>
              <w:pStyle w:val="BodyText"/>
              <w:jc w:val="center"/>
              <w:cnfStyle w:val="100000000000" w:firstRow="1" w:lastRow="0" w:firstColumn="0" w:lastColumn="0" w:oddVBand="0" w:evenVBand="0" w:oddHBand="0" w:evenHBand="0" w:firstRowFirstColumn="0" w:firstRowLastColumn="0" w:lastRowFirstColumn="0" w:lastRowLastColumn="0"/>
            </w:pPr>
            <w:r>
              <w:t>Cost ($/kW/year)</w:t>
            </w:r>
          </w:p>
        </w:tc>
        <w:tc>
          <w:tcPr>
            <w:tcW w:w="162" w:type="pct"/>
          </w:tcPr>
          <w:p w14:paraId="06BF835D" w14:textId="77777777" w:rsidR="00F64D60" w:rsidRDefault="00F64D60" w:rsidP="00D10D9B">
            <w:pPr>
              <w:pStyle w:val="BodyText"/>
              <w:cnfStyle w:val="100000000000" w:firstRow="1" w:lastRow="0" w:firstColumn="0" w:lastColumn="0" w:oddVBand="0" w:evenVBand="0" w:oddHBand="0" w:evenHBand="0" w:firstRowFirstColumn="0" w:firstRowLastColumn="0" w:lastRowFirstColumn="0" w:lastRowLastColumn="0"/>
            </w:pPr>
          </w:p>
        </w:tc>
      </w:tr>
      <w:tr w:rsidR="00F64D60" w14:paraId="6D795256" w14:textId="77777777" w:rsidTr="00D10D9B">
        <w:tc>
          <w:tcPr>
            <w:cnfStyle w:val="001000000000" w:firstRow="0" w:lastRow="0" w:firstColumn="1" w:lastColumn="0" w:oddVBand="0" w:evenVBand="0" w:oddHBand="0" w:evenHBand="0" w:firstRowFirstColumn="0" w:firstRowLastColumn="0" w:lastRowFirstColumn="0" w:lastRowLastColumn="0"/>
            <w:tcW w:w="2419" w:type="pct"/>
          </w:tcPr>
          <w:p w14:paraId="53367178" w14:textId="77777777" w:rsidR="00F64D60" w:rsidRDefault="00F64D60" w:rsidP="00D10D9B">
            <w:pPr>
              <w:pStyle w:val="BodyText"/>
              <w:jc w:val="center"/>
            </w:pPr>
            <w:r>
              <w:t>FGD</w:t>
            </w:r>
          </w:p>
        </w:tc>
        <w:tc>
          <w:tcPr>
            <w:tcW w:w="2419" w:type="pct"/>
          </w:tcPr>
          <w:p w14:paraId="6AABE188" w14:textId="30E8F524" w:rsidR="00F64D60" w:rsidRDefault="00F64D60" w:rsidP="00D10D9B">
            <w:pPr>
              <w:pStyle w:val="BodyText"/>
              <w:jc w:val="center"/>
              <w:cnfStyle w:val="000000000000" w:firstRow="0" w:lastRow="0" w:firstColumn="0" w:lastColumn="0" w:oddVBand="0" w:evenVBand="0" w:oddHBand="0" w:evenHBand="0" w:firstRowFirstColumn="0" w:firstRowLastColumn="0" w:lastRowFirstColumn="0" w:lastRowLastColumn="0"/>
            </w:pPr>
            <w:r>
              <w:t>$45</w:t>
            </w:r>
          </w:p>
        </w:tc>
        <w:tc>
          <w:tcPr>
            <w:tcW w:w="162" w:type="pct"/>
          </w:tcPr>
          <w:p w14:paraId="5EF80F8C" w14:textId="77777777" w:rsidR="00F64D60" w:rsidRDefault="00F64D60" w:rsidP="00D10D9B">
            <w:pPr>
              <w:pStyle w:val="BodyText"/>
              <w:cnfStyle w:val="000000000000" w:firstRow="0" w:lastRow="0" w:firstColumn="0" w:lastColumn="0" w:oddVBand="0" w:evenVBand="0" w:oddHBand="0" w:evenHBand="0" w:firstRowFirstColumn="0" w:firstRowLastColumn="0" w:lastRowFirstColumn="0" w:lastRowLastColumn="0"/>
            </w:pPr>
          </w:p>
        </w:tc>
      </w:tr>
      <w:tr w:rsidR="00F64D60" w14:paraId="11485363" w14:textId="77777777" w:rsidTr="00D10D9B">
        <w:tc>
          <w:tcPr>
            <w:cnfStyle w:val="001000000000" w:firstRow="0" w:lastRow="0" w:firstColumn="1" w:lastColumn="0" w:oddVBand="0" w:evenVBand="0" w:oddHBand="0" w:evenHBand="0" w:firstRowFirstColumn="0" w:firstRowLastColumn="0" w:lastRowFirstColumn="0" w:lastRowLastColumn="0"/>
            <w:tcW w:w="2419" w:type="pct"/>
          </w:tcPr>
          <w:p w14:paraId="62589D55" w14:textId="77777777" w:rsidR="00F64D60" w:rsidRDefault="00F64D60" w:rsidP="00D10D9B">
            <w:pPr>
              <w:pStyle w:val="BodyText"/>
              <w:jc w:val="center"/>
            </w:pPr>
            <w:r>
              <w:t>SCR</w:t>
            </w:r>
          </w:p>
        </w:tc>
        <w:tc>
          <w:tcPr>
            <w:tcW w:w="2419" w:type="pct"/>
          </w:tcPr>
          <w:p w14:paraId="7C98BBE3" w14:textId="77777777" w:rsidR="00F64D60" w:rsidRDefault="00F64D60" w:rsidP="00D10D9B">
            <w:pPr>
              <w:pStyle w:val="BodyText"/>
              <w:jc w:val="center"/>
              <w:cnfStyle w:val="000000000000" w:firstRow="0" w:lastRow="0" w:firstColumn="0" w:lastColumn="0" w:oddVBand="0" w:evenVBand="0" w:oddHBand="0" w:evenHBand="0" w:firstRowFirstColumn="0" w:firstRowLastColumn="0" w:lastRowFirstColumn="0" w:lastRowLastColumn="0"/>
            </w:pPr>
            <w:r>
              <w:t>$7</w:t>
            </w:r>
          </w:p>
        </w:tc>
        <w:tc>
          <w:tcPr>
            <w:tcW w:w="162" w:type="pct"/>
          </w:tcPr>
          <w:p w14:paraId="0A6CF6E5" w14:textId="77777777" w:rsidR="00F64D60" w:rsidRDefault="00F64D60" w:rsidP="00D10D9B">
            <w:pPr>
              <w:pStyle w:val="BodyText"/>
              <w:cnfStyle w:val="000000000000" w:firstRow="0" w:lastRow="0" w:firstColumn="0" w:lastColumn="0" w:oddVBand="0" w:evenVBand="0" w:oddHBand="0" w:evenHBand="0" w:firstRowFirstColumn="0" w:firstRowLastColumn="0" w:lastRowFirstColumn="0" w:lastRowLastColumn="0"/>
            </w:pPr>
          </w:p>
        </w:tc>
      </w:tr>
    </w:tbl>
    <w:p w14:paraId="1EB3A62E" w14:textId="77777777" w:rsidR="00F64D60" w:rsidRDefault="00F64D60" w:rsidP="00F64D60">
      <w:pPr>
        <w:pStyle w:val="Bullet1"/>
        <w:numPr>
          <w:ilvl w:val="0"/>
          <w:numId w:val="0"/>
        </w:numPr>
        <w:ind w:left="284"/>
      </w:pPr>
    </w:p>
    <w:p w14:paraId="2DAC5BEE" w14:textId="77777777" w:rsidR="00C64BF3" w:rsidRDefault="00C64BF3" w:rsidP="00C64BF3">
      <w:pPr>
        <w:pStyle w:val="Heading6"/>
      </w:pPr>
      <w:r>
        <w:t>Administrative and regulatory costs</w:t>
      </w:r>
    </w:p>
    <w:p w14:paraId="6FCDD793" w14:textId="300C6DAD" w:rsidR="00F64D60" w:rsidRPr="00BD29F0" w:rsidRDefault="00F64D60" w:rsidP="00F64D60">
      <w:pPr>
        <w:pStyle w:val="BodyText"/>
      </w:pPr>
      <w:r w:rsidRPr="00B8039D">
        <w:t xml:space="preserve">A one-off administration cost for </w:t>
      </w:r>
      <w:r w:rsidR="00357CBD">
        <w:t xml:space="preserve">the </w:t>
      </w:r>
      <w:r w:rsidRPr="00B8039D">
        <w:t>set-up and implementation of regulations of $</w:t>
      </w:r>
      <w:r>
        <w:t>8,600</w:t>
      </w:r>
      <w:r w:rsidRPr="00B8039D">
        <w:t xml:space="preserve">,000 has been assumed in 2021. </w:t>
      </w:r>
      <w:r w:rsidR="00292A08" w:rsidRPr="00407075">
        <w:t xml:space="preserve">This cost has been </w:t>
      </w:r>
      <w:r w:rsidR="00292A08">
        <w:t>apportioned equally across all affected airsheds</w:t>
      </w:r>
      <w:r w:rsidR="00292A08" w:rsidRPr="00407075">
        <w:t xml:space="preserve">. </w:t>
      </w:r>
      <w:r w:rsidRPr="00B8039D">
        <w:t xml:space="preserve"> </w:t>
      </w:r>
    </w:p>
    <w:p w14:paraId="46D40A07" w14:textId="12730E04" w:rsidR="00F64D60" w:rsidRDefault="00292A08" w:rsidP="00292A08">
      <w:pPr>
        <w:pStyle w:val="Heading6"/>
      </w:pPr>
      <w:bookmarkStart w:id="157" w:name="_Toc508222190"/>
      <w:r>
        <w:lastRenderedPageBreak/>
        <w:t>E</w:t>
      </w:r>
      <w:r w:rsidR="00F64D60">
        <w:t>mission reductions</w:t>
      </w:r>
      <w:bookmarkEnd w:id="157"/>
    </w:p>
    <w:p w14:paraId="1731EB62" w14:textId="3CB86325" w:rsidR="007A4995" w:rsidRDefault="00F64D60" w:rsidP="00F64D60">
      <w:pPr>
        <w:pStyle w:val="BodyText"/>
      </w:pPr>
      <w:r w:rsidRPr="00286840">
        <w:t xml:space="preserve">Emission reductions were estimated based on the profile of gradual </w:t>
      </w:r>
      <w:r>
        <w:t>uptake</w:t>
      </w:r>
      <w:r w:rsidRPr="00286840">
        <w:t xml:space="preserve"> of </w:t>
      </w:r>
      <w:r>
        <w:t xml:space="preserve">FGD and SCR technology in power stations across Australia. </w:t>
      </w:r>
      <w:r w:rsidRPr="00286840">
        <w:t xml:space="preserve"> </w:t>
      </w:r>
      <w:r w:rsidRPr="002A2872">
        <w:fldChar w:fldCharType="begin"/>
      </w:r>
      <w:r w:rsidRPr="00B408BC">
        <w:instrText xml:space="preserve"> REF _Ref508120322 \h </w:instrText>
      </w:r>
      <w:r>
        <w:instrText xml:space="preserve"> \* MERGEFORMAT </w:instrText>
      </w:r>
      <w:r w:rsidRPr="002A2872">
        <w:fldChar w:fldCharType="separate"/>
      </w:r>
      <w:r w:rsidR="00A50702" w:rsidRPr="00A50702">
        <w:t>Table C</w:t>
      </w:r>
      <w:r w:rsidR="00A50702" w:rsidRPr="00A50702">
        <w:noBreakHyphen/>
        <w:t>10</w:t>
      </w:r>
      <w:r w:rsidRPr="002A2872">
        <w:fldChar w:fldCharType="end"/>
      </w:r>
      <w:r w:rsidRPr="00B408BC">
        <w:t xml:space="preserve"> sum</w:t>
      </w:r>
      <w:r w:rsidRPr="00286840">
        <w:t>marises the estimated emission reductions.</w:t>
      </w:r>
    </w:p>
    <w:p w14:paraId="1E605B4F" w14:textId="46E5A57C" w:rsidR="00F64D60" w:rsidRDefault="00F64D60" w:rsidP="00F64D60">
      <w:pPr>
        <w:pStyle w:val="BodyText"/>
        <w:keepNext/>
        <w:rPr>
          <w:b/>
          <w:bCs/>
          <w:color w:val="353D30" w:themeColor="accent2"/>
          <w:sz w:val="18"/>
          <w:szCs w:val="18"/>
        </w:rPr>
      </w:pPr>
      <w:bookmarkStart w:id="158" w:name="_Ref508120322"/>
      <w:bookmarkStart w:id="159" w:name="_Toc508222220"/>
      <w:bookmarkStart w:id="160" w:name="_Toc518629930"/>
      <w:r w:rsidRPr="00407075">
        <w:rPr>
          <w:b/>
          <w:bCs/>
          <w:color w:val="353D30" w:themeColor="accent2"/>
          <w:sz w:val="18"/>
          <w:szCs w:val="18"/>
        </w:rPr>
        <w:t xml:space="preserve">Table </w:t>
      </w:r>
      <w:r w:rsidR="00112EE0">
        <w:rPr>
          <w:b/>
          <w:bCs/>
          <w:color w:val="353D30" w:themeColor="accent2"/>
          <w:sz w:val="18"/>
          <w:szCs w:val="18"/>
        </w:rPr>
        <w:t>C</w:t>
      </w:r>
      <w:r w:rsidRPr="00407075">
        <w:rPr>
          <w:b/>
          <w:bCs/>
          <w:color w:val="353D30" w:themeColor="accent2"/>
          <w:sz w:val="18"/>
          <w:szCs w:val="18"/>
        </w:rPr>
        <w:noBreakHyphen/>
      </w:r>
      <w:r w:rsidRPr="00407075">
        <w:rPr>
          <w:b/>
          <w:bCs/>
          <w:color w:val="353D30" w:themeColor="accent2"/>
          <w:sz w:val="18"/>
          <w:szCs w:val="18"/>
        </w:rPr>
        <w:fldChar w:fldCharType="begin"/>
      </w:r>
      <w:r w:rsidRPr="00407075">
        <w:rPr>
          <w:b/>
          <w:bCs/>
          <w:color w:val="353D30" w:themeColor="accent2"/>
          <w:sz w:val="18"/>
          <w:szCs w:val="18"/>
        </w:rPr>
        <w:instrText xml:space="preserve"> SEQ Table \* ARABIC \s 1 </w:instrText>
      </w:r>
      <w:r w:rsidRPr="00407075">
        <w:rPr>
          <w:b/>
          <w:bCs/>
          <w:color w:val="353D30" w:themeColor="accent2"/>
          <w:sz w:val="18"/>
          <w:szCs w:val="18"/>
        </w:rPr>
        <w:fldChar w:fldCharType="separate"/>
      </w:r>
      <w:r w:rsidR="00A50702">
        <w:rPr>
          <w:b/>
          <w:bCs/>
          <w:noProof/>
          <w:color w:val="353D30" w:themeColor="accent2"/>
          <w:sz w:val="18"/>
          <w:szCs w:val="18"/>
        </w:rPr>
        <w:t>10</w:t>
      </w:r>
      <w:r w:rsidRPr="00407075">
        <w:rPr>
          <w:b/>
          <w:bCs/>
          <w:color w:val="353D30" w:themeColor="accent2"/>
          <w:sz w:val="18"/>
          <w:szCs w:val="18"/>
        </w:rPr>
        <w:fldChar w:fldCharType="end"/>
      </w:r>
      <w:bookmarkEnd w:id="158"/>
      <w:r w:rsidRPr="00407075">
        <w:rPr>
          <w:b/>
          <w:bCs/>
          <w:color w:val="353D30" w:themeColor="accent2"/>
          <w:sz w:val="18"/>
          <w:szCs w:val="18"/>
        </w:rPr>
        <w:t xml:space="preserve"> </w:t>
      </w:r>
      <w:r>
        <w:rPr>
          <w:b/>
          <w:bCs/>
          <w:color w:val="353D30" w:themeColor="accent2"/>
          <w:sz w:val="18"/>
          <w:szCs w:val="18"/>
        </w:rPr>
        <w:t>Abatement measure 9 emissions reductions (NO</w:t>
      </w:r>
      <w:r w:rsidR="002E0AC1" w:rsidRPr="002E0AC1">
        <w:rPr>
          <w:b/>
          <w:bCs/>
          <w:color w:val="353D30" w:themeColor="accent2"/>
          <w:sz w:val="18"/>
          <w:szCs w:val="18"/>
          <w:vertAlign w:val="subscript"/>
        </w:rPr>
        <w:t>X</w:t>
      </w:r>
      <w:r w:rsidR="002E0AC1">
        <w:rPr>
          <w:b/>
          <w:bCs/>
          <w:color w:val="353D30" w:themeColor="accent2"/>
          <w:sz w:val="18"/>
          <w:szCs w:val="18"/>
        </w:rPr>
        <w:t>, SO</w:t>
      </w:r>
      <w:r w:rsidR="002E0AC1" w:rsidRPr="002E0AC1">
        <w:rPr>
          <w:b/>
          <w:bCs/>
          <w:color w:val="353D30" w:themeColor="accent2"/>
          <w:sz w:val="18"/>
          <w:szCs w:val="18"/>
          <w:vertAlign w:val="subscript"/>
        </w:rPr>
        <w:t>X</w:t>
      </w:r>
      <w:r>
        <w:rPr>
          <w:b/>
          <w:bCs/>
          <w:color w:val="353D30" w:themeColor="accent2"/>
          <w:sz w:val="18"/>
          <w:szCs w:val="18"/>
        </w:rPr>
        <w:t>)</w:t>
      </w:r>
      <w:bookmarkEnd w:id="159"/>
      <w:bookmarkEnd w:id="160"/>
    </w:p>
    <w:tbl>
      <w:tblPr>
        <w:tblStyle w:val="AureconTable4"/>
        <w:tblW w:w="5000" w:type="pct"/>
        <w:tblLook w:val="04A0" w:firstRow="1" w:lastRow="0" w:firstColumn="1" w:lastColumn="0" w:noHBand="0" w:noVBand="1"/>
      </w:tblPr>
      <w:tblGrid>
        <w:gridCol w:w="3209"/>
        <w:gridCol w:w="3210"/>
        <w:gridCol w:w="3210"/>
      </w:tblGrid>
      <w:tr w:rsidR="00F64D60" w14:paraId="06FF69B5" w14:textId="77777777" w:rsidTr="00112E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6" w:type="pct"/>
          </w:tcPr>
          <w:p w14:paraId="719BA802" w14:textId="77777777" w:rsidR="00F64D60" w:rsidRDefault="00F64D60" w:rsidP="00112EE0">
            <w:pPr>
              <w:pStyle w:val="BodyText"/>
              <w:jc w:val="center"/>
            </w:pPr>
            <w:r>
              <w:t>Year</w:t>
            </w:r>
          </w:p>
        </w:tc>
        <w:tc>
          <w:tcPr>
            <w:tcW w:w="1667" w:type="pct"/>
          </w:tcPr>
          <w:p w14:paraId="7B894B69" w14:textId="611E3B07" w:rsidR="00F64D60" w:rsidRDefault="002E0AC1" w:rsidP="00112EE0">
            <w:pPr>
              <w:pStyle w:val="BodyText"/>
              <w:jc w:val="center"/>
              <w:cnfStyle w:val="100000000000" w:firstRow="1" w:lastRow="0" w:firstColumn="0" w:lastColumn="0" w:oddVBand="0" w:evenVBand="0" w:oddHBand="0" w:evenHBand="0" w:firstRowFirstColumn="0" w:firstRowLastColumn="0" w:lastRowFirstColumn="0" w:lastRowLastColumn="0"/>
            </w:pPr>
            <w:r>
              <w:t>NO</w:t>
            </w:r>
            <w:r w:rsidRPr="002E0AC1">
              <w:rPr>
                <w:vertAlign w:val="subscript"/>
              </w:rPr>
              <w:t>X</w:t>
            </w:r>
            <w:r w:rsidR="00F64D60">
              <w:t xml:space="preserve"> Reduction (tonnes per year)</w:t>
            </w:r>
          </w:p>
        </w:tc>
        <w:tc>
          <w:tcPr>
            <w:tcW w:w="1667" w:type="pct"/>
          </w:tcPr>
          <w:p w14:paraId="5D1EF08E" w14:textId="2147AE7E" w:rsidR="00F64D60" w:rsidRDefault="00F64D60" w:rsidP="00112EE0">
            <w:pPr>
              <w:pStyle w:val="BodyText"/>
              <w:jc w:val="center"/>
              <w:cnfStyle w:val="100000000000" w:firstRow="1" w:lastRow="0" w:firstColumn="0" w:lastColumn="0" w:oddVBand="0" w:evenVBand="0" w:oddHBand="0" w:evenHBand="0" w:firstRowFirstColumn="0" w:firstRowLastColumn="0" w:lastRowFirstColumn="0" w:lastRowLastColumn="0"/>
            </w:pPr>
            <w:r>
              <w:t>SO</w:t>
            </w:r>
            <w:r w:rsidR="002E0AC1" w:rsidRPr="002E0AC1">
              <w:rPr>
                <w:vertAlign w:val="subscript"/>
              </w:rPr>
              <w:t>X</w:t>
            </w:r>
            <w:r>
              <w:t xml:space="preserve"> Reduction (tonnes per year)</w:t>
            </w:r>
          </w:p>
        </w:tc>
      </w:tr>
      <w:tr w:rsidR="00F64D60" w14:paraId="1039373E" w14:textId="77777777" w:rsidTr="00112EE0">
        <w:tc>
          <w:tcPr>
            <w:cnfStyle w:val="001000000000" w:firstRow="0" w:lastRow="0" w:firstColumn="1" w:lastColumn="0" w:oddVBand="0" w:evenVBand="0" w:oddHBand="0" w:evenHBand="0" w:firstRowFirstColumn="0" w:firstRowLastColumn="0" w:lastRowFirstColumn="0" w:lastRowLastColumn="0"/>
            <w:tcW w:w="1666" w:type="pct"/>
          </w:tcPr>
          <w:p w14:paraId="0F86EA5F" w14:textId="77777777" w:rsidR="00F64D60" w:rsidRDefault="00F64D60" w:rsidP="00112EE0">
            <w:pPr>
              <w:pStyle w:val="BodyText"/>
              <w:jc w:val="center"/>
            </w:pPr>
            <w:r>
              <w:t>2021</w:t>
            </w:r>
          </w:p>
        </w:tc>
        <w:tc>
          <w:tcPr>
            <w:tcW w:w="1667" w:type="pct"/>
          </w:tcPr>
          <w:p w14:paraId="45D9F908" w14:textId="77777777" w:rsidR="00F64D60" w:rsidRDefault="00F64D60" w:rsidP="00112EE0">
            <w:pPr>
              <w:pStyle w:val="BodyText"/>
              <w:jc w:val="center"/>
              <w:cnfStyle w:val="000000000000" w:firstRow="0" w:lastRow="0" w:firstColumn="0" w:lastColumn="0" w:oddVBand="0" w:evenVBand="0" w:oddHBand="0" w:evenHBand="0" w:firstRowFirstColumn="0" w:firstRowLastColumn="0" w:lastRowFirstColumn="0" w:lastRowLastColumn="0"/>
            </w:pPr>
            <w:r>
              <w:t>13,374</w:t>
            </w:r>
          </w:p>
        </w:tc>
        <w:tc>
          <w:tcPr>
            <w:tcW w:w="1667" w:type="pct"/>
          </w:tcPr>
          <w:p w14:paraId="56337C6D" w14:textId="77777777" w:rsidR="00F64D60" w:rsidRDefault="00F64D60" w:rsidP="00112EE0">
            <w:pPr>
              <w:pStyle w:val="BodyText"/>
              <w:jc w:val="center"/>
              <w:cnfStyle w:val="000000000000" w:firstRow="0" w:lastRow="0" w:firstColumn="0" w:lastColumn="0" w:oddVBand="0" w:evenVBand="0" w:oddHBand="0" w:evenHBand="0" w:firstRowFirstColumn="0" w:firstRowLastColumn="0" w:lastRowFirstColumn="0" w:lastRowLastColumn="0"/>
            </w:pPr>
            <w:r>
              <w:t>27,196</w:t>
            </w:r>
          </w:p>
        </w:tc>
      </w:tr>
      <w:tr w:rsidR="00F64D60" w14:paraId="18CBA858" w14:textId="77777777" w:rsidTr="00112EE0">
        <w:tc>
          <w:tcPr>
            <w:cnfStyle w:val="001000000000" w:firstRow="0" w:lastRow="0" w:firstColumn="1" w:lastColumn="0" w:oddVBand="0" w:evenVBand="0" w:oddHBand="0" w:evenHBand="0" w:firstRowFirstColumn="0" w:firstRowLastColumn="0" w:lastRowFirstColumn="0" w:lastRowLastColumn="0"/>
            <w:tcW w:w="1666" w:type="pct"/>
          </w:tcPr>
          <w:p w14:paraId="7E091099" w14:textId="77777777" w:rsidR="00F64D60" w:rsidRDefault="00F64D60" w:rsidP="00112EE0">
            <w:pPr>
              <w:pStyle w:val="BodyText"/>
              <w:jc w:val="center"/>
            </w:pPr>
            <w:r>
              <w:t>2030</w:t>
            </w:r>
          </w:p>
        </w:tc>
        <w:tc>
          <w:tcPr>
            <w:tcW w:w="1667" w:type="pct"/>
          </w:tcPr>
          <w:p w14:paraId="3CCEBDEF" w14:textId="77777777" w:rsidR="00F64D60" w:rsidRDefault="00F64D60" w:rsidP="00112EE0">
            <w:pPr>
              <w:pStyle w:val="BodyText"/>
              <w:jc w:val="center"/>
              <w:cnfStyle w:val="000000000000" w:firstRow="0" w:lastRow="0" w:firstColumn="0" w:lastColumn="0" w:oddVBand="0" w:evenVBand="0" w:oddHBand="0" w:evenHBand="0" w:firstRowFirstColumn="0" w:firstRowLastColumn="0" w:lastRowFirstColumn="0" w:lastRowLastColumn="0"/>
            </w:pPr>
            <w:r>
              <w:t>34,285</w:t>
            </w:r>
          </w:p>
        </w:tc>
        <w:tc>
          <w:tcPr>
            <w:tcW w:w="1667" w:type="pct"/>
          </w:tcPr>
          <w:p w14:paraId="62595982" w14:textId="77777777" w:rsidR="00F64D60" w:rsidRDefault="00F64D60" w:rsidP="00112EE0">
            <w:pPr>
              <w:pStyle w:val="BodyText"/>
              <w:jc w:val="center"/>
              <w:cnfStyle w:val="000000000000" w:firstRow="0" w:lastRow="0" w:firstColumn="0" w:lastColumn="0" w:oddVBand="0" w:evenVBand="0" w:oddHBand="0" w:evenHBand="0" w:firstRowFirstColumn="0" w:firstRowLastColumn="0" w:lastRowFirstColumn="0" w:lastRowLastColumn="0"/>
            </w:pPr>
            <w:r>
              <w:t>100,660</w:t>
            </w:r>
          </w:p>
        </w:tc>
      </w:tr>
      <w:tr w:rsidR="00F64D60" w14:paraId="1A33A42B" w14:textId="77777777" w:rsidTr="00112EE0">
        <w:tc>
          <w:tcPr>
            <w:cnfStyle w:val="001000000000" w:firstRow="0" w:lastRow="0" w:firstColumn="1" w:lastColumn="0" w:oddVBand="0" w:evenVBand="0" w:oddHBand="0" w:evenHBand="0" w:firstRowFirstColumn="0" w:firstRowLastColumn="0" w:lastRowFirstColumn="0" w:lastRowLastColumn="0"/>
            <w:tcW w:w="1666" w:type="pct"/>
          </w:tcPr>
          <w:p w14:paraId="580602D2" w14:textId="77777777" w:rsidR="00F64D60" w:rsidRDefault="00F64D60" w:rsidP="00112EE0">
            <w:pPr>
              <w:pStyle w:val="BodyText"/>
              <w:jc w:val="center"/>
            </w:pPr>
            <w:r>
              <w:t>2040</w:t>
            </w:r>
          </w:p>
        </w:tc>
        <w:tc>
          <w:tcPr>
            <w:tcW w:w="1667" w:type="pct"/>
          </w:tcPr>
          <w:p w14:paraId="79A71DBC" w14:textId="77777777" w:rsidR="00F64D60" w:rsidRDefault="00F64D60" w:rsidP="00112EE0">
            <w:pPr>
              <w:pStyle w:val="BodyText"/>
              <w:jc w:val="center"/>
              <w:cnfStyle w:val="000000000000" w:firstRow="0" w:lastRow="0" w:firstColumn="0" w:lastColumn="0" w:oddVBand="0" w:evenVBand="0" w:oddHBand="0" w:evenHBand="0" w:firstRowFirstColumn="0" w:firstRowLastColumn="0" w:lastRowFirstColumn="0" w:lastRowLastColumn="0"/>
            </w:pPr>
            <w:r>
              <w:t>76,887</w:t>
            </w:r>
          </w:p>
        </w:tc>
        <w:tc>
          <w:tcPr>
            <w:tcW w:w="1667" w:type="pct"/>
          </w:tcPr>
          <w:p w14:paraId="1B2CA145" w14:textId="77777777" w:rsidR="00F64D60" w:rsidRDefault="00F64D60" w:rsidP="00112EE0">
            <w:pPr>
              <w:pStyle w:val="BodyText"/>
              <w:jc w:val="center"/>
              <w:cnfStyle w:val="000000000000" w:firstRow="0" w:lastRow="0" w:firstColumn="0" w:lastColumn="0" w:oddVBand="0" w:evenVBand="0" w:oddHBand="0" w:evenHBand="0" w:firstRowFirstColumn="0" w:firstRowLastColumn="0" w:lastRowFirstColumn="0" w:lastRowLastColumn="0"/>
            </w:pPr>
            <w:r>
              <w:t>190,266</w:t>
            </w:r>
          </w:p>
        </w:tc>
      </w:tr>
      <w:tr w:rsidR="00F64D60" w14:paraId="62D04322" w14:textId="77777777" w:rsidTr="00112EE0">
        <w:tc>
          <w:tcPr>
            <w:cnfStyle w:val="001000000000" w:firstRow="0" w:lastRow="0" w:firstColumn="1" w:lastColumn="0" w:oddVBand="0" w:evenVBand="0" w:oddHBand="0" w:evenHBand="0" w:firstRowFirstColumn="0" w:firstRowLastColumn="0" w:lastRowFirstColumn="0" w:lastRowLastColumn="0"/>
            <w:tcW w:w="1666" w:type="pct"/>
          </w:tcPr>
          <w:p w14:paraId="4A2DBFC4" w14:textId="77777777" w:rsidR="00F64D60" w:rsidRPr="00112EE0" w:rsidRDefault="00F64D60" w:rsidP="00112EE0">
            <w:pPr>
              <w:pStyle w:val="BodyText"/>
              <w:jc w:val="center"/>
              <w:rPr>
                <w:b/>
              </w:rPr>
            </w:pPr>
            <w:r w:rsidRPr="00112EE0">
              <w:rPr>
                <w:b/>
              </w:rPr>
              <w:t>Total (2016 – 2040)</w:t>
            </w:r>
          </w:p>
        </w:tc>
        <w:tc>
          <w:tcPr>
            <w:tcW w:w="1667" w:type="pct"/>
          </w:tcPr>
          <w:p w14:paraId="58229A3E" w14:textId="77777777" w:rsidR="00F64D60" w:rsidRPr="00112EE0" w:rsidRDefault="00F64D60" w:rsidP="00112EE0">
            <w:pPr>
              <w:pStyle w:val="BodyText"/>
              <w:jc w:val="center"/>
              <w:cnfStyle w:val="000000000000" w:firstRow="0" w:lastRow="0" w:firstColumn="0" w:lastColumn="0" w:oddVBand="0" w:evenVBand="0" w:oddHBand="0" w:evenHBand="0" w:firstRowFirstColumn="0" w:firstRowLastColumn="0" w:lastRowFirstColumn="0" w:lastRowLastColumn="0"/>
              <w:rPr>
                <w:b/>
              </w:rPr>
            </w:pPr>
            <w:r w:rsidRPr="00112EE0">
              <w:rPr>
                <w:b/>
              </w:rPr>
              <w:t>792,027</w:t>
            </w:r>
          </w:p>
        </w:tc>
        <w:tc>
          <w:tcPr>
            <w:tcW w:w="1667" w:type="pct"/>
          </w:tcPr>
          <w:p w14:paraId="428426C6" w14:textId="77777777" w:rsidR="00F64D60" w:rsidRPr="00112EE0" w:rsidRDefault="00F64D60" w:rsidP="00112EE0">
            <w:pPr>
              <w:pStyle w:val="BodyText"/>
              <w:jc w:val="center"/>
              <w:cnfStyle w:val="000000000000" w:firstRow="0" w:lastRow="0" w:firstColumn="0" w:lastColumn="0" w:oddVBand="0" w:evenVBand="0" w:oddHBand="0" w:evenHBand="0" w:firstRowFirstColumn="0" w:firstRowLastColumn="0" w:lastRowFirstColumn="0" w:lastRowLastColumn="0"/>
              <w:rPr>
                <w:b/>
              </w:rPr>
            </w:pPr>
            <w:r w:rsidRPr="00112EE0">
              <w:rPr>
                <w:b/>
              </w:rPr>
              <w:t>1,963,365</w:t>
            </w:r>
          </w:p>
        </w:tc>
      </w:tr>
    </w:tbl>
    <w:p w14:paraId="6AAC5AF2" w14:textId="3BE34D0D" w:rsidR="00F64D60" w:rsidRPr="00587F66" w:rsidRDefault="00F64D60" w:rsidP="006D5621">
      <w:pPr>
        <w:pStyle w:val="Appendixheading1"/>
      </w:pPr>
      <w:bookmarkStart w:id="161" w:name="_Toc508222191"/>
      <w:bookmarkStart w:id="162" w:name="_Toc518629908"/>
      <w:r w:rsidRPr="00587F66">
        <w:t>Measure 14: De-</w:t>
      </w:r>
      <w:r w:rsidR="006D5621">
        <w:t>SO</w:t>
      </w:r>
      <w:r w:rsidR="006D5621" w:rsidRPr="006D5621">
        <w:rPr>
          <w:vertAlign w:val="subscript"/>
        </w:rPr>
        <w:t>X</w:t>
      </w:r>
      <w:r w:rsidRPr="002A2872">
        <w:t xml:space="preserve"> at petrol refineries (SO</w:t>
      </w:r>
      <w:r w:rsidRPr="0000289A">
        <w:rPr>
          <w:vertAlign w:val="subscript"/>
        </w:rPr>
        <w:t>2</w:t>
      </w:r>
      <w:r w:rsidRPr="0000289A">
        <w:t>)</w:t>
      </w:r>
      <w:bookmarkEnd w:id="161"/>
      <w:bookmarkEnd w:id="162"/>
    </w:p>
    <w:p w14:paraId="7129EFD2" w14:textId="3C2048CF" w:rsidR="00F64D60" w:rsidRDefault="00F64D60" w:rsidP="00F64D60">
      <w:pPr>
        <w:pStyle w:val="BodyText"/>
      </w:pPr>
      <w:r>
        <w:t xml:space="preserve">Abatement measure 14 involves the installation of wet gas scrubbing (WSG) technology at petrol refineries </w:t>
      </w:r>
      <w:r w:rsidRPr="00407075">
        <w:t>to reduce SO</w:t>
      </w:r>
      <w:r w:rsidR="00402F0E">
        <w:rPr>
          <w:vertAlign w:val="subscript"/>
        </w:rPr>
        <w:t>X</w:t>
      </w:r>
      <w:r>
        <w:t xml:space="preserve"> emissions. W</w:t>
      </w:r>
      <w:r w:rsidRPr="0000289A">
        <w:t>GS technology removes particulates and SO</w:t>
      </w:r>
      <w:r w:rsidR="00402F0E">
        <w:rPr>
          <w:vertAlign w:val="subscript"/>
        </w:rPr>
        <w:t>X</w:t>
      </w:r>
      <w:r w:rsidRPr="0000289A">
        <w:t xml:space="preserve"> by intimate mixing with an aqueous scrubbing liquid</w:t>
      </w:r>
      <w:r>
        <w:t xml:space="preserve"> in a vessel</w:t>
      </w:r>
      <w:r w:rsidRPr="0000289A">
        <w:t>.</w:t>
      </w:r>
    </w:p>
    <w:p w14:paraId="31C231C4" w14:textId="77777777" w:rsidR="00F64D60" w:rsidRPr="00E80D83" w:rsidRDefault="00F64D60" w:rsidP="00F64D60">
      <w:pPr>
        <w:pStyle w:val="Heading6"/>
      </w:pPr>
      <w:r>
        <w:t xml:space="preserve">Capital </w:t>
      </w:r>
      <w:r w:rsidRPr="00286840">
        <w:t>costs</w:t>
      </w:r>
    </w:p>
    <w:p w14:paraId="613CFD57" w14:textId="365543A8" w:rsidR="0007677B" w:rsidRPr="007348A5" w:rsidRDefault="0007677B" w:rsidP="0007677B">
      <w:pPr>
        <w:pStyle w:val="BodyText"/>
      </w:pPr>
      <w:r>
        <w:t xml:space="preserve">WSG technology </w:t>
      </w:r>
      <w:r w:rsidR="00D0783A">
        <w:t xml:space="preserve">was </w:t>
      </w:r>
      <w:r>
        <w:t xml:space="preserve">assumed to be installed at petrol refineries </w:t>
      </w:r>
      <w:r w:rsidR="003E48B8">
        <w:t>included in the 2011 Emissions Inventory published by the NSW EPA</w:t>
      </w:r>
      <w:r w:rsidR="001E5BA0">
        <w:t xml:space="preserve"> in 2013</w:t>
      </w:r>
      <w:r w:rsidR="003E48B8">
        <w:t xml:space="preserve">. The technology was assumed to be installed </w:t>
      </w:r>
      <w:r>
        <w:t>from</w:t>
      </w:r>
      <w:r w:rsidRPr="007348A5">
        <w:t xml:space="preserve"> </w:t>
      </w:r>
      <w:r>
        <w:t>203</w:t>
      </w:r>
      <w:r w:rsidR="00492F5F">
        <w:t>0</w:t>
      </w:r>
      <w:r w:rsidRPr="00407075">
        <w:t>.</w:t>
      </w:r>
      <w:r w:rsidR="003E48B8">
        <w:t xml:space="preserve"> Since t</w:t>
      </w:r>
      <w:r w:rsidR="001E5BA0">
        <w:t>he publication of the inventory, the</w:t>
      </w:r>
      <w:r w:rsidR="00C95A67">
        <w:t>re has been a closure of petrol refineries in NSW and QLD.</w:t>
      </w:r>
      <w:r w:rsidR="00181BB0">
        <w:t xml:space="preserve"> Therefore, the costs and emission reductions could be lower than estimated in this CBA. </w:t>
      </w:r>
      <w:r w:rsidR="00F77C0C">
        <w:t>This simplification is likely to result in a reduction in the magnitude of the NPV for SO</w:t>
      </w:r>
      <w:r w:rsidR="00F77C0C" w:rsidRPr="00C617C6">
        <w:rPr>
          <w:vertAlign w:val="subscript"/>
        </w:rPr>
        <w:t>2</w:t>
      </w:r>
      <w:r w:rsidR="00F77C0C">
        <w:t xml:space="preserve"> (i.e. both reduced costs and benefits), but not the sign. </w:t>
      </w:r>
      <w:r w:rsidR="00181BB0">
        <w:t xml:space="preserve">The sensitivity analysis (refer to section </w:t>
      </w:r>
      <w:r w:rsidR="00181BB0">
        <w:fldChar w:fldCharType="begin"/>
      </w:r>
      <w:r w:rsidR="00181BB0">
        <w:instrText xml:space="preserve"> REF _Ref508461549 \r \h </w:instrText>
      </w:r>
      <w:r w:rsidR="00181BB0">
        <w:fldChar w:fldCharType="separate"/>
      </w:r>
      <w:r w:rsidR="00A50702">
        <w:t>6</w:t>
      </w:r>
      <w:r w:rsidR="00181BB0">
        <w:fldChar w:fldCharType="end"/>
      </w:r>
      <w:r w:rsidR="00181BB0">
        <w:t>) tests a range of assumptions for costs and benefits, which incorporates the effect of these and other uncertain assumptions.</w:t>
      </w:r>
    </w:p>
    <w:p w14:paraId="01FBE8F9" w14:textId="64F1C707" w:rsidR="00F64D60" w:rsidRDefault="00F64D60" w:rsidP="0007677B">
      <w:pPr>
        <w:pStyle w:val="BodyText"/>
      </w:pPr>
      <w:r>
        <w:t xml:space="preserve">The following assumptions </w:t>
      </w:r>
      <w:r w:rsidR="00EC7401">
        <w:t xml:space="preserve">were </w:t>
      </w:r>
      <w:r>
        <w:t xml:space="preserve">used </w:t>
      </w:r>
      <w:r w:rsidR="00621E1D">
        <w:t xml:space="preserve">for </w:t>
      </w:r>
      <w:r>
        <w:t>capital costs</w:t>
      </w:r>
      <w:r w:rsidR="00DD5630">
        <w:t>, based on data from</w:t>
      </w:r>
      <w:r w:rsidR="00DD5630" w:rsidRPr="00DD5630">
        <w:t xml:space="preserve"> </w:t>
      </w:r>
      <w:r w:rsidR="00DD5630">
        <w:t>CONCAWE (2011)</w:t>
      </w:r>
      <w:r>
        <w:t>:</w:t>
      </w:r>
    </w:p>
    <w:p w14:paraId="0BA7ECF0" w14:textId="77777777" w:rsidR="00F64D60" w:rsidRDefault="00F64D60" w:rsidP="00F64D60">
      <w:pPr>
        <w:pStyle w:val="Bullet1"/>
      </w:pPr>
      <w:r>
        <w:t>The reference capital cost for a 50 MW unit is $21 million.</w:t>
      </w:r>
    </w:p>
    <w:p w14:paraId="44397A25" w14:textId="52C1E259" w:rsidR="00F64D60" w:rsidRDefault="00F64D60" w:rsidP="00F64D60">
      <w:pPr>
        <w:pStyle w:val="Bullet1"/>
        <w:rPr>
          <w:rStyle w:val="BodyTextChar"/>
        </w:rPr>
      </w:pPr>
      <w:r>
        <w:t xml:space="preserve">Capital costs </w:t>
      </w:r>
      <w:r w:rsidR="00503110">
        <w:t xml:space="preserve">were </w:t>
      </w:r>
      <w:r>
        <w:t xml:space="preserve">estimated based on the reference costs and the assumed proportion of national production of petrol per state, as </w:t>
      </w:r>
      <w:r w:rsidRPr="0000289A">
        <w:rPr>
          <w:rStyle w:val="BodyTextChar"/>
        </w:rPr>
        <w:t xml:space="preserve">summarised below in </w:t>
      </w:r>
      <w:r w:rsidRPr="0000289A">
        <w:rPr>
          <w:rStyle w:val="BodyTextChar"/>
        </w:rPr>
        <w:fldChar w:fldCharType="begin"/>
      </w:r>
      <w:r w:rsidRPr="0000289A">
        <w:rPr>
          <w:rStyle w:val="BodyTextChar"/>
        </w:rPr>
        <w:instrText xml:space="preserve"> REF _Ref508122108 \h </w:instrText>
      </w:r>
      <w:r>
        <w:rPr>
          <w:rStyle w:val="BodyTextChar"/>
        </w:rPr>
        <w:instrText xml:space="preserve"> \* MERGEFORMAT </w:instrText>
      </w:r>
      <w:r w:rsidRPr="0000289A">
        <w:rPr>
          <w:rStyle w:val="BodyTextChar"/>
        </w:rPr>
      </w:r>
      <w:r w:rsidRPr="0000289A">
        <w:rPr>
          <w:rStyle w:val="BodyTextChar"/>
        </w:rPr>
        <w:fldChar w:fldCharType="separate"/>
      </w:r>
      <w:r w:rsidR="00A50702" w:rsidRPr="00A50702">
        <w:rPr>
          <w:rStyle w:val="BodyTextChar"/>
        </w:rPr>
        <w:t>Table C</w:t>
      </w:r>
      <w:r w:rsidR="00A50702" w:rsidRPr="00A50702">
        <w:rPr>
          <w:rStyle w:val="BodyTextChar"/>
        </w:rPr>
        <w:noBreakHyphen/>
        <w:t>11</w:t>
      </w:r>
      <w:r w:rsidRPr="0000289A">
        <w:rPr>
          <w:rStyle w:val="BodyTextChar"/>
        </w:rPr>
        <w:fldChar w:fldCharType="end"/>
      </w:r>
      <w:r>
        <w:rPr>
          <w:rStyle w:val="BodyTextChar"/>
        </w:rPr>
        <w:t>, using the formula below</w:t>
      </w:r>
      <w:r w:rsidRPr="0000289A">
        <w:rPr>
          <w:rStyle w:val="BodyTextChar"/>
        </w:rPr>
        <w:t>.</w:t>
      </w:r>
    </w:p>
    <w:p w14:paraId="6C0FB7CD" w14:textId="33C8D62D" w:rsidR="00F64D60" w:rsidRPr="00484C1F" w:rsidRDefault="00B93345" w:rsidP="00484C1F">
      <w:pPr>
        <w:pStyle w:val="BodyText"/>
        <w:rPr>
          <w:rStyle w:val="BodyTextChar"/>
          <w:rFonts w:eastAsiaTheme="minorEastAsia"/>
        </w:rPr>
      </w:pPr>
      <m:oMathPara>
        <m:oMath>
          <m:f>
            <m:fPr>
              <m:ctrlPr>
                <w:rPr>
                  <w:rStyle w:val="BodyTextChar"/>
                  <w:rFonts w:ascii="Cambria Math" w:hAnsi="Cambria Math"/>
                </w:rPr>
              </m:ctrlPr>
            </m:fPr>
            <m:num>
              <m:r>
                <w:rPr>
                  <w:rStyle w:val="BodyTextChar"/>
                  <w:rFonts w:ascii="Cambria Math" w:hAnsi="Cambria Math"/>
                </w:rPr>
                <m:t>Cost</m:t>
              </m:r>
              <m:r>
                <m:rPr>
                  <m:sty m:val="p"/>
                </m:rPr>
                <w:rPr>
                  <w:rStyle w:val="BodyTextChar"/>
                  <w:rFonts w:ascii="Cambria Math" w:hAnsi="Cambria Math"/>
                </w:rPr>
                <m:t xml:space="preserve"> </m:t>
              </m:r>
              <m:r>
                <w:rPr>
                  <w:rStyle w:val="BodyTextChar"/>
                  <w:rFonts w:ascii="Cambria Math" w:hAnsi="Cambria Math"/>
                </w:rPr>
                <m:t>of</m:t>
              </m:r>
              <m:r>
                <m:rPr>
                  <m:sty m:val="p"/>
                </m:rPr>
                <w:rPr>
                  <w:rStyle w:val="BodyTextChar"/>
                  <w:rFonts w:ascii="Cambria Math" w:hAnsi="Cambria Math"/>
                </w:rPr>
                <m:t xml:space="preserve"> </m:t>
              </m:r>
              <m:r>
                <w:rPr>
                  <w:rStyle w:val="BodyTextChar"/>
                  <w:rFonts w:ascii="Cambria Math" w:hAnsi="Cambria Math"/>
                </w:rPr>
                <m:t>unit</m:t>
              </m:r>
              <m:r>
                <m:rPr>
                  <m:sty m:val="p"/>
                </m:rPr>
                <w:rPr>
                  <w:rStyle w:val="BodyTextChar"/>
                  <w:rFonts w:ascii="Cambria Math" w:hAnsi="Cambria Math"/>
                </w:rPr>
                <m:t xml:space="preserve"> </m:t>
              </m:r>
            </m:num>
            <m:den>
              <m:sSub>
                <m:sSubPr>
                  <m:ctrlPr>
                    <w:rPr>
                      <w:rStyle w:val="BodyTextChar"/>
                      <w:rFonts w:ascii="Cambria Math" w:hAnsi="Cambria Math"/>
                    </w:rPr>
                  </m:ctrlPr>
                </m:sSubPr>
                <m:e>
                  <m:r>
                    <w:rPr>
                      <w:rStyle w:val="BodyTextChar"/>
                      <w:rFonts w:ascii="Cambria Math" w:hAnsi="Cambria Math"/>
                    </w:rPr>
                    <m:t>Cost</m:t>
                  </m:r>
                  <m:r>
                    <m:rPr>
                      <m:sty m:val="p"/>
                    </m:rPr>
                    <w:rPr>
                      <w:rStyle w:val="BodyTextChar"/>
                      <w:rFonts w:ascii="Cambria Math" w:hAnsi="Cambria Math"/>
                    </w:rPr>
                    <m:t xml:space="preserve"> </m:t>
                  </m:r>
                  <m:r>
                    <w:rPr>
                      <w:rStyle w:val="BodyTextChar"/>
                      <w:rFonts w:ascii="Cambria Math" w:hAnsi="Cambria Math"/>
                    </w:rPr>
                    <m:t>of</m:t>
                  </m:r>
                  <m:r>
                    <m:rPr>
                      <m:sty m:val="p"/>
                    </m:rPr>
                    <w:rPr>
                      <w:rStyle w:val="BodyTextChar"/>
                      <w:rFonts w:ascii="Cambria Math" w:hAnsi="Cambria Math"/>
                    </w:rPr>
                    <m:t xml:space="preserve"> </m:t>
                  </m:r>
                  <m:r>
                    <w:rPr>
                      <w:rStyle w:val="BodyTextChar"/>
                      <w:rFonts w:ascii="Cambria Math" w:hAnsi="Cambria Math"/>
                    </w:rPr>
                    <m:t>unit</m:t>
                  </m:r>
                </m:e>
                <m:sub>
                  <m:r>
                    <w:rPr>
                      <w:rStyle w:val="BodyTextChar"/>
                      <w:rFonts w:ascii="Cambria Math" w:hAnsi="Cambria Math"/>
                    </w:rPr>
                    <m:t>reference</m:t>
                  </m:r>
                </m:sub>
              </m:sSub>
            </m:den>
          </m:f>
          <m:r>
            <m:rPr>
              <m:sty m:val="p"/>
            </m:rPr>
            <w:rPr>
              <w:rStyle w:val="BodyTextChar"/>
              <w:rFonts w:ascii="Cambria Math" w:hAnsi="Cambria Math"/>
            </w:rPr>
            <m:t>=</m:t>
          </m:r>
          <m:sSup>
            <m:sSupPr>
              <m:ctrlPr>
                <w:rPr>
                  <w:rStyle w:val="BodyTextChar"/>
                  <w:rFonts w:ascii="Cambria Math" w:hAnsi="Cambria Math"/>
                </w:rPr>
              </m:ctrlPr>
            </m:sSupPr>
            <m:e>
              <m:d>
                <m:dPr>
                  <m:ctrlPr>
                    <w:rPr>
                      <w:rStyle w:val="BodyTextChar"/>
                      <w:rFonts w:ascii="Cambria Math" w:hAnsi="Cambria Math"/>
                    </w:rPr>
                  </m:ctrlPr>
                </m:dPr>
                <m:e>
                  <m:f>
                    <m:fPr>
                      <m:ctrlPr>
                        <w:rPr>
                          <w:rStyle w:val="BodyTextChar"/>
                          <w:rFonts w:ascii="Cambria Math" w:hAnsi="Cambria Math"/>
                        </w:rPr>
                      </m:ctrlPr>
                    </m:fPr>
                    <m:num>
                      <m:r>
                        <w:rPr>
                          <w:rStyle w:val="BodyTextChar"/>
                          <w:rFonts w:ascii="Cambria Math" w:hAnsi="Cambria Math"/>
                        </w:rPr>
                        <m:t>MW</m:t>
                      </m:r>
                    </m:num>
                    <m:den>
                      <m:r>
                        <w:rPr>
                          <w:rStyle w:val="BodyTextChar"/>
                          <w:rFonts w:ascii="Cambria Math" w:hAnsi="Cambria Math"/>
                        </w:rPr>
                        <m:t>M</m:t>
                      </m:r>
                      <m:sSub>
                        <m:sSubPr>
                          <m:ctrlPr>
                            <w:rPr>
                              <w:rStyle w:val="BodyTextChar"/>
                              <w:rFonts w:ascii="Cambria Math" w:hAnsi="Cambria Math"/>
                            </w:rPr>
                          </m:ctrlPr>
                        </m:sSubPr>
                        <m:e>
                          <m:r>
                            <w:rPr>
                              <w:rStyle w:val="BodyTextChar"/>
                              <w:rFonts w:ascii="Cambria Math" w:hAnsi="Cambria Math"/>
                            </w:rPr>
                            <m:t>W</m:t>
                          </m:r>
                        </m:e>
                        <m:sub>
                          <m:r>
                            <w:rPr>
                              <w:rStyle w:val="BodyTextChar"/>
                              <w:rFonts w:ascii="Cambria Math" w:hAnsi="Cambria Math"/>
                            </w:rPr>
                            <m:t>reference</m:t>
                          </m:r>
                        </m:sub>
                      </m:sSub>
                    </m:den>
                  </m:f>
                </m:e>
              </m:d>
            </m:e>
            <m:sup>
              <m:r>
                <m:rPr>
                  <m:sty m:val="p"/>
                </m:rPr>
                <w:rPr>
                  <w:rStyle w:val="BodyTextChar"/>
                  <w:rFonts w:ascii="Cambria Math" w:hAnsi="Cambria Math"/>
                </w:rPr>
                <m:t>0.6</m:t>
              </m:r>
            </m:sup>
          </m:sSup>
        </m:oMath>
      </m:oMathPara>
    </w:p>
    <w:p w14:paraId="3ACD5D01" w14:textId="77777777" w:rsidR="00484C1F" w:rsidRPr="00484C1F" w:rsidRDefault="00484C1F" w:rsidP="00484C1F">
      <w:pPr>
        <w:pStyle w:val="BodyText"/>
        <w:rPr>
          <w:rStyle w:val="BodyTextChar"/>
        </w:rPr>
      </w:pPr>
    </w:p>
    <w:p w14:paraId="320B35ED" w14:textId="6F6C59D6" w:rsidR="00F64D60" w:rsidRPr="001461D0" w:rsidRDefault="00F64D60" w:rsidP="001461D0">
      <w:pPr>
        <w:pStyle w:val="BodyText"/>
        <w:keepNext/>
        <w:rPr>
          <w:b/>
          <w:bCs/>
          <w:color w:val="353D30" w:themeColor="accent2"/>
          <w:sz w:val="18"/>
          <w:szCs w:val="18"/>
        </w:rPr>
      </w:pPr>
      <w:bookmarkStart w:id="163" w:name="_Ref508122108"/>
      <w:bookmarkStart w:id="164" w:name="_Toc508222221"/>
      <w:bookmarkStart w:id="165" w:name="_Toc518629931"/>
      <w:r w:rsidRPr="001461D0">
        <w:rPr>
          <w:b/>
          <w:bCs/>
          <w:color w:val="353D30" w:themeColor="accent2"/>
          <w:sz w:val="18"/>
          <w:szCs w:val="18"/>
        </w:rPr>
        <w:t xml:space="preserve">Table </w:t>
      </w:r>
      <w:r w:rsidR="001461D0">
        <w:rPr>
          <w:b/>
          <w:bCs/>
          <w:color w:val="353D30" w:themeColor="accent2"/>
          <w:sz w:val="18"/>
          <w:szCs w:val="18"/>
        </w:rPr>
        <w:t>C</w:t>
      </w:r>
      <w:r w:rsidRPr="001461D0">
        <w:rPr>
          <w:b/>
          <w:bCs/>
          <w:color w:val="353D30" w:themeColor="accent2"/>
          <w:sz w:val="18"/>
          <w:szCs w:val="18"/>
        </w:rPr>
        <w:noBreakHyphen/>
      </w:r>
      <w:r w:rsidRPr="001461D0">
        <w:rPr>
          <w:b/>
          <w:bCs/>
          <w:color w:val="353D30" w:themeColor="accent2"/>
          <w:sz w:val="18"/>
          <w:szCs w:val="18"/>
        </w:rPr>
        <w:fldChar w:fldCharType="begin"/>
      </w:r>
      <w:r w:rsidRPr="001461D0">
        <w:rPr>
          <w:b/>
          <w:bCs/>
          <w:color w:val="353D30" w:themeColor="accent2"/>
          <w:sz w:val="18"/>
          <w:szCs w:val="18"/>
        </w:rPr>
        <w:instrText xml:space="preserve"> SEQ Table \* ARABIC \s 1 </w:instrText>
      </w:r>
      <w:r w:rsidRPr="001461D0">
        <w:rPr>
          <w:b/>
          <w:bCs/>
          <w:color w:val="353D30" w:themeColor="accent2"/>
          <w:sz w:val="18"/>
          <w:szCs w:val="18"/>
        </w:rPr>
        <w:fldChar w:fldCharType="separate"/>
      </w:r>
      <w:r w:rsidR="00A50702">
        <w:rPr>
          <w:b/>
          <w:bCs/>
          <w:noProof/>
          <w:color w:val="353D30" w:themeColor="accent2"/>
          <w:sz w:val="18"/>
          <w:szCs w:val="18"/>
        </w:rPr>
        <w:t>11</w:t>
      </w:r>
      <w:r w:rsidRPr="001461D0">
        <w:rPr>
          <w:b/>
          <w:bCs/>
          <w:color w:val="353D30" w:themeColor="accent2"/>
          <w:sz w:val="18"/>
          <w:szCs w:val="18"/>
        </w:rPr>
        <w:fldChar w:fldCharType="end"/>
      </w:r>
      <w:bookmarkEnd w:id="163"/>
      <w:r w:rsidRPr="001461D0">
        <w:rPr>
          <w:b/>
          <w:bCs/>
          <w:color w:val="353D30" w:themeColor="accent2"/>
          <w:sz w:val="18"/>
          <w:szCs w:val="18"/>
        </w:rPr>
        <w:t xml:space="preserve"> Abatement measure 14 – Capital costs</w:t>
      </w:r>
      <w:bookmarkEnd w:id="164"/>
      <w:bookmarkEnd w:id="165"/>
    </w:p>
    <w:tbl>
      <w:tblPr>
        <w:tblStyle w:val="AureconTable4"/>
        <w:tblW w:w="5000" w:type="pct"/>
        <w:tblLook w:val="04A0" w:firstRow="1" w:lastRow="0" w:firstColumn="1" w:lastColumn="0" w:noHBand="0" w:noVBand="1"/>
      </w:tblPr>
      <w:tblGrid>
        <w:gridCol w:w="2408"/>
        <w:gridCol w:w="2407"/>
        <w:gridCol w:w="2407"/>
        <w:gridCol w:w="2407"/>
      </w:tblGrid>
      <w:tr w:rsidR="00F64D60" w14:paraId="7AE086B9" w14:textId="77777777" w:rsidTr="001461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tcPr>
          <w:p w14:paraId="732081B6" w14:textId="77777777" w:rsidR="00F64D60" w:rsidRDefault="00F64D60" w:rsidP="001461D0">
            <w:pPr>
              <w:pStyle w:val="BodyText"/>
              <w:jc w:val="center"/>
            </w:pPr>
            <w:r>
              <w:t>State</w:t>
            </w:r>
          </w:p>
        </w:tc>
        <w:tc>
          <w:tcPr>
            <w:tcW w:w="1250" w:type="pct"/>
          </w:tcPr>
          <w:p w14:paraId="411D214C" w14:textId="77777777" w:rsidR="00F64D60" w:rsidRDefault="00F64D60" w:rsidP="001461D0">
            <w:pPr>
              <w:pStyle w:val="BodyText"/>
              <w:jc w:val="center"/>
              <w:cnfStyle w:val="100000000000" w:firstRow="1" w:lastRow="0" w:firstColumn="0" w:lastColumn="0" w:oddVBand="0" w:evenVBand="0" w:oddHBand="0" w:evenHBand="0" w:firstRowFirstColumn="0" w:firstRowLastColumn="0" w:lastRowFirstColumn="0" w:lastRowLastColumn="0"/>
            </w:pPr>
            <w:r>
              <w:t>Assumed proportion of national production (%)</w:t>
            </w:r>
          </w:p>
        </w:tc>
        <w:tc>
          <w:tcPr>
            <w:tcW w:w="1250" w:type="pct"/>
          </w:tcPr>
          <w:p w14:paraId="159335F5" w14:textId="77777777" w:rsidR="00F64D60" w:rsidRDefault="00F64D60" w:rsidP="001461D0">
            <w:pPr>
              <w:pStyle w:val="BodyText"/>
              <w:jc w:val="center"/>
              <w:cnfStyle w:val="100000000000" w:firstRow="1" w:lastRow="0" w:firstColumn="0" w:lastColumn="0" w:oddVBand="0" w:evenVBand="0" w:oddHBand="0" w:evenHBand="0" w:firstRowFirstColumn="0" w:firstRowLastColumn="0" w:lastRowFirstColumn="0" w:lastRowLastColumn="0"/>
            </w:pPr>
            <w:r>
              <w:t>Assumed energy requirement (MW)</w:t>
            </w:r>
          </w:p>
        </w:tc>
        <w:tc>
          <w:tcPr>
            <w:tcW w:w="1250" w:type="pct"/>
          </w:tcPr>
          <w:p w14:paraId="4B89A735" w14:textId="77777777" w:rsidR="00F64D60" w:rsidRDefault="00F64D60" w:rsidP="001461D0">
            <w:pPr>
              <w:pStyle w:val="BodyText"/>
              <w:jc w:val="center"/>
              <w:cnfStyle w:val="100000000000" w:firstRow="1" w:lastRow="0" w:firstColumn="0" w:lastColumn="0" w:oddVBand="0" w:evenVBand="0" w:oddHBand="0" w:evenHBand="0" w:firstRowFirstColumn="0" w:firstRowLastColumn="0" w:lastRowFirstColumn="0" w:lastRowLastColumn="0"/>
            </w:pPr>
            <w:r>
              <w:t>Cost ($M 2016)</w:t>
            </w:r>
          </w:p>
        </w:tc>
      </w:tr>
      <w:tr w:rsidR="00F64D60" w14:paraId="1AE0EE88" w14:textId="77777777" w:rsidTr="001461D0">
        <w:tc>
          <w:tcPr>
            <w:cnfStyle w:val="001000000000" w:firstRow="0" w:lastRow="0" w:firstColumn="1" w:lastColumn="0" w:oddVBand="0" w:evenVBand="0" w:oddHBand="0" w:evenHBand="0" w:firstRowFirstColumn="0" w:firstRowLastColumn="0" w:lastRowFirstColumn="0" w:lastRowLastColumn="0"/>
            <w:tcW w:w="1250" w:type="pct"/>
          </w:tcPr>
          <w:p w14:paraId="129D6BAF" w14:textId="77777777" w:rsidR="00F64D60" w:rsidRDefault="00F64D60" w:rsidP="001461D0">
            <w:pPr>
              <w:pStyle w:val="BodyText"/>
              <w:jc w:val="center"/>
            </w:pPr>
            <w:r>
              <w:t>ACT</w:t>
            </w:r>
          </w:p>
        </w:tc>
        <w:tc>
          <w:tcPr>
            <w:tcW w:w="1250" w:type="pct"/>
          </w:tcPr>
          <w:p w14:paraId="3C38D172" w14:textId="5C4752BC" w:rsidR="00F64D60" w:rsidRDefault="00897A51" w:rsidP="001461D0">
            <w:pPr>
              <w:pStyle w:val="BodyText"/>
              <w:jc w:val="center"/>
              <w:cnfStyle w:val="000000000000" w:firstRow="0" w:lastRow="0" w:firstColumn="0" w:lastColumn="0" w:oddVBand="0" w:evenVBand="0" w:oddHBand="0" w:evenHBand="0" w:firstRowFirstColumn="0" w:firstRowLastColumn="0" w:lastRowFirstColumn="0" w:lastRowLastColumn="0"/>
            </w:pPr>
            <w:r>
              <w:t>-</w:t>
            </w:r>
          </w:p>
        </w:tc>
        <w:tc>
          <w:tcPr>
            <w:tcW w:w="1250" w:type="pct"/>
          </w:tcPr>
          <w:p w14:paraId="6AC7D715" w14:textId="4398EE4D" w:rsidR="00F64D60" w:rsidRDefault="00897A51" w:rsidP="001461D0">
            <w:pPr>
              <w:pStyle w:val="BodyText"/>
              <w:jc w:val="center"/>
              <w:cnfStyle w:val="000000000000" w:firstRow="0" w:lastRow="0" w:firstColumn="0" w:lastColumn="0" w:oddVBand="0" w:evenVBand="0" w:oddHBand="0" w:evenHBand="0" w:firstRowFirstColumn="0" w:firstRowLastColumn="0" w:lastRowFirstColumn="0" w:lastRowLastColumn="0"/>
            </w:pPr>
            <w:r>
              <w:t>-</w:t>
            </w:r>
          </w:p>
        </w:tc>
        <w:tc>
          <w:tcPr>
            <w:tcW w:w="1250" w:type="pct"/>
          </w:tcPr>
          <w:p w14:paraId="0F932436" w14:textId="1D6BFEC8" w:rsidR="00F64D60" w:rsidRDefault="00897A51" w:rsidP="001461D0">
            <w:pPr>
              <w:pStyle w:val="BodyText"/>
              <w:jc w:val="center"/>
              <w:cnfStyle w:val="000000000000" w:firstRow="0" w:lastRow="0" w:firstColumn="0" w:lastColumn="0" w:oddVBand="0" w:evenVBand="0" w:oddHBand="0" w:evenHBand="0" w:firstRowFirstColumn="0" w:firstRowLastColumn="0" w:lastRowFirstColumn="0" w:lastRowLastColumn="0"/>
            </w:pPr>
            <w:r>
              <w:t>-</w:t>
            </w:r>
          </w:p>
        </w:tc>
      </w:tr>
      <w:tr w:rsidR="00F64D60" w14:paraId="5FF9F4F3" w14:textId="77777777" w:rsidTr="001461D0">
        <w:tc>
          <w:tcPr>
            <w:cnfStyle w:val="001000000000" w:firstRow="0" w:lastRow="0" w:firstColumn="1" w:lastColumn="0" w:oddVBand="0" w:evenVBand="0" w:oddHBand="0" w:evenHBand="0" w:firstRowFirstColumn="0" w:firstRowLastColumn="0" w:lastRowFirstColumn="0" w:lastRowLastColumn="0"/>
            <w:tcW w:w="1250" w:type="pct"/>
          </w:tcPr>
          <w:p w14:paraId="422B92C0" w14:textId="77777777" w:rsidR="00F64D60" w:rsidRDefault="00F64D60" w:rsidP="001461D0">
            <w:pPr>
              <w:pStyle w:val="BodyText"/>
              <w:jc w:val="center"/>
            </w:pPr>
            <w:r>
              <w:t>NSW</w:t>
            </w:r>
          </w:p>
        </w:tc>
        <w:tc>
          <w:tcPr>
            <w:tcW w:w="1250" w:type="pct"/>
          </w:tcPr>
          <w:p w14:paraId="1CA9A432" w14:textId="77777777" w:rsidR="00F64D60" w:rsidRDefault="00F64D60" w:rsidP="001461D0">
            <w:pPr>
              <w:pStyle w:val="BodyText"/>
              <w:jc w:val="center"/>
              <w:cnfStyle w:val="000000000000" w:firstRow="0" w:lastRow="0" w:firstColumn="0" w:lastColumn="0" w:oddVBand="0" w:evenVBand="0" w:oddHBand="0" w:evenHBand="0" w:firstRowFirstColumn="0" w:firstRowLastColumn="0" w:lastRowFirstColumn="0" w:lastRowLastColumn="0"/>
            </w:pPr>
            <w:r>
              <w:t>7</w:t>
            </w:r>
          </w:p>
        </w:tc>
        <w:tc>
          <w:tcPr>
            <w:tcW w:w="1250" w:type="pct"/>
          </w:tcPr>
          <w:p w14:paraId="330CE0D7" w14:textId="77777777" w:rsidR="00F64D60" w:rsidRDefault="00F64D60" w:rsidP="001461D0">
            <w:pPr>
              <w:pStyle w:val="BodyText"/>
              <w:jc w:val="center"/>
              <w:cnfStyle w:val="000000000000" w:firstRow="0" w:lastRow="0" w:firstColumn="0" w:lastColumn="0" w:oddVBand="0" w:evenVBand="0" w:oddHBand="0" w:evenHBand="0" w:firstRowFirstColumn="0" w:firstRowLastColumn="0" w:lastRowFirstColumn="0" w:lastRowLastColumn="0"/>
            </w:pPr>
            <w:r>
              <w:t>30</w:t>
            </w:r>
          </w:p>
        </w:tc>
        <w:tc>
          <w:tcPr>
            <w:tcW w:w="1250" w:type="pct"/>
          </w:tcPr>
          <w:p w14:paraId="101A674F" w14:textId="77777777" w:rsidR="00F64D60" w:rsidRDefault="00F64D60" w:rsidP="001461D0">
            <w:pPr>
              <w:pStyle w:val="BodyText"/>
              <w:jc w:val="center"/>
              <w:cnfStyle w:val="000000000000" w:firstRow="0" w:lastRow="0" w:firstColumn="0" w:lastColumn="0" w:oddVBand="0" w:evenVBand="0" w:oddHBand="0" w:evenHBand="0" w:firstRowFirstColumn="0" w:firstRowLastColumn="0" w:lastRowFirstColumn="0" w:lastRowLastColumn="0"/>
            </w:pPr>
            <w:r>
              <w:t>16</w:t>
            </w:r>
          </w:p>
        </w:tc>
      </w:tr>
      <w:tr w:rsidR="00F64D60" w14:paraId="003432F3" w14:textId="77777777" w:rsidTr="001461D0">
        <w:tc>
          <w:tcPr>
            <w:cnfStyle w:val="001000000000" w:firstRow="0" w:lastRow="0" w:firstColumn="1" w:lastColumn="0" w:oddVBand="0" w:evenVBand="0" w:oddHBand="0" w:evenHBand="0" w:firstRowFirstColumn="0" w:firstRowLastColumn="0" w:lastRowFirstColumn="0" w:lastRowLastColumn="0"/>
            <w:tcW w:w="1250" w:type="pct"/>
          </w:tcPr>
          <w:p w14:paraId="1336F169" w14:textId="77777777" w:rsidR="00F64D60" w:rsidRDefault="00F64D60" w:rsidP="001461D0">
            <w:pPr>
              <w:pStyle w:val="BodyText"/>
              <w:jc w:val="center"/>
            </w:pPr>
            <w:r>
              <w:t>NT</w:t>
            </w:r>
          </w:p>
        </w:tc>
        <w:tc>
          <w:tcPr>
            <w:tcW w:w="1250" w:type="pct"/>
          </w:tcPr>
          <w:p w14:paraId="3DD80889" w14:textId="27C398FF" w:rsidR="00F64D60" w:rsidRDefault="00897A51" w:rsidP="001461D0">
            <w:pPr>
              <w:pStyle w:val="BodyText"/>
              <w:jc w:val="center"/>
              <w:cnfStyle w:val="000000000000" w:firstRow="0" w:lastRow="0" w:firstColumn="0" w:lastColumn="0" w:oddVBand="0" w:evenVBand="0" w:oddHBand="0" w:evenHBand="0" w:firstRowFirstColumn="0" w:firstRowLastColumn="0" w:lastRowFirstColumn="0" w:lastRowLastColumn="0"/>
            </w:pPr>
            <w:r>
              <w:t>-</w:t>
            </w:r>
          </w:p>
        </w:tc>
        <w:tc>
          <w:tcPr>
            <w:tcW w:w="1250" w:type="pct"/>
          </w:tcPr>
          <w:p w14:paraId="23CC3CDF" w14:textId="162D00A5" w:rsidR="00F64D60" w:rsidRDefault="00897A51" w:rsidP="001461D0">
            <w:pPr>
              <w:pStyle w:val="BodyText"/>
              <w:jc w:val="center"/>
              <w:cnfStyle w:val="000000000000" w:firstRow="0" w:lastRow="0" w:firstColumn="0" w:lastColumn="0" w:oddVBand="0" w:evenVBand="0" w:oddHBand="0" w:evenHBand="0" w:firstRowFirstColumn="0" w:firstRowLastColumn="0" w:lastRowFirstColumn="0" w:lastRowLastColumn="0"/>
            </w:pPr>
            <w:r>
              <w:t>-</w:t>
            </w:r>
          </w:p>
        </w:tc>
        <w:tc>
          <w:tcPr>
            <w:tcW w:w="1250" w:type="pct"/>
          </w:tcPr>
          <w:p w14:paraId="6D480D54" w14:textId="2ACAB5EE" w:rsidR="00F64D60" w:rsidRDefault="00897A51" w:rsidP="001461D0">
            <w:pPr>
              <w:pStyle w:val="BodyText"/>
              <w:jc w:val="center"/>
              <w:cnfStyle w:val="000000000000" w:firstRow="0" w:lastRow="0" w:firstColumn="0" w:lastColumn="0" w:oddVBand="0" w:evenVBand="0" w:oddHBand="0" w:evenHBand="0" w:firstRowFirstColumn="0" w:firstRowLastColumn="0" w:lastRowFirstColumn="0" w:lastRowLastColumn="0"/>
            </w:pPr>
            <w:r>
              <w:t>-</w:t>
            </w:r>
          </w:p>
        </w:tc>
      </w:tr>
      <w:tr w:rsidR="00F64D60" w14:paraId="0170C8A8" w14:textId="77777777" w:rsidTr="001461D0">
        <w:tc>
          <w:tcPr>
            <w:cnfStyle w:val="001000000000" w:firstRow="0" w:lastRow="0" w:firstColumn="1" w:lastColumn="0" w:oddVBand="0" w:evenVBand="0" w:oddHBand="0" w:evenHBand="0" w:firstRowFirstColumn="0" w:firstRowLastColumn="0" w:lastRowFirstColumn="0" w:lastRowLastColumn="0"/>
            <w:tcW w:w="1250" w:type="pct"/>
          </w:tcPr>
          <w:p w14:paraId="6D934940" w14:textId="77777777" w:rsidR="00F64D60" w:rsidRDefault="00F64D60" w:rsidP="001461D0">
            <w:pPr>
              <w:pStyle w:val="BodyText"/>
              <w:jc w:val="center"/>
            </w:pPr>
            <w:r>
              <w:t>QLD</w:t>
            </w:r>
          </w:p>
        </w:tc>
        <w:tc>
          <w:tcPr>
            <w:tcW w:w="1250" w:type="pct"/>
          </w:tcPr>
          <w:p w14:paraId="466E0633" w14:textId="77777777" w:rsidR="00F64D60" w:rsidRDefault="00F64D60" w:rsidP="001461D0">
            <w:pPr>
              <w:pStyle w:val="BodyText"/>
              <w:jc w:val="center"/>
              <w:cnfStyle w:val="000000000000" w:firstRow="0" w:lastRow="0" w:firstColumn="0" w:lastColumn="0" w:oddVBand="0" w:evenVBand="0" w:oddHBand="0" w:evenHBand="0" w:firstRowFirstColumn="0" w:firstRowLastColumn="0" w:lastRowFirstColumn="0" w:lastRowLastColumn="0"/>
            </w:pPr>
            <w:r>
              <w:t>23</w:t>
            </w:r>
          </w:p>
        </w:tc>
        <w:tc>
          <w:tcPr>
            <w:tcW w:w="1250" w:type="pct"/>
          </w:tcPr>
          <w:p w14:paraId="05F0B49D" w14:textId="77777777" w:rsidR="00F64D60" w:rsidRDefault="00F64D60" w:rsidP="001461D0">
            <w:pPr>
              <w:pStyle w:val="BodyText"/>
              <w:jc w:val="center"/>
              <w:cnfStyle w:val="000000000000" w:firstRow="0" w:lastRow="0" w:firstColumn="0" w:lastColumn="0" w:oddVBand="0" w:evenVBand="0" w:oddHBand="0" w:evenHBand="0" w:firstRowFirstColumn="0" w:firstRowLastColumn="0" w:lastRowFirstColumn="0" w:lastRowLastColumn="0"/>
            </w:pPr>
            <w:r>
              <w:t>90</w:t>
            </w:r>
          </w:p>
        </w:tc>
        <w:tc>
          <w:tcPr>
            <w:tcW w:w="1250" w:type="pct"/>
          </w:tcPr>
          <w:p w14:paraId="7E4D9597" w14:textId="77777777" w:rsidR="00F64D60" w:rsidRDefault="00F64D60" w:rsidP="001461D0">
            <w:pPr>
              <w:pStyle w:val="BodyText"/>
              <w:jc w:val="center"/>
              <w:cnfStyle w:val="000000000000" w:firstRow="0" w:lastRow="0" w:firstColumn="0" w:lastColumn="0" w:oddVBand="0" w:evenVBand="0" w:oddHBand="0" w:evenHBand="0" w:firstRowFirstColumn="0" w:firstRowLastColumn="0" w:lastRowFirstColumn="0" w:lastRowLastColumn="0"/>
            </w:pPr>
            <w:r>
              <w:t>30</w:t>
            </w:r>
          </w:p>
        </w:tc>
      </w:tr>
      <w:tr w:rsidR="00F64D60" w14:paraId="0851C14D" w14:textId="77777777" w:rsidTr="001461D0">
        <w:tc>
          <w:tcPr>
            <w:cnfStyle w:val="001000000000" w:firstRow="0" w:lastRow="0" w:firstColumn="1" w:lastColumn="0" w:oddVBand="0" w:evenVBand="0" w:oddHBand="0" w:evenHBand="0" w:firstRowFirstColumn="0" w:firstRowLastColumn="0" w:lastRowFirstColumn="0" w:lastRowLastColumn="0"/>
            <w:tcW w:w="1250" w:type="pct"/>
          </w:tcPr>
          <w:p w14:paraId="5ECE7FD0" w14:textId="77777777" w:rsidR="00F64D60" w:rsidRDefault="00F64D60" w:rsidP="001461D0">
            <w:pPr>
              <w:pStyle w:val="BodyText"/>
              <w:jc w:val="center"/>
            </w:pPr>
            <w:r>
              <w:t>SA</w:t>
            </w:r>
          </w:p>
        </w:tc>
        <w:tc>
          <w:tcPr>
            <w:tcW w:w="1250" w:type="pct"/>
          </w:tcPr>
          <w:p w14:paraId="330A43E7" w14:textId="7795B51F" w:rsidR="00F64D60" w:rsidRDefault="00897A51" w:rsidP="001461D0">
            <w:pPr>
              <w:pStyle w:val="BodyText"/>
              <w:jc w:val="center"/>
              <w:cnfStyle w:val="000000000000" w:firstRow="0" w:lastRow="0" w:firstColumn="0" w:lastColumn="0" w:oddVBand="0" w:evenVBand="0" w:oddHBand="0" w:evenHBand="0" w:firstRowFirstColumn="0" w:firstRowLastColumn="0" w:lastRowFirstColumn="0" w:lastRowLastColumn="0"/>
            </w:pPr>
            <w:r>
              <w:t>-</w:t>
            </w:r>
          </w:p>
        </w:tc>
        <w:tc>
          <w:tcPr>
            <w:tcW w:w="1250" w:type="pct"/>
          </w:tcPr>
          <w:p w14:paraId="2BDBC518" w14:textId="02F5AEA4" w:rsidR="00F64D60" w:rsidRDefault="00897A51" w:rsidP="001461D0">
            <w:pPr>
              <w:pStyle w:val="BodyText"/>
              <w:jc w:val="center"/>
              <w:cnfStyle w:val="000000000000" w:firstRow="0" w:lastRow="0" w:firstColumn="0" w:lastColumn="0" w:oddVBand="0" w:evenVBand="0" w:oddHBand="0" w:evenHBand="0" w:firstRowFirstColumn="0" w:firstRowLastColumn="0" w:lastRowFirstColumn="0" w:lastRowLastColumn="0"/>
            </w:pPr>
            <w:r>
              <w:t>-</w:t>
            </w:r>
          </w:p>
        </w:tc>
        <w:tc>
          <w:tcPr>
            <w:tcW w:w="1250" w:type="pct"/>
          </w:tcPr>
          <w:p w14:paraId="2924EAD5" w14:textId="0898DB94" w:rsidR="00F64D60" w:rsidRDefault="00897A51" w:rsidP="001461D0">
            <w:pPr>
              <w:pStyle w:val="BodyText"/>
              <w:jc w:val="center"/>
              <w:cnfStyle w:val="000000000000" w:firstRow="0" w:lastRow="0" w:firstColumn="0" w:lastColumn="0" w:oddVBand="0" w:evenVBand="0" w:oddHBand="0" w:evenHBand="0" w:firstRowFirstColumn="0" w:firstRowLastColumn="0" w:lastRowFirstColumn="0" w:lastRowLastColumn="0"/>
            </w:pPr>
            <w:r>
              <w:t>-</w:t>
            </w:r>
          </w:p>
        </w:tc>
      </w:tr>
      <w:tr w:rsidR="00F64D60" w14:paraId="67E2BE1C" w14:textId="77777777" w:rsidTr="001461D0">
        <w:tc>
          <w:tcPr>
            <w:cnfStyle w:val="001000000000" w:firstRow="0" w:lastRow="0" w:firstColumn="1" w:lastColumn="0" w:oddVBand="0" w:evenVBand="0" w:oddHBand="0" w:evenHBand="0" w:firstRowFirstColumn="0" w:firstRowLastColumn="0" w:lastRowFirstColumn="0" w:lastRowLastColumn="0"/>
            <w:tcW w:w="1250" w:type="pct"/>
          </w:tcPr>
          <w:p w14:paraId="43716B3C" w14:textId="77777777" w:rsidR="00F64D60" w:rsidRDefault="00F64D60" w:rsidP="001461D0">
            <w:pPr>
              <w:pStyle w:val="BodyText"/>
              <w:jc w:val="center"/>
            </w:pPr>
            <w:r>
              <w:t>VIC</w:t>
            </w:r>
          </w:p>
        </w:tc>
        <w:tc>
          <w:tcPr>
            <w:tcW w:w="1250" w:type="pct"/>
          </w:tcPr>
          <w:p w14:paraId="712BA27A" w14:textId="77777777" w:rsidR="00F64D60" w:rsidRDefault="00F64D60" w:rsidP="001461D0">
            <w:pPr>
              <w:pStyle w:val="BodyText"/>
              <w:jc w:val="center"/>
              <w:cnfStyle w:val="000000000000" w:firstRow="0" w:lastRow="0" w:firstColumn="0" w:lastColumn="0" w:oddVBand="0" w:evenVBand="0" w:oddHBand="0" w:evenHBand="0" w:firstRowFirstColumn="0" w:firstRowLastColumn="0" w:lastRowFirstColumn="0" w:lastRowLastColumn="0"/>
            </w:pPr>
            <w:r>
              <w:t>42</w:t>
            </w:r>
          </w:p>
        </w:tc>
        <w:tc>
          <w:tcPr>
            <w:tcW w:w="1250" w:type="pct"/>
          </w:tcPr>
          <w:p w14:paraId="32051FAD" w14:textId="77777777" w:rsidR="00F64D60" w:rsidRDefault="00F64D60" w:rsidP="001461D0">
            <w:pPr>
              <w:pStyle w:val="BodyText"/>
              <w:jc w:val="center"/>
              <w:cnfStyle w:val="000000000000" w:firstRow="0" w:lastRow="0" w:firstColumn="0" w:lastColumn="0" w:oddVBand="0" w:evenVBand="0" w:oddHBand="0" w:evenHBand="0" w:firstRowFirstColumn="0" w:firstRowLastColumn="0" w:lastRowFirstColumn="0" w:lastRowLastColumn="0"/>
            </w:pPr>
            <w:r>
              <w:t>180</w:t>
            </w:r>
          </w:p>
        </w:tc>
        <w:tc>
          <w:tcPr>
            <w:tcW w:w="1250" w:type="pct"/>
          </w:tcPr>
          <w:p w14:paraId="099D0558" w14:textId="77777777" w:rsidR="00F64D60" w:rsidRDefault="00F64D60" w:rsidP="001461D0">
            <w:pPr>
              <w:pStyle w:val="BodyText"/>
              <w:jc w:val="center"/>
              <w:cnfStyle w:val="000000000000" w:firstRow="0" w:lastRow="0" w:firstColumn="0" w:lastColumn="0" w:oddVBand="0" w:evenVBand="0" w:oddHBand="0" w:evenHBand="0" w:firstRowFirstColumn="0" w:firstRowLastColumn="0" w:lastRowFirstColumn="0" w:lastRowLastColumn="0"/>
            </w:pPr>
            <w:r>
              <w:t>45</w:t>
            </w:r>
          </w:p>
        </w:tc>
      </w:tr>
      <w:tr w:rsidR="00F64D60" w14:paraId="1B7DAD97" w14:textId="77777777" w:rsidTr="001461D0">
        <w:tc>
          <w:tcPr>
            <w:cnfStyle w:val="001000000000" w:firstRow="0" w:lastRow="0" w:firstColumn="1" w:lastColumn="0" w:oddVBand="0" w:evenVBand="0" w:oddHBand="0" w:evenHBand="0" w:firstRowFirstColumn="0" w:firstRowLastColumn="0" w:lastRowFirstColumn="0" w:lastRowLastColumn="0"/>
            <w:tcW w:w="1250" w:type="pct"/>
          </w:tcPr>
          <w:p w14:paraId="00A41A68" w14:textId="77777777" w:rsidR="00F64D60" w:rsidRDefault="00F64D60" w:rsidP="001461D0">
            <w:pPr>
              <w:pStyle w:val="BodyText"/>
              <w:jc w:val="center"/>
            </w:pPr>
            <w:r>
              <w:t>WA</w:t>
            </w:r>
          </w:p>
        </w:tc>
        <w:tc>
          <w:tcPr>
            <w:tcW w:w="1250" w:type="pct"/>
          </w:tcPr>
          <w:p w14:paraId="3295C047" w14:textId="77777777" w:rsidR="00F64D60" w:rsidRDefault="00F64D60" w:rsidP="001461D0">
            <w:pPr>
              <w:pStyle w:val="BodyText"/>
              <w:jc w:val="center"/>
              <w:cnfStyle w:val="000000000000" w:firstRow="0" w:lastRow="0" w:firstColumn="0" w:lastColumn="0" w:oddVBand="0" w:evenVBand="0" w:oddHBand="0" w:evenHBand="0" w:firstRowFirstColumn="0" w:firstRowLastColumn="0" w:lastRowFirstColumn="0" w:lastRowLastColumn="0"/>
            </w:pPr>
            <w:r>
              <w:t>31</w:t>
            </w:r>
          </w:p>
        </w:tc>
        <w:tc>
          <w:tcPr>
            <w:tcW w:w="1250" w:type="pct"/>
          </w:tcPr>
          <w:p w14:paraId="35FE3BFC" w14:textId="77777777" w:rsidR="00F64D60" w:rsidRDefault="00F64D60" w:rsidP="001461D0">
            <w:pPr>
              <w:pStyle w:val="BodyText"/>
              <w:jc w:val="center"/>
              <w:cnfStyle w:val="000000000000" w:firstRow="0" w:lastRow="0" w:firstColumn="0" w:lastColumn="0" w:oddVBand="0" w:evenVBand="0" w:oddHBand="0" w:evenHBand="0" w:firstRowFirstColumn="0" w:firstRowLastColumn="0" w:lastRowFirstColumn="0" w:lastRowLastColumn="0"/>
            </w:pPr>
            <w:r>
              <w:t>120</w:t>
            </w:r>
          </w:p>
        </w:tc>
        <w:tc>
          <w:tcPr>
            <w:tcW w:w="1250" w:type="pct"/>
          </w:tcPr>
          <w:p w14:paraId="75500FDE" w14:textId="77777777" w:rsidR="00F64D60" w:rsidRDefault="00F64D60" w:rsidP="001461D0">
            <w:pPr>
              <w:pStyle w:val="BodyText"/>
              <w:jc w:val="center"/>
              <w:cnfStyle w:val="000000000000" w:firstRow="0" w:lastRow="0" w:firstColumn="0" w:lastColumn="0" w:oddVBand="0" w:evenVBand="0" w:oddHBand="0" w:evenHBand="0" w:firstRowFirstColumn="0" w:firstRowLastColumn="0" w:lastRowFirstColumn="0" w:lastRowLastColumn="0"/>
            </w:pPr>
            <w:r>
              <w:t>36</w:t>
            </w:r>
          </w:p>
        </w:tc>
      </w:tr>
    </w:tbl>
    <w:p w14:paraId="2642EDC3" w14:textId="5AFD3C25" w:rsidR="00F64D60" w:rsidRPr="00E80D83" w:rsidRDefault="00F64D60" w:rsidP="00F64D60">
      <w:pPr>
        <w:pStyle w:val="Heading6"/>
      </w:pPr>
      <w:r>
        <w:lastRenderedPageBreak/>
        <w:t>Operating and maintenance costs</w:t>
      </w:r>
    </w:p>
    <w:p w14:paraId="70A80ADC" w14:textId="77777777" w:rsidR="00F64D60" w:rsidRDefault="00F64D60" w:rsidP="00F64D60">
      <w:pPr>
        <w:pStyle w:val="BodyText"/>
      </w:pPr>
      <w:r>
        <w:t>The following assumptions have been used to estimate operating and maintenance costs:</w:t>
      </w:r>
    </w:p>
    <w:p w14:paraId="79B57C86" w14:textId="17FEBD1D" w:rsidR="00F64D60" w:rsidRPr="007348A5" w:rsidRDefault="00F64D60" w:rsidP="00F64D60">
      <w:pPr>
        <w:pStyle w:val="Bullet1"/>
      </w:pPr>
      <w:r>
        <w:t xml:space="preserve">WSG technology </w:t>
      </w:r>
      <w:r w:rsidR="00D0783A">
        <w:t xml:space="preserve">was </w:t>
      </w:r>
      <w:r>
        <w:t>assumed to be operating and maintained at petrol refineries from</w:t>
      </w:r>
      <w:r w:rsidRPr="007348A5">
        <w:t xml:space="preserve"> </w:t>
      </w:r>
      <w:r w:rsidR="001311DD">
        <w:t>20</w:t>
      </w:r>
      <w:r w:rsidR="00943939">
        <w:t>30</w:t>
      </w:r>
      <w:r w:rsidRPr="00407075">
        <w:t>.</w:t>
      </w:r>
    </w:p>
    <w:p w14:paraId="42772261" w14:textId="2E0DB901" w:rsidR="00F64D60" w:rsidRDefault="00F64D60" w:rsidP="00F64D60">
      <w:pPr>
        <w:pStyle w:val="Bullet1"/>
      </w:pPr>
      <w:r>
        <w:t>The reference operating and maintenance cost is 4% of the capital cost per annum</w:t>
      </w:r>
      <w:r w:rsidR="00B35990">
        <w:t xml:space="preserve"> (MACTEC, 2005)</w:t>
      </w:r>
      <w:r>
        <w:t>.</w:t>
      </w:r>
    </w:p>
    <w:p w14:paraId="4DF5AC39" w14:textId="77777777" w:rsidR="00C64BF3" w:rsidRDefault="00C64BF3" w:rsidP="00C64BF3">
      <w:pPr>
        <w:pStyle w:val="Heading6"/>
      </w:pPr>
      <w:r>
        <w:t>Administrative and regulatory costs</w:t>
      </w:r>
    </w:p>
    <w:p w14:paraId="08C55E02" w14:textId="47B7D775" w:rsidR="00F64D60" w:rsidRPr="00BD29F0" w:rsidRDefault="00F64D60" w:rsidP="00F64D60">
      <w:pPr>
        <w:pStyle w:val="BodyText"/>
      </w:pPr>
      <w:r w:rsidRPr="00B8039D">
        <w:t>A one-off administration cost for set-up and the implementation of regulations of $</w:t>
      </w:r>
      <w:r>
        <w:t>300</w:t>
      </w:r>
      <w:r w:rsidRPr="00B8039D">
        <w:t xml:space="preserve">,000 has been assumed in </w:t>
      </w:r>
      <w:r w:rsidR="00A9199A">
        <w:t>2021</w:t>
      </w:r>
      <w:r w:rsidRPr="00B8039D">
        <w:t xml:space="preserve">. </w:t>
      </w:r>
      <w:r w:rsidR="00C80AE1" w:rsidRPr="00407075">
        <w:t xml:space="preserve">This cost has been </w:t>
      </w:r>
      <w:r w:rsidR="00C80AE1">
        <w:t>apportioned equally across all affected airsheds</w:t>
      </w:r>
      <w:r w:rsidR="00C80AE1" w:rsidRPr="00407075">
        <w:t>.</w:t>
      </w:r>
    </w:p>
    <w:p w14:paraId="16B41E1D" w14:textId="730D318C" w:rsidR="00F64D60" w:rsidRDefault="007002D5" w:rsidP="00E75F75">
      <w:pPr>
        <w:pStyle w:val="Heading6"/>
      </w:pPr>
      <w:bookmarkStart w:id="166" w:name="_Toc508222193"/>
      <w:r>
        <w:t>E</w:t>
      </w:r>
      <w:r w:rsidR="00F64D60">
        <w:t>mission reductions</w:t>
      </w:r>
      <w:bookmarkEnd w:id="166"/>
    </w:p>
    <w:p w14:paraId="16F3F888" w14:textId="7B17702E" w:rsidR="00F64D60" w:rsidRDefault="00F64D60" w:rsidP="00F64D60">
      <w:pPr>
        <w:pStyle w:val="BodyText"/>
      </w:pPr>
      <w:r w:rsidRPr="00286840">
        <w:t xml:space="preserve">Emission reductions were estimated based on the profile of gradual </w:t>
      </w:r>
      <w:r>
        <w:t>uptake</w:t>
      </w:r>
      <w:r w:rsidRPr="00286840">
        <w:t xml:space="preserve"> of </w:t>
      </w:r>
      <w:r>
        <w:t xml:space="preserve">WGS technology in petrol refineries across </w:t>
      </w:r>
      <w:r w:rsidRPr="00791CB8">
        <w:t xml:space="preserve">Australia. </w:t>
      </w:r>
      <w:r w:rsidRPr="002A2872">
        <w:fldChar w:fldCharType="begin"/>
      </w:r>
      <w:r w:rsidRPr="00791CB8">
        <w:instrText xml:space="preserve"> REF _Ref508122756 \h  \* MERGEFORMAT </w:instrText>
      </w:r>
      <w:r w:rsidRPr="002A2872">
        <w:fldChar w:fldCharType="separate"/>
      </w:r>
      <w:r w:rsidR="00A50702" w:rsidRPr="00A50702">
        <w:t>Table C</w:t>
      </w:r>
      <w:r w:rsidR="00A50702" w:rsidRPr="00A50702">
        <w:noBreakHyphen/>
        <w:t>12</w:t>
      </w:r>
      <w:r w:rsidRPr="002A2872">
        <w:fldChar w:fldCharType="end"/>
      </w:r>
      <w:r w:rsidR="00E159F1">
        <w:t xml:space="preserve"> </w:t>
      </w:r>
      <w:r w:rsidRPr="00791CB8">
        <w:t>summarises</w:t>
      </w:r>
      <w:r w:rsidRPr="00286840">
        <w:t xml:space="preserve"> the estimated emission reductions.</w:t>
      </w:r>
    </w:p>
    <w:p w14:paraId="28924383" w14:textId="09CBDB0B" w:rsidR="00F64D60" w:rsidRDefault="00F64D60" w:rsidP="00F64D60">
      <w:pPr>
        <w:pStyle w:val="BodyText"/>
        <w:keepNext/>
        <w:rPr>
          <w:b/>
          <w:bCs/>
          <w:color w:val="353D30" w:themeColor="accent2"/>
          <w:sz w:val="18"/>
          <w:szCs w:val="18"/>
        </w:rPr>
      </w:pPr>
      <w:bookmarkStart w:id="167" w:name="_Ref508122756"/>
      <w:bookmarkStart w:id="168" w:name="_Toc508222222"/>
      <w:bookmarkStart w:id="169" w:name="_Toc518629932"/>
      <w:r w:rsidRPr="00407075">
        <w:rPr>
          <w:b/>
          <w:bCs/>
          <w:color w:val="353D30" w:themeColor="accent2"/>
          <w:sz w:val="18"/>
          <w:szCs w:val="18"/>
        </w:rPr>
        <w:t xml:space="preserve">Table </w:t>
      </w:r>
      <w:r w:rsidR="00CD303A">
        <w:rPr>
          <w:b/>
          <w:bCs/>
          <w:color w:val="353D30" w:themeColor="accent2"/>
          <w:sz w:val="18"/>
          <w:szCs w:val="18"/>
        </w:rPr>
        <w:t>C</w:t>
      </w:r>
      <w:r w:rsidRPr="00407075">
        <w:rPr>
          <w:b/>
          <w:bCs/>
          <w:color w:val="353D30" w:themeColor="accent2"/>
          <w:sz w:val="18"/>
          <w:szCs w:val="18"/>
        </w:rPr>
        <w:noBreakHyphen/>
      </w:r>
      <w:r w:rsidRPr="00407075">
        <w:rPr>
          <w:b/>
          <w:bCs/>
          <w:color w:val="353D30" w:themeColor="accent2"/>
          <w:sz w:val="18"/>
          <w:szCs w:val="18"/>
        </w:rPr>
        <w:fldChar w:fldCharType="begin"/>
      </w:r>
      <w:r w:rsidRPr="00407075">
        <w:rPr>
          <w:b/>
          <w:bCs/>
          <w:color w:val="353D30" w:themeColor="accent2"/>
          <w:sz w:val="18"/>
          <w:szCs w:val="18"/>
        </w:rPr>
        <w:instrText xml:space="preserve"> SEQ Table \* ARABIC \s 1 </w:instrText>
      </w:r>
      <w:r w:rsidRPr="00407075">
        <w:rPr>
          <w:b/>
          <w:bCs/>
          <w:color w:val="353D30" w:themeColor="accent2"/>
          <w:sz w:val="18"/>
          <w:szCs w:val="18"/>
        </w:rPr>
        <w:fldChar w:fldCharType="separate"/>
      </w:r>
      <w:r w:rsidR="00A50702">
        <w:rPr>
          <w:b/>
          <w:bCs/>
          <w:noProof/>
          <w:color w:val="353D30" w:themeColor="accent2"/>
          <w:sz w:val="18"/>
          <w:szCs w:val="18"/>
        </w:rPr>
        <w:t>12</w:t>
      </w:r>
      <w:r w:rsidRPr="00407075">
        <w:rPr>
          <w:b/>
          <w:bCs/>
          <w:color w:val="353D30" w:themeColor="accent2"/>
          <w:sz w:val="18"/>
          <w:szCs w:val="18"/>
        </w:rPr>
        <w:fldChar w:fldCharType="end"/>
      </w:r>
      <w:bookmarkEnd w:id="167"/>
      <w:r w:rsidRPr="00407075">
        <w:rPr>
          <w:b/>
          <w:bCs/>
          <w:color w:val="353D30" w:themeColor="accent2"/>
          <w:sz w:val="18"/>
          <w:szCs w:val="18"/>
        </w:rPr>
        <w:t xml:space="preserve"> </w:t>
      </w:r>
      <w:r>
        <w:rPr>
          <w:b/>
          <w:bCs/>
          <w:color w:val="353D30" w:themeColor="accent2"/>
          <w:sz w:val="18"/>
          <w:szCs w:val="18"/>
        </w:rPr>
        <w:t>Abatement meas</w:t>
      </w:r>
      <w:r w:rsidR="00E159F1">
        <w:rPr>
          <w:b/>
          <w:bCs/>
          <w:color w:val="353D30" w:themeColor="accent2"/>
          <w:sz w:val="18"/>
          <w:szCs w:val="18"/>
        </w:rPr>
        <w:t>ure 14 emissions reductions (SO</w:t>
      </w:r>
      <w:r w:rsidR="00E159F1" w:rsidRPr="00E159F1">
        <w:rPr>
          <w:b/>
          <w:bCs/>
          <w:color w:val="353D30" w:themeColor="accent2"/>
          <w:sz w:val="18"/>
          <w:szCs w:val="18"/>
          <w:vertAlign w:val="subscript"/>
        </w:rPr>
        <w:t>X</w:t>
      </w:r>
      <w:r>
        <w:rPr>
          <w:b/>
          <w:bCs/>
          <w:color w:val="353D30" w:themeColor="accent2"/>
          <w:sz w:val="18"/>
          <w:szCs w:val="18"/>
        </w:rPr>
        <w:t>)</w:t>
      </w:r>
      <w:bookmarkEnd w:id="168"/>
      <w:bookmarkEnd w:id="169"/>
    </w:p>
    <w:tbl>
      <w:tblPr>
        <w:tblStyle w:val="AureconTable4"/>
        <w:tblW w:w="3828" w:type="pct"/>
        <w:tblInd w:w="-5" w:type="dxa"/>
        <w:tblLook w:val="04A0" w:firstRow="1" w:lastRow="0" w:firstColumn="1" w:lastColumn="0" w:noHBand="0" w:noVBand="1"/>
      </w:tblPr>
      <w:tblGrid>
        <w:gridCol w:w="3686"/>
        <w:gridCol w:w="3686"/>
      </w:tblGrid>
      <w:tr w:rsidR="00F64D60" w14:paraId="4E654940" w14:textId="77777777" w:rsidTr="007B78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tcPr>
          <w:p w14:paraId="0E34C4B8" w14:textId="77777777" w:rsidR="00F64D60" w:rsidRDefault="00F64D60" w:rsidP="007B786D">
            <w:pPr>
              <w:pStyle w:val="BodyText"/>
              <w:jc w:val="center"/>
            </w:pPr>
            <w:r>
              <w:t>Year</w:t>
            </w:r>
          </w:p>
        </w:tc>
        <w:tc>
          <w:tcPr>
            <w:tcW w:w="2500" w:type="pct"/>
          </w:tcPr>
          <w:p w14:paraId="196B8F4D" w14:textId="722CAE2A" w:rsidR="00F64D60" w:rsidRDefault="00E159F1" w:rsidP="007B786D">
            <w:pPr>
              <w:pStyle w:val="BodyText"/>
              <w:jc w:val="center"/>
              <w:cnfStyle w:val="100000000000" w:firstRow="1" w:lastRow="0" w:firstColumn="0" w:lastColumn="0" w:oddVBand="0" w:evenVBand="0" w:oddHBand="0" w:evenHBand="0" w:firstRowFirstColumn="0" w:firstRowLastColumn="0" w:lastRowFirstColumn="0" w:lastRowLastColumn="0"/>
            </w:pPr>
            <w:r>
              <w:t>SO</w:t>
            </w:r>
            <w:r w:rsidRPr="00E159F1">
              <w:rPr>
                <w:vertAlign w:val="subscript"/>
              </w:rPr>
              <w:t>X</w:t>
            </w:r>
            <w:r>
              <w:t xml:space="preserve"> r</w:t>
            </w:r>
            <w:r w:rsidR="00F64D60">
              <w:t>eduction (tonnes per year)</w:t>
            </w:r>
          </w:p>
        </w:tc>
      </w:tr>
      <w:tr w:rsidR="00CF21C5" w14:paraId="0275B8F7" w14:textId="77777777" w:rsidTr="007B786D">
        <w:tc>
          <w:tcPr>
            <w:cnfStyle w:val="001000000000" w:firstRow="0" w:lastRow="0" w:firstColumn="1" w:lastColumn="0" w:oddVBand="0" w:evenVBand="0" w:oddHBand="0" w:evenHBand="0" w:firstRowFirstColumn="0" w:firstRowLastColumn="0" w:lastRowFirstColumn="0" w:lastRowLastColumn="0"/>
            <w:tcW w:w="2500" w:type="pct"/>
          </w:tcPr>
          <w:p w14:paraId="1EB7F2A5" w14:textId="77777777" w:rsidR="00CF21C5" w:rsidRDefault="00CF21C5" w:rsidP="00CF21C5">
            <w:pPr>
              <w:pStyle w:val="BodyText"/>
              <w:jc w:val="center"/>
            </w:pPr>
            <w:r>
              <w:t>2021</w:t>
            </w:r>
          </w:p>
        </w:tc>
        <w:tc>
          <w:tcPr>
            <w:tcW w:w="2500" w:type="pct"/>
          </w:tcPr>
          <w:p w14:paraId="11E467FB" w14:textId="22A9BE9B" w:rsidR="00CF21C5" w:rsidRDefault="00CF21C5" w:rsidP="00CF21C5">
            <w:pPr>
              <w:pStyle w:val="BodyText"/>
              <w:jc w:val="center"/>
              <w:cnfStyle w:val="000000000000" w:firstRow="0" w:lastRow="0" w:firstColumn="0" w:lastColumn="0" w:oddVBand="0" w:evenVBand="0" w:oddHBand="0" w:evenHBand="0" w:firstRowFirstColumn="0" w:firstRowLastColumn="0" w:lastRowFirstColumn="0" w:lastRowLastColumn="0"/>
            </w:pPr>
            <w:r w:rsidRPr="00C23106">
              <w:t>-</w:t>
            </w:r>
          </w:p>
        </w:tc>
      </w:tr>
      <w:tr w:rsidR="00CF21C5" w14:paraId="7EA5BD9A" w14:textId="77777777" w:rsidTr="007B786D">
        <w:tc>
          <w:tcPr>
            <w:cnfStyle w:val="001000000000" w:firstRow="0" w:lastRow="0" w:firstColumn="1" w:lastColumn="0" w:oddVBand="0" w:evenVBand="0" w:oddHBand="0" w:evenHBand="0" w:firstRowFirstColumn="0" w:firstRowLastColumn="0" w:lastRowFirstColumn="0" w:lastRowLastColumn="0"/>
            <w:tcW w:w="2500" w:type="pct"/>
          </w:tcPr>
          <w:p w14:paraId="794598B8" w14:textId="77777777" w:rsidR="00CF21C5" w:rsidRDefault="00CF21C5" w:rsidP="00CF21C5">
            <w:pPr>
              <w:pStyle w:val="BodyText"/>
              <w:jc w:val="center"/>
            </w:pPr>
            <w:r>
              <w:t>2030</w:t>
            </w:r>
          </w:p>
        </w:tc>
        <w:tc>
          <w:tcPr>
            <w:tcW w:w="2500" w:type="pct"/>
          </w:tcPr>
          <w:p w14:paraId="7E00C580" w14:textId="6501F535" w:rsidR="00CF21C5" w:rsidRDefault="00CF21C5" w:rsidP="00CF21C5">
            <w:pPr>
              <w:pStyle w:val="BodyText"/>
              <w:jc w:val="center"/>
              <w:cnfStyle w:val="000000000000" w:firstRow="0" w:lastRow="0" w:firstColumn="0" w:lastColumn="0" w:oddVBand="0" w:evenVBand="0" w:oddHBand="0" w:evenHBand="0" w:firstRowFirstColumn="0" w:firstRowLastColumn="0" w:lastRowFirstColumn="0" w:lastRowLastColumn="0"/>
            </w:pPr>
            <w:r w:rsidRPr="00C23106">
              <w:t>24,043</w:t>
            </w:r>
          </w:p>
        </w:tc>
      </w:tr>
      <w:tr w:rsidR="00CF21C5" w14:paraId="507B1E33" w14:textId="77777777" w:rsidTr="007B786D">
        <w:tc>
          <w:tcPr>
            <w:cnfStyle w:val="001000000000" w:firstRow="0" w:lastRow="0" w:firstColumn="1" w:lastColumn="0" w:oddVBand="0" w:evenVBand="0" w:oddHBand="0" w:evenHBand="0" w:firstRowFirstColumn="0" w:firstRowLastColumn="0" w:lastRowFirstColumn="0" w:lastRowLastColumn="0"/>
            <w:tcW w:w="2500" w:type="pct"/>
          </w:tcPr>
          <w:p w14:paraId="3767B1C2" w14:textId="77777777" w:rsidR="00CF21C5" w:rsidRDefault="00CF21C5" w:rsidP="00CF21C5">
            <w:pPr>
              <w:pStyle w:val="BodyText"/>
              <w:jc w:val="center"/>
            </w:pPr>
            <w:r>
              <w:t>2040</w:t>
            </w:r>
          </w:p>
        </w:tc>
        <w:tc>
          <w:tcPr>
            <w:tcW w:w="2500" w:type="pct"/>
          </w:tcPr>
          <w:p w14:paraId="201B4036" w14:textId="1728D53D" w:rsidR="00CF21C5" w:rsidRDefault="00CF21C5" w:rsidP="00CF21C5">
            <w:pPr>
              <w:pStyle w:val="BodyText"/>
              <w:jc w:val="center"/>
              <w:cnfStyle w:val="000000000000" w:firstRow="0" w:lastRow="0" w:firstColumn="0" w:lastColumn="0" w:oddVBand="0" w:evenVBand="0" w:oddHBand="0" w:evenHBand="0" w:firstRowFirstColumn="0" w:firstRowLastColumn="0" w:lastRowFirstColumn="0" w:lastRowLastColumn="0"/>
            </w:pPr>
            <w:r w:rsidRPr="00C23106">
              <w:t>28,753</w:t>
            </w:r>
          </w:p>
        </w:tc>
      </w:tr>
      <w:tr w:rsidR="00F64D60" w14:paraId="170B16C7" w14:textId="77777777" w:rsidTr="007B786D">
        <w:tc>
          <w:tcPr>
            <w:cnfStyle w:val="001000000000" w:firstRow="0" w:lastRow="0" w:firstColumn="1" w:lastColumn="0" w:oddVBand="0" w:evenVBand="0" w:oddHBand="0" w:evenHBand="0" w:firstRowFirstColumn="0" w:firstRowLastColumn="0" w:lastRowFirstColumn="0" w:lastRowLastColumn="0"/>
            <w:tcW w:w="2500" w:type="pct"/>
          </w:tcPr>
          <w:p w14:paraId="1E42686A" w14:textId="77777777" w:rsidR="00F64D60" w:rsidRPr="00CD303A" w:rsidRDefault="00F64D60" w:rsidP="007B786D">
            <w:pPr>
              <w:pStyle w:val="BodyText"/>
              <w:jc w:val="center"/>
              <w:rPr>
                <w:b/>
              </w:rPr>
            </w:pPr>
            <w:r w:rsidRPr="00CD303A">
              <w:rPr>
                <w:b/>
              </w:rPr>
              <w:t>Total (2016 – 2040)</w:t>
            </w:r>
          </w:p>
        </w:tc>
        <w:tc>
          <w:tcPr>
            <w:tcW w:w="2500" w:type="pct"/>
          </w:tcPr>
          <w:p w14:paraId="74AC74D5" w14:textId="1489369E" w:rsidR="00F64D60" w:rsidRPr="00CF21C5" w:rsidRDefault="00CF21C5" w:rsidP="007B786D">
            <w:pPr>
              <w:pStyle w:val="BodyText"/>
              <w:jc w:val="center"/>
              <w:cnfStyle w:val="000000000000" w:firstRow="0" w:lastRow="0" w:firstColumn="0" w:lastColumn="0" w:oddVBand="0" w:evenVBand="0" w:oddHBand="0" w:evenHBand="0" w:firstRowFirstColumn="0" w:firstRowLastColumn="0" w:lastRowFirstColumn="0" w:lastRowLastColumn="0"/>
              <w:rPr>
                <w:b/>
              </w:rPr>
            </w:pPr>
            <w:r w:rsidRPr="00CF21C5">
              <w:rPr>
                <w:b/>
              </w:rPr>
              <w:t>290,376</w:t>
            </w:r>
          </w:p>
        </w:tc>
      </w:tr>
    </w:tbl>
    <w:p w14:paraId="1F758C76" w14:textId="581F7C93" w:rsidR="00F64D60" w:rsidRDefault="00F64D60" w:rsidP="007002D5">
      <w:pPr>
        <w:pStyle w:val="Appendixheading1"/>
      </w:pPr>
      <w:bookmarkStart w:id="170" w:name="_Toc508222194"/>
      <w:bookmarkStart w:id="171" w:name="_Toc508222195"/>
      <w:bookmarkStart w:id="172" w:name="_Toc508222196"/>
      <w:bookmarkStart w:id="173" w:name="_Toc508222197"/>
      <w:bookmarkStart w:id="174" w:name="_Toc508222198"/>
      <w:bookmarkStart w:id="175" w:name="_Toc508222199"/>
      <w:bookmarkStart w:id="176" w:name="_Toc508222200"/>
      <w:bookmarkStart w:id="177" w:name="_Toc508222201"/>
      <w:bookmarkStart w:id="178" w:name="_Toc518629909"/>
      <w:bookmarkEnd w:id="170"/>
      <w:bookmarkEnd w:id="171"/>
      <w:bookmarkEnd w:id="172"/>
      <w:bookmarkEnd w:id="173"/>
      <w:bookmarkEnd w:id="174"/>
      <w:bookmarkEnd w:id="175"/>
      <w:bookmarkEnd w:id="176"/>
      <w:r w:rsidRPr="00286840">
        <w:t>Measure 1</w:t>
      </w:r>
      <w:r>
        <w:t>5</w:t>
      </w:r>
      <w:r w:rsidR="007002D5">
        <w:t>: De-SO</w:t>
      </w:r>
      <w:r w:rsidR="007002D5" w:rsidRPr="007002D5">
        <w:rPr>
          <w:vertAlign w:val="subscript"/>
        </w:rPr>
        <w:t>X</w:t>
      </w:r>
      <w:r w:rsidR="007002D5">
        <w:t xml:space="preserve"> </w:t>
      </w:r>
      <w:r w:rsidRPr="00286840">
        <w:t xml:space="preserve">at </w:t>
      </w:r>
      <w:r>
        <w:t>iron and steel facilities (SO</w:t>
      </w:r>
      <w:r w:rsidRPr="002A2872">
        <w:rPr>
          <w:vertAlign w:val="subscript"/>
        </w:rPr>
        <w:t>2</w:t>
      </w:r>
      <w:r>
        <w:t>)</w:t>
      </w:r>
      <w:bookmarkEnd w:id="177"/>
      <w:bookmarkEnd w:id="178"/>
    </w:p>
    <w:p w14:paraId="14B24289" w14:textId="6F00FA60" w:rsidR="007D5755" w:rsidRDefault="00F64D60" w:rsidP="00F64D60">
      <w:pPr>
        <w:pStyle w:val="BodyText"/>
      </w:pPr>
      <w:r>
        <w:t xml:space="preserve">Abatement measure 15 involves the installation of </w:t>
      </w:r>
      <w:r w:rsidRPr="00407075">
        <w:t>wet flue gas de</w:t>
      </w:r>
      <w:r>
        <w:t>-</w:t>
      </w:r>
      <w:r w:rsidRPr="00407075">
        <w:t xml:space="preserve">sulfurisation (FGD) </w:t>
      </w:r>
      <w:r>
        <w:t xml:space="preserve">at iron and steel production facilities </w:t>
      </w:r>
      <w:r w:rsidRPr="00407075">
        <w:t>to reduce SO</w:t>
      </w:r>
      <w:r w:rsidR="00402F0E">
        <w:rPr>
          <w:vertAlign w:val="subscript"/>
        </w:rPr>
        <w:t>X</w:t>
      </w:r>
      <w:r>
        <w:t xml:space="preserve"> emissions. </w:t>
      </w:r>
      <w:r w:rsidRPr="009B65A5">
        <w:t>FG</w:t>
      </w:r>
      <w:r>
        <w:t>D involves scrubbing</w:t>
      </w:r>
      <w:r w:rsidRPr="009B65A5">
        <w:t xml:space="preserve"> flue gas </w:t>
      </w:r>
      <w:r>
        <w:t>released from t</w:t>
      </w:r>
      <w:r w:rsidR="00975011">
        <w:t>hese facilities by absorbing SO</w:t>
      </w:r>
      <w:r w:rsidR="00975011" w:rsidRPr="00975011">
        <w:rPr>
          <w:vertAlign w:val="subscript"/>
        </w:rPr>
        <w:t>X</w:t>
      </w:r>
      <w:r>
        <w:t xml:space="preserve"> compounds in a chemical solution.</w:t>
      </w:r>
      <w:r w:rsidR="007D5755">
        <w:t xml:space="preserve"> The measure is only assumed to affect NSW, and the estimated costs and emission reductions are based on the Port Kembla facility </w:t>
      </w:r>
      <w:r w:rsidR="00ED55FD">
        <w:t>near Wollongong</w:t>
      </w:r>
      <w:r w:rsidR="007D5755">
        <w:t>.</w:t>
      </w:r>
    </w:p>
    <w:p w14:paraId="185E0E0C" w14:textId="77777777" w:rsidR="00F64D60" w:rsidRPr="00E80D83" w:rsidRDefault="00F64D60" w:rsidP="00F64D60">
      <w:pPr>
        <w:pStyle w:val="Heading6"/>
      </w:pPr>
      <w:r>
        <w:t xml:space="preserve">Capital </w:t>
      </w:r>
      <w:r w:rsidRPr="00286840">
        <w:t>costs</w:t>
      </w:r>
    </w:p>
    <w:p w14:paraId="6B4D9C47" w14:textId="14982654" w:rsidR="00F64D60" w:rsidRDefault="00D47DF0" w:rsidP="00F64D60">
      <w:pPr>
        <w:pStyle w:val="BodyText"/>
      </w:pPr>
      <w:r>
        <w:t xml:space="preserve">FGD technology </w:t>
      </w:r>
      <w:r w:rsidR="00D0783A">
        <w:t xml:space="preserve">was </w:t>
      </w:r>
      <w:r>
        <w:t>assumed to be installed at iron and steel production facilities from</w:t>
      </w:r>
      <w:r w:rsidRPr="007348A5">
        <w:t xml:space="preserve"> </w:t>
      </w:r>
      <w:r>
        <w:t xml:space="preserve">2021 in NSW. </w:t>
      </w:r>
      <w:r w:rsidR="00F64D60">
        <w:t xml:space="preserve">The following assumptions </w:t>
      </w:r>
      <w:r w:rsidR="00482550">
        <w:t xml:space="preserve">were </w:t>
      </w:r>
      <w:r w:rsidR="00F64D60">
        <w:t>used to estimate capital costs:</w:t>
      </w:r>
    </w:p>
    <w:p w14:paraId="61AFC27E" w14:textId="18C539C5" w:rsidR="00F64D60" w:rsidRDefault="00F64D60" w:rsidP="00F64D60">
      <w:pPr>
        <w:pStyle w:val="Bullet1"/>
      </w:pPr>
      <w:r>
        <w:t xml:space="preserve">An annual production of 3 million tonnes has been assumed, based on </w:t>
      </w:r>
      <w:r w:rsidR="00064867">
        <w:t xml:space="preserve">2016 production levels at </w:t>
      </w:r>
      <w:r>
        <w:t>the Port Kembla facility.</w:t>
      </w:r>
    </w:p>
    <w:p w14:paraId="2EC54A38" w14:textId="139230CF" w:rsidR="00F64D60" w:rsidRDefault="00975011" w:rsidP="00F64D60">
      <w:pPr>
        <w:pStyle w:val="Bullet1"/>
      </w:pPr>
      <w:r>
        <w:t xml:space="preserve">A </w:t>
      </w:r>
      <w:r w:rsidR="00F64D60">
        <w:t xml:space="preserve">capital cost </w:t>
      </w:r>
      <w:r w:rsidR="008F3522">
        <w:t xml:space="preserve">of </w:t>
      </w:r>
      <w:r>
        <w:t xml:space="preserve">$100 </w:t>
      </w:r>
      <w:r w:rsidR="008F3522">
        <w:t xml:space="preserve">million </w:t>
      </w:r>
      <w:r w:rsidR="00D0783A">
        <w:t xml:space="preserve">was </w:t>
      </w:r>
      <w:r>
        <w:t>assumed, based on MACTEC (2005)</w:t>
      </w:r>
      <w:r w:rsidR="00F64D60">
        <w:t>.</w:t>
      </w:r>
    </w:p>
    <w:p w14:paraId="2E074E14" w14:textId="77777777" w:rsidR="00F64D60" w:rsidRPr="00E80D83" w:rsidRDefault="00F64D60" w:rsidP="00F64D60">
      <w:pPr>
        <w:pStyle w:val="Heading6"/>
      </w:pPr>
      <w:r>
        <w:t>Operating and maintenance costs</w:t>
      </w:r>
    </w:p>
    <w:p w14:paraId="10DDC2A0" w14:textId="1D170EED" w:rsidR="00F64D60" w:rsidRDefault="00637E50" w:rsidP="00637E50">
      <w:pPr>
        <w:pStyle w:val="BodyText"/>
      </w:pPr>
      <w:r>
        <w:t xml:space="preserve">FGD technology </w:t>
      </w:r>
      <w:r w:rsidR="00D0783A">
        <w:t xml:space="preserve">was </w:t>
      </w:r>
      <w:r>
        <w:t>assumed to be operating and maintained at iron and steel production facilities from 2021. A</w:t>
      </w:r>
      <w:r w:rsidR="00F64D60">
        <w:t>n operating and maintenance cost of $24 million per year</w:t>
      </w:r>
      <w:r>
        <w:t xml:space="preserve"> </w:t>
      </w:r>
      <w:r w:rsidR="00D0783A">
        <w:t xml:space="preserve">was </w:t>
      </w:r>
      <w:r>
        <w:t>assumed based on MACTEC (2005)</w:t>
      </w:r>
      <w:r w:rsidR="00F64D60">
        <w:t>.</w:t>
      </w:r>
    </w:p>
    <w:p w14:paraId="5154FBEB" w14:textId="77777777" w:rsidR="00090997" w:rsidRDefault="00090997" w:rsidP="00090997">
      <w:pPr>
        <w:pStyle w:val="Heading6"/>
      </w:pPr>
      <w:r>
        <w:t>Administrative and regulatory costs</w:t>
      </w:r>
    </w:p>
    <w:p w14:paraId="445140E2" w14:textId="70C69197" w:rsidR="00090997" w:rsidRPr="00BD29F0" w:rsidRDefault="00090997" w:rsidP="00090997">
      <w:pPr>
        <w:pStyle w:val="BodyText"/>
      </w:pPr>
      <w:r w:rsidRPr="00B8039D">
        <w:t xml:space="preserve">A one-off administration cost for </w:t>
      </w:r>
      <w:r>
        <w:t>applying for relevant licenses,</w:t>
      </w:r>
      <w:r w:rsidR="00F5762B">
        <w:t xml:space="preserve"> and</w:t>
      </w:r>
      <w:r>
        <w:t xml:space="preserve"> monitoring and implementation </w:t>
      </w:r>
      <w:r w:rsidRPr="00B8039D">
        <w:t xml:space="preserve">of </w:t>
      </w:r>
      <w:r w:rsidR="00F5762B">
        <w:t xml:space="preserve">regulations of </w:t>
      </w:r>
      <w:r w:rsidRPr="00B8039D">
        <w:t>$</w:t>
      </w:r>
      <w:r>
        <w:t>300</w:t>
      </w:r>
      <w:r w:rsidRPr="00B8039D">
        <w:t xml:space="preserve">,000 </w:t>
      </w:r>
      <w:r w:rsidR="00D0783A">
        <w:t xml:space="preserve">was </w:t>
      </w:r>
      <w:r w:rsidRPr="00B8039D">
        <w:t xml:space="preserve">assumed in </w:t>
      </w:r>
      <w:r>
        <w:t>2021</w:t>
      </w:r>
      <w:r w:rsidRPr="00B8039D">
        <w:t>.</w:t>
      </w:r>
    </w:p>
    <w:p w14:paraId="26803F0E" w14:textId="453F65F1" w:rsidR="00F64D60" w:rsidRDefault="00501085" w:rsidP="00501085">
      <w:pPr>
        <w:pStyle w:val="Heading6"/>
      </w:pPr>
      <w:bookmarkStart w:id="179" w:name="_Toc508222203"/>
      <w:r>
        <w:lastRenderedPageBreak/>
        <w:t>E</w:t>
      </w:r>
      <w:r w:rsidR="00F64D60">
        <w:t>mission reductions</w:t>
      </w:r>
      <w:bookmarkEnd w:id="179"/>
    </w:p>
    <w:p w14:paraId="20FFD3A4" w14:textId="3B8DBDD5" w:rsidR="00F64D60" w:rsidRDefault="00F64D60" w:rsidP="00F64D60">
      <w:pPr>
        <w:pStyle w:val="BodyText"/>
      </w:pPr>
      <w:r w:rsidRPr="00286840">
        <w:t xml:space="preserve">Emission reductions </w:t>
      </w:r>
      <w:r w:rsidR="00503110">
        <w:t xml:space="preserve">were </w:t>
      </w:r>
      <w:r w:rsidRPr="00286840">
        <w:t xml:space="preserve">estimated based on the </w:t>
      </w:r>
      <w:r>
        <w:t>uptake</w:t>
      </w:r>
      <w:r w:rsidRPr="00286840">
        <w:t xml:space="preserve"> of </w:t>
      </w:r>
      <w:r>
        <w:t xml:space="preserve">FGD technology in iron and steel production facilities </w:t>
      </w:r>
      <w:r w:rsidRPr="002A2872">
        <w:t>in NSW</w:t>
      </w:r>
      <w:r w:rsidR="00492F5F">
        <w:t xml:space="preserve"> from 2030</w:t>
      </w:r>
      <w:r w:rsidRPr="002A2872">
        <w:t xml:space="preserve">. </w:t>
      </w:r>
      <w:r w:rsidR="007331C3">
        <w:t xml:space="preserve">Emission reductions increase over time due to assumed growth in production. </w:t>
      </w:r>
      <w:r w:rsidRPr="002A2872">
        <w:fldChar w:fldCharType="begin"/>
      </w:r>
      <w:r w:rsidRPr="0039524A">
        <w:instrText xml:space="preserve"> REF _Ref508139230 \h </w:instrText>
      </w:r>
      <w:r>
        <w:instrText xml:space="preserve"> \* MERGEFORMAT </w:instrText>
      </w:r>
      <w:r w:rsidRPr="002A2872">
        <w:fldChar w:fldCharType="separate"/>
      </w:r>
      <w:r w:rsidR="00A50702" w:rsidRPr="00A50702">
        <w:t>Table C</w:t>
      </w:r>
      <w:r w:rsidR="00A50702" w:rsidRPr="00A50702">
        <w:noBreakHyphen/>
        <w:t>13</w:t>
      </w:r>
      <w:r w:rsidRPr="002A2872">
        <w:fldChar w:fldCharType="end"/>
      </w:r>
      <w:r w:rsidRPr="002A2872">
        <w:t xml:space="preserve"> </w:t>
      </w:r>
      <w:r>
        <w:t>s</w:t>
      </w:r>
      <w:r w:rsidRPr="00286840">
        <w:t>ummarises the estimated emission reductions.</w:t>
      </w:r>
    </w:p>
    <w:p w14:paraId="11670AB8" w14:textId="3556772E" w:rsidR="00F64D60" w:rsidRDefault="00F64D60" w:rsidP="00F64D60">
      <w:pPr>
        <w:pStyle w:val="BodyText"/>
        <w:keepNext/>
        <w:rPr>
          <w:b/>
          <w:bCs/>
          <w:color w:val="353D30" w:themeColor="accent2"/>
          <w:sz w:val="18"/>
          <w:szCs w:val="18"/>
        </w:rPr>
      </w:pPr>
      <w:bookmarkStart w:id="180" w:name="_Ref508139230"/>
      <w:bookmarkStart w:id="181" w:name="_Toc508222223"/>
      <w:bookmarkStart w:id="182" w:name="_Toc518629933"/>
      <w:r w:rsidRPr="00407075">
        <w:rPr>
          <w:b/>
          <w:bCs/>
          <w:color w:val="353D30" w:themeColor="accent2"/>
          <w:sz w:val="18"/>
          <w:szCs w:val="18"/>
        </w:rPr>
        <w:t xml:space="preserve">Table </w:t>
      </w:r>
      <w:r w:rsidR="009F3695">
        <w:rPr>
          <w:b/>
          <w:bCs/>
          <w:color w:val="353D30" w:themeColor="accent2"/>
          <w:sz w:val="18"/>
          <w:szCs w:val="18"/>
        </w:rPr>
        <w:t>C</w:t>
      </w:r>
      <w:r w:rsidRPr="00407075">
        <w:rPr>
          <w:b/>
          <w:bCs/>
          <w:color w:val="353D30" w:themeColor="accent2"/>
          <w:sz w:val="18"/>
          <w:szCs w:val="18"/>
        </w:rPr>
        <w:noBreakHyphen/>
      </w:r>
      <w:r w:rsidRPr="00407075">
        <w:rPr>
          <w:b/>
          <w:bCs/>
          <w:color w:val="353D30" w:themeColor="accent2"/>
          <w:sz w:val="18"/>
          <w:szCs w:val="18"/>
        </w:rPr>
        <w:fldChar w:fldCharType="begin"/>
      </w:r>
      <w:r w:rsidRPr="00407075">
        <w:rPr>
          <w:b/>
          <w:bCs/>
          <w:color w:val="353D30" w:themeColor="accent2"/>
          <w:sz w:val="18"/>
          <w:szCs w:val="18"/>
        </w:rPr>
        <w:instrText xml:space="preserve"> SEQ Table \* ARABIC \s 1 </w:instrText>
      </w:r>
      <w:r w:rsidRPr="00407075">
        <w:rPr>
          <w:b/>
          <w:bCs/>
          <w:color w:val="353D30" w:themeColor="accent2"/>
          <w:sz w:val="18"/>
          <w:szCs w:val="18"/>
        </w:rPr>
        <w:fldChar w:fldCharType="separate"/>
      </w:r>
      <w:r w:rsidR="00A50702">
        <w:rPr>
          <w:b/>
          <w:bCs/>
          <w:noProof/>
          <w:color w:val="353D30" w:themeColor="accent2"/>
          <w:sz w:val="18"/>
          <w:szCs w:val="18"/>
        </w:rPr>
        <w:t>13</w:t>
      </w:r>
      <w:r w:rsidRPr="00407075">
        <w:rPr>
          <w:b/>
          <w:bCs/>
          <w:color w:val="353D30" w:themeColor="accent2"/>
          <w:sz w:val="18"/>
          <w:szCs w:val="18"/>
        </w:rPr>
        <w:fldChar w:fldCharType="end"/>
      </w:r>
      <w:bookmarkEnd w:id="180"/>
      <w:r w:rsidRPr="00407075">
        <w:rPr>
          <w:b/>
          <w:bCs/>
          <w:color w:val="353D30" w:themeColor="accent2"/>
          <w:sz w:val="18"/>
          <w:szCs w:val="18"/>
        </w:rPr>
        <w:t xml:space="preserve"> </w:t>
      </w:r>
      <w:r>
        <w:rPr>
          <w:b/>
          <w:bCs/>
          <w:color w:val="353D30" w:themeColor="accent2"/>
          <w:sz w:val="18"/>
          <w:szCs w:val="18"/>
        </w:rPr>
        <w:t>Abatement meas</w:t>
      </w:r>
      <w:r w:rsidR="00296386">
        <w:rPr>
          <w:b/>
          <w:bCs/>
          <w:color w:val="353D30" w:themeColor="accent2"/>
          <w:sz w:val="18"/>
          <w:szCs w:val="18"/>
        </w:rPr>
        <w:t>ure 15 emissions reductions (SO</w:t>
      </w:r>
      <w:r w:rsidR="00296386" w:rsidRPr="00296386">
        <w:rPr>
          <w:b/>
          <w:bCs/>
          <w:color w:val="353D30" w:themeColor="accent2"/>
          <w:sz w:val="18"/>
          <w:szCs w:val="18"/>
          <w:vertAlign w:val="subscript"/>
        </w:rPr>
        <w:t>X</w:t>
      </w:r>
      <w:r>
        <w:rPr>
          <w:b/>
          <w:bCs/>
          <w:color w:val="353D30" w:themeColor="accent2"/>
          <w:sz w:val="18"/>
          <w:szCs w:val="18"/>
        </w:rPr>
        <w:t>)</w:t>
      </w:r>
      <w:bookmarkEnd w:id="181"/>
      <w:bookmarkEnd w:id="182"/>
    </w:p>
    <w:tbl>
      <w:tblPr>
        <w:tblStyle w:val="AureconTable4"/>
        <w:tblW w:w="3828" w:type="pct"/>
        <w:tblInd w:w="-5" w:type="dxa"/>
        <w:tblLook w:val="04A0" w:firstRow="1" w:lastRow="0" w:firstColumn="1" w:lastColumn="0" w:noHBand="0" w:noVBand="1"/>
      </w:tblPr>
      <w:tblGrid>
        <w:gridCol w:w="3686"/>
        <w:gridCol w:w="3686"/>
      </w:tblGrid>
      <w:tr w:rsidR="00F64D60" w14:paraId="223AA765" w14:textId="77777777" w:rsidTr="00D95C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tcPr>
          <w:p w14:paraId="3912DF4B" w14:textId="77777777" w:rsidR="00F64D60" w:rsidRDefault="00F64D60" w:rsidP="00D95CF6">
            <w:pPr>
              <w:pStyle w:val="BodyText"/>
              <w:jc w:val="center"/>
            </w:pPr>
            <w:r>
              <w:t>Year</w:t>
            </w:r>
          </w:p>
        </w:tc>
        <w:tc>
          <w:tcPr>
            <w:tcW w:w="2500" w:type="pct"/>
          </w:tcPr>
          <w:p w14:paraId="240D030C" w14:textId="29E3B105" w:rsidR="00F64D60" w:rsidRDefault="00E074B4" w:rsidP="00D95CF6">
            <w:pPr>
              <w:pStyle w:val="BodyText"/>
              <w:jc w:val="center"/>
              <w:cnfStyle w:val="100000000000" w:firstRow="1" w:lastRow="0" w:firstColumn="0" w:lastColumn="0" w:oddVBand="0" w:evenVBand="0" w:oddHBand="0" w:evenHBand="0" w:firstRowFirstColumn="0" w:firstRowLastColumn="0" w:lastRowFirstColumn="0" w:lastRowLastColumn="0"/>
            </w:pPr>
            <w:r>
              <w:t>SO</w:t>
            </w:r>
            <w:r w:rsidRPr="00E074B4">
              <w:rPr>
                <w:vertAlign w:val="subscript"/>
              </w:rPr>
              <w:t>X</w:t>
            </w:r>
            <w:r>
              <w:t xml:space="preserve"> </w:t>
            </w:r>
            <w:r w:rsidR="00F64D60">
              <w:t>Reduction (tonnes per year)</w:t>
            </w:r>
          </w:p>
        </w:tc>
      </w:tr>
      <w:tr w:rsidR="003318E0" w14:paraId="7A6C9A97" w14:textId="77777777" w:rsidTr="00D95CF6">
        <w:tc>
          <w:tcPr>
            <w:cnfStyle w:val="001000000000" w:firstRow="0" w:lastRow="0" w:firstColumn="1" w:lastColumn="0" w:oddVBand="0" w:evenVBand="0" w:oddHBand="0" w:evenHBand="0" w:firstRowFirstColumn="0" w:firstRowLastColumn="0" w:lastRowFirstColumn="0" w:lastRowLastColumn="0"/>
            <w:tcW w:w="2500" w:type="pct"/>
          </w:tcPr>
          <w:p w14:paraId="3F34A4D5" w14:textId="77777777" w:rsidR="003318E0" w:rsidRDefault="003318E0" w:rsidP="003318E0">
            <w:pPr>
              <w:pStyle w:val="BodyText"/>
              <w:jc w:val="center"/>
            </w:pPr>
            <w:r>
              <w:t>2020</w:t>
            </w:r>
          </w:p>
        </w:tc>
        <w:tc>
          <w:tcPr>
            <w:tcW w:w="2500" w:type="pct"/>
          </w:tcPr>
          <w:p w14:paraId="61A462BB" w14:textId="10FBB3E4" w:rsidR="003318E0" w:rsidRDefault="003318E0" w:rsidP="003318E0">
            <w:pPr>
              <w:pStyle w:val="BodyText"/>
              <w:jc w:val="center"/>
              <w:cnfStyle w:val="000000000000" w:firstRow="0" w:lastRow="0" w:firstColumn="0" w:lastColumn="0" w:oddVBand="0" w:evenVBand="0" w:oddHBand="0" w:evenHBand="0" w:firstRowFirstColumn="0" w:firstRowLastColumn="0" w:lastRowFirstColumn="0" w:lastRowLastColumn="0"/>
            </w:pPr>
            <w:r w:rsidRPr="00E72FD0">
              <w:t>1,457</w:t>
            </w:r>
          </w:p>
        </w:tc>
      </w:tr>
      <w:tr w:rsidR="003318E0" w14:paraId="44318547" w14:textId="77777777" w:rsidTr="00D95CF6">
        <w:tc>
          <w:tcPr>
            <w:cnfStyle w:val="001000000000" w:firstRow="0" w:lastRow="0" w:firstColumn="1" w:lastColumn="0" w:oddVBand="0" w:evenVBand="0" w:oddHBand="0" w:evenHBand="0" w:firstRowFirstColumn="0" w:firstRowLastColumn="0" w:lastRowFirstColumn="0" w:lastRowLastColumn="0"/>
            <w:tcW w:w="2500" w:type="pct"/>
          </w:tcPr>
          <w:p w14:paraId="337379F5" w14:textId="77777777" w:rsidR="003318E0" w:rsidRDefault="003318E0" w:rsidP="003318E0">
            <w:pPr>
              <w:pStyle w:val="BodyText"/>
              <w:jc w:val="center"/>
            </w:pPr>
            <w:r>
              <w:t>2030</w:t>
            </w:r>
          </w:p>
        </w:tc>
        <w:tc>
          <w:tcPr>
            <w:tcW w:w="2500" w:type="pct"/>
          </w:tcPr>
          <w:p w14:paraId="701A8371" w14:textId="2330F51E" w:rsidR="003318E0" w:rsidRDefault="003318E0" w:rsidP="003318E0">
            <w:pPr>
              <w:pStyle w:val="BodyText"/>
              <w:jc w:val="center"/>
              <w:cnfStyle w:val="000000000000" w:firstRow="0" w:lastRow="0" w:firstColumn="0" w:lastColumn="0" w:oddVBand="0" w:evenVBand="0" w:oddHBand="0" w:evenHBand="0" w:firstRowFirstColumn="0" w:firstRowLastColumn="0" w:lastRowFirstColumn="0" w:lastRowLastColumn="0"/>
            </w:pPr>
            <w:r w:rsidRPr="00E72FD0">
              <w:t>3,636</w:t>
            </w:r>
          </w:p>
        </w:tc>
      </w:tr>
      <w:tr w:rsidR="003318E0" w14:paraId="41476404" w14:textId="77777777" w:rsidTr="00D95CF6">
        <w:tc>
          <w:tcPr>
            <w:cnfStyle w:val="001000000000" w:firstRow="0" w:lastRow="0" w:firstColumn="1" w:lastColumn="0" w:oddVBand="0" w:evenVBand="0" w:oddHBand="0" w:evenHBand="0" w:firstRowFirstColumn="0" w:firstRowLastColumn="0" w:lastRowFirstColumn="0" w:lastRowLastColumn="0"/>
            <w:tcW w:w="2500" w:type="pct"/>
          </w:tcPr>
          <w:p w14:paraId="3AD2DF1E" w14:textId="77777777" w:rsidR="003318E0" w:rsidRDefault="003318E0" w:rsidP="003318E0">
            <w:pPr>
              <w:pStyle w:val="BodyText"/>
              <w:jc w:val="center"/>
            </w:pPr>
            <w:r>
              <w:t>2040</w:t>
            </w:r>
          </w:p>
        </w:tc>
        <w:tc>
          <w:tcPr>
            <w:tcW w:w="2500" w:type="pct"/>
          </w:tcPr>
          <w:p w14:paraId="46C65212" w14:textId="283837B9" w:rsidR="003318E0" w:rsidRDefault="003318E0" w:rsidP="003318E0">
            <w:pPr>
              <w:pStyle w:val="BodyText"/>
              <w:jc w:val="center"/>
              <w:cnfStyle w:val="000000000000" w:firstRow="0" w:lastRow="0" w:firstColumn="0" w:lastColumn="0" w:oddVBand="0" w:evenVBand="0" w:oddHBand="0" w:evenHBand="0" w:firstRowFirstColumn="0" w:firstRowLastColumn="0" w:lastRowFirstColumn="0" w:lastRowLastColumn="0"/>
            </w:pPr>
            <w:r w:rsidRPr="00E72FD0">
              <w:t>7,589</w:t>
            </w:r>
          </w:p>
        </w:tc>
      </w:tr>
      <w:tr w:rsidR="00F64D60" w14:paraId="6E41B878" w14:textId="77777777" w:rsidTr="00D95CF6">
        <w:tc>
          <w:tcPr>
            <w:cnfStyle w:val="001000000000" w:firstRow="0" w:lastRow="0" w:firstColumn="1" w:lastColumn="0" w:oddVBand="0" w:evenVBand="0" w:oddHBand="0" w:evenHBand="0" w:firstRowFirstColumn="0" w:firstRowLastColumn="0" w:lastRowFirstColumn="0" w:lastRowLastColumn="0"/>
            <w:tcW w:w="2500" w:type="pct"/>
          </w:tcPr>
          <w:p w14:paraId="6AD4C15F" w14:textId="77777777" w:rsidR="00F64D60" w:rsidRPr="00D95CF6" w:rsidRDefault="00F64D60" w:rsidP="00D95CF6">
            <w:pPr>
              <w:pStyle w:val="BodyText"/>
              <w:jc w:val="center"/>
              <w:rPr>
                <w:b/>
              </w:rPr>
            </w:pPr>
            <w:r w:rsidRPr="00D95CF6">
              <w:rPr>
                <w:b/>
              </w:rPr>
              <w:t>Total (2016 – 2040)</w:t>
            </w:r>
          </w:p>
        </w:tc>
        <w:tc>
          <w:tcPr>
            <w:tcW w:w="2500" w:type="pct"/>
          </w:tcPr>
          <w:p w14:paraId="7F0B4422" w14:textId="0FBE740D" w:rsidR="00F64D60" w:rsidRPr="00D95CF6" w:rsidRDefault="003318E0" w:rsidP="00D95CF6">
            <w:pPr>
              <w:pStyle w:val="BodyText"/>
              <w:jc w:val="center"/>
              <w:cnfStyle w:val="000000000000" w:firstRow="0" w:lastRow="0" w:firstColumn="0" w:lastColumn="0" w:oddVBand="0" w:evenVBand="0" w:oddHBand="0" w:evenHBand="0" w:firstRowFirstColumn="0" w:firstRowLastColumn="0" w:lastRowFirstColumn="0" w:lastRowLastColumn="0"/>
              <w:rPr>
                <w:b/>
              </w:rPr>
            </w:pPr>
            <w:r w:rsidRPr="003318E0">
              <w:rPr>
                <w:b/>
              </w:rPr>
              <w:t>89,073</w:t>
            </w:r>
          </w:p>
        </w:tc>
      </w:tr>
    </w:tbl>
    <w:p w14:paraId="6A4ED7FD" w14:textId="05FD47D5" w:rsidR="00F64D60" w:rsidRDefault="00F64D60" w:rsidP="00F143E8">
      <w:pPr>
        <w:pStyle w:val="Appendixheading1"/>
      </w:pPr>
      <w:bookmarkStart w:id="183" w:name="_Toc508222204"/>
      <w:bookmarkStart w:id="184" w:name="_Toc518629910"/>
      <w:r>
        <w:t xml:space="preserve">Measure 6: Non-road diesel </w:t>
      </w:r>
      <w:r w:rsidR="00991D90">
        <w:t>engine standards</w:t>
      </w:r>
      <w:r>
        <w:t xml:space="preserve"> (NO</w:t>
      </w:r>
      <w:r w:rsidRPr="0000289A">
        <w:rPr>
          <w:vertAlign w:val="subscript"/>
        </w:rPr>
        <w:t>2</w:t>
      </w:r>
      <w:r>
        <w:t>)</w:t>
      </w:r>
      <w:bookmarkEnd w:id="183"/>
      <w:bookmarkEnd w:id="184"/>
    </w:p>
    <w:p w14:paraId="3DE00FB3" w14:textId="77777777" w:rsidR="00D84C20" w:rsidRDefault="00F64D60" w:rsidP="00B326CA">
      <w:pPr>
        <w:pStyle w:val="BodyText"/>
      </w:pPr>
      <w:r>
        <w:t>Abatement measure 6 involves implementing non-road diesel engine standards</w:t>
      </w:r>
      <w:r w:rsidR="00460765">
        <w:t>.</w:t>
      </w:r>
      <w:r w:rsidR="00316866">
        <w:t xml:space="preserve"> There are currently no </w:t>
      </w:r>
      <w:r w:rsidR="00513F48">
        <w:t xml:space="preserve">national regulations </w:t>
      </w:r>
      <w:r w:rsidR="00316866">
        <w:t xml:space="preserve">for non-road diesel engines, which are used in agriculture, construction, mining, industrial, power generation, </w:t>
      </w:r>
      <w:r w:rsidR="00CA344C">
        <w:t>amongst other sectors</w:t>
      </w:r>
      <w:r>
        <w:t xml:space="preserve">. The standards are </w:t>
      </w:r>
      <w:r w:rsidR="00F143E8">
        <w:t xml:space="preserve">assumed to be </w:t>
      </w:r>
      <w:r>
        <w:t xml:space="preserve">implemented </w:t>
      </w:r>
      <w:r w:rsidR="009B3223">
        <w:t>progressively between 2019 (</w:t>
      </w:r>
      <w:r>
        <w:t>Tier 3</w:t>
      </w:r>
      <w:r w:rsidR="009B3223">
        <w:t>) and 2022 (</w:t>
      </w:r>
      <w:r>
        <w:t>Tier 4</w:t>
      </w:r>
      <w:r w:rsidR="009B3223">
        <w:t>)</w:t>
      </w:r>
      <w:r w:rsidR="00C415C2">
        <w:t>.</w:t>
      </w:r>
      <w:r>
        <w:t xml:space="preserve"> and involve the installation of new engines and equipment for non-road diesel engines.</w:t>
      </w:r>
    </w:p>
    <w:p w14:paraId="6CA8A30B" w14:textId="1876C0E9" w:rsidR="00D84C20" w:rsidRDefault="009E735E" w:rsidP="00B326CA">
      <w:pPr>
        <w:pStyle w:val="BodyText"/>
      </w:pPr>
      <w:r>
        <w:t xml:space="preserve">The measure assumes a </w:t>
      </w:r>
      <w:r w:rsidR="00773220">
        <w:t xml:space="preserve">fleet turnover, sector coverage, capital and operating costs consistent with a study by </w:t>
      </w:r>
      <w:r w:rsidR="00773220" w:rsidRPr="00A451DF">
        <w:t xml:space="preserve">NSW </w:t>
      </w:r>
      <w:r w:rsidR="00773220">
        <w:t>EPA</w:t>
      </w:r>
      <w:r w:rsidR="00773220" w:rsidRPr="00A451DF">
        <w:t xml:space="preserve"> </w:t>
      </w:r>
      <w:r w:rsidR="00773220">
        <w:t xml:space="preserve">(2014). </w:t>
      </w:r>
      <w:r w:rsidR="001F632E">
        <w:t xml:space="preserve">The data from </w:t>
      </w:r>
      <w:r w:rsidR="00C531C2">
        <w:t xml:space="preserve">Scenario </w:t>
      </w:r>
      <w:r w:rsidR="00705AF4">
        <w:t xml:space="preserve">3 </w:t>
      </w:r>
      <w:r w:rsidR="00C531C2">
        <w:t>of this study (</w:t>
      </w:r>
      <w:r w:rsidR="001F632E" w:rsidRPr="00327504">
        <w:t>‘Stepped introduction of emission standards’</w:t>
      </w:r>
      <w:r w:rsidR="00C531C2" w:rsidRPr="00B326CA">
        <w:t>)</w:t>
      </w:r>
      <w:r w:rsidR="001F632E">
        <w:t xml:space="preserve"> have been used for this CBA.</w:t>
      </w:r>
      <w:r w:rsidR="00D977A2">
        <w:t xml:space="preserve"> </w:t>
      </w:r>
      <w:r w:rsidR="00D84C20">
        <w:t xml:space="preserve">This scenario assumes </w:t>
      </w:r>
      <w:r w:rsidR="00754607">
        <w:t xml:space="preserve">that </w:t>
      </w:r>
      <w:r w:rsidR="00D84C20">
        <w:t>the following equipment</w:t>
      </w:r>
      <w:r w:rsidR="00754607">
        <w:t xml:space="preserve"> types</w:t>
      </w:r>
      <w:r w:rsidR="007E4DD8">
        <w:t xml:space="preserve"> </w:t>
      </w:r>
      <w:r w:rsidR="00D84C20">
        <w:t xml:space="preserve">are </w:t>
      </w:r>
      <w:r w:rsidR="00754607">
        <w:t>covered by the standards</w:t>
      </w:r>
      <w:r w:rsidR="007E4DD8">
        <w:t>, and that only engines with a  capacity greater than 19 kW are required to meet standards</w:t>
      </w:r>
      <w:r w:rsidR="00D84C20">
        <w:t>:</w:t>
      </w:r>
    </w:p>
    <w:p w14:paraId="7D6756E4" w14:textId="77777777" w:rsidR="00D84C20" w:rsidRDefault="00D84C20" w:rsidP="00D84C20">
      <w:pPr>
        <w:pStyle w:val="Bullet1"/>
      </w:pPr>
      <w:r>
        <w:t>diesel-powered construction and surface mining equipment and non-road vehicles</w:t>
      </w:r>
    </w:p>
    <w:p w14:paraId="0B06CA17" w14:textId="77777777" w:rsidR="00D84C20" w:rsidRDefault="00D84C20" w:rsidP="00D84C20">
      <w:pPr>
        <w:pStyle w:val="Bullet1"/>
      </w:pPr>
      <w:r>
        <w:t>general industrial equipment, light commercial equipment including pumps and compressors</w:t>
      </w:r>
    </w:p>
    <w:p w14:paraId="759875AE" w14:textId="77777777" w:rsidR="00D84C20" w:rsidRDefault="00D84C20" w:rsidP="00D84C20">
      <w:pPr>
        <w:pStyle w:val="Bullet1"/>
      </w:pPr>
      <w:r>
        <w:t>power generation units</w:t>
      </w:r>
    </w:p>
    <w:p w14:paraId="12A8D1E8" w14:textId="77777777" w:rsidR="00D84C20" w:rsidRDefault="00D84C20" w:rsidP="00D84C20">
      <w:pPr>
        <w:pStyle w:val="Bullet1"/>
      </w:pPr>
      <w:r>
        <w:t>agricultural equipment and vehicles</w:t>
      </w:r>
    </w:p>
    <w:p w14:paraId="4BB7B045" w14:textId="77777777" w:rsidR="00D84C20" w:rsidRDefault="00D84C20" w:rsidP="00D84C20">
      <w:pPr>
        <w:pStyle w:val="Bullet1"/>
      </w:pPr>
      <w:r>
        <w:t>forestry and logging equipment</w:t>
      </w:r>
    </w:p>
    <w:p w14:paraId="359EC48A" w14:textId="1D34C5A1" w:rsidR="00D84C20" w:rsidRDefault="00D84C20" w:rsidP="00D84C20">
      <w:pPr>
        <w:pStyle w:val="Bullet1"/>
      </w:pPr>
      <w:r>
        <w:t xml:space="preserve">lawn and garden </w:t>
      </w:r>
      <w:r w:rsidR="00754607">
        <w:t>equipment</w:t>
      </w:r>
    </w:p>
    <w:p w14:paraId="5D48B58C" w14:textId="72E11E3E" w:rsidR="00D84C20" w:rsidRDefault="00D84C20" w:rsidP="00D84C20">
      <w:pPr>
        <w:pStyle w:val="Bullet1"/>
      </w:pPr>
      <w:r>
        <w:t xml:space="preserve">marine engines with power ratings below 37 kW. </w:t>
      </w:r>
    </w:p>
    <w:p w14:paraId="6FB78CFD" w14:textId="51C03AEA" w:rsidR="00D84C20" w:rsidRPr="00D84C20" w:rsidRDefault="009F73D4">
      <w:pPr>
        <w:pStyle w:val="BodyText"/>
      </w:pPr>
      <w:r>
        <w:t>The assumed average median life, load factor and hours of operation by engine category are provided in Appendix D of NSW EPA (2014)</w:t>
      </w:r>
      <w:r w:rsidR="00601E5B">
        <w:t>.</w:t>
      </w:r>
      <w:r w:rsidR="00B70020">
        <w:t xml:space="preserve"> Note that due to the long life of the equipment, health benefits from this measure are likely to accrue beyond the CBA modelling period. However, the CBA does include these ongoing benefits.</w:t>
      </w:r>
    </w:p>
    <w:p w14:paraId="474AB3FB" w14:textId="1ED3683D" w:rsidR="00F64D60" w:rsidRPr="00E80D83" w:rsidRDefault="00D84C20" w:rsidP="00F64D60">
      <w:pPr>
        <w:pStyle w:val="Heading6"/>
      </w:pPr>
      <w:r>
        <w:t xml:space="preserve">Capital </w:t>
      </w:r>
      <w:r w:rsidR="00F64D60" w:rsidRPr="00286840">
        <w:t>costs</w:t>
      </w:r>
    </w:p>
    <w:p w14:paraId="0BA2C54E" w14:textId="21DB95B0" w:rsidR="000F1CC3" w:rsidRDefault="00F64D60" w:rsidP="000F1CC3">
      <w:pPr>
        <w:pStyle w:val="BodyText"/>
      </w:pPr>
      <w:r>
        <w:t xml:space="preserve">Capital costs for each Tier were </w:t>
      </w:r>
      <w:r w:rsidR="000D4937">
        <w:t xml:space="preserve">estimated </w:t>
      </w:r>
      <w:r>
        <w:t>based on the individual equipment</w:t>
      </w:r>
      <w:r w:rsidR="005C07A7">
        <w:t xml:space="preserve"> type and power rating category, and are based on </w:t>
      </w:r>
      <w:r w:rsidR="009F73D4">
        <w:t xml:space="preserve">the </w:t>
      </w:r>
      <w:r w:rsidR="005C07A7">
        <w:t xml:space="preserve">study by </w:t>
      </w:r>
      <w:r w:rsidR="00A451DF" w:rsidRPr="00A451DF">
        <w:t xml:space="preserve">NSW </w:t>
      </w:r>
      <w:r w:rsidR="000F1CC3">
        <w:t>EPA</w:t>
      </w:r>
      <w:r w:rsidR="00A451DF" w:rsidRPr="00A451DF">
        <w:t xml:space="preserve"> </w:t>
      </w:r>
      <w:r w:rsidR="005C07A7">
        <w:t>(</w:t>
      </w:r>
      <w:r w:rsidR="00A451DF">
        <w:t>2014</w:t>
      </w:r>
      <w:r w:rsidR="005C07A7">
        <w:t>)</w:t>
      </w:r>
      <w:r w:rsidR="00391D6C">
        <w:t>, which considered the costs and benefits across Australia</w:t>
      </w:r>
      <w:r w:rsidR="005C07A7">
        <w:t xml:space="preserve">. </w:t>
      </w:r>
      <w:r w:rsidR="000F1CC3">
        <w:t xml:space="preserve">The measure </w:t>
      </w:r>
      <w:r w:rsidR="00391D6C">
        <w:t xml:space="preserve">in this CBA </w:t>
      </w:r>
      <w:r w:rsidR="000F1CC3">
        <w:t xml:space="preserve">only considers the costs and benefits in the airsheds included in the CBA (refer to section </w:t>
      </w:r>
      <w:r w:rsidR="000F1CC3">
        <w:fldChar w:fldCharType="begin"/>
      </w:r>
      <w:r w:rsidR="000F1CC3">
        <w:instrText xml:space="preserve"> REF _Ref514337065 \r \h </w:instrText>
      </w:r>
      <w:r w:rsidR="000F1CC3">
        <w:fldChar w:fldCharType="separate"/>
      </w:r>
      <w:r w:rsidR="00A50702">
        <w:t>3.2</w:t>
      </w:r>
      <w:r w:rsidR="000F1CC3">
        <w:fldChar w:fldCharType="end"/>
      </w:r>
      <w:r w:rsidR="000F1CC3">
        <w:t xml:space="preserve">). Therefore, the costs and emission reductions provided by NSW EPA were scaled using </w:t>
      </w:r>
      <w:r w:rsidR="00391D6C">
        <w:t xml:space="preserve">the ratio of the population of </w:t>
      </w:r>
      <w:r w:rsidR="000F1CC3">
        <w:t xml:space="preserve">the </w:t>
      </w:r>
      <w:r w:rsidR="00391D6C">
        <w:t xml:space="preserve">selected </w:t>
      </w:r>
      <w:r w:rsidR="000F1CC3">
        <w:t>airsheds</w:t>
      </w:r>
      <w:r w:rsidR="005C214A">
        <w:t xml:space="preserve"> to the Australian population</w:t>
      </w:r>
      <w:r w:rsidR="000F1CC3">
        <w:t>.</w:t>
      </w:r>
    </w:p>
    <w:p w14:paraId="261426C7" w14:textId="6CFCBE1F" w:rsidR="00F64D60" w:rsidRDefault="005C07A7" w:rsidP="005C07A7">
      <w:pPr>
        <w:pStyle w:val="BodyText"/>
      </w:pPr>
      <w:r>
        <w:t>T</w:t>
      </w:r>
      <w:r w:rsidR="00B11E0F">
        <w:t>otal capital costs of $</w:t>
      </w:r>
      <w:r w:rsidR="00081EC6">
        <w:t>5</w:t>
      </w:r>
      <w:r>
        <w:t>.</w:t>
      </w:r>
      <w:r w:rsidR="00081EC6">
        <w:t>4</w:t>
      </w:r>
      <w:r>
        <w:t xml:space="preserve"> </w:t>
      </w:r>
      <w:r w:rsidR="00E44776">
        <w:t xml:space="preserve">billion </w:t>
      </w:r>
      <w:r w:rsidR="00B810A2">
        <w:t xml:space="preserve">PV </w:t>
      </w:r>
      <w:r>
        <w:t>are estimated across the affected airsheds</w:t>
      </w:r>
      <w:r w:rsidR="00967F2C">
        <w:t>.</w:t>
      </w:r>
    </w:p>
    <w:p w14:paraId="6B87C3B9" w14:textId="77777777" w:rsidR="00F64D60" w:rsidRPr="00E80D83" w:rsidRDefault="00F64D60" w:rsidP="00F64D60">
      <w:pPr>
        <w:pStyle w:val="Heading6"/>
      </w:pPr>
      <w:r>
        <w:lastRenderedPageBreak/>
        <w:t>Operating and maintenance costs</w:t>
      </w:r>
    </w:p>
    <w:p w14:paraId="647683A1" w14:textId="7B274CB3" w:rsidR="00E60BC3" w:rsidRDefault="00E60BC3" w:rsidP="00E60BC3">
      <w:pPr>
        <w:pStyle w:val="BodyText"/>
      </w:pPr>
      <w:r>
        <w:t xml:space="preserve">Operating costs for each Tier were </w:t>
      </w:r>
      <w:r w:rsidR="000D4937">
        <w:t xml:space="preserve">estimated </w:t>
      </w:r>
      <w:r>
        <w:t xml:space="preserve">based on the individual equipment type and power rating category, and are based on a study by </w:t>
      </w:r>
      <w:r w:rsidR="00A451DF" w:rsidRPr="00A451DF">
        <w:t xml:space="preserve">NSW </w:t>
      </w:r>
      <w:r w:rsidR="00B31387">
        <w:t xml:space="preserve">EPA </w:t>
      </w:r>
      <w:r>
        <w:t>(</w:t>
      </w:r>
      <w:r w:rsidR="00A451DF">
        <w:t>2014</w:t>
      </w:r>
      <w:r>
        <w:t xml:space="preserve">). Total </w:t>
      </w:r>
      <w:r w:rsidR="00360BE8">
        <w:t xml:space="preserve">operating and maintenance </w:t>
      </w:r>
      <w:r>
        <w:t>costs of $1.9 million PV are estimated across the affected airsheds.</w:t>
      </w:r>
    </w:p>
    <w:p w14:paraId="1AA2B5F0" w14:textId="2F0836EF" w:rsidR="00F64D60" w:rsidRDefault="00F64D60" w:rsidP="00F64D60">
      <w:pPr>
        <w:pStyle w:val="Heading6"/>
      </w:pPr>
      <w:r>
        <w:t>Co-benefits and dis-benefits</w:t>
      </w:r>
    </w:p>
    <w:p w14:paraId="282ACB95" w14:textId="496EAC6C" w:rsidR="00EF0A88" w:rsidRDefault="00292B18" w:rsidP="000D4937">
      <w:pPr>
        <w:pStyle w:val="BodyText"/>
      </w:pPr>
      <w:r>
        <w:t>F</w:t>
      </w:r>
      <w:r w:rsidR="000D4937">
        <w:t>uel savings</w:t>
      </w:r>
      <w:r w:rsidR="00B82110">
        <w:t xml:space="preserve"> </w:t>
      </w:r>
      <w:r>
        <w:t xml:space="preserve">from the installation of Tier 4 engines </w:t>
      </w:r>
      <w:r w:rsidR="00503110">
        <w:t xml:space="preserve">were </w:t>
      </w:r>
      <w:r>
        <w:t xml:space="preserve">estimated </w:t>
      </w:r>
      <w:r w:rsidR="000D4937">
        <w:t xml:space="preserve">based on a study by </w:t>
      </w:r>
      <w:r w:rsidR="00A451DF" w:rsidRPr="00A451DF">
        <w:t xml:space="preserve">NSW Environment Protection Authority </w:t>
      </w:r>
      <w:r w:rsidR="000D4937">
        <w:t>(</w:t>
      </w:r>
      <w:r w:rsidR="00A451DF">
        <w:t>2014</w:t>
      </w:r>
      <w:r w:rsidR="000D4937">
        <w:t>). Total fuel savings of $1.</w:t>
      </w:r>
      <w:r w:rsidR="002F7117">
        <w:t>7</w:t>
      </w:r>
      <w:r w:rsidR="000D4937">
        <w:t xml:space="preserve"> million PV are estimated across the affected airsheds.</w:t>
      </w:r>
      <w:r w:rsidR="00647417">
        <w:t xml:space="preserve"> The measure also reduces emissions of PM</w:t>
      </w:r>
      <w:r w:rsidR="00647417" w:rsidRPr="00B326CA">
        <w:rPr>
          <w:vertAlign w:val="subscript"/>
        </w:rPr>
        <w:t>2.5</w:t>
      </w:r>
      <w:r w:rsidR="00647417">
        <w:t xml:space="preserve">, </w:t>
      </w:r>
      <w:r w:rsidR="00EF0A88">
        <w:t>CO and VOCs.</w:t>
      </w:r>
    </w:p>
    <w:p w14:paraId="46F55F4E" w14:textId="599B3998" w:rsidR="000D4937" w:rsidRDefault="00647417" w:rsidP="000D4937">
      <w:pPr>
        <w:pStyle w:val="BodyText"/>
      </w:pPr>
      <w:r>
        <w:t>The estimate of health benefits in the CBA incorporates the effect of reduced health outcomes from exposure to PM</w:t>
      </w:r>
      <w:r w:rsidRPr="00B326CA">
        <w:rPr>
          <w:vertAlign w:val="subscript"/>
        </w:rPr>
        <w:t>2.5</w:t>
      </w:r>
      <w:r w:rsidR="00EF0A88">
        <w:t>, but only for the airsheds included in the CBA.</w:t>
      </w:r>
      <w:r w:rsidR="00E22A37">
        <w:t xml:space="preserve"> Therefore, the benefits accruing to regional areas with large exposure</w:t>
      </w:r>
      <w:r w:rsidR="00977EF7">
        <w:t>s</w:t>
      </w:r>
      <w:r w:rsidR="00E22A37">
        <w:t xml:space="preserve"> to non-road diesel equipment emissions (such as Singleton and Muswellbrook in NSW) have not been included.</w:t>
      </w:r>
    </w:p>
    <w:p w14:paraId="6F2A7C4B" w14:textId="72B209EF" w:rsidR="00F64D60" w:rsidRDefault="00BC00F6" w:rsidP="00BC00F6">
      <w:pPr>
        <w:pStyle w:val="Heading6"/>
      </w:pPr>
      <w:bookmarkStart w:id="185" w:name="_Toc508222206"/>
      <w:r>
        <w:t>E</w:t>
      </w:r>
      <w:r w:rsidR="00F64D60">
        <w:t>mission reductions</w:t>
      </w:r>
      <w:bookmarkEnd w:id="185"/>
    </w:p>
    <w:p w14:paraId="0E4D78A2" w14:textId="6B0D47A0" w:rsidR="008E5C5C" w:rsidRDefault="00F64D60" w:rsidP="00F64D60">
      <w:pPr>
        <w:pStyle w:val="BodyText"/>
      </w:pPr>
      <w:r w:rsidRPr="00286840">
        <w:t xml:space="preserve">Emission reductions were estimated based on the profile of gradual </w:t>
      </w:r>
      <w:r>
        <w:t>uptake</w:t>
      </w:r>
      <w:r w:rsidRPr="00286840">
        <w:t xml:space="preserve"> of </w:t>
      </w:r>
      <w:r>
        <w:t>compliant non-road diesel engines</w:t>
      </w:r>
      <w:r w:rsidRPr="002A2872">
        <w:t>.</w:t>
      </w:r>
      <w:r w:rsidRPr="00E2382D">
        <w:t xml:space="preserve"> </w:t>
      </w:r>
      <w:r w:rsidRPr="00BE4A27">
        <w:fldChar w:fldCharType="begin"/>
      </w:r>
      <w:r w:rsidRPr="00E2382D">
        <w:instrText xml:space="preserve"> REF _Ref508141362 \h </w:instrText>
      </w:r>
      <w:r>
        <w:instrText xml:space="preserve"> \* MERGEFORMAT </w:instrText>
      </w:r>
      <w:r w:rsidRPr="00BE4A27">
        <w:fldChar w:fldCharType="separate"/>
      </w:r>
      <w:r w:rsidR="00A50702" w:rsidRPr="00A50702">
        <w:t>Table C</w:t>
      </w:r>
      <w:r w:rsidR="00A50702" w:rsidRPr="00A50702">
        <w:noBreakHyphen/>
        <w:t>14</w:t>
      </w:r>
      <w:r w:rsidRPr="00BE4A27">
        <w:fldChar w:fldCharType="end"/>
      </w:r>
      <w:r w:rsidRPr="002A2872">
        <w:t xml:space="preserve"> </w:t>
      </w:r>
      <w:r>
        <w:t>s</w:t>
      </w:r>
      <w:r w:rsidRPr="00286840">
        <w:t>ummarises the estimated emission reductions.</w:t>
      </w:r>
    </w:p>
    <w:p w14:paraId="36856B14" w14:textId="486CFBB2" w:rsidR="00F64D60" w:rsidRDefault="00F64D60" w:rsidP="00F64D60">
      <w:pPr>
        <w:pStyle w:val="BodyText"/>
        <w:keepNext/>
        <w:rPr>
          <w:b/>
          <w:bCs/>
          <w:color w:val="353D30" w:themeColor="accent2"/>
          <w:sz w:val="18"/>
          <w:szCs w:val="18"/>
        </w:rPr>
      </w:pPr>
      <w:bookmarkStart w:id="186" w:name="_Ref508141362"/>
      <w:bookmarkStart w:id="187" w:name="_Toc508222224"/>
      <w:bookmarkStart w:id="188" w:name="_Toc518629934"/>
      <w:r w:rsidRPr="00407075">
        <w:rPr>
          <w:b/>
          <w:bCs/>
          <w:color w:val="353D30" w:themeColor="accent2"/>
          <w:sz w:val="18"/>
          <w:szCs w:val="18"/>
        </w:rPr>
        <w:t xml:space="preserve">Table </w:t>
      </w:r>
      <w:r w:rsidR="00B800CE">
        <w:rPr>
          <w:b/>
          <w:bCs/>
          <w:color w:val="353D30" w:themeColor="accent2"/>
          <w:sz w:val="18"/>
          <w:szCs w:val="18"/>
        </w:rPr>
        <w:t>C</w:t>
      </w:r>
      <w:r w:rsidRPr="00407075">
        <w:rPr>
          <w:b/>
          <w:bCs/>
          <w:color w:val="353D30" w:themeColor="accent2"/>
          <w:sz w:val="18"/>
          <w:szCs w:val="18"/>
        </w:rPr>
        <w:noBreakHyphen/>
      </w:r>
      <w:r w:rsidRPr="00407075">
        <w:rPr>
          <w:b/>
          <w:bCs/>
          <w:color w:val="353D30" w:themeColor="accent2"/>
          <w:sz w:val="18"/>
          <w:szCs w:val="18"/>
        </w:rPr>
        <w:fldChar w:fldCharType="begin"/>
      </w:r>
      <w:r w:rsidRPr="00407075">
        <w:rPr>
          <w:b/>
          <w:bCs/>
          <w:color w:val="353D30" w:themeColor="accent2"/>
          <w:sz w:val="18"/>
          <w:szCs w:val="18"/>
        </w:rPr>
        <w:instrText xml:space="preserve"> SEQ Table \* ARABIC \s 1 </w:instrText>
      </w:r>
      <w:r w:rsidRPr="00407075">
        <w:rPr>
          <w:b/>
          <w:bCs/>
          <w:color w:val="353D30" w:themeColor="accent2"/>
          <w:sz w:val="18"/>
          <w:szCs w:val="18"/>
        </w:rPr>
        <w:fldChar w:fldCharType="separate"/>
      </w:r>
      <w:r w:rsidR="00A50702">
        <w:rPr>
          <w:b/>
          <w:bCs/>
          <w:noProof/>
          <w:color w:val="353D30" w:themeColor="accent2"/>
          <w:sz w:val="18"/>
          <w:szCs w:val="18"/>
        </w:rPr>
        <w:t>14</w:t>
      </w:r>
      <w:r w:rsidRPr="00407075">
        <w:rPr>
          <w:b/>
          <w:bCs/>
          <w:color w:val="353D30" w:themeColor="accent2"/>
          <w:sz w:val="18"/>
          <w:szCs w:val="18"/>
        </w:rPr>
        <w:fldChar w:fldCharType="end"/>
      </w:r>
      <w:bookmarkEnd w:id="186"/>
      <w:r w:rsidRPr="00407075">
        <w:rPr>
          <w:b/>
          <w:bCs/>
          <w:color w:val="353D30" w:themeColor="accent2"/>
          <w:sz w:val="18"/>
          <w:szCs w:val="18"/>
        </w:rPr>
        <w:t xml:space="preserve"> </w:t>
      </w:r>
      <w:r>
        <w:rPr>
          <w:b/>
          <w:bCs/>
          <w:color w:val="353D30" w:themeColor="accent2"/>
          <w:sz w:val="18"/>
          <w:szCs w:val="18"/>
        </w:rPr>
        <w:t>Abatement mea</w:t>
      </w:r>
      <w:r w:rsidR="00CF4D13">
        <w:rPr>
          <w:b/>
          <w:bCs/>
          <w:color w:val="353D30" w:themeColor="accent2"/>
          <w:sz w:val="18"/>
          <w:szCs w:val="18"/>
        </w:rPr>
        <w:t>sure 6 emissions reductions (NO</w:t>
      </w:r>
      <w:r w:rsidR="00CF4D13" w:rsidRPr="00CF4D13">
        <w:rPr>
          <w:b/>
          <w:bCs/>
          <w:color w:val="353D30" w:themeColor="accent2"/>
          <w:sz w:val="18"/>
          <w:szCs w:val="18"/>
          <w:vertAlign w:val="subscript"/>
        </w:rPr>
        <w:t>X</w:t>
      </w:r>
      <w:r>
        <w:rPr>
          <w:b/>
          <w:bCs/>
          <w:color w:val="353D30" w:themeColor="accent2"/>
          <w:sz w:val="18"/>
          <w:szCs w:val="18"/>
        </w:rPr>
        <w:t>)</w:t>
      </w:r>
      <w:bookmarkEnd w:id="187"/>
      <w:bookmarkEnd w:id="188"/>
    </w:p>
    <w:tbl>
      <w:tblPr>
        <w:tblStyle w:val="AureconTable4"/>
        <w:tblW w:w="3828" w:type="pct"/>
        <w:tblInd w:w="-5" w:type="dxa"/>
        <w:tblLook w:val="04A0" w:firstRow="1" w:lastRow="0" w:firstColumn="1" w:lastColumn="0" w:noHBand="0" w:noVBand="1"/>
      </w:tblPr>
      <w:tblGrid>
        <w:gridCol w:w="3686"/>
        <w:gridCol w:w="3686"/>
      </w:tblGrid>
      <w:tr w:rsidR="00F64D60" w14:paraId="0EEC7E9F" w14:textId="77777777" w:rsidTr="00DD31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tcPr>
          <w:p w14:paraId="3769B2EF" w14:textId="77777777" w:rsidR="00F64D60" w:rsidRDefault="00F64D60" w:rsidP="00DD3138">
            <w:pPr>
              <w:pStyle w:val="BodyText"/>
              <w:jc w:val="center"/>
            </w:pPr>
            <w:r>
              <w:t>Year</w:t>
            </w:r>
          </w:p>
        </w:tc>
        <w:tc>
          <w:tcPr>
            <w:tcW w:w="2500" w:type="pct"/>
          </w:tcPr>
          <w:p w14:paraId="6D025E67" w14:textId="210E972C" w:rsidR="00F64D60" w:rsidRDefault="00CF4D13" w:rsidP="00DD3138">
            <w:pPr>
              <w:pStyle w:val="BodyText"/>
              <w:jc w:val="center"/>
              <w:cnfStyle w:val="100000000000" w:firstRow="1" w:lastRow="0" w:firstColumn="0" w:lastColumn="0" w:oddVBand="0" w:evenVBand="0" w:oddHBand="0" w:evenHBand="0" w:firstRowFirstColumn="0" w:firstRowLastColumn="0" w:lastRowFirstColumn="0" w:lastRowLastColumn="0"/>
            </w:pPr>
            <w:r>
              <w:t>NO</w:t>
            </w:r>
            <w:r w:rsidRPr="00CF4D13">
              <w:rPr>
                <w:vertAlign w:val="subscript"/>
              </w:rPr>
              <w:t>X</w:t>
            </w:r>
            <w:r w:rsidR="00F64D60">
              <w:t xml:space="preserve"> Reduction (tonnes per year)</w:t>
            </w:r>
          </w:p>
        </w:tc>
      </w:tr>
      <w:tr w:rsidR="00F64D60" w14:paraId="47393175" w14:textId="77777777" w:rsidTr="00DD3138">
        <w:tc>
          <w:tcPr>
            <w:cnfStyle w:val="001000000000" w:firstRow="0" w:lastRow="0" w:firstColumn="1" w:lastColumn="0" w:oddVBand="0" w:evenVBand="0" w:oddHBand="0" w:evenHBand="0" w:firstRowFirstColumn="0" w:firstRowLastColumn="0" w:lastRowFirstColumn="0" w:lastRowLastColumn="0"/>
            <w:tcW w:w="2500" w:type="pct"/>
          </w:tcPr>
          <w:p w14:paraId="21C24E24" w14:textId="77777777" w:rsidR="00F64D60" w:rsidRDefault="00F64D60" w:rsidP="00DD3138">
            <w:pPr>
              <w:pStyle w:val="BodyText"/>
              <w:jc w:val="center"/>
            </w:pPr>
            <w:r>
              <w:t>2020</w:t>
            </w:r>
          </w:p>
        </w:tc>
        <w:tc>
          <w:tcPr>
            <w:tcW w:w="2500" w:type="pct"/>
          </w:tcPr>
          <w:p w14:paraId="363C6D48" w14:textId="77777777" w:rsidR="00F64D60" w:rsidRDefault="00F64D60" w:rsidP="00DD3138">
            <w:pPr>
              <w:pStyle w:val="BodyText"/>
              <w:jc w:val="center"/>
              <w:cnfStyle w:val="000000000000" w:firstRow="0" w:lastRow="0" w:firstColumn="0" w:lastColumn="0" w:oddVBand="0" w:evenVBand="0" w:oddHBand="0" w:evenHBand="0" w:firstRowFirstColumn="0" w:firstRowLastColumn="0" w:lastRowFirstColumn="0" w:lastRowLastColumn="0"/>
            </w:pPr>
            <w:r>
              <w:t>4,350</w:t>
            </w:r>
          </w:p>
        </w:tc>
      </w:tr>
      <w:tr w:rsidR="00F64D60" w14:paraId="3037656E" w14:textId="77777777" w:rsidTr="00DD3138">
        <w:tc>
          <w:tcPr>
            <w:cnfStyle w:val="001000000000" w:firstRow="0" w:lastRow="0" w:firstColumn="1" w:lastColumn="0" w:oddVBand="0" w:evenVBand="0" w:oddHBand="0" w:evenHBand="0" w:firstRowFirstColumn="0" w:firstRowLastColumn="0" w:lastRowFirstColumn="0" w:lastRowLastColumn="0"/>
            <w:tcW w:w="2500" w:type="pct"/>
          </w:tcPr>
          <w:p w14:paraId="782B2839" w14:textId="77777777" w:rsidR="00F64D60" w:rsidRDefault="00F64D60" w:rsidP="00DD3138">
            <w:pPr>
              <w:pStyle w:val="BodyText"/>
              <w:jc w:val="center"/>
            </w:pPr>
            <w:r>
              <w:t>2030</w:t>
            </w:r>
          </w:p>
        </w:tc>
        <w:tc>
          <w:tcPr>
            <w:tcW w:w="2500" w:type="pct"/>
          </w:tcPr>
          <w:p w14:paraId="2AB300EE" w14:textId="77777777" w:rsidR="00F64D60" w:rsidRDefault="00F64D60" w:rsidP="00DD3138">
            <w:pPr>
              <w:pStyle w:val="BodyText"/>
              <w:jc w:val="center"/>
              <w:cnfStyle w:val="000000000000" w:firstRow="0" w:lastRow="0" w:firstColumn="0" w:lastColumn="0" w:oddVBand="0" w:evenVBand="0" w:oddHBand="0" w:evenHBand="0" w:firstRowFirstColumn="0" w:firstRowLastColumn="0" w:lastRowFirstColumn="0" w:lastRowLastColumn="0"/>
            </w:pPr>
            <w:r>
              <w:t>12,094</w:t>
            </w:r>
          </w:p>
        </w:tc>
      </w:tr>
      <w:tr w:rsidR="00F64D60" w14:paraId="7F44E590" w14:textId="77777777" w:rsidTr="00DD3138">
        <w:tc>
          <w:tcPr>
            <w:cnfStyle w:val="001000000000" w:firstRow="0" w:lastRow="0" w:firstColumn="1" w:lastColumn="0" w:oddVBand="0" w:evenVBand="0" w:oddHBand="0" w:evenHBand="0" w:firstRowFirstColumn="0" w:firstRowLastColumn="0" w:lastRowFirstColumn="0" w:lastRowLastColumn="0"/>
            <w:tcW w:w="2500" w:type="pct"/>
          </w:tcPr>
          <w:p w14:paraId="583B04ED" w14:textId="77777777" w:rsidR="00F64D60" w:rsidRDefault="00F64D60" w:rsidP="00DD3138">
            <w:pPr>
              <w:pStyle w:val="BodyText"/>
              <w:jc w:val="center"/>
            </w:pPr>
            <w:r>
              <w:t>2040</w:t>
            </w:r>
          </w:p>
        </w:tc>
        <w:tc>
          <w:tcPr>
            <w:tcW w:w="2500" w:type="pct"/>
          </w:tcPr>
          <w:p w14:paraId="6B38DB60" w14:textId="77777777" w:rsidR="00F64D60" w:rsidRDefault="00F64D60" w:rsidP="00DD3138">
            <w:pPr>
              <w:pStyle w:val="BodyText"/>
              <w:jc w:val="center"/>
              <w:cnfStyle w:val="000000000000" w:firstRow="0" w:lastRow="0" w:firstColumn="0" w:lastColumn="0" w:oddVBand="0" w:evenVBand="0" w:oddHBand="0" w:evenHBand="0" w:firstRowFirstColumn="0" w:firstRowLastColumn="0" w:lastRowFirstColumn="0" w:lastRowLastColumn="0"/>
            </w:pPr>
            <w:r>
              <w:t>27,303</w:t>
            </w:r>
          </w:p>
        </w:tc>
      </w:tr>
      <w:tr w:rsidR="00F64D60" w14:paraId="7F5C23FF" w14:textId="77777777" w:rsidTr="00DD3138">
        <w:tc>
          <w:tcPr>
            <w:cnfStyle w:val="001000000000" w:firstRow="0" w:lastRow="0" w:firstColumn="1" w:lastColumn="0" w:oddVBand="0" w:evenVBand="0" w:oddHBand="0" w:evenHBand="0" w:firstRowFirstColumn="0" w:firstRowLastColumn="0" w:lastRowFirstColumn="0" w:lastRowLastColumn="0"/>
            <w:tcW w:w="2500" w:type="pct"/>
          </w:tcPr>
          <w:p w14:paraId="1127B08A" w14:textId="77777777" w:rsidR="00F64D60" w:rsidRPr="00DD3138" w:rsidRDefault="00F64D60" w:rsidP="00DD3138">
            <w:pPr>
              <w:pStyle w:val="BodyText"/>
              <w:jc w:val="center"/>
              <w:rPr>
                <w:b/>
              </w:rPr>
            </w:pPr>
            <w:r w:rsidRPr="00DD3138">
              <w:rPr>
                <w:b/>
              </w:rPr>
              <w:t>Total (2016 – 2040)</w:t>
            </w:r>
          </w:p>
        </w:tc>
        <w:tc>
          <w:tcPr>
            <w:tcW w:w="2500" w:type="pct"/>
          </w:tcPr>
          <w:p w14:paraId="3AAC4EE9" w14:textId="77777777" w:rsidR="00F64D60" w:rsidRPr="00DD3138" w:rsidRDefault="00F64D60" w:rsidP="00DD3138">
            <w:pPr>
              <w:pStyle w:val="BodyText"/>
              <w:jc w:val="center"/>
              <w:cnfStyle w:val="000000000000" w:firstRow="0" w:lastRow="0" w:firstColumn="0" w:lastColumn="0" w:oddVBand="0" w:evenVBand="0" w:oddHBand="0" w:evenHBand="0" w:firstRowFirstColumn="0" w:firstRowLastColumn="0" w:lastRowFirstColumn="0" w:lastRowLastColumn="0"/>
              <w:rPr>
                <w:b/>
              </w:rPr>
            </w:pPr>
            <w:r w:rsidRPr="00DD3138">
              <w:rPr>
                <w:b/>
              </w:rPr>
              <w:t>282,416</w:t>
            </w:r>
          </w:p>
        </w:tc>
      </w:tr>
    </w:tbl>
    <w:p w14:paraId="0CDDE84C" w14:textId="0A02453F" w:rsidR="00F64D60" w:rsidRDefault="00F64D60" w:rsidP="009466AB">
      <w:pPr>
        <w:pStyle w:val="Appendixheading1"/>
      </w:pPr>
      <w:bookmarkStart w:id="189" w:name="_Toc508222207"/>
      <w:bookmarkStart w:id="190" w:name="_Toc518629911"/>
      <w:r>
        <w:t>Measure 13</w:t>
      </w:r>
      <w:r w:rsidRPr="00BE4A27">
        <w:t xml:space="preserve">: </w:t>
      </w:r>
      <w:r w:rsidRPr="0000289A">
        <w:t>Industry</w:t>
      </w:r>
      <w:r w:rsidRPr="00B4030F">
        <w:rPr>
          <w:rFonts w:eastAsia="Times New Roman"/>
          <w:color w:val="000000"/>
          <w:lang w:val="en-AU" w:eastAsia="en-AU"/>
        </w:rPr>
        <w:t xml:space="preserve"> </w:t>
      </w:r>
      <w:r w:rsidR="00027BDC">
        <w:t>NO</w:t>
      </w:r>
      <w:r w:rsidR="00027BDC" w:rsidRPr="00027BDC">
        <w:rPr>
          <w:vertAlign w:val="subscript"/>
        </w:rPr>
        <w:t>X</w:t>
      </w:r>
      <w:r w:rsidRPr="0000289A">
        <w:t xml:space="preserve"> control technology </w:t>
      </w:r>
      <w:r>
        <w:t>(NO</w:t>
      </w:r>
      <w:r w:rsidRPr="00A8301A">
        <w:rPr>
          <w:vertAlign w:val="subscript"/>
        </w:rPr>
        <w:t>2</w:t>
      </w:r>
      <w:r>
        <w:t>)</w:t>
      </w:r>
      <w:bookmarkEnd w:id="189"/>
      <w:bookmarkEnd w:id="190"/>
    </w:p>
    <w:p w14:paraId="38256C6C" w14:textId="5A84D8D3" w:rsidR="00F64D60" w:rsidRDefault="00F64D60" w:rsidP="00F64D60">
      <w:pPr>
        <w:pStyle w:val="BodyText"/>
      </w:pPr>
      <w:r>
        <w:t>Abatement measure 13 involves the installation of selective catalytic reduction</w:t>
      </w:r>
      <w:r w:rsidR="009466AB">
        <w:t xml:space="preserve"> (SCR) technology to reduce NO</w:t>
      </w:r>
      <w:r w:rsidR="009466AB" w:rsidRPr="009466AB">
        <w:rPr>
          <w:vertAlign w:val="subscript"/>
        </w:rPr>
        <w:t>X</w:t>
      </w:r>
      <w:r w:rsidR="009466AB">
        <w:t xml:space="preserve"> </w:t>
      </w:r>
      <w:r w:rsidR="00F9123E">
        <w:t xml:space="preserve">emissions in cement and </w:t>
      </w:r>
      <w:r>
        <w:t>clinker, iron</w:t>
      </w:r>
      <w:r w:rsidR="00F9123E">
        <w:t xml:space="preserve"> and </w:t>
      </w:r>
      <w:r>
        <w:t>steel and aluminium</w:t>
      </w:r>
      <w:r w:rsidR="00F9123E">
        <w:t xml:space="preserve"> and </w:t>
      </w:r>
      <w:r>
        <w:t>alumina production plants. SCR involves injecting a reagent into the flue gas in the furnace which reacts with NO</w:t>
      </w:r>
      <w:r w:rsidR="009466AB" w:rsidRPr="009466AB">
        <w:rPr>
          <w:vertAlign w:val="subscript"/>
        </w:rPr>
        <w:t>X</w:t>
      </w:r>
      <w:r>
        <w:t xml:space="preserve"> compounds to form N</w:t>
      </w:r>
      <w:r w:rsidRPr="00A8301A">
        <w:rPr>
          <w:vertAlign w:val="subscript"/>
        </w:rPr>
        <w:t>2</w:t>
      </w:r>
      <w:r>
        <w:t xml:space="preserve"> gas and water.</w:t>
      </w:r>
    </w:p>
    <w:p w14:paraId="780FF298" w14:textId="38C251FE" w:rsidR="00C02182" w:rsidRDefault="00C02182" w:rsidP="00F64D60">
      <w:pPr>
        <w:pStyle w:val="BodyText"/>
      </w:pPr>
      <w:r>
        <w:t xml:space="preserve">The estimated </w:t>
      </w:r>
      <w:r w:rsidR="009346CA">
        <w:t xml:space="preserve">annual </w:t>
      </w:r>
      <w:r>
        <w:t>production by plant type is provided below.</w:t>
      </w:r>
    </w:p>
    <w:p w14:paraId="0EBD49A6" w14:textId="0905E867" w:rsidR="00F64D60" w:rsidRPr="00A8301A" w:rsidRDefault="00F64D60" w:rsidP="001D4E43">
      <w:pPr>
        <w:pStyle w:val="Heading7"/>
      </w:pPr>
      <w:r w:rsidRPr="00A8301A">
        <w:t>Cement</w:t>
      </w:r>
      <w:r w:rsidR="001D4E43">
        <w:t xml:space="preserve"> and </w:t>
      </w:r>
      <w:r w:rsidRPr="00A8301A">
        <w:t>clinker</w:t>
      </w:r>
      <w:r w:rsidR="001D4E43">
        <w:t xml:space="preserve"> facilities</w:t>
      </w:r>
    </w:p>
    <w:p w14:paraId="0EBF13B0" w14:textId="470C12CF" w:rsidR="00F64D60" w:rsidRPr="00A8301A" w:rsidRDefault="00F64D60" w:rsidP="00F64D60">
      <w:pPr>
        <w:pStyle w:val="BodyText"/>
        <w:keepNext/>
        <w:rPr>
          <w:b/>
          <w:bCs/>
          <w:color w:val="353D30" w:themeColor="accent2"/>
          <w:sz w:val="18"/>
          <w:szCs w:val="18"/>
        </w:rPr>
      </w:pPr>
      <w:bookmarkStart w:id="191" w:name="_Ref508219223"/>
      <w:bookmarkStart w:id="192" w:name="_Toc508222225"/>
      <w:bookmarkStart w:id="193" w:name="_Toc518629935"/>
      <w:r w:rsidRPr="00A8301A">
        <w:rPr>
          <w:b/>
          <w:bCs/>
          <w:color w:val="353D30" w:themeColor="accent2"/>
          <w:sz w:val="18"/>
          <w:szCs w:val="18"/>
        </w:rPr>
        <w:t xml:space="preserve">Table </w:t>
      </w:r>
      <w:r w:rsidR="00CD7C7A">
        <w:rPr>
          <w:b/>
          <w:bCs/>
          <w:color w:val="353D30" w:themeColor="accent2"/>
          <w:sz w:val="18"/>
          <w:szCs w:val="18"/>
        </w:rPr>
        <w:t>C</w:t>
      </w:r>
      <w:r w:rsidRPr="00A8301A">
        <w:rPr>
          <w:b/>
          <w:bCs/>
          <w:color w:val="353D30" w:themeColor="accent2"/>
          <w:sz w:val="18"/>
          <w:szCs w:val="18"/>
        </w:rPr>
        <w:noBreakHyphen/>
      </w:r>
      <w:r w:rsidRPr="00A8301A">
        <w:rPr>
          <w:b/>
          <w:bCs/>
          <w:color w:val="353D30" w:themeColor="accent2"/>
          <w:sz w:val="18"/>
          <w:szCs w:val="18"/>
        </w:rPr>
        <w:fldChar w:fldCharType="begin"/>
      </w:r>
      <w:r w:rsidRPr="00A8301A">
        <w:rPr>
          <w:b/>
          <w:bCs/>
          <w:color w:val="353D30" w:themeColor="accent2"/>
          <w:sz w:val="18"/>
          <w:szCs w:val="18"/>
        </w:rPr>
        <w:instrText xml:space="preserve"> SEQ Table \* ARABIC \s 1 </w:instrText>
      </w:r>
      <w:r w:rsidRPr="00A8301A">
        <w:rPr>
          <w:b/>
          <w:bCs/>
          <w:color w:val="353D30" w:themeColor="accent2"/>
          <w:sz w:val="18"/>
          <w:szCs w:val="18"/>
        </w:rPr>
        <w:fldChar w:fldCharType="separate"/>
      </w:r>
      <w:r w:rsidR="00A50702">
        <w:rPr>
          <w:b/>
          <w:bCs/>
          <w:noProof/>
          <w:color w:val="353D30" w:themeColor="accent2"/>
          <w:sz w:val="18"/>
          <w:szCs w:val="18"/>
        </w:rPr>
        <w:t>15</w:t>
      </w:r>
      <w:r w:rsidRPr="00A8301A">
        <w:rPr>
          <w:b/>
          <w:bCs/>
          <w:color w:val="353D30" w:themeColor="accent2"/>
          <w:sz w:val="18"/>
          <w:szCs w:val="18"/>
        </w:rPr>
        <w:fldChar w:fldCharType="end"/>
      </w:r>
      <w:bookmarkEnd w:id="191"/>
      <w:r w:rsidRPr="00A8301A">
        <w:rPr>
          <w:b/>
          <w:bCs/>
          <w:color w:val="353D30" w:themeColor="accent2"/>
          <w:sz w:val="18"/>
          <w:szCs w:val="18"/>
        </w:rPr>
        <w:t xml:space="preserve"> Abatement measure 13 assumed annual production </w:t>
      </w:r>
      <w:r w:rsidR="000B4C78">
        <w:rPr>
          <w:b/>
          <w:bCs/>
          <w:color w:val="353D30" w:themeColor="accent2"/>
          <w:sz w:val="18"/>
          <w:szCs w:val="18"/>
        </w:rPr>
        <w:t xml:space="preserve">of </w:t>
      </w:r>
      <w:r w:rsidRPr="00A8301A">
        <w:rPr>
          <w:b/>
          <w:bCs/>
          <w:color w:val="353D30" w:themeColor="accent2"/>
          <w:sz w:val="18"/>
          <w:szCs w:val="18"/>
        </w:rPr>
        <w:t>cement/clinker</w:t>
      </w:r>
      <w:bookmarkEnd w:id="192"/>
      <w:bookmarkEnd w:id="193"/>
    </w:p>
    <w:tbl>
      <w:tblPr>
        <w:tblStyle w:val="AureconTable4"/>
        <w:tblW w:w="5000" w:type="pct"/>
        <w:tblLook w:val="04A0" w:firstRow="1" w:lastRow="0" w:firstColumn="1" w:lastColumn="0" w:noHBand="0" w:noVBand="1"/>
      </w:tblPr>
      <w:tblGrid>
        <w:gridCol w:w="4565"/>
        <w:gridCol w:w="5064"/>
      </w:tblGrid>
      <w:tr w:rsidR="00F64D60" w14:paraId="57D7A9B8" w14:textId="77777777" w:rsidTr="001130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Pr>
          <w:p w14:paraId="53630B1F" w14:textId="77777777" w:rsidR="00F64D60" w:rsidRDefault="00F64D60" w:rsidP="00CD7C7A">
            <w:pPr>
              <w:pStyle w:val="BodyText"/>
              <w:jc w:val="center"/>
            </w:pPr>
            <w:r>
              <w:t>State</w:t>
            </w:r>
          </w:p>
        </w:tc>
        <w:tc>
          <w:tcPr>
            <w:tcW w:w="0" w:type="pct"/>
          </w:tcPr>
          <w:p w14:paraId="19AE8958" w14:textId="77777777" w:rsidR="00F64D60" w:rsidRDefault="00F64D60" w:rsidP="00CD7C7A">
            <w:pPr>
              <w:pStyle w:val="BodyText"/>
              <w:jc w:val="center"/>
              <w:cnfStyle w:val="100000000000" w:firstRow="1" w:lastRow="0" w:firstColumn="0" w:lastColumn="0" w:oddVBand="0" w:evenVBand="0" w:oddHBand="0" w:evenHBand="0" w:firstRowFirstColumn="0" w:firstRowLastColumn="0" w:lastRowFirstColumn="0" w:lastRowLastColumn="0"/>
            </w:pPr>
            <w:r>
              <w:t>Assumed annual production (million tonnes) (2016)</w:t>
            </w:r>
          </w:p>
        </w:tc>
      </w:tr>
      <w:tr w:rsidR="00F64D60" w14:paraId="6F03E945" w14:textId="77777777" w:rsidTr="001130D4">
        <w:tc>
          <w:tcPr>
            <w:cnfStyle w:val="001000000000" w:firstRow="0" w:lastRow="0" w:firstColumn="1" w:lastColumn="0" w:oddVBand="0" w:evenVBand="0" w:oddHBand="0" w:evenHBand="0" w:firstRowFirstColumn="0" w:firstRowLastColumn="0" w:lastRowFirstColumn="0" w:lastRowLastColumn="0"/>
            <w:tcW w:w="0" w:type="pct"/>
          </w:tcPr>
          <w:p w14:paraId="0796CCE4" w14:textId="77777777" w:rsidR="00F64D60" w:rsidRDefault="00F64D60" w:rsidP="00CD7C7A">
            <w:pPr>
              <w:pStyle w:val="BodyText"/>
              <w:jc w:val="center"/>
            </w:pPr>
            <w:r>
              <w:t>NSW</w:t>
            </w:r>
          </w:p>
        </w:tc>
        <w:tc>
          <w:tcPr>
            <w:tcW w:w="0" w:type="pct"/>
          </w:tcPr>
          <w:p w14:paraId="3F3F0086" w14:textId="7943FB4D" w:rsidR="00F64D60" w:rsidRDefault="00F64D60" w:rsidP="00CD7C7A">
            <w:pPr>
              <w:pStyle w:val="BodyText"/>
              <w:jc w:val="center"/>
              <w:cnfStyle w:val="000000000000" w:firstRow="0" w:lastRow="0" w:firstColumn="0" w:lastColumn="0" w:oddVBand="0" w:evenVBand="0" w:oddHBand="0" w:evenHBand="0" w:firstRowFirstColumn="0" w:firstRowLastColumn="0" w:lastRowFirstColumn="0" w:lastRowLastColumn="0"/>
            </w:pPr>
            <w:r>
              <w:t>5</w:t>
            </w:r>
            <w:r w:rsidR="007A29C9">
              <w:t xml:space="preserve"> </w:t>
            </w:r>
            <w:r w:rsidR="000247A1">
              <w:t xml:space="preserve">million </w:t>
            </w:r>
            <w:r w:rsidR="007A29C9">
              <w:t>tonnes per annum</w:t>
            </w:r>
          </w:p>
        </w:tc>
      </w:tr>
      <w:tr w:rsidR="00F64D60" w14:paraId="0059DE02" w14:textId="77777777" w:rsidTr="001130D4">
        <w:tc>
          <w:tcPr>
            <w:cnfStyle w:val="001000000000" w:firstRow="0" w:lastRow="0" w:firstColumn="1" w:lastColumn="0" w:oddVBand="0" w:evenVBand="0" w:oddHBand="0" w:evenHBand="0" w:firstRowFirstColumn="0" w:firstRowLastColumn="0" w:lastRowFirstColumn="0" w:lastRowLastColumn="0"/>
            <w:tcW w:w="0" w:type="pct"/>
          </w:tcPr>
          <w:p w14:paraId="0418FF0C" w14:textId="77777777" w:rsidR="00F64D60" w:rsidRDefault="00F64D60" w:rsidP="00CD7C7A">
            <w:pPr>
              <w:pStyle w:val="BodyText"/>
              <w:jc w:val="center"/>
            </w:pPr>
            <w:r>
              <w:t>SA</w:t>
            </w:r>
          </w:p>
        </w:tc>
        <w:tc>
          <w:tcPr>
            <w:tcW w:w="0" w:type="pct"/>
          </w:tcPr>
          <w:p w14:paraId="4DFD0FF4" w14:textId="1535A1D3" w:rsidR="00F64D60" w:rsidRDefault="00F64D60" w:rsidP="00CD7C7A">
            <w:pPr>
              <w:pStyle w:val="BodyText"/>
              <w:jc w:val="center"/>
              <w:cnfStyle w:val="000000000000" w:firstRow="0" w:lastRow="0" w:firstColumn="0" w:lastColumn="0" w:oddVBand="0" w:evenVBand="0" w:oddHBand="0" w:evenHBand="0" w:firstRowFirstColumn="0" w:firstRowLastColumn="0" w:lastRowFirstColumn="0" w:lastRowLastColumn="0"/>
            </w:pPr>
            <w:r>
              <w:t>4</w:t>
            </w:r>
            <w:r w:rsidR="007A29C9">
              <w:t xml:space="preserve"> </w:t>
            </w:r>
            <w:r w:rsidR="000247A1">
              <w:t xml:space="preserve">million </w:t>
            </w:r>
            <w:r w:rsidR="007A29C9">
              <w:t>tonnes per annum</w:t>
            </w:r>
          </w:p>
        </w:tc>
      </w:tr>
      <w:tr w:rsidR="00F64D60" w14:paraId="746DE6C9" w14:textId="77777777" w:rsidTr="001130D4">
        <w:tc>
          <w:tcPr>
            <w:cnfStyle w:val="001000000000" w:firstRow="0" w:lastRow="0" w:firstColumn="1" w:lastColumn="0" w:oddVBand="0" w:evenVBand="0" w:oddHBand="0" w:evenHBand="0" w:firstRowFirstColumn="0" w:firstRowLastColumn="0" w:lastRowFirstColumn="0" w:lastRowLastColumn="0"/>
            <w:tcW w:w="0" w:type="pct"/>
          </w:tcPr>
          <w:p w14:paraId="12A6A874" w14:textId="77777777" w:rsidR="00F64D60" w:rsidRDefault="00F64D60" w:rsidP="00CD7C7A">
            <w:pPr>
              <w:pStyle w:val="BodyText"/>
              <w:jc w:val="center"/>
            </w:pPr>
            <w:r>
              <w:t>WA</w:t>
            </w:r>
          </w:p>
        </w:tc>
        <w:tc>
          <w:tcPr>
            <w:tcW w:w="0" w:type="pct"/>
          </w:tcPr>
          <w:p w14:paraId="1E9926B0" w14:textId="3E445BB6" w:rsidR="00F64D60" w:rsidRDefault="00F64D60" w:rsidP="00CD7C7A">
            <w:pPr>
              <w:pStyle w:val="BodyText"/>
              <w:jc w:val="center"/>
              <w:cnfStyle w:val="000000000000" w:firstRow="0" w:lastRow="0" w:firstColumn="0" w:lastColumn="0" w:oddVBand="0" w:evenVBand="0" w:oddHBand="0" w:evenHBand="0" w:firstRowFirstColumn="0" w:firstRowLastColumn="0" w:lastRowFirstColumn="0" w:lastRowLastColumn="0"/>
            </w:pPr>
            <w:r>
              <w:t>2</w:t>
            </w:r>
            <w:r w:rsidR="007A29C9">
              <w:t xml:space="preserve"> </w:t>
            </w:r>
            <w:r w:rsidR="000247A1">
              <w:t xml:space="preserve">million </w:t>
            </w:r>
            <w:r w:rsidR="007A29C9">
              <w:t>tonnes per annum</w:t>
            </w:r>
          </w:p>
        </w:tc>
      </w:tr>
    </w:tbl>
    <w:p w14:paraId="07D8B0CD" w14:textId="14C26F34" w:rsidR="00F64D60" w:rsidRDefault="001D4E43" w:rsidP="001D4E43">
      <w:pPr>
        <w:pStyle w:val="Heading7"/>
      </w:pPr>
      <w:r>
        <w:lastRenderedPageBreak/>
        <w:t>Iron and steel facilities</w:t>
      </w:r>
    </w:p>
    <w:p w14:paraId="1F036791" w14:textId="16FE0444" w:rsidR="00F64D60" w:rsidRPr="00A8301A" w:rsidRDefault="00F64D60" w:rsidP="00F64D60">
      <w:pPr>
        <w:pStyle w:val="BodyText"/>
        <w:keepNext/>
        <w:rPr>
          <w:b/>
          <w:bCs/>
          <w:color w:val="353D30" w:themeColor="accent2"/>
          <w:sz w:val="18"/>
          <w:szCs w:val="18"/>
        </w:rPr>
      </w:pPr>
      <w:bookmarkStart w:id="194" w:name="_Toc508222226"/>
      <w:bookmarkStart w:id="195" w:name="_Toc518629936"/>
      <w:r w:rsidRPr="00A8301A">
        <w:rPr>
          <w:b/>
          <w:bCs/>
          <w:color w:val="353D30" w:themeColor="accent2"/>
          <w:sz w:val="18"/>
          <w:szCs w:val="18"/>
        </w:rPr>
        <w:t xml:space="preserve">Table </w:t>
      </w:r>
      <w:r w:rsidR="00890448">
        <w:rPr>
          <w:b/>
          <w:bCs/>
          <w:color w:val="353D30" w:themeColor="accent2"/>
          <w:sz w:val="18"/>
          <w:szCs w:val="18"/>
        </w:rPr>
        <w:t>C</w:t>
      </w:r>
      <w:r w:rsidRPr="00A8301A">
        <w:rPr>
          <w:b/>
          <w:bCs/>
          <w:color w:val="353D30" w:themeColor="accent2"/>
          <w:sz w:val="18"/>
          <w:szCs w:val="18"/>
        </w:rPr>
        <w:noBreakHyphen/>
      </w:r>
      <w:r w:rsidRPr="00A8301A">
        <w:rPr>
          <w:b/>
          <w:bCs/>
          <w:color w:val="353D30" w:themeColor="accent2"/>
          <w:sz w:val="18"/>
          <w:szCs w:val="18"/>
        </w:rPr>
        <w:fldChar w:fldCharType="begin"/>
      </w:r>
      <w:r w:rsidRPr="00A8301A">
        <w:rPr>
          <w:b/>
          <w:bCs/>
          <w:color w:val="353D30" w:themeColor="accent2"/>
          <w:sz w:val="18"/>
          <w:szCs w:val="18"/>
        </w:rPr>
        <w:instrText xml:space="preserve"> SEQ Table \* ARABIC \s 1 </w:instrText>
      </w:r>
      <w:r w:rsidRPr="00A8301A">
        <w:rPr>
          <w:b/>
          <w:bCs/>
          <w:color w:val="353D30" w:themeColor="accent2"/>
          <w:sz w:val="18"/>
          <w:szCs w:val="18"/>
        </w:rPr>
        <w:fldChar w:fldCharType="separate"/>
      </w:r>
      <w:r w:rsidR="00A50702">
        <w:rPr>
          <w:b/>
          <w:bCs/>
          <w:noProof/>
          <w:color w:val="353D30" w:themeColor="accent2"/>
          <w:sz w:val="18"/>
          <w:szCs w:val="18"/>
        </w:rPr>
        <w:t>16</w:t>
      </w:r>
      <w:r w:rsidRPr="00A8301A">
        <w:rPr>
          <w:b/>
          <w:bCs/>
          <w:color w:val="353D30" w:themeColor="accent2"/>
          <w:sz w:val="18"/>
          <w:szCs w:val="18"/>
        </w:rPr>
        <w:fldChar w:fldCharType="end"/>
      </w:r>
      <w:r w:rsidRPr="00A8301A">
        <w:rPr>
          <w:b/>
          <w:bCs/>
          <w:color w:val="353D30" w:themeColor="accent2"/>
          <w:sz w:val="18"/>
          <w:szCs w:val="18"/>
        </w:rPr>
        <w:t xml:space="preserve"> Abatement measure 13 assumed annual production </w:t>
      </w:r>
      <w:r w:rsidR="007A29C9">
        <w:rPr>
          <w:b/>
          <w:bCs/>
          <w:color w:val="353D30" w:themeColor="accent2"/>
          <w:sz w:val="18"/>
          <w:szCs w:val="18"/>
        </w:rPr>
        <w:t xml:space="preserve">of </w:t>
      </w:r>
      <w:r>
        <w:rPr>
          <w:b/>
          <w:bCs/>
          <w:color w:val="353D30" w:themeColor="accent2"/>
          <w:sz w:val="18"/>
          <w:szCs w:val="18"/>
        </w:rPr>
        <w:t>iron/steel</w:t>
      </w:r>
      <w:bookmarkEnd w:id="194"/>
      <w:bookmarkEnd w:id="195"/>
    </w:p>
    <w:tbl>
      <w:tblPr>
        <w:tblStyle w:val="AureconTable4"/>
        <w:tblW w:w="5000" w:type="pct"/>
        <w:tblLook w:val="04A0" w:firstRow="1" w:lastRow="0" w:firstColumn="1" w:lastColumn="0" w:noHBand="0" w:noVBand="1"/>
      </w:tblPr>
      <w:tblGrid>
        <w:gridCol w:w="4435"/>
        <w:gridCol w:w="5194"/>
      </w:tblGrid>
      <w:tr w:rsidR="00F64D60" w14:paraId="3D916EC7" w14:textId="77777777" w:rsidTr="001130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3" w:type="pct"/>
          </w:tcPr>
          <w:p w14:paraId="60A8D6E7" w14:textId="77777777" w:rsidR="00F64D60" w:rsidRDefault="00F64D60" w:rsidP="00CD7C7A">
            <w:pPr>
              <w:pStyle w:val="BodyText"/>
              <w:jc w:val="center"/>
            </w:pPr>
            <w:r>
              <w:t>State</w:t>
            </w:r>
          </w:p>
        </w:tc>
        <w:tc>
          <w:tcPr>
            <w:tcW w:w="2697" w:type="pct"/>
          </w:tcPr>
          <w:p w14:paraId="484942B8" w14:textId="77777777" w:rsidR="00F64D60" w:rsidRDefault="00F64D60" w:rsidP="00CD7C7A">
            <w:pPr>
              <w:pStyle w:val="BodyText"/>
              <w:jc w:val="center"/>
              <w:cnfStyle w:val="100000000000" w:firstRow="1" w:lastRow="0" w:firstColumn="0" w:lastColumn="0" w:oddVBand="0" w:evenVBand="0" w:oddHBand="0" w:evenHBand="0" w:firstRowFirstColumn="0" w:firstRowLastColumn="0" w:lastRowFirstColumn="0" w:lastRowLastColumn="0"/>
            </w:pPr>
            <w:r>
              <w:t>Assumed annual production (million tonnes) (2016)</w:t>
            </w:r>
          </w:p>
        </w:tc>
      </w:tr>
      <w:tr w:rsidR="00F64D60" w14:paraId="5CABCAEA" w14:textId="77777777" w:rsidTr="001130D4">
        <w:tc>
          <w:tcPr>
            <w:cnfStyle w:val="001000000000" w:firstRow="0" w:lastRow="0" w:firstColumn="1" w:lastColumn="0" w:oddVBand="0" w:evenVBand="0" w:oddHBand="0" w:evenHBand="0" w:firstRowFirstColumn="0" w:firstRowLastColumn="0" w:lastRowFirstColumn="0" w:lastRowLastColumn="0"/>
            <w:tcW w:w="2303" w:type="pct"/>
          </w:tcPr>
          <w:p w14:paraId="0F538B48" w14:textId="77777777" w:rsidR="00F64D60" w:rsidRDefault="00F64D60" w:rsidP="00CD7C7A">
            <w:pPr>
              <w:pStyle w:val="BodyText"/>
              <w:jc w:val="center"/>
            </w:pPr>
            <w:r>
              <w:t>NSW</w:t>
            </w:r>
          </w:p>
        </w:tc>
        <w:tc>
          <w:tcPr>
            <w:tcW w:w="2697" w:type="pct"/>
          </w:tcPr>
          <w:p w14:paraId="13130B79" w14:textId="502AB87C" w:rsidR="00F64D60" w:rsidRDefault="00F64D60" w:rsidP="00CD7C7A">
            <w:pPr>
              <w:pStyle w:val="BodyText"/>
              <w:jc w:val="center"/>
              <w:cnfStyle w:val="000000000000" w:firstRow="0" w:lastRow="0" w:firstColumn="0" w:lastColumn="0" w:oddVBand="0" w:evenVBand="0" w:oddHBand="0" w:evenHBand="0" w:firstRowFirstColumn="0" w:firstRowLastColumn="0" w:lastRowFirstColumn="0" w:lastRowLastColumn="0"/>
            </w:pPr>
            <w:r>
              <w:t>3</w:t>
            </w:r>
            <w:r w:rsidR="007A29C9">
              <w:t xml:space="preserve"> </w:t>
            </w:r>
            <w:r w:rsidR="000247A1">
              <w:t xml:space="preserve">million </w:t>
            </w:r>
            <w:r w:rsidR="007A29C9">
              <w:t>tonnes per annum</w:t>
            </w:r>
          </w:p>
        </w:tc>
      </w:tr>
    </w:tbl>
    <w:p w14:paraId="6976C2E9" w14:textId="1748F3B2" w:rsidR="00F64D60" w:rsidRDefault="00F64D60" w:rsidP="001D4E43">
      <w:pPr>
        <w:pStyle w:val="Heading7"/>
      </w:pPr>
      <w:r>
        <w:t>Aluminium</w:t>
      </w:r>
      <w:r w:rsidR="001D4E43">
        <w:t xml:space="preserve"> and </w:t>
      </w:r>
      <w:r>
        <w:t>alumina</w:t>
      </w:r>
      <w:r w:rsidR="001D4E43">
        <w:t xml:space="preserve"> facilities</w:t>
      </w:r>
    </w:p>
    <w:p w14:paraId="0C205005" w14:textId="4CD27B63" w:rsidR="00F64D60" w:rsidRPr="00A8301A" w:rsidRDefault="00F64D60" w:rsidP="00F64D60">
      <w:pPr>
        <w:pStyle w:val="BodyText"/>
        <w:keepNext/>
        <w:rPr>
          <w:b/>
          <w:bCs/>
          <w:color w:val="353D30" w:themeColor="accent2"/>
          <w:sz w:val="18"/>
          <w:szCs w:val="18"/>
        </w:rPr>
      </w:pPr>
      <w:bookmarkStart w:id="196" w:name="_Ref508220055"/>
      <w:bookmarkStart w:id="197" w:name="_Toc508222227"/>
      <w:bookmarkStart w:id="198" w:name="_Toc518629937"/>
      <w:r w:rsidRPr="00A8301A">
        <w:rPr>
          <w:b/>
          <w:bCs/>
          <w:color w:val="353D30" w:themeColor="accent2"/>
          <w:sz w:val="18"/>
          <w:szCs w:val="18"/>
        </w:rPr>
        <w:t xml:space="preserve">Table </w:t>
      </w:r>
      <w:r w:rsidR="00890448">
        <w:rPr>
          <w:b/>
          <w:bCs/>
          <w:color w:val="353D30" w:themeColor="accent2"/>
          <w:sz w:val="18"/>
          <w:szCs w:val="18"/>
        </w:rPr>
        <w:t>C</w:t>
      </w:r>
      <w:r w:rsidRPr="00A8301A">
        <w:rPr>
          <w:b/>
          <w:bCs/>
          <w:color w:val="353D30" w:themeColor="accent2"/>
          <w:sz w:val="18"/>
          <w:szCs w:val="18"/>
        </w:rPr>
        <w:noBreakHyphen/>
      </w:r>
      <w:r w:rsidRPr="00A8301A">
        <w:rPr>
          <w:b/>
          <w:bCs/>
          <w:color w:val="353D30" w:themeColor="accent2"/>
          <w:sz w:val="18"/>
          <w:szCs w:val="18"/>
        </w:rPr>
        <w:fldChar w:fldCharType="begin"/>
      </w:r>
      <w:r w:rsidRPr="00A8301A">
        <w:rPr>
          <w:b/>
          <w:bCs/>
          <w:color w:val="353D30" w:themeColor="accent2"/>
          <w:sz w:val="18"/>
          <w:szCs w:val="18"/>
        </w:rPr>
        <w:instrText xml:space="preserve"> SEQ Table \* ARABIC \s 1 </w:instrText>
      </w:r>
      <w:r w:rsidRPr="00A8301A">
        <w:rPr>
          <w:b/>
          <w:bCs/>
          <w:color w:val="353D30" w:themeColor="accent2"/>
          <w:sz w:val="18"/>
          <w:szCs w:val="18"/>
        </w:rPr>
        <w:fldChar w:fldCharType="separate"/>
      </w:r>
      <w:r w:rsidR="00A50702">
        <w:rPr>
          <w:b/>
          <w:bCs/>
          <w:noProof/>
          <w:color w:val="353D30" w:themeColor="accent2"/>
          <w:sz w:val="18"/>
          <w:szCs w:val="18"/>
        </w:rPr>
        <w:t>17</w:t>
      </w:r>
      <w:r w:rsidRPr="00A8301A">
        <w:rPr>
          <w:b/>
          <w:bCs/>
          <w:color w:val="353D30" w:themeColor="accent2"/>
          <w:sz w:val="18"/>
          <w:szCs w:val="18"/>
        </w:rPr>
        <w:fldChar w:fldCharType="end"/>
      </w:r>
      <w:bookmarkEnd w:id="196"/>
      <w:r w:rsidRPr="00A8301A">
        <w:rPr>
          <w:b/>
          <w:bCs/>
          <w:color w:val="353D30" w:themeColor="accent2"/>
          <w:sz w:val="18"/>
          <w:szCs w:val="18"/>
        </w:rPr>
        <w:t xml:space="preserve"> Abatement measure 13 assumed annual production </w:t>
      </w:r>
      <w:r w:rsidR="007A29C9">
        <w:rPr>
          <w:b/>
          <w:bCs/>
          <w:color w:val="353D30" w:themeColor="accent2"/>
          <w:sz w:val="18"/>
          <w:szCs w:val="18"/>
        </w:rPr>
        <w:t xml:space="preserve">of </w:t>
      </w:r>
      <w:r>
        <w:rPr>
          <w:b/>
          <w:bCs/>
          <w:color w:val="353D30" w:themeColor="accent2"/>
          <w:sz w:val="18"/>
          <w:szCs w:val="18"/>
        </w:rPr>
        <w:t>aluminium/alumina</w:t>
      </w:r>
      <w:bookmarkEnd w:id="197"/>
      <w:bookmarkEnd w:id="198"/>
    </w:p>
    <w:tbl>
      <w:tblPr>
        <w:tblStyle w:val="AureconTable4"/>
        <w:tblW w:w="5000" w:type="pct"/>
        <w:tblLook w:val="04A0" w:firstRow="1" w:lastRow="0" w:firstColumn="1" w:lastColumn="0" w:noHBand="0" w:noVBand="1"/>
      </w:tblPr>
      <w:tblGrid>
        <w:gridCol w:w="4435"/>
        <w:gridCol w:w="5194"/>
      </w:tblGrid>
      <w:tr w:rsidR="00F64D60" w14:paraId="1794A379" w14:textId="77777777" w:rsidTr="001130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03" w:type="pct"/>
          </w:tcPr>
          <w:p w14:paraId="4EAA8E75" w14:textId="77777777" w:rsidR="00F64D60" w:rsidRDefault="00F64D60" w:rsidP="00831978">
            <w:pPr>
              <w:pStyle w:val="BodyText"/>
              <w:jc w:val="center"/>
            </w:pPr>
            <w:r>
              <w:t>State</w:t>
            </w:r>
          </w:p>
        </w:tc>
        <w:tc>
          <w:tcPr>
            <w:tcW w:w="2697" w:type="pct"/>
          </w:tcPr>
          <w:p w14:paraId="0027F2A7" w14:textId="77777777" w:rsidR="00F64D60" w:rsidRDefault="00F64D60" w:rsidP="00831978">
            <w:pPr>
              <w:pStyle w:val="BodyText"/>
              <w:jc w:val="center"/>
              <w:cnfStyle w:val="100000000000" w:firstRow="1" w:lastRow="0" w:firstColumn="0" w:lastColumn="0" w:oddVBand="0" w:evenVBand="0" w:oddHBand="0" w:evenHBand="0" w:firstRowFirstColumn="0" w:firstRowLastColumn="0" w:lastRowFirstColumn="0" w:lastRowLastColumn="0"/>
            </w:pPr>
            <w:r>
              <w:t>Assumed annual production (million tonnes) (2016)</w:t>
            </w:r>
          </w:p>
        </w:tc>
      </w:tr>
      <w:tr w:rsidR="00F64D60" w14:paraId="5748B5B8" w14:textId="77777777" w:rsidTr="001130D4">
        <w:tc>
          <w:tcPr>
            <w:cnfStyle w:val="001000000000" w:firstRow="0" w:lastRow="0" w:firstColumn="1" w:lastColumn="0" w:oddVBand="0" w:evenVBand="0" w:oddHBand="0" w:evenHBand="0" w:firstRowFirstColumn="0" w:firstRowLastColumn="0" w:lastRowFirstColumn="0" w:lastRowLastColumn="0"/>
            <w:tcW w:w="2303" w:type="pct"/>
          </w:tcPr>
          <w:p w14:paraId="3C501247" w14:textId="77777777" w:rsidR="00F64D60" w:rsidRDefault="00F64D60" w:rsidP="00831978">
            <w:pPr>
              <w:pStyle w:val="BodyText"/>
              <w:jc w:val="center"/>
            </w:pPr>
            <w:r>
              <w:t>NSW (aluminium)</w:t>
            </w:r>
          </w:p>
        </w:tc>
        <w:tc>
          <w:tcPr>
            <w:tcW w:w="2697" w:type="pct"/>
          </w:tcPr>
          <w:p w14:paraId="66DA1446" w14:textId="26E7F178" w:rsidR="00F64D60" w:rsidRDefault="00F64D60" w:rsidP="00831978">
            <w:pPr>
              <w:pStyle w:val="BodyText"/>
              <w:jc w:val="center"/>
              <w:cnfStyle w:val="000000000000" w:firstRow="0" w:lastRow="0" w:firstColumn="0" w:lastColumn="0" w:oddVBand="0" w:evenVBand="0" w:oddHBand="0" w:evenHBand="0" w:firstRowFirstColumn="0" w:firstRowLastColumn="0" w:lastRowFirstColumn="0" w:lastRowLastColumn="0"/>
            </w:pPr>
            <w:r>
              <w:t>0.7</w:t>
            </w:r>
            <w:r w:rsidR="0082181F">
              <w:t xml:space="preserve"> million</w:t>
            </w:r>
            <w:r w:rsidR="007A29C9">
              <w:t xml:space="preserve"> tonnes per annum</w:t>
            </w:r>
          </w:p>
        </w:tc>
      </w:tr>
      <w:tr w:rsidR="00F64D60" w14:paraId="05FFC387" w14:textId="77777777" w:rsidTr="001130D4">
        <w:tc>
          <w:tcPr>
            <w:cnfStyle w:val="001000000000" w:firstRow="0" w:lastRow="0" w:firstColumn="1" w:lastColumn="0" w:oddVBand="0" w:evenVBand="0" w:oddHBand="0" w:evenHBand="0" w:firstRowFirstColumn="0" w:firstRowLastColumn="0" w:lastRowFirstColumn="0" w:lastRowLastColumn="0"/>
            <w:tcW w:w="2303" w:type="pct"/>
          </w:tcPr>
          <w:p w14:paraId="1B702A17" w14:textId="77777777" w:rsidR="00F64D60" w:rsidRDefault="00F64D60" w:rsidP="00831978">
            <w:pPr>
              <w:pStyle w:val="BodyText"/>
              <w:jc w:val="center"/>
            </w:pPr>
            <w:r>
              <w:t>WA (alumina)</w:t>
            </w:r>
          </w:p>
        </w:tc>
        <w:tc>
          <w:tcPr>
            <w:tcW w:w="2697" w:type="pct"/>
          </w:tcPr>
          <w:p w14:paraId="390B6A74" w14:textId="7885C556" w:rsidR="00F64D60" w:rsidRDefault="00F64D60" w:rsidP="00831978">
            <w:pPr>
              <w:pStyle w:val="BodyText"/>
              <w:jc w:val="center"/>
              <w:cnfStyle w:val="000000000000" w:firstRow="0" w:lastRow="0" w:firstColumn="0" w:lastColumn="0" w:oddVBand="0" w:evenVBand="0" w:oddHBand="0" w:evenHBand="0" w:firstRowFirstColumn="0" w:firstRowLastColumn="0" w:lastRowFirstColumn="0" w:lastRowLastColumn="0"/>
            </w:pPr>
            <w:r>
              <w:t>11</w:t>
            </w:r>
            <w:r w:rsidR="0082181F">
              <w:t xml:space="preserve"> million</w:t>
            </w:r>
            <w:r w:rsidR="007A29C9">
              <w:t xml:space="preserve"> tonnes per annum</w:t>
            </w:r>
          </w:p>
        </w:tc>
      </w:tr>
    </w:tbl>
    <w:p w14:paraId="0E883883" w14:textId="77777777" w:rsidR="00F64D60" w:rsidRPr="00E80D83" w:rsidRDefault="00F64D60" w:rsidP="00F64D60">
      <w:pPr>
        <w:pStyle w:val="Heading6"/>
      </w:pPr>
      <w:r>
        <w:t xml:space="preserve">Capital </w:t>
      </w:r>
      <w:r w:rsidRPr="00286840">
        <w:t>costs</w:t>
      </w:r>
    </w:p>
    <w:p w14:paraId="1AECA6ED" w14:textId="09003A4E" w:rsidR="00F64D60" w:rsidRDefault="00F64D60" w:rsidP="00F64D60">
      <w:pPr>
        <w:pStyle w:val="BodyText"/>
      </w:pPr>
      <w:r>
        <w:t xml:space="preserve">The following assumptions </w:t>
      </w:r>
      <w:r w:rsidR="00B366F1">
        <w:t xml:space="preserve">were </w:t>
      </w:r>
      <w:r>
        <w:t>used to estimate capital costs</w:t>
      </w:r>
      <w:r w:rsidR="000A5F92">
        <w:t xml:space="preserve"> for cement and </w:t>
      </w:r>
      <w:r w:rsidR="000A5F92" w:rsidRPr="000A5F92">
        <w:t>clinker</w:t>
      </w:r>
      <w:r w:rsidR="000A5F92">
        <w:t xml:space="preserve"> facilities</w:t>
      </w:r>
      <w:r>
        <w:t>:</w:t>
      </w:r>
    </w:p>
    <w:p w14:paraId="03CC8175" w14:textId="2B8A908A" w:rsidR="00F64D60" w:rsidRDefault="00F64D60" w:rsidP="00F64D60">
      <w:pPr>
        <w:pStyle w:val="Bullet1"/>
      </w:pPr>
      <w:r>
        <w:t xml:space="preserve">SCR </w:t>
      </w:r>
      <w:r w:rsidR="00D0783A">
        <w:t xml:space="preserve">was </w:t>
      </w:r>
      <w:r>
        <w:t>assumed to be implemented at cement/clinker production sites in 2021 in NSW and WA, and 20</w:t>
      </w:r>
      <w:r w:rsidR="00076E00">
        <w:t>3</w:t>
      </w:r>
      <w:r>
        <w:t>1 in SA.</w:t>
      </w:r>
    </w:p>
    <w:p w14:paraId="578F1130" w14:textId="5F577AD9" w:rsidR="00F64D60" w:rsidRDefault="00C76CFB" w:rsidP="00C76CFB">
      <w:pPr>
        <w:pStyle w:val="Bullet1"/>
      </w:pPr>
      <w:r>
        <w:t xml:space="preserve">A </w:t>
      </w:r>
      <w:r w:rsidR="00F64D60">
        <w:t xml:space="preserve">capital cost </w:t>
      </w:r>
      <w:r w:rsidR="00F97ED9">
        <w:t xml:space="preserve">of </w:t>
      </w:r>
      <w:r w:rsidR="00F64D60">
        <w:t xml:space="preserve">$4 </w:t>
      </w:r>
      <w:r>
        <w:t xml:space="preserve">million </w:t>
      </w:r>
      <w:r w:rsidR="00C10E44">
        <w:t xml:space="preserve">for </w:t>
      </w:r>
      <w:r w:rsidR="00FE0365">
        <w:t xml:space="preserve">a </w:t>
      </w:r>
      <w:r w:rsidR="00C10E44">
        <w:t xml:space="preserve">plant that </w:t>
      </w:r>
      <w:r w:rsidR="00BC443B">
        <w:t xml:space="preserve">produces </w:t>
      </w:r>
      <w:r w:rsidR="00C10E44">
        <w:t xml:space="preserve">a </w:t>
      </w:r>
      <w:r w:rsidR="007E2820">
        <w:t xml:space="preserve">million </w:t>
      </w:r>
      <w:r w:rsidR="00F64D60">
        <w:t xml:space="preserve">tonne of </w:t>
      </w:r>
      <w:r w:rsidR="00BC443B">
        <w:t xml:space="preserve">cement/clinker </w:t>
      </w:r>
      <w:r w:rsidR="007E2820">
        <w:t xml:space="preserve">per year </w:t>
      </w:r>
      <w:r w:rsidR="00D0783A">
        <w:t xml:space="preserve">was </w:t>
      </w:r>
      <w:r>
        <w:t xml:space="preserve">assumed based on </w:t>
      </w:r>
      <w:r w:rsidRPr="00C76CFB">
        <w:t xml:space="preserve">Economic and Social Council, </w:t>
      </w:r>
      <w:r>
        <w:t>Economic Commission for Europe (</w:t>
      </w:r>
      <w:r w:rsidR="00D115F1">
        <w:t>2012</w:t>
      </w:r>
      <w:r>
        <w:t>)</w:t>
      </w:r>
      <w:r w:rsidR="00394563">
        <w:rPr>
          <w:rStyle w:val="FootnoteReference"/>
        </w:rPr>
        <w:footnoteReference w:id="4"/>
      </w:r>
      <w:r w:rsidR="00630ECF">
        <w:t xml:space="preserve">. This capital cost was </w:t>
      </w:r>
      <w:r w:rsidR="0000558B">
        <w:t xml:space="preserve">scaled </w:t>
      </w:r>
      <w:r w:rsidR="00630ECF">
        <w:t xml:space="preserve">according </w:t>
      </w:r>
      <w:r w:rsidR="00F64D60">
        <w:t xml:space="preserve">to the assumed annual </w:t>
      </w:r>
      <w:r w:rsidR="00F64D60" w:rsidRPr="002A0891">
        <w:t xml:space="preserve">production </w:t>
      </w:r>
      <w:r w:rsidR="008E0924">
        <w:t xml:space="preserve">capacity </w:t>
      </w:r>
      <w:r w:rsidR="00F64D60" w:rsidRPr="002A0891">
        <w:t xml:space="preserve">in </w:t>
      </w:r>
      <w:r w:rsidR="00F64D60" w:rsidRPr="002A0891">
        <w:fldChar w:fldCharType="begin"/>
      </w:r>
      <w:r w:rsidR="00F64D60" w:rsidRPr="002A0891">
        <w:instrText xml:space="preserve"> REF _Ref508219223 \h </w:instrText>
      </w:r>
      <w:r w:rsidR="00F64D60">
        <w:instrText xml:space="preserve"> \* MERGEFORMAT </w:instrText>
      </w:r>
      <w:r w:rsidR="00F64D60" w:rsidRPr="002A0891">
        <w:fldChar w:fldCharType="separate"/>
      </w:r>
      <w:r w:rsidR="00A50702" w:rsidRPr="00A50702">
        <w:t>Table C</w:t>
      </w:r>
      <w:r w:rsidR="00A50702" w:rsidRPr="00A50702">
        <w:noBreakHyphen/>
        <w:t>15</w:t>
      </w:r>
      <w:r w:rsidR="00F64D60" w:rsidRPr="002A0891">
        <w:fldChar w:fldCharType="end"/>
      </w:r>
      <w:r w:rsidR="0000558B">
        <w:t xml:space="preserve"> .</w:t>
      </w:r>
    </w:p>
    <w:p w14:paraId="04FFEC18" w14:textId="47FF2D93" w:rsidR="000A5F92" w:rsidRDefault="000A5F92" w:rsidP="000A5F92">
      <w:pPr>
        <w:pStyle w:val="BodyText"/>
      </w:pPr>
      <w:r>
        <w:t xml:space="preserve">The following assumptions </w:t>
      </w:r>
      <w:r w:rsidR="00B366F1">
        <w:t xml:space="preserve">were </w:t>
      </w:r>
      <w:r>
        <w:t>used to estimate capital costs for iron and steel facilities:</w:t>
      </w:r>
    </w:p>
    <w:p w14:paraId="6910F529" w14:textId="414C5127" w:rsidR="000A5F92" w:rsidRDefault="000A5F92" w:rsidP="000A5F92">
      <w:pPr>
        <w:pStyle w:val="Bullet1"/>
      </w:pPr>
      <w:r>
        <w:t xml:space="preserve">SCR </w:t>
      </w:r>
      <w:r w:rsidR="00D0783A">
        <w:t xml:space="preserve">was </w:t>
      </w:r>
      <w:r>
        <w:t>assumed to be implemented at iro</w:t>
      </w:r>
      <w:r w:rsidR="00B37BA1">
        <w:t>n/steel production sites in 20</w:t>
      </w:r>
      <w:r>
        <w:t>31 in NSW.</w:t>
      </w:r>
    </w:p>
    <w:p w14:paraId="4A9A18AF" w14:textId="7DB15CB3" w:rsidR="000A5F92" w:rsidRDefault="00B37BA1" w:rsidP="000A5F92">
      <w:pPr>
        <w:pStyle w:val="Bullet1"/>
      </w:pPr>
      <w:r>
        <w:t xml:space="preserve">A </w:t>
      </w:r>
      <w:r w:rsidR="000A5F92">
        <w:t xml:space="preserve">capital cost </w:t>
      </w:r>
      <w:r w:rsidR="00A04EA8">
        <w:t xml:space="preserve">of </w:t>
      </w:r>
      <w:r w:rsidR="000A5F92">
        <w:t>$17 million</w:t>
      </w:r>
      <w:r w:rsidR="00D96EA3">
        <w:t xml:space="preserve">, based on the average investment cost of SCR </w:t>
      </w:r>
      <w:r w:rsidR="00282310">
        <w:t xml:space="preserve">at iron/steel plants </w:t>
      </w:r>
      <w:r w:rsidR="00D96EA3">
        <w:t xml:space="preserve">estimated by </w:t>
      </w:r>
      <w:r>
        <w:t>MACTEC (2005)</w:t>
      </w:r>
      <w:r w:rsidR="000A5F92">
        <w:t>.</w:t>
      </w:r>
    </w:p>
    <w:p w14:paraId="2D35A08F" w14:textId="3B1B1EBC" w:rsidR="000A5F92" w:rsidRDefault="000A5F92" w:rsidP="000A5F92">
      <w:pPr>
        <w:pStyle w:val="BodyText"/>
      </w:pPr>
      <w:r>
        <w:t xml:space="preserve">The following assumptions </w:t>
      </w:r>
      <w:r w:rsidR="00B366F1">
        <w:t xml:space="preserve">were </w:t>
      </w:r>
      <w:r>
        <w:t>used to estimate capital costs for aluminium and alumina facilities:</w:t>
      </w:r>
    </w:p>
    <w:p w14:paraId="7D5D5F78" w14:textId="2973821D" w:rsidR="000A5F92" w:rsidRDefault="0035347C" w:rsidP="000A5F92">
      <w:pPr>
        <w:pStyle w:val="Bullet1"/>
      </w:pPr>
      <w:r>
        <w:t xml:space="preserve">Low-NOx burners were </w:t>
      </w:r>
      <w:r w:rsidR="000A5F92">
        <w:t>assumed</w:t>
      </w:r>
      <w:r w:rsidR="0002035F">
        <w:t xml:space="preserve"> to be </w:t>
      </w:r>
      <w:r>
        <w:t xml:space="preserve">installed </w:t>
      </w:r>
      <w:r w:rsidR="0002035F">
        <w:t xml:space="preserve">at aluminium and </w:t>
      </w:r>
      <w:r w:rsidR="000A5F92">
        <w:t>alu</w:t>
      </w:r>
      <w:r w:rsidR="0002035F">
        <w:t>mina production sites in 2021</w:t>
      </w:r>
      <w:r w:rsidR="000A5F92">
        <w:t xml:space="preserve"> in NSW and WA.</w:t>
      </w:r>
    </w:p>
    <w:p w14:paraId="092F2849" w14:textId="49D6E592" w:rsidR="00B651AE" w:rsidRDefault="00B651AE" w:rsidP="00B651AE">
      <w:pPr>
        <w:pStyle w:val="Bullet1"/>
      </w:pPr>
      <w:r>
        <w:t xml:space="preserve">The production of aluminium </w:t>
      </w:r>
      <w:r w:rsidR="005F3F16">
        <w:t xml:space="preserve">was </w:t>
      </w:r>
      <w:r>
        <w:t xml:space="preserve">estimated to require </w:t>
      </w:r>
      <w:r w:rsidR="00833FE5">
        <w:t>14</w:t>
      </w:r>
      <w:r>
        <w:t xml:space="preserve">,000 kWh </w:t>
      </w:r>
      <w:r w:rsidR="00833FE5">
        <w:t xml:space="preserve">of heat </w:t>
      </w:r>
      <w:r>
        <w:t xml:space="preserve">per tonne, and the production of alumina </w:t>
      </w:r>
      <w:r w:rsidR="005F3F16">
        <w:t xml:space="preserve">was </w:t>
      </w:r>
      <w:r>
        <w:t xml:space="preserve">estimated to require </w:t>
      </w:r>
      <w:r w:rsidR="00833FE5">
        <w:t xml:space="preserve">3,015 </w:t>
      </w:r>
      <w:r>
        <w:t xml:space="preserve">kWh </w:t>
      </w:r>
      <w:r w:rsidR="00833FE5">
        <w:t xml:space="preserve">of heat </w:t>
      </w:r>
      <w:r>
        <w:t>per tonne (World Aluminium</w:t>
      </w:r>
      <w:r w:rsidR="005C6A21">
        <w:t>,</w:t>
      </w:r>
      <w:r>
        <w:t xml:space="preserve"> 2016).</w:t>
      </w:r>
    </w:p>
    <w:p w14:paraId="0224706A" w14:textId="12717BCA" w:rsidR="000A5F92" w:rsidRDefault="001D72E8" w:rsidP="000A5F92">
      <w:pPr>
        <w:pStyle w:val="Bullet1"/>
      </w:pPr>
      <w:r>
        <w:t xml:space="preserve">A capital </w:t>
      </w:r>
      <w:r w:rsidR="000A5F92">
        <w:t xml:space="preserve">cost </w:t>
      </w:r>
      <w:r>
        <w:t xml:space="preserve">for </w:t>
      </w:r>
      <w:r w:rsidR="00962DEB">
        <w:t>f</w:t>
      </w:r>
      <w:r w:rsidR="00EC15F2">
        <w:t>itting low-</w:t>
      </w:r>
      <w:r w:rsidR="00962DEB">
        <w:t>NO</w:t>
      </w:r>
      <w:r w:rsidR="00962DEB" w:rsidRPr="00B326CA">
        <w:rPr>
          <w:vertAlign w:val="subscript"/>
        </w:rPr>
        <w:t>X</w:t>
      </w:r>
      <w:r w:rsidR="00962DEB">
        <w:t xml:space="preserve"> burners </w:t>
      </w:r>
      <w:r>
        <w:t xml:space="preserve">of </w:t>
      </w:r>
      <w:r w:rsidR="000A5F92">
        <w:t>$2</w:t>
      </w:r>
      <w:r w:rsidR="0091552B">
        <w:t>,200</w:t>
      </w:r>
      <w:r w:rsidR="000A5F92">
        <w:t xml:space="preserve"> per MW</w:t>
      </w:r>
      <w:r>
        <w:t xml:space="preserve"> </w:t>
      </w:r>
      <w:r w:rsidR="0091552B">
        <w:t xml:space="preserve">of process heat capacity </w:t>
      </w:r>
      <w:r w:rsidR="00D0783A">
        <w:t xml:space="preserve">was </w:t>
      </w:r>
      <w:r>
        <w:t xml:space="preserve">assumed based on </w:t>
      </w:r>
      <w:r w:rsidR="00A77069" w:rsidRPr="00C76CFB">
        <w:t xml:space="preserve">Economic and Social Council, </w:t>
      </w:r>
      <w:r w:rsidR="00A77069">
        <w:t>Economic Commission for Europe (</w:t>
      </w:r>
      <w:r w:rsidR="00D115F1">
        <w:t>2012</w:t>
      </w:r>
      <w:r w:rsidR="00DD5F40">
        <w:t>, Table 3</w:t>
      </w:r>
      <w:r w:rsidR="00B03810">
        <w:t>8</w:t>
      </w:r>
      <w:r w:rsidR="00A77069">
        <w:t>)</w:t>
      </w:r>
      <w:r w:rsidR="0035347C">
        <w:t xml:space="preserve">, and assuming </w:t>
      </w:r>
      <w:r w:rsidR="009B7360">
        <w:t>plant operation of 8,000 hours per year</w:t>
      </w:r>
      <w:r w:rsidR="000A5F92">
        <w:t>.</w:t>
      </w:r>
    </w:p>
    <w:p w14:paraId="4E61F67E" w14:textId="77777777" w:rsidR="00F64D60" w:rsidRPr="00E80D83" w:rsidRDefault="00F64D60" w:rsidP="00F64D60">
      <w:pPr>
        <w:pStyle w:val="Heading6"/>
      </w:pPr>
      <w:r>
        <w:t>Operating and maintenance costs</w:t>
      </w:r>
    </w:p>
    <w:p w14:paraId="2CC4F662" w14:textId="5D13E6A5" w:rsidR="000A5F92" w:rsidRDefault="000A5F92" w:rsidP="000A5F92">
      <w:pPr>
        <w:pStyle w:val="BodyText"/>
      </w:pPr>
      <w:r>
        <w:t xml:space="preserve">The following assumptions </w:t>
      </w:r>
      <w:r w:rsidR="00B366F1">
        <w:t xml:space="preserve">were </w:t>
      </w:r>
      <w:r>
        <w:t>used to estimate operating and maintenance costs for cement</w:t>
      </w:r>
      <w:r w:rsidR="00E669A7">
        <w:t xml:space="preserve"> and </w:t>
      </w:r>
      <w:r>
        <w:t>clinker facilities:</w:t>
      </w:r>
    </w:p>
    <w:p w14:paraId="1B2CC787" w14:textId="26A6A23E" w:rsidR="000A5F92" w:rsidRPr="0000289A" w:rsidRDefault="005A27A7" w:rsidP="000A5F92">
      <w:pPr>
        <w:pStyle w:val="Bullet1"/>
        <w:rPr>
          <w:i/>
        </w:rPr>
      </w:pPr>
      <w:r>
        <w:t>O</w:t>
      </w:r>
      <w:r w:rsidR="000A5F92">
        <w:t xml:space="preserve">perating and </w:t>
      </w:r>
      <w:r>
        <w:t xml:space="preserve">maintenance costs of </w:t>
      </w:r>
      <w:r w:rsidR="000A5F92" w:rsidRPr="002A0891">
        <w:t>$3 per tonne of production</w:t>
      </w:r>
      <w:r>
        <w:t xml:space="preserve"> are assumed based on Economic and Social Council, Economic Commission for Europe (</w:t>
      </w:r>
      <w:r w:rsidR="00D115F1">
        <w:t>2012</w:t>
      </w:r>
      <w:r>
        <w:t>)</w:t>
      </w:r>
    </w:p>
    <w:p w14:paraId="1FEF39D2" w14:textId="29AE7CEE" w:rsidR="000A5F92" w:rsidRDefault="000A5F92" w:rsidP="000A5F92">
      <w:pPr>
        <w:pStyle w:val="BodyText"/>
      </w:pPr>
      <w:r>
        <w:t xml:space="preserve">The following assumptions </w:t>
      </w:r>
      <w:r w:rsidR="00B366F1">
        <w:t xml:space="preserve">were </w:t>
      </w:r>
      <w:r>
        <w:t>used to estimate operating and maintenance costs for iron and steel facilities:</w:t>
      </w:r>
    </w:p>
    <w:p w14:paraId="3789F479" w14:textId="61AADE4B" w:rsidR="000A5F92" w:rsidRPr="00A8301A" w:rsidRDefault="005A27A7" w:rsidP="000A5F92">
      <w:pPr>
        <w:pStyle w:val="Bullet1"/>
      </w:pPr>
      <w:r>
        <w:t>O</w:t>
      </w:r>
      <w:r w:rsidR="000A5F92">
        <w:t>perating and maintenance cost</w:t>
      </w:r>
      <w:r w:rsidR="006F6984">
        <w:t>s</w:t>
      </w:r>
      <w:r w:rsidR="000A5F92">
        <w:t xml:space="preserve"> </w:t>
      </w:r>
      <w:r w:rsidR="00280414">
        <w:t xml:space="preserve">of </w:t>
      </w:r>
      <w:r w:rsidR="000A5F92">
        <w:t xml:space="preserve">$5 million per year </w:t>
      </w:r>
      <w:r w:rsidR="002C36CB">
        <w:t>a</w:t>
      </w:r>
      <w:r w:rsidR="006F6984">
        <w:t xml:space="preserve">re </w:t>
      </w:r>
      <w:r w:rsidR="00280414">
        <w:t xml:space="preserve">assumed </w:t>
      </w:r>
      <w:r w:rsidR="000A5F92">
        <w:t xml:space="preserve">based on </w:t>
      </w:r>
      <w:r>
        <w:t>MACTEC (2005)</w:t>
      </w:r>
      <w:r w:rsidR="000A5F92">
        <w:t>.</w:t>
      </w:r>
    </w:p>
    <w:p w14:paraId="1F3A2049" w14:textId="20A7EE6E" w:rsidR="00F64D60" w:rsidRDefault="00F64D60" w:rsidP="00F64D60">
      <w:pPr>
        <w:pStyle w:val="BodyText"/>
      </w:pPr>
      <w:r>
        <w:lastRenderedPageBreak/>
        <w:t xml:space="preserve">The following assumptions </w:t>
      </w:r>
      <w:r w:rsidR="00B366F1">
        <w:t xml:space="preserve">were </w:t>
      </w:r>
      <w:r>
        <w:t>used to estimate operating and maintenance costs</w:t>
      </w:r>
      <w:r w:rsidR="000A5F92">
        <w:t xml:space="preserve"> for aluminium and alumina facilities</w:t>
      </w:r>
      <w:r>
        <w:t>:</w:t>
      </w:r>
    </w:p>
    <w:p w14:paraId="13F54233" w14:textId="28F8E9AA" w:rsidR="00F64D60" w:rsidRPr="002A0891" w:rsidRDefault="003E7BDF" w:rsidP="00F64D60">
      <w:pPr>
        <w:pStyle w:val="Bullet1"/>
      </w:pPr>
      <w:r>
        <w:t>O</w:t>
      </w:r>
      <w:r w:rsidR="00F64D60">
        <w:t>perating and m</w:t>
      </w:r>
      <w:r w:rsidR="000359F9">
        <w:t xml:space="preserve">aintenance costs of </w:t>
      </w:r>
      <w:r>
        <w:t>$3,300 per MW are assumed based on MACTEC (2005)</w:t>
      </w:r>
      <w:r w:rsidR="00F64D60" w:rsidRPr="00A8301A">
        <w:t>.</w:t>
      </w:r>
    </w:p>
    <w:p w14:paraId="42F9626A" w14:textId="00F01205" w:rsidR="00F64D60" w:rsidRDefault="00F64D60" w:rsidP="00F64D60">
      <w:pPr>
        <w:pStyle w:val="Heading6"/>
      </w:pPr>
      <w:r>
        <w:t>Administrative and regulatory costs</w:t>
      </w:r>
    </w:p>
    <w:p w14:paraId="744145B6" w14:textId="48536FAF" w:rsidR="00F64D60" w:rsidRDefault="00F64D60" w:rsidP="00AB55BC">
      <w:pPr>
        <w:pStyle w:val="BodyText"/>
      </w:pPr>
      <w:r w:rsidRPr="00407075">
        <w:t>A one-off administration cost for set-up and the implementation of regulations of $</w:t>
      </w:r>
      <w:r w:rsidR="00AB55BC">
        <w:t>1,</w:t>
      </w:r>
      <w:r>
        <w:t>3</w:t>
      </w:r>
      <w:r w:rsidRPr="00407075">
        <w:t xml:space="preserve">00,000 </w:t>
      </w:r>
      <w:r w:rsidR="00D0783A">
        <w:t xml:space="preserve">was </w:t>
      </w:r>
      <w:r w:rsidR="00AB55BC">
        <w:t xml:space="preserve">assumed to be incurred </w:t>
      </w:r>
      <w:r w:rsidRPr="00407075">
        <w:t xml:space="preserve">in </w:t>
      </w:r>
      <w:r w:rsidR="00AB55BC">
        <w:t>2021</w:t>
      </w:r>
      <w:r w:rsidRPr="00407075">
        <w:t xml:space="preserve">. </w:t>
      </w:r>
      <w:r w:rsidR="00C80AE1" w:rsidRPr="00407075">
        <w:t xml:space="preserve">This cost has been </w:t>
      </w:r>
      <w:r w:rsidR="00C80AE1">
        <w:t>apportioned equally across all affected airsheds</w:t>
      </w:r>
      <w:r w:rsidR="00C80AE1" w:rsidRPr="00407075">
        <w:t>.</w:t>
      </w:r>
    </w:p>
    <w:p w14:paraId="071C42B8" w14:textId="78709C07" w:rsidR="00F64D60" w:rsidRDefault="000F61F8" w:rsidP="000F61F8">
      <w:pPr>
        <w:pStyle w:val="Heading6"/>
      </w:pPr>
      <w:bookmarkStart w:id="199" w:name="_Toc508222209"/>
      <w:r>
        <w:t>E</w:t>
      </w:r>
      <w:r w:rsidR="00F64D60">
        <w:t>mission reductions</w:t>
      </w:r>
      <w:bookmarkEnd w:id="199"/>
    </w:p>
    <w:p w14:paraId="78D6367B" w14:textId="313BF44D" w:rsidR="003A4D60" w:rsidRDefault="00F64D60" w:rsidP="00F64D60">
      <w:pPr>
        <w:pStyle w:val="BodyText"/>
      </w:pPr>
      <w:r w:rsidRPr="00286840">
        <w:t xml:space="preserve">Emission reductions </w:t>
      </w:r>
      <w:r w:rsidR="00503110">
        <w:t xml:space="preserve">were </w:t>
      </w:r>
      <w:r w:rsidRPr="00286840">
        <w:t xml:space="preserve">estimated </w:t>
      </w:r>
      <w:r w:rsidRPr="002A0891">
        <w:t xml:space="preserve">based on the profile of gradual uptake of SCR technology </w:t>
      </w:r>
      <w:r w:rsidRPr="002A0891">
        <w:fldChar w:fldCharType="begin"/>
      </w:r>
      <w:r w:rsidRPr="002A0891">
        <w:instrText xml:space="preserve"> REF _Ref508220558 \h </w:instrText>
      </w:r>
      <w:r>
        <w:instrText xml:space="preserve"> \* MERGEFORMAT </w:instrText>
      </w:r>
      <w:r w:rsidRPr="002A0891">
        <w:fldChar w:fldCharType="separate"/>
      </w:r>
      <w:r w:rsidR="00A50702" w:rsidRPr="00A50702">
        <w:t>Table C</w:t>
      </w:r>
      <w:r w:rsidR="00A50702" w:rsidRPr="00A50702">
        <w:noBreakHyphen/>
        <w:t>18</w:t>
      </w:r>
      <w:r w:rsidRPr="002A0891">
        <w:fldChar w:fldCharType="end"/>
      </w:r>
      <w:r w:rsidRPr="002A0891">
        <w:t xml:space="preserve"> </w:t>
      </w:r>
      <w:r w:rsidR="00773FE9">
        <w:t>s</w:t>
      </w:r>
      <w:r w:rsidRPr="002A0891">
        <w:t>ummarises the estimated emission reductions</w:t>
      </w:r>
      <w:r w:rsidRPr="00286840">
        <w:t>.</w:t>
      </w:r>
      <w:r w:rsidR="0072393F">
        <w:t xml:space="preserve"> </w:t>
      </w:r>
    </w:p>
    <w:p w14:paraId="2216E654" w14:textId="5A8AE9B0" w:rsidR="00F64D60" w:rsidRDefault="00F64D60" w:rsidP="00F64D60">
      <w:pPr>
        <w:pStyle w:val="BodyText"/>
        <w:keepNext/>
        <w:rPr>
          <w:b/>
          <w:bCs/>
          <w:color w:val="353D30" w:themeColor="accent2"/>
          <w:sz w:val="18"/>
          <w:szCs w:val="18"/>
        </w:rPr>
      </w:pPr>
      <w:bookmarkStart w:id="200" w:name="_Ref508220558"/>
      <w:bookmarkStart w:id="201" w:name="_Toc508222228"/>
      <w:bookmarkStart w:id="202" w:name="_Toc518629938"/>
      <w:r w:rsidRPr="00407075">
        <w:rPr>
          <w:b/>
          <w:bCs/>
          <w:color w:val="353D30" w:themeColor="accent2"/>
          <w:sz w:val="18"/>
          <w:szCs w:val="18"/>
        </w:rPr>
        <w:t xml:space="preserve">Table </w:t>
      </w:r>
      <w:r w:rsidR="00DA150F">
        <w:rPr>
          <w:b/>
          <w:bCs/>
          <w:color w:val="353D30" w:themeColor="accent2"/>
          <w:sz w:val="18"/>
          <w:szCs w:val="18"/>
        </w:rPr>
        <w:t>C</w:t>
      </w:r>
      <w:r w:rsidRPr="00407075">
        <w:rPr>
          <w:b/>
          <w:bCs/>
          <w:color w:val="353D30" w:themeColor="accent2"/>
          <w:sz w:val="18"/>
          <w:szCs w:val="18"/>
        </w:rPr>
        <w:noBreakHyphen/>
      </w:r>
      <w:r w:rsidRPr="00407075">
        <w:rPr>
          <w:b/>
          <w:bCs/>
          <w:color w:val="353D30" w:themeColor="accent2"/>
          <w:sz w:val="18"/>
          <w:szCs w:val="18"/>
        </w:rPr>
        <w:fldChar w:fldCharType="begin"/>
      </w:r>
      <w:r w:rsidRPr="00407075">
        <w:rPr>
          <w:b/>
          <w:bCs/>
          <w:color w:val="353D30" w:themeColor="accent2"/>
          <w:sz w:val="18"/>
          <w:szCs w:val="18"/>
        </w:rPr>
        <w:instrText xml:space="preserve"> SEQ Table \* ARABIC \s 1 </w:instrText>
      </w:r>
      <w:r w:rsidRPr="00407075">
        <w:rPr>
          <w:b/>
          <w:bCs/>
          <w:color w:val="353D30" w:themeColor="accent2"/>
          <w:sz w:val="18"/>
          <w:szCs w:val="18"/>
        </w:rPr>
        <w:fldChar w:fldCharType="separate"/>
      </w:r>
      <w:r w:rsidR="00A50702">
        <w:rPr>
          <w:b/>
          <w:bCs/>
          <w:noProof/>
          <w:color w:val="353D30" w:themeColor="accent2"/>
          <w:sz w:val="18"/>
          <w:szCs w:val="18"/>
        </w:rPr>
        <w:t>18</w:t>
      </w:r>
      <w:r w:rsidRPr="00407075">
        <w:rPr>
          <w:b/>
          <w:bCs/>
          <w:color w:val="353D30" w:themeColor="accent2"/>
          <w:sz w:val="18"/>
          <w:szCs w:val="18"/>
        </w:rPr>
        <w:fldChar w:fldCharType="end"/>
      </w:r>
      <w:bookmarkEnd w:id="200"/>
      <w:r w:rsidRPr="00407075">
        <w:rPr>
          <w:b/>
          <w:bCs/>
          <w:color w:val="353D30" w:themeColor="accent2"/>
          <w:sz w:val="18"/>
          <w:szCs w:val="18"/>
        </w:rPr>
        <w:t xml:space="preserve"> </w:t>
      </w:r>
      <w:r>
        <w:rPr>
          <w:b/>
          <w:bCs/>
          <w:color w:val="353D30" w:themeColor="accent2"/>
          <w:sz w:val="18"/>
          <w:szCs w:val="18"/>
        </w:rPr>
        <w:t>Abatement measure 6 emissions reductions (NOx)</w:t>
      </w:r>
      <w:bookmarkEnd w:id="201"/>
      <w:bookmarkEnd w:id="202"/>
    </w:p>
    <w:tbl>
      <w:tblPr>
        <w:tblStyle w:val="AureconTable4"/>
        <w:tblW w:w="5000" w:type="pct"/>
        <w:tblLook w:val="04A0" w:firstRow="1" w:lastRow="0" w:firstColumn="1" w:lastColumn="0" w:noHBand="0" w:noVBand="1"/>
      </w:tblPr>
      <w:tblGrid>
        <w:gridCol w:w="4605"/>
        <w:gridCol w:w="5024"/>
      </w:tblGrid>
      <w:tr w:rsidR="00F64D60" w14:paraId="289B24A6" w14:textId="77777777" w:rsidTr="001130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pct"/>
          </w:tcPr>
          <w:p w14:paraId="638ED870" w14:textId="77777777" w:rsidR="00F64D60" w:rsidRDefault="00F64D60" w:rsidP="00DA150F">
            <w:pPr>
              <w:pStyle w:val="BodyText"/>
              <w:jc w:val="center"/>
            </w:pPr>
            <w:r>
              <w:t>Year</w:t>
            </w:r>
          </w:p>
        </w:tc>
        <w:tc>
          <w:tcPr>
            <w:tcW w:w="0" w:type="pct"/>
          </w:tcPr>
          <w:p w14:paraId="7A123C2B" w14:textId="737681AE" w:rsidR="00F64D60" w:rsidRDefault="00B3658C" w:rsidP="00DA150F">
            <w:pPr>
              <w:pStyle w:val="BodyText"/>
              <w:jc w:val="center"/>
              <w:cnfStyle w:val="100000000000" w:firstRow="1" w:lastRow="0" w:firstColumn="0" w:lastColumn="0" w:oddVBand="0" w:evenVBand="0" w:oddHBand="0" w:evenHBand="0" w:firstRowFirstColumn="0" w:firstRowLastColumn="0" w:lastRowFirstColumn="0" w:lastRowLastColumn="0"/>
            </w:pPr>
            <w:r>
              <w:t>NO</w:t>
            </w:r>
            <w:r w:rsidRPr="00B3658C">
              <w:rPr>
                <w:vertAlign w:val="subscript"/>
              </w:rPr>
              <w:t>X</w:t>
            </w:r>
            <w:r w:rsidR="00F64D60">
              <w:t xml:space="preserve"> Reduction (tonnes per year)</w:t>
            </w:r>
          </w:p>
        </w:tc>
      </w:tr>
      <w:tr w:rsidR="00F64D60" w14:paraId="5C886E7B" w14:textId="77777777" w:rsidTr="001130D4">
        <w:tc>
          <w:tcPr>
            <w:cnfStyle w:val="001000000000" w:firstRow="0" w:lastRow="0" w:firstColumn="1" w:lastColumn="0" w:oddVBand="0" w:evenVBand="0" w:oddHBand="0" w:evenHBand="0" w:firstRowFirstColumn="0" w:firstRowLastColumn="0" w:lastRowFirstColumn="0" w:lastRowLastColumn="0"/>
            <w:tcW w:w="0" w:type="pct"/>
          </w:tcPr>
          <w:p w14:paraId="62D9C4DA" w14:textId="77777777" w:rsidR="00F64D60" w:rsidRDefault="00F64D60" w:rsidP="00DA150F">
            <w:pPr>
              <w:pStyle w:val="BodyText"/>
              <w:jc w:val="center"/>
            </w:pPr>
            <w:r>
              <w:t>2020</w:t>
            </w:r>
          </w:p>
        </w:tc>
        <w:tc>
          <w:tcPr>
            <w:tcW w:w="0" w:type="pct"/>
          </w:tcPr>
          <w:p w14:paraId="5761C326" w14:textId="77777777" w:rsidR="00F64D60" w:rsidRDefault="00F64D60" w:rsidP="00DA150F">
            <w:pPr>
              <w:pStyle w:val="BodyText"/>
              <w:jc w:val="center"/>
              <w:cnfStyle w:val="000000000000" w:firstRow="0" w:lastRow="0" w:firstColumn="0" w:lastColumn="0" w:oddVBand="0" w:evenVBand="0" w:oddHBand="0" w:evenHBand="0" w:firstRowFirstColumn="0" w:firstRowLastColumn="0" w:lastRowFirstColumn="0" w:lastRowLastColumn="0"/>
            </w:pPr>
            <w:r>
              <w:t>1,467</w:t>
            </w:r>
          </w:p>
        </w:tc>
      </w:tr>
      <w:tr w:rsidR="00F64D60" w14:paraId="450090EF" w14:textId="77777777" w:rsidTr="001130D4">
        <w:tc>
          <w:tcPr>
            <w:cnfStyle w:val="001000000000" w:firstRow="0" w:lastRow="0" w:firstColumn="1" w:lastColumn="0" w:oddVBand="0" w:evenVBand="0" w:oddHBand="0" w:evenHBand="0" w:firstRowFirstColumn="0" w:firstRowLastColumn="0" w:lastRowFirstColumn="0" w:lastRowLastColumn="0"/>
            <w:tcW w:w="0" w:type="pct"/>
          </w:tcPr>
          <w:p w14:paraId="7903512D" w14:textId="77777777" w:rsidR="00F64D60" w:rsidRDefault="00F64D60" w:rsidP="00DA150F">
            <w:pPr>
              <w:pStyle w:val="BodyText"/>
              <w:jc w:val="center"/>
            </w:pPr>
            <w:r>
              <w:t>2030</w:t>
            </w:r>
          </w:p>
        </w:tc>
        <w:tc>
          <w:tcPr>
            <w:tcW w:w="0" w:type="pct"/>
          </w:tcPr>
          <w:p w14:paraId="0F4E2C27" w14:textId="77777777" w:rsidR="00F64D60" w:rsidRDefault="00F64D60" w:rsidP="00DA150F">
            <w:pPr>
              <w:pStyle w:val="BodyText"/>
              <w:jc w:val="center"/>
              <w:cnfStyle w:val="000000000000" w:firstRow="0" w:lastRow="0" w:firstColumn="0" w:lastColumn="0" w:oddVBand="0" w:evenVBand="0" w:oddHBand="0" w:evenHBand="0" w:firstRowFirstColumn="0" w:firstRowLastColumn="0" w:lastRowFirstColumn="0" w:lastRowLastColumn="0"/>
            </w:pPr>
            <w:r>
              <w:t>13,720</w:t>
            </w:r>
          </w:p>
        </w:tc>
      </w:tr>
      <w:tr w:rsidR="00F64D60" w14:paraId="3B1EA2F7" w14:textId="77777777" w:rsidTr="001130D4">
        <w:tc>
          <w:tcPr>
            <w:cnfStyle w:val="001000000000" w:firstRow="0" w:lastRow="0" w:firstColumn="1" w:lastColumn="0" w:oddVBand="0" w:evenVBand="0" w:oddHBand="0" w:evenHBand="0" w:firstRowFirstColumn="0" w:firstRowLastColumn="0" w:lastRowFirstColumn="0" w:lastRowLastColumn="0"/>
            <w:tcW w:w="0" w:type="pct"/>
          </w:tcPr>
          <w:p w14:paraId="41C50694" w14:textId="77777777" w:rsidR="00F64D60" w:rsidRDefault="00F64D60" w:rsidP="00DA150F">
            <w:pPr>
              <w:pStyle w:val="BodyText"/>
              <w:jc w:val="center"/>
            </w:pPr>
            <w:r>
              <w:t>2040</w:t>
            </w:r>
          </w:p>
        </w:tc>
        <w:tc>
          <w:tcPr>
            <w:tcW w:w="0" w:type="pct"/>
          </w:tcPr>
          <w:p w14:paraId="3E9A28DE" w14:textId="77777777" w:rsidR="00F64D60" w:rsidRDefault="00F64D60" w:rsidP="00DA150F">
            <w:pPr>
              <w:pStyle w:val="BodyText"/>
              <w:jc w:val="center"/>
              <w:cnfStyle w:val="000000000000" w:firstRow="0" w:lastRow="0" w:firstColumn="0" w:lastColumn="0" w:oddVBand="0" w:evenVBand="0" w:oddHBand="0" w:evenHBand="0" w:firstRowFirstColumn="0" w:firstRowLastColumn="0" w:lastRowFirstColumn="0" w:lastRowLastColumn="0"/>
            </w:pPr>
            <w:r>
              <w:t>22,615</w:t>
            </w:r>
          </w:p>
        </w:tc>
      </w:tr>
      <w:tr w:rsidR="00F64D60" w14:paraId="69DC6A82" w14:textId="77777777" w:rsidTr="001130D4">
        <w:tc>
          <w:tcPr>
            <w:cnfStyle w:val="001000000000" w:firstRow="0" w:lastRow="0" w:firstColumn="1" w:lastColumn="0" w:oddVBand="0" w:evenVBand="0" w:oddHBand="0" w:evenHBand="0" w:firstRowFirstColumn="0" w:firstRowLastColumn="0" w:lastRowFirstColumn="0" w:lastRowLastColumn="0"/>
            <w:tcW w:w="0" w:type="pct"/>
          </w:tcPr>
          <w:p w14:paraId="215EC12A" w14:textId="77777777" w:rsidR="00F64D60" w:rsidRPr="00DA150F" w:rsidRDefault="00F64D60" w:rsidP="00DA150F">
            <w:pPr>
              <w:pStyle w:val="BodyText"/>
              <w:jc w:val="center"/>
              <w:rPr>
                <w:b/>
              </w:rPr>
            </w:pPr>
            <w:r w:rsidRPr="00DA150F">
              <w:rPr>
                <w:b/>
              </w:rPr>
              <w:t>Total (2016 – 2040)</w:t>
            </w:r>
          </w:p>
        </w:tc>
        <w:tc>
          <w:tcPr>
            <w:tcW w:w="0" w:type="pct"/>
          </w:tcPr>
          <w:p w14:paraId="4B251D28" w14:textId="77777777" w:rsidR="00F64D60" w:rsidRPr="00DA150F" w:rsidRDefault="00F64D60" w:rsidP="00DA150F">
            <w:pPr>
              <w:pStyle w:val="BodyText"/>
              <w:jc w:val="center"/>
              <w:cnfStyle w:val="000000000000" w:firstRow="0" w:lastRow="0" w:firstColumn="0" w:lastColumn="0" w:oddVBand="0" w:evenVBand="0" w:oddHBand="0" w:evenHBand="0" w:firstRowFirstColumn="0" w:firstRowLastColumn="0" w:lastRowFirstColumn="0" w:lastRowLastColumn="0"/>
              <w:rPr>
                <w:b/>
              </w:rPr>
            </w:pPr>
            <w:r w:rsidRPr="00DA150F">
              <w:rPr>
                <w:b/>
              </w:rPr>
              <w:t>230,467</w:t>
            </w:r>
          </w:p>
        </w:tc>
      </w:tr>
    </w:tbl>
    <w:p w14:paraId="47EEFB68" w14:textId="77777777" w:rsidR="00F64D60" w:rsidRPr="00E80D83" w:rsidRDefault="00F64D60" w:rsidP="00F64D60">
      <w:pPr>
        <w:pStyle w:val="Bullet1"/>
        <w:numPr>
          <w:ilvl w:val="0"/>
          <w:numId w:val="0"/>
        </w:numPr>
        <w:ind w:left="284" w:hanging="284"/>
        <w:rPr>
          <w:b/>
        </w:rPr>
      </w:pPr>
    </w:p>
    <w:p w14:paraId="362F9A20" w14:textId="77777777" w:rsidR="00F64D60" w:rsidRDefault="00F64D60" w:rsidP="00F64D60">
      <w:pPr>
        <w:pStyle w:val="BodyText"/>
      </w:pPr>
    </w:p>
    <w:p w14:paraId="5B389331" w14:textId="77777777" w:rsidR="006350B7" w:rsidRDefault="006350B7" w:rsidP="00741A93">
      <w:pPr>
        <w:spacing w:after="200" w:line="276" w:lineRule="auto"/>
      </w:pPr>
    </w:p>
    <w:p w14:paraId="2473A947" w14:textId="77777777" w:rsidR="00F30A96" w:rsidRPr="0042427B" w:rsidRDefault="00F30A96" w:rsidP="00F64D60">
      <w:pPr>
        <w:pStyle w:val="Heading2"/>
        <w:sectPr w:rsidR="00F30A96" w:rsidRPr="0042427B" w:rsidSect="001F44A3">
          <w:headerReference w:type="default" r:id="rId24"/>
          <w:footerReference w:type="default" r:id="rId25"/>
          <w:pgSz w:w="11906" w:h="16838"/>
          <w:pgMar w:top="850" w:right="850" w:bottom="850" w:left="1417" w:header="709" w:footer="510" w:gutter="0"/>
          <w:cols w:space="708"/>
          <w:docGrid w:linePitch="360"/>
        </w:sectPr>
      </w:pPr>
    </w:p>
    <w:p w14:paraId="0431C08B" w14:textId="77777777" w:rsidR="00634896" w:rsidRDefault="00B93345" w:rsidP="00F84FE1">
      <w:pPr>
        <w:pStyle w:val="NoSpacing"/>
        <w:rPr>
          <w:lang w:val="en-PH"/>
        </w:rPr>
      </w:pPr>
      <w:sdt>
        <w:sdtPr>
          <w:rPr>
            <w:lang w:val="en-PH"/>
          </w:rPr>
          <w:alias w:val="Options"/>
          <w:tag w:val="backpageContactDetailsOption"/>
          <w:id w:val="2026521170"/>
          <w:placeholder>
            <w:docPart w:val="0C691B0C8C7B4B7393CBA155C5CA5FD6"/>
          </w:placeholder>
          <w:docPartList>
            <w:docPartGallery w:val="Custom Quick Parts"/>
            <w:docPartCategory w:val="Proposal Contact &amp; Ofiice details"/>
          </w:docPartList>
        </w:sdtPr>
        <w:sdtEndPr/>
        <w:sdtContent>
          <w:r w:rsidR="00664E88" w:rsidRPr="00664E88">
            <w:rPr>
              <w:noProof/>
              <w:lang w:val="en-AU" w:eastAsia="en-AU"/>
            </w:rPr>
            <mc:AlternateContent>
              <mc:Choice Requires="wps">
                <w:drawing>
                  <wp:anchor distT="0" distB="0" distL="114300" distR="114300" simplePos="0" relativeHeight="251734016" behindDoc="0" locked="0" layoutInCell="1" allowOverlap="1" wp14:anchorId="2125D37D" wp14:editId="432F3368">
                    <wp:simplePos x="0" y="0"/>
                    <wp:positionH relativeFrom="page">
                      <wp:posOffset>476250</wp:posOffset>
                    </wp:positionH>
                    <wp:positionV relativeFrom="paragraph">
                      <wp:posOffset>99695</wp:posOffset>
                    </wp:positionV>
                    <wp:extent cx="6599555" cy="4171950"/>
                    <wp:effectExtent l="0" t="0" r="10795" b="0"/>
                    <wp:wrapSquare wrapText="bothSides"/>
                    <wp:docPr id="577" name="txtOfficeContact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4171950"/>
                            </a:xfrm>
                            <a:prstGeom prst="rect">
                              <a:avLst/>
                            </a:prstGeom>
                            <a:noFill/>
                            <a:ln w="9525">
                              <a:noFill/>
                              <a:miter lim="800000"/>
                              <a:headEnd/>
                              <a:tailEnd/>
                            </a:ln>
                          </wps:spPr>
                          <wps:txbx>
                            <w:txbxContent>
                              <w:p w14:paraId="02F662C7" w14:textId="77777777" w:rsidR="00E87AED" w:rsidRPr="001465A3" w:rsidRDefault="00E87AED" w:rsidP="00772663">
                                <w:pPr>
                                  <w:rPr>
                                    <w:b/>
                                  </w:rPr>
                                </w:pPr>
                                <w:r w:rsidRPr="001465A3">
                                  <w:rPr>
                                    <w:b/>
                                  </w:rPr>
                                  <w:t>Document prepared by</w:t>
                                </w:r>
                              </w:p>
                              <w:p w14:paraId="41381AD3" w14:textId="77777777" w:rsidR="00E87AED" w:rsidRPr="007054B0" w:rsidRDefault="00E87AED" w:rsidP="00772663"/>
                              <w:p w14:paraId="2069E2C7" w14:textId="77777777" w:rsidR="00E87AED" w:rsidRPr="001465A3" w:rsidRDefault="00B93345" w:rsidP="00772663">
                                <w:pPr>
                                  <w:rPr>
                                    <w:b/>
                                  </w:rPr>
                                </w:pPr>
                                <w:sdt>
                                  <w:sdtPr>
                                    <w:rPr>
                                      <w:b/>
                                    </w:rPr>
                                    <w:tag w:val="backCompanyName"/>
                                    <w:id w:val="-218747102"/>
                                    <w:lock w:val="contentLocked"/>
                                    <w:text/>
                                  </w:sdtPr>
                                  <w:sdtEndPr/>
                                  <w:sdtContent>
                                    <w:r w:rsidR="00E87AED">
                                      <w:rPr>
                                        <w:b/>
                                      </w:rPr>
                                      <w:t>Aurecon Australasia Pty Ltd</w:t>
                                    </w:r>
                                  </w:sdtContent>
                                </w:sdt>
                              </w:p>
                              <w:sdt>
                                <w:sdtPr>
                                  <w:rPr>
                                    <w:rFonts w:asciiTheme="majorHAnsi" w:hAnsiTheme="majorHAnsi" w:cstheme="majorHAnsi"/>
                                  </w:rPr>
                                  <w:tag w:val="backCompanyDetails"/>
                                  <w:id w:val="1830947286"/>
                                  <w:lock w:val="contentLocked"/>
                                </w:sdtPr>
                                <w:sdtEndPr/>
                                <w:sdtContent>
                                  <w:p w14:paraId="192DB9C6" w14:textId="77777777" w:rsidR="00E87AED" w:rsidRDefault="00E87AED" w:rsidP="00772663">
                                    <w:pPr>
                                      <w:spacing w:after="60"/>
                                      <w:rPr>
                                        <w:rFonts w:asciiTheme="majorHAnsi" w:hAnsiTheme="majorHAnsi" w:cstheme="majorHAnsi"/>
                                      </w:rPr>
                                    </w:pPr>
                                    <w:r>
                                      <w:rPr>
                                        <w:rFonts w:asciiTheme="majorHAnsi" w:hAnsiTheme="majorHAnsi" w:cstheme="majorHAnsi"/>
                                      </w:rPr>
                                      <w:t>ABN 54 005 139 873</w:t>
                                    </w:r>
                                  </w:p>
                                  <w:p w14:paraId="0A3C8D5E" w14:textId="77777777" w:rsidR="00E87AED" w:rsidRDefault="00E87AED" w:rsidP="00772663">
                                    <w:pPr>
                                      <w:spacing w:after="60"/>
                                      <w:rPr>
                                        <w:rFonts w:asciiTheme="majorHAnsi" w:hAnsiTheme="majorHAnsi" w:cstheme="majorHAnsi"/>
                                      </w:rPr>
                                    </w:pPr>
                                    <w:r>
                                      <w:rPr>
                                        <w:rFonts w:asciiTheme="majorHAnsi" w:hAnsiTheme="majorHAnsi" w:cstheme="majorHAnsi"/>
                                      </w:rPr>
                                      <w:t>Level 5, 116 Military Road</w:t>
                                    </w:r>
                                    <w:r>
                                      <w:rPr>
                                        <w:rFonts w:asciiTheme="majorHAnsi" w:hAnsiTheme="majorHAnsi" w:cstheme="majorHAnsi"/>
                                      </w:rPr>
                                      <w:br/>
                                      <w:t>Neutral Bay NSW 2089</w:t>
                                    </w:r>
                                  </w:p>
                                  <w:p w14:paraId="5007F79C" w14:textId="77777777" w:rsidR="00E87AED" w:rsidRDefault="00E87AED" w:rsidP="00772663">
                                    <w:pPr>
                                      <w:spacing w:after="60"/>
                                    </w:pPr>
                                    <w:r>
                                      <w:rPr>
                                        <w:rFonts w:asciiTheme="majorHAnsi" w:hAnsiTheme="majorHAnsi" w:cstheme="majorHAnsi"/>
                                      </w:rPr>
                                      <w:t>PO Box 538</w:t>
                                    </w:r>
                                    <w:r>
                                      <w:rPr>
                                        <w:rFonts w:asciiTheme="majorHAnsi" w:hAnsiTheme="majorHAnsi" w:cstheme="majorHAnsi"/>
                                      </w:rPr>
                                      <w:br/>
                                      <w:t>Neutral Bay NSW 2089</w:t>
                                    </w:r>
                                    <w:r>
                                      <w:rPr>
                                        <w:rFonts w:asciiTheme="majorHAnsi" w:hAnsiTheme="majorHAnsi" w:cstheme="majorHAnsi"/>
                                      </w:rPr>
                                      <w:br/>
                                      <w:t>Australia</w:t>
                                    </w:r>
                                  </w:p>
                                </w:sdtContent>
                              </w:sdt>
                              <w:p w14:paraId="5CB2F8CE" w14:textId="77777777" w:rsidR="00E87AED" w:rsidRDefault="00E87AED">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
                                  <w:gridCol w:w="6628"/>
                                </w:tblGrid>
                                <w:tr w:rsidR="00E87AED" w:rsidRPr="00700692" w14:paraId="36EE228F" w14:textId="77777777" w:rsidTr="00772663">
                                  <w:trPr>
                                    <w:trHeight w:val="926"/>
                                  </w:trPr>
                                  <w:sdt>
                                    <w:sdtPr>
                                      <w:rPr>
                                        <w:szCs w:val="16"/>
                                      </w:rPr>
                                      <w:tag w:val="backCompanyLegends"/>
                                      <w:id w:val="-1640572559"/>
                                      <w:lock w:val="contentLocked"/>
                                      <w15:dataBinding w:prefixMappings="" w:xpath="/root[1]/company[1]/companycontactlegend[1]" w:storeItemID="{AB11DF5D-B8DC-4408-9F44-22D964337533}"/>
                                    </w:sdtPr>
                                    <w:sdtEndPr/>
                                    <w:sdtContent>
                                      <w:tc>
                                        <w:tcPr>
                                          <w:tcW w:w="213" w:type="dxa"/>
                                        </w:tcPr>
                                        <w:p w14:paraId="58FFEE92" w14:textId="77777777" w:rsidR="00E87AED" w:rsidRDefault="00E87AED" w:rsidP="00772663">
                                          <w:pPr>
                                            <w:rPr>
                                              <w:b/>
                                            </w:rPr>
                                          </w:pPr>
                                          <w:r>
                                            <w:rPr>
                                              <w:b/>
                                            </w:rPr>
                                            <w:t>T</w:t>
                                          </w:r>
                                        </w:p>
                                        <w:p w14:paraId="6D703AEB" w14:textId="77777777" w:rsidR="00E87AED" w:rsidRDefault="00E87AED" w:rsidP="00772663">
                                          <w:pPr>
                                            <w:rPr>
                                              <w:b/>
                                            </w:rPr>
                                          </w:pPr>
                                          <w:r>
                                            <w:rPr>
                                              <w:b/>
                                            </w:rPr>
                                            <w:t>F</w:t>
                                          </w:r>
                                        </w:p>
                                        <w:p w14:paraId="05912816" w14:textId="77777777" w:rsidR="00E87AED" w:rsidRDefault="00E87AED" w:rsidP="00772663">
                                          <w:pPr>
                                            <w:rPr>
                                              <w:b/>
                                            </w:rPr>
                                          </w:pPr>
                                          <w:r>
                                            <w:rPr>
                                              <w:b/>
                                            </w:rPr>
                                            <w:t>E</w:t>
                                          </w:r>
                                        </w:p>
                                        <w:p w14:paraId="2CBB77E2" w14:textId="77777777" w:rsidR="00E87AED" w:rsidRPr="00700692" w:rsidRDefault="00E87AED" w:rsidP="00772663">
                                          <w:r>
                                            <w:rPr>
                                              <w:b/>
                                            </w:rPr>
                                            <w:t>W</w:t>
                                          </w:r>
                                        </w:p>
                                      </w:tc>
                                    </w:sdtContent>
                                  </w:sdt>
                                  <w:sdt>
                                    <w:sdtPr>
                                      <w:tag w:val="backCompanyContact"/>
                                      <w:id w:val="1030228113"/>
                                      <w:lock w:val="contentLocked"/>
                                      <w15:dataBinding w:prefixMappings="" w:xpath="/root[1]/company[1]/companycontactdetails[1]" w:storeItemID="{AB11DF5D-B8DC-4408-9F44-22D964337533}"/>
                                    </w:sdtPr>
                                    <w:sdtEndPr/>
                                    <w:sdtContent>
                                      <w:tc>
                                        <w:tcPr>
                                          <w:tcW w:w="6628" w:type="dxa"/>
                                          <w:tcMar>
                                            <w:left w:w="0" w:type="dxa"/>
                                          </w:tcMar>
                                        </w:tcPr>
                                        <w:p w14:paraId="2EF2F32B" w14:textId="77777777" w:rsidR="00E87AED" w:rsidRDefault="00E87AED" w:rsidP="00772663">
                                          <w:r>
                                            <w:t>+61 2 9465 5599</w:t>
                                          </w:r>
                                        </w:p>
                                        <w:p w14:paraId="396778D6" w14:textId="77777777" w:rsidR="00E87AED" w:rsidRDefault="00E87AED" w:rsidP="00772663">
                                          <w:r>
                                            <w:t>+61 2 9465 5598</w:t>
                                          </w:r>
                                        </w:p>
                                        <w:p w14:paraId="519376C5" w14:textId="77777777" w:rsidR="00E87AED" w:rsidRDefault="00E87AED" w:rsidP="00772663">
                                          <w:r>
                                            <w:t>sydney@aurecongroup.com</w:t>
                                          </w:r>
                                        </w:p>
                                        <w:p w14:paraId="214032EB" w14:textId="77777777" w:rsidR="00E87AED" w:rsidRPr="00700692" w:rsidRDefault="00E87AED" w:rsidP="00772663">
                                          <w:r>
                                            <w:t>aurecongroup.com</w:t>
                                          </w:r>
                                        </w:p>
                                      </w:tc>
                                    </w:sdtContent>
                                  </w:sdt>
                                </w:tr>
                              </w:tbl>
                              <w:p w14:paraId="68B0A2D6" w14:textId="77777777" w:rsidR="00E87AED" w:rsidRPr="00700692" w:rsidRDefault="00E87AED" w:rsidP="00772663">
                                <w:pPr>
                                  <w:rPr>
                                    <w:rFonts w:asciiTheme="majorHAnsi" w:hAnsiTheme="majorHAnsi" w:cstheme="majorHAnsi"/>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5D37D" id="_x0000_t202" coordsize="21600,21600" o:spt="202" path="m,l,21600r21600,l21600,xe">
                    <v:stroke joinstyle="miter"/>
                    <v:path gradientshapeok="t" o:connecttype="rect"/>
                  </v:shapetype>
                  <v:shape id="txtOfficeContactDetails" o:spid="_x0000_s1028" type="#_x0000_t202" style="position:absolute;margin-left:37.5pt;margin-top:7.85pt;width:519.65pt;height:328.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" filled="f" stroked="f">
                    <v:textbox inset="0,0,0,0">
                      <w:txbxContent>
                        <w:p w14:paraId="02F662C7" w14:textId="77777777" w:rsidR="00E87AED" w:rsidRPr="001465A3" w:rsidRDefault="00E87AED" w:rsidP="00772663">
                          <w:pPr>
                            <w:rPr>
                              <w:b/>
                            </w:rPr>
                          </w:pPr>
                          <w:r w:rsidRPr="001465A3">
                            <w:rPr>
                              <w:b/>
                            </w:rPr>
                            <w:t>Document prepared by</w:t>
                          </w:r>
                        </w:p>
                        <w:p w14:paraId="41381AD3" w14:textId="77777777" w:rsidR="00E87AED" w:rsidRPr="007054B0" w:rsidRDefault="00E87AED" w:rsidP="00772663"/>
                        <w:p w14:paraId="2069E2C7" w14:textId="77777777" w:rsidR="00E87AED" w:rsidRPr="001465A3" w:rsidRDefault="00B93345" w:rsidP="00772663">
                          <w:pPr>
                            <w:rPr>
                              <w:b/>
                            </w:rPr>
                          </w:pPr>
                          <w:sdt>
                            <w:sdtPr>
                              <w:rPr>
                                <w:b/>
                              </w:rPr>
                              <w:tag w:val="backCompanyName"/>
                              <w:id w:val="-218747102"/>
                              <w:lock w:val="contentLocked"/>
                              <w:text/>
                            </w:sdtPr>
                            <w:sdtEndPr/>
                            <w:sdtContent>
                              <w:r w:rsidR="00E87AED">
                                <w:rPr>
                                  <w:b/>
                                </w:rPr>
                                <w:t>Aurecon Australasia Pty Ltd</w:t>
                              </w:r>
                            </w:sdtContent>
                          </w:sdt>
                        </w:p>
                        <w:sdt>
                          <w:sdtPr>
                            <w:rPr>
                              <w:rFonts w:asciiTheme="majorHAnsi" w:hAnsiTheme="majorHAnsi" w:cstheme="majorHAnsi"/>
                            </w:rPr>
                            <w:tag w:val="backCompanyDetails"/>
                            <w:id w:val="1830947286"/>
                            <w:lock w:val="contentLocked"/>
                          </w:sdtPr>
                          <w:sdtEndPr/>
                          <w:sdtContent>
                            <w:p w14:paraId="192DB9C6" w14:textId="77777777" w:rsidR="00E87AED" w:rsidRDefault="00E87AED" w:rsidP="00772663">
                              <w:pPr>
                                <w:spacing w:after="60"/>
                                <w:rPr>
                                  <w:rFonts w:asciiTheme="majorHAnsi" w:hAnsiTheme="majorHAnsi" w:cstheme="majorHAnsi"/>
                                </w:rPr>
                              </w:pPr>
                              <w:r>
                                <w:rPr>
                                  <w:rFonts w:asciiTheme="majorHAnsi" w:hAnsiTheme="majorHAnsi" w:cstheme="majorHAnsi"/>
                                </w:rPr>
                                <w:t>ABN 54 005 139 873</w:t>
                              </w:r>
                            </w:p>
                            <w:p w14:paraId="0A3C8D5E" w14:textId="77777777" w:rsidR="00E87AED" w:rsidRDefault="00E87AED" w:rsidP="00772663">
                              <w:pPr>
                                <w:spacing w:after="60"/>
                                <w:rPr>
                                  <w:rFonts w:asciiTheme="majorHAnsi" w:hAnsiTheme="majorHAnsi" w:cstheme="majorHAnsi"/>
                                </w:rPr>
                              </w:pPr>
                              <w:r>
                                <w:rPr>
                                  <w:rFonts w:asciiTheme="majorHAnsi" w:hAnsiTheme="majorHAnsi" w:cstheme="majorHAnsi"/>
                                </w:rPr>
                                <w:t>Level 5, 116 Military Road</w:t>
                              </w:r>
                              <w:r>
                                <w:rPr>
                                  <w:rFonts w:asciiTheme="majorHAnsi" w:hAnsiTheme="majorHAnsi" w:cstheme="majorHAnsi"/>
                                </w:rPr>
                                <w:br/>
                                <w:t>Neutral Bay NSW 2089</w:t>
                              </w:r>
                            </w:p>
                            <w:p w14:paraId="5007F79C" w14:textId="77777777" w:rsidR="00E87AED" w:rsidRDefault="00E87AED" w:rsidP="00772663">
                              <w:pPr>
                                <w:spacing w:after="60"/>
                              </w:pPr>
                              <w:r>
                                <w:rPr>
                                  <w:rFonts w:asciiTheme="majorHAnsi" w:hAnsiTheme="majorHAnsi" w:cstheme="majorHAnsi"/>
                                </w:rPr>
                                <w:t>PO Box 538</w:t>
                              </w:r>
                              <w:r>
                                <w:rPr>
                                  <w:rFonts w:asciiTheme="majorHAnsi" w:hAnsiTheme="majorHAnsi" w:cstheme="majorHAnsi"/>
                                </w:rPr>
                                <w:br/>
                                <w:t>Neutral Bay NSW 2089</w:t>
                              </w:r>
                              <w:r>
                                <w:rPr>
                                  <w:rFonts w:asciiTheme="majorHAnsi" w:hAnsiTheme="majorHAnsi" w:cstheme="majorHAnsi"/>
                                </w:rPr>
                                <w:br/>
                                <w:t>Australia</w:t>
                              </w:r>
                            </w:p>
                          </w:sdtContent>
                        </w:sdt>
                        <w:p w14:paraId="5CB2F8CE" w14:textId="77777777" w:rsidR="00E87AED" w:rsidRDefault="00E87AED">
                          <w:pPr>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3"/>
                            <w:gridCol w:w="6628"/>
                          </w:tblGrid>
                          <w:tr w:rsidR="00E87AED" w:rsidRPr="00700692" w14:paraId="36EE228F" w14:textId="77777777" w:rsidTr="00772663">
                            <w:trPr>
                              <w:trHeight w:val="926"/>
                            </w:trPr>
                            <w:sdt>
                              <w:sdtPr>
                                <w:rPr>
                                  <w:szCs w:val="16"/>
                                </w:rPr>
                                <w:tag w:val="backCompanyLegends"/>
                                <w:id w:val="-1640572559"/>
                                <w:lock w:val="contentLocked"/>
                                <w15:dataBinding w:prefixMappings="" w:xpath="/root[1]/company[1]/companycontactlegend[1]" w:storeItemID="{AB11DF5D-B8DC-4408-9F44-22D964337533}"/>
                              </w:sdtPr>
                              <w:sdtEndPr/>
                              <w:sdtContent>
                                <w:tc>
                                  <w:tcPr>
                                    <w:tcW w:w="213" w:type="dxa"/>
                                  </w:tcPr>
                                  <w:p w14:paraId="58FFEE92" w14:textId="77777777" w:rsidR="00E87AED" w:rsidRDefault="00E87AED" w:rsidP="00772663">
                                    <w:pPr>
                                      <w:rPr>
                                        <w:b/>
                                      </w:rPr>
                                    </w:pPr>
                                    <w:r>
                                      <w:rPr>
                                        <w:b/>
                                      </w:rPr>
                                      <w:t>T</w:t>
                                    </w:r>
                                  </w:p>
                                  <w:p w14:paraId="6D703AEB" w14:textId="77777777" w:rsidR="00E87AED" w:rsidRDefault="00E87AED" w:rsidP="00772663">
                                    <w:pPr>
                                      <w:rPr>
                                        <w:b/>
                                      </w:rPr>
                                    </w:pPr>
                                    <w:r>
                                      <w:rPr>
                                        <w:b/>
                                      </w:rPr>
                                      <w:t>F</w:t>
                                    </w:r>
                                  </w:p>
                                  <w:p w14:paraId="05912816" w14:textId="77777777" w:rsidR="00E87AED" w:rsidRDefault="00E87AED" w:rsidP="00772663">
                                    <w:pPr>
                                      <w:rPr>
                                        <w:b/>
                                      </w:rPr>
                                    </w:pPr>
                                    <w:r>
                                      <w:rPr>
                                        <w:b/>
                                      </w:rPr>
                                      <w:t>E</w:t>
                                    </w:r>
                                  </w:p>
                                  <w:p w14:paraId="2CBB77E2" w14:textId="77777777" w:rsidR="00E87AED" w:rsidRPr="00700692" w:rsidRDefault="00E87AED" w:rsidP="00772663">
                                    <w:r>
                                      <w:rPr>
                                        <w:b/>
                                      </w:rPr>
                                      <w:t>W</w:t>
                                    </w:r>
                                  </w:p>
                                </w:tc>
                              </w:sdtContent>
                            </w:sdt>
                            <w:sdt>
                              <w:sdtPr>
                                <w:tag w:val="backCompanyContact"/>
                                <w:id w:val="1030228113"/>
                                <w:lock w:val="contentLocked"/>
                                <w15:dataBinding w:prefixMappings="" w:xpath="/root[1]/company[1]/companycontactdetails[1]" w:storeItemID="{AB11DF5D-B8DC-4408-9F44-22D964337533}"/>
                              </w:sdtPr>
                              <w:sdtEndPr/>
                              <w:sdtContent>
                                <w:tc>
                                  <w:tcPr>
                                    <w:tcW w:w="6628" w:type="dxa"/>
                                    <w:tcMar>
                                      <w:left w:w="0" w:type="dxa"/>
                                    </w:tcMar>
                                  </w:tcPr>
                                  <w:p w14:paraId="2EF2F32B" w14:textId="77777777" w:rsidR="00E87AED" w:rsidRDefault="00E87AED" w:rsidP="00772663">
                                    <w:r>
                                      <w:t>+61 2 9465 5599</w:t>
                                    </w:r>
                                  </w:p>
                                  <w:p w14:paraId="396778D6" w14:textId="77777777" w:rsidR="00E87AED" w:rsidRDefault="00E87AED" w:rsidP="00772663">
                                    <w:r>
                                      <w:t>+61 2 9465 5598</w:t>
                                    </w:r>
                                  </w:p>
                                  <w:p w14:paraId="519376C5" w14:textId="77777777" w:rsidR="00E87AED" w:rsidRDefault="00E87AED" w:rsidP="00772663">
                                    <w:r>
                                      <w:t>sydney@aurecongroup.com</w:t>
                                    </w:r>
                                  </w:p>
                                  <w:p w14:paraId="214032EB" w14:textId="77777777" w:rsidR="00E87AED" w:rsidRPr="00700692" w:rsidRDefault="00E87AED" w:rsidP="00772663">
                                    <w:r>
                                      <w:t>aurecongroup.com</w:t>
                                    </w:r>
                                  </w:p>
                                </w:tc>
                              </w:sdtContent>
                            </w:sdt>
                          </w:tr>
                        </w:tbl>
                        <w:p w14:paraId="68B0A2D6" w14:textId="77777777" w:rsidR="00E87AED" w:rsidRPr="00700692" w:rsidRDefault="00E87AED" w:rsidP="00772663">
                          <w:pPr>
                            <w:rPr>
                              <w:rFonts w:asciiTheme="majorHAnsi" w:hAnsiTheme="majorHAnsi" w:cstheme="majorHAnsi"/>
                            </w:rPr>
                          </w:pPr>
                        </w:p>
                      </w:txbxContent>
                    </v:textbox>
                    <w10:wrap type="square" anchorx="page"/>
                  </v:shape>
                </w:pict>
              </mc:Fallback>
            </mc:AlternateContent>
          </w:r>
        </w:sdtContent>
      </w:sdt>
      <w:r w:rsidR="00634896" w:rsidRPr="00F84FE1">
        <w:rPr>
          <w:noProof/>
          <w:lang w:eastAsia="en-GB"/>
        </w:rPr>
        <w:t xml:space="preserve"> </w:t>
      </w:r>
      <w:r w:rsidR="00634896" w:rsidRPr="00F84FE1">
        <w:rPr>
          <w:noProof/>
          <w:lang w:val="en-AU" w:eastAsia="en-AU"/>
        </w:rPr>
        <mc:AlternateContent>
          <mc:Choice Requires="wps">
            <w:drawing>
              <wp:anchor distT="0" distB="0" distL="114300" distR="114300" simplePos="0" relativeHeight="251731968" behindDoc="0" locked="0" layoutInCell="1" allowOverlap="1" wp14:anchorId="04D40430" wp14:editId="54B14C06">
                <wp:simplePos x="0" y="0"/>
                <wp:positionH relativeFrom="page">
                  <wp:posOffset>475013</wp:posOffset>
                </wp:positionH>
                <wp:positionV relativeFrom="page">
                  <wp:posOffset>4845132</wp:posOffset>
                </wp:positionV>
                <wp:extent cx="3786505" cy="1305560"/>
                <wp:effectExtent l="0" t="0" r="4445" b="8890"/>
                <wp:wrapSquare wrapText="bothSides"/>
                <wp:docPr id="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1305560"/>
                        </a:xfrm>
                        <a:prstGeom prst="rect">
                          <a:avLst/>
                        </a:prstGeom>
                        <a:noFill/>
                        <a:ln w="9525">
                          <a:noFill/>
                          <a:miter lim="800000"/>
                          <a:headEnd/>
                          <a:tailEnd/>
                        </a:ln>
                      </wps:spPr>
                      <wps:txbx>
                        <w:txbxContent>
                          <w:sdt>
                            <w:sdtPr>
                              <w:rPr>
                                <w:b/>
                                <w:bCs/>
                                <w:noProof/>
                              </w:rPr>
                              <w:alias w:val="Back Cover Logo"/>
                              <w:tag w:val="BackCoverLogo"/>
                              <w:id w:val="2056040029"/>
                              <w:picture/>
                            </w:sdtPr>
                            <w:sdtEndPr/>
                            <w:sdtContent>
                              <w:p w14:paraId="1F8580F2" w14:textId="77777777" w:rsidR="00E87AED" w:rsidRDefault="00E87AED" w:rsidP="00772663">
                                <w:pPr>
                                  <w:rPr>
                                    <w:b/>
                                    <w:bCs/>
                                    <w:noProof/>
                                  </w:rPr>
                                </w:pPr>
                                <w:r w:rsidRPr="009C28C5">
                                  <w:rPr>
                                    <w:b/>
                                    <w:bCs/>
                                    <w:noProof/>
                                    <w:lang w:val="en-AU" w:eastAsia="en-AU"/>
                                  </w:rPr>
                                  <w:drawing>
                                    <wp:inline distT="0" distB="0" distL="0" distR="0" wp14:anchorId="5F5DA479" wp14:editId="267BA347">
                                      <wp:extent cx="1446530" cy="1118870"/>
                                      <wp:effectExtent l="0" t="0" r="1270" b="5080"/>
                                      <wp:docPr id="429" name="Picture 429" descr="P:\Branded Office Templates\...Projects\ONGOING\[PRJ-20161003-0004] Template refresh (Stage 2)\01_Assets\2017-03-03\RESOURCES FOR PRODUCTION\COVER\PNG\TOP\COVERS-Aurecon-Bi2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Branded Office Templates\...Projects\ONGOING\[PRJ-20161003-0004] Template refresh (Stage 2)\01_Assets\2017-03-03\RESOURCES FOR PRODUCTION\COVER\PNG\TOP\COVERS-Aurecon-Bi2L.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6530" cy="1118870"/>
                                              </a:xfrm>
                                              <a:prstGeom prst="rect">
                                                <a:avLst/>
                                              </a:prstGeom>
                                              <a:noFill/>
                                              <a:ln>
                                                <a:noFill/>
                                              </a:ln>
                                            </pic:spPr>
                                          </pic:pic>
                                        </a:graphicData>
                                      </a:graphic>
                                    </wp:inline>
                                  </w:drawing>
                                </w:r>
                              </w:p>
                            </w:sdtContent>
                          </w:sdt>
                          <w:p w14:paraId="5FB09762" w14:textId="77777777" w:rsidR="00E87AED" w:rsidRDefault="00E87AED" w:rsidP="00772663"/>
                        </w:txbxContent>
                      </wps:txbx>
                      <wps:bodyPr rot="0" vert="horz" wrap="square" lIns="0" tIns="0" rIns="0" bIns="0" anchor="t" anchorCtr="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D40430" id="Text Box 2" o:spid="_x0000_s1029" type="#_x0000_t202" style="position:absolute;margin-left:37.4pt;margin-top:381.5pt;width:298.15pt;height:102.8pt;z-index:251731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" filled="f" stroked="f">
                <v:textbox style="mso-fit-shape-to-text:t" inset="0,0,0,0">
                  <w:txbxContent>
                    <w:sdt>
                      <w:sdtPr>
                        <w:rPr>
                          <w:b/>
                          <w:bCs/>
                          <w:noProof/>
                        </w:rPr>
                        <w:alias w:val="Back Cover Logo"/>
                        <w:tag w:val="BackCoverLogo"/>
                        <w:id w:val="2056040029"/>
                        <w:picture/>
                      </w:sdtPr>
                      <w:sdtEndPr/>
                      <w:sdtContent>
                        <w:p w14:paraId="1F8580F2" w14:textId="77777777" w:rsidR="00E87AED" w:rsidRDefault="00E87AED" w:rsidP="00772663">
                          <w:pPr>
                            <w:rPr>
                              <w:b/>
                              <w:bCs/>
                              <w:noProof/>
                            </w:rPr>
                          </w:pPr>
                          <w:r w:rsidRPr="009C28C5">
                            <w:rPr>
                              <w:b/>
                              <w:bCs/>
                              <w:noProof/>
                              <w:lang w:val="en-AU" w:eastAsia="en-AU"/>
                            </w:rPr>
                            <w:drawing>
                              <wp:inline distT="0" distB="0" distL="0" distR="0" wp14:anchorId="5F5DA479" wp14:editId="267BA347">
                                <wp:extent cx="1446530" cy="1118870"/>
                                <wp:effectExtent l="0" t="0" r="1270" b="5080"/>
                                <wp:docPr id="429" name="Picture 429" descr="P:\Branded Office Templates\...Projects\ONGOING\[PRJ-20161003-0004] Template refresh (Stage 2)\01_Assets\2017-03-03\RESOURCES FOR PRODUCTION\COVER\PNG\TOP\COVERS-Aurecon-Bi2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Branded Office Templates\...Projects\ONGOING\[PRJ-20161003-0004] Template refresh (Stage 2)\01_Assets\2017-03-03\RESOURCES FOR PRODUCTION\COVER\PNG\TOP\COVERS-Aurecon-Bi2L.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6530" cy="1118870"/>
                                        </a:xfrm>
                                        <a:prstGeom prst="rect">
                                          <a:avLst/>
                                        </a:prstGeom>
                                        <a:noFill/>
                                        <a:ln>
                                          <a:noFill/>
                                        </a:ln>
                                      </pic:spPr>
                                    </pic:pic>
                                  </a:graphicData>
                                </a:graphic>
                              </wp:inline>
                            </w:drawing>
                          </w:r>
                        </w:p>
                      </w:sdtContent>
                    </w:sdt>
                    <w:p w14:paraId="5FB09762" w14:textId="77777777" w:rsidR="00E87AED" w:rsidRDefault="00E87AED" w:rsidP="00772663"/>
                  </w:txbxContent>
                </v:textbox>
                <w10:wrap type="square" anchorx="page" anchory="page"/>
              </v:shape>
            </w:pict>
          </mc:Fallback>
        </mc:AlternateContent>
      </w:r>
      <w:r w:rsidR="00634896">
        <w:rPr>
          <w:noProof/>
          <w:lang w:val="en-AU" w:eastAsia="en-AU"/>
        </w:rPr>
        <mc:AlternateContent>
          <mc:Choice Requires="wps">
            <w:drawing>
              <wp:anchor distT="0" distB="0" distL="114300" distR="114300" simplePos="0" relativeHeight="251730944" behindDoc="0" locked="0" layoutInCell="1" allowOverlap="1" wp14:anchorId="30BE70ED" wp14:editId="14FEF969">
                <wp:simplePos x="0" y="0"/>
                <wp:positionH relativeFrom="page">
                  <wp:posOffset>475013</wp:posOffset>
                </wp:positionH>
                <wp:positionV relativeFrom="page">
                  <wp:posOffset>6424551</wp:posOffset>
                </wp:positionV>
                <wp:extent cx="3991610" cy="1551305"/>
                <wp:effectExtent l="0" t="0" r="8890" b="10795"/>
                <wp:wrapSquare wrapText="bothSides"/>
                <wp:docPr id="4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1610" cy="1551305"/>
                        </a:xfrm>
                        <a:prstGeom prst="rect">
                          <a:avLst/>
                        </a:prstGeom>
                        <a:noFill/>
                        <a:ln w="9525">
                          <a:noFill/>
                          <a:miter lim="800000"/>
                          <a:headEnd/>
                          <a:tailEnd/>
                        </a:ln>
                      </wps:spPr>
                      <wps:txbx>
                        <w:txbxContent>
                          <w:sdt>
                            <w:sdtPr>
                              <w:rPr>
                                <w:color w:val="606060" w:themeColor="accent3" w:themeShade="80"/>
                              </w:rPr>
                              <w:alias w:val="Offices"/>
                              <w:tag w:val="Offices"/>
                              <w:id w:val="-30883356"/>
                              <w:lock w:val="contentLocked"/>
                            </w:sdtPr>
                            <w:sdtEndPr/>
                            <w:sdtContent>
                              <w:p w14:paraId="3695BDB4" w14:textId="77777777" w:rsidR="00E87AED" w:rsidRDefault="00E87AED" w:rsidP="00772663">
                                <w:pPr>
                                  <w:pStyle w:val="BodyText"/>
                                  <w:spacing w:after="60"/>
                                  <w:rPr>
                                    <w:b/>
                                    <w:color w:val="606060" w:themeColor="accent3" w:themeShade="80"/>
                                    <w:sz w:val="16"/>
                                    <w:szCs w:val="16"/>
                                  </w:rPr>
                                </w:pPr>
                                <w:r>
                                  <w:rPr>
                                    <w:b/>
                                    <w:color w:val="606060" w:themeColor="accent3" w:themeShade="80"/>
                                    <w:sz w:val="16"/>
                                    <w:szCs w:val="16"/>
                                  </w:rPr>
                                  <w:t>Aurecon offices are located in:</w:t>
                                </w:r>
                                <w:r>
                                  <w:rPr>
                                    <w:b/>
                                    <w:color w:val="606060" w:themeColor="accent3" w:themeShade="80"/>
                                    <w:sz w:val="16"/>
                                    <w:szCs w:val="16"/>
                                  </w:rPr>
                                  <w:br/>
                                </w:r>
                                <w:r w:rsidRPr="002C075C">
                                  <w:rPr>
                                    <w:color w:val="606060" w:themeColor="accent3" w:themeShade="80"/>
                                    <w:sz w:val="16"/>
                                    <w:szCs w:val="16"/>
                                  </w:rPr>
                                  <w:t>Angola, Australia, Botswana, China,</w:t>
                                </w:r>
                                <w:r w:rsidRPr="002C075C">
                                  <w:rPr>
                                    <w:color w:val="606060" w:themeColor="accent3" w:themeShade="80"/>
                                    <w:sz w:val="16"/>
                                    <w:szCs w:val="16"/>
                                  </w:rPr>
                                  <w:br/>
                                  <w:t>Ghana, Hong Kong, Indonesia, Kenya,</w:t>
                                </w:r>
                                <w:r w:rsidRPr="002C075C">
                                  <w:rPr>
                                    <w:color w:val="606060" w:themeColor="accent3" w:themeShade="80"/>
                                    <w:sz w:val="16"/>
                                    <w:szCs w:val="16"/>
                                  </w:rPr>
                                  <w:br/>
                                  <w:t xml:space="preserve">Lesotho, Macau, Mozambique, </w:t>
                                </w:r>
                                <w:r w:rsidRPr="002C075C">
                                  <w:rPr>
                                    <w:color w:val="606060" w:themeColor="accent3" w:themeShade="80"/>
                                    <w:sz w:val="16"/>
                                    <w:szCs w:val="16"/>
                                  </w:rPr>
                                  <w:br/>
                                  <w:t xml:space="preserve">Namibia, New Zealand, Nigeria, </w:t>
                                </w:r>
                                <w:r w:rsidRPr="002C075C">
                                  <w:rPr>
                                    <w:color w:val="606060" w:themeColor="accent3" w:themeShade="80"/>
                                    <w:sz w:val="16"/>
                                    <w:szCs w:val="16"/>
                                  </w:rPr>
                                  <w:br/>
                                  <w:t xml:space="preserve">Philippines, Qatar, Singapore, South Africa, </w:t>
                                </w:r>
                                <w:r w:rsidRPr="002C075C">
                                  <w:rPr>
                                    <w:color w:val="606060" w:themeColor="accent3" w:themeShade="80"/>
                                    <w:sz w:val="16"/>
                                    <w:szCs w:val="16"/>
                                  </w:rPr>
                                  <w:br/>
                                  <w:t xml:space="preserve">Swaziland, Tanzania, Thailand, Uganda, </w:t>
                                </w:r>
                                <w:r w:rsidRPr="002C075C">
                                  <w:rPr>
                                    <w:color w:val="606060" w:themeColor="accent3" w:themeShade="80"/>
                                    <w:sz w:val="16"/>
                                    <w:szCs w:val="16"/>
                                  </w:rPr>
                                  <w:br/>
                                  <w:t>United Arab Emirates, Vietnam.</w:t>
                                </w:r>
                              </w:p>
                              <w:p w14:paraId="299B7723" w14:textId="77777777" w:rsidR="00E87AED" w:rsidRDefault="00B93345" w:rsidP="00772663">
                                <w:pPr>
                                  <w:pStyle w:val="BodyText"/>
                                  <w:spacing w:after="60"/>
                                  <w:rPr>
                                    <w:color w:val="606060" w:themeColor="accent3" w:themeShade="80"/>
                                  </w:rPr>
                                </w:pPr>
                              </w:p>
                            </w:sdtContent>
                          </w:sdt>
                          <w:p w14:paraId="4C363DE6" w14:textId="77777777" w:rsidR="00E87AED" w:rsidRDefault="00E87AED" w:rsidP="00772663">
                            <w:pPr>
                              <w:spacing w:after="60"/>
                            </w:pPr>
                          </w:p>
                          <w:p w14:paraId="57F185A2" w14:textId="77777777" w:rsidR="00E87AED" w:rsidRDefault="00E87AED"/>
                        </w:txbxContent>
                      </wps:txbx>
                      <wps:bodyPr rot="0" vert="horz" wrap="square" lIns="0" tIns="0" rIns="0" bIns="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BE70ED" id="_x0000_s1030" type="#_x0000_t202" style="position:absolute;margin-left:37.4pt;margin-top:505.85pt;width:314.3pt;height:122.15pt;z-index:2517309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" filled="f" stroked="f">
                <v:textbox inset="0,0,0,0">
                  <w:txbxContent>
                    <w:sdt>
                      <w:sdtPr>
                        <w:rPr>
                          <w:color w:val="606060" w:themeColor="accent3" w:themeShade="80"/>
                        </w:rPr>
                        <w:alias w:val="Offices"/>
                        <w:tag w:val="Offices"/>
                        <w:id w:val="-30883356"/>
                        <w:lock w:val="contentLocked"/>
                      </w:sdtPr>
                      <w:sdtEndPr/>
                      <w:sdtContent>
                        <w:p w14:paraId="3695BDB4" w14:textId="77777777" w:rsidR="00E87AED" w:rsidRDefault="00E87AED" w:rsidP="00772663">
                          <w:pPr>
                            <w:pStyle w:val="BodyText"/>
                            <w:spacing w:after="60"/>
                            <w:rPr>
                              <w:b/>
                              <w:color w:val="606060" w:themeColor="accent3" w:themeShade="80"/>
                              <w:sz w:val="16"/>
                              <w:szCs w:val="16"/>
                            </w:rPr>
                          </w:pPr>
                          <w:r>
                            <w:rPr>
                              <w:b/>
                              <w:color w:val="606060" w:themeColor="accent3" w:themeShade="80"/>
                              <w:sz w:val="16"/>
                              <w:szCs w:val="16"/>
                            </w:rPr>
                            <w:t>Aurecon offices are located in:</w:t>
                          </w:r>
                          <w:r>
                            <w:rPr>
                              <w:b/>
                              <w:color w:val="606060" w:themeColor="accent3" w:themeShade="80"/>
                              <w:sz w:val="16"/>
                              <w:szCs w:val="16"/>
                            </w:rPr>
                            <w:br/>
                          </w:r>
                          <w:r w:rsidRPr="002C075C">
                            <w:rPr>
                              <w:color w:val="606060" w:themeColor="accent3" w:themeShade="80"/>
                              <w:sz w:val="16"/>
                              <w:szCs w:val="16"/>
                            </w:rPr>
                            <w:t>Angola, Australia, Botswana, China,</w:t>
                          </w:r>
                          <w:r w:rsidRPr="002C075C">
                            <w:rPr>
                              <w:color w:val="606060" w:themeColor="accent3" w:themeShade="80"/>
                              <w:sz w:val="16"/>
                              <w:szCs w:val="16"/>
                            </w:rPr>
                            <w:br/>
                            <w:t>Ghana, Hong Kong, Indonesia, Kenya,</w:t>
                          </w:r>
                          <w:r w:rsidRPr="002C075C">
                            <w:rPr>
                              <w:color w:val="606060" w:themeColor="accent3" w:themeShade="80"/>
                              <w:sz w:val="16"/>
                              <w:szCs w:val="16"/>
                            </w:rPr>
                            <w:br/>
                            <w:t xml:space="preserve">Lesotho, Macau, Mozambique, </w:t>
                          </w:r>
                          <w:r w:rsidRPr="002C075C">
                            <w:rPr>
                              <w:color w:val="606060" w:themeColor="accent3" w:themeShade="80"/>
                              <w:sz w:val="16"/>
                              <w:szCs w:val="16"/>
                            </w:rPr>
                            <w:br/>
                            <w:t xml:space="preserve">Namibia, New Zealand, Nigeria, </w:t>
                          </w:r>
                          <w:r w:rsidRPr="002C075C">
                            <w:rPr>
                              <w:color w:val="606060" w:themeColor="accent3" w:themeShade="80"/>
                              <w:sz w:val="16"/>
                              <w:szCs w:val="16"/>
                            </w:rPr>
                            <w:br/>
                            <w:t xml:space="preserve">Philippines, Qatar, Singapore, South Africa, </w:t>
                          </w:r>
                          <w:r w:rsidRPr="002C075C">
                            <w:rPr>
                              <w:color w:val="606060" w:themeColor="accent3" w:themeShade="80"/>
                              <w:sz w:val="16"/>
                              <w:szCs w:val="16"/>
                            </w:rPr>
                            <w:br/>
                            <w:t xml:space="preserve">Swaziland, Tanzania, Thailand, Uganda, </w:t>
                          </w:r>
                          <w:r w:rsidRPr="002C075C">
                            <w:rPr>
                              <w:color w:val="606060" w:themeColor="accent3" w:themeShade="80"/>
                              <w:sz w:val="16"/>
                              <w:szCs w:val="16"/>
                            </w:rPr>
                            <w:br/>
                            <w:t>United Arab Emirates, Vietnam.</w:t>
                          </w:r>
                        </w:p>
                        <w:p w14:paraId="299B7723" w14:textId="77777777" w:rsidR="00E87AED" w:rsidRDefault="009F48E8" w:rsidP="00772663">
                          <w:pPr>
                            <w:pStyle w:val="BodyText"/>
                            <w:spacing w:after="60"/>
                            <w:rPr>
                              <w:color w:val="606060" w:themeColor="accent3" w:themeShade="80"/>
                            </w:rPr>
                          </w:pPr>
                        </w:p>
                      </w:sdtContent>
                    </w:sdt>
                    <w:p w14:paraId="4C363DE6" w14:textId="77777777" w:rsidR="00E87AED" w:rsidRDefault="00E87AED" w:rsidP="00772663">
                      <w:pPr>
                        <w:spacing w:after="60"/>
                      </w:pPr>
                    </w:p>
                    <w:p w14:paraId="57F185A2" w14:textId="77777777" w:rsidR="00E87AED" w:rsidRDefault="00E87AED"/>
                  </w:txbxContent>
                </v:textbox>
                <w10:wrap type="square" anchorx="page" anchory="page"/>
              </v:shape>
            </w:pict>
          </mc:Fallback>
        </mc:AlternateContent>
      </w:r>
      <w:r w:rsidR="00634896" w:rsidRPr="00F84FE1">
        <w:rPr>
          <w:noProof/>
          <w:lang w:val="en-AU" w:eastAsia="en-AU"/>
        </w:rPr>
        <w:drawing>
          <wp:anchor distT="0" distB="0" distL="114300" distR="114300" simplePos="0" relativeHeight="251729920" behindDoc="1" locked="0" layoutInCell="1" allowOverlap="1" wp14:anchorId="14B2E54C" wp14:editId="2E135845">
            <wp:simplePos x="0" y="0"/>
            <wp:positionH relativeFrom="page">
              <wp:posOffset>463138</wp:posOffset>
            </wp:positionH>
            <wp:positionV relativeFrom="page">
              <wp:posOffset>3111335</wp:posOffset>
            </wp:positionV>
            <wp:extent cx="6644005" cy="7115810"/>
            <wp:effectExtent l="0" t="0" r="4445" b="8890"/>
            <wp:wrapTight wrapText="bothSides">
              <wp:wrapPolygon edited="0">
                <wp:start x="21429" y="0"/>
                <wp:lineTo x="3654" y="16654"/>
                <wp:lineTo x="1610" y="16827"/>
                <wp:lineTo x="681" y="17117"/>
                <wp:lineTo x="681" y="17579"/>
                <wp:lineTo x="0" y="18273"/>
                <wp:lineTo x="0" y="21569"/>
                <wp:lineTo x="17898" y="21569"/>
                <wp:lineTo x="21553" y="18100"/>
                <wp:lineTo x="21553" y="0"/>
                <wp:lineTo x="21429" y="0"/>
              </wp:wrapPolygon>
            </wp:wrapTight>
            <wp:docPr id="42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Picture 39"/>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644005" cy="7115810"/>
                    </a:xfrm>
                    <a:prstGeom prst="rect">
                      <a:avLst/>
                    </a:prstGeom>
                  </pic:spPr>
                </pic:pic>
              </a:graphicData>
            </a:graphic>
          </wp:anchor>
        </w:drawing>
      </w:r>
    </w:p>
    <w:p w14:paraId="03B44D5F" w14:textId="77777777" w:rsidR="00653B85" w:rsidRPr="00A134B9" w:rsidRDefault="00653B85" w:rsidP="00A93E29">
      <w:pPr>
        <w:pStyle w:val="NoSpacing"/>
        <w:rPr>
          <w:lang w:val="en-PH"/>
        </w:rPr>
      </w:pPr>
    </w:p>
    <w:sectPr w:rsidR="00653B85" w:rsidRPr="00A134B9" w:rsidSect="00653B85">
      <w:headerReference w:type="default" r:id="rId29"/>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7D74E" w14:textId="77777777" w:rsidR="007E6F65" w:rsidRPr="004C1DCF" w:rsidRDefault="007E6F65" w:rsidP="006A5EA5">
      <w:r w:rsidRPr="004C1DCF">
        <w:separator/>
      </w:r>
    </w:p>
  </w:endnote>
  <w:endnote w:type="continuationSeparator" w:id="0">
    <w:p w14:paraId="2F12C164" w14:textId="77777777" w:rsidR="007E6F65" w:rsidRPr="004C1DCF" w:rsidRDefault="007E6F65" w:rsidP="006A5EA5">
      <w:r w:rsidRPr="004C1D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B254B" w14:textId="3D40331B" w:rsidR="00E87AED" w:rsidRPr="00E97FE6" w:rsidRDefault="00E87AED" w:rsidP="00E97FE6">
    <w:pPr>
      <w:pStyle w:val="Footer"/>
      <w:jc w:val="right"/>
    </w:pPr>
    <w:r w:rsidRPr="00D5671B">
      <w:rPr>
        <w:b/>
        <w:szCs w:val="12"/>
      </w:rPr>
      <w:t xml:space="preserve">Project </w:t>
    </w:r>
    <w:sdt>
      <w:sdtPr>
        <w:rPr>
          <w:b/>
          <w:szCs w:val="12"/>
        </w:rPr>
        <w:alias w:val="Project number"/>
        <w:tag w:val="footerDocControlProjectNumber"/>
        <w:id w:val="1440881695"/>
        <w:placeholder>
          <w:docPart w:val="0FE39D393BC746379725B53E3CE6E610"/>
        </w:placeholder>
        <w:dataBinding w:xpath="/root[1]/project[1]/number[1]" w:storeItemID="{45393E3D-3B52-4D3F-BBED-1AFEC97AEA28}"/>
        <w:text/>
      </w:sdtPr>
      <w:sdtEndPr/>
      <w:sdtContent>
        <w:r>
          <w:rPr>
            <w:b/>
            <w:szCs w:val="12"/>
          </w:rPr>
          <w:t>501523</w:t>
        </w:r>
      </w:sdtContent>
    </w:sdt>
    <w:r w:rsidRPr="00D5671B">
      <w:rPr>
        <w:b/>
        <w:szCs w:val="12"/>
      </w:rPr>
      <w:t xml:space="preserve">  File </w:t>
    </w:r>
    <w:r w:rsidRPr="00D5671B">
      <w:rPr>
        <w:b/>
        <w:szCs w:val="12"/>
      </w:rPr>
      <w:fldChar w:fldCharType="begin"/>
    </w:r>
    <w:r w:rsidRPr="00D5671B">
      <w:rPr>
        <w:b/>
        <w:szCs w:val="12"/>
      </w:rPr>
      <w:instrText xml:space="preserve"> FILENAME  \* FirstCap  \* MERGEFORMAT </w:instrText>
    </w:r>
    <w:r w:rsidRPr="00D5671B">
      <w:rPr>
        <w:b/>
        <w:szCs w:val="12"/>
      </w:rPr>
      <w:fldChar w:fldCharType="separate"/>
    </w:r>
    <w:r w:rsidR="009F48E8">
      <w:rPr>
        <w:b/>
        <w:noProof/>
        <w:szCs w:val="12"/>
      </w:rPr>
      <w:t>20686 EPAV - NEPM Gases - APPENDIX C - CBA - Final.docx</w:t>
    </w:r>
    <w:r w:rsidRPr="00D5671B">
      <w:rPr>
        <w:b/>
        <w:szCs w:val="12"/>
      </w:rPr>
      <w:fldChar w:fldCharType="end"/>
    </w:r>
    <w:r w:rsidRPr="00D5671B">
      <w:rPr>
        <w:b/>
        <w:szCs w:val="12"/>
      </w:rPr>
      <w:t xml:space="preserve">  </w:t>
    </w:r>
    <w:sdt>
      <w:sdtPr>
        <w:rPr>
          <w:b/>
          <w:szCs w:val="12"/>
        </w:rPr>
        <w:tag w:val="footerDate"/>
        <w:id w:val="798339912"/>
        <w:placeholder>
          <w:docPart w:val="296D4BD550C641048E70596D22B138F5"/>
        </w:placeholder>
        <w:dataBinding w:xpath="/root[1]/project[1]/date[1]" w:storeItemID="{45393E3D-3B52-4D3F-BBED-1AFEC97AEA28}"/>
        <w:date w:fullDate="2018-07-06T00:00:00Z">
          <w:dateFormat w:val="d MMMM yyyy"/>
          <w:lid w:val="en-GB"/>
          <w:storeMappedDataAs w:val="dateTime"/>
          <w:calendar w:val="gregorian"/>
        </w:date>
      </w:sdtPr>
      <w:sdtEndPr/>
      <w:sdtContent>
        <w:r w:rsidR="009F48E8">
          <w:rPr>
            <w:b/>
            <w:szCs w:val="12"/>
          </w:rPr>
          <w:t>6 July 2018</w:t>
        </w:r>
      </w:sdtContent>
    </w:sdt>
    <w:r w:rsidRPr="00D5671B">
      <w:rPr>
        <w:b/>
        <w:szCs w:val="12"/>
      </w:rPr>
      <w:t xml:space="preserve">  Revision </w:t>
    </w:r>
    <w:sdt>
      <w:sdtPr>
        <w:rPr>
          <w:b/>
          <w:szCs w:val="12"/>
        </w:rPr>
        <w:alias w:val="Revision number"/>
        <w:tag w:val="footerRevisionNumber"/>
        <w:id w:val="691881744"/>
        <w:placeholder>
          <w:docPart w:val="08F5096DBE4E48D1AA20F22963796719"/>
        </w:placeholder>
        <w:dataBinding w:xpath="/root[1]/project[1]/revision[1]" w:storeItemID="{45393E3D-3B52-4D3F-BBED-1AFEC97AEA28}"/>
        <w:text/>
      </w:sdtPr>
      <w:sdtEndPr/>
      <w:sdtContent>
        <w:r w:rsidR="00731F44">
          <w:rPr>
            <w:b/>
            <w:szCs w:val="12"/>
          </w:rPr>
          <w:t>Final</w:t>
        </w:r>
      </w:sdtContent>
    </w:sdt>
    <w:r w:rsidRPr="00D5671B">
      <w:rPr>
        <w:b/>
        <w:szCs w:val="12"/>
      </w:rPr>
      <w:t xml:space="preserve">  </w:t>
    </w:r>
    <w:r w:rsidRPr="00D5671B">
      <w:rPr>
        <w:b/>
        <w:noProof/>
        <w:szCs w:val="12"/>
        <w:lang w:val="en-AU" w:eastAsia="en-AU"/>
      </w:rPr>
      <w:drawing>
        <wp:inline distT="0" distB="0" distL="0" distR="0" wp14:anchorId="5DA0C686" wp14:editId="7BECE847">
          <wp:extent cx="55245" cy="57370"/>
          <wp:effectExtent l="0" t="0" r="190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71" cy="71728"/>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EE8C1" w14:textId="77777777" w:rsidR="00E87AED" w:rsidRPr="00EA3C03" w:rsidRDefault="00E87AED" w:rsidP="00EA3C03">
    <w:pPr>
      <w:pStyle w:val="Footer"/>
      <w:jc w:val="right"/>
    </w:pPr>
    <w:r w:rsidRPr="004C1DCF">
      <w:rPr>
        <w:noProof/>
        <w:lang w:val="en-AU" w:eastAsia="en-AU"/>
      </w:rPr>
      <mc:AlternateContent>
        <mc:Choice Requires="wps">
          <w:drawing>
            <wp:anchor distT="45720" distB="45720" distL="114300" distR="114300" simplePos="0" relativeHeight="251684864" behindDoc="0" locked="0" layoutInCell="1" allowOverlap="1" wp14:anchorId="3DFEB8BF" wp14:editId="70025558">
              <wp:simplePos x="0" y="0"/>
              <wp:positionH relativeFrom="column">
                <wp:posOffset>4240530</wp:posOffset>
              </wp:positionH>
              <wp:positionV relativeFrom="page">
                <wp:posOffset>10255250</wp:posOffset>
              </wp:positionV>
              <wp:extent cx="1854000" cy="255600"/>
              <wp:effectExtent l="0" t="0" r="13335" b="11430"/>
              <wp:wrapSquare wrapText="bothSides"/>
              <wp:docPr id="17" name="Contents 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000" cy="255600"/>
                      </a:xfrm>
                      <a:prstGeom prst="rect">
                        <a:avLst/>
                      </a:prstGeom>
                      <a:noFill/>
                      <a:ln w="9525">
                        <a:noFill/>
                        <a:miter lim="800000"/>
                        <a:headEnd/>
                        <a:tailEnd/>
                      </a:ln>
                    </wps:spPr>
                    <wps:txbx>
                      <w:txbxContent>
                        <w:sdt>
                          <w:sdtPr>
                            <w:rPr>
                              <w:noProof/>
                              <w:szCs w:val="12"/>
                            </w:rPr>
                            <w:alias w:val="Footer Logo"/>
                            <w:tag w:val="FooterLogo"/>
                            <w:id w:val="-2099938621"/>
                            <w:picture/>
                          </w:sdtPr>
                          <w:sdtEndPr/>
                          <w:sdtContent>
                            <w:p w14:paraId="7033B527" w14:textId="77777777" w:rsidR="00E87AED" w:rsidRPr="004C1DCF" w:rsidRDefault="00E87AED" w:rsidP="00DA70F0">
                              <w:pPr>
                                <w:pStyle w:val="Footer"/>
                                <w:jc w:val="right"/>
                                <w:rPr>
                                  <w:noProof/>
                                  <w:szCs w:val="12"/>
                                </w:rPr>
                              </w:pPr>
                              <w:r w:rsidRPr="004C1DCF">
                                <w:rPr>
                                  <w:noProof/>
                                  <w:szCs w:val="12"/>
                                  <w:lang w:val="en-AU" w:eastAsia="en-AU"/>
                                </w:rPr>
                                <w:drawing>
                                  <wp:inline distT="0" distB="0" distL="0" distR="0" wp14:anchorId="487E2DD1" wp14:editId="2BB08CA2">
                                    <wp:extent cx="755906" cy="195072"/>
                                    <wp:effectExtent l="0" t="0" r="6350" b="0"/>
                                    <wp:docPr id="23" name="Picture 23"/>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1">
                                              <a:extLst>
                                                <a:ext uri="{28A0092B-C50C-407E-A947-70E740481C1C}">
                                                  <a14:useLocalDpi xmlns:a14="http://schemas.microsoft.com/office/drawing/2010/main" val="0"/>
                                                </a:ext>
                                              </a:extLst>
                                            </a:blip>
                                            <a:stretch>
                                              <a:fillRect/>
                                            </a:stretch>
                                          </pic:blipFill>
                                          <pic:spPr>
                                            <a:xfrm>
                                              <a:off x="0" y="0"/>
                                              <a:ext cx="755906" cy="195072"/>
                                            </a:xfrm>
                                            <a:prstGeom prst="rect">
                                              <a:avLst/>
                                            </a:prstGeom>
                                          </pic:spPr>
                                        </pic:pic>
                                      </a:graphicData>
                                    </a:graphic>
                                  </wp:inline>
                                </w:drawing>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FEB8BF" id="_x0000_t202" coordsize="21600,21600" o:spt="202" path="m,l,21600r21600,l21600,xe">
              <v:stroke joinstyle="miter"/>
              <v:path gradientshapeok="t" o:connecttype="rect"/>
            </v:shapetype>
            <v:shape id="Contents Footer" o:spid="_x0000_s1031" type="#_x0000_t202" style="position:absolute;left:0;text-align:left;margin-left:333.9pt;margin-top:807.5pt;width:146pt;height:20.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" filled="f" stroked="f">
              <v:textbox inset="0,0,0,0">
                <w:txbxContent>
                  <w:sdt>
                    <w:sdtPr>
                      <w:rPr>
                        <w:noProof/>
                        <w:szCs w:val="12"/>
                      </w:rPr>
                      <w:alias w:val="Footer Logo"/>
                      <w:tag w:val="FooterLogo"/>
                      <w:id w:val="-2099938621"/>
                      <w:picture/>
                    </w:sdtPr>
                    <w:sdtEndPr/>
                    <w:sdtContent>
                      <w:p w14:paraId="7033B527" w14:textId="77777777" w:rsidR="00E87AED" w:rsidRPr="004C1DCF" w:rsidRDefault="00E87AED" w:rsidP="00DA70F0">
                        <w:pPr>
                          <w:pStyle w:val="Footer"/>
                          <w:jc w:val="right"/>
                          <w:rPr>
                            <w:noProof/>
                            <w:szCs w:val="12"/>
                          </w:rPr>
                        </w:pPr>
                        <w:r w:rsidRPr="004C1DCF">
                          <w:rPr>
                            <w:noProof/>
                            <w:szCs w:val="12"/>
                            <w:lang w:val="en-AU" w:eastAsia="en-AU"/>
                          </w:rPr>
                          <w:drawing>
                            <wp:inline distT="0" distB="0" distL="0" distR="0" wp14:anchorId="487E2DD1" wp14:editId="2BB08CA2">
                              <wp:extent cx="755906" cy="195072"/>
                              <wp:effectExtent l="0" t="0" r="6350" b="0"/>
                              <wp:docPr id="23" name="Picture 23"/>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2">
                                        <a:extLst>
                                          <a:ext uri="{28A0092B-C50C-407E-A947-70E740481C1C}">
                                            <a14:useLocalDpi xmlns:a14="http://schemas.microsoft.com/office/drawing/2010/main" val="0"/>
                                          </a:ext>
                                        </a:extLst>
                                      </a:blip>
                                      <a:stretch>
                                        <a:fillRect/>
                                      </a:stretch>
                                    </pic:blipFill>
                                    <pic:spPr>
                                      <a:xfrm>
                                        <a:off x="0" y="0"/>
                                        <a:ext cx="755906" cy="195072"/>
                                      </a:xfrm>
                                      <a:prstGeom prst="rect">
                                        <a:avLst/>
                                      </a:prstGeom>
                                    </pic:spPr>
                                  </pic:pic>
                                </a:graphicData>
                              </a:graphic>
                            </wp:inline>
                          </w:drawing>
                        </w:r>
                      </w:p>
                    </w:sdtContent>
                  </w:sdt>
                </w:txbxContent>
              </v:textbox>
              <w10:wrap type="squar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1333D" w14:textId="079AABB7" w:rsidR="00E87AED" w:rsidRPr="00A84381" w:rsidRDefault="00E87AED" w:rsidP="00A84381">
    <w:pPr>
      <w:pStyle w:val="Footer"/>
      <w:jc w:val="right"/>
    </w:pPr>
    <w:r w:rsidRPr="00483761">
      <w:rPr>
        <w:b/>
        <w:szCs w:val="12"/>
      </w:rPr>
      <w:t>Project number</w:t>
    </w:r>
    <w:r w:rsidRPr="00483761">
      <w:rPr>
        <w:szCs w:val="12"/>
      </w:rPr>
      <w:t xml:space="preserve"> </w:t>
    </w:r>
    <w:sdt>
      <w:sdtPr>
        <w:rPr>
          <w:szCs w:val="12"/>
        </w:rPr>
        <w:alias w:val="Project number"/>
        <w:tag w:val="footerProjectNumber"/>
        <w:id w:val="-849403790"/>
        <w:placeholder>
          <w:docPart w:val="D169BDD3F729496E903C2842CA4BF4AE"/>
        </w:placeholder>
        <w:dataBinding w:xpath="/root[1]/project[1]/number[1]" w:storeItemID="{45393E3D-3B52-4D3F-BBED-1AFEC97AEA28}"/>
        <w:text/>
      </w:sdtPr>
      <w:sdtEndPr/>
      <w:sdtContent>
        <w:r>
          <w:rPr>
            <w:szCs w:val="12"/>
          </w:rPr>
          <w:t>501523</w:t>
        </w:r>
      </w:sdtContent>
    </w:sdt>
    <w:r w:rsidRPr="00483761">
      <w:rPr>
        <w:szCs w:val="12"/>
      </w:rPr>
      <w:t xml:space="preserve">  </w:t>
    </w:r>
    <w:r w:rsidRPr="00483761">
      <w:rPr>
        <w:b/>
        <w:szCs w:val="12"/>
      </w:rPr>
      <w:t>File</w:t>
    </w:r>
    <w:r w:rsidRPr="00483761">
      <w:rPr>
        <w:szCs w:val="12"/>
      </w:rPr>
      <w:t xml:space="preserve"> </w:t>
    </w:r>
    <w:r w:rsidRPr="00483761">
      <w:rPr>
        <w:szCs w:val="12"/>
      </w:rPr>
      <w:fldChar w:fldCharType="begin"/>
    </w:r>
    <w:r w:rsidRPr="00483761">
      <w:rPr>
        <w:szCs w:val="12"/>
      </w:rPr>
      <w:instrText xml:space="preserve"> FILENAME  \* FirstCap  \* MERGEFORMAT </w:instrText>
    </w:r>
    <w:r w:rsidRPr="00483761">
      <w:rPr>
        <w:szCs w:val="12"/>
      </w:rPr>
      <w:fldChar w:fldCharType="separate"/>
    </w:r>
    <w:r w:rsidR="00A50702">
      <w:rPr>
        <w:noProof/>
        <w:szCs w:val="12"/>
      </w:rPr>
      <w:t>20686 EPAV - NEPM Gases - APPENDIX C - CBA - Final.docx</w:t>
    </w:r>
    <w:r w:rsidRPr="00483761">
      <w:rPr>
        <w:szCs w:val="12"/>
      </w:rPr>
      <w:fldChar w:fldCharType="end"/>
    </w:r>
    <w:r w:rsidRPr="00483761">
      <w:rPr>
        <w:szCs w:val="12"/>
      </w:rPr>
      <w:t xml:space="preserve">, </w:t>
    </w:r>
    <w:sdt>
      <w:sdtPr>
        <w:rPr>
          <w:szCs w:val="12"/>
        </w:rPr>
        <w:tag w:val="footerDate"/>
        <w:id w:val="-7754461"/>
        <w:placeholder>
          <w:docPart w:val="FD75A23B1AF14DF980C69DA0620B4B82"/>
        </w:placeholder>
        <w:dataBinding w:xpath="/root[1]/project[1]/date[1]" w:storeItemID="{45393E3D-3B52-4D3F-BBED-1AFEC97AEA28}"/>
        <w:date w:fullDate="2018-07-06T00:00:00Z">
          <w:dateFormat w:val="d MMMM yyyy"/>
          <w:lid w:val="en-GB"/>
          <w:storeMappedDataAs w:val="dateTime"/>
          <w:calendar w:val="gregorian"/>
        </w:date>
      </w:sdtPr>
      <w:sdtEndPr/>
      <w:sdtContent>
        <w:r w:rsidR="009F48E8">
          <w:rPr>
            <w:szCs w:val="12"/>
          </w:rPr>
          <w:t>6 July 2018</w:t>
        </w:r>
      </w:sdtContent>
    </w:sdt>
    <w:r w:rsidRPr="00483761">
      <w:rPr>
        <w:szCs w:val="12"/>
      </w:rPr>
      <w:t xml:space="preserve">  Revision </w:t>
    </w:r>
    <w:sdt>
      <w:sdtPr>
        <w:rPr>
          <w:szCs w:val="12"/>
        </w:rPr>
        <w:alias w:val="Revision number"/>
        <w:tag w:val="footerRevisionNumber"/>
        <w:id w:val="1993136152"/>
        <w:placeholder>
          <w:docPart w:val="3BC68A23E385483B897EEEDCD3C9E712"/>
        </w:placeholder>
        <w:dataBinding w:xpath="/root[1]/project[1]/revision[1]" w:storeItemID="{45393E3D-3B52-4D3F-BBED-1AFEC97AEA28}"/>
        <w:text/>
      </w:sdtPr>
      <w:sdtEndPr/>
      <w:sdtContent>
        <w:r w:rsidR="00731F44">
          <w:rPr>
            <w:szCs w:val="12"/>
          </w:rPr>
          <w:t>Final</w:t>
        </w:r>
      </w:sdtContent>
    </w:sdt>
    <w:r w:rsidRPr="00483761">
      <w:rPr>
        <w:szCs w:val="12"/>
      </w:rPr>
      <w:t xml:space="preserve">  </w:t>
    </w:r>
    <w:r w:rsidRPr="00483761">
      <w:rPr>
        <w:noProof/>
        <w:szCs w:val="12"/>
        <w:lang w:val="en-AU" w:eastAsia="en-AU"/>
      </w:rPr>
      <w:drawing>
        <wp:inline distT="0" distB="0" distL="0" distR="0" wp14:anchorId="35E43CC2" wp14:editId="0FFBA43D">
          <wp:extent cx="55880" cy="55880"/>
          <wp:effectExtent l="0" t="0" r="127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 cy="55880"/>
                  </a:xfrm>
                  <a:prstGeom prst="rect">
                    <a:avLst/>
                  </a:prstGeom>
                  <a:noFill/>
                  <a:ln>
                    <a:noFill/>
                  </a:ln>
                </pic:spPr>
              </pic:pic>
            </a:graphicData>
          </a:graphic>
        </wp:inline>
      </w:drawing>
    </w:r>
    <w:r w:rsidRPr="00483761">
      <w:rPr>
        <w:szCs w:val="12"/>
      </w:rPr>
      <w:t xml:space="preserve"> </w:t>
    </w:r>
    <w:r w:rsidRPr="00D563B9">
      <w:rPr>
        <w:b/>
        <w:szCs w:val="12"/>
      </w:rPr>
      <w:fldChar w:fldCharType="begin"/>
    </w:r>
    <w:r w:rsidRPr="00D563B9">
      <w:rPr>
        <w:b/>
        <w:szCs w:val="12"/>
      </w:rPr>
      <w:instrText xml:space="preserve"> PAGE   \* MERGEFORMAT </w:instrText>
    </w:r>
    <w:r w:rsidRPr="00D563B9">
      <w:rPr>
        <w:b/>
        <w:szCs w:val="12"/>
      </w:rPr>
      <w:fldChar w:fldCharType="separate"/>
    </w:r>
    <w:r w:rsidR="00B93345">
      <w:rPr>
        <w:b/>
        <w:noProof/>
        <w:szCs w:val="12"/>
      </w:rPr>
      <w:t>22</w:t>
    </w:r>
    <w:r w:rsidRPr="00D563B9">
      <w:rPr>
        <w:b/>
        <w:noProof/>
        <w:szCs w:val="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F06DA" w14:textId="47294260" w:rsidR="00E87AED" w:rsidRPr="00A84381" w:rsidRDefault="00E87AED" w:rsidP="00A84381">
    <w:pPr>
      <w:pStyle w:val="Footer"/>
      <w:jc w:val="right"/>
    </w:pPr>
    <w:r w:rsidRPr="00483761">
      <w:rPr>
        <w:b/>
        <w:szCs w:val="12"/>
      </w:rPr>
      <w:t>Project number</w:t>
    </w:r>
    <w:r w:rsidRPr="00483761">
      <w:rPr>
        <w:szCs w:val="12"/>
      </w:rPr>
      <w:t xml:space="preserve"> </w:t>
    </w:r>
    <w:sdt>
      <w:sdtPr>
        <w:rPr>
          <w:szCs w:val="12"/>
        </w:rPr>
        <w:alias w:val="Project number"/>
        <w:tag w:val="footerProjectNumber"/>
        <w:id w:val="796254622"/>
        <w:placeholder>
          <w:docPart w:val="5B123AF3A3E94FD7AFB51B3B4CF9A04E"/>
        </w:placeholder>
        <w:dataBinding w:xpath="/root[1]/project[1]/number[1]" w:storeItemID="{45393E3D-3B52-4D3F-BBED-1AFEC97AEA28}"/>
        <w:text/>
      </w:sdtPr>
      <w:sdtEndPr/>
      <w:sdtContent>
        <w:r>
          <w:rPr>
            <w:szCs w:val="12"/>
          </w:rPr>
          <w:t>501523</w:t>
        </w:r>
      </w:sdtContent>
    </w:sdt>
    <w:r w:rsidRPr="00483761">
      <w:rPr>
        <w:szCs w:val="12"/>
      </w:rPr>
      <w:t xml:space="preserve">  </w:t>
    </w:r>
    <w:r w:rsidRPr="00483761">
      <w:rPr>
        <w:b/>
        <w:szCs w:val="12"/>
      </w:rPr>
      <w:t>File</w:t>
    </w:r>
    <w:r w:rsidRPr="00483761">
      <w:rPr>
        <w:szCs w:val="12"/>
      </w:rPr>
      <w:t xml:space="preserve"> </w:t>
    </w:r>
    <w:r w:rsidRPr="00483761">
      <w:rPr>
        <w:szCs w:val="12"/>
      </w:rPr>
      <w:fldChar w:fldCharType="begin"/>
    </w:r>
    <w:r w:rsidRPr="00483761">
      <w:rPr>
        <w:szCs w:val="12"/>
      </w:rPr>
      <w:instrText xml:space="preserve"> FILENAME  \* FirstCap  \* MERGEFORMAT </w:instrText>
    </w:r>
    <w:r w:rsidRPr="00483761">
      <w:rPr>
        <w:szCs w:val="12"/>
      </w:rPr>
      <w:fldChar w:fldCharType="separate"/>
    </w:r>
    <w:r w:rsidR="00A50702">
      <w:rPr>
        <w:noProof/>
        <w:szCs w:val="12"/>
      </w:rPr>
      <w:t>20686 EPAV - NEPM Gases - APPENDIX C - CBA - Final.docx</w:t>
    </w:r>
    <w:r w:rsidRPr="00483761">
      <w:rPr>
        <w:szCs w:val="12"/>
      </w:rPr>
      <w:fldChar w:fldCharType="end"/>
    </w:r>
    <w:r w:rsidRPr="00483761">
      <w:rPr>
        <w:szCs w:val="12"/>
      </w:rPr>
      <w:t xml:space="preserve">, </w:t>
    </w:r>
    <w:sdt>
      <w:sdtPr>
        <w:rPr>
          <w:szCs w:val="12"/>
        </w:rPr>
        <w:tag w:val="footerDate"/>
        <w:id w:val="-1018929984"/>
        <w:placeholder>
          <w:docPart w:val="0542E1C5692F407283BEAF85329358D7"/>
        </w:placeholder>
        <w:dataBinding w:xpath="/root[1]/project[1]/date[1]" w:storeItemID="{45393E3D-3B52-4D3F-BBED-1AFEC97AEA28}"/>
        <w:date w:fullDate="2018-07-06T00:00:00Z">
          <w:dateFormat w:val="d MMMM yyyy"/>
          <w:lid w:val="en-GB"/>
          <w:storeMappedDataAs w:val="dateTime"/>
          <w:calendar w:val="gregorian"/>
        </w:date>
      </w:sdtPr>
      <w:sdtEndPr/>
      <w:sdtContent>
        <w:r w:rsidR="009F48E8">
          <w:rPr>
            <w:szCs w:val="12"/>
          </w:rPr>
          <w:t>6 July 2018</w:t>
        </w:r>
      </w:sdtContent>
    </w:sdt>
    <w:r w:rsidRPr="00483761">
      <w:rPr>
        <w:szCs w:val="12"/>
      </w:rPr>
      <w:t xml:space="preserve">  Revision </w:t>
    </w:r>
    <w:sdt>
      <w:sdtPr>
        <w:rPr>
          <w:szCs w:val="12"/>
        </w:rPr>
        <w:alias w:val="Revision number"/>
        <w:tag w:val="footerRevisionNumber"/>
        <w:id w:val="-2085213269"/>
        <w:placeholder>
          <w:docPart w:val="04B2ABF84F0C4DA786C4750630FD25CB"/>
        </w:placeholder>
        <w:dataBinding w:xpath="/root[1]/project[1]/revision[1]" w:storeItemID="{45393E3D-3B52-4D3F-BBED-1AFEC97AEA28}"/>
        <w:text/>
      </w:sdtPr>
      <w:sdtEndPr/>
      <w:sdtContent>
        <w:r w:rsidR="00731F44">
          <w:rPr>
            <w:szCs w:val="12"/>
          </w:rPr>
          <w:t>Final</w:t>
        </w:r>
      </w:sdtContent>
    </w:sdt>
    <w:r w:rsidRPr="00483761">
      <w:rPr>
        <w:szCs w:val="12"/>
      </w:rPr>
      <w:t xml:space="preserve">  </w:t>
    </w:r>
    <w:r w:rsidRPr="00483761">
      <w:rPr>
        <w:noProof/>
        <w:szCs w:val="12"/>
        <w:lang w:val="en-AU" w:eastAsia="en-AU"/>
      </w:rPr>
      <w:drawing>
        <wp:inline distT="0" distB="0" distL="0" distR="0" wp14:anchorId="43D86FC2" wp14:editId="614436C6">
          <wp:extent cx="55880" cy="55880"/>
          <wp:effectExtent l="0" t="0" r="127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 cy="55880"/>
                  </a:xfrm>
                  <a:prstGeom prst="rect">
                    <a:avLst/>
                  </a:prstGeom>
                  <a:noFill/>
                  <a:ln>
                    <a:noFill/>
                  </a:ln>
                </pic:spPr>
              </pic:pic>
            </a:graphicData>
          </a:graphic>
        </wp:inline>
      </w:drawing>
    </w:r>
    <w:r w:rsidRPr="00483761">
      <w:rPr>
        <w:szCs w:val="12"/>
      </w:rPr>
      <w:t xml:space="preserve"> </w:t>
    </w:r>
    <w:r w:rsidRPr="00D563B9">
      <w:rPr>
        <w:b/>
        <w:szCs w:val="12"/>
      </w:rPr>
      <w:fldChar w:fldCharType="begin"/>
    </w:r>
    <w:r w:rsidRPr="00D563B9">
      <w:rPr>
        <w:b/>
        <w:szCs w:val="12"/>
      </w:rPr>
      <w:instrText xml:space="preserve"> PAGE   \* MERGEFORMAT </w:instrText>
    </w:r>
    <w:r w:rsidRPr="00D563B9">
      <w:rPr>
        <w:b/>
        <w:szCs w:val="12"/>
      </w:rPr>
      <w:fldChar w:fldCharType="separate"/>
    </w:r>
    <w:r w:rsidR="00B93345">
      <w:rPr>
        <w:b/>
        <w:noProof/>
        <w:szCs w:val="12"/>
      </w:rPr>
      <w:t>28</w:t>
    </w:r>
    <w:r w:rsidRPr="00D563B9">
      <w:rPr>
        <w:b/>
        <w:noProof/>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481F8" w14:textId="3CB13449" w:rsidR="00E87AED" w:rsidRPr="001F44A3" w:rsidRDefault="00E87AED" w:rsidP="001F44A3">
    <w:pPr>
      <w:pStyle w:val="Footer"/>
      <w:jc w:val="right"/>
    </w:pPr>
    <w:r w:rsidRPr="00483761">
      <w:rPr>
        <w:b/>
        <w:szCs w:val="12"/>
      </w:rPr>
      <w:t>Project number</w:t>
    </w:r>
    <w:r w:rsidRPr="00483761">
      <w:rPr>
        <w:szCs w:val="12"/>
      </w:rPr>
      <w:t xml:space="preserve"> </w:t>
    </w:r>
    <w:sdt>
      <w:sdtPr>
        <w:rPr>
          <w:szCs w:val="12"/>
        </w:rPr>
        <w:alias w:val="Project number"/>
        <w:tag w:val="footerProjectNumber"/>
        <w:id w:val="905576627"/>
        <w:placeholder>
          <w:docPart w:val="E812C64ADCA34727B3E4ABAEF31B1239"/>
        </w:placeholder>
        <w:dataBinding w:xpath="/root[1]/project[1]/number[1]" w:storeItemID="{45393E3D-3B52-4D3F-BBED-1AFEC97AEA28}"/>
        <w:text/>
      </w:sdtPr>
      <w:sdtEndPr/>
      <w:sdtContent>
        <w:r>
          <w:rPr>
            <w:szCs w:val="12"/>
          </w:rPr>
          <w:t>501523</w:t>
        </w:r>
      </w:sdtContent>
    </w:sdt>
    <w:r w:rsidRPr="00483761">
      <w:rPr>
        <w:szCs w:val="12"/>
      </w:rPr>
      <w:t xml:space="preserve">  </w:t>
    </w:r>
    <w:r w:rsidRPr="00483761">
      <w:rPr>
        <w:b/>
        <w:szCs w:val="12"/>
      </w:rPr>
      <w:t>File</w:t>
    </w:r>
    <w:r w:rsidRPr="00483761">
      <w:rPr>
        <w:szCs w:val="12"/>
      </w:rPr>
      <w:t xml:space="preserve"> </w:t>
    </w:r>
    <w:r w:rsidRPr="00483761">
      <w:rPr>
        <w:szCs w:val="12"/>
      </w:rPr>
      <w:fldChar w:fldCharType="begin"/>
    </w:r>
    <w:r w:rsidRPr="00483761">
      <w:rPr>
        <w:szCs w:val="12"/>
      </w:rPr>
      <w:instrText xml:space="preserve"> FILENAME  \* FirstCap  \* MERGEFORMAT </w:instrText>
    </w:r>
    <w:r w:rsidRPr="00483761">
      <w:rPr>
        <w:szCs w:val="12"/>
      </w:rPr>
      <w:fldChar w:fldCharType="separate"/>
    </w:r>
    <w:r w:rsidR="00A50702">
      <w:rPr>
        <w:noProof/>
        <w:szCs w:val="12"/>
      </w:rPr>
      <w:t>20686 EPAV - NEPM Gases - APPENDIX C - CBA - Final.docx</w:t>
    </w:r>
    <w:r w:rsidRPr="00483761">
      <w:rPr>
        <w:szCs w:val="12"/>
      </w:rPr>
      <w:fldChar w:fldCharType="end"/>
    </w:r>
    <w:r w:rsidRPr="00483761">
      <w:rPr>
        <w:szCs w:val="12"/>
      </w:rPr>
      <w:t xml:space="preserve">, </w:t>
    </w:r>
    <w:sdt>
      <w:sdtPr>
        <w:rPr>
          <w:szCs w:val="12"/>
        </w:rPr>
        <w:tag w:val="footerDate"/>
        <w:id w:val="578410366"/>
        <w:placeholder>
          <w:docPart w:val="B2103AC3C9804E7ABEB29F45209A7FD2"/>
        </w:placeholder>
        <w:dataBinding w:xpath="/root[1]/project[1]/date[1]" w:storeItemID="{45393E3D-3B52-4D3F-BBED-1AFEC97AEA28}"/>
        <w:date w:fullDate="2018-07-06T00:00:00Z">
          <w:dateFormat w:val="d MMMM yyyy"/>
          <w:lid w:val="en-GB"/>
          <w:storeMappedDataAs w:val="dateTime"/>
          <w:calendar w:val="gregorian"/>
        </w:date>
      </w:sdtPr>
      <w:sdtEndPr/>
      <w:sdtContent>
        <w:r w:rsidR="009F48E8">
          <w:rPr>
            <w:szCs w:val="12"/>
          </w:rPr>
          <w:t>6 July 2018</w:t>
        </w:r>
      </w:sdtContent>
    </w:sdt>
    <w:r w:rsidRPr="00483761">
      <w:rPr>
        <w:szCs w:val="12"/>
      </w:rPr>
      <w:t xml:space="preserve">  Revision </w:t>
    </w:r>
    <w:sdt>
      <w:sdtPr>
        <w:rPr>
          <w:szCs w:val="12"/>
        </w:rPr>
        <w:alias w:val="Revision number"/>
        <w:tag w:val="footerRevisionNumber"/>
        <w:id w:val="1679776724"/>
        <w:placeholder>
          <w:docPart w:val="F9241EED21484F129A8DD3CCA7F0CEB9"/>
        </w:placeholder>
        <w:dataBinding w:xpath="/root[1]/project[1]/revision[1]" w:storeItemID="{45393E3D-3B52-4D3F-BBED-1AFEC97AEA28}"/>
        <w:text/>
      </w:sdtPr>
      <w:sdtEndPr/>
      <w:sdtContent>
        <w:r w:rsidR="00731F44">
          <w:rPr>
            <w:szCs w:val="12"/>
          </w:rPr>
          <w:t>Final</w:t>
        </w:r>
      </w:sdtContent>
    </w:sdt>
    <w:r w:rsidRPr="00483761">
      <w:rPr>
        <w:szCs w:val="12"/>
      </w:rPr>
      <w:t xml:space="preserve">  </w:t>
    </w:r>
    <w:r w:rsidRPr="00483761">
      <w:rPr>
        <w:noProof/>
        <w:szCs w:val="12"/>
        <w:lang w:val="en-AU" w:eastAsia="en-AU"/>
      </w:rPr>
      <w:drawing>
        <wp:inline distT="0" distB="0" distL="0" distR="0" wp14:anchorId="11C10912" wp14:editId="3585AEC3">
          <wp:extent cx="55880" cy="5588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 cy="55880"/>
                  </a:xfrm>
                  <a:prstGeom prst="rect">
                    <a:avLst/>
                  </a:prstGeom>
                  <a:noFill/>
                  <a:ln>
                    <a:noFill/>
                  </a:ln>
                </pic:spPr>
              </pic:pic>
            </a:graphicData>
          </a:graphic>
        </wp:inline>
      </w:drawing>
    </w:r>
    <w:r w:rsidRPr="00483761">
      <w:rPr>
        <w:szCs w:val="12"/>
      </w:rPr>
      <w:t xml:space="preserve"> </w:t>
    </w:r>
    <w:r w:rsidRPr="00D563B9">
      <w:rPr>
        <w:b/>
        <w:szCs w:val="12"/>
      </w:rPr>
      <w:fldChar w:fldCharType="begin"/>
    </w:r>
    <w:r w:rsidRPr="00D563B9">
      <w:rPr>
        <w:b/>
        <w:szCs w:val="12"/>
      </w:rPr>
      <w:instrText xml:space="preserve"> PAGE   \* MERGEFORMAT </w:instrText>
    </w:r>
    <w:r w:rsidRPr="00D563B9">
      <w:rPr>
        <w:b/>
        <w:szCs w:val="12"/>
      </w:rPr>
      <w:fldChar w:fldCharType="separate"/>
    </w:r>
    <w:r w:rsidR="00B93345">
      <w:rPr>
        <w:b/>
        <w:noProof/>
        <w:szCs w:val="12"/>
      </w:rPr>
      <w:t>39</w:t>
    </w:r>
    <w:r w:rsidRPr="00D563B9">
      <w:rPr>
        <w:b/>
        <w:noProof/>
        <w:szCs w:val="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541F" w14:textId="77777777" w:rsidR="00E87AED" w:rsidRPr="004C1DCF" w:rsidRDefault="00E87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E1386" w14:textId="77777777" w:rsidR="007E6F65" w:rsidRPr="004C1DCF" w:rsidRDefault="007E6F65" w:rsidP="006A5EA5">
      <w:r w:rsidRPr="004C1DCF">
        <w:separator/>
      </w:r>
    </w:p>
  </w:footnote>
  <w:footnote w:type="continuationSeparator" w:id="0">
    <w:p w14:paraId="31D21BD1" w14:textId="77777777" w:rsidR="007E6F65" w:rsidRPr="004C1DCF" w:rsidRDefault="007E6F65" w:rsidP="006A5EA5">
      <w:r w:rsidRPr="004C1DCF">
        <w:continuationSeparator/>
      </w:r>
    </w:p>
  </w:footnote>
  <w:footnote w:id="1">
    <w:p w14:paraId="40761258" w14:textId="30B43C3E" w:rsidR="00E87AED" w:rsidRPr="009B44FF" w:rsidRDefault="00E87AED" w:rsidP="001B6724">
      <w:pPr>
        <w:pStyle w:val="FootnoteText"/>
        <w:rPr>
          <w:sz w:val="16"/>
          <w:szCs w:val="16"/>
          <w:lang w:val="en-AU"/>
        </w:rPr>
      </w:pPr>
      <w:r w:rsidRPr="009B44FF">
        <w:rPr>
          <w:rStyle w:val="FootnoteReference"/>
          <w:sz w:val="16"/>
          <w:szCs w:val="16"/>
        </w:rPr>
        <w:footnoteRef/>
      </w:r>
      <w:r w:rsidRPr="009B44FF">
        <w:rPr>
          <w:sz w:val="16"/>
          <w:szCs w:val="16"/>
        </w:rPr>
        <w:t xml:space="preserve"> </w:t>
      </w:r>
      <w:r>
        <w:rPr>
          <w:sz w:val="16"/>
          <w:szCs w:val="16"/>
        </w:rPr>
        <w:t>O</w:t>
      </w:r>
      <w:r w:rsidRPr="009B44FF">
        <w:rPr>
          <w:sz w:val="16"/>
          <w:szCs w:val="16"/>
          <w:vertAlign w:val="subscript"/>
        </w:rPr>
        <w:t>3</w:t>
      </w:r>
      <w:r>
        <w:rPr>
          <w:sz w:val="16"/>
          <w:szCs w:val="16"/>
        </w:rPr>
        <w:t xml:space="preserve"> is not emitted directly but formed through chemical reactions in the atmosphere. Therefore, abatement measures for O</w:t>
      </w:r>
      <w:r w:rsidRPr="009B44FF">
        <w:rPr>
          <w:sz w:val="16"/>
          <w:szCs w:val="16"/>
          <w:vertAlign w:val="subscript"/>
        </w:rPr>
        <w:t>3</w:t>
      </w:r>
      <w:r>
        <w:rPr>
          <w:sz w:val="16"/>
          <w:szCs w:val="16"/>
        </w:rPr>
        <w:t xml:space="preserve"> target </w:t>
      </w:r>
      <w:r w:rsidRPr="009B44FF">
        <w:rPr>
          <w:sz w:val="16"/>
          <w:szCs w:val="16"/>
          <w:lang w:val="en-AU"/>
        </w:rPr>
        <w:t>VOC</w:t>
      </w:r>
      <w:r>
        <w:rPr>
          <w:sz w:val="16"/>
          <w:szCs w:val="16"/>
          <w:lang w:val="en-AU"/>
        </w:rPr>
        <w:t xml:space="preserve"> emissions, which</w:t>
      </w:r>
      <w:r w:rsidRPr="009B44FF">
        <w:rPr>
          <w:sz w:val="16"/>
          <w:szCs w:val="16"/>
          <w:lang w:val="en-AU"/>
        </w:rPr>
        <w:t xml:space="preserve"> </w:t>
      </w:r>
      <w:r>
        <w:rPr>
          <w:sz w:val="16"/>
          <w:szCs w:val="16"/>
          <w:lang w:val="en-AU"/>
        </w:rPr>
        <w:t xml:space="preserve">are </w:t>
      </w:r>
      <w:r w:rsidRPr="009B44FF">
        <w:rPr>
          <w:sz w:val="16"/>
          <w:szCs w:val="16"/>
          <w:lang w:val="en-AU"/>
        </w:rPr>
        <w:t xml:space="preserve">a precursor </w:t>
      </w:r>
      <w:r>
        <w:rPr>
          <w:sz w:val="16"/>
          <w:szCs w:val="16"/>
          <w:lang w:val="en-AU"/>
        </w:rPr>
        <w:t>to the formation of O</w:t>
      </w:r>
      <w:r w:rsidRPr="009B44FF">
        <w:rPr>
          <w:sz w:val="16"/>
          <w:szCs w:val="16"/>
          <w:vertAlign w:val="subscript"/>
          <w:lang w:val="en-AU"/>
        </w:rPr>
        <w:t>3</w:t>
      </w:r>
      <w:r>
        <w:rPr>
          <w:sz w:val="16"/>
          <w:szCs w:val="16"/>
          <w:lang w:val="en-AU"/>
        </w:rPr>
        <w:t>.</w:t>
      </w:r>
    </w:p>
  </w:footnote>
  <w:footnote w:id="2">
    <w:p w14:paraId="1524F638" w14:textId="6940AA92" w:rsidR="00E87AED" w:rsidRPr="00112F48" w:rsidRDefault="00E87AED">
      <w:pPr>
        <w:pStyle w:val="FootnoteText"/>
        <w:rPr>
          <w:sz w:val="16"/>
          <w:szCs w:val="16"/>
          <w:lang w:val="en-AU"/>
        </w:rPr>
      </w:pPr>
      <w:r w:rsidRPr="00112F48">
        <w:rPr>
          <w:rStyle w:val="FootnoteReference"/>
          <w:sz w:val="16"/>
          <w:szCs w:val="16"/>
        </w:rPr>
        <w:footnoteRef/>
      </w:r>
      <w:r w:rsidRPr="00112F48">
        <w:rPr>
          <w:sz w:val="16"/>
          <w:szCs w:val="16"/>
        </w:rPr>
        <w:t xml:space="preserve"> </w:t>
      </w:r>
      <w:r w:rsidRPr="00112F48">
        <w:rPr>
          <w:sz w:val="16"/>
          <w:szCs w:val="16"/>
          <w:lang w:val="en-AU"/>
        </w:rPr>
        <w:t>WHO (2013) classifies the CRFs as either ‘Group A’ CRFs</w:t>
      </w:r>
      <w:r>
        <w:rPr>
          <w:sz w:val="16"/>
          <w:szCs w:val="16"/>
          <w:lang w:val="en-AU"/>
        </w:rPr>
        <w:t>,</w:t>
      </w:r>
      <w:r w:rsidRPr="00112F48">
        <w:rPr>
          <w:sz w:val="16"/>
          <w:szCs w:val="16"/>
          <w:lang w:val="en-AU"/>
        </w:rPr>
        <w:t xml:space="preserve"> </w:t>
      </w:r>
      <w:r>
        <w:rPr>
          <w:sz w:val="16"/>
          <w:szCs w:val="16"/>
          <w:lang w:val="en-AU"/>
        </w:rPr>
        <w:t>which enable a more reliable quantification of effects because there is greater data to estimate pollutant exposure-outcome relationships, and ‘Group B’ CRFs, which are less reliable. The recommended CRF for long-term mortality is classified as a Group B CRF. The recommended CRF for short-term mortality is classified as a Group A CRF.</w:t>
      </w:r>
    </w:p>
  </w:footnote>
  <w:footnote w:id="3">
    <w:p w14:paraId="7EB1B801" w14:textId="074A6572" w:rsidR="00E87AED" w:rsidRPr="0082207F" w:rsidRDefault="00E87AED" w:rsidP="00A01EC0">
      <w:pPr>
        <w:pStyle w:val="FootnoteText"/>
        <w:rPr>
          <w:sz w:val="16"/>
          <w:szCs w:val="16"/>
        </w:rPr>
      </w:pPr>
      <w:r w:rsidRPr="0082207F">
        <w:rPr>
          <w:rStyle w:val="FootnoteReference"/>
        </w:rPr>
        <w:footnoteRef/>
      </w:r>
      <w:r w:rsidRPr="0082207F">
        <w:rPr>
          <w:sz w:val="16"/>
          <w:szCs w:val="16"/>
        </w:rPr>
        <w:t xml:space="preserve"> </w:t>
      </w:r>
      <w:r>
        <w:rPr>
          <w:sz w:val="16"/>
          <w:szCs w:val="16"/>
        </w:rPr>
        <w:t xml:space="preserve">The </w:t>
      </w:r>
      <w:r w:rsidRPr="0082207F">
        <w:rPr>
          <w:sz w:val="16"/>
          <w:szCs w:val="16"/>
        </w:rPr>
        <w:t xml:space="preserve">RR is </w:t>
      </w:r>
      <w:r>
        <w:rPr>
          <w:sz w:val="16"/>
          <w:szCs w:val="16"/>
        </w:rPr>
        <w:t>provided by the source literature for a corresponding change in concentration (Δx). In this HRA for this review, the RR is ‘normalised’ into a per unit change (e.g. relative risk per ppb).</w:t>
      </w:r>
    </w:p>
  </w:footnote>
  <w:footnote w:id="4">
    <w:p w14:paraId="4BA53CD5" w14:textId="3554DBCD" w:rsidR="00E87AED" w:rsidRPr="00B326CA" w:rsidRDefault="00E87AED">
      <w:pPr>
        <w:pStyle w:val="FootnoteText"/>
        <w:rPr>
          <w:lang w:val="en-AU"/>
        </w:rPr>
      </w:pPr>
      <w:r>
        <w:rPr>
          <w:rStyle w:val="FootnoteReference"/>
        </w:rPr>
        <w:footnoteRef/>
      </w:r>
      <w:r>
        <w:t xml:space="preserve"> Based on an investment cost of approximately </w:t>
      </w:r>
      <w:r>
        <w:rPr>
          <w:rFonts w:cstheme="minorHAnsi"/>
        </w:rPr>
        <w:t>€</w:t>
      </w:r>
      <w:r>
        <w:t xml:space="preserve">2.2 - </w:t>
      </w:r>
      <w:r>
        <w:rPr>
          <w:rFonts w:cstheme="minorHAnsi"/>
        </w:rPr>
        <w:t>€4</w:t>
      </w:r>
      <w:r>
        <w:t>.5 million for a kiln processing approximately 3,000 tonne clinker per day (</w:t>
      </w:r>
      <w:r w:rsidRPr="00AC4FB2">
        <w:t xml:space="preserve">Economic and Social Council, </w:t>
      </w:r>
      <w:r>
        <w:t xml:space="preserve">Economic Commission for Europe, </w:t>
      </w:r>
      <w:r w:rsidRPr="00AC4FB2">
        <w:t>2012</w:t>
      </w:r>
      <w:r>
        <w:t xml:space="preserve">, </w:t>
      </w:r>
      <w:r>
        <w:rPr>
          <w:lang w:val="en-AU"/>
        </w:rPr>
        <w:t>Table 51, p.16)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6D651" w14:textId="7CE3AEF2" w:rsidR="00E87AED" w:rsidRPr="008525A0" w:rsidRDefault="00E87A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B70DC" w14:textId="7396C319" w:rsidR="00E87AED" w:rsidRPr="004C1DCF" w:rsidRDefault="00E87A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0C01C" w14:textId="77777777" w:rsidR="00E87AED" w:rsidRPr="00A84381" w:rsidRDefault="00E87AED" w:rsidP="00A843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8D708" w14:textId="77777777" w:rsidR="00E87AED" w:rsidRPr="00A84381" w:rsidRDefault="00E87AED" w:rsidP="00A843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75B53" w14:textId="77777777" w:rsidR="00E87AED" w:rsidRPr="001F44A3" w:rsidRDefault="00E87AED" w:rsidP="001F44A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182B" w14:textId="28FA328C" w:rsidR="00E87AED" w:rsidRPr="004C1DCF" w:rsidRDefault="00E87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09DD"/>
    <w:multiLevelType w:val="multilevel"/>
    <w:tmpl w:val="83D891AC"/>
    <w:numStyleLink w:val="AureconBullets"/>
  </w:abstractNum>
  <w:abstractNum w:abstractNumId="1" w15:restartNumberingAfterBreak="0">
    <w:nsid w:val="03F039E9"/>
    <w:multiLevelType w:val="multilevel"/>
    <w:tmpl w:val="EF74DD68"/>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851" w:hanging="851"/>
      </w:pPr>
      <w:rPr>
        <w:rFonts w:hint="default"/>
      </w:rPr>
    </w:lvl>
    <w:lvl w:ilvl="6">
      <w:start w:val="1"/>
      <w:numFmt w:val="none"/>
      <w:lvlRestart w:val="0"/>
      <w:suff w:val="nothing"/>
      <w:lvlText w:val=""/>
      <w:lvlJc w:val="left"/>
      <w:pPr>
        <w:ind w:left="851" w:hanging="851"/>
      </w:pPr>
      <w:rPr>
        <w:rFonts w:hint="default"/>
        <w:b w:val="0"/>
        <w:i w:val="0"/>
        <w:iCs w:val="0"/>
        <w:caps w:val="0"/>
        <w:smallCaps w:val="0"/>
        <w:strike w:val="0"/>
        <w:dstrike w:val="0"/>
        <w:noProof w:val="0"/>
        <w:vanish w:val="0"/>
        <w:color w:val="00000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 w15:restartNumberingAfterBreak="0">
    <w:nsid w:val="06866C87"/>
    <w:multiLevelType w:val="hybridMultilevel"/>
    <w:tmpl w:val="1BC84A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946B43"/>
    <w:multiLevelType w:val="multilevel"/>
    <w:tmpl w:val="08EE0B38"/>
    <w:styleLink w:val="AureconList"/>
    <w:lvl w:ilvl="0">
      <w:start w:val="1"/>
      <w:numFmt w:val="lowerLetter"/>
      <w:pStyle w:val="Numbera"/>
      <w:lvlText w:val="%1)"/>
      <w:lvlJc w:val="left"/>
      <w:pPr>
        <w:ind w:left="454" w:hanging="454"/>
      </w:pPr>
      <w:rPr>
        <w:rFonts w:hint="default"/>
      </w:rPr>
    </w:lvl>
    <w:lvl w:ilvl="1">
      <w:start w:val="1"/>
      <w:numFmt w:val="lowerRoman"/>
      <w:pStyle w:val="Numberi"/>
      <w:lvlText w:val="%2)"/>
      <w:lvlJc w:val="left"/>
      <w:pPr>
        <w:ind w:left="908" w:hanging="454"/>
      </w:pPr>
      <w:rPr>
        <w:rFonts w:hint="default"/>
      </w:rPr>
    </w:lvl>
    <w:lvl w:ilvl="2">
      <w:start w:val="1"/>
      <w:numFmt w:val="none"/>
      <w:lvlText w:val=""/>
      <w:lvlJc w:val="left"/>
      <w:pPr>
        <w:ind w:left="1362" w:hanging="454"/>
      </w:pPr>
      <w:rPr>
        <w:rFonts w:hint="default"/>
      </w:rPr>
    </w:lvl>
    <w:lvl w:ilvl="3">
      <w:start w:val="1"/>
      <w:numFmt w:val="none"/>
      <w:lvlText w:val=""/>
      <w:lvlJc w:val="left"/>
      <w:pPr>
        <w:ind w:left="1816" w:hanging="454"/>
      </w:pPr>
      <w:rPr>
        <w:rFonts w:hint="default"/>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
      <w:lvlJc w:val="left"/>
      <w:pPr>
        <w:ind w:left="3178" w:hanging="454"/>
      </w:pPr>
      <w:rPr>
        <w:rFonts w:hint="default"/>
      </w:rPr>
    </w:lvl>
    <w:lvl w:ilvl="7">
      <w:start w:val="1"/>
      <w:numFmt w:val="none"/>
      <w:lvlText w:val=""/>
      <w:lvlJc w:val="left"/>
      <w:pPr>
        <w:ind w:left="3632" w:hanging="454"/>
      </w:pPr>
      <w:rPr>
        <w:rFonts w:hint="default"/>
      </w:rPr>
    </w:lvl>
    <w:lvl w:ilvl="8">
      <w:start w:val="1"/>
      <w:numFmt w:val="none"/>
      <w:lvlText w:val=""/>
      <w:lvlJc w:val="left"/>
      <w:pPr>
        <w:ind w:left="4086" w:hanging="454"/>
      </w:pPr>
      <w:rPr>
        <w:rFonts w:hint="default"/>
      </w:rPr>
    </w:lvl>
  </w:abstractNum>
  <w:abstractNum w:abstractNumId="4" w15:restartNumberingAfterBreak="0">
    <w:nsid w:val="081B22FC"/>
    <w:multiLevelType w:val="multilevel"/>
    <w:tmpl w:val="FA16B990"/>
    <w:styleLink w:val="AureconHeading"/>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0F9E55FC"/>
    <w:multiLevelType w:val="multilevel"/>
    <w:tmpl w:val="63681230"/>
    <w:styleLink w:val="AureconAppendix"/>
    <w:lvl w:ilvl="0">
      <w:start w:val="1"/>
      <w:numFmt w:val="upperLetter"/>
      <w:pStyle w:val="Appendixheading"/>
      <w:suff w:val="nothing"/>
      <w:lvlText w:val="%1"/>
      <w:lvlJc w:val="left"/>
      <w:pPr>
        <w:ind w:left="284" w:firstLine="0"/>
      </w:pPr>
      <w:rPr>
        <w:rFonts w:asciiTheme="majorHAnsi" w:hAnsiTheme="majorHAnsi" w:hint="default"/>
        <w:vanish/>
        <w:color w:val="5F5F5F" w:themeColor="text2"/>
        <w:sz w:val="4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6" w15:restartNumberingAfterBreak="0">
    <w:nsid w:val="121D060E"/>
    <w:multiLevelType w:val="multilevel"/>
    <w:tmpl w:val="363AB630"/>
    <w:styleLink w:val="AureconNumberList"/>
    <w:lvl w:ilvl="0">
      <w:start w:val="1"/>
      <w:numFmt w:val="lowerLetter"/>
      <w:lvlText w:val="%1)"/>
      <w:lvlJc w:val="left"/>
      <w:pPr>
        <w:tabs>
          <w:tab w:val="num" w:pos="284"/>
        </w:tabs>
        <w:ind w:left="284" w:hanging="284"/>
      </w:pPr>
      <w:rPr>
        <w:rFonts w:asciiTheme="minorHAnsi" w:hAnsiTheme="minorHAnsi" w:hint="default"/>
        <w:sz w:val="20"/>
      </w:rPr>
    </w:lvl>
    <w:lvl w:ilvl="1">
      <w:start w:val="1"/>
      <w:numFmt w:val="lowerRoman"/>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1419286E"/>
    <w:multiLevelType w:val="multilevel"/>
    <w:tmpl w:val="19181B88"/>
    <w:styleLink w:val="Aurecon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851" w:hanging="851"/>
      </w:pPr>
      <w:rPr>
        <w:rFonts w:hint="default"/>
      </w:rPr>
    </w:lvl>
    <w:lvl w:ilvl="6">
      <w:start w:val="1"/>
      <w:numFmt w:val="none"/>
      <w:lvlRestart w:val="0"/>
      <w:suff w:val="nothing"/>
      <w:lvlText w:val=""/>
      <w:lvlJc w:val="left"/>
      <w:pPr>
        <w:ind w:left="851" w:hanging="851"/>
      </w:pPr>
      <w:rPr>
        <w:rFonts w:hint="default"/>
        <w:b w:val="0"/>
        <w:i w:val="0"/>
        <w:iCs w:val="0"/>
        <w:caps w:val="0"/>
        <w:smallCaps w:val="0"/>
        <w:strike w:val="0"/>
        <w:dstrike w:val="0"/>
        <w:noProof w:val="0"/>
        <w:vanish w:val="0"/>
        <w:color w:val="00000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8" w15:restartNumberingAfterBreak="0">
    <w:nsid w:val="16BD1538"/>
    <w:multiLevelType w:val="hybridMultilevel"/>
    <w:tmpl w:val="022EDE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7D3BF0"/>
    <w:multiLevelType w:val="multilevel"/>
    <w:tmpl w:val="363AB630"/>
    <w:lvl w:ilvl="0">
      <w:start w:val="1"/>
      <w:numFmt w:val="lowerLetter"/>
      <w:lvlText w:val="%1)"/>
      <w:lvlJc w:val="left"/>
      <w:pPr>
        <w:tabs>
          <w:tab w:val="num" w:pos="284"/>
        </w:tabs>
        <w:ind w:left="284" w:hanging="284"/>
      </w:pPr>
      <w:rPr>
        <w:rFonts w:asciiTheme="minorHAnsi" w:hAnsiTheme="minorHAnsi" w:hint="default"/>
        <w:sz w:val="20"/>
      </w:rPr>
    </w:lvl>
    <w:lvl w:ilvl="1">
      <w:start w:val="1"/>
      <w:numFmt w:val="lowerRoman"/>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0" w15:restartNumberingAfterBreak="0">
    <w:nsid w:val="1C942140"/>
    <w:multiLevelType w:val="hybridMultilevel"/>
    <w:tmpl w:val="9594EB86"/>
    <w:lvl w:ilvl="0" w:tplc="13CCEA9E">
      <w:start w:val="1"/>
      <w:numFmt w:val="bullet"/>
      <w:pStyle w:val="BullettL1PB"/>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6012A0"/>
    <w:multiLevelType w:val="multilevel"/>
    <w:tmpl w:val="63681230"/>
    <w:numStyleLink w:val="AureconAppendix"/>
  </w:abstractNum>
  <w:abstractNum w:abstractNumId="12" w15:restartNumberingAfterBreak="0">
    <w:nsid w:val="27B91640"/>
    <w:multiLevelType w:val="multilevel"/>
    <w:tmpl w:val="363AB630"/>
    <w:lvl w:ilvl="0">
      <w:start w:val="1"/>
      <w:numFmt w:val="lowerLetter"/>
      <w:lvlText w:val="%1)"/>
      <w:lvlJc w:val="left"/>
      <w:pPr>
        <w:tabs>
          <w:tab w:val="num" w:pos="284"/>
        </w:tabs>
        <w:ind w:left="284" w:hanging="284"/>
      </w:pPr>
      <w:rPr>
        <w:rFonts w:asciiTheme="minorHAnsi" w:hAnsiTheme="minorHAnsi" w:hint="default"/>
        <w:sz w:val="20"/>
      </w:rPr>
    </w:lvl>
    <w:lvl w:ilvl="1">
      <w:start w:val="1"/>
      <w:numFmt w:val="lowerRoman"/>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3" w15:restartNumberingAfterBreak="0">
    <w:nsid w:val="32A512BF"/>
    <w:multiLevelType w:val="multilevel"/>
    <w:tmpl w:val="63681230"/>
    <w:numStyleLink w:val="AureconAppendix"/>
  </w:abstractNum>
  <w:abstractNum w:abstractNumId="14" w15:restartNumberingAfterBreak="0">
    <w:nsid w:val="370D3606"/>
    <w:multiLevelType w:val="multilevel"/>
    <w:tmpl w:val="08EE0B38"/>
    <w:numStyleLink w:val="AureconList"/>
  </w:abstractNum>
  <w:abstractNum w:abstractNumId="15" w15:restartNumberingAfterBreak="0">
    <w:nsid w:val="37CE0D9A"/>
    <w:multiLevelType w:val="multilevel"/>
    <w:tmpl w:val="08EE0B38"/>
    <w:numStyleLink w:val="AureconList"/>
  </w:abstractNum>
  <w:abstractNum w:abstractNumId="16" w15:restartNumberingAfterBreak="0">
    <w:nsid w:val="38F25644"/>
    <w:multiLevelType w:val="multilevel"/>
    <w:tmpl w:val="83D891AC"/>
    <w:styleLink w:val="AureconBullets"/>
    <w:lvl w:ilvl="0">
      <w:start w:val="1"/>
      <w:numFmt w:val="bullet"/>
      <w:pStyle w:val="Bullet1"/>
      <w:lvlText w:val=""/>
      <w:lvlJc w:val="left"/>
      <w:pPr>
        <w:ind w:left="284" w:hanging="284"/>
      </w:pPr>
      <w:rPr>
        <w:rFonts w:ascii="Wingdings" w:hAnsi="Wingdings" w:hint="default"/>
        <w:color w:val="7AB800" w:themeColor="accent1"/>
        <w:position w:val="2"/>
        <w:sz w:val="14"/>
      </w:rPr>
    </w:lvl>
    <w:lvl w:ilvl="1">
      <w:start w:val="1"/>
      <w:numFmt w:val="bullet"/>
      <w:pStyle w:val="Bullet2"/>
      <w:lvlText w:val=""/>
      <w:lvlJc w:val="left"/>
      <w:pPr>
        <w:ind w:left="567" w:hanging="283"/>
      </w:pPr>
      <w:rPr>
        <w:rFonts w:ascii="Symbol" w:hAnsi="Symbol" w:hint="default"/>
        <w:color w:val="353D30" w:themeColor="accent2"/>
      </w:rPr>
    </w:lvl>
    <w:lvl w:ilvl="2">
      <w:start w:val="1"/>
      <w:numFmt w:val="bullet"/>
      <w:pStyle w:val="Bullet3"/>
      <w:lvlText w:val=""/>
      <w:lvlJc w:val="left"/>
      <w:pPr>
        <w:ind w:left="851" w:hanging="284"/>
      </w:pPr>
      <w:rPr>
        <w:rFonts w:ascii="Wingdings" w:hAnsi="Wingdings" w:hint="default"/>
        <w:color w:val="5F5F5F" w:themeColor="text2"/>
        <w:position w:val="2"/>
        <w:sz w:val="14"/>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7" w15:restartNumberingAfterBreak="0">
    <w:nsid w:val="48D14942"/>
    <w:multiLevelType w:val="multilevel"/>
    <w:tmpl w:val="363AB630"/>
    <w:lvl w:ilvl="0">
      <w:start w:val="1"/>
      <w:numFmt w:val="lowerLetter"/>
      <w:lvlText w:val="%1)"/>
      <w:lvlJc w:val="left"/>
      <w:pPr>
        <w:tabs>
          <w:tab w:val="num" w:pos="284"/>
        </w:tabs>
        <w:ind w:left="284" w:hanging="284"/>
      </w:pPr>
      <w:rPr>
        <w:rFonts w:asciiTheme="minorHAnsi" w:hAnsiTheme="minorHAnsi" w:hint="default"/>
        <w:sz w:val="20"/>
      </w:rPr>
    </w:lvl>
    <w:lvl w:ilvl="1">
      <w:start w:val="1"/>
      <w:numFmt w:val="lowerRoman"/>
      <w:lvlText w:val="%2)"/>
      <w:lvlJc w:val="left"/>
      <w:pPr>
        <w:tabs>
          <w:tab w:val="num" w:pos="567"/>
        </w:tabs>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4F4C4F3B"/>
    <w:multiLevelType w:val="multilevel"/>
    <w:tmpl w:val="FC5E560A"/>
    <w:styleLink w:val="AureconNumbering"/>
    <w:lvl w:ilvl="0">
      <w:start w:val="1"/>
      <w:numFmt w:val="decimal"/>
      <w:lvlText w:val="%1"/>
      <w:lvlJc w:val="left"/>
      <w:pPr>
        <w:ind w:left="567" w:hanging="567"/>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Restart w:val="0"/>
      <w:suff w:val="nothing"/>
      <w:lvlText w:val=""/>
      <w:lvlJc w:val="left"/>
      <w:pPr>
        <w:ind w:left="0" w:firstLine="0"/>
      </w:pPr>
      <w:rPr>
        <w:rFonts w:hint="default"/>
        <w:b w:val="0"/>
        <w:i w:val="0"/>
        <w:iCs w:val="0"/>
        <w:caps w:val="0"/>
        <w:smallCaps w:val="0"/>
        <w:strike w:val="0"/>
        <w:dstrike w:val="0"/>
        <w:noProof w:val="0"/>
        <w:vanish w:val="0"/>
        <w:color w:val="00000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78A10353"/>
    <w:multiLevelType w:val="hybridMultilevel"/>
    <w:tmpl w:val="561CE8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4"/>
  </w:num>
  <w:num w:numId="4">
    <w:abstractNumId w:val="4"/>
    <w:lvlOverride w:ilvl="1">
      <w:lvl w:ilvl="1">
        <w:start w:val="1"/>
        <w:numFmt w:val="decimal"/>
        <w:pStyle w:val="Heading2"/>
        <w:lvlText w:val="%1.%2"/>
        <w:lvlJc w:val="left"/>
        <w:pPr>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7"/>
    <w:lvlOverride w:ilvl="0">
      <w:lvl w:ilvl="0">
        <w:start w:val="1"/>
        <w:numFmt w:val="lowerLetter"/>
        <w:lvlText w:val="%1)"/>
        <w:lvlJc w:val="left"/>
        <w:pPr>
          <w:tabs>
            <w:tab w:val="num" w:pos="284"/>
          </w:tabs>
          <w:ind w:left="284" w:hanging="284"/>
        </w:pPr>
        <w:rPr>
          <w:rFonts w:asciiTheme="minorHAnsi" w:hAnsiTheme="minorHAnsi" w:hint="default"/>
          <w:sz w:val="16"/>
        </w:rPr>
      </w:lvl>
    </w:lvlOverride>
  </w:num>
  <w:num w:numId="6">
    <w:abstractNumId w:val="0"/>
  </w:num>
  <w:num w:numId="7">
    <w:abstractNumId w:val="3"/>
  </w:num>
  <w:num w:numId="8">
    <w:abstractNumId w:val="14"/>
  </w:num>
  <w:num w:numId="9">
    <w:abstractNumId w:val="15"/>
    <w:lvlOverride w:ilvl="0">
      <w:lvl w:ilvl="0">
        <w:start w:val="1"/>
        <w:numFmt w:val="lowerLetter"/>
        <w:pStyle w:val="Numbera"/>
        <w:lvlText w:val="%1)"/>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pStyle w:val="Numberi"/>
        <w:lvlText w:val="%2)"/>
        <w:lvlJc w:val="left"/>
        <w:pPr>
          <w:ind w:left="908"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7"/>
  </w:num>
  <w:num w:numId="15">
    <w:abstractNumId w:val="7"/>
    <w:lvlOverride w:ilvl="4">
      <w:lvl w:ilvl="4">
        <w:start w:val="1"/>
        <w:numFmt w:val="decimal"/>
        <w:lvlText w:val="%1.%2.%3.%4.%5"/>
        <w:lvlJc w:val="left"/>
        <w:pPr>
          <w:tabs>
            <w:tab w:val="num" w:pos="1134"/>
          </w:tabs>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1"/>
    <w:lvlOverride w:ilvl="4">
      <w:lvl w:ilvl="4">
        <w:start w:val="1"/>
        <w:numFmt w:val="decimal"/>
        <w:lvlText w:val="%1.%2.%3.%4.%5"/>
        <w:lvlJc w:val="left"/>
        <w:pPr>
          <w:ind w:left="851" w:hanging="851"/>
        </w:pPr>
        <w:rPr>
          <w:rFonts w:hint="default"/>
        </w:rPr>
      </w:lvl>
    </w:lvlOverride>
  </w:num>
  <w:num w:numId="17">
    <w:abstractNumId w:val="2"/>
  </w:num>
  <w:num w:numId="18">
    <w:abstractNumId w:val="6"/>
  </w:num>
  <w:num w:numId="19">
    <w:abstractNumId w:val="12"/>
    <w:lvlOverride w:ilvl="0">
      <w:lvl w:ilvl="0">
        <w:start w:val="1"/>
        <w:numFmt w:val="lowerLetter"/>
        <w:lvlText w:val="%1)"/>
        <w:lvlJc w:val="left"/>
        <w:pPr>
          <w:tabs>
            <w:tab w:val="num" w:pos="284"/>
          </w:tabs>
          <w:ind w:left="284" w:hanging="284"/>
        </w:pPr>
        <w:rPr>
          <w:rFonts w:asciiTheme="minorHAnsi" w:hAnsiTheme="minorHAnsi" w:hint="default"/>
          <w:sz w:val="16"/>
        </w:rPr>
      </w:lvl>
    </w:lvlOverride>
  </w:num>
  <w:num w:numId="20">
    <w:abstractNumId w:val="18"/>
  </w:num>
  <w:num w:numId="21">
    <w:abstractNumId w:val="7"/>
    <w:lvlOverride w:ilvl="0">
      <w:lvl w:ilvl="0">
        <w:start w:val="1"/>
        <w:numFmt w:val="decimal"/>
        <w:lvlText w:val="%1"/>
        <w:lvlJc w:val="left"/>
        <w:pPr>
          <w:tabs>
            <w:tab w:val="num" w:pos="9355"/>
          </w:tabs>
          <w:ind w:left="9355" w:hanging="1134"/>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134"/>
          </w:tabs>
          <w:ind w:left="1134" w:hanging="1134"/>
        </w:pPr>
        <w:rPr>
          <w:rFonts w:hint="default"/>
        </w:rPr>
      </w:lvl>
    </w:lvlOverride>
    <w:lvlOverride w:ilvl="5">
      <w:lvl w:ilvl="5">
        <w:start w:val="1"/>
        <w:numFmt w:val="none"/>
        <w:lvlText w:val=""/>
        <w:lvlJc w:val="left"/>
        <w:pPr>
          <w:ind w:left="1134" w:hanging="1134"/>
        </w:pPr>
        <w:rPr>
          <w:rFonts w:hint="default"/>
        </w:rPr>
      </w:lvl>
    </w:lvlOverride>
    <w:lvlOverride w:ilvl="6">
      <w:lvl w:ilvl="6">
        <w:start w:val="1"/>
        <w:numFmt w:val="none"/>
        <w:lvlRestart w:val="0"/>
        <w:suff w:val="nothing"/>
        <w:lvlText w:val=""/>
        <w:lvlJc w:val="left"/>
        <w:pPr>
          <w:ind w:left="1134" w:hanging="1134"/>
        </w:pPr>
        <w:rPr>
          <w:rFonts w:hint="default"/>
          <w:b w:val="0"/>
          <w:i w:val="0"/>
          <w:iCs w:val="0"/>
          <w:caps w:val="0"/>
          <w:smallCaps w:val="0"/>
          <w:strike w:val="0"/>
          <w:dstrike w:val="0"/>
          <w:noProof w:val="0"/>
          <w:vanish w:val="0"/>
          <w:color w:val="00000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start w:val="1"/>
        <w:numFmt w:val="none"/>
        <w:lvlText w:val=""/>
        <w:lvlJc w:val="left"/>
        <w:pPr>
          <w:ind w:left="1134" w:hanging="1134"/>
        </w:pPr>
        <w:rPr>
          <w:rFonts w:hint="default"/>
        </w:rPr>
      </w:lvl>
    </w:lvlOverride>
    <w:lvlOverride w:ilvl="8">
      <w:lvl w:ilvl="8">
        <w:start w:val="1"/>
        <w:numFmt w:val="none"/>
        <w:lvlText w:val=""/>
        <w:lvlJc w:val="left"/>
        <w:pPr>
          <w:ind w:left="1134" w:hanging="1134"/>
        </w:pPr>
        <w:rPr>
          <w:rFonts w:hint="default"/>
        </w:rPr>
      </w:lvl>
    </w:lvlOverride>
  </w:num>
  <w:num w:numId="22">
    <w:abstractNumId w:val="7"/>
    <w:lvlOverride w:ilvl="0">
      <w:lvl w:ilvl="0">
        <w:start w:val="1"/>
        <w:numFmt w:val="decimal"/>
        <w:lvlText w:val="%1"/>
        <w:lvlJc w:val="left"/>
        <w:pPr>
          <w:tabs>
            <w:tab w:val="num" w:pos="1134"/>
          </w:tabs>
          <w:ind w:left="1134" w:hanging="1134"/>
        </w:pPr>
        <w:rPr>
          <w:rFonts w:hint="default"/>
        </w:rPr>
      </w:lvl>
    </w:lvlOverride>
  </w:num>
  <w:num w:numId="23">
    <w:abstractNumId w:val="19"/>
  </w:num>
  <w:num w:numId="24">
    <w:abstractNumId w:val="10"/>
  </w:num>
  <w:num w:numId="25">
    <w:abstractNumId w:val="0"/>
  </w:num>
  <w:num w:numId="2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6AB"/>
    <w:rsid w:val="000013B8"/>
    <w:rsid w:val="0000183B"/>
    <w:rsid w:val="00002246"/>
    <w:rsid w:val="0000423B"/>
    <w:rsid w:val="0000558B"/>
    <w:rsid w:val="0000587E"/>
    <w:rsid w:val="000070BD"/>
    <w:rsid w:val="00010930"/>
    <w:rsid w:val="00011C73"/>
    <w:rsid w:val="00012F03"/>
    <w:rsid w:val="0001356D"/>
    <w:rsid w:val="00013F0B"/>
    <w:rsid w:val="0002035F"/>
    <w:rsid w:val="000204FC"/>
    <w:rsid w:val="000208B5"/>
    <w:rsid w:val="000209E3"/>
    <w:rsid w:val="00020E25"/>
    <w:rsid w:val="000220F8"/>
    <w:rsid w:val="00022C94"/>
    <w:rsid w:val="00023A52"/>
    <w:rsid w:val="000242DC"/>
    <w:rsid w:val="000247A1"/>
    <w:rsid w:val="00024D80"/>
    <w:rsid w:val="000256DC"/>
    <w:rsid w:val="00027B92"/>
    <w:rsid w:val="00027BDC"/>
    <w:rsid w:val="000324FB"/>
    <w:rsid w:val="00032858"/>
    <w:rsid w:val="0003315A"/>
    <w:rsid w:val="000341A7"/>
    <w:rsid w:val="000359F9"/>
    <w:rsid w:val="000415D0"/>
    <w:rsid w:val="000422D8"/>
    <w:rsid w:val="0004459B"/>
    <w:rsid w:val="0004626B"/>
    <w:rsid w:val="00046D50"/>
    <w:rsid w:val="0005165A"/>
    <w:rsid w:val="000523EC"/>
    <w:rsid w:val="00053793"/>
    <w:rsid w:val="000558CA"/>
    <w:rsid w:val="00056078"/>
    <w:rsid w:val="00063071"/>
    <w:rsid w:val="00064867"/>
    <w:rsid w:val="0006710B"/>
    <w:rsid w:val="000672EC"/>
    <w:rsid w:val="00067B88"/>
    <w:rsid w:val="00067F51"/>
    <w:rsid w:val="00070490"/>
    <w:rsid w:val="000705A2"/>
    <w:rsid w:val="000715C9"/>
    <w:rsid w:val="00071F8A"/>
    <w:rsid w:val="00071FDF"/>
    <w:rsid w:val="00073C4D"/>
    <w:rsid w:val="00075A7A"/>
    <w:rsid w:val="00075EA0"/>
    <w:rsid w:val="0007677B"/>
    <w:rsid w:val="00076DAD"/>
    <w:rsid w:val="00076E00"/>
    <w:rsid w:val="000802C6"/>
    <w:rsid w:val="00081EC6"/>
    <w:rsid w:val="00083116"/>
    <w:rsid w:val="0008408B"/>
    <w:rsid w:val="00087856"/>
    <w:rsid w:val="00090997"/>
    <w:rsid w:val="00090E85"/>
    <w:rsid w:val="0009413C"/>
    <w:rsid w:val="0009533B"/>
    <w:rsid w:val="0009553E"/>
    <w:rsid w:val="000956E2"/>
    <w:rsid w:val="00096A7C"/>
    <w:rsid w:val="00097259"/>
    <w:rsid w:val="0009752E"/>
    <w:rsid w:val="000A0FA3"/>
    <w:rsid w:val="000A3664"/>
    <w:rsid w:val="000A4DF6"/>
    <w:rsid w:val="000A5568"/>
    <w:rsid w:val="000A5F92"/>
    <w:rsid w:val="000B1213"/>
    <w:rsid w:val="000B14C1"/>
    <w:rsid w:val="000B4C78"/>
    <w:rsid w:val="000B52BB"/>
    <w:rsid w:val="000B5A59"/>
    <w:rsid w:val="000C24E8"/>
    <w:rsid w:val="000C5407"/>
    <w:rsid w:val="000C5661"/>
    <w:rsid w:val="000C7841"/>
    <w:rsid w:val="000C7ACA"/>
    <w:rsid w:val="000D1D3C"/>
    <w:rsid w:val="000D24C5"/>
    <w:rsid w:val="000D2B30"/>
    <w:rsid w:val="000D2EA4"/>
    <w:rsid w:val="000D4937"/>
    <w:rsid w:val="000D4987"/>
    <w:rsid w:val="000D72B8"/>
    <w:rsid w:val="000D788D"/>
    <w:rsid w:val="000D7C41"/>
    <w:rsid w:val="000D7F13"/>
    <w:rsid w:val="000E2889"/>
    <w:rsid w:val="000E3975"/>
    <w:rsid w:val="000E4275"/>
    <w:rsid w:val="000E4359"/>
    <w:rsid w:val="000E66B7"/>
    <w:rsid w:val="000F182A"/>
    <w:rsid w:val="000F1CC3"/>
    <w:rsid w:val="000F35AF"/>
    <w:rsid w:val="000F567C"/>
    <w:rsid w:val="000F5B5B"/>
    <w:rsid w:val="000F5F56"/>
    <w:rsid w:val="000F61F8"/>
    <w:rsid w:val="000F660F"/>
    <w:rsid w:val="001021DB"/>
    <w:rsid w:val="001021FE"/>
    <w:rsid w:val="001028C1"/>
    <w:rsid w:val="00103415"/>
    <w:rsid w:val="00104A7D"/>
    <w:rsid w:val="00104AED"/>
    <w:rsid w:val="00107939"/>
    <w:rsid w:val="00111E7E"/>
    <w:rsid w:val="00112576"/>
    <w:rsid w:val="00112EE0"/>
    <w:rsid w:val="00112F48"/>
    <w:rsid w:val="001130D4"/>
    <w:rsid w:val="001145F9"/>
    <w:rsid w:val="0011719C"/>
    <w:rsid w:val="0012133F"/>
    <w:rsid w:val="001228E1"/>
    <w:rsid w:val="0012335E"/>
    <w:rsid w:val="001244C2"/>
    <w:rsid w:val="0012536F"/>
    <w:rsid w:val="001261A9"/>
    <w:rsid w:val="001266D5"/>
    <w:rsid w:val="001306ED"/>
    <w:rsid w:val="001311DD"/>
    <w:rsid w:val="00132D05"/>
    <w:rsid w:val="00132F30"/>
    <w:rsid w:val="00133B87"/>
    <w:rsid w:val="00133CAF"/>
    <w:rsid w:val="00135B80"/>
    <w:rsid w:val="00137988"/>
    <w:rsid w:val="001461D0"/>
    <w:rsid w:val="00147C53"/>
    <w:rsid w:val="0015098D"/>
    <w:rsid w:val="001511A9"/>
    <w:rsid w:val="001523B0"/>
    <w:rsid w:val="00152E98"/>
    <w:rsid w:val="0015320F"/>
    <w:rsid w:val="001541E6"/>
    <w:rsid w:val="001542ED"/>
    <w:rsid w:val="001543CA"/>
    <w:rsid w:val="00156812"/>
    <w:rsid w:val="00157AD8"/>
    <w:rsid w:val="001611A3"/>
    <w:rsid w:val="001624F8"/>
    <w:rsid w:val="00163212"/>
    <w:rsid w:val="00165F53"/>
    <w:rsid w:val="00166DC6"/>
    <w:rsid w:val="001676F5"/>
    <w:rsid w:val="0016777E"/>
    <w:rsid w:val="001735C1"/>
    <w:rsid w:val="0017407B"/>
    <w:rsid w:val="00174B7B"/>
    <w:rsid w:val="00176045"/>
    <w:rsid w:val="00176319"/>
    <w:rsid w:val="0017655E"/>
    <w:rsid w:val="00176B67"/>
    <w:rsid w:val="001773E6"/>
    <w:rsid w:val="00181BB0"/>
    <w:rsid w:val="00183189"/>
    <w:rsid w:val="00183DCA"/>
    <w:rsid w:val="00183E50"/>
    <w:rsid w:val="001911C9"/>
    <w:rsid w:val="001931CF"/>
    <w:rsid w:val="001937AE"/>
    <w:rsid w:val="00195EC0"/>
    <w:rsid w:val="00196D4C"/>
    <w:rsid w:val="001A0276"/>
    <w:rsid w:val="001A0C13"/>
    <w:rsid w:val="001A23C6"/>
    <w:rsid w:val="001A4CDB"/>
    <w:rsid w:val="001A4F5B"/>
    <w:rsid w:val="001A5435"/>
    <w:rsid w:val="001A698A"/>
    <w:rsid w:val="001A73CA"/>
    <w:rsid w:val="001A7E91"/>
    <w:rsid w:val="001B1012"/>
    <w:rsid w:val="001B1C34"/>
    <w:rsid w:val="001B2C51"/>
    <w:rsid w:val="001B39EA"/>
    <w:rsid w:val="001B41E6"/>
    <w:rsid w:val="001B4516"/>
    <w:rsid w:val="001B47B7"/>
    <w:rsid w:val="001B5010"/>
    <w:rsid w:val="001B5418"/>
    <w:rsid w:val="001B6724"/>
    <w:rsid w:val="001B73A6"/>
    <w:rsid w:val="001C009F"/>
    <w:rsid w:val="001C094E"/>
    <w:rsid w:val="001C57E1"/>
    <w:rsid w:val="001C68A5"/>
    <w:rsid w:val="001D0731"/>
    <w:rsid w:val="001D1645"/>
    <w:rsid w:val="001D183B"/>
    <w:rsid w:val="001D3A46"/>
    <w:rsid w:val="001D4184"/>
    <w:rsid w:val="001D4A09"/>
    <w:rsid w:val="001D4E43"/>
    <w:rsid w:val="001D5697"/>
    <w:rsid w:val="001D56E1"/>
    <w:rsid w:val="001D6218"/>
    <w:rsid w:val="001D728A"/>
    <w:rsid w:val="001D72E8"/>
    <w:rsid w:val="001E1FB1"/>
    <w:rsid w:val="001E5761"/>
    <w:rsid w:val="001E5AC8"/>
    <w:rsid w:val="001E5BA0"/>
    <w:rsid w:val="001E661D"/>
    <w:rsid w:val="001E6803"/>
    <w:rsid w:val="001F1FCD"/>
    <w:rsid w:val="001F44A3"/>
    <w:rsid w:val="001F49AB"/>
    <w:rsid w:val="001F5DC1"/>
    <w:rsid w:val="001F632E"/>
    <w:rsid w:val="001F6415"/>
    <w:rsid w:val="001F77CB"/>
    <w:rsid w:val="002013C3"/>
    <w:rsid w:val="00201B95"/>
    <w:rsid w:val="00201D8F"/>
    <w:rsid w:val="00202139"/>
    <w:rsid w:val="002027F9"/>
    <w:rsid w:val="00204084"/>
    <w:rsid w:val="002050FD"/>
    <w:rsid w:val="00206598"/>
    <w:rsid w:val="0021179E"/>
    <w:rsid w:val="002147BA"/>
    <w:rsid w:val="00215F9F"/>
    <w:rsid w:val="00220932"/>
    <w:rsid w:val="002230F2"/>
    <w:rsid w:val="00223664"/>
    <w:rsid w:val="00226541"/>
    <w:rsid w:val="002272A1"/>
    <w:rsid w:val="00227E7C"/>
    <w:rsid w:val="00230381"/>
    <w:rsid w:val="00231B71"/>
    <w:rsid w:val="0024060F"/>
    <w:rsid w:val="002418DA"/>
    <w:rsid w:val="00241DC2"/>
    <w:rsid w:val="0024235B"/>
    <w:rsid w:val="002423BB"/>
    <w:rsid w:val="00242CBE"/>
    <w:rsid w:val="00245A87"/>
    <w:rsid w:val="00246663"/>
    <w:rsid w:val="00247A8B"/>
    <w:rsid w:val="0025007B"/>
    <w:rsid w:val="00250838"/>
    <w:rsid w:val="00250873"/>
    <w:rsid w:val="0025220D"/>
    <w:rsid w:val="00253A2D"/>
    <w:rsid w:val="00256378"/>
    <w:rsid w:val="002569AB"/>
    <w:rsid w:val="00260365"/>
    <w:rsid w:val="002606D6"/>
    <w:rsid w:val="0026076A"/>
    <w:rsid w:val="00262C70"/>
    <w:rsid w:val="00263635"/>
    <w:rsid w:val="00264E51"/>
    <w:rsid w:val="00267423"/>
    <w:rsid w:val="002700F9"/>
    <w:rsid w:val="00271413"/>
    <w:rsid w:val="00271CF9"/>
    <w:rsid w:val="0027278D"/>
    <w:rsid w:val="00275171"/>
    <w:rsid w:val="0027563A"/>
    <w:rsid w:val="002761CE"/>
    <w:rsid w:val="00276E6C"/>
    <w:rsid w:val="00277435"/>
    <w:rsid w:val="00280414"/>
    <w:rsid w:val="002809BD"/>
    <w:rsid w:val="00280E2F"/>
    <w:rsid w:val="002817DB"/>
    <w:rsid w:val="00282310"/>
    <w:rsid w:val="002838E1"/>
    <w:rsid w:val="002844D2"/>
    <w:rsid w:val="002848B9"/>
    <w:rsid w:val="00287987"/>
    <w:rsid w:val="002901D5"/>
    <w:rsid w:val="0029201A"/>
    <w:rsid w:val="00292A08"/>
    <w:rsid w:val="00292B18"/>
    <w:rsid w:val="00292FE2"/>
    <w:rsid w:val="0029316C"/>
    <w:rsid w:val="00294232"/>
    <w:rsid w:val="002945E3"/>
    <w:rsid w:val="00294CEB"/>
    <w:rsid w:val="00294E56"/>
    <w:rsid w:val="00295CBC"/>
    <w:rsid w:val="002962A2"/>
    <w:rsid w:val="00296346"/>
    <w:rsid w:val="00296386"/>
    <w:rsid w:val="002A1555"/>
    <w:rsid w:val="002A2494"/>
    <w:rsid w:val="002A279D"/>
    <w:rsid w:val="002A501E"/>
    <w:rsid w:val="002A5F50"/>
    <w:rsid w:val="002A7B0A"/>
    <w:rsid w:val="002B00CE"/>
    <w:rsid w:val="002B3924"/>
    <w:rsid w:val="002B3D3A"/>
    <w:rsid w:val="002B5472"/>
    <w:rsid w:val="002B55F5"/>
    <w:rsid w:val="002B6237"/>
    <w:rsid w:val="002B68F9"/>
    <w:rsid w:val="002B73A3"/>
    <w:rsid w:val="002C0F80"/>
    <w:rsid w:val="002C36CB"/>
    <w:rsid w:val="002C4417"/>
    <w:rsid w:val="002C4EB3"/>
    <w:rsid w:val="002C54FC"/>
    <w:rsid w:val="002C68C9"/>
    <w:rsid w:val="002D210E"/>
    <w:rsid w:val="002D2C6D"/>
    <w:rsid w:val="002D7BA3"/>
    <w:rsid w:val="002E0AC1"/>
    <w:rsid w:val="002E11EC"/>
    <w:rsid w:val="002E23B0"/>
    <w:rsid w:val="002E2D26"/>
    <w:rsid w:val="002E4E3A"/>
    <w:rsid w:val="002E50DE"/>
    <w:rsid w:val="002E5A37"/>
    <w:rsid w:val="002F0143"/>
    <w:rsid w:val="002F113A"/>
    <w:rsid w:val="002F12F0"/>
    <w:rsid w:val="002F4A04"/>
    <w:rsid w:val="002F7117"/>
    <w:rsid w:val="002F72E2"/>
    <w:rsid w:val="00300585"/>
    <w:rsid w:val="00301AD9"/>
    <w:rsid w:val="003027A4"/>
    <w:rsid w:val="00303D82"/>
    <w:rsid w:val="00303E9F"/>
    <w:rsid w:val="00305204"/>
    <w:rsid w:val="00305B91"/>
    <w:rsid w:val="003075CD"/>
    <w:rsid w:val="00311743"/>
    <w:rsid w:val="003120AB"/>
    <w:rsid w:val="00312DFA"/>
    <w:rsid w:val="0031413E"/>
    <w:rsid w:val="0031423D"/>
    <w:rsid w:val="00315051"/>
    <w:rsid w:val="00316866"/>
    <w:rsid w:val="00316BEC"/>
    <w:rsid w:val="003212C2"/>
    <w:rsid w:val="00321BF3"/>
    <w:rsid w:val="003222C2"/>
    <w:rsid w:val="0032243B"/>
    <w:rsid w:val="003232D0"/>
    <w:rsid w:val="00323460"/>
    <w:rsid w:val="0032425C"/>
    <w:rsid w:val="003245F8"/>
    <w:rsid w:val="00325583"/>
    <w:rsid w:val="00325632"/>
    <w:rsid w:val="00325B76"/>
    <w:rsid w:val="00327504"/>
    <w:rsid w:val="003304CE"/>
    <w:rsid w:val="00330622"/>
    <w:rsid w:val="003318E0"/>
    <w:rsid w:val="0033323C"/>
    <w:rsid w:val="0033488B"/>
    <w:rsid w:val="00334C66"/>
    <w:rsid w:val="003361F6"/>
    <w:rsid w:val="0033668A"/>
    <w:rsid w:val="003407F0"/>
    <w:rsid w:val="00340B05"/>
    <w:rsid w:val="003410E8"/>
    <w:rsid w:val="00341648"/>
    <w:rsid w:val="0034288B"/>
    <w:rsid w:val="00342EA2"/>
    <w:rsid w:val="00345AF6"/>
    <w:rsid w:val="00347C36"/>
    <w:rsid w:val="00350425"/>
    <w:rsid w:val="0035279A"/>
    <w:rsid w:val="0035347C"/>
    <w:rsid w:val="0035452B"/>
    <w:rsid w:val="00354570"/>
    <w:rsid w:val="00355191"/>
    <w:rsid w:val="00355CBB"/>
    <w:rsid w:val="00357CBD"/>
    <w:rsid w:val="00360BE8"/>
    <w:rsid w:val="003612BC"/>
    <w:rsid w:val="003615F4"/>
    <w:rsid w:val="00361D0C"/>
    <w:rsid w:val="00363BE4"/>
    <w:rsid w:val="0036496B"/>
    <w:rsid w:val="00366391"/>
    <w:rsid w:val="00366F79"/>
    <w:rsid w:val="00370B8B"/>
    <w:rsid w:val="0037174B"/>
    <w:rsid w:val="00371F6E"/>
    <w:rsid w:val="00372B49"/>
    <w:rsid w:val="003771AA"/>
    <w:rsid w:val="003774AD"/>
    <w:rsid w:val="003776E3"/>
    <w:rsid w:val="00377A5A"/>
    <w:rsid w:val="00380759"/>
    <w:rsid w:val="00380FEA"/>
    <w:rsid w:val="00381E16"/>
    <w:rsid w:val="00382B68"/>
    <w:rsid w:val="003839AA"/>
    <w:rsid w:val="00384692"/>
    <w:rsid w:val="00384EBE"/>
    <w:rsid w:val="0039018E"/>
    <w:rsid w:val="00391D0E"/>
    <w:rsid w:val="00391D6C"/>
    <w:rsid w:val="003920F0"/>
    <w:rsid w:val="00394141"/>
    <w:rsid w:val="00394563"/>
    <w:rsid w:val="00394B40"/>
    <w:rsid w:val="00394F8A"/>
    <w:rsid w:val="00395079"/>
    <w:rsid w:val="003975FE"/>
    <w:rsid w:val="003A08C1"/>
    <w:rsid w:val="003A0C2D"/>
    <w:rsid w:val="003A156D"/>
    <w:rsid w:val="003A38F9"/>
    <w:rsid w:val="003A4D60"/>
    <w:rsid w:val="003A530B"/>
    <w:rsid w:val="003A58F1"/>
    <w:rsid w:val="003A71DE"/>
    <w:rsid w:val="003B04E9"/>
    <w:rsid w:val="003B0930"/>
    <w:rsid w:val="003B23CF"/>
    <w:rsid w:val="003B449F"/>
    <w:rsid w:val="003B611B"/>
    <w:rsid w:val="003B648E"/>
    <w:rsid w:val="003B6B27"/>
    <w:rsid w:val="003B6D1B"/>
    <w:rsid w:val="003C02D0"/>
    <w:rsid w:val="003C191F"/>
    <w:rsid w:val="003C1CA0"/>
    <w:rsid w:val="003C3FC0"/>
    <w:rsid w:val="003C4359"/>
    <w:rsid w:val="003C46B7"/>
    <w:rsid w:val="003C49A6"/>
    <w:rsid w:val="003C4FBA"/>
    <w:rsid w:val="003C5292"/>
    <w:rsid w:val="003D03B2"/>
    <w:rsid w:val="003D1F0B"/>
    <w:rsid w:val="003D27B1"/>
    <w:rsid w:val="003D3109"/>
    <w:rsid w:val="003D33C7"/>
    <w:rsid w:val="003D3B3C"/>
    <w:rsid w:val="003D6412"/>
    <w:rsid w:val="003D7F13"/>
    <w:rsid w:val="003E1607"/>
    <w:rsid w:val="003E2759"/>
    <w:rsid w:val="003E48B8"/>
    <w:rsid w:val="003E55D7"/>
    <w:rsid w:val="003E5E01"/>
    <w:rsid w:val="003E71C8"/>
    <w:rsid w:val="003E728B"/>
    <w:rsid w:val="003E7503"/>
    <w:rsid w:val="003E7BDF"/>
    <w:rsid w:val="003F04AE"/>
    <w:rsid w:val="003F12DD"/>
    <w:rsid w:val="003F24B7"/>
    <w:rsid w:val="00402405"/>
    <w:rsid w:val="00402F0E"/>
    <w:rsid w:val="00403489"/>
    <w:rsid w:val="004034D4"/>
    <w:rsid w:val="0040393B"/>
    <w:rsid w:val="00406EC9"/>
    <w:rsid w:val="00407D42"/>
    <w:rsid w:val="00412AF1"/>
    <w:rsid w:val="0041475D"/>
    <w:rsid w:val="004148C7"/>
    <w:rsid w:val="004168D6"/>
    <w:rsid w:val="00416F10"/>
    <w:rsid w:val="0041770E"/>
    <w:rsid w:val="0042189D"/>
    <w:rsid w:val="0042237A"/>
    <w:rsid w:val="004229B7"/>
    <w:rsid w:val="0042427B"/>
    <w:rsid w:val="004273DB"/>
    <w:rsid w:val="00431101"/>
    <w:rsid w:val="00431C31"/>
    <w:rsid w:val="00431EC2"/>
    <w:rsid w:val="00432781"/>
    <w:rsid w:val="004327D2"/>
    <w:rsid w:val="00433885"/>
    <w:rsid w:val="00435FE1"/>
    <w:rsid w:val="00437345"/>
    <w:rsid w:val="004377D4"/>
    <w:rsid w:val="00440C5C"/>
    <w:rsid w:val="00441818"/>
    <w:rsid w:val="00441BAD"/>
    <w:rsid w:val="00441BC5"/>
    <w:rsid w:val="00443BC4"/>
    <w:rsid w:val="00444699"/>
    <w:rsid w:val="0044563E"/>
    <w:rsid w:val="00446A6E"/>
    <w:rsid w:val="004526D6"/>
    <w:rsid w:val="004534DB"/>
    <w:rsid w:val="00453E25"/>
    <w:rsid w:val="00454C61"/>
    <w:rsid w:val="00456B92"/>
    <w:rsid w:val="004601CA"/>
    <w:rsid w:val="00460765"/>
    <w:rsid w:val="0046219F"/>
    <w:rsid w:val="00462A2F"/>
    <w:rsid w:val="00463E35"/>
    <w:rsid w:val="0046454B"/>
    <w:rsid w:val="00464B66"/>
    <w:rsid w:val="00464C7F"/>
    <w:rsid w:val="00467E53"/>
    <w:rsid w:val="00470D29"/>
    <w:rsid w:val="00470D6C"/>
    <w:rsid w:val="00472C98"/>
    <w:rsid w:val="0047386F"/>
    <w:rsid w:val="00475B75"/>
    <w:rsid w:val="00480227"/>
    <w:rsid w:val="0048155D"/>
    <w:rsid w:val="00481AE1"/>
    <w:rsid w:val="00481BB6"/>
    <w:rsid w:val="00482550"/>
    <w:rsid w:val="00483761"/>
    <w:rsid w:val="00484C1F"/>
    <w:rsid w:val="004864DD"/>
    <w:rsid w:val="00486EAA"/>
    <w:rsid w:val="00490AA2"/>
    <w:rsid w:val="00490B0F"/>
    <w:rsid w:val="004918E3"/>
    <w:rsid w:val="00491FBC"/>
    <w:rsid w:val="0049237E"/>
    <w:rsid w:val="004923F8"/>
    <w:rsid w:val="00492F5F"/>
    <w:rsid w:val="004938A1"/>
    <w:rsid w:val="004949C2"/>
    <w:rsid w:val="00494BCD"/>
    <w:rsid w:val="004953DC"/>
    <w:rsid w:val="00496C59"/>
    <w:rsid w:val="004A32DE"/>
    <w:rsid w:val="004A3868"/>
    <w:rsid w:val="004A59CF"/>
    <w:rsid w:val="004A6EE7"/>
    <w:rsid w:val="004A7AF9"/>
    <w:rsid w:val="004B11AD"/>
    <w:rsid w:val="004B36B4"/>
    <w:rsid w:val="004B376A"/>
    <w:rsid w:val="004B45A8"/>
    <w:rsid w:val="004B4B3E"/>
    <w:rsid w:val="004B51B1"/>
    <w:rsid w:val="004B578F"/>
    <w:rsid w:val="004B6030"/>
    <w:rsid w:val="004B60C4"/>
    <w:rsid w:val="004B7EA2"/>
    <w:rsid w:val="004B7EB5"/>
    <w:rsid w:val="004C0057"/>
    <w:rsid w:val="004C172F"/>
    <w:rsid w:val="004C1DCF"/>
    <w:rsid w:val="004C2CA6"/>
    <w:rsid w:val="004C2DD9"/>
    <w:rsid w:val="004C556E"/>
    <w:rsid w:val="004C6495"/>
    <w:rsid w:val="004C6509"/>
    <w:rsid w:val="004C78AD"/>
    <w:rsid w:val="004D18E1"/>
    <w:rsid w:val="004D3759"/>
    <w:rsid w:val="004D3B5A"/>
    <w:rsid w:val="004D4E3D"/>
    <w:rsid w:val="004D5BC9"/>
    <w:rsid w:val="004D60EA"/>
    <w:rsid w:val="004D74FC"/>
    <w:rsid w:val="004D7885"/>
    <w:rsid w:val="004D7D42"/>
    <w:rsid w:val="004E22C0"/>
    <w:rsid w:val="004E4502"/>
    <w:rsid w:val="004E4571"/>
    <w:rsid w:val="004E551C"/>
    <w:rsid w:val="004E5851"/>
    <w:rsid w:val="004E592C"/>
    <w:rsid w:val="004F14FA"/>
    <w:rsid w:val="004F337A"/>
    <w:rsid w:val="004F344E"/>
    <w:rsid w:val="004F34DD"/>
    <w:rsid w:val="004F3634"/>
    <w:rsid w:val="004F36CB"/>
    <w:rsid w:val="004F448F"/>
    <w:rsid w:val="004F5F32"/>
    <w:rsid w:val="004F6FA1"/>
    <w:rsid w:val="004F7CEB"/>
    <w:rsid w:val="005003B3"/>
    <w:rsid w:val="00501085"/>
    <w:rsid w:val="005012E1"/>
    <w:rsid w:val="0050299C"/>
    <w:rsid w:val="00503110"/>
    <w:rsid w:val="005031CB"/>
    <w:rsid w:val="00503782"/>
    <w:rsid w:val="00503D71"/>
    <w:rsid w:val="005065AB"/>
    <w:rsid w:val="00507307"/>
    <w:rsid w:val="00510B62"/>
    <w:rsid w:val="00510BF2"/>
    <w:rsid w:val="005121FD"/>
    <w:rsid w:val="00512AD0"/>
    <w:rsid w:val="00513D13"/>
    <w:rsid w:val="00513F48"/>
    <w:rsid w:val="00515984"/>
    <w:rsid w:val="00515D5A"/>
    <w:rsid w:val="00517060"/>
    <w:rsid w:val="00520A60"/>
    <w:rsid w:val="00521FE7"/>
    <w:rsid w:val="00522BAD"/>
    <w:rsid w:val="00525D4B"/>
    <w:rsid w:val="00526E87"/>
    <w:rsid w:val="0052778C"/>
    <w:rsid w:val="00530C93"/>
    <w:rsid w:val="00531FAB"/>
    <w:rsid w:val="005328FE"/>
    <w:rsid w:val="00535FDE"/>
    <w:rsid w:val="005431D5"/>
    <w:rsid w:val="005436AB"/>
    <w:rsid w:val="005447F1"/>
    <w:rsid w:val="00545975"/>
    <w:rsid w:val="0054690D"/>
    <w:rsid w:val="00550924"/>
    <w:rsid w:val="00553582"/>
    <w:rsid w:val="005537A1"/>
    <w:rsid w:val="00554038"/>
    <w:rsid w:val="0055483C"/>
    <w:rsid w:val="0056018F"/>
    <w:rsid w:val="00561192"/>
    <w:rsid w:val="00561642"/>
    <w:rsid w:val="00562395"/>
    <w:rsid w:val="00563FFA"/>
    <w:rsid w:val="0056408E"/>
    <w:rsid w:val="00564170"/>
    <w:rsid w:val="00564D87"/>
    <w:rsid w:val="00566FB1"/>
    <w:rsid w:val="005708F6"/>
    <w:rsid w:val="00572C77"/>
    <w:rsid w:val="00572D2B"/>
    <w:rsid w:val="005735C9"/>
    <w:rsid w:val="00574978"/>
    <w:rsid w:val="005775F7"/>
    <w:rsid w:val="005806CF"/>
    <w:rsid w:val="005812DD"/>
    <w:rsid w:val="00581A7B"/>
    <w:rsid w:val="00584C8E"/>
    <w:rsid w:val="00584DB3"/>
    <w:rsid w:val="00586128"/>
    <w:rsid w:val="00586B58"/>
    <w:rsid w:val="005913F3"/>
    <w:rsid w:val="00591A54"/>
    <w:rsid w:val="00594B0A"/>
    <w:rsid w:val="005956F8"/>
    <w:rsid w:val="0059598C"/>
    <w:rsid w:val="005A27A7"/>
    <w:rsid w:val="005A289D"/>
    <w:rsid w:val="005A3770"/>
    <w:rsid w:val="005A4AA7"/>
    <w:rsid w:val="005A5732"/>
    <w:rsid w:val="005A6032"/>
    <w:rsid w:val="005B1BF6"/>
    <w:rsid w:val="005B1EB1"/>
    <w:rsid w:val="005B23D2"/>
    <w:rsid w:val="005B268C"/>
    <w:rsid w:val="005B29F0"/>
    <w:rsid w:val="005B47B4"/>
    <w:rsid w:val="005B56B9"/>
    <w:rsid w:val="005C07A7"/>
    <w:rsid w:val="005C161F"/>
    <w:rsid w:val="005C214A"/>
    <w:rsid w:val="005C294E"/>
    <w:rsid w:val="005C3A3D"/>
    <w:rsid w:val="005C3DBA"/>
    <w:rsid w:val="005C6A21"/>
    <w:rsid w:val="005C6CF1"/>
    <w:rsid w:val="005D03FB"/>
    <w:rsid w:val="005D0B4F"/>
    <w:rsid w:val="005D0C59"/>
    <w:rsid w:val="005D15B2"/>
    <w:rsid w:val="005D178A"/>
    <w:rsid w:val="005D191E"/>
    <w:rsid w:val="005D1D37"/>
    <w:rsid w:val="005D39D3"/>
    <w:rsid w:val="005D4667"/>
    <w:rsid w:val="005E2557"/>
    <w:rsid w:val="005E2C19"/>
    <w:rsid w:val="005E39D9"/>
    <w:rsid w:val="005E4BB5"/>
    <w:rsid w:val="005E4E17"/>
    <w:rsid w:val="005F2234"/>
    <w:rsid w:val="005F27E8"/>
    <w:rsid w:val="005F3DF9"/>
    <w:rsid w:val="005F3F16"/>
    <w:rsid w:val="005F53F2"/>
    <w:rsid w:val="00600C61"/>
    <w:rsid w:val="00601E5B"/>
    <w:rsid w:val="00610374"/>
    <w:rsid w:val="00614388"/>
    <w:rsid w:val="006169F0"/>
    <w:rsid w:val="00617DBB"/>
    <w:rsid w:val="00617ED6"/>
    <w:rsid w:val="00621896"/>
    <w:rsid w:val="00621E1D"/>
    <w:rsid w:val="0062307C"/>
    <w:rsid w:val="0062438F"/>
    <w:rsid w:val="006249ED"/>
    <w:rsid w:val="00625DE0"/>
    <w:rsid w:val="00630ECF"/>
    <w:rsid w:val="006312C4"/>
    <w:rsid w:val="00631645"/>
    <w:rsid w:val="00632747"/>
    <w:rsid w:val="00634896"/>
    <w:rsid w:val="00634AA6"/>
    <w:rsid w:val="006350B7"/>
    <w:rsid w:val="00635E21"/>
    <w:rsid w:val="00635F24"/>
    <w:rsid w:val="00637E50"/>
    <w:rsid w:val="00637E5A"/>
    <w:rsid w:val="00640CCD"/>
    <w:rsid w:val="00641B82"/>
    <w:rsid w:val="006433F1"/>
    <w:rsid w:val="00645D3D"/>
    <w:rsid w:val="00645FE9"/>
    <w:rsid w:val="00647417"/>
    <w:rsid w:val="00650613"/>
    <w:rsid w:val="00650948"/>
    <w:rsid w:val="0065110F"/>
    <w:rsid w:val="00651781"/>
    <w:rsid w:val="0065203E"/>
    <w:rsid w:val="00653B85"/>
    <w:rsid w:val="00654830"/>
    <w:rsid w:val="00654C20"/>
    <w:rsid w:val="006570AE"/>
    <w:rsid w:val="006604A7"/>
    <w:rsid w:val="00660F5D"/>
    <w:rsid w:val="006622D3"/>
    <w:rsid w:val="0066320E"/>
    <w:rsid w:val="00663E98"/>
    <w:rsid w:val="00664827"/>
    <w:rsid w:val="00664E88"/>
    <w:rsid w:val="0066528D"/>
    <w:rsid w:val="00667B23"/>
    <w:rsid w:val="00672D13"/>
    <w:rsid w:val="00673195"/>
    <w:rsid w:val="006739C1"/>
    <w:rsid w:val="006837A3"/>
    <w:rsid w:val="006841AB"/>
    <w:rsid w:val="00684460"/>
    <w:rsid w:val="00687490"/>
    <w:rsid w:val="006876E2"/>
    <w:rsid w:val="00687AF0"/>
    <w:rsid w:val="00687B00"/>
    <w:rsid w:val="00692E82"/>
    <w:rsid w:val="006951A8"/>
    <w:rsid w:val="00696033"/>
    <w:rsid w:val="006A19B8"/>
    <w:rsid w:val="006A1B36"/>
    <w:rsid w:val="006A2243"/>
    <w:rsid w:val="006A22A9"/>
    <w:rsid w:val="006A33B5"/>
    <w:rsid w:val="006A3492"/>
    <w:rsid w:val="006A360E"/>
    <w:rsid w:val="006A5EA5"/>
    <w:rsid w:val="006A66EE"/>
    <w:rsid w:val="006A71ED"/>
    <w:rsid w:val="006B50FF"/>
    <w:rsid w:val="006B564B"/>
    <w:rsid w:val="006B79DE"/>
    <w:rsid w:val="006B7D2B"/>
    <w:rsid w:val="006C02E4"/>
    <w:rsid w:val="006C0E5D"/>
    <w:rsid w:val="006C1428"/>
    <w:rsid w:val="006C1970"/>
    <w:rsid w:val="006C1CEA"/>
    <w:rsid w:val="006C3D59"/>
    <w:rsid w:val="006C43C8"/>
    <w:rsid w:val="006D038A"/>
    <w:rsid w:val="006D21D7"/>
    <w:rsid w:val="006D5621"/>
    <w:rsid w:val="006D5A28"/>
    <w:rsid w:val="006D615B"/>
    <w:rsid w:val="006D700F"/>
    <w:rsid w:val="006E132C"/>
    <w:rsid w:val="006E21D8"/>
    <w:rsid w:val="006E2DD9"/>
    <w:rsid w:val="006E4303"/>
    <w:rsid w:val="006E5CC1"/>
    <w:rsid w:val="006E6B26"/>
    <w:rsid w:val="006F0E94"/>
    <w:rsid w:val="006F0FB0"/>
    <w:rsid w:val="006F2E67"/>
    <w:rsid w:val="006F2F74"/>
    <w:rsid w:val="006F3398"/>
    <w:rsid w:val="006F5676"/>
    <w:rsid w:val="006F6984"/>
    <w:rsid w:val="006F796C"/>
    <w:rsid w:val="007002D5"/>
    <w:rsid w:val="00703BDE"/>
    <w:rsid w:val="007043A1"/>
    <w:rsid w:val="007059BA"/>
    <w:rsid w:val="00705AF4"/>
    <w:rsid w:val="007116C2"/>
    <w:rsid w:val="00712070"/>
    <w:rsid w:val="0071354A"/>
    <w:rsid w:val="00713F07"/>
    <w:rsid w:val="00716190"/>
    <w:rsid w:val="00716B13"/>
    <w:rsid w:val="00717567"/>
    <w:rsid w:val="0072149F"/>
    <w:rsid w:val="00722AF6"/>
    <w:rsid w:val="00723813"/>
    <w:rsid w:val="0072393F"/>
    <w:rsid w:val="00724546"/>
    <w:rsid w:val="00727605"/>
    <w:rsid w:val="00727ECC"/>
    <w:rsid w:val="00731000"/>
    <w:rsid w:val="0073146F"/>
    <w:rsid w:val="0073167B"/>
    <w:rsid w:val="00731F44"/>
    <w:rsid w:val="007331C3"/>
    <w:rsid w:val="0073461F"/>
    <w:rsid w:val="00734C21"/>
    <w:rsid w:val="00736CED"/>
    <w:rsid w:val="00737973"/>
    <w:rsid w:val="007405F7"/>
    <w:rsid w:val="00741A93"/>
    <w:rsid w:val="00744F80"/>
    <w:rsid w:val="0074533C"/>
    <w:rsid w:val="00746EDF"/>
    <w:rsid w:val="00747AB1"/>
    <w:rsid w:val="0075020D"/>
    <w:rsid w:val="007504A9"/>
    <w:rsid w:val="007504D9"/>
    <w:rsid w:val="00751C7B"/>
    <w:rsid w:val="00752A0A"/>
    <w:rsid w:val="00754100"/>
    <w:rsid w:val="0075445A"/>
    <w:rsid w:val="00754607"/>
    <w:rsid w:val="00754EDB"/>
    <w:rsid w:val="007551E4"/>
    <w:rsid w:val="00757576"/>
    <w:rsid w:val="007620DB"/>
    <w:rsid w:val="007627BC"/>
    <w:rsid w:val="00763292"/>
    <w:rsid w:val="00764981"/>
    <w:rsid w:val="0076680F"/>
    <w:rsid w:val="00766B36"/>
    <w:rsid w:val="0076710C"/>
    <w:rsid w:val="00771DBB"/>
    <w:rsid w:val="00772663"/>
    <w:rsid w:val="00773220"/>
    <w:rsid w:val="00773442"/>
    <w:rsid w:val="00773D78"/>
    <w:rsid w:val="00773FE9"/>
    <w:rsid w:val="00775917"/>
    <w:rsid w:val="007769BD"/>
    <w:rsid w:val="00776FEB"/>
    <w:rsid w:val="00781C57"/>
    <w:rsid w:val="00790376"/>
    <w:rsid w:val="0079255E"/>
    <w:rsid w:val="0079478B"/>
    <w:rsid w:val="00794AB6"/>
    <w:rsid w:val="00795A50"/>
    <w:rsid w:val="00796FF7"/>
    <w:rsid w:val="0079747D"/>
    <w:rsid w:val="007A022D"/>
    <w:rsid w:val="007A0FD8"/>
    <w:rsid w:val="007A29C9"/>
    <w:rsid w:val="007A2D72"/>
    <w:rsid w:val="007A47E7"/>
    <w:rsid w:val="007A4995"/>
    <w:rsid w:val="007A630E"/>
    <w:rsid w:val="007A6B2C"/>
    <w:rsid w:val="007B0029"/>
    <w:rsid w:val="007B0888"/>
    <w:rsid w:val="007B1C1E"/>
    <w:rsid w:val="007B1F49"/>
    <w:rsid w:val="007B21D3"/>
    <w:rsid w:val="007B358F"/>
    <w:rsid w:val="007B359D"/>
    <w:rsid w:val="007B3D13"/>
    <w:rsid w:val="007B452D"/>
    <w:rsid w:val="007B5BEE"/>
    <w:rsid w:val="007B75F3"/>
    <w:rsid w:val="007B786D"/>
    <w:rsid w:val="007B7DFC"/>
    <w:rsid w:val="007C1004"/>
    <w:rsid w:val="007C1EFA"/>
    <w:rsid w:val="007C2AA8"/>
    <w:rsid w:val="007C707E"/>
    <w:rsid w:val="007C76CC"/>
    <w:rsid w:val="007C79A4"/>
    <w:rsid w:val="007D13A4"/>
    <w:rsid w:val="007D2321"/>
    <w:rsid w:val="007D456E"/>
    <w:rsid w:val="007D47A4"/>
    <w:rsid w:val="007D5755"/>
    <w:rsid w:val="007D7047"/>
    <w:rsid w:val="007E0580"/>
    <w:rsid w:val="007E0640"/>
    <w:rsid w:val="007E077D"/>
    <w:rsid w:val="007E0C3C"/>
    <w:rsid w:val="007E2820"/>
    <w:rsid w:val="007E3A1C"/>
    <w:rsid w:val="007E40DD"/>
    <w:rsid w:val="007E4DD8"/>
    <w:rsid w:val="007E50B0"/>
    <w:rsid w:val="007E641E"/>
    <w:rsid w:val="007E67A9"/>
    <w:rsid w:val="007E6D22"/>
    <w:rsid w:val="007E6F65"/>
    <w:rsid w:val="007E733F"/>
    <w:rsid w:val="007E77B9"/>
    <w:rsid w:val="007F3152"/>
    <w:rsid w:val="007F3695"/>
    <w:rsid w:val="007F4B68"/>
    <w:rsid w:val="007F4DCA"/>
    <w:rsid w:val="007F6D82"/>
    <w:rsid w:val="00803A24"/>
    <w:rsid w:val="00806798"/>
    <w:rsid w:val="00806950"/>
    <w:rsid w:val="0081147C"/>
    <w:rsid w:val="0081297B"/>
    <w:rsid w:val="00813D61"/>
    <w:rsid w:val="0081499B"/>
    <w:rsid w:val="008149EF"/>
    <w:rsid w:val="00814F38"/>
    <w:rsid w:val="00816258"/>
    <w:rsid w:val="0081632A"/>
    <w:rsid w:val="00816957"/>
    <w:rsid w:val="00817D8C"/>
    <w:rsid w:val="00820772"/>
    <w:rsid w:val="0082181F"/>
    <w:rsid w:val="00821B81"/>
    <w:rsid w:val="00823883"/>
    <w:rsid w:val="00824248"/>
    <w:rsid w:val="00825379"/>
    <w:rsid w:val="008269FA"/>
    <w:rsid w:val="00827AD9"/>
    <w:rsid w:val="00830D01"/>
    <w:rsid w:val="0083125C"/>
    <w:rsid w:val="00831978"/>
    <w:rsid w:val="00833F63"/>
    <w:rsid w:val="00833FE5"/>
    <w:rsid w:val="008350A2"/>
    <w:rsid w:val="00835C81"/>
    <w:rsid w:val="00837FA0"/>
    <w:rsid w:val="00842348"/>
    <w:rsid w:val="008428CC"/>
    <w:rsid w:val="008433C8"/>
    <w:rsid w:val="0084596B"/>
    <w:rsid w:val="00845E6C"/>
    <w:rsid w:val="00846F10"/>
    <w:rsid w:val="00847703"/>
    <w:rsid w:val="00847BCA"/>
    <w:rsid w:val="008510FB"/>
    <w:rsid w:val="00851D6F"/>
    <w:rsid w:val="0085222C"/>
    <w:rsid w:val="008525A0"/>
    <w:rsid w:val="00855505"/>
    <w:rsid w:val="008556C1"/>
    <w:rsid w:val="008557C9"/>
    <w:rsid w:val="00856E42"/>
    <w:rsid w:val="00857EAB"/>
    <w:rsid w:val="00861B72"/>
    <w:rsid w:val="008638AC"/>
    <w:rsid w:val="00863ECB"/>
    <w:rsid w:val="008640CE"/>
    <w:rsid w:val="00865405"/>
    <w:rsid w:val="008655E4"/>
    <w:rsid w:val="00865FF2"/>
    <w:rsid w:val="00866E31"/>
    <w:rsid w:val="008678A0"/>
    <w:rsid w:val="00870BD8"/>
    <w:rsid w:val="008721FB"/>
    <w:rsid w:val="00873780"/>
    <w:rsid w:val="008738EA"/>
    <w:rsid w:val="00873D4D"/>
    <w:rsid w:val="00874405"/>
    <w:rsid w:val="00875819"/>
    <w:rsid w:val="008767B9"/>
    <w:rsid w:val="00876F38"/>
    <w:rsid w:val="00880EDA"/>
    <w:rsid w:val="00881C15"/>
    <w:rsid w:val="00882449"/>
    <w:rsid w:val="00883B2F"/>
    <w:rsid w:val="0088618B"/>
    <w:rsid w:val="00886B9F"/>
    <w:rsid w:val="00887FCD"/>
    <w:rsid w:val="00890448"/>
    <w:rsid w:val="00890C4A"/>
    <w:rsid w:val="00894245"/>
    <w:rsid w:val="008943A9"/>
    <w:rsid w:val="00895F5A"/>
    <w:rsid w:val="00897082"/>
    <w:rsid w:val="00897A51"/>
    <w:rsid w:val="008A062F"/>
    <w:rsid w:val="008A412C"/>
    <w:rsid w:val="008A5C05"/>
    <w:rsid w:val="008A635B"/>
    <w:rsid w:val="008A7A17"/>
    <w:rsid w:val="008B0B1D"/>
    <w:rsid w:val="008B16FF"/>
    <w:rsid w:val="008B3A6E"/>
    <w:rsid w:val="008B6515"/>
    <w:rsid w:val="008C01D1"/>
    <w:rsid w:val="008C02F8"/>
    <w:rsid w:val="008C151C"/>
    <w:rsid w:val="008C2F73"/>
    <w:rsid w:val="008C3F67"/>
    <w:rsid w:val="008C3F6A"/>
    <w:rsid w:val="008C73F5"/>
    <w:rsid w:val="008D0A3E"/>
    <w:rsid w:val="008D14D9"/>
    <w:rsid w:val="008D429B"/>
    <w:rsid w:val="008D7232"/>
    <w:rsid w:val="008D73EF"/>
    <w:rsid w:val="008E02CB"/>
    <w:rsid w:val="008E0920"/>
    <w:rsid w:val="008E0924"/>
    <w:rsid w:val="008E1058"/>
    <w:rsid w:val="008E4144"/>
    <w:rsid w:val="008E5C5C"/>
    <w:rsid w:val="008E5F6B"/>
    <w:rsid w:val="008E64A7"/>
    <w:rsid w:val="008E66EA"/>
    <w:rsid w:val="008E6CFB"/>
    <w:rsid w:val="008E7624"/>
    <w:rsid w:val="008E7BA7"/>
    <w:rsid w:val="008F033C"/>
    <w:rsid w:val="008F2E70"/>
    <w:rsid w:val="008F3522"/>
    <w:rsid w:val="008F388D"/>
    <w:rsid w:val="008F4247"/>
    <w:rsid w:val="008F5028"/>
    <w:rsid w:val="008F6602"/>
    <w:rsid w:val="00900B18"/>
    <w:rsid w:val="00902150"/>
    <w:rsid w:val="0090256F"/>
    <w:rsid w:val="00904B79"/>
    <w:rsid w:val="00905066"/>
    <w:rsid w:val="00905085"/>
    <w:rsid w:val="009051B9"/>
    <w:rsid w:val="009074FB"/>
    <w:rsid w:val="0091269D"/>
    <w:rsid w:val="00912786"/>
    <w:rsid w:val="00912D21"/>
    <w:rsid w:val="00913457"/>
    <w:rsid w:val="009137E6"/>
    <w:rsid w:val="00914D55"/>
    <w:rsid w:val="0091552B"/>
    <w:rsid w:val="00915740"/>
    <w:rsid w:val="0091592A"/>
    <w:rsid w:val="00915C4C"/>
    <w:rsid w:val="009163F6"/>
    <w:rsid w:val="00920451"/>
    <w:rsid w:val="0092144C"/>
    <w:rsid w:val="00923FCB"/>
    <w:rsid w:val="0092406A"/>
    <w:rsid w:val="00925940"/>
    <w:rsid w:val="009261C6"/>
    <w:rsid w:val="00926825"/>
    <w:rsid w:val="00930184"/>
    <w:rsid w:val="00930691"/>
    <w:rsid w:val="00931094"/>
    <w:rsid w:val="00931DB2"/>
    <w:rsid w:val="009325C8"/>
    <w:rsid w:val="00932D2A"/>
    <w:rsid w:val="0093417D"/>
    <w:rsid w:val="009341A0"/>
    <w:rsid w:val="009346CA"/>
    <w:rsid w:val="00936C02"/>
    <w:rsid w:val="00937E16"/>
    <w:rsid w:val="00937EC7"/>
    <w:rsid w:val="0094061D"/>
    <w:rsid w:val="009411E6"/>
    <w:rsid w:val="009435BA"/>
    <w:rsid w:val="00943939"/>
    <w:rsid w:val="00943FEA"/>
    <w:rsid w:val="009466AB"/>
    <w:rsid w:val="00947B93"/>
    <w:rsid w:val="00951851"/>
    <w:rsid w:val="00951EAB"/>
    <w:rsid w:val="009526A8"/>
    <w:rsid w:val="00953441"/>
    <w:rsid w:val="00953553"/>
    <w:rsid w:val="00954E2D"/>
    <w:rsid w:val="0095697D"/>
    <w:rsid w:val="00960461"/>
    <w:rsid w:val="00960A0E"/>
    <w:rsid w:val="009610FB"/>
    <w:rsid w:val="00961237"/>
    <w:rsid w:val="009619B2"/>
    <w:rsid w:val="0096225F"/>
    <w:rsid w:val="00962283"/>
    <w:rsid w:val="00962DEB"/>
    <w:rsid w:val="009659D1"/>
    <w:rsid w:val="00965F77"/>
    <w:rsid w:val="00966F02"/>
    <w:rsid w:val="00967CE7"/>
    <w:rsid w:val="00967F2C"/>
    <w:rsid w:val="00970372"/>
    <w:rsid w:val="00970B82"/>
    <w:rsid w:val="0097126E"/>
    <w:rsid w:val="009728A4"/>
    <w:rsid w:val="00972B4A"/>
    <w:rsid w:val="00974CD8"/>
    <w:rsid w:val="00975011"/>
    <w:rsid w:val="009754BA"/>
    <w:rsid w:val="0097696F"/>
    <w:rsid w:val="00977EF7"/>
    <w:rsid w:val="00980E29"/>
    <w:rsid w:val="00983B84"/>
    <w:rsid w:val="009845D4"/>
    <w:rsid w:val="00986457"/>
    <w:rsid w:val="00986C40"/>
    <w:rsid w:val="00986CBC"/>
    <w:rsid w:val="009872F2"/>
    <w:rsid w:val="00987893"/>
    <w:rsid w:val="00990645"/>
    <w:rsid w:val="00990B6A"/>
    <w:rsid w:val="00990BB6"/>
    <w:rsid w:val="0099195F"/>
    <w:rsid w:val="00991D90"/>
    <w:rsid w:val="009961D4"/>
    <w:rsid w:val="009969C0"/>
    <w:rsid w:val="009A1B73"/>
    <w:rsid w:val="009A1C11"/>
    <w:rsid w:val="009A1FAA"/>
    <w:rsid w:val="009A264E"/>
    <w:rsid w:val="009A505F"/>
    <w:rsid w:val="009A7F5D"/>
    <w:rsid w:val="009B02D9"/>
    <w:rsid w:val="009B048F"/>
    <w:rsid w:val="009B0D16"/>
    <w:rsid w:val="009B25E2"/>
    <w:rsid w:val="009B3223"/>
    <w:rsid w:val="009B47F9"/>
    <w:rsid w:val="009B4A1F"/>
    <w:rsid w:val="009B6F48"/>
    <w:rsid w:val="009B71C0"/>
    <w:rsid w:val="009B7360"/>
    <w:rsid w:val="009C1316"/>
    <w:rsid w:val="009C151D"/>
    <w:rsid w:val="009C5D99"/>
    <w:rsid w:val="009C6368"/>
    <w:rsid w:val="009C784D"/>
    <w:rsid w:val="009D0733"/>
    <w:rsid w:val="009D30DA"/>
    <w:rsid w:val="009D351C"/>
    <w:rsid w:val="009D4ADA"/>
    <w:rsid w:val="009D546A"/>
    <w:rsid w:val="009D66A6"/>
    <w:rsid w:val="009D6C51"/>
    <w:rsid w:val="009D7969"/>
    <w:rsid w:val="009D7FFE"/>
    <w:rsid w:val="009E033A"/>
    <w:rsid w:val="009E06DB"/>
    <w:rsid w:val="009E2C06"/>
    <w:rsid w:val="009E735E"/>
    <w:rsid w:val="009F3695"/>
    <w:rsid w:val="009F48E8"/>
    <w:rsid w:val="009F5299"/>
    <w:rsid w:val="009F5A43"/>
    <w:rsid w:val="009F73D4"/>
    <w:rsid w:val="009F7770"/>
    <w:rsid w:val="009F7F1C"/>
    <w:rsid w:val="00A012A2"/>
    <w:rsid w:val="00A01EC0"/>
    <w:rsid w:val="00A04C26"/>
    <w:rsid w:val="00A04EA8"/>
    <w:rsid w:val="00A058FB"/>
    <w:rsid w:val="00A05A32"/>
    <w:rsid w:val="00A07C14"/>
    <w:rsid w:val="00A10C18"/>
    <w:rsid w:val="00A11E94"/>
    <w:rsid w:val="00A1292A"/>
    <w:rsid w:val="00A13112"/>
    <w:rsid w:val="00A134B9"/>
    <w:rsid w:val="00A13897"/>
    <w:rsid w:val="00A16130"/>
    <w:rsid w:val="00A21CB0"/>
    <w:rsid w:val="00A2240A"/>
    <w:rsid w:val="00A230F3"/>
    <w:rsid w:val="00A24CDB"/>
    <w:rsid w:val="00A3022A"/>
    <w:rsid w:val="00A33357"/>
    <w:rsid w:val="00A333E5"/>
    <w:rsid w:val="00A342A0"/>
    <w:rsid w:val="00A34D64"/>
    <w:rsid w:val="00A35CD8"/>
    <w:rsid w:val="00A374DE"/>
    <w:rsid w:val="00A37CA2"/>
    <w:rsid w:val="00A4135B"/>
    <w:rsid w:val="00A423C5"/>
    <w:rsid w:val="00A451C0"/>
    <w:rsid w:val="00A451DF"/>
    <w:rsid w:val="00A45F34"/>
    <w:rsid w:val="00A46BD6"/>
    <w:rsid w:val="00A47DA3"/>
    <w:rsid w:val="00A50101"/>
    <w:rsid w:val="00A50702"/>
    <w:rsid w:val="00A50B13"/>
    <w:rsid w:val="00A51F9F"/>
    <w:rsid w:val="00A528F4"/>
    <w:rsid w:val="00A53F88"/>
    <w:rsid w:val="00A563E6"/>
    <w:rsid w:val="00A56510"/>
    <w:rsid w:val="00A5724A"/>
    <w:rsid w:val="00A57C5A"/>
    <w:rsid w:val="00A601F0"/>
    <w:rsid w:val="00A60D48"/>
    <w:rsid w:val="00A630B5"/>
    <w:rsid w:val="00A63472"/>
    <w:rsid w:val="00A64214"/>
    <w:rsid w:val="00A6429E"/>
    <w:rsid w:val="00A66A38"/>
    <w:rsid w:val="00A67965"/>
    <w:rsid w:val="00A67A41"/>
    <w:rsid w:val="00A71C9B"/>
    <w:rsid w:val="00A72E9B"/>
    <w:rsid w:val="00A747F6"/>
    <w:rsid w:val="00A75950"/>
    <w:rsid w:val="00A75F40"/>
    <w:rsid w:val="00A77069"/>
    <w:rsid w:val="00A80F72"/>
    <w:rsid w:val="00A84381"/>
    <w:rsid w:val="00A84B29"/>
    <w:rsid w:val="00A90635"/>
    <w:rsid w:val="00A9199A"/>
    <w:rsid w:val="00A91A8F"/>
    <w:rsid w:val="00A91AD3"/>
    <w:rsid w:val="00A93E29"/>
    <w:rsid w:val="00A97A61"/>
    <w:rsid w:val="00AA007A"/>
    <w:rsid w:val="00AA2B15"/>
    <w:rsid w:val="00AA3F44"/>
    <w:rsid w:val="00AA4BE4"/>
    <w:rsid w:val="00AA51CF"/>
    <w:rsid w:val="00AA6706"/>
    <w:rsid w:val="00AA7023"/>
    <w:rsid w:val="00AB0537"/>
    <w:rsid w:val="00AB22B5"/>
    <w:rsid w:val="00AB26B3"/>
    <w:rsid w:val="00AB55BC"/>
    <w:rsid w:val="00AB5A05"/>
    <w:rsid w:val="00AB5A95"/>
    <w:rsid w:val="00AC143B"/>
    <w:rsid w:val="00AC2A83"/>
    <w:rsid w:val="00AC2FE2"/>
    <w:rsid w:val="00AC30F5"/>
    <w:rsid w:val="00AC4FB2"/>
    <w:rsid w:val="00AC57C3"/>
    <w:rsid w:val="00AC5C35"/>
    <w:rsid w:val="00AC64FD"/>
    <w:rsid w:val="00AC676A"/>
    <w:rsid w:val="00AD11A6"/>
    <w:rsid w:val="00AD2057"/>
    <w:rsid w:val="00AD2F63"/>
    <w:rsid w:val="00AD3640"/>
    <w:rsid w:val="00AD7498"/>
    <w:rsid w:val="00AE0090"/>
    <w:rsid w:val="00AE101D"/>
    <w:rsid w:val="00AE14F0"/>
    <w:rsid w:val="00AE21CF"/>
    <w:rsid w:val="00AE3776"/>
    <w:rsid w:val="00AE39FC"/>
    <w:rsid w:val="00AE7576"/>
    <w:rsid w:val="00AE7EF5"/>
    <w:rsid w:val="00AF00CA"/>
    <w:rsid w:val="00AF0283"/>
    <w:rsid w:val="00AF33EF"/>
    <w:rsid w:val="00AF35D6"/>
    <w:rsid w:val="00AF48CE"/>
    <w:rsid w:val="00AF56DD"/>
    <w:rsid w:val="00AF5900"/>
    <w:rsid w:val="00AF5F44"/>
    <w:rsid w:val="00B00CAE"/>
    <w:rsid w:val="00B03591"/>
    <w:rsid w:val="00B03810"/>
    <w:rsid w:val="00B0491A"/>
    <w:rsid w:val="00B04CD6"/>
    <w:rsid w:val="00B062DA"/>
    <w:rsid w:val="00B0714E"/>
    <w:rsid w:val="00B072A8"/>
    <w:rsid w:val="00B10588"/>
    <w:rsid w:val="00B11E0F"/>
    <w:rsid w:val="00B1287D"/>
    <w:rsid w:val="00B12942"/>
    <w:rsid w:val="00B12AE5"/>
    <w:rsid w:val="00B1403F"/>
    <w:rsid w:val="00B14923"/>
    <w:rsid w:val="00B154FB"/>
    <w:rsid w:val="00B2285C"/>
    <w:rsid w:val="00B22865"/>
    <w:rsid w:val="00B24FF7"/>
    <w:rsid w:val="00B274A3"/>
    <w:rsid w:val="00B2797E"/>
    <w:rsid w:val="00B3087C"/>
    <w:rsid w:val="00B31387"/>
    <w:rsid w:val="00B316A7"/>
    <w:rsid w:val="00B31BE2"/>
    <w:rsid w:val="00B326CA"/>
    <w:rsid w:val="00B3440F"/>
    <w:rsid w:val="00B35990"/>
    <w:rsid w:val="00B35F47"/>
    <w:rsid w:val="00B364DF"/>
    <w:rsid w:val="00B3658C"/>
    <w:rsid w:val="00B366F1"/>
    <w:rsid w:val="00B379A6"/>
    <w:rsid w:val="00B37BA1"/>
    <w:rsid w:val="00B40653"/>
    <w:rsid w:val="00B408F8"/>
    <w:rsid w:val="00B4122D"/>
    <w:rsid w:val="00B4253B"/>
    <w:rsid w:val="00B44A9F"/>
    <w:rsid w:val="00B4508D"/>
    <w:rsid w:val="00B45697"/>
    <w:rsid w:val="00B45C5B"/>
    <w:rsid w:val="00B46402"/>
    <w:rsid w:val="00B4699B"/>
    <w:rsid w:val="00B51110"/>
    <w:rsid w:val="00B51ACF"/>
    <w:rsid w:val="00B53EE8"/>
    <w:rsid w:val="00B54B0B"/>
    <w:rsid w:val="00B60360"/>
    <w:rsid w:val="00B60E6D"/>
    <w:rsid w:val="00B61F61"/>
    <w:rsid w:val="00B641AC"/>
    <w:rsid w:val="00B651AE"/>
    <w:rsid w:val="00B65F95"/>
    <w:rsid w:val="00B67AC2"/>
    <w:rsid w:val="00B67D3C"/>
    <w:rsid w:val="00B70020"/>
    <w:rsid w:val="00B7354F"/>
    <w:rsid w:val="00B7392B"/>
    <w:rsid w:val="00B74818"/>
    <w:rsid w:val="00B7595A"/>
    <w:rsid w:val="00B75A60"/>
    <w:rsid w:val="00B764BD"/>
    <w:rsid w:val="00B76951"/>
    <w:rsid w:val="00B800CE"/>
    <w:rsid w:val="00B810A2"/>
    <w:rsid w:val="00B81403"/>
    <w:rsid w:val="00B82110"/>
    <w:rsid w:val="00B83C6F"/>
    <w:rsid w:val="00B8470C"/>
    <w:rsid w:val="00B8543C"/>
    <w:rsid w:val="00B8793E"/>
    <w:rsid w:val="00B91212"/>
    <w:rsid w:val="00B917BD"/>
    <w:rsid w:val="00B918FC"/>
    <w:rsid w:val="00B922E3"/>
    <w:rsid w:val="00B923AD"/>
    <w:rsid w:val="00B93345"/>
    <w:rsid w:val="00B94A1A"/>
    <w:rsid w:val="00B9522A"/>
    <w:rsid w:val="00B95909"/>
    <w:rsid w:val="00BA0661"/>
    <w:rsid w:val="00BA08C9"/>
    <w:rsid w:val="00BA0EDF"/>
    <w:rsid w:val="00BA2246"/>
    <w:rsid w:val="00BA33DC"/>
    <w:rsid w:val="00BA4A25"/>
    <w:rsid w:val="00BA5E44"/>
    <w:rsid w:val="00BA63C0"/>
    <w:rsid w:val="00BA6598"/>
    <w:rsid w:val="00BA6926"/>
    <w:rsid w:val="00BA7518"/>
    <w:rsid w:val="00BA770B"/>
    <w:rsid w:val="00BA7A33"/>
    <w:rsid w:val="00BA7C64"/>
    <w:rsid w:val="00BB0844"/>
    <w:rsid w:val="00BB30F3"/>
    <w:rsid w:val="00BB4492"/>
    <w:rsid w:val="00BB50F3"/>
    <w:rsid w:val="00BC00F6"/>
    <w:rsid w:val="00BC1241"/>
    <w:rsid w:val="00BC2426"/>
    <w:rsid w:val="00BC249E"/>
    <w:rsid w:val="00BC2A85"/>
    <w:rsid w:val="00BC3663"/>
    <w:rsid w:val="00BC443B"/>
    <w:rsid w:val="00BC5847"/>
    <w:rsid w:val="00BC6F14"/>
    <w:rsid w:val="00BD03AC"/>
    <w:rsid w:val="00BD3163"/>
    <w:rsid w:val="00BD3843"/>
    <w:rsid w:val="00BD6258"/>
    <w:rsid w:val="00BD6C26"/>
    <w:rsid w:val="00BD7049"/>
    <w:rsid w:val="00BE0F94"/>
    <w:rsid w:val="00BE2A38"/>
    <w:rsid w:val="00BE2C33"/>
    <w:rsid w:val="00BE2E0A"/>
    <w:rsid w:val="00BE34A7"/>
    <w:rsid w:val="00BE5BDC"/>
    <w:rsid w:val="00BE6851"/>
    <w:rsid w:val="00BF12D5"/>
    <w:rsid w:val="00BF29A5"/>
    <w:rsid w:val="00BF329B"/>
    <w:rsid w:val="00BF4BC6"/>
    <w:rsid w:val="00BF5130"/>
    <w:rsid w:val="00BF5F90"/>
    <w:rsid w:val="00BF7F43"/>
    <w:rsid w:val="00C001F8"/>
    <w:rsid w:val="00C0117C"/>
    <w:rsid w:val="00C018EB"/>
    <w:rsid w:val="00C01AD3"/>
    <w:rsid w:val="00C01B02"/>
    <w:rsid w:val="00C02182"/>
    <w:rsid w:val="00C048F9"/>
    <w:rsid w:val="00C04FF0"/>
    <w:rsid w:val="00C05A12"/>
    <w:rsid w:val="00C069E9"/>
    <w:rsid w:val="00C06AE5"/>
    <w:rsid w:val="00C10E44"/>
    <w:rsid w:val="00C11EC9"/>
    <w:rsid w:val="00C129A2"/>
    <w:rsid w:val="00C12CBB"/>
    <w:rsid w:val="00C13584"/>
    <w:rsid w:val="00C1443F"/>
    <w:rsid w:val="00C155A2"/>
    <w:rsid w:val="00C15E19"/>
    <w:rsid w:val="00C17BC7"/>
    <w:rsid w:val="00C17D9D"/>
    <w:rsid w:val="00C20963"/>
    <w:rsid w:val="00C2105C"/>
    <w:rsid w:val="00C2275C"/>
    <w:rsid w:val="00C22822"/>
    <w:rsid w:val="00C22D60"/>
    <w:rsid w:val="00C2728C"/>
    <w:rsid w:val="00C27736"/>
    <w:rsid w:val="00C27F5F"/>
    <w:rsid w:val="00C310F2"/>
    <w:rsid w:val="00C3277D"/>
    <w:rsid w:val="00C33C2B"/>
    <w:rsid w:val="00C34175"/>
    <w:rsid w:val="00C34235"/>
    <w:rsid w:val="00C415C2"/>
    <w:rsid w:val="00C42946"/>
    <w:rsid w:val="00C451AA"/>
    <w:rsid w:val="00C456B4"/>
    <w:rsid w:val="00C459C2"/>
    <w:rsid w:val="00C46A03"/>
    <w:rsid w:val="00C50240"/>
    <w:rsid w:val="00C51035"/>
    <w:rsid w:val="00C51581"/>
    <w:rsid w:val="00C528B4"/>
    <w:rsid w:val="00C531C2"/>
    <w:rsid w:val="00C53F62"/>
    <w:rsid w:val="00C54373"/>
    <w:rsid w:val="00C54774"/>
    <w:rsid w:val="00C55FFD"/>
    <w:rsid w:val="00C623A3"/>
    <w:rsid w:val="00C6423C"/>
    <w:rsid w:val="00C64BF3"/>
    <w:rsid w:val="00C663D6"/>
    <w:rsid w:val="00C66A99"/>
    <w:rsid w:val="00C6750D"/>
    <w:rsid w:val="00C70266"/>
    <w:rsid w:val="00C7124C"/>
    <w:rsid w:val="00C719A5"/>
    <w:rsid w:val="00C725A4"/>
    <w:rsid w:val="00C73ECE"/>
    <w:rsid w:val="00C750E6"/>
    <w:rsid w:val="00C76743"/>
    <w:rsid w:val="00C76CFB"/>
    <w:rsid w:val="00C771CD"/>
    <w:rsid w:val="00C772E0"/>
    <w:rsid w:val="00C80AE1"/>
    <w:rsid w:val="00C83CD3"/>
    <w:rsid w:val="00C84E3F"/>
    <w:rsid w:val="00C85B52"/>
    <w:rsid w:val="00C87B46"/>
    <w:rsid w:val="00C903AD"/>
    <w:rsid w:val="00C9047E"/>
    <w:rsid w:val="00C90D5D"/>
    <w:rsid w:val="00C9104B"/>
    <w:rsid w:val="00C92EF2"/>
    <w:rsid w:val="00C94E1A"/>
    <w:rsid w:val="00C95A67"/>
    <w:rsid w:val="00C9625D"/>
    <w:rsid w:val="00C96A63"/>
    <w:rsid w:val="00C96CEF"/>
    <w:rsid w:val="00CA050E"/>
    <w:rsid w:val="00CA220D"/>
    <w:rsid w:val="00CA344C"/>
    <w:rsid w:val="00CA47BE"/>
    <w:rsid w:val="00CA5DF1"/>
    <w:rsid w:val="00CB0558"/>
    <w:rsid w:val="00CB556B"/>
    <w:rsid w:val="00CB55D6"/>
    <w:rsid w:val="00CB6E2D"/>
    <w:rsid w:val="00CB73C7"/>
    <w:rsid w:val="00CB75E5"/>
    <w:rsid w:val="00CC32BD"/>
    <w:rsid w:val="00CC398B"/>
    <w:rsid w:val="00CC3E11"/>
    <w:rsid w:val="00CC73DD"/>
    <w:rsid w:val="00CC7FD2"/>
    <w:rsid w:val="00CD153C"/>
    <w:rsid w:val="00CD1853"/>
    <w:rsid w:val="00CD303A"/>
    <w:rsid w:val="00CD5CEB"/>
    <w:rsid w:val="00CD5EDF"/>
    <w:rsid w:val="00CD75D1"/>
    <w:rsid w:val="00CD7C7A"/>
    <w:rsid w:val="00CE01CC"/>
    <w:rsid w:val="00CE040E"/>
    <w:rsid w:val="00CE155B"/>
    <w:rsid w:val="00CE1B4E"/>
    <w:rsid w:val="00CE1FBD"/>
    <w:rsid w:val="00CE2C6A"/>
    <w:rsid w:val="00CE5427"/>
    <w:rsid w:val="00CE72FA"/>
    <w:rsid w:val="00CF0212"/>
    <w:rsid w:val="00CF1120"/>
    <w:rsid w:val="00CF21C5"/>
    <w:rsid w:val="00CF2AB1"/>
    <w:rsid w:val="00CF388E"/>
    <w:rsid w:val="00CF4D13"/>
    <w:rsid w:val="00CF5BB6"/>
    <w:rsid w:val="00CF5F20"/>
    <w:rsid w:val="00CF6ABA"/>
    <w:rsid w:val="00D01648"/>
    <w:rsid w:val="00D023CC"/>
    <w:rsid w:val="00D037A2"/>
    <w:rsid w:val="00D037C9"/>
    <w:rsid w:val="00D048C1"/>
    <w:rsid w:val="00D07834"/>
    <w:rsid w:val="00D0783A"/>
    <w:rsid w:val="00D10D9B"/>
    <w:rsid w:val="00D115F1"/>
    <w:rsid w:val="00D124F6"/>
    <w:rsid w:val="00D12594"/>
    <w:rsid w:val="00D12833"/>
    <w:rsid w:val="00D13E24"/>
    <w:rsid w:val="00D14BE2"/>
    <w:rsid w:val="00D15193"/>
    <w:rsid w:val="00D162B8"/>
    <w:rsid w:val="00D1650A"/>
    <w:rsid w:val="00D16CBB"/>
    <w:rsid w:val="00D17031"/>
    <w:rsid w:val="00D17A1E"/>
    <w:rsid w:val="00D20393"/>
    <w:rsid w:val="00D22652"/>
    <w:rsid w:val="00D24245"/>
    <w:rsid w:val="00D25018"/>
    <w:rsid w:val="00D26180"/>
    <w:rsid w:val="00D2654C"/>
    <w:rsid w:val="00D26CF1"/>
    <w:rsid w:val="00D301C6"/>
    <w:rsid w:val="00D307C4"/>
    <w:rsid w:val="00D31374"/>
    <w:rsid w:val="00D35480"/>
    <w:rsid w:val="00D3651D"/>
    <w:rsid w:val="00D36DE7"/>
    <w:rsid w:val="00D40182"/>
    <w:rsid w:val="00D41908"/>
    <w:rsid w:val="00D43B00"/>
    <w:rsid w:val="00D44DA4"/>
    <w:rsid w:val="00D456BE"/>
    <w:rsid w:val="00D478EF"/>
    <w:rsid w:val="00D47DF0"/>
    <w:rsid w:val="00D50761"/>
    <w:rsid w:val="00D51481"/>
    <w:rsid w:val="00D525FD"/>
    <w:rsid w:val="00D52E00"/>
    <w:rsid w:val="00D533D1"/>
    <w:rsid w:val="00D54A96"/>
    <w:rsid w:val="00D55B22"/>
    <w:rsid w:val="00D563E2"/>
    <w:rsid w:val="00D5671B"/>
    <w:rsid w:val="00D57410"/>
    <w:rsid w:val="00D577F5"/>
    <w:rsid w:val="00D57852"/>
    <w:rsid w:val="00D5796B"/>
    <w:rsid w:val="00D61192"/>
    <w:rsid w:val="00D62A5F"/>
    <w:rsid w:val="00D63D5E"/>
    <w:rsid w:val="00D64424"/>
    <w:rsid w:val="00D64765"/>
    <w:rsid w:val="00D65A5B"/>
    <w:rsid w:val="00D66FE7"/>
    <w:rsid w:val="00D67793"/>
    <w:rsid w:val="00D6799A"/>
    <w:rsid w:val="00D67E20"/>
    <w:rsid w:val="00D70730"/>
    <w:rsid w:val="00D710EC"/>
    <w:rsid w:val="00D713D7"/>
    <w:rsid w:val="00D71EFE"/>
    <w:rsid w:val="00D726C0"/>
    <w:rsid w:val="00D73567"/>
    <w:rsid w:val="00D745F1"/>
    <w:rsid w:val="00D75353"/>
    <w:rsid w:val="00D75A23"/>
    <w:rsid w:val="00D76101"/>
    <w:rsid w:val="00D80127"/>
    <w:rsid w:val="00D807B3"/>
    <w:rsid w:val="00D84C20"/>
    <w:rsid w:val="00D85FA1"/>
    <w:rsid w:val="00D86BD4"/>
    <w:rsid w:val="00D9385D"/>
    <w:rsid w:val="00D93F5F"/>
    <w:rsid w:val="00D94837"/>
    <w:rsid w:val="00D95CF6"/>
    <w:rsid w:val="00D96EA3"/>
    <w:rsid w:val="00D972B5"/>
    <w:rsid w:val="00D977A2"/>
    <w:rsid w:val="00DA150F"/>
    <w:rsid w:val="00DA15DE"/>
    <w:rsid w:val="00DA293D"/>
    <w:rsid w:val="00DA60C5"/>
    <w:rsid w:val="00DA70F0"/>
    <w:rsid w:val="00DB01A7"/>
    <w:rsid w:val="00DB02AD"/>
    <w:rsid w:val="00DB1056"/>
    <w:rsid w:val="00DB13DF"/>
    <w:rsid w:val="00DB4968"/>
    <w:rsid w:val="00DB54D2"/>
    <w:rsid w:val="00DB7AB7"/>
    <w:rsid w:val="00DB7D7D"/>
    <w:rsid w:val="00DC012E"/>
    <w:rsid w:val="00DC085F"/>
    <w:rsid w:val="00DC0B2C"/>
    <w:rsid w:val="00DC2158"/>
    <w:rsid w:val="00DC45EF"/>
    <w:rsid w:val="00DC4E12"/>
    <w:rsid w:val="00DD2D60"/>
    <w:rsid w:val="00DD3138"/>
    <w:rsid w:val="00DD51F9"/>
    <w:rsid w:val="00DD5630"/>
    <w:rsid w:val="00DD5B86"/>
    <w:rsid w:val="00DD5F40"/>
    <w:rsid w:val="00DD6813"/>
    <w:rsid w:val="00DD7229"/>
    <w:rsid w:val="00DD7EA1"/>
    <w:rsid w:val="00DE2318"/>
    <w:rsid w:val="00DE49DA"/>
    <w:rsid w:val="00DE4D39"/>
    <w:rsid w:val="00DE5D3E"/>
    <w:rsid w:val="00DE64D3"/>
    <w:rsid w:val="00DF2229"/>
    <w:rsid w:val="00DF3C71"/>
    <w:rsid w:val="00DF3DA8"/>
    <w:rsid w:val="00DF4CC6"/>
    <w:rsid w:val="00DF5982"/>
    <w:rsid w:val="00DF63D6"/>
    <w:rsid w:val="00DF6534"/>
    <w:rsid w:val="00E00B70"/>
    <w:rsid w:val="00E01748"/>
    <w:rsid w:val="00E03D34"/>
    <w:rsid w:val="00E041E5"/>
    <w:rsid w:val="00E04274"/>
    <w:rsid w:val="00E05681"/>
    <w:rsid w:val="00E06F17"/>
    <w:rsid w:val="00E074B4"/>
    <w:rsid w:val="00E127A4"/>
    <w:rsid w:val="00E141E1"/>
    <w:rsid w:val="00E146BF"/>
    <w:rsid w:val="00E159F1"/>
    <w:rsid w:val="00E166EB"/>
    <w:rsid w:val="00E16D9C"/>
    <w:rsid w:val="00E21174"/>
    <w:rsid w:val="00E225E0"/>
    <w:rsid w:val="00E22A37"/>
    <w:rsid w:val="00E230E2"/>
    <w:rsid w:val="00E27426"/>
    <w:rsid w:val="00E338FD"/>
    <w:rsid w:val="00E342CC"/>
    <w:rsid w:val="00E34C53"/>
    <w:rsid w:val="00E367E2"/>
    <w:rsid w:val="00E374F6"/>
    <w:rsid w:val="00E37E47"/>
    <w:rsid w:val="00E4012D"/>
    <w:rsid w:val="00E413A9"/>
    <w:rsid w:val="00E4187C"/>
    <w:rsid w:val="00E426E4"/>
    <w:rsid w:val="00E4294D"/>
    <w:rsid w:val="00E42CB7"/>
    <w:rsid w:val="00E44776"/>
    <w:rsid w:val="00E46C10"/>
    <w:rsid w:val="00E47FF5"/>
    <w:rsid w:val="00E50000"/>
    <w:rsid w:val="00E50085"/>
    <w:rsid w:val="00E508CD"/>
    <w:rsid w:val="00E5115F"/>
    <w:rsid w:val="00E514E9"/>
    <w:rsid w:val="00E51880"/>
    <w:rsid w:val="00E5675D"/>
    <w:rsid w:val="00E56F36"/>
    <w:rsid w:val="00E60BC3"/>
    <w:rsid w:val="00E62BCE"/>
    <w:rsid w:val="00E633AF"/>
    <w:rsid w:val="00E63A18"/>
    <w:rsid w:val="00E643EE"/>
    <w:rsid w:val="00E647A4"/>
    <w:rsid w:val="00E663BD"/>
    <w:rsid w:val="00E66961"/>
    <w:rsid w:val="00E669A7"/>
    <w:rsid w:val="00E67F0F"/>
    <w:rsid w:val="00E7067F"/>
    <w:rsid w:val="00E70B61"/>
    <w:rsid w:val="00E70FD5"/>
    <w:rsid w:val="00E73B7E"/>
    <w:rsid w:val="00E75B71"/>
    <w:rsid w:val="00E75F75"/>
    <w:rsid w:val="00E76B0E"/>
    <w:rsid w:val="00E7742F"/>
    <w:rsid w:val="00E777CD"/>
    <w:rsid w:val="00E77975"/>
    <w:rsid w:val="00E8010B"/>
    <w:rsid w:val="00E80CFC"/>
    <w:rsid w:val="00E82547"/>
    <w:rsid w:val="00E82C55"/>
    <w:rsid w:val="00E8356D"/>
    <w:rsid w:val="00E83DB5"/>
    <w:rsid w:val="00E85A54"/>
    <w:rsid w:val="00E8656D"/>
    <w:rsid w:val="00E87AED"/>
    <w:rsid w:val="00E90E43"/>
    <w:rsid w:val="00E91A7F"/>
    <w:rsid w:val="00E9211B"/>
    <w:rsid w:val="00E92990"/>
    <w:rsid w:val="00E93406"/>
    <w:rsid w:val="00E938B4"/>
    <w:rsid w:val="00E94B12"/>
    <w:rsid w:val="00E95594"/>
    <w:rsid w:val="00E96C32"/>
    <w:rsid w:val="00E97277"/>
    <w:rsid w:val="00E97DDC"/>
    <w:rsid w:val="00E97FE6"/>
    <w:rsid w:val="00EA17C0"/>
    <w:rsid w:val="00EA29C2"/>
    <w:rsid w:val="00EA3C03"/>
    <w:rsid w:val="00EA4DF7"/>
    <w:rsid w:val="00EA5B5E"/>
    <w:rsid w:val="00EA7749"/>
    <w:rsid w:val="00EA7A39"/>
    <w:rsid w:val="00EB0FE4"/>
    <w:rsid w:val="00EB1839"/>
    <w:rsid w:val="00EB1FC1"/>
    <w:rsid w:val="00EB2E9D"/>
    <w:rsid w:val="00EB4567"/>
    <w:rsid w:val="00EB4A9E"/>
    <w:rsid w:val="00EB795B"/>
    <w:rsid w:val="00EC0294"/>
    <w:rsid w:val="00EC0E5A"/>
    <w:rsid w:val="00EC145C"/>
    <w:rsid w:val="00EC15F2"/>
    <w:rsid w:val="00EC1DD6"/>
    <w:rsid w:val="00EC4248"/>
    <w:rsid w:val="00EC5E72"/>
    <w:rsid w:val="00EC5F75"/>
    <w:rsid w:val="00EC7401"/>
    <w:rsid w:val="00EC7E03"/>
    <w:rsid w:val="00ED022D"/>
    <w:rsid w:val="00ED02AF"/>
    <w:rsid w:val="00ED181D"/>
    <w:rsid w:val="00ED5550"/>
    <w:rsid w:val="00ED55FD"/>
    <w:rsid w:val="00ED6094"/>
    <w:rsid w:val="00EE2794"/>
    <w:rsid w:val="00EE4A8B"/>
    <w:rsid w:val="00EE5526"/>
    <w:rsid w:val="00EF0A88"/>
    <w:rsid w:val="00EF0EC5"/>
    <w:rsid w:val="00EF41FD"/>
    <w:rsid w:val="00EF4A4D"/>
    <w:rsid w:val="00EF5021"/>
    <w:rsid w:val="00EF611B"/>
    <w:rsid w:val="00EF66A1"/>
    <w:rsid w:val="00EF7AAF"/>
    <w:rsid w:val="00F00140"/>
    <w:rsid w:val="00F014D2"/>
    <w:rsid w:val="00F0161D"/>
    <w:rsid w:val="00F02B74"/>
    <w:rsid w:val="00F05446"/>
    <w:rsid w:val="00F05598"/>
    <w:rsid w:val="00F10FA0"/>
    <w:rsid w:val="00F11E2A"/>
    <w:rsid w:val="00F12D27"/>
    <w:rsid w:val="00F1332D"/>
    <w:rsid w:val="00F14148"/>
    <w:rsid w:val="00F143E8"/>
    <w:rsid w:val="00F1464A"/>
    <w:rsid w:val="00F15D26"/>
    <w:rsid w:val="00F17845"/>
    <w:rsid w:val="00F17AA1"/>
    <w:rsid w:val="00F20068"/>
    <w:rsid w:val="00F2071D"/>
    <w:rsid w:val="00F222C9"/>
    <w:rsid w:val="00F23F8F"/>
    <w:rsid w:val="00F24BDC"/>
    <w:rsid w:val="00F257DD"/>
    <w:rsid w:val="00F25CC4"/>
    <w:rsid w:val="00F26EB1"/>
    <w:rsid w:val="00F27249"/>
    <w:rsid w:val="00F275ED"/>
    <w:rsid w:val="00F2784C"/>
    <w:rsid w:val="00F27FA5"/>
    <w:rsid w:val="00F30310"/>
    <w:rsid w:val="00F30A96"/>
    <w:rsid w:val="00F3172D"/>
    <w:rsid w:val="00F323B8"/>
    <w:rsid w:val="00F347D6"/>
    <w:rsid w:val="00F36534"/>
    <w:rsid w:val="00F42459"/>
    <w:rsid w:val="00F42E77"/>
    <w:rsid w:val="00F45A8A"/>
    <w:rsid w:val="00F5008F"/>
    <w:rsid w:val="00F52695"/>
    <w:rsid w:val="00F5762B"/>
    <w:rsid w:val="00F57CBE"/>
    <w:rsid w:val="00F603EC"/>
    <w:rsid w:val="00F60F6B"/>
    <w:rsid w:val="00F61745"/>
    <w:rsid w:val="00F61772"/>
    <w:rsid w:val="00F61BFF"/>
    <w:rsid w:val="00F64D60"/>
    <w:rsid w:val="00F726EA"/>
    <w:rsid w:val="00F727BD"/>
    <w:rsid w:val="00F72DAC"/>
    <w:rsid w:val="00F74124"/>
    <w:rsid w:val="00F7434E"/>
    <w:rsid w:val="00F765C3"/>
    <w:rsid w:val="00F77C0C"/>
    <w:rsid w:val="00F80E1E"/>
    <w:rsid w:val="00F81048"/>
    <w:rsid w:val="00F83166"/>
    <w:rsid w:val="00F84FE1"/>
    <w:rsid w:val="00F871BF"/>
    <w:rsid w:val="00F90147"/>
    <w:rsid w:val="00F9123E"/>
    <w:rsid w:val="00F912C1"/>
    <w:rsid w:val="00F93BA1"/>
    <w:rsid w:val="00F93FDC"/>
    <w:rsid w:val="00F9460A"/>
    <w:rsid w:val="00F96A68"/>
    <w:rsid w:val="00F96B31"/>
    <w:rsid w:val="00F97683"/>
    <w:rsid w:val="00F97CD7"/>
    <w:rsid w:val="00F97ED9"/>
    <w:rsid w:val="00FA330F"/>
    <w:rsid w:val="00FA3596"/>
    <w:rsid w:val="00FA3C9B"/>
    <w:rsid w:val="00FA5703"/>
    <w:rsid w:val="00FA5FCF"/>
    <w:rsid w:val="00FA654C"/>
    <w:rsid w:val="00FA7E13"/>
    <w:rsid w:val="00FB00D4"/>
    <w:rsid w:val="00FB11E0"/>
    <w:rsid w:val="00FB19E7"/>
    <w:rsid w:val="00FB1E83"/>
    <w:rsid w:val="00FB2755"/>
    <w:rsid w:val="00FB3671"/>
    <w:rsid w:val="00FB3A5F"/>
    <w:rsid w:val="00FB4BD9"/>
    <w:rsid w:val="00FB7C52"/>
    <w:rsid w:val="00FC0AC1"/>
    <w:rsid w:val="00FC0CF0"/>
    <w:rsid w:val="00FC10A0"/>
    <w:rsid w:val="00FC24E5"/>
    <w:rsid w:val="00FC3979"/>
    <w:rsid w:val="00FC5D53"/>
    <w:rsid w:val="00FC61BF"/>
    <w:rsid w:val="00FC71D4"/>
    <w:rsid w:val="00FD064A"/>
    <w:rsid w:val="00FD3B2B"/>
    <w:rsid w:val="00FD3C61"/>
    <w:rsid w:val="00FD4261"/>
    <w:rsid w:val="00FD4A74"/>
    <w:rsid w:val="00FD4FF9"/>
    <w:rsid w:val="00FD5021"/>
    <w:rsid w:val="00FE016A"/>
    <w:rsid w:val="00FE0365"/>
    <w:rsid w:val="00FE0B3F"/>
    <w:rsid w:val="00FE0CC2"/>
    <w:rsid w:val="00FE4C6C"/>
    <w:rsid w:val="00FE57F5"/>
    <w:rsid w:val="00FF1D3B"/>
    <w:rsid w:val="00FF1F56"/>
    <w:rsid w:val="00FF25C5"/>
    <w:rsid w:val="00FF27FF"/>
    <w:rsid w:val="00FF3392"/>
    <w:rsid w:val="00FF3BD3"/>
    <w:rsid w:val="00FF515E"/>
    <w:rsid w:val="00FF73B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0FF74C"/>
  <w15:chartTrackingRefBased/>
  <w15:docId w15:val="{D8F23B7C-9F03-44FE-B7D9-F1511922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locked="1" w:uiPriority="72"/>
    <w:lsdException w:name="Colorful Grid" w:locked="1"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ocked="1" w:uiPriority="72"/>
    <w:lsdException w:name="Colorful Grid Accent 1" w:locked="1" w:uiPriority="73"/>
    <w:lsdException w:name="Light Shading Accent 2" w:uiPriority="60"/>
    <w:lsdException w:name="Light List Accent 2" w:uiPriority="61"/>
    <w:lsdException w:name="Light Grid Accent 2" w:uiPriority="62"/>
    <w:lsdException w:name="Medium Shading 1 Accent 2" w:locked="1" w:uiPriority="63"/>
    <w:lsdException w:name="Medium Shading 2 Accent 2" w:locked="1"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uiPriority="61"/>
    <w:lsdException w:name="Light Grid Accent 3" w:uiPriority="62"/>
    <w:lsdException w:name="Medium Shading 1 Accent 3" w:locked="1" w:uiPriority="63"/>
    <w:lsdException w:name="Medium Shading 2 Accent 3" w:locked="1"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uiPriority="61"/>
    <w:lsdException w:name="Light Grid Accent 4" w:uiPriority="62"/>
    <w:lsdException w:name="Medium Shading 1 Accent 4" w:locked="1" w:uiPriority="63"/>
    <w:lsdException w:name="Medium Shading 2 Accent 4" w:locked="1"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ocked="1" w:uiPriority="72"/>
    <w:lsdException w:name="Colorful Grid Accent 5" w:locked="1" w:uiPriority="73"/>
    <w:lsdException w:name="Light Shading Accent 6" w:uiPriority="60"/>
    <w:lsdException w:name="Light List Accent 6" w:uiPriority="61"/>
    <w:lsdException w:name="Light Grid Accent 6" w:uiPriority="62"/>
    <w:lsdException w:name="Medium Shading 1 Accent 6" w:locked="1"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DA3"/>
    <w:pPr>
      <w:spacing w:after="0" w:line="240" w:lineRule="auto"/>
    </w:pPr>
    <w:rPr>
      <w:lang w:val="en-GB"/>
    </w:rPr>
  </w:style>
  <w:style w:type="paragraph" w:styleId="Heading1">
    <w:name w:val="heading 1"/>
    <w:basedOn w:val="Normal"/>
    <w:next w:val="BodyText"/>
    <w:link w:val="Heading1Char"/>
    <w:uiPriority w:val="9"/>
    <w:qFormat/>
    <w:rsid w:val="00855505"/>
    <w:pPr>
      <w:keepNext/>
      <w:keepLines/>
      <w:numPr>
        <w:numId w:val="4"/>
      </w:numPr>
      <w:spacing w:before="400" w:after="240" w:line="276" w:lineRule="auto"/>
      <w:outlineLvl w:val="0"/>
    </w:pPr>
    <w:rPr>
      <w:rFonts w:asciiTheme="majorHAnsi" w:eastAsiaTheme="majorEastAsia" w:hAnsiTheme="majorHAnsi" w:cstheme="majorHAnsi"/>
      <w:bCs/>
      <w:color w:val="5F5F5F" w:themeColor="text2"/>
      <w:sz w:val="40"/>
      <w:szCs w:val="40"/>
    </w:rPr>
  </w:style>
  <w:style w:type="paragraph" w:styleId="Heading2">
    <w:name w:val="heading 2"/>
    <w:basedOn w:val="Normal"/>
    <w:next w:val="BodyText"/>
    <w:link w:val="Heading2Char"/>
    <w:uiPriority w:val="9"/>
    <w:unhideWhenUsed/>
    <w:qFormat/>
    <w:rsid w:val="00855505"/>
    <w:pPr>
      <w:keepNext/>
      <w:keepLines/>
      <w:numPr>
        <w:ilvl w:val="1"/>
        <w:numId w:val="4"/>
      </w:numPr>
      <w:spacing w:before="400" w:after="120" w:line="276" w:lineRule="auto"/>
      <w:outlineLvl w:val="1"/>
    </w:pPr>
    <w:rPr>
      <w:rFonts w:asciiTheme="majorHAnsi" w:eastAsiaTheme="majorEastAsia" w:hAnsiTheme="majorHAnsi"/>
      <w:b/>
      <w:bCs/>
      <w:color w:val="7AB800" w:themeColor="accent1"/>
      <w:sz w:val="32"/>
      <w:szCs w:val="32"/>
    </w:rPr>
  </w:style>
  <w:style w:type="paragraph" w:styleId="Heading3">
    <w:name w:val="heading 3"/>
    <w:basedOn w:val="Normal"/>
    <w:next w:val="BodyText"/>
    <w:link w:val="Heading3Char"/>
    <w:uiPriority w:val="9"/>
    <w:unhideWhenUsed/>
    <w:qFormat/>
    <w:rsid w:val="00855505"/>
    <w:pPr>
      <w:keepNext/>
      <w:keepLines/>
      <w:numPr>
        <w:ilvl w:val="2"/>
        <w:numId w:val="4"/>
      </w:numPr>
      <w:spacing w:before="400" w:after="120" w:line="276" w:lineRule="auto"/>
      <w:outlineLvl w:val="2"/>
    </w:pPr>
    <w:rPr>
      <w:rFonts w:asciiTheme="majorHAnsi" w:eastAsiaTheme="majorEastAsia" w:hAnsiTheme="majorHAnsi" w:cstheme="majorHAnsi"/>
      <w:b/>
      <w:bCs/>
      <w:color w:val="5F5F5F" w:themeColor="text2"/>
      <w:sz w:val="26"/>
      <w:szCs w:val="26"/>
    </w:rPr>
  </w:style>
  <w:style w:type="paragraph" w:styleId="Heading4">
    <w:name w:val="heading 4"/>
    <w:aliases w:val="(Numbered)"/>
    <w:basedOn w:val="Normal"/>
    <w:next w:val="BodyText"/>
    <w:link w:val="Heading4Char"/>
    <w:uiPriority w:val="9"/>
    <w:unhideWhenUsed/>
    <w:qFormat/>
    <w:rsid w:val="00855505"/>
    <w:pPr>
      <w:keepNext/>
      <w:keepLines/>
      <w:spacing w:before="400" w:after="120" w:line="276" w:lineRule="auto"/>
      <w:outlineLvl w:val="3"/>
    </w:pPr>
    <w:rPr>
      <w:rFonts w:eastAsiaTheme="majorEastAsia" w:cstheme="majorBidi"/>
      <w:b/>
      <w:bCs/>
      <w:iCs/>
      <w:color w:val="353D30" w:themeColor="accent2"/>
      <w:sz w:val="24"/>
      <w:szCs w:val="24"/>
    </w:rPr>
  </w:style>
  <w:style w:type="paragraph" w:styleId="Heading5">
    <w:name w:val="heading 5"/>
    <w:basedOn w:val="Normal"/>
    <w:next w:val="BodyText"/>
    <w:link w:val="Heading5Char"/>
    <w:uiPriority w:val="9"/>
    <w:unhideWhenUsed/>
    <w:qFormat/>
    <w:rsid w:val="00855505"/>
    <w:pPr>
      <w:keepNext/>
      <w:keepLines/>
      <w:spacing w:before="400" w:after="120" w:line="276" w:lineRule="auto"/>
      <w:outlineLvl w:val="4"/>
    </w:pPr>
    <w:rPr>
      <w:rFonts w:asciiTheme="majorHAnsi" w:eastAsiaTheme="majorEastAsia" w:hAnsiTheme="majorHAnsi" w:cstheme="majorBidi"/>
      <w:b/>
      <w:color w:val="5F5F5F" w:themeColor="text2"/>
      <w:sz w:val="24"/>
      <w:szCs w:val="24"/>
    </w:rPr>
  </w:style>
  <w:style w:type="paragraph" w:styleId="Heading6">
    <w:name w:val="heading 6"/>
    <w:basedOn w:val="Normal"/>
    <w:next w:val="BodyText"/>
    <w:link w:val="Heading6Char"/>
    <w:uiPriority w:val="9"/>
    <w:unhideWhenUsed/>
    <w:qFormat/>
    <w:rsid w:val="00855505"/>
    <w:pPr>
      <w:keepNext/>
      <w:keepLines/>
      <w:spacing w:before="400" w:after="120" w:line="276" w:lineRule="auto"/>
      <w:outlineLvl w:val="5"/>
    </w:pPr>
    <w:rPr>
      <w:rFonts w:asciiTheme="majorHAnsi" w:eastAsiaTheme="majorEastAsia" w:hAnsiTheme="majorHAnsi" w:cstheme="majorBidi"/>
      <w:b/>
      <w:iCs/>
      <w:color w:val="000000" w:themeColor="text1"/>
    </w:rPr>
  </w:style>
  <w:style w:type="paragraph" w:styleId="Heading7">
    <w:name w:val="heading 7"/>
    <w:basedOn w:val="Normal"/>
    <w:next w:val="BodyText"/>
    <w:link w:val="Heading7Char"/>
    <w:uiPriority w:val="9"/>
    <w:unhideWhenUsed/>
    <w:qFormat/>
    <w:rsid w:val="00855505"/>
    <w:pPr>
      <w:keepNext/>
      <w:keepLines/>
      <w:spacing w:before="400" w:after="120" w:line="276" w:lineRule="auto"/>
      <w:outlineLvl w:val="6"/>
    </w:pPr>
    <w:rPr>
      <w:rFonts w:asciiTheme="majorHAnsi" w:eastAsiaTheme="majorEastAsia" w:hAnsiTheme="majorHAnsi" w:cstheme="majorBidi"/>
      <w:b/>
      <w:iCs/>
      <w:color w:val="5F5F5F" w:themeColor="text2"/>
    </w:rPr>
  </w:style>
  <w:style w:type="paragraph" w:styleId="Heading8">
    <w:name w:val="heading 8"/>
    <w:basedOn w:val="Normal"/>
    <w:next w:val="Normal"/>
    <w:link w:val="Heading8Char"/>
    <w:uiPriority w:val="9"/>
    <w:semiHidden/>
    <w:rsid w:val="00890C4A"/>
    <w:pPr>
      <w:keepNext/>
      <w:keepLines/>
      <w:spacing w:before="400" w:after="120"/>
      <w:outlineLvl w:val="7"/>
    </w:pPr>
    <w:rPr>
      <w:rFonts w:asciiTheme="majorHAnsi" w:eastAsiaTheme="majorEastAsia" w:hAnsiTheme="majorHAnsi" w:cstheme="majorBidi"/>
      <w:b/>
    </w:rPr>
  </w:style>
  <w:style w:type="paragraph" w:styleId="Heading9">
    <w:name w:val="heading 9"/>
    <w:basedOn w:val="Heading8"/>
    <w:next w:val="Normal"/>
    <w:link w:val="Heading9Char"/>
    <w:uiPriority w:val="9"/>
    <w:semiHidden/>
    <w:qFormat/>
    <w:rsid w:val="00890C4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Item,TABLE,Figure,CDM B/Caption,Table Caption,c,col bullet,cb,Center Bold,cbbullet,col bulletcsb,u,C2 Col Bullet,6 chart,Center Bcbold,cb 10pt,column bullet,col bullet1,cb1,Chart,chart,Center ctBold,6,char,7 chart,col trailer,AWT Caption,Figures"/>
    <w:basedOn w:val="Normal"/>
    <w:next w:val="Normal"/>
    <w:link w:val="CaptionChar"/>
    <w:qFormat/>
    <w:rsid w:val="00C1443F"/>
    <w:pPr>
      <w:spacing w:after="120" w:line="276" w:lineRule="auto"/>
      <w:ind w:left="851" w:hanging="851"/>
    </w:pPr>
    <w:rPr>
      <w:b/>
      <w:bCs/>
      <w:color w:val="353D30" w:themeColor="accent2"/>
      <w:sz w:val="18"/>
      <w:szCs w:val="18"/>
    </w:rPr>
  </w:style>
  <w:style w:type="paragraph" w:styleId="NoSpacing">
    <w:name w:val="No Spacing"/>
    <w:basedOn w:val="Normal"/>
    <w:link w:val="NoSpacingChar"/>
    <w:uiPriority w:val="1"/>
    <w:qFormat/>
    <w:rsid w:val="00C1443F"/>
  </w:style>
  <w:style w:type="paragraph" w:customStyle="1" w:styleId="ChapterHeading">
    <w:name w:val="Chapter Heading"/>
    <w:basedOn w:val="Heading1"/>
    <w:next w:val="Normal"/>
    <w:link w:val="ChapterHeadingChar"/>
    <w:semiHidden/>
    <w:rsid w:val="00394141"/>
    <w:pPr>
      <w:numPr>
        <w:numId w:val="0"/>
      </w:numPr>
      <w:ind w:left="567" w:hanging="567"/>
      <w:outlineLvl w:val="9"/>
    </w:pPr>
    <w:rPr>
      <w:b/>
      <w:spacing w:val="5"/>
      <w:kern w:val="28"/>
      <w:sz w:val="70"/>
      <w:szCs w:val="70"/>
    </w:rPr>
  </w:style>
  <w:style w:type="character" w:customStyle="1" w:styleId="ChapterHeadingChar">
    <w:name w:val="Chapter Heading Char"/>
    <w:basedOn w:val="TitleChar"/>
    <w:link w:val="ChapterHeading"/>
    <w:semiHidden/>
    <w:rsid w:val="00C04FF0"/>
    <w:rPr>
      <w:rFonts w:asciiTheme="majorHAnsi" w:eastAsiaTheme="majorEastAsia" w:hAnsiTheme="majorHAnsi" w:cstheme="majorHAnsi"/>
      <w:bCs/>
      <w:color w:val="7AB800" w:themeColor="accent1"/>
      <w:spacing w:val="5"/>
      <w:kern w:val="28"/>
      <w:sz w:val="70"/>
      <w:szCs w:val="70"/>
      <w:lang w:val="en-GB"/>
    </w:rPr>
  </w:style>
  <w:style w:type="character" w:customStyle="1" w:styleId="Heading1Char">
    <w:name w:val="Heading 1 Char"/>
    <w:basedOn w:val="DefaultParagraphFont"/>
    <w:link w:val="Heading1"/>
    <w:uiPriority w:val="9"/>
    <w:rsid w:val="00855505"/>
    <w:rPr>
      <w:rFonts w:asciiTheme="majorHAnsi" w:eastAsiaTheme="majorEastAsia" w:hAnsiTheme="majorHAnsi" w:cstheme="majorHAnsi"/>
      <w:bCs/>
      <w:color w:val="5F5F5F" w:themeColor="text2"/>
      <w:sz w:val="40"/>
      <w:szCs w:val="40"/>
      <w:lang w:val="en-GB"/>
    </w:rPr>
  </w:style>
  <w:style w:type="paragraph" w:customStyle="1" w:styleId="Section">
    <w:name w:val="Section"/>
    <w:basedOn w:val="Title"/>
    <w:link w:val="SectionChar"/>
    <w:qFormat/>
    <w:rsid w:val="003C5292"/>
  </w:style>
  <w:style w:type="character" w:customStyle="1" w:styleId="SectionChar">
    <w:name w:val="Section Char"/>
    <w:basedOn w:val="TitleChar"/>
    <w:link w:val="Section"/>
    <w:rsid w:val="003C5292"/>
    <w:rPr>
      <w:rFonts w:ascii="Arial" w:eastAsiaTheme="majorEastAsia" w:hAnsi="Arial" w:cstheme="majorBidi"/>
      <w:color w:val="7AB800" w:themeColor="accent1"/>
      <w:spacing w:val="5"/>
      <w:kern w:val="28"/>
      <w:sz w:val="70"/>
      <w:szCs w:val="52"/>
    </w:rPr>
  </w:style>
  <w:style w:type="paragraph" w:styleId="Title">
    <w:name w:val="Title"/>
    <w:basedOn w:val="Normal"/>
    <w:next w:val="Normal"/>
    <w:link w:val="TitleChar"/>
    <w:uiPriority w:val="10"/>
    <w:semiHidden/>
    <w:qFormat/>
    <w:rsid w:val="00890C4A"/>
    <w:pPr>
      <w:spacing w:after="300"/>
      <w:contextualSpacing/>
    </w:pPr>
    <w:rPr>
      <w:rFonts w:ascii="Arial" w:eastAsiaTheme="majorEastAsia" w:hAnsi="Arial" w:cstheme="majorBidi"/>
      <w:color w:val="7AB800" w:themeColor="accent1"/>
      <w:spacing w:val="5"/>
      <w:kern w:val="28"/>
      <w:sz w:val="70"/>
      <w:szCs w:val="52"/>
      <w:lang w:val="en-AU"/>
    </w:rPr>
  </w:style>
  <w:style w:type="character" w:customStyle="1" w:styleId="TitleChar">
    <w:name w:val="Title Char"/>
    <w:basedOn w:val="DefaultParagraphFont"/>
    <w:link w:val="Title"/>
    <w:uiPriority w:val="10"/>
    <w:semiHidden/>
    <w:rsid w:val="00890C4A"/>
    <w:rPr>
      <w:rFonts w:ascii="Arial" w:eastAsiaTheme="majorEastAsia" w:hAnsi="Arial" w:cstheme="majorBidi"/>
      <w:color w:val="7AB800" w:themeColor="accent1"/>
      <w:spacing w:val="5"/>
      <w:kern w:val="28"/>
      <w:sz w:val="70"/>
      <w:szCs w:val="52"/>
    </w:rPr>
  </w:style>
  <w:style w:type="paragraph" w:customStyle="1" w:styleId="DividerTitle">
    <w:name w:val="Divider Title"/>
    <w:basedOn w:val="Normal"/>
    <w:link w:val="DividerTitleChar"/>
    <w:semiHidden/>
    <w:qFormat/>
    <w:rsid w:val="003C5292"/>
    <w:pPr>
      <w:keepNext/>
      <w:keepLines/>
      <w:spacing w:before="170" w:after="113"/>
      <w:ind w:left="567" w:hanging="567"/>
    </w:pPr>
    <w:rPr>
      <w:rFonts w:asciiTheme="majorHAnsi" w:eastAsiaTheme="majorEastAsia" w:hAnsiTheme="majorHAnsi" w:cstheme="majorHAnsi"/>
      <w:bCs/>
      <w:color w:val="FFFFFF" w:themeColor="background1"/>
      <w:spacing w:val="5"/>
      <w:kern w:val="28"/>
      <w:sz w:val="70"/>
      <w:szCs w:val="70"/>
      <w:lang w:val="en-AU"/>
    </w:rPr>
  </w:style>
  <w:style w:type="character" w:customStyle="1" w:styleId="DividerTitleChar">
    <w:name w:val="Divider Title Char"/>
    <w:basedOn w:val="DefaultParagraphFont"/>
    <w:link w:val="DividerTitle"/>
    <w:semiHidden/>
    <w:rsid w:val="003C5292"/>
    <w:rPr>
      <w:rFonts w:asciiTheme="majorHAnsi" w:eastAsiaTheme="majorEastAsia" w:hAnsiTheme="majorHAnsi" w:cstheme="majorHAnsi"/>
      <w:bCs/>
      <w:color w:val="FFFFFF" w:themeColor="background1"/>
      <w:spacing w:val="5"/>
      <w:kern w:val="28"/>
      <w:sz w:val="70"/>
      <w:szCs w:val="70"/>
    </w:rPr>
  </w:style>
  <w:style w:type="paragraph" w:styleId="TOC1">
    <w:name w:val="toc 1"/>
    <w:basedOn w:val="Normal"/>
    <w:next w:val="Normal"/>
    <w:uiPriority w:val="39"/>
    <w:unhideWhenUsed/>
    <w:rsid w:val="00F26EB1"/>
    <w:pPr>
      <w:tabs>
        <w:tab w:val="left" w:pos="709"/>
        <w:tab w:val="right" w:leader="dot" w:pos="9638"/>
      </w:tabs>
      <w:spacing w:before="240" w:after="60" w:line="276" w:lineRule="auto"/>
      <w:ind w:left="720" w:hanging="720"/>
      <w:contextualSpacing/>
    </w:pPr>
    <w:rPr>
      <w:b/>
      <w:noProof/>
      <w:color w:val="353D30" w:themeColor="accent2"/>
    </w:rPr>
  </w:style>
  <w:style w:type="paragraph" w:customStyle="1" w:styleId="InfoBoxInfoTitle">
    <w:name w:val="InfoBox Info Title"/>
    <w:basedOn w:val="Normal"/>
    <w:semiHidden/>
    <w:qFormat/>
    <w:rsid w:val="003C5292"/>
    <w:pPr>
      <w:spacing w:before="100" w:after="30"/>
    </w:pPr>
    <w:rPr>
      <w:b/>
      <w:color w:val="353D30" w:themeColor="accent2"/>
      <w:sz w:val="17"/>
    </w:rPr>
  </w:style>
  <w:style w:type="paragraph" w:customStyle="1" w:styleId="InfoBoxInfoText">
    <w:name w:val="InfoBox Info Text"/>
    <w:basedOn w:val="InfoBoxInfoTitle"/>
    <w:semiHidden/>
    <w:qFormat/>
    <w:rsid w:val="003C5292"/>
    <w:pPr>
      <w:spacing w:before="10"/>
    </w:pPr>
    <w:rPr>
      <w:b w:val="0"/>
      <w:color w:val="auto"/>
    </w:rPr>
  </w:style>
  <w:style w:type="paragraph" w:customStyle="1" w:styleId="InfoBoxNormal">
    <w:name w:val="InfoBox Normal"/>
    <w:basedOn w:val="InfoBoxInfoText"/>
    <w:semiHidden/>
    <w:qFormat/>
    <w:rsid w:val="003C5292"/>
    <w:pPr>
      <w:spacing w:before="0" w:after="0" w:line="260" w:lineRule="exact"/>
    </w:pPr>
    <w:rPr>
      <w:sz w:val="18"/>
    </w:rPr>
  </w:style>
  <w:style w:type="paragraph" w:customStyle="1" w:styleId="InfoBoxHeading2">
    <w:name w:val="InfoBox Heading 2"/>
    <w:basedOn w:val="InfoBoxNormal"/>
    <w:semiHidden/>
    <w:qFormat/>
    <w:rsid w:val="003C5292"/>
    <w:pPr>
      <w:spacing w:before="30" w:after="30"/>
    </w:pPr>
    <w:rPr>
      <w:b/>
    </w:rPr>
  </w:style>
  <w:style w:type="paragraph" w:customStyle="1" w:styleId="InfoBoxHeading1">
    <w:name w:val="InfoBox Heading 1"/>
    <w:basedOn w:val="InfoBoxHeading2"/>
    <w:semiHidden/>
    <w:qFormat/>
    <w:rsid w:val="003C5292"/>
    <w:pPr>
      <w:spacing w:before="200" w:after="120" w:line="240" w:lineRule="auto"/>
    </w:pPr>
    <w:rPr>
      <w:color w:val="353D30" w:themeColor="accent2"/>
      <w:sz w:val="28"/>
    </w:rPr>
  </w:style>
  <w:style w:type="paragraph" w:customStyle="1" w:styleId="InfoBoxIntroText">
    <w:name w:val="InfoBox Intro Text"/>
    <w:basedOn w:val="Normal"/>
    <w:link w:val="InfoBoxIntroTextChar"/>
    <w:semiHidden/>
    <w:qFormat/>
    <w:rsid w:val="003C5292"/>
    <w:pPr>
      <w:spacing w:after="113" w:line="280" w:lineRule="exact"/>
    </w:pPr>
    <w:rPr>
      <w:rFonts w:ascii="Arial" w:eastAsia="Times New Roman" w:hAnsi="Arial" w:cs="Arial"/>
      <w:color w:val="353D30" w:themeColor="accent2"/>
      <w:sz w:val="24"/>
      <w:szCs w:val="24"/>
      <w:lang w:val="en-AU"/>
    </w:rPr>
  </w:style>
  <w:style w:type="character" w:customStyle="1" w:styleId="InfoBoxIntroTextChar">
    <w:name w:val="InfoBox Intro Text Char"/>
    <w:basedOn w:val="DefaultParagraphFont"/>
    <w:link w:val="InfoBoxIntroText"/>
    <w:semiHidden/>
    <w:rsid w:val="003C5292"/>
    <w:rPr>
      <w:rFonts w:ascii="Arial" w:eastAsia="Times New Roman" w:hAnsi="Arial" w:cs="Arial"/>
      <w:color w:val="353D30" w:themeColor="accent2"/>
      <w:sz w:val="24"/>
      <w:szCs w:val="24"/>
    </w:rPr>
  </w:style>
  <w:style w:type="paragraph" w:customStyle="1" w:styleId="InfoBoxTitle">
    <w:name w:val="InfoBox Title"/>
    <w:basedOn w:val="Normal"/>
    <w:link w:val="InfoBoxTitleChar"/>
    <w:semiHidden/>
    <w:qFormat/>
    <w:rsid w:val="003C5292"/>
    <w:pPr>
      <w:spacing w:after="160"/>
    </w:pPr>
    <w:rPr>
      <w:rFonts w:ascii="Arial" w:eastAsia="Times New Roman" w:hAnsi="Arial"/>
      <w:b/>
      <w:color w:val="353D30"/>
      <w:sz w:val="40"/>
      <w:szCs w:val="40"/>
      <w:lang w:val="en-AU"/>
    </w:rPr>
  </w:style>
  <w:style w:type="character" w:customStyle="1" w:styleId="InfoBoxTitleChar">
    <w:name w:val="InfoBox Title Char"/>
    <w:basedOn w:val="DefaultParagraphFont"/>
    <w:link w:val="InfoBoxTitle"/>
    <w:semiHidden/>
    <w:rsid w:val="003C5292"/>
    <w:rPr>
      <w:rFonts w:ascii="Arial" w:eastAsia="Times New Roman" w:hAnsi="Arial"/>
      <w:b/>
      <w:color w:val="353D30"/>
      <w:sz w:val="40"/>
      <w:szCs w:val="40"/>
    </w:rPr>
  </w:style>
  <w:style w:type="paragraph" w:customStyle="1" w:styleId="InfoBoxSubtitle">
    <w:name w:val="InfoBox Subtitle"/>
    <w:basedOn w:val="Normal"/>
    <w:link w:val="InfoBoxSubtitleChar"/>
    <w:semiHidden/>
    <w:qFormat/>
    <w:rsid w:val="003C5292"/>
    <w:pPr>
      <w:spacing w:after="160"/>
    </w:pPr>
    <w:rPr>
      <w:rFonts w:ascii="Arial" w:eastAsia="Times New Roman" w:hAnsi="Arial"/>
      <w:color w:val="353D30"/>
      <w:sz w:val="40"/>
      <w:szCs w:val="40"/>
      <w:lang w:val="en-AU"/>
    </w:rPr>
  </w:style>
  <w:style w:type="character" w:customStyle="1" w:styleId="InfoBoxSubtitleChar">
    <w:name w:val="InfoBox Subtitle Char"/>
    <w:basedOn w:val="DefaultParagraphFont"/>
    <w:link w:val="InfoBoxSubtitle"/>
    <w:semiHidden/>
    <w:rsid w:val="003C5292"/>
    <w:rPr>
      <w:rFonts w:ascii="Arial" w:eastAsia="Times New Roman" w:hAnsi="Arial"/>
      <w:color w:val="353D30"/>
      <w:sz w:val="40"/>
      <w:szCs w:val="40"/>
    </w:rPr>
  </w:style>
  <w:style w:type="paragraph" w:customStyle="1" w:styleId="H1">
    <w:name w:val="H1"/>
    <w:basedOn w:val="Heading1"/>
    <w:link w:val="H1Char"/>
    <w:semiHidden/>
    <w:qFormat/>
    <w:rsid w:val="003C5292"/>
    <w:pPr>
      <w:numPr>
        <w:numId w:val="0"/>
      </w:numPr>
      <w:ind w:left="1134" w:hanging="1134"/>
    </w:pPr>
    <w:rPr>
      <w:color w:val="7AB800" w:themeColor="accent1"/>
      <w:sz w:val="28"/>
      <w:szCs w:val="28"/>
    </w:rPr>
  </w:style>
  <w:style w:type="character" w:customStyle="1" w:styleId="H1Char">
    <w:name w:val="H1 Char"/>
    <w:basedOn w:val="Heading1Char"/>
    <w:link w:val="H1"/>
    <w:semiHidden/>
    <w:rsid w:val="003C5292"/>
    <w:rPr>
      <w:rFonts w:asciiTheme="majorHAnsi" w:eastAsiaTheme="majorEastAsia" w:hAnsiTheme="majorHAnsi" w:cstheme="majorHAnsi"/>
      <w:bCs/>
      <w:color w:val="7AB800" w:themeColor="accent1"/>
      <w:sz w:val="28"/>
      <w:szCs w:val="28"/>
      <w:lang w:val="en-GB"/>
    </w:rPr>
  </w:style>
  <w:style w:type="paragraph" w:customStyle="1" w:styleId="H3">
    <w:name w:val="H3"/>
    <w:basedOn w:val="H1"/>
    <w:next w:val="Normal"/>
    <w:link w:val="H3Char"/>
    <w:semiHidden/>
    <w:qFormat/>
    <w:rsid w:val="003C5292"/>
    <w:pPr>
      <w:spacing w:line="240" w:lineRule="exact"/>
      <w:ind w:left="0" w:firstLine="0"/>
    </w:pPr>
  </w:style>
  <w:style w:type="character" w:customStyle="1" w:styleId="H3Char">
    <w:name w:val="H3 Char"/>
    <w:basedOn w:val="H1Char"/>
    <w:link w:val="H3"/>
    <w:semiHidden/>
    <w:rsid w:val="003C5292"/>
    <w:rPr>
      <w:rFonts w:asciiTheme="majorHAnsi" w:eastAsiaTheme="majorEastAsia" w:hAnsiTheme="majorHAnsi" w:cstheme="majorHAnsi"/>
      <w:bCs/>
      <w:color w:val="7AB800" w:themeColor="accent1"/>
      <w:sz w:val="28"/>
      <w:szCs w:val="28"/>
      <w:lang w:val="en-GB"/>
    </w:rPr>
  </w:style>
  <w:style w:type="paragraph" w:customStyle="1" w:styleId="InfoBoxSubtitle2">
    <w:name w:val="InfoBox Subtitle 2"/>
    <w:basedOn w:val="Normal"/>
    <w:link w:val="InfoBoxSubtitle2Char"/>
    <w:semiHidden/>
    <w:qFormat/>
    <w:rsid w:val="003C5292"/>
    <w:pPr>
      <w:spacing w:after="160"/>
    </w:pPr>
    <w:rPr>
      <w:rFonts w:ascii="Arial" w:hAnsi="Arial"/>
      <w:sz w:val="28"/>
      <w:szCs w:val="28"/>
      <w:lang w:val="en-AU"/>
    </w:rPr>
  </w:style>
  <w:style w:type="character" w:customStyle="1" w:styleId="InfoBoxSubtitle2Char">
    <w:name w:val="InfoBox Subtitle 2 Char"/>
    <w:basedOn w:val="DefaultParagraphFont"/>
    <w:link w:val="InfoBoxSubtitle2"/>
    <w:semiHidden/>
    <w:rsid w:val="003C5292"/>
    <w:rPr>
      <w:rFonts w:ascii="Arial" w:hAnsi="Arial"/>
      <w:sz w:val="28"/>
      <w:szCs w:val="28"/>
    </w:rPr>
  </w:style>
  <w:style w:type="paragraph" w:customStyle="1" w:styleId="InfoBoxTitle2">
    <w:name w:val="InfoBox Title 2"/>
    <w:basedOn w:val="Normal"/>
    <w:link w:val="InfoBoxTitle2Char"/>
    <w:semiHidden/>
    <w:qFormat/>
    <w:rsid w:val="003C5292"/>
    <w:pPr>
      <w:spacing w:after="160"/>
    </w:pPr>
    <w:rPr>
      <w:rFonts w:ascii="Arial" w:hAnsi="Arial"/>
      <w:b/>
      <w:color w:val="353D30" w:themeColor="accent2"/>
      <w:sz w:val="28"/>
      <w:szCs w:val="28"/>
      <w:lang w:val="en-AU"/>
    </w:rPr>
  </w:style>
  <w:style w:type="character" w:customStyle="1" w:styleId="InfoBoxTitle2Char">
    <w:name w:val="InfoBox Title 2 Char"/>
    <w:basedOn w:val="DefaultParagraphFont"/>
    <w:link w:val="InfoBoxTitle2"/>
    <w:semiHidden/>
    <w:rsid w:val="003C5292"/>
    <w:rPr>
      <w:rFonts w:ascii="Arial" w:hAnsi="Arial"/>
      <w:b/>
      <w:color w:val="353D30" w:themeColor="accent2"/>
      <w:sz w:val="28"/>
      <w:szCs w:val="28"/>
    </w:rPr>
  </w:style>
  <w:style w:type="paragraph" w:customStyle="1" w:styleId="SingleLineSpacingText">
    <w:name w:val="Single Line Spacing Text"/>
    <w:next w:val="Normal"/>
    <w:semiHidden/>
    <w:qFormat/>
    <w:rsid w:val="003C5292"/>
    <w:pPr>
      <w:spacing w:after="0" w:line="240" w:lineRule="auto"/>
    </w:pPr>
    <w:rPr>
      <w:rFonts w:ascii="Arial" w:hAnsi="Arial" w:cs="Arial"/>
    </w:rPr>
  </w:style>
  <w:style w:type="paragraph" w:customStyle="1" w:styleId="Bullet1">
    <w:name w:val="Bullet 1"/>
    <w:basedOn w:val="Normal"/>
    <w:qFormat/>
    <w:rsid w:val="007405F7"/>
    <w:pPr>
      <w:numPr>
        <w:numId w:val="6"/>
      </w:numPr>
      <w:spacing w:after="120" w:line="276" w:lineRule="auto"/>
    </w:pPr>
    <w:rPr>
      <w:rFonts w:ascii="Arial" w:hAnsi="Arial"/>
    </w:rPr>
  </w:style>
  <w:style w:type="paragraph" w:styleId="ListParagraph">
    <w:name w:val="List Paragraph"/>
    <w:basedOn w:val="Normal"/>
    <w:uiPriority w:val="34"/>
    <w:semiHidden/>
    <w:rsid w:val="00394141"/>
    <w:pPr>
      <w:ind w:left="720"/>
      <w:contextualSpacing/>
    </w:pPr>
  </w:style>
  <w:style w:type="paragraph" w:customStyle="1" w:styleId="Bullet2">
    <w:name w:val="Bullet 2"/>
    <w:basedOn w:val="Normal"/>
    <w:qFormat/>
    <w:rsid w:val="007405F7"/>
    <w:pPr>
      <w:numPr>
        <w:ilvl w:val="1"/>
        <w:numId w:val="6"/>
      </w:numPr>
      <w:spacing w:after="120" w:line="276" w:lineRule="auto"/>
    </w:pPr>
    <w:rPr>
      <w:rFonts w:ascii="Arial" w:hAnsi="Arial"/>
    </w:rPr>
  </w:style>
  <w:style w:type="paragraph" w:customStyle="1" w:styleId="Bullet3">
    <w:name w:val="Bullet 3"/>
    <w:basedOn w:val="Normal"/>
    <w:qFormat/>
    <w:rsid w:val="007405F7"/>
    <w:pPr>
      <w:numPr>
        <w:ilvl w:val="2"/>
        <w:numId w:val="6"/>
      </w:numPr>
      <w:spacing w:after="120" w:line="276" w:lineRule="auto"/>
    </w:pPr>
    <w:rPr>
      <w:rFonts w:ascii="Arial" w:hAnsi="Arial"/>
    </w:rPr>
  </w:style>
  <w:style w:type="character" w:customStyle="1" w:styleId="Heading2Char">
    <w:name w:val="Heading 2 Char"/>
    <w:basedOn w:val="DefaultParagraphFont"/>
    <w:link w:val="Heading2"/>
    <w:uiPriority w:val="9"/>
    <w:rsid w:val="00855505"/>
    <w:rPr>
      <w:rFonts w:asciiTheme="majorHAnsi" w:eastAsiaTheme="majorEastAsia" w:hAnsiTheme="majorHAnsi"/>
      <w:b/>
      <w:bCs/>
      <w:color w:val="7AB800" w:themeColor="accent1"/>
      <w:sz w:val="32"/>
      <w:szCs w:val="32"/>
      <w:lang w:val="en-GB"/>
    </w:rPr>
  </w:style>
  <w:style w:type="character" w:customStyle="1" w:styleId="Heading3Char">
    <w:name w:val="Heading 3 Char"/>
    <w:basedOn w:val="DefaultParagraphFont"/>
    <w:link w:val="Heading3"/>
    <w:uiPriority w:val="9"/>
    <w:rsid w:val="00855505"/>
    <w:rPr>
      <w:rFonts w:asciiTheme="majorHAnsi" w:eastAsiaTheme="majorEastAsia" w:hAnsiTheme="majorHAnsi" w:cstheme="majorHAnsi"/>
      <w:b/>
      <w:bCs/>
      <w:color w:val="5F5F5F" w:themeColor="text2"/>
      <w:sz w:val="26"/>
      <w:szCs w:val="26"/>
      <w:lang w:val="en-GB"/>
    </w:rPr>
  </w:style>
  <w:style w:type="character" w:customStyle="1" w:styleId="Heading4Char">
    <w:name w:val="Heading 4 Char"/>
    <w:aliases w:val="(Numbered) Char"/>
    <w:basedOn w:val="DefaultParagraphFont"/>
    <w:link w:val="Heading4"/>
    <w:uiPriority w:val="9"/>
    <w:rsid w:val="00855505"/>
    <w:rPr>
      <w:rFonts w:eastAsiaTheme="majorEastAsia" w:cstheme="majorBidi"/>
      <w:b/>
      <w:bCs/>
      <w:iCs/>
      <w:color w:val="353D30" w:themeColor="accent2"/>
      <w:sz w:val="24"/>
      <w:szCs w:val="24"/>
      <w:lang w:val="en-GB"/>
    </w:rPr>
  </w:style>
  <w:style w:type="character" w:customStyle="1" w:styleId="Heading6Char">
    <w:name w:val="Heading 6 Char"/>
    <w:basedOn w:val="DefaultParagraphFont"/>
    <w:link w:val="Heading6"/>
    <w:uiPriority w:val="9"/>
    <w:rsid w:val="00855505"/>
    <w:rPr>
      <w:rFonts w:asciiTheme="majorHAnsi" w:eastAsiaTheme="majorEastAsia" w:hAnsiTheme="majorHAnsi" w:cstheme="majorBidi"/>
      <w:b/>
      <w:iCs/>
      <w:color w:val="000000" w:themeColor="text1"/>
      <w:lang w:val="en-GB"/>
    </w:rPr>
  </w:style>
  <w:style w:type="character" w:customStyle="1" w:styleId="Heading7Char">
    <w:name w:val="Heading 7 Char"/>
    <w:basedOn w:val="DefaultParagraphFont"/>
    <w:link w:val="Heading7"/>
    <w:uiPriority w:val="9"/>
    <w:rsid w:val="00855505"/>
    <w:rPr>
      <w:rFonts w:asciiTheme="majorHAnsi" w:eastAsiaTheme="majorEastAsia" w:hAnsiTheme="majorHAnsi" w:cstheme="majorBidi"/>
      <w:b/>
      <w:iCs/>
      <w:color w:val="5F5F5F" w:themeColor="text2"/>
      <w:lang w:val="en-GB"/>
    </w:rPr>
  </w:style>
  <w:style w:type="character" w:customStyle="1" w:styleId="Heading8Char">
    <w:name w:val="Heading 8 Char"/>
    <w:basedOn w:val="DefaultParagraphFont"/>
    <w:link w:val="Heading8"/>
    <w:uiPriority w:val="9"/>
    <w:semiHidden/>
    <w:rsid w:val="00890C4A"/>
    <w:rPr>
      <w:rFonts w:asciiTheme="majorHAnsi" w:eastAsiaTheme="majorEastAsia" w:hAnsiTheme="majorHAnsi" w:cstheme="majorBidi"/>
      <w:b/>
      <w:lang w:val="en-GB"/>
    </w:rPr>
  </w:style>
  <w:style w:type="character" w:customStyle="1" w:styleId="Heading9Char">
    <w:name w:val="Heading 9 Char"/>
    <w:basedOn w:val="DefaultParagraphFont"/>
    <w:link w:val="Heading9"/>
    <w:uiPriority w:val="9"/>
    <w:semiHidden/>
    <w:rsid w:val="00890C4A"/>
    <w:rPr>
      <w:rFonts w:asciiTheme="majorHAnsi" w:eastAsiaTheme="majorEastAsia" w:hAnsiTheme="majorHAnsi" w:cstheme="majorBidi"/>
      <w:b/>
      <w:lang w:val="en-GB"/>
    </w:rPr>
  </w:style>
  <w:style w:type="paragraph" w:styleId="Subtitle">
    <w:name w:val="Subtitle"/>
    <w:basedOn w:val="Normal"/>
    <w:next w:val="Normal"/>
    <w:link w:val="SubtitleChar"/>
    <w:uiPriority w:val="11"/>
    <w:semiHidden/>
    <w:qFormat/>
    <w:rsid w:val="003C5292"/>
    <w:pPr>
      <w:numPr>
        <w:ilvl w:val="1"/>
      </w:numPr>
    </w:pPr>
    <w:rPr>
      <w:rFonts w:asciiTheme="majorHAnsi" w:eastAsiaTheme="majorEastAsia" w:hAnsiTheme="majorHAnsi" w:cstheme="majorBidi"/>
      <w:i/>
      <w:iCs/>
      <w:color w:val="7AB800" w:themeColor="accent1"/>
      <w:spacing w:val="15"/>
      <w:sz w:val="24"/>
      <w:szCs w:val="24"/>
      <w:lang w:val="en-AU"/>
    </w:rPr>
  </w:style>
  <w:style w:type="character" w:customStyle="1" w:styleId="SubtitleChar">
    <w:name w:val="Subtitle Char"/>
    <w:basedOn w:val="DefaultParagraphFont"/>
    <w:link w:val="Subtitle"/>
    <w:uiPriority w:val="11"/>
    <w:semiHidden/>
    <w:rsid w:val="003C5292"/>
    <w:rPr>
      <w:rFonts w:asciiTheme="majorHAnsi" w:eastAsiaTheme="majorEastAsia" w:hAnsiTheme="majorHAnsi" w:cstheme="majorBidi"/>
      <w:i/>
      <w:iCs/>
      <w:color w:val="7AB800" w:themeColor="accent1"/>
      <w:spacing w:val="15"/>
      <w:sz w:val="24"/>
      <w:szCs w:val="24"/>
    </w:rPr>
  </w:style>
  <w:style w:type="character" w:styleId="Strong">
    <w:name w:val="Strong"/>
    <w:uiPriority w:val="22"/>
    <w:semiHidden/>
    <w:qFormat/>
    <w:rsid w:val="003C5292"/>
    <w:rPr>
      <w:b/>
      <w:bCs/>
    </w:rPr>
  </w:style>
  <w:style w:type="character" w:styleId="Emphasis">
    <w:name w:val="Emphasis"/>
    <w:uiPriority w:val="20"/>
    <w:semiHidden/>
    <w:qFormat/>
    <w:rsid w:val="003C5292"/>
    <w:rPr>
      <w:i/>
      <w:iCs/>
    </w:rPr>
  </w:style>
  <w:style w:type="character" w:customStyle="1" w:styleId="NoSpacingChar">
    <w:name w:val="No Spacing Char"/>
    <w:basedOn w:val="DefaultParagraphFont"/>
    <w:link w:val="NoSpacing"/>
    <w:uiPriority w:val="1"/>
    <w:rsid w:val="00C1443F"/>
    <w:rPr>
      <w:lang w:val="en-GB"/>
    </w:rPr>
  </w:style>
  <w:style w:type="paragraph" w:styleId="Quote">
    <w:name w:val="Quote"/>
    <w:basedOn w:val="Normal"/>
    <w:next w:val="Normal"/>
    <w:link w:val="QuoteChar"/>
    <w:uiPriority w:val="29"/>
    <w:semiHidden/>
    <w:qFormat/>
    <w:rsid w:val="003C5292"/>
    <w:rPr>
      <w:rFonts w:ascii="Arial" w:hAnsi="Arial" w:cs="Arial"/>
      <w:i/>
      <w:iCs/>
      <w:color w:val="000000" w:themeColor="text1"/>
      <w:lang w:val="en-AU"/>
    </w:rPr>
  </w:style>
  <w:style w:type="character" w:customStyle="1" w:styleId="QuoteChar">
    <w:name w:val="Quote Char"/>
    <w:basedOn w:val="DefaultParagraphFont"/>
    <w:link w:val="Quote"/>
    <w:uiPriority w:val="29"/>
    <w:semiHidden/>
    <w:rsid w:val="003C5292"/>
    <w:rPr>
      <w:rFonts w:ascii="Arial" w:hAnsi="Arial" w:cs="Arial"/>
      <w:i/>
      <w:iCs/>
      <w:color w:val="000000" w:themeColor="text1"/>
    </w:rPr>
  </w:style>
  <w:style w:type="paragraph" w:styleId="IntenseQuote">
    <w:name w:val="Intense Quote"/>
    <w:basedOn w:val="Normal"/>
    <w:next w:val="Normal"/>
    <w:link w:val="IntenseQuoteChar"/>
    <w:uiPriority w:val="30"/>
    <w:semiHidden/>
    <w:qFormat/>
    <w:rsid w:val="003C5292"/>
    <w:pPr>
      <w:pBdr>
        <w:bottom w:val="single" w:sz="4" w:space="4" w:color="7AB800" w:themeColor="accent1"/>
      </w:pBdr>
      <w:spacing w:before="200" w:after="280"/>
      <w:ind w:left="936" w:right="936"/>
    </w:pPr>
    <w:rPr>
      <w:rFonts w:ascii="Arial" w:hAnsi="Arial" w:cs="Arial"/>
      <w:b/>
      <w:bCs/>
      <w:i/>
      <w:iCs/>
      <w:color w:val="7AB800" w:themeColor="accent1"/>
      <w:lang w:val="en-AU"/>
    </w:rPr>
  </w:style>
  <w:style w:type="character" w:customStyle="1" w:styleId="IntenseQuoteChar">
    <w:name w:val="Intense Quote Char"/>
    <w:basedOn w:val="DefaultParagraphFont"/>
    <w:link w:val="IntenseQuote"/>
    <w:uiPriority w:val="30"/>
    <w:semiHidden/>
    <w:rsid w:val="003C5292"/>
    <w:rPr>
      <w:rFonts w:ascii="Arial" w:hAnsi="Arial" w:cs="Arial"/>
      <w:b/>
      <w:bCs/>
      <w:i/>
      <w:iCs/>
      <w:color w:val="7AB800" w:themeColor="accent1"/>
    </w:rPr>
  </w:style>
  <w:style w:type="character" w:styleId="SubtleEmphasis">
    <w:name w:val="Subtle Emphasis"/>
    <w:uiPriority w:val="19"/>
    <w:semiHidden/>
    <w:qFormat/>
    <w:rsid w:val="003C5292"/>
    <w:rPr>
      <w:i/>
      <w:iCs/>
      <w:color w:val="808080" w:themeColor="text1" w:themeTint="7F"/>
    </w:rPr>
  </w:style>
  <w:style w:type="character" w:styleId="IntenseEmphasis">
    <w:name w:val="Intense Emphasis"/>
    <w:uiPriority w:val="21"/>
    <w:semiHidden/>
    <w:qFormat/>
    <w:rsid w:val="003C5292"/>
    <w:rPr>
      <w:b/>
      <w:bCs/>
      <w:i/>
      <w:iCs/>
      <w:color w:val="7AB800" w:themeColor="accent1"/>
    </w:rPr>
  </w:style>
  <w:style w:type="character" w:styleId="SubtleReference">
    <w:name w:val="Subtle Reference"/>
    <w:uiPriority w:val="31"/>
    <w:semiHidden/>
    <w:qFormat/>
    <w:rsid w:val="003C5292"/>
    <w:rPr>
      <w:smallCaps/>
      <w:color w:val="353D30" w:themeColor="accent2"/>
      <w:u w:val="single"/>
    </w:rPr>
  </w:style>
  <w:style w:type="character" w:styleId="IntenseReference">
    <w:name w:val="Intense Reference"/>
    <w:uiPriority w:val="32"/>
    <w:semiHidden/>
    <w:qFormat/>
    <w:rsid w:val="003C5292"/>
    <w:rPr>
      <w:b/>
      <w:bCs/>
      <w:smallCaps/>
      <w:color w:val="353D30" w:themeColor="accent2"/>
      <w:spacing w:val="5"/>
      <w:u w:val="single"/>
    </w:rPr>
  </w:style>
  <w:style w:type="paragraph" w:styleId="TOCHeading">
    <w:name w:val="TOC Heading"/>
    <w:basedOn w:val="Heading1"/>
    <w:next w:val="Normal"/>
    <w:uiPriority w:val="39"/>
    <w:semiHidden/>
    <w:rsid w:val="00890C4A"/>
    <w:pPr>
      <w:numPr>
        <w:numId w:val="0"/>
      </w:numPr>
      <w:spacing w:before="480" w:after="0"/>
      <w:outlineLvl w:val="9"/>
    </w:pPr>
    <w:rPr>
      <w:rFonts w:cstheme="majorBidi"/>
      <w:color w:val="5B8900" w:themeColor="accent1" w:themeShade="BF"/>
    </w:rPr>
  </w:style>
  <w:style w:type="table" w:styleId="TableGrid">
    <w:name w:val="Table Grid"/>
    <w:basedOn w:val="TableNormal"/>
    <w:uiPriority w:val="59"/>
    <w:rsid w:val="0039414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olorfulList-Accent1">
    <w:name w:val="Colorful List Accent 1"/>
    <w:basedOn w:val="TableNormal"/>
    <w:uiPriority w:val="72"/>
    <w:locked/>
    <w:rsid w:val="006D5A28"/>
    <w:pPr>
      <w:spacing w:after="0" w:line="240" w:lineRule="auto"/>
    </w:pPr>
    <w:rPr>
      <w:color w:val="000000" w:themeColor="text1"/>
    </w:rPr>
    <w:tblPr>
      <w:tblStyleRowBandSize w:val="1"/>
      <w:tblStyleColBandSize w:val="1"/>
    </w:tblPr>
    <w:tcPr>
      <w:shd w:val="clear" w:color="auto" w:fill="F4FFDF" w:themeFill="accent1" w:themeFillTint="19"/>
    </w:tcPr>
    <w:tblStylePr w:type="firstRow">
      <w:rPr>
        <w:b/>
        <w:bCs/>
        <w:color w:val="FFFFFF" w:themeColor="background1"/>
      </w:rPr>
      <w:tblPr/>
      <w:tcPr>
        <w:tcBorders>
          <w:bottom w:val="single" w:sz="12" w:space="0" w:color="FFFFFF" w:themeColor="background1"/>
        </w:tcBorders>
        <w:shd w:val="clear" w:color="auto" w:fill="2A3026" w:themeFill="accent2" w:themeFillShade="CC"/>
      </w:tcPr>
    </w:tblStylePr>
    <w:tblStylePr w:type="lastRow">
      <w:rPr>
        <w:b/>
        <w:bCs/>
        <w:color w:val="2A30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1" w:themeFillTint="3F"/>
      </w:tcPr>
    </w:tblStylePr>
    <w:tblStylePr w:type="band1Horz">
      <w:tblPr/>
      <w:tcPr>
        <w:shd w:val="clear" w:color="auto" w:fill="E8FFBD" w:themeFill="accent1" w:themeFillTint="33"/>
      </w:tcPr>
    </w:tblStylePr>
  </w:style>
  <w:style w:type="table" w:styleId="ColorfulGrid-Accent1">
    <w:name w:val="Colorful Grid Accent 1"/>
    <w:basedOn w:val="TableNormal"/>
    <w:uiPriority w:val="73"/>
    <w:locked/>
    <w:rsid w:val="006D5A2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1" w:themeFillTint="33"/>
    </w:tcPr>
    <w:tblStylePr w:type="firstRow">
      <w:rPr>
        <w:b/>
        <w:bCs/>
      </w:rPr>
      <w:tblPr/>
      <w:tcPr>
        <w:shd w:val="clear" w:color="auto" w:fill="D2FF7C" w:themeFill="accent1" w:themeFillTint="66"/>
      </w:tcPr>
    </w:tblStylePr>
    <w:tblStylePr w:type="lastRow">
      <w:rPr>
        <w:b/>
        <w:bCs/>
        <w:color w:val="000000" w:themeColor="text1"/>
      </w:rPr>
      <w:tblPr/>
      <w:tcPr>
        <w:shd w:val="clear" w:color="auto" w:fill="D2FF7C" w:themeFill="accent1" w:themeFillTint="66"/>
      </w:tcPr>
    </w:tblStylePr>
    <w:tblStylePr w:type="firstCol">
      <w:rPr>
        <w:color w:val="FFFFFF" w:themeColor="background1"/>
      </w:rPr>
      <w:tblPr/>
      <w:tcPr>
        <w:shd w:val="clear" w:color="auto" w:fill="5B8900" w:themeFill="accent1" w:themeFillShade="BF"/>
      </w:tcPr>
    </w:tblStylePr>
    <w:tblStylePr w:type="lastCol">
      <w:rPr>
        <w:color w:val="FFFFFF" w:themeColor="background1"/>
      </w:rPr>
      <w:tblPr/>
      <w:tcPr>
        <w:shd w:val="clear" w:color="auto" w:fill="5B8900" w:themeFill="accent1" w:themeFillShade="BF"/>
      </w:tcPr>
    </w:tblStylePr>
    <w:tblStylePr w:type="band1Vert">
      <w:tblPr/>
      <w:tcPr>
        <w:shd w:val="clear" w:color="auto" w:fill="C8FF5C" w:themeFill="accent1" w:themeFillTint="7F"/>
      </w:tcPr>
    </w:tblStylePr>
    <w:tblStylePr w:type="band1Horz">
      <w:tblPr/>
      <w:tcPr>
        <w:shd w:val="clear" w:color="auto" w:fill="C8FF5C" w:themeFill="accent1" w:themeFillTint="7F"/>
      </w:tcPr>
    </w:tblStylePr>
  </w:style>
  <w:style w:type="character" w:customStyle="1" w:styleId="Heading5Char">
    <w:name w:val="Heading 5 Char"/>
    <w:basedOn w:val="DefaultParagraphFont"/>
    <w:link w:val="Heading5"/>
    <w:uiPriority w:val="9"/>
    <w:rsid w:val="00855505"/>
    <w:rPr>
      <w:rFonts w:asciiTheme="majorHAnsi" w:eastAsiaTheme="majorEastAsia" w:hAnsiTheme="majorHAnsi" w:cstheme="majorBidi"/>
      <w:b/>
      <w:color w:val="5F5F5F" w:themeColor="text2"/>
      <w:sz w:val="24"/>
      <w:szCs w:val="24"/>
      <w:lang w:val="en-GB"/>
    </w:rPr>
  </w:style>
  <w:style w:type="character" w:styleId="Hyperlink">
    <w:name w:val="Hyperlink"/>
    <w:basedOn w:val="DefaultParagraphFont"/>
    <w:uiPriority w:val="99"/>
    <w:rsid w:val="00C1443F"/>
    <w:rPr>
      <w:rFonts w:asciiTheme="minorHAnsi" w:hAnsiTheme="minorHAnsi"/>
      <w:b/>
      <w:color w:val="7AB800" w:themeColor="accent1"/>
      <w:sz w:val="20"/>
      <w:u w:val="single"/>
      <w:lang w:val="en-GB"/>
    </w:rPr>
  </w:style>
  <w:style w:type="character" w:styleId="FollowedHyperlink">
    <w:name w:val="FollowedHyperlink"/>
    <w:basedOn w:val="DefaultParagraphFont"/>
    <w:uiPriority w:val="99"/>
    <w:semiHidden/>
    <w:rsid w:val="00C1443F"/>
    <w:rPr>
      <w:rFonts w:asciiTheme="minorHAnsi" w:hAnsiTheme="minorHAnsi"/>
      <w:b/>
      <w:color w:val="7AB800" w:themeColor="accent1"/>
      <w:sz w:val="20"/>
      <w:u w:val="single"/>
      <w:lang w:val="en-GB"/>
    </w:rPr>
  </w:style>
  <w:style w:type="paragraph" w:styleId="BalloonText">
    <w:name w:val="Balloon Text"/>
    <w:basedOn w:val="Normal"/>
    <w:link w:val="BalloonTextChar"/>
    <w:uiPriority w:val="99"/>
    <w:semiHidden/>
    <w:unhideWhenUsed/>
    <w:rsid w:val="00394141"/>
    <w:rPr>
      <w:rFonts w:ascii="Tahoma" w:hAnsi="Tahoma" w:cs="Tahoma"/>
      <w:sz w:val="16"/>
      <w:szCs w:val="16"/>
    </w:rPr>
  </w:style>
  <w:style w:type="character" w:customStyle="1" w:styleId="BalloonTextChar">
    <w:name w:val="Balloon Text Char"/>
    <w:basedOn w:val="DefaultParagraphFont"/>
    <w:link w:val="BalloonText"/>
    <w:uiPriority w:val="99"/>
    <w:semiHidden/>
    <w:rsid w:val="00394141"/>
    <w:rPr>
      <w:rFonts w:ascii="Tahoma" w:hAnsi="Tahoma" w:cs="Tahoma"/>
      <w:sz w:val="16"/>
      <w:szCs w:val="16"/>
    </w:rPr>
  </w:style>
  <w:style w:type="paragraph" w:styleId="BodyText">
    <w:name w:val="Body Text"/>
    <w:basedOn w:val="Normal"/>
    <w:link w:val="BodyTextChar"/>
    <w:qFormat/>
    <w:rsid w:val="00C1443F"/>
    <w:pPr>
      <w:spacing w:after="120" w:line="276" w:lineRule="auto"/>
    </w:pPr>
  </w:style>
  <w:style w:type="character" w:customStyle="1" w:styleId="BodyTextChar">
    <w:name w:val="Body Text Char"/>
    <w:basedOn w:val="DefaultParagraphFont"/>
    <w:link w:val="BodyText"/>
    <w:rsid w:val="00C1443F"/>
    <w:rPr>
      <w:lang w:val="en-GB"/>
    </w:rPr>
  </w:style>
  <w:style w:type="paragraph" w:styleId="Footer">
    <w:name w:val="footer"/>
    <w:basedOn w:val="Normal"/>
    <w:link w:val="FooterChar"/>
    <w:uiPriority w:val="99"/>
    <w:rsid w:val="00C1443F"/>
    <w:pPr>
      <w:tabs>
        <w:tab w:val="center" w:pos="4513"/>
        <w:tab w:val="right" w:pos="9026"/>
      </w:tabs>
    </w:pPr>
    <w:rPr>
      <w:sz w:val="12"/>
    </w:rPr>
  </w:style>
  <w:style w:type="character" w:customStyle="1" w:styleId="FooterChar">
    <w:name w:val="Footer Char"/>
    <w:basedOn w:val="DefaultParagraphFont"/>
    <w:link w:val="Footer"/>
    <w:uiPriority w:val="99"/>
    <w:rsid w:val="00C1443F"/>
    <w:rPr>
      <w:sz w:val="12"/>
      <w:lang w:val="en-GB"/>
    </w:rPr>
  </w:style>
  <w:style w:type="paragraph" w:styleId="Header">
    <w:name w:val="header"/>
    <w:basedOn w:val="Normal"/>
    <w:link w:val="HeaderChar"/>
    <w:uiPriority w:val="99"/>
    <w:semiHidden/>
    <w:rsid w:val="00890C4A"/>
    <w:pPr>
      <w:tabs>
        <w:tab w:val="center" w:pos="4513"/>
        <w:tab w:val="right" w:pos="9026"/>
      </w:tabs>
    </w:pPr>
  </w:style>
  <w:style w:type="character" w:customStyle="1" w:styleId="HeaderChar">
    <w:name w:val="Header Char"/>
    <w:basedOn w:val="DefaultParagraphFont"/>
    <w:link w:val="Header"/>
    <w:uiPriority w:val="99"/>
    <w:semiHidden/>
    <w:rsid w:val="00890C4A"/>
    <w:rPr>
      <w:lang w:val="en-GB"/>
    </w:rPr>
  </w:style>
  <w:style w:type="character" w:styleId="PlaceholderText">
    <w:name w:val="Placeholder Text"/>
    <w:basedOn w:val="DefaultParagraphFont"/>
    <w:uiPriority w:val="99"/>
    <w:semiHidden/>
    <w:rsid w:val="00394141"/>
    <w:rPr>
      <w:rFonts w:cs="Times New Roman"/>
      <w:color w:val="808080"/>
    </w:rPr>
  </w:style>
  <w:style w:type="numbering" w:customStyle="1" w:styleId="AureconBullets">
    <w:name w:val="Aurecon Bullets"/>
    <w:uiPriority w:val="99"/>
    <w:rsid w:val="00C1443F"/>
    <w:pPr>
      <w:numPr>
        <w:numId w:val="1"/>
      </w:numPr>
    </w:pPr>
  </w:style>
  <w:style w:type="table" w:customStyle="1" w:styleId="AureconTable1">
    <w:name w:val="Aurecon Table 1"/>
    <w:basedOn w:val="TableNormal"/>
    <w:uiPriority w:val="99"/>
    <w:rsid w:val="007405F7"/>
    <w:pPr>
      <w:spacing w:before="60" w:after="60" w:line="240" w:lineRule="auto"/>
    </w:pPr>
    <w:rPr>
      <w:rFonts w:ascii="Arial" w:hAnsi="Arial"/>
      <w:sz w:val="18"/>
    </w:rPr>
    <w:tblPr>
      <w:tblStyleRowBandSize w:val="1"/>
      <w:tblBorders>
        <w:top w:val="single" w:sz="2" w:space="0" w:color="C0C0C0" w:themeColor="accent3"/>
        <w:left w:val="single" w:sz="2" w:space="0" w:color="C0C0C0" w:themeColor="accent3"/>
        <w:bottom w:val="single" w:sz="2" w:space="0" w:color="C0C0C0" w:themeColor="accent3"/>
        <w:right w:val="single" w:sz="2" w:space="0" w:color="C0C0C0" w:themeColor="accent3"/>
        <w:insideH w:val="single" w:sz="6" w:space="0" w:color="C0C0C0" w:themeColor="accent3"/>
        <w:insideV w:val="single" w:sz="6" w:space="0" w:color="C0C0C0" w:themeColor="accent3"/>
      </w:tblBorders>
    </w:tblPr>
    <w:trPr>
      <w:cantSplit/>
    </w:trPr>
    <w:tcPr>
      <w:shd w:val="clear" w:color="auto" w:fill="auto"/>
    </w:tcPr>
    <w:tblStylePr w:type="firstRow">
      <w:rPr>
        <w:b/>
      </w:rPr>
      <w:tblPr/>
      <w:tcPr>
        <w:shd w:val="clear" w:color="auto" w:fill="7AB800" w:themeFill="accent1"/>
      </w:tcPr>
    </w:tblStylePr>
    <w:tblStylePr w:type="band2Horz">
      <w:rPr>
        <w:rFonts w:asciiTheme="minorHAnsi" w:hAnsiTheme="minorHAnsi"/>
        <w:sz w:val="18"/>
      </w:rPr>
      <w:tblPr/>
      <w:tcPr>
        <w:shd w:val="clear" w:color="auto" w:fill="E4F1CC" w:themeFill="background2"/>
      </w:tcPr>
    </w:tblStylePr>
  </w:style>
  <w:style w:type="table" w:customStyle="1" w:styleId="AureconTable2">
    <w:name w:val="Aurecon Table 2"/>
    <w:basedOn w:val="TableNormal"/>
    <w:uiPriority w:val="99"/>
    <w:rsid w:val="007405F7"/>
    <w:pPr>
      <w:spacing w:before="60" w:after="60" w:line="240" w:lineRule="auto"/>
    </w:pPr>
    <w:rPr>
      <w:rFonts w:ascii="Arial" w:hAnsi="Arial"/>
      <w:sz w:val="18"/>
    </w:rPr>
    <w:tblPr>
      <w:tblStyleRowBandSize w:val="1"/>
      <w:tblBorders>
        <w:top w:val="single" w:sz="2" w:space="0" w:color="C0C0C0" w:themeColor="accent3"/>
        <w:left w:val="single" w:sz="2" w:space="0" w:color="C0C0C0" w:themeColor="accent3"/>
        <w:bottom w:val="single" w:sz="2" w:space="0" w:color="C0C0C0" w:themeColor="accent3"/>
        <w:right w:val="single" w:sz="2" w:space="0" w:color="C0C0C0" w:themeColor="accent3"/>
        <w:insideH w:val="single" w:sz="2" w:space="0" w:color="C0C0C0" w:themeColor="accent3"/>
        <w:insideV w:val="single" w:sz="2" w:space="0" w:color="C0C0C0" w:themeColor="accent3"/>
      </w:tblBorders>
    </w:tblPr>
    <w:trPr>
      <w:cantSplit/>
    </w:trPr>
    <w:tcPr>
      <w:shd w:val="clear" w:color="auto" w:fill="auto"/>
    </w:tcPr>
    <w:tblStylePr w:type="firstRow">
      <w:rPr>
        <w:rFonts w:ascii="Arial" w:hAnsi="Arial"/>
        <w:b/>
        <w:sz w:val="18"/>
      </w:rPr>
      <w:tblPr/>
      <w:tcPr>
        <w:shd w:val="clear" w:color="auto" w:fill="D5DBD2" w:themeFill="accent2" w:themeFillTint="33"/>
      </w:tcPr>
    </w:tblStylePr>
    <w:tblStylePr w:type="firstCol">
      <w:tblPr/>
      <w:tcPr>
        <w:shd w:val="clear" w:color="auto" w:fill="D5DBD2" w:themeFill="accent2" w:themeFillTint="33"/>
      </w:tcPr>
    </w:tblStylePr>
    <w:tblStylePr w:type="band2Horz">
      <w:tblPr/>
      <w:tcPr>
        <w:shd w:val="clear" w:color="auto" w:fill="C4EEFF" w:themeFill="accent5" w:themeFillTint="33"/>
      </w:tcPr>
    </w:tblStylePr>
  </w:style>
  <w:style w:type="table" w:customStyle="1" w:styleId="AureconTable3">
    <w:name w:val="Aurecon Table 3"/>
    <w:basedOn w:val="TableNormal"/>
    <w:uiPriority w:val="99"/>
    <w:rsid w:val="007405F7"/>
    <w:pPr>
      <w:spacing w:before="60" w:after="60" w:line="240" w:lineRule="auto"/>
    </w:pPr>
    <w:rPr>
      <w:sz w:val="18"/>
    </w:rPr>
    <w:tblPr>
      <w:tblBorders>
        <w:top w:val="single" w:sz="4" w:space="0" w:color="C0C0C0" w:themeColor="accent3"/>
        <w:left w:val="single" w:sz="4" w:space="0" w:color="C0C0C0" w:themeColor="accent3"/>
        <w:bottom w:val="single" w:sz="4" w:space="0" w:color="C0C0C0" w:themeColor="accent3"/>
        <w:right w:val="single" w:sz="4" w:space="0" w:color="C0C0C0" w:themeColor="accent3"/>
        <w:insideH w:val="single" w:sz="4" w:space="0" w:color="C0C0C0" w:themeColor="accent3"/>
        <w:insideV w:val="single" w:sz="4" w:space="0" w:color="C0C0C0" w:themeColor="accent3"/>
      </w:tblBorders>
    </w:tblPr>
    <w:trPr>
      <w:cantSplit/>
    </w:trPr>
    <w:tblStylePr w:type="firstRow">
      <w:rPr>
        <w:b/>
        <w:color w:val="auto"/>
      </w:rPr>
      <w:tblPr/>
      <w:tcPr>
        <w:shd w:val="clear" w:color="auto" w:fill="009FDA" w:themeFill="accent5"/>
      </w:tcPr>
    </w:tblStylePr>
  </w:style>
  <w:style w:type="table" w:customStyle="1" w:styleId="AureconTable4">
    <w:name w:val="Aurecon Table 4"/>
    <w:basedOn w:val="TableNormal"/>
    <w:uiPriority w:val="99"/>
    <w:rsid w:val="007405F7"/>
    <w:pPr>
      <w:spacing w:before="60" w:after="60" w:line="240" w:lineRule="auto"/>
    </w:pPr>
    <w:rPr>
      <w:sz w:val="18"/>
      <w:lang w:val="en-US"/>
    </w:rPr>
    <w:tblPr>
      <w:tblStyleRowBandSize w:val="1"/>
      <w:tblBorders>
        <w:top w:val="single" w:sz="4" w:space="0" w:color="5F5F5F" w:themeColor="text2"/>
        <w:left w:val="single" w:sz="4" w:space="0" w:color="5F5F5F" w:themeColor="text2"/>
        <w:bottom w:val="single" w:sz="4" w:space="0" w:color="5F5F5F" w:themeColor="text2"/>
        <w:right w:val="single" w:sz="4" w:space="0" w:color="5F5F5F" w:themeColor="text2"/>
        <w:insideH w:val="single" w:sz="4" w:space="0" w:color="5F5F5F" w:themeColor="text2"/>
      </w:tblBorders>
    </w:tblPr>
    <w:trPr>
      <w:cantSplit/>
    </w:trPr>
    <w:tcPr>
      <w:shd w:val="clear" w:color="auto" w:fill="auto"/>
    </w:tcPr>
    <w:tblStylePr w:type="firstRow">
      <w:rPr>
        <w:rFonts w:ascii="Arial" w:hAnsi="Arial"/>
        <w:b/>
        <w:color w:val="FFFFFF" w:themeColor="background1"/>
        <w:sz w:val="18"/>
      </w:rPr>
      <w:tblPr/>
      <w:tcPr>
        <w:tcBorders>
          <w:top w:val="single" w:sz="4" w:space="0" w:color="5F5F5F" w:themeColor="text2"/>
          <w:left w:val="single" w:sz="4" w:space="0" w:color="5F5F5F" w:themeColor="text2"/>
          <w:bottom w:val="single" w:sz="4" w:space="0" w:color="5F5F5F" w:themeColor="text2"/>
          <w:right w:val="single" w:sz="4" w:space="0" w:color="5F5F5F" w:themeColor="text2"/>
          <w:insideV w:val="single" w:sz="4" w:space="0" w:color="5F5F5F" w:themeColor="text2"/>
        </w:tcBorders>
        <w:shd w:val="clear" w:color="auto" w:fill="5F5F5F" w:themeFill="text2"/>
      </w:tcPr>
    </w:tblStylePr>
    <w:tblStylePr w:type="firstCol">
      <w:tblPr/>
      <w:tcPr>
        <w:tcBorders>
          <w:insideV w:val="nil"/>
        </w:tcBorders>
        <w:shd w:val="clear" w:color="auto" w:fill="auto"/>
      </w:tcPr>
    </w:tblStylePr>
  </w:style>
  <w:style w:type="table" w:customStyle="1" w:styleId="AureconTable5">
    <w:name w:val="Aurecon Table 5"/>
    <w:basedOn w:val="TableNormal"/>
    <w:uiPriority w:val="99"/>
    <w:qFormat/>
    <w:rsid w:val="007405F7"/>
    <w:pPr>
      <w:spacing w:before="60" w:after="60" w:line="240" w:lineRule="auto"/>
    </w:pPr>
    <w:rPr>
      <w:sz w:val="18"/>
    </w:rPr>
    <w:tblPr>
      <w:tblStyleRowBandSize w:val="1"/>
      <w:tblBorders>
        <w:top w:val="single" w:sz="4" w:space="0" w:color="auto"/>
        <w:bottom w:val="single" w:sz="4" w:space="0" w:color="auto"/>
      </w:tblBorders>
    </w:tblPr>
    <w:trPr>
      <w:cantSplit/>
    </w:trPr>
    <w:tblStylePr w:type="firstRow">
      <w:rPr>
        <w:b/>
      </w:rPr>
      <w:tblPr/>
      <w:tcPr>
        <w:tcBorders>
          <w:bottom w:val="single" w:sz="4" w:space="0" w:color="auto"/>
        </w:tcBorders>
      </w:tcPr>
    </w:tblStylePr>
    <w:tblStylePr w:type="band1Horz">
      <w:tblPr/>
      <w:tcPr>
        <w:shd w:val="clear" w:color="auto" w:fill="E4F1CC" w:themeFill="background2"/>
      </w:tcPr>
    </w:tblStylePr>
  </w:style>
  <w:style w:type="paragraph" w:customStyle="1" w:styleId="Numbera">
    <w:name w:val="Number a)"/>
    <w:basedOn w:val="BodyText"/>
    <w:qFormat/>
    <w:rsid w:val="009961D4"/>
    <w:pPr>
      <w:numPr>
        <w:numId w:val="9"/>
      </w:numPr>
    </w:pPr>
  </w:style>
  <w:style w:type="paragraph" w:customStyle="1" w:styleId="Numberi">
    <w:name w:val="Number i)"/>
    <w:basedOn w:val="BodyText"/>
    <w:qFormat/>
    <w:rsid w:val="009961D4"/>
    <w:pPr>
      <w:numPr>
        <w:ilvl w:val="1"/>
        <w:numId w:val="9"/>
      </w:numPr>
    </w:pPr>
  </w:style>
  <w:style w:type="paragraph" w:styleId="NormalWeb">
    <w:name w:val="Normal (Web)"/>
    <w:basedOn w:val="Normal"/>
    <w:uiPriority w:val="99"/>
    <w:semiHidden/>
    <w:unhideWhenUsed/>
    <w:rsid w:val="00F726EA"/>
    <w:pPr>
      <w:spacing w:before="100" w:beforeAutospacing="1" w:after="100" w:afterAutospacing="1"/>
    </w:pPr>
    <w:rPr>
      <w:rFonts w:ascii="Times New Roman" w:eastAsia="Times New Roman" w:hAnsi="Times New Roman" w:cs="Times New Roman"/>
      <w:sz w:val="24"/>
      <w:szCs w:val="24"/>
      <w:lang w:eastAsia="en-GB"/>
    </w:rPr>
  </w:style>
  <w:style w:type="paragraph" w:styleId="TOC2">
    <w:name w:val="toc 2"/>
    <w:basedOn w:val="Normal"/>
    <w:next w:val="Normal"/>
    <w:uiPriority w:val="39"/>
    <w:unhideWhenUsed/>
    <w:rsid w:val="00B60E6D"/>
    <w:pPr>
      <w:tabs>
        <w:tab w:val="left" w:pos="709"/>
        <w:tab w:val="right" w:leader="dot" w:pos="9638"/>
      </w:tabs>
      <w:spacing w:after="60" w:line="276" w:lineRule="auto"/>
      <w:ind w:left="1440" w:hanging="720"/>
      <w:contextualSpacing/>
    </w:pPr>
    <w:rPr>
      <w:noProof/>
    </w:rPr>
  </w:style>
  <w:style w:type="paragraph" w:styleId="TOC3">
    <w:name w:val="toc 3"/>
    <w:basedOn w:val="Normal"/>
    <w:next w:val="Normal"/>
    <w:uiPriority w:val="39"/>
    <w:unhideWhenUsed/>
    <w:rsid w:val="00B60E6D"/>
    <w:pPr>
      <w:tabs>
        <w:tab w:val="left" w:pos="1276"/>
        <w:tab w:val="right" w:leader="dot" w:pos="9638"/>
      </w:tabs>
      <w:spacing w:after="60" w:line="276" w:lineRule="auto"/>
      <w:ind w:left="2268" w:hanging="850"/>
      <w:contextualSpacing/>
    </w:pPr>
    <w:rPr>
      <w:noProof/>
    </w:rPr>
  </w:style>
  <w:style w:type="paragraph" w:customStyle="1" w:styleId="Appendixtitle">
    <w:name w:val="Appendix title"/>
    <w:basedOn w:val="Normal"/>
    <w:next w:val="BodyText"/>
    <w:link w:val="AppendixtitleChar"/>
    <w:uiPriority w:val="99"/>
    <w:unhideWhenUsed/>
    <w:qFormat/>
    <w:rsid w:val="00855505"/>
    <w:pPr>
      <w:keepNext/>
      <w:keepLines/>
      <w:spacing w:after="120" w:line="276" w:lineRule="auto"/>
    </w:pPr>
    <w:rPr>
      <w:color w:val="5F5F5F" w:themeColor="text2"/>
      <w:sz w:val="40"/>
      <w:szCs w:val="40"/>
    </w:rPr>
  </w:style>
  <w:style w:type="paragraph" w:customStyle="1" w:styleId="Appendixheading1">
    <w:name w:val="Appendix heading 1"/>
    <w:basedOn w:val="Normal"/>
    <w:uiPriority w:val="99"/>
    <w:unhideWhenUsed/>
    <w:qFormat/>
    <w:rsid w:val="00855505"/>
    <w:pPr>
      <w:keepNext/>
      <w:keepLines/>
      <w:spacing w:before="400" w:after="120" w:line="276" w:lineRule="auto"/>
      <w:ind w:left="680" w:hanging="680"/>
    </w:pPr>
    <w:rPr>
      <w:b/>
      <w:color w:val="7AB800" w:themeColor="accent1"/>
      <w:sz w:val="32"/>
      <w:szCs w:val="32"/>
    </w:rPr>
  </w:style>
  <w:style w:type="paragraph" w:customStyle="1" w:styleId="Appendixheading2">
    <w:name w:val="Appendix heading 2"/>
    <w:basedOn w:val="Normal"/>
    <w:uiPriority w:val="99"/>
    <w:unhideWhenUsed/>
    <w:rsid w:val="00855505"/>
    <w:pPr>
      <w:keepNext/>
      <w:keepLines/>
      <w:spacing w:before="400" w:after="120" w:line="276" w:lineRule="auto"/>
      <w:ind w:left="680" w:hanging="680"/>
    </w:pPr>
    <w:rPr>
      <w:b/>
      <w:color w:val="5F5F5F" w:themeColor="text2"/>
      <w:sz w:val="26"/>
      <w:szCs w:val="26"/>
    </w:rPr>
  </w:style>
  <w:style w:type="paragraph" w:customStyle="1" w:styleId="Appendixheading3">
    <w:name w:val="Appendix heading 3"/>
    <w:basedOn w:val="Normal"/>
    <w:uiPriority w:val="99"/>
    <w:unhideWhenUsed/>
    <w:rsid w:val="00855505"/>
    <w:pPr>
      <w:keepNext/>
      <w:keepLines/>
      <w:spacing w:before="400" w:after="120" w:line="276" w:lineRule="auto"/>
    </w:pPr>
    <w:rPr>
      <w:b/>
      <w:color w:val="000000" w:themeColor="text1"/>
      <w:sz w:val="24"/>
    </w:rPr>
  </w:style>
  <w:style w:type="paragraph" w:customStyle="1" w:styleId="Appendixheading4">
    <w:name w:val="Appendix heading 4"/>
    <w:basedOn w:val="Normal"/>
    <w:uiPriority w:val="99"/>
    <w:unhideWhenUsed/>
    <w:rsid w:val="00855505"/>
    <w:pPr>
      <w:keepNext/>
      <w:keepLines/>
      <w:spacing w:before="400" w:after="120" w:line="276" w:lineRule="auto"/>
    </w:pPr>
    <w:rPr>
      <w:b/>
      <w:color w:val="5F5F5F" w:themeColor="text2"/>
      <w:sz w:val="24"/>
    </w:rPr>
  </w:style>
  <w:style w:type="paragraph" w:customStyle="1" w:styleId="Appendixheading5">
    <w:name w:val="Appendix heading 5"/>
    <w:basedOn w:val="Normal"/>
    <w:uiPriority w:val="99"/>
    <w:unhideWhenUsed/>
    <w:rsid w:val="00855505"/>
    <w:pPr>
      <w:keepNext/>
      <w:keepLines/>
      <w:spacing w:before="400" w:after="120" w:line="276" w:lineRule="auto"/>
    </w:pPr>
    <w:rPr>
      <w:b/>
      <w:color w:val="5F5F5F" w:themeColor="text2"/>
      <w:sz w:val="24"/>
    </w:rPr>
  </w:style>
  <w:style w:type="paragraph" w:customStyle="1" w:styleId="Appendixheading6">
    <w:name w:val="Appendix heading 6"/>
    <w:basedOn w:val="Normal"/>
    <w:uiPriority w:val="99"/>
    <w:unhideWhenUsed/>
    <w:rsid w:val="00855505"/>
    <w:pPr>
      <w:keepNext/>
      <w:keepLines/>
      <w:spacing w:before="400" w:after="120" w:line="276" w:lineRule="auto"/>
    </w:pPr>
    <w:rPr>
      <w:b/>
      <w:color w:val="5F5F5F" w:themeColor="text2"/>
    </w:rPr>
  </w:style>
  <w:style w:type="paragraph" w:customStyle="1" w:styleId="Appendixheading">
    <w:name w:val="Appendix heading"/>
    <w:basedOn w:val="Normal"/>
    <w:next w:val="BodyText"/>
    <w:link w:val="AppendixheadingChar"/>
    <w:uiPriority w:val="99"/>
    <w:unhideWhenUsed/>
    <w:qFormat/>
    <w:rsid w:val="00A47DA3"/>
    <w:pPr>
      <w:numPr>
        <w:numId w:val="13"/>
      </w:numPr>
      <w:spacing w:after="60" w:line="276" w:lineRule="auto"/>
      <w:ind w:left="0"/>
    </w:pPr>
    <w:rPr>
      <w:color w:val="5F5F5F" w:themeColor="text2"/>
      <w:sz w:val="40"/>
      <w:szCs w:val="40"/>
    </w:rPr>
  </w:style>
  <w:style w:type="paragraph" w:styleId="TableofFigures">
    <w:name w:val="table of figures"/>
    <w:basedOn w:val="Normal"/>
    <w:next w:val="Normal"/>
    <w:uiPriority w:val="99"/>
    <w:unhideWhenUsed/>
    <w:rsid w:val="00855505"/>
    <w:pPr>
      <w:tabs>
        <w:tab w:val="left" w:pos="993"/>
        <w:tab w:val="right" w:leader="dot" w:pos="5232"/>
      </w:tabs>
      <w:spacing w:line="276" w:lineRule="auto"/>
      <w:ind w:left="992" w:hanging="992"/>
    </w:pPr>
    <w:rPr>
      <w:noProof/>
    </w:rPr>
  </w:style>
  <w:style w:type="paragraph" w:customStyle="1" w:styleId="ExecSumSubheader">
    <w:name w:val="ExecSum Subheader"/>
    <w:basedOn w:val="Normal"/>
    <w:unhideWhenUsed/>
    <w:rsid w:val="00855505"/>
    <w:pPr>
      <w:spacing w:after="100" w:line="276" w:lineRule="auto"/>
    </w:pPr>
    <w:rPr>
      <w:color w:val="5F5F5F" w:themeColor="text2"/>
      <w:sz w:val="40"/>
      <w:szCs w:val="40"/>
    </w:rPr>
  </w:style>
  <w:style w:type="character" w:customStyle="1" w:styleId="Style1">
    <w:name w:val="Style1"/>
    <w:basedOn w:val="DefaultParagraphFont"/>
    <w:uiPriority w:val="1"/>
    <w:semiHidden/>
    <w:rsid w:val="00517060"/>
    <w:rPr>
      <w:rFonts w:ascii="Arial" w:hAnsi="Arial"/>
      <w:b w:val="0"/>
      <w:i w:val="0"/>
      <w:caps/>
      <w:smallCaps w:val="0"/>
      <w:sz w:val="20"/>
    </w:rPr>
  </w:style>
  <w:style w:type="numbering" w:customStyle="1" w:styleId="AureconHeading">
    <w:name w:val="Aurecon Heading"/>
    <w:uiPriority w:val="99"/>
    <w:rsid w:val="00BE2C33"/>
    <w:pPr>
      <w:numPr>
        <w:numId w:val="3"/>
      </w:numPr>
    </w:pPr>
  </w:style>
  <w:style w:type="character" w:customStyle="1" w:styleId="AppendixtitleChar">
    <w:name w:val="Appendix title Char"/>
    <w:basedOn w:val="DefaultParagraphFont"/>
    <w:link w:val="Appendixtitle"/>
    <w:uiPriority w:val="99"/>
    <w:rsid w:val="00C048F9"/>
    <w:rPr>
      <w:color w:val="5F5F5F" w:themeColor="text2"/>
      <w:sz w:val="40"/>
      <w:szCs w:val="40"/>
      <w:lang w:val="en-GB"/>
    </w:rPr>
  </w:style>
  <w:style w:type="character" w:customStyle="1" w:styleId="AppendixheadingChar">
    <w:name w:val="Appendix heading Char"/>
    <w:basedOn w:val="AppendixtitleChar"/>
    <w:link w:val="Appendixheading"/>
    <w:uiPriority w:val="99"/>
    <w:rsid w:val="00A47DA3"/>
    <w:rPr>
      <w:color w:val="5F5F5F" w:themeColor="text2"/>
      <w:sz w:val="40"/>
      <w:szCs w:val="40"/>
      <w:lang w:val="en-GB"/>
    </w:rPr>
  </w:style>
  <w:style w:type="numbering" w:customStyle="1" w:styleId="AureconList">
    <w:name w:val="Aurecon List"/>
    <w:uiPriority w:val="99"/>
    <w:rsid w:val="00EA3C03"/>
    <w:pPr>
      <w:numPr>
        <w:numId w:val="7"/>
      </w:numPr>
    </w:pPr>
  </w:style>
  <w:style w:type="paragraph" w:customStyle="1" w:styleId="ExecSumTitle">
    <w:name w:val="ExecSum Title"/>
    <w:basedOn w:val="Normal"/>
    <w:uiPriority w:val="9"/>
    <w:unhideWhenUsed/>
    <w:rsid w:val="00D5671B"/>
    <w:pPr>
      <w:spacing w:after="240"/>
    </w:pPr>
    <w:rPr>
      <w:color w:val="009FDA" w:themeColor="accent5"/>
      <w:sz w:val="70"/>
      <w:szCs w:val="70"/>
      <w:lang w:val="en-PH"/>
    </w:rPr>
  </w:style>
  <w:style w:type="paragraph" w:customStyle="1" w:styleId="ExecSumemphasis">
    <w:name w:val="ExecSum emphasis"/>
    <w:basedOn w:val="Normal"/>
    <w:uiPriority w:val="9"/>
    <w:unhideWhenUsed/>
    <w:rsid w:val="00D5671B"/>
    <w:pPr>
      <w:spacing w:before="120" w:after="240"/>
    </w:pPr>
    <w:rPr>
      <w:color w:val="5F5F5F" w:themeColor="text2"/>
      <w:sz w:val="40"/>
      <w:szCs w:val="40"/>
      <w:lang w:val="en-PH"/>
    </w:rPr>
  </w:style>
  <w:style w:type="paragraph" w:customStyle="1" w:styleId="ExecSumsubheader-blue">
    <w:name w:val="ExecSum subheader - blue"/>
    <w:basedOn w:val="BodyText"/>
    <w:uiPriority w:val="9"/>
    <w:unhideWhenUsed/>
    <w:rsid w:val="00D5671B"/>
    <w:pPr>
      <w:spacing w:before="120"/>
    </w:pPr>
    <w:rPr>
      <w:color w:val="009FDA" w:themeColor="accent5"/>
      <w:sz w:val="40"/>
      <w:szCs w:val="40"/>
      <w:lang w:val="en-PH"/>
    </w:rPr>
  </w:style>
  <w:style w:type="numbering" w:customStyle="1" w:styleId="AureconAppendix">
    <w:name w:val="Aurecon Appendix"/>
    <w:uiPriority w:val="99"/>
    <w:rsid w:val="00A47DA3"/>
    <w:pPr>
      <w:numPr>
        <w:numId w:val="10"/>
      </w:numPr>
    </w:pPr>
  </w:style>
  <w:style w:type="numbering" w:customStyle="1" w:styleId="AureconHeadings">
    <w:name w:val="Aurecon Headings"/>
    <w:uiPriority w:val="99"/>
    <w:rsid w:val="00920451"/>
    <w:pPr>
      <w:numPr>
        <w:numId w:val="14"/>
      </w:numPr>
    </w:pPr>
  </w:style>
  <w:style w:type="paragraph" w:styleId="FootnoteText">
    <w:name w:val="footnote text"/>
    <w:basedOn w:val="Normal"/>
    <w:link w:val="FootnoteTextChar"/>
    <w:uiPriority w:val="99"/>
    <w:unhideWhenUsed/>
    <w:rsid w:val="001B6724"/>
  </w:style>
  <w:style w:type="character" w:customStyle="1" w:styleId="FootnoteTextChar">
    <w:name w:val="Footnote Text Char"/>
    <w:basedOn w:val="DefaultParagraphFont"/>
    <w:link w:val="FootnoteText"/>
    <w:uiPriority w:val="99"/>
    <w:rsid w:val="001B6724"/>
    <w:rPr>
      <w:lang w:val="en-GB"/>
    </w:rPr>
  </w:style>
  <w:style w:type="character" w:styleId="FootnoteReference">
    <w:name w:val="footnote reference"/>
    <w:basedOn w:val="DefaultParagraphFont"/>
    <w:unhideWhenUsed/>
    <w:rsid w:val="001B6724"/>
    <w:rPr>
      <w:vertAlign w:val="superscript"/>
    </w:rPr>
  </w:style>
  <w:style w:type="numbering" w:customStyle="1" w:styleId="AureconNumberList">
    <w:name w:val="Aurecon Number List"/>
    <w:uiPriority w:val="99"/>
    <w:rsid w:val="002027F9"/>
    <w:pPr>
      <w:numPr>
        <w:numId w:val="18"/>
      </w:numPr>
    </w:pPr>
  </w:style>
  <w:style w:type="character" w:customStyle="1" w:styleId="CaptionChar">
    <w:name w:val="Caption Char"/>
    <w:aliases w:val="Item Char,TABLE Char,Figure Char,CDM B/Caption Char,Table Caption Char,c Char,col bullet Char,cb Char,Center Bold Char,cbbullet Char,col bulletcsb Char,u Char,C2 Col Bullet Char,6 chart Char,Center Bcbold Char,cb 10pt Char,col bullet1 Char"/>
    <w:link w:val="Caption"/>
    <w:locked/>
    <w:rsid w:val="00525D4B"/>
    <w:rPr>
      <w:b/>
      <w:bCs/>
      <w:color w:val="353D30" w:themeColor="accent2"/>
      <w:sz w:val="18"/>
      <w:szCs w:val="18"/>
      <w:lang w:val="en-GB"/>
    </w:rPr>
  </w:style>
  <w:style w:type="numbering" w:customStyle="1" w:styleId="AureconNumbering">
    <w:name w:val="Aurecon Numbering"/>
    <w:uiPriority w:val="99"/>
    <w:rsid w:val="00F64D60"/>
    <w:pPr>
      <w:numPr>
        <w:numId w:val="20"/>
      </w:numPr>
    </w:pPr>
  </w:style>
  <w:style w:type="character" w:styleId="CommentReference">
    <w:name w:val="annotation reference"/>
    <w:basedOn w:val="DefaultParagraphFont"/>
    <w:uiPriority w:val="99"/>
    <w:semiHidden/>
    <w:unhideWhenUsed/>
    <w:rsid w:val="00F64D60"/>
    <w:rPr>
      <w:sz w:val="16"/>
      <w:szCs w:val="16"/>
    </w:rPr>
  </w:style>
  <w:style w:type="paragraph" w:styleId="CommentText">
    <w:name w:val="annotation text"/>
    <w:basedOn w:val="Normal"/>
    <w:link w:val="CommentTextChar"/>
    <w:uiPriority w:val="99"/>
    <w:semiHidden/>
    <w:unhideWhenUsed/>
    <w:rsid w:val="00F64D60"/>
  </w:style>
  <w:style w:type="character" w:customStyle="1" w:styleId="CommentTextChar">
    <w:name w:val="Comment Text Char"/>
    <w:basedOn w:val="DefaultParagraphFont"/>
    <w:link w:val="CommentText"/>
    <w:uiPriority w:val="99"/>
    <w:semiHidden/>
    <w:rsid w:val="00F64D60"/>
    <w:rPr>
      <w:lang w:val="en-GB"/>
    </w:rPr>
  </w:style>
  <w:style w:type="paragraph" w:styleId="CommentSubject">
    <w:name w:val="annotation subject"/>
    <w:basedOn w:val="CommentText"/>
    <w:next w:val="CommentText"/>
    <w:link w:val="CommentSubjectChar"/>
    <w:uiPriority w:val="99"/>
    <w:semiHidden/>
    <w:unhideWhenUsed/>
    <w:rsid w:val="00F64D60"/>
    <w:rPr>
      <w:b/>
      <w:bCs/>
    </w:rPr>
  </w:style>
  <w:style w:type="character" w:customStyle="1" w:styleId="CommentSubjectChar">
    <w:name w:val="Comment Subject Char"/>
    <w:basedOn w:val="CommentTextChar"/>
    <w:link w:val="CommentSubject"/>
    <w:uiPriority w:val="99"/>
    <w:semiHidden/>
    <w:rsid w:val="00F64D60"/>
    <w:rPr>
      <w:b/>
      <w:bCs/>
      <w:lang w:val="en-GB"/>
    </w:rPr>
  </w:style>
  <w:style w:type="paragraph" w:styleId="Revision">
    <w:name w:val="Revision"/>
    <w:hidden/>
    <w:uiPriority w:val="99"/>
    <w:semiHidden/>
    <w:rsid w:val="00F64D60"/>
    <w:pPr>
      <w:spacing w:after="0" w:line="240" w:lineRule="auto"/>
    </w:pPr>
    <w:rPr>
      <w:lang w:val="en-GB"/>
    </w:rPr>
  </w:style>
  <w:style w:type="paragraph" w:customStyle="1" w:styleId="BullettL1PB">
    <w:name w:val="Bullett L1 PB"/>
    <w:basedOn w:val="ListParagraph"/>
    <w:link w:val="BullettL1PBChar"/>
    <w:qFormat/>
    <w:rsid w:val="00A01EC0"/>
    <w:pPr>
      <w:numPr>
        <w:numId w:val="24"/>
      </w:numPr>
      <w:spacing w:after="170" w:line="280" w:lineRule="atLeast"/>
      <w:ind w:left="714" w:hanging="357"/>
      <w:contextualSpacing w:val="0"/>
    </w:pPr>
    <w:rPr>
      <w:rFonts w:ascii="Arial" w:hAnsi="Arial" w:cs="Arial"/>
      <w:lang w:val="en-AU"/>
    </w:rPr>
  </w:style>
  <w:style w:type="character" w:customStyle="1" w:styleId="BullettL1PBChar">
    <w:name w:val="Bullett L1 PB Char"/>
    <w:basedOn w:val="DefaultParagraphFont"/>
    <w:link w:val="BullettL1PB"/>
    <w:rsid w:val="00A01EC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5027">
      <w:bodyDiv w:val="1"/>
      <w:marLeft w:val="0"/>
      <w:marRight w:val="0"/>
      <w:marTop w:val="0"/>
      <w:marBottom w:val="0"/>
      <w:divBdr>
        <w:top w:val="none" w:sz="0" w:space="0" w:color="auto"/>
        <w:left w:val="none" w:sz="0" w:space="0" w:color="auto"/>
        <w:bottom w:val="none" w:sz="0" w:space="0" w:color="auto"/>
        <w:right w:val="none" w:sz="0" w:space="0" w:color="auto"/>
      </w:divBdr>
    </w:div>
    <w:div w:id="235478031">
      <w:bodyDiv w:val="1"/>
      <w:marLeft w:val="0"/>
      <w:marRight w:val="0"/>
      <w:marTop w:val="0"/>
      <w:marBottom w:val="0"/>
      <w:divBdr>
        <w:top w:val="none" w:sz="0" w:space="0" w:color="auto"/>
        <w:left w:val="none" w:sz="0" w:space="0" w:color="auto"/>
        <w:bottom w:val="none" w:sz="0" w:space="0" w:color="auto"/>
        <w:right w:val="none" w:sz="0" w:space="0" w:color="auto"/>
      </w:divBdr>
    </w:div>
    <w:div w:id="434329012">
      <w:bodyDiv w:val="1"/>
      <w:marLeft w:val="0"/>
      <w:marRight w:val="0"/>
      <w:marTop w:val="0"/>
      <w:marBottom w:val="0"/>
      <w:divBdr>
        <w:top w:val="none" w:sz="0" w:space="0" w:color="auto"/>
        <w:left w:val="none" w:sz="0" w:space="0" w:color="auto"/>
        <w:bottom w:val="none" w:sz="0" w:space="0" w:color="auto"/>
        <w:right w:val="none" w:sz="0" w:space="0" w:color="auto"/>
      </w:divBdr>
    </w:div>
    <w:div w:id="1771775052">
      <w:bodyDiv w:val="1"/>
      <w:marLeft w:val="0"/>
      <w:marRight w:val="0"/>
      <w:marTop w:val="0"/>
      <w:marBottom w:val="0"/>
      <w:divBdr>
        <w:top w:val="none" w:sz="0" w:space="0" w:color="auto"/>
        <w:left w:val="none" w:sz="0" w:space="0" w:color="auto"/>
        <w:bottom w:val="none" w:sz="0" w:space="0" w:color="auto"/>
        <w:right w:val="none" w:sz="0" w:space="0" w:color="auto"/>
      </w:divBdr>
    </w:div>
    <w:div w:id="1937472832">
      <w:bodyDiv w:val="1"/>
      <w:marLeft w:val="0"/>
      <w:marRight w:val="0"/>
      <w:marTop w:val="0"/>
      <w:marBottom w:val="0"/>
      <w:divBdr>
        <w:top w:val="none" w:sz="0" w:space="0" w:color="auto"/>
        <w:left w:val="none" w:sz="0" w:space="0" w:color="auto"/>
        <w:bottom w:val="none" w:sz="0" w:space="0" w:color="auto"/>
        <w:right w:val="none" w:sz="0" w:space="0" w:color="auto"/>
      </w:divBdr>
    </w:div>
    <w:div w:id="21130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7.emf"/><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5.xm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image" Target="media/image10.png"/><Relationship Id="rId10" Type="http://schemas.openxmlformats.org/officeDocument/2006/relationships/image" Target="media/image11.png"/><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image" Target="media/image90.png"/><Relationship Id="rId30"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urecon%20Templates\Templates\19_Proposal%20fullwidt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B08056BD9042B5B89258F8565F2B55"/>
        <w:category>
          <w:name w:val="General"/>
          <w:gallery w:val="placeholder"/>
        </w:category>
        <w:types>
          <w:type w:val="bbPlcHdr"/>
        </w:types>
        <w:behaviors>
          <w:behavior w:val="content"/>
        </w:behaviors>
        <w:guid w:val="{9144BF3C-1DF3-4D21-A085-1B6277436203}"/>
      </w:docPartPr>
      <w:docPartBody>
        <w:p w:rsidR="00A86544" w:rsidRDefault="00A86544">
          <w:pPr>
            <w:pStyle w:val="D8B08056BD9042B5B89258F8565F2B55"/>
          </w:pPr>
          <w:r w:rsidRPr="00D745CB">
            <w:rPr>
              <w:rStyle w:val="PlaceholderText"/>
            </w:rPr>
            <w:t>Click here to enter text.</w:t>
          </w:r>
        </w:p>
      </w:docPartBody>
    </w:docPart>
    <w:docPart>
      <w:docPartPr>
        <w:name w:val="F43665FC71924F768F45266CCB9BD928"/>
        <w:category>
          <w:name w:val="General"/>
          <w:gallery w:val="placeholder"/>
        </w:category>
        <w:types>
          <w:type w:val="bbPlcHdr"/>
        </w:types>
        <w:behaviors>
          <w:behavior w:val="content"/>
        </w:behaviors>
        <w:guid w:val="{098257F8-5ABE-4E61-8C3A-A35A1F3DE450}"/>
      </w:docPartPr>
      <w:docPartBody>
        <w:p w:rsidR="00A86544" w:rsidRDefault="00A86544">
          <w:pPr>
            <w:pStyle w:val="F43665FC71924F768F45266CCB9BD928"/>
          </w:pPr>
          <w:r w:rsidRPr="00A25A13">
            <w:rPr>
              <w:rStyle w:val="PlaceholderText"/>
            </w:rPr>
            <w:t>Click here to enter text.</w:t>
          </w:r>
        </w:p>
      </w:docPartBody>
    </w:docPart>
    <w:docPart>
      <w:docPartPr>
        <w:name w:val="5E1FC11194D74E9B9A3D0B84F1B57E92"/>
        <w:category>
          <w:name w:val="General"/>
          <w:gallery w:val="placeholder"/>
        </w:category>
        <w:types>
          <w:type w:val="bbPlcHdr"/>
        </w:types>
        <w:behaviors>
          <w:behavior w:val="content"/>
        </w:behaviors>
        <w:guid w:val="{9FC91A90-13C1-4531-8B74-53E279C45CAB}"/>
      </w:docPartPr>
      <w:docPartBody>
        <w:p w:rsidR="00A86544" w:rsidRDefault="00A86544">
          <w:pPr>
            <w:pStyle w:val="5E1FC11194D74E9B9A3D0B84F1B57E92"/>
          </w:pPr>
          <w:r w:rsidRPr="00A25A13">
            <w:rPr>
              <w:rStyle w:val="PlaceholderText"/>
            </w:rPr>
            <w:t>Click here to enter text.</w:t>
          </w:r>
        </w:p>
      </w:docPartBody>
    </w:docPart>
    <w:docPart>
      <w:docPartPr>
        <w:name w:val="E128EDD6C20240868D7E481CC6EF862E"/>
        <w:category>
          <w:name w:val="General"/>
          <w:gallery w:val="placeholder"/>
        </w:category>
        <w:types>
          <w:type w:val="bbPlcHdr"/>
        </w:types>
        <w:behaviors>
          <w:behavior w:val="content"/>
        </w:behaviors>
        <w:guid w:val="{77B1A752-02CE-42F3-A9ED-1091E772E6E0}"/>
      </w:docPartPr>
      <w:docPartBody>
        <w:p w:rsidR="00A86544" w:rsidRDefault="00A86544">
          <w:pPr>
            <w:pStyle w:val="E128EDD6C20240868D7E481CC6EF862E"/>
          </w:pPr>
          <w:r w:rsidRPr="00F6705F">
            <w:rPr>
              <w:rStyle w:val="PlaceholderText"/>
              <w:sz w:val="18"/>
              <w:szCs w:val="18"/>
            </w:rPr>
            <w:t>Document title</w:t>
          </w:r>
        </w:p>
      </w:docPartBody>
    </w:docPart>
    <w:docPart>
      <w:docPartPr>
        <w:name w:val="5FD0DEBEB5934FE79847DDB1A3E3B63C"/>
        <w:category>
          <w:name w:val="General"/>
          <w:gallery w:val="placeholder"/>
        </w:category>
        <w:types>
          <w:type w:val="bbPlcHdr"/>
        </w:types>
        <w:behaviors>
          <w:behavior w:val="content"/>
        </w:behaviors>
        <w:guid w:val="{B4C4B72B-D16A-473C-A4AF-FBA0B0D5DD81}"/>
      </w:docPartPr>
      <w:docPartBody>
        <w:p w:rsidR="00A86544" w:rsidRDefault="00A86544">
          <w:pPr>
            <w:pStyle w:val="5FD0DEBEB5934FE79847DDB1A3E3B63C"/>
          </w:pPr>
          <w:r w:rsidRPr="00F6705F">
            <w:rPr>
              <w:rStyle w:val="PlaceholderText"/>
              <w:bCs/>
              <w:sz w:val="18"/>
              <w:szCs w:val="18"/>
            </w:rPr>
            <w:t>Client</w:t>
          </w:r>
        </w:p>
      </w:docPartBody>
    </w:docPart>
    <w:docPart>
      <w:docPartPr>
        <w:name w:val="0C691B0C8C7B4B7393CBA155C5CA5FD6"/>
        <w:category>
          <w:name w:val="General"/>
          <w:gallery w:val="placeholder"/>
        </w:category>
        <w:types>
          <w:type w:val="bbPlcHdr"/>
        </w:types>
        <w:behaviors>
          <w:behavior w:val="content"/>
        </w:behaviors>
        <w:guid w:val="{BB1C1492-82AF-4304-8D18-52E014679169}"/>
      </w:docPartPr>
      <w:docPartBody>
        <w:p w:rsidR="00A86544" w:rsidRDefault="00A86544">
          <w:pPr>
            <w:pStyle w:val="0C691B0C8C7B4B7393CBA155C5CA5FD6"/>
          </w:pPr>
          <w:r w:rsidRPr="00042C2D">
            <w:rPr>
              <w:rStyle w:val="PlaceholderText"/>
            </w:rPr>
            <w:t>Choose a building block.</w:t>
          </w:r>
        </w:p>
      </w:docPartBody>
    </w:docPart>
    <w:docPart>
      <w:docPartPr>
        <w:name w:val="0FE39D393BC746379725B53E3CE6E610"/>
        <w:category>
          <w:name w:val="General"/>
          <w:gallery w:val="placeholder"/>
        </w:category>
        <w:types>
          <w:type w:val="bbPlcHdr"/>
        </w:types>
        <w:behaviors>
          <w:behavior w:val="content"/>
        </w:behaviors>
        <w:guid w:val="{27CF88C2-3F5E-4351-89F6-83C72D5C93BE}"/>
      </w:docPartPr>
      <w:docPartBody>
        <w:p w:rsidR="00A86544" w:rsidRDefault="00A86544">
          <w:pPr>
            <w:pStyle w:val="0FE39D393BC746379725B53E3CE6E610"/>
          </w:pPr>
          <w:r>
            <w:rPr>
              <w:rStyle w:val="PlaceholderText"/>
              <w:szCs w:val="12"/>
            </w:rPr>
            <w:t>Project number</w:t>
          </w:r>
        </w:p>
      </w:docPartBody>
    </w:docPart>
    <w:docPart>
      <w:docPartPr>
        <w:name w:val="296D4BD550C641048E70596D22B138F5"/>
        <w:category>
          <w:name w:val="General"/>
          <w:gallery w:val="placeholder"/>
        </w:category>
        <w:types>
          <w:type w:val="bbPlcHdr"/>
        </w:types>
        <w:behaviors>
          <w:behavior w:val="content"/>
        </w:behaviors>
        <w:guid w:val="{88D43567-DD77-4A77-BDF9-8D2D0C324A75}"/>
      </w:docPartPr>
      <w:docPartBody>
        <w:p w:rsidR="00A86544" w:rsidRDefault="00A86544">
          <w:pPr>
            <w:pStyle w:val="296D4BD550C641048E70596D22B138F5"/>
          </w:pPr>
          <w:r w:rsidRPr="007D13A4">
            <w:rPr>
              <w:color w:val="44546A" w:themeColor="text2"/>
              <w:szCs w:val="12"/>
            </w:rPr>
            <w:t>Select date</w:t>
          </w:r>
        </w:p>
      </w:docPartBody>
    </w:docPart>
    <w:docPart>
      <w:docPartPr>
        <w:name w:val="08F5096DBE4E48D1AA20F22963796719"/>
        <w:category>
          <w:name w:val="General"/>
          <w:gallery w:val="placeholder"/>
        </w:category>
        <w:types>
          <w:type w:val="bbPlcHdr"/>
        </w:types>
        <w:behaviors>
          <w:behavior w:val="content"/>
        </w:behaviors>
        <w:guid w:val="{9EA502D1-F4D3-474A-9737-71635718FC75}"/>
      </w:docPartPr>
      <w:docPartBody>
        <w:p w:rsidR="00A86544" w:rsidRDefault="00A86544">
          <w:pPr>
            <w:pStyle w:val="08F5096DBE4E48D1AA20F22963796719"/>
          </w:pPr>
          <w:r>
            <w:rPr>
              <w:sz w:val="12"/>
              <w:szCs w:val="12"/>
            </w:rPr>
            <w:t>0</w:t>
          </w:r>
        </w:p>
      </w:docPartBody>
    </w:docPart>
    <w:docPart>
      <w:docPartPr>
        <w:name w:val="8163D186E9FC4983912F2594FF83162A"/>
        <w:category>
          <w:name w:val="General"/>
          <w:gallery w:val="placeholder"/>
        </w:category>
        <w:types>
          <w:type w:val="bbPlcHdr"/>
        </w:types>
        <w:behaviors>
          <w:behavior w:val="content"/>
        </w:behaviors>
        <w:guid w:val="{28FD0A88-0B9A-48B3-9D71-AE3758246EF2}"/>
      </w:docPartPr>
      <w:docPartBody>
        <w:p w:rsidR="00A86544" w:rsidRDefault="00A86544" w:rsidP="00A86544">
          <w:pPr>
            <w:pStyle w:val="8163D186E9FC4983912F2594FF83162A"/>
          </w:pPr>
          <w:r>
            <w:t>Appendix Title</w:t>
          </w:r>
        </w:p>
      </w:docPartBody>
    </w:docPart>
    <w:docPart>
      <w:docPartPr>
        <w:name w:val="D169BDD3F729496E903C2842CA4BF4AE"/>
        <w:category>
          <w:name w:val="General"/>
          <w:gallery w:val="placeholder"/>
        </w:category>
        <w:types>
          <w:type w:val="bbPlcHdr"/>
        </w:types>
        <w:behaviors>
          <w:behavior w:val="content"/>
        </w:behaviors>
        <w:guid w:val="{8F05098C-BBE6-4C7E-966E-DD1546C17B36}"/>
      </w:docPartPr>
      <w:docPartBody>
        <w:p w:rsidR="00A86544" w:rsidRDefault="00A86544" w:rsidP="00A86544">
          <w:pPr>
            <w:pStyle w:val="D169BDD3F729496E903C2842CA4BF4AE"/>
          </w:pPr>
          <w:r>
            <w:rPr>
              <w:rStyle w:val="PlaceholderText"/>
              <w:szCs w:val="12"/>
            </w:rPr>
            <w:t>Project number</w:t>
          </w:r>
        </w:p>
      </w:docPartBody>
    </w:docPart>
    <w:docPart>
      <w:docPartPr>
        <w:name w:val="FD75A23B1AF14DF980C69DA0620B4B82"/>
        <w:category>
          <w:name w:val="General"/>
          <w:gallery w:val="placeholder"/>
        </w:category>
        <w:types>
          <w:type w:val="bbPlcHdr"/>
        </w:types>
        <w:behaviors>
          <w:behavior w:val="content"/>
        </w:behaviors>
        <w:guid w:val="{79AB6F36-6F66-41F5-9CA5-B580D0848BFA}"/>
      </w:docPartPr>
      <w:docPartBody>
        <w:p w:rsidR="00A86544" w:rsidRDefault="00A86544" w:rsidP="00A86544">
          <w:pPr>
            <w:pStyle w:val="FD75A23B1AF14DF980C69DA0620B4B82"/>
          </w:pPr>
          <w:r w:rsidRPr="007D13A4">
            <w:rPr>
              <w:color w:val="44546A" w:themeColor="text2"/>
              <w:szCs w:val="12"/>
            </w:rPr>
            <w:t>Select date</w:t>
          </w:r>
        </w:p>
      </w:docPartBody>
    </w:docPart>
    <w:docPart>
      <w:docPartPr>
        <w:name w:val="3BC68A23E385483B897EEEDCD3C9E712"/>
        <w:category>
          <w:name w:val="General"/>
          <w:gallery w:val="placeholder"/>
        </w:category>
        <w:types>
          <w:type w:val="bbPlcHdr"/>
        </w:types>
        <w:behaviors>
          <w:behavior w:val="content"/>
        </w:behaviors>
        <w:guid w:val="{7ED6F77D-33E7-4BCE-872F-B7543D7B078D}"/>
      </w:docPartPr>
      <w:docPartBody>
        <w:p w:rsidR="00A86544" w:rsidRDefault="00A86544" w:rsidP="00A86544">
          <w:pPr>
            <w:pStyle w:val="3BC68A23E385483B897EEEDCD3C9E712"/>
          </w:pPr>
          <w:r>
            <w:rPr>
              <w:rStyle w:val="PlaceholderText"/>
              <w:sz w:val="12"/>
              <w:szCs w:val="12"/>
            </w:rPr>
            <w:t>0</w:t>
          </w:r>
        </w:p>
      </w:docPartBody>
    </w:docPart>
    <w:docPart>
      <w:docPartPr>
        <w:name w:val="AA5706FB3FC44D03BC7FA6A5E42C18DD"/>
        <w:category>
          <w:name w:val="General"/>
          <w:gallery w:val="placeholder"/>
        </w:category>
        <w:types>
          <w:type w:val="bbPlcHdr"/>
        </w:types>
        <w:behaviors>
          <w:behavior w:val="content"/>
        </w:behaviors>
        <w:guid w:val="{C8D854B9-B6FF-4506-ACC2-30CF25CC7377}"/>
      </w:docPartPr>
      <w:docPartBody>
        <w:p w:rsidR="00A86544" w:rsidRDefault="00A86544" w:rsidP="00A86544">
          <w:pPr>
            <w:pStyle w:val="AA5706FB3FC44D03BC7FA6A5E42C18DD"/>
          </w:pPr>
          <w:r>
            <w:t>Appendix Title</w:t>
          </w:r>
        </w:p>
      </w:docPartBody>
    </w:docPart>
    <w:docPart>
      <w:docPartPr>
        <w:name w:val="5B123AF3A3E94FD7AFB51B3B4CF9A04E"/>
        <w:category>
          <w:name w:val="General"/>
          <w:gallery w:val="placeholder"/>
        </w:category>
        <w:types>
          <w:type w:val="bbPlcHdr"/>
        </w:types>
        <w:behaviors>
          <w:behavior w:val="content"/>
        </w:behaviors>
        <w:guid w:val="{97FA4848-FFC6-45C2-ACEF-7AC9C13BB8EC}"/>
      </w:docPartPr>
      <w:docPartBody>
        <w:p w:rsidR="00A86544" w:rsidRDefault="00A86544" w:rsidP="00A86544">
          <w:pPr>
            <w:pStyle w:val="5B123AF3A3E94FD7AFB51B3B4CF9A04E"/>
          </w:pPr>
          <w:r>
            <w:rPr>
              <w:rStyle w:val="PlaceholderText"/>
              <w:szCs w:val="12"/>
            </w:rPr>
            <w:t>Project number</w:t>
          </w:r>
        </w:p>
      </w:docPartBody>
    </w:docPart>
    <w:docPart>
      <w:docPartPr>
        <w:name w:val="0542E1C5692F407283BEAF85329358D7"/>
        <w:category>
          <w:name w:val="General"/>
          <w:gallery w:val="placeholder"/>
        </w:category>
        <w:types>
          <w:type w:val="bbPlcHdr"/>
        </w:types>
        <w:behaviors>
          <w:behavior w:val="content"/>
        </w:behaviors>
        <w:guid w:val="{395CF7DF-5826-4263-8B6D-DBF0CDEE447B}"/>
      </w:docPartPr>
      <w:docPartBody>
        <w:p w:rsidR="00A86544" w:rsidRDefault="00A86544" w:rsidP="00A86544">
          <w:pPr>
            <w:pStyle w:val="0542E1C5692F407283BEAF85329358D7"/>
          </w:pPr>
          <w:r w:rsidRPr="007D13A4">
            <w:rPr>
              <w:color w:val="44546A" w:themeColor="text2"/>
              <w:szCs w:val="12"/>
            </w:rPr>
            <w:t>Select date</w:t>
          </w:r>
        </w:p>
      </w:docPartBody>
    </w:docPart>
    <w:docPart>
      <w:docPartPr>
        <w:name w:val="04B2ABF84F0C4DA786C4750630FD25CB"/>
        <w:category>
          <w:name w:val="General"/>
          <w:gallery w:val="placeholder"/>
        </w:category>
        <w:types>
          <w:type w:val="bbPlcHdr"/>
        </w:types>
        <w:behaviors>
          <w:behavior w:val="content"/>
        </w:behaviors>
        <w:guid w:val="{E2B95D50-DB8D-43B2-9680-7F0F487D3387}"/>
      </w:docPartPr>
      <w:docPartBody>
        <w:p w:rsidR="00A86544" w:rsidRDefault="00A86544" w:rsidP="00A86544">
          <w:pPr>
            <w:pStyle w:val="04B2ABF84F0C4DA786C4750630FD25CB"/>
          </w:pPr>
          <w:r>
            <w:rPr>
              <w:rStyle w:val="PlaceholderText"/>
              <w:sz w:val="12"/>
              <w:szCs w:val="12"/>
            </w:rPr>
            <w:t>0</w:t>
          </w:r>
        </w:p>
      </w:docPartBody>
    </w:docPart>
    <w:docPart>
      <w:docPartPr>
        <w:name w:val="133184DE12D2498F9C43DC38CA9A28F4"/>
        <w:category>
          <w:name w:val="General"/>
          <w:gallery w:val="placeholder"/>
        </w:category>
        <w:types>
          <w:type w:val="bbPlcHdr"/>
        </w:types>
        <w:behaviors>
          <w:behavior w:val="content"/>
        </w:behaviors>
        <w:guid w:val="{53608373-19C7-4573-95E5-FA4A543812F5}"/>
      </w:docPartPr>
      <w:docPartBody>
        <w:p w:rsidR="00A86544" w:rsidRDefault="00A86544" w:rsidP="00A86544">
          <w:pPr>
            <w:pStyle w:val="133184DE12D2498F9C43DC38CA9A28F4"/>
          </w:pPr>
          <w:r>
            <w:t>Appendix Title</w:t>
          </w:r>
        </w:p>
      </w:docPartBody>
    </w:docPart>
    <w:docPart>
      <w:docPartPr>
        <w:name w:val="E812C64ADCA34727B3E4ABAEF31B1239"/>
        <w:category>
          <w:name w:val="General"/>
          <w:gallery w:val="placeholder"/>
        </w:category>
        <w:types>
          <w:type w:val="bbPlcHdr"/>
        </w:types>
        <w:behaviors>
          <w:behavior w:val="content"/>
        </w:behaviors>
        <w:guid w:val="{9DD9C9BA-8C27-4580-AF71-92986FED4FFC}"/>
      </w:docPartPr>
      <w:docPartBody>
        <w:p w:rsidR="00A86544" w:rsidRDefault="00A86544" w:rsidP="00A86544">
          <w:pPr>
            <w:pStyle w:val="E812C64ADCA34727B3E4ABAEF31B1239"/>
          </w:pPr>
          <w:r>
            <w:rPr>
              <w:rStyle w:val="PlaceholderText"/>
              <w:szCs w:val="12"/>
            </w:rPr>
            <w:t>Project number</w:t>
          </w:r>
        </w:p>
      </w:docPartBody>
    </w:docPart>
    <w:docPart>
      <w:docPartPr>
        <w:name w:val="B2103AC3C9804E7ABEB29F45209A7FD2"/>
        <w:category>
          <w:name w:val="General"/>
          <w:gallery w:val="placeholder"/>
        </w:category>
        <w:types>
          <w:type w:val="bbPlcHdr"/>
        </w:types>
        <w:behaviors>
          <w:behavior w:val="content"/>
        </w:behaviors>
        <w:guid w:val="{F4197F7F-58A4-4B80-B373-AB415B06EEF1}"/>
      </w:docPartPr>
      <w:docPartBody>
        <w:p w:rsidR="00A86544" w:rsidRDefault="00A86544" w:rsidP="00A86544">
          <w:pPr>
            <w:pStyle w:val="B2103AC3C9804E7ABEB29F45209A7FD2"/>
          </w:pPr>
          <w:r w:rsidRPr="007D13A4">
            <w:rPr>
              <w:color w:val="44546A" w:themeColor="text2"/>
              <w:szCs w:val="12"/>
            </w:rPr>
            <w:t>Select date</w:t>
          </w:r>
        </w:p>
      </w:docPartBody>
    </w:docPart>
    <w:docPart>
      <w:docPartPr>
        <w:name w:val="F9241EED21484F129A8DD3CCA7F0CEB9"/>
        <w:category>
          <w:name w:val="General"/>
          <w:gallery w:val="placeholder"/>
        </w:category>
        <w:types>
          <w:type w:val="bbPlcHdr"/>
        </w:types>
        <w:behaviors>
          <w:behavior w:val="content"/>
        </w:behaviors>
        <w:guid w:val="{520B7209-AFF3-45C0-B62F-26CE64D2DEB3}"/>
      </w:docPartPr>
      <w:docPartBody>
        <w:p w:rsidR="00A86544" w:rsidRDefault="00A86544" w:rsidP="00A86544">
          <w:pPr>
            <w:pStyle w:val="F9241EED21484F129A8DD3CCA7F0CEB9"/>
          </w:pPr>
          <w:r>
            <w:rPr>
              <w:rStyle w:val="PlaceholderText"/>
              <w:sz w:val="12"/>
              <w:szCs w:val="12"/>
            </w:rPr>
            <w:t>0</w:t>
          </w:r>
        </w:p>
      </w:docPartBody>
    </w:docPart>
    <w:docPart>
      <w:docPartPr>
        <w:name w:val="2C0DEFD120CA43B5B682B22FC4966C3E"/>
        <w:category>
          <w:name w:val="General"/>
          <w:gallery w:val="placeholder"/>
        </w:category>
        <w:types>
          <w:type w:val="bbPlcHdr"/>
        </w:types>
        <w:behaviors>
          <w:behavior w:val="content"/>
        </w:behaviors>
        <w:guid w:val="{452AC631-67E0-4621-8124-CCE8BA500633}"/>
      </w:docPartPr>
      <w:docPartBody>
        <w:p w:rsidR="00CD4810" w:rsidRDefault="00A13C94" w:rsidP="00A13C94">
          <w:pPr>
            <w:pStyle w:val="2C0DEFD120CA43B5B682B22FC4966C3E"/>
          </w:pPr>
          <w:r w:rsidRPr="00F6705F">
            <w:rPr>
              <w:rStyle w:val="PlaceholderText"/>
              <w:sz w:val="16"/>
              <w:szCs w:val="16"/>
            </w:rPr>
            <w:t>Select date</w:t>
          </w:r>
        </w:p>
      </w:docPartBody>
    </w:docPart>
    <w:docPart>
      <w:docPartPr>
        <w:name w:val="D2A1206C0ADA4937A459FE7232F56343"/>
        <w:category>
          <w:name w:val="General"/>
          <w:gallery w:val="placeholder"/>
        </w:category>
        <w:types>
          <w:type w:val="bbPlcHdr"/>
        </w:types>
        <w:behaviors>
          <w:behavior w:val="content"/>
        </w:behaviors>
        <w:guid w:val="{FF344CB3-6F00-4023-9A13-0C49B6372002}"/>
      </w:docPartPr>
      <w:docPartBody>
        <w:p w:rsidR="00CD4810" w:rsidRDefault="00A13C94" w:rsidP="00A13C94">
          <w:pPr>
            <w:pStyle w:val="D2A1206C0ADA4937A459FE7232F56343"/>
          </w:pPr>
          <w:r w:rsidRPr="00F6705F">
            <w:rPr>
              <w:rStyle w:val="PlaceholderText"/>
              <w:sz w:val="18"/>
              <w:szCs w:val="18"/>
            </w:rPr>
            <w:t>Project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44"/>
    <w:rsid w:val="000242F5"/>
    <w:rsid w:val="003C48BD"/>
    <w:rsid w:val="004F24FF"/>
    <w:rsid w:val="004F302C"/>
    <w:rsid w:val="00531832"/>
    <w:rsid w:val="005A51C9"/>
    <w:rsid w:val="005C5900"/>
    <w:rsid w:val="00654137"/>
    <w:rsid w:val="00676B85"/>
    <w:rsid w:val="0070639C"/>
    <w:rsid w:val="007566C7"/>
    <w:rsid w:val="007E73CF"/>
    <w:rsid w:val="007F6365"/>
    <w:rsid w:val="00910BD2"/>
    <w:rsid w:val="00962FD1"/>
    <w:rsid w:val="009B7114"/>
    <w:rsid w:val="009F1914"/>
    <w:rsid w:val="00A13C94"/>
    <w:rsid w:val="00A174DA"/>
    <w:rsid w:val="00A86544"/>
    <w:rsid w:val="00AC2BBB"/>
    <w:rsid w:val="00B00149"/>
    <w:rsid w:val="00B1481C"/>
    <w:rsid w:val="00B15ECD"/>
    <w:rsid w:val="00BA3055"/>
    <w:rsid w:val="00C27416"/>
    <w:rsid w:val="00CC241A"/>
    <w:rsid w:val="00CD4810"/>
    <w:rsid w:val="00D126D4"/>
    <w:rsid w:val="00D1643E"/>
    <w:rsid w:val="00E175AF"/>
    <w:rsid w:val="00E51644"/>
    <w:rsid w:val="00EB454A"/>
    <w:rsid w:val="00F2384E"/>
    <w:rsid w:val="00FB1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C94"/>
    <w:rPr>
      <w:rFonts w:cs="Times New Roman"/>
      <w:color w:val="808080"/>
    </w:rPr>
  </w:style>
  <w:style w:type="paragraph" w:customStyle="1" w:styleId="D8B08056BD9042B5B89258F8565F2B55">
    <w:name w:val="D8B08056BD9042B5B89258F8565F2B55"/>
  </w:style>
  <w:style w:type="paragraph" w:customStyle="1" w:styleId="F43665FC71924F768F45266CCB9BD928">
    <w:name w:val="F43665FC71924F768F45266CCB9BD928"/>
  </w:style>
  <w:style w:type="paragraph" w:customStyle="1" w:styleId="5E1FC11194D74E9B9A3D0B84F1B57E92">
    <w:name w:val="5E1FC11194D74E9B9A3D0B84F1B57E92"/>
  </w:style>
  <w:style w:type="paragraph" w:customStyle="1" w:styleId="E128EDD6C20240868D7E481CC6EF862E">
    <w:name w:val="E128EDD6C20240868D7E481CC6EF862E"/>
  </w:style>
  <w:style w:type="paragraph" w:customStyle="1" w:styleId="BD1CD22D95E24F0E95C141BA9C9E884E">
    <w:name w:val="BD1CD22D95E24F0E95C141BA9C9E884E"/>
  </w:style>
  <w:style w:type="paragraph" w:customStyle="1" w:styleId="5FD0DEBEB5934FE79847DDB1A3E3B63C">
    <w:name w:val="5FD0DEBEB5934FE79847DDB1A3E3B63C"/>
  </w:style>
  <w:style w:type="paragraph" w:customStyle="1" w:styleId="C271F12EBAA84B328D3F68CB1CBD5D8C">
    <w:name w:val="C271F12EBAA84B328D3F68CB1CBD5D8C"/>
  </w:style>
  <w:style w:type="paragraph" w:customStyle="1" w:styleId="0C691B0C8C7B4B7393CBA155C5CA5FD6">
    <w:name w:val="0C691B0C8C7B4B7393CBA155C5CA5FD6"/>
  </w:style>
  <w:style w:type="paragraph" w:customStyle="1" w:styleId="0FE39D393BC746379725B53E3CE6E610">
    <w:name w:val="0FE39D393BC746379725B53E3CE6E610"/>
  </w:style>
  <w:style w:type="paragraph" w:customStyle="1" w:styleId="296D4BD550C641048E70596D22B138F5">
    <w:name w:val="296D4BD550C641048E70596D22B138F5"/>
  </w:style>
  <w:style w:type="paragraph" w:customStyle="1" w:styleId="08F5096DBE4E48D1AA20F22963796719">
    <w:name w:val="08F5096DBE4E48D1AA20F22963796719"/>
  </w:style>
  <w:style w:type="paragraph" w:customStyle="1" w:styleId="5EB6172175D74ADA91D61D6A78C338C6">
    <w:name w:val="5EB6172175D74ADA91D61D6A78C338C6"/>
  </w:style>
  <w:style w:type="paragraph" w:customStyle="1" w:styleId="D61AA228DEC64B6294F4B16413F46C44">
    <w:name w:val="D61AA228DEC64B6294F4B16413F46C44"/>
  </w:style>
  <w:style w:type="paragraph" w:customStyle="1" w:styleId="88C4351452BE424FBA0919830A4C4E40">
    <w:name w:val="88C4351452BE424FBA0919830A4C4E40"/>
  </w:style>
  <w:style w:type="paragraph" w:customStyle="1" w:styleId="006E2D9D92984F6BA7D5F4693978C3CF">
    <w:name w:val="006E2D9D92984F6BA7D5F4693978C3CF"/>
    <w:rsid w:val="00A86544"/>
  </w:style>
  <w:style w:type="paragraph" w:customStyle="1" w:styleId="3BEC0ABDEAA24E5085AC3568B94B7F2B">
    <w:name w:val="3BEC0ABDEAA24E5085AC3568B94B7F2B"/>
    <w:rsid w:val="00A86544"/>
  </w:style>
  <w:style w:type="paragraph" w:customStyle="1" w:styleId="8163D186E9FC4983912F2594FF83162A">
    <w:name w:val="8163D186E9FC4983912F2594FF83162A"/>
    <w:rsid w:val="00A86544"/>
  </w:style>
  <w:style w:type="paragraph" w:customStyle="1" w:styleId="9814D29ADC1049229E4772A24D2AA5E9">
    <w:name w:val="9814D29ADC1049229E4772A24D2AA5E9"/>
    <w:rsid w:val="00A86544"/>
  </w:style>
  <w:style w:type="paragraph" w:customStyle="1" w:styleId="FF4262B3E65A49999C1C5603BFD73EEF">
    <w:name w:val="FF4262B3E65A49999C1C5603BFD73EEF"/>
    <w:rsid w:val="00A86544"/>
  </w:style>
  <w:style w:type="paragraph" w:customStyle="1" w:styleId="B7138E2B6D38451D9B1AF30CA7680D96">
    <w:name w:val="B7138E2B6D38451D9B1AF30CA7680D96"/>
    <w:rsid w:val="00A86544"/>
  </w:style>
  <w:style w:type="paragraph" w:customStyle="1" w:styleId="D169BDD3F729496E903C2842CA4BF4AE">
    <w:name w:val="D169BDD3F729496E903C2842CA4BF4AE"/>
    <w:rsid w:val="00A86544"/>
  </w:style>
  <w:style w:type="paragraph" w:customStyle="1" w:styleId="FD75A23B1AF14DF980C69DA0620B4B82">
    <w:name w:val="FD75A23B1AF14DF980C69DA0620B4B82"/>
    <w:rsid w:val="00A86544"/>
  </w:style>
  <w:style w:type="paragraph" w:customStyle="1" w:styleId="3BC68A23E385483B897EEEDCD3C9E712">
    <w:name w:val="3BC68A23E385483B897EEEDCD3C9E712"/>
    <w:rsid w:val="00A86544"/>
  </w:style>
  <w:style w:type="paragraph" w:customStyle="1" w:styleId="AA5706FB3FC44D03BC7FA6A5E42C18DD">
    <w:name w:val="AA5706FB3FC44D03BC7FA6A5E42C18DD"/>
    <w:rsid w:val="00A86544"/>
  </w:style>
  <w:style w:type="paragraph" w:customStyle="1" w:styleId="807F7A0F2FB1496DBBA8C98B3D2DE0AD">
    <w:name w:val="807F7A0F2FB1496DBBA8C98B3D2DE0AD"/>
    <w:rsid w:val="00A86544"/>
  </w:style>
  <w:style w:type="paragraph" w:customStyle="1" w:styleId="12748BACAF3042AC8DC91A82B071A8A3">
    <w:name w:val="12748BACAF3042AC8DC91A82B071A8A3"/>
    <w:rsid w:val="00A86544"/>
  </w:style>
  <w:style w:type="paragraph" w:customStyle="1" w:styleId="92C759C9A5554D729B48DAC072F4AADA">
    <w:name w:val="92C759C9A5554D729B48DAC072F4AADA"/>
    <w:rsid w:val="00A86544"/>
  </w:style>
  <w:style w:type="paragraph" w:customStyle="1" w:styleId="5B123AF3A3E94FD7AFB51B3B4CF9A04E">
    <w:name w:val="5B123AF3A3E94FD7AFB51B3B4CF9A04E"/>
    <w:rsid w:val="00A86544"/>
  </w:style>
  <w:style w:type="paragraph" w:customStyle="1" w:styleId="0542E1C5692F407283BEAF85329358D7">
    <w:name w:val="0542E1C5692F407283BEAF85329358D7"/>
    <w:rsid w:val="00A86544"/>
  </w:style>
  <w:style w:type="paragraph" w:customStyle="1" w:styleId="04B2ABF84F0C4DA786C4750630FD25CB">
    <w:name w:val="04B2ABF84F0C4DA786C4750630FD25CB"/>
    <w:rsid w:val="00A86544"/>
  </w:style>
  <w:style w:type="paragraph" w:customStyle="1" w:styleId="133184DE12D2498F9C43DC38CA9A28F4">
    <w:name w:val="133184DE12D2498F9C43DC38CA9A28F4"/>
    <w:rsid w:val="00A86544"/>
  </w:style>
  <w:style w:type="paragraph" w:customStyle="1" w:styleId="6A04A3B2472A4E3FA879FEA35884ACF4">
    <w:name w:val="6A04A3B2472A4E3FA879FEA35884ACF4"/>
    <w:rsid w:val="00A86544"/>
  </w:style>
  <w:style w:type="paragraph" w:customStyle="1" w:styleId="927DE366E6A34578B186302764EC227A">
    <w:name w:val="927DE366E6A34578B186302764EC227A"/>
    <w:rsid w:val="00A86544"/>
  </w:style>
  <w:style w:type="paragraph" w:customStyle="1" w:styleId="EBBB8E460C874AC3AA6E92FA9AF7ACC4">
    <w:name w:val="EBBB8E460C874AC3AA6E92FA9AF7ACC4"/>
    <w:rsid w:val="00A86544"/>
  </w:style>
  <w:style w:type="paragraph" w:customStyle="1" w:styleId="E812C64ADCA34727B3E4ABAEF31B1239">
    <w:name w:val="E812C64ADCA34727B3E4ABAEF31B1239"/>
    <w:rsid w:val="00A86544"/>
  </w:style>
  <w:style w:type="paragraph" w:customStyle="1" w:styleId="B2103AC3C9804E7ABEB29F45209A7FD2">
    <w:name w:val="B2103AC3C9804E7ABEB29F45209A7FD2"/>
    <w:rsid w:val="00A86544"/>
  </w:style>
  <w:style w:type="paragraph" w:customStyle="1" w:styleId="F9241EED21484F129A8DD3CCA7F0CEB9">
    <w:name w:val="F9241EED21484F129A8DD3CCA7F0CEB9"/>
    <w:rsid w:val="00A86544"/>
  </w:style>
  <w:style w:type="paragraph" w:customStyle="1" w:styleId="D62FFAB90E794EB4A089B6699DCC9E27">
    <w:name w:val="D62FFAB90E794EB4A089B6699DCC9E27"/>
    <w:rsid w:val="0070639C"/>
  </w:style>
  <w:style w:type="paragraph" w:customStyle="1" w:styleId="548DD67E7E2F4ABEBBE38258B3C4E156">
    <w:name w:val="548DD67E7E2F4ABEBBE38258B3C4E156"/>
    <w:rsid w:val="00A13C94"/>
  </w:style>
  <w:style w:type="paragraph" w:customStyle="1" w:styleId="2C0DEFD120CA43B5B682B22FC4966C3E">
    <w:name w:val="2C0DEFD120CA43B5B682B22FC4966C3E"/>
    <w:rsid w:val="00A13C94"/>
  </w:style>
  <w:style w:type="paragraph" w:customStyle="1" w:styleId="D2A1206C0ADA4937A459FE7232F56343">
    <w:name w:val="D2A1206C0ADA4937A459FE7232F56343"/>
    <w:rsid w:val="00A13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urecon">
  <a:themeElements>
    <a:clrScheme name="New_Aurecon">
      <a:dk1>
        <a:srgbClr val="000000"/>
      </a:dk1>
      <a:lt1>
        <a:sysClr val="window" lastClr="FFFFFF"/>
      </a:lt1>
      <a:dk2>
        <a:srgbClr val="5F5F5F"/>
      </a:dk2>
      <a:lt2>
        <a:srgbClr val="E4F1CC"/>
      </a:lt2>
      <a:accent1>
        <a:srgbClr val="7AB800"/>
      </a:accent1>
      <a:accent2>
        <a:srgbClr val="353D30"/>
      </a:accent2>
      <a:accent3>
        <a:srgbClr val="C0C0C0"/>
      </a:accent3>
      <a:accent4>
        <a:srgbClr val="FCD450"/>
      </a:accent4>
      <a:accent5>
        <a:srgbClr val="009FDA"/>
      </a:accent5>
      <a:accent6>
        <a:srgbClr val="F08A36"/>
      </a:accent6>
      <a:hlink>
        <a:srgbClr val="00B3F0"/>
      </a:hlink>
      <a:folHlink>
        <a:srgbClr val="C0C0C0"/>
      </a:folHlink>
    </a:clrScheme>
    <a:fontScheme name="AureconHatch">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company>
    <name/>
    <label/>
    <contacts/>
  </company>
  <document>
    <title>Cost Benefit Analysis</title>
    <disclaimer>Aurecon</disclaimer>
  </document>
  <project>
    <name>Review of Ambient Air Quality NEPM for SO2, NO2 and O3</name>
    <number>501523</number>
    <date>2018-07-06T00:00:00</date>
    <revision>Final</revision>
    <client>EPA Victoria</client>
  </project>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45393E3D-3B52-4D3F-BBED-1AFEC97AEA28}">
  <ds:schemaRefs/>
</ds:datastoreItem>
</file>

<file path=customXml/itemProps2.xml><?xml version="1.0" encoding="utf-8"?>
<ds:datastoreItem xmlns:ds="http://schemas.openxmlformats.org/officeDocument/2006/customXml" ds:itemID="{0CAE87A9-13C1-4EA1-BCDF-61A599BA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19_Proposal fullwidth.dotm</Template>
  <TotalTime>434</TotalTime>
  <Pages>40</Pages>
  <Words>14229</Words>
  <Characters>75702</Characters>
  <Application>Microsoft Office Word</Application>
  <DocSecurity>0</DocSecurity>
  <Lines>1941</Lines>
  <Paragraphs>1249</Paragraphs>
  <ScaleCrop>false</ScaleCrop>
  <HeadingPairs>
    <vt:vector size="2" baseType="variant">
      <vt:variant>
        <vt:lpstr>Title</vt:lpstr>
      </vt:variant>
      <vt:variant>
        <vt:i4>1</vt:i4>
      </vt:variant>
    </vt:vector>
  </HeadingPairs>
  <TitlesOfParts>
    <vt:vector size="1" baseType="lpstr">
      <vt:lpstr>Review of Ambient Air Quality NEPM for SO2, NO2 and O3</vt:lpstr>
    </vt:vector>
  </TitlesOfParts>
  <Company>Aurecon</Company>
  <LinksUpToDate>false</LinksUpToDate>
  <CharactersWithSpaces>88682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Ambient Air Quality NEPM for SO2, NO2 and O3</dc:title>
  <dc:subject/>
  <dc:creator>Kapil Kulkarni</dc:creator>
  <cp:keywords/>
  <dc:description/>
  <cp:lastModifiedBy>Nguyen, Lien</cp:lastModifiedBy>
  <cp:revision>83</cp:revision>
  <cp:lastPrinted>2018-07-05T08:22:00Z</cp:lastPrinted>
  <dcterms:created xsi:type="dcterms:W3CDTF">2018-05-29T08:16:00Z</dcterms:created>
  <dcterms:modified xsi:type="dcterms:W3CDTF">2019-05-23T06:07:00Z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21.01.0001</vt:lpwstr>
  </property>
  <property fmtid="{D5CDD505-2E9C-101B-9397-08002B2CF9AE}" pid="3" name="Document code">
    <vt:lpwstr>TMP-PROF</vt:lpwstr>
  </property>
  <property fmtid="{D5CDD505-2E9C-101B-9397-08002B2CF9AE}" pid="4" name="Base template">
    <vt:lpwstr>Proposal-Full</vt:lpwstr>
  </property>
</Properties>
</file>