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E79E90" w14:textId="46DF87FE" w:rsidR="000B0FB1" w:rsidRPr="000D420F" w:rsidRDefault="000B0FB1" w:rsidP="000B0FB1">
      <w:pPr>
        <w:pBdr>
          <w:left w:val="single" w:sz="36" w:space="4" w:color="70AD47" w:themeColor="accent6"/>
        </w:pBdr>
        <w:spacing w:after="240" w:line="240" w:lineRule="auto"/>
        <w:outlineLvl w:val="1"/>
        <w:rPr>
          <w:sz w:val="32"/>
          <w:szCs w:val="32"/>
        </w:rPr>
      </w:pPr>
      <w:bookmarkStart w:id="0" w:name="Top"/>
      <w:bookmarkStart w:id="1" w:name="_Toc9520934"/>
      <w:bookmarkStart w:id="2" w:name="_GoBack"/>
      <w:bookmarkEnd w:id="0"/>
      <w:bookmarkEnd w:id="2"/>
      <w:r w:rsidRPr="000B0FB1">
        <w:rPr>
          <w:sz w:val="40"/>
          <w:szCs w:val="40"/>
        </w:rPr>
        <w:t>Proposal to vary the National Environment Protection (Ambient Air Quality) Measure in relation to the standards for ozone, nitrogen dioxide and sulfur dioxide</w:t>
      </w:r>
      <w:r>
        <w:rPr>
          <w:color w:val="2F5496" w:themeColor="accent1" w:themeShade="BF"/>
          <w:sz w:val="40"/>
          <w:szCs w:val="40"/>
        </w:rPr>
        <w:br/>
      </w:r>
      <w:r w:rsidRPr="005C6C29">
        <w:rPr>
          <w:color w:val="7F7F7F" w:themeColor="text1" w:themeTint="80"/>
          <w:sz w:val="32"/>
          <w:szCs w:val="32"/>
        </w:rPr>
        <w:t>Question and answer fact sheet</w:t>
      </w:r>
      <w:bookmarkEnd w:id="1"/>
    </w:p>
    <w:sdt>
      <w:sdtPr>
        <w:id w:val="-2039958505"/>
        <w:docPartObj>
          <w:docPartGallery w:val="Table of Contents"/>
          <w:docPartUnique/>
        </w:docPartObj>
      </w:sdtPr>
      <w:sdtEndPr>
        <w:rPr>
          <w:bCs/>
          <w:noProof/>
          <w:color w:val="auto"/>
          <w:sz w:val="20"/>
          <w:szCs w:val="20"/>
          <w:lang w:val="en-AU" w:eastAsia="en-AU"/>
        </w:rPr>
      </w:sdtEndPr>
      <w:sdtContent>
        <w:p w14:paraId="26221B6A" w14:textId="3B2CDD5B" w:rsidR="00A60339" w:rsidRDefault="00A60339">
          <w:pPr>
            <w:pStyle w:val="TOCHeading"/>
          </w:pPr>
          <w:r>
            <w:t>Contents</w:t>
          </w:r>
        </w:p>
        <w:p w14:paraId="723614CF" w14:textId="1DE77898" w:rsidR="00A60339" w:rsidRDefault="00A60339" w:rsidP="00A60339">
          <w:pPr>
            <w:pStyle w:val="TOC2"/>
            <w:tabs>
              <w:tab w:val="right" w:leader="dot" w:pos="10456"/>
            </w:tabs>
            <w:ind w:left="0"/>
            <w:rPr>
              <w:rFonts w:asciiTheme="minorHAnsi" w:eastAsiaTheme="minorEastAsia" w:hAnsiTheme="minorHAnsi" w:cstheme="minorBidi"/>
              <w:noProof/>
              <w:sz w:val="22"/>
              <w:szCs w:val="22"/>
            </w:rPr>
          </w:pPr>
          <w:r>
            <w:rPr>
              <w:b/>
              <w:bCs/>
              <w:noProof/>
            </w:rPr>
            <w:fldChar w:fldCharType="begin"/>
          </w:r>
          <w:r>
            <w:rPr>
              <w:b/>
              <w:bCs/>
              <w:noProof/>
            </w:rPr>
            <w:instrText xml:space="preserve"> TOC \o "1-3" \h \z \u </w:instrText>
          </w:r>
          <w:r>
            <w:rPr>
              <w:b/>
              <w:bCs/>
              <w:noProof/>
            </w:rPr>
            <w:fldChar w:fldCharType="separate"/>
          </w:r>
          <w:hyperlink w:anchor="_Toc9520935" w:history="1">
            <w:r w:rsidRPr="00982AAC">
              <w:rPr>
                <w:rStyle w:val="Hyperlink"/>
                <w:noProof/>
              </w:rPr>
              <w:t>Australia’s air quality</w:t>
            </w:r>
            <w:r>
              <w:rPr>
                <w:noProof/>
                <w:webHidden/>
              </w:rPr>
              <w:tab/>
            </w:r>
            <w:r>
              <w:rPr>
                <w:noProof/>
                <w:webHidden/>
              </w:rPr>
              <w:fldChar w:fldCharType="begin"/>
            </w:r>
            <w:r>
              <w:rPr>
                <w:noProof/>
                <w:webHidden/>
              </w:rPr>
              <w:instrText xml:space="preserve"> PAGEREF _Toc9520935 \h </w:instrText>
            </w:r>
            <w:r>
              <w:rPr>
                <w:noProof/>
                <w:webHidden/>
              </w:rPr>
            </w:r>
            <w:r>
              <w:rPr>
                <w:noProof/>
                <w:webHidden/>
              </w:rPr>
              <w:fldChar w:fldCharType="separate"/>
            </w:r>
            <w:r>
              <w:rPr>
                <w:noProof/>
                <w:webHidden/>
              </w:rPr>
              <w:t>1</w:t>
            </w:r>
            <w:r>
              <w:rPr>
                <w:noProof/>
                <w:webHidden/>
              </w:rPr>
              <w:fldChar w:fldCharType="end"/>
            </w:r>
          </w:hyperlink>
        </w:p>
        <w:p w14:paraId="1FC931E0" w14:textId="77777777" w:rsidR="00A60339" w:rsidRDefault="00A60339">
          <w:pPr>
            <w:pStyle w:val="TOC2"/>
            <w:tabs>
              <w:tab w:val="left" w:pos="880"/>
              <w:tab w:val="right" w:leader="dot" w:pos="10456"/>
            </w:tabs>
            <w:rPr>
              <w:rFonts w:asciiTheme="minorHAnsi" w:eastAsiaTheme="minorEastAsia" w:hAnsiTheme="minorHAnsi" w:cstheme="minorBidi"/>
              <w:noProof/>
              <w:sz w:val="22"/>
              <w:szCs w:val="22"/>
            </w:rPr>
          </w:pPr>
          <w:hyperlink w:anchor="_Toc9520936" w:history="1">
            <w:r w:rsidRPr="00982AAC">
              <w:rPr>
                <w:rStyle w:val="Hyperlink"/>
                <w:noProof/>
              </w:rPr>
              <w:t>Q1.</w:t>
            </w:r>
            <w:r>
              <w:rPr>
                <w:rFonts w:asciiTheme="minorHAnsi" w:eastAsiaTheme="minorEastAsia" w:hAnsiTheme="minorHAnsi" w:cstheme="minorBidi"/>
                <w:noProof/>
                <w:sz w:val="22"/>
                <w:szCs w:val="22"/>
              </w:rPr>
              <w:tab/>
            </w:r>
            <w:r w:rsidRPr="00982AAC">
              <w:rPr>
                <w:rStyle w:val="Hyperlink"/>
                <w:noProof/>
              </w:rPr>
              <w:t>What is the current status of Australia’s air quality?</w:t>
            </w:r>
            <w:r>
              <w:rPr>
                <w:noProof/>
                <w:webHidden/>
              </w:rPr>
              <w:tab/>
            </w:r>
            <w:r>
              <w:rPr>
                <w:noProof/>
                <w:webHidden/>
              </w:rPr>
              <w:fldChar w:fldCharType="begin"/>
            </w:r>
            <w:r>
              <w:rPr>
                <w:noProof/>
                <w:webHidden/>
              </w:rPr>
              <w:instrText xml:space="preserve"> PAGEREF _Toc9520936 \h </w:instrText>
            </w:r>
            <w:r>
              <w:rPr>
                <w:noProof/>
                <w:webHidden/>
              </w:rPr>
            </w:r>
            <w:r>
              <w:rPr>
                <w:noProof/>
                <w:webHidden/>
              </w:rPr>
              <w:fldChar w:fldCharType="separate"/>
            </w:r>
            <w:r>
              <w:rPr>
                <w:noProof/>
                <w:webHidden/>
              </w:rPr>
              <w:t>1</w:t>
            </w:r>
            <w:r>
              <w:rPr>
                <w:noProof/>
                <w:webHidden/>
              </w:rPr>
              <w:fldChar w:fldCharType="end"/>
            </w:r>
          </w:hyperlink>
        </w:p>
        <w:p w14:paraId="048B2EC7" w14:textId="77777777" w:rsidR="00A60339" w:rsidRDefault="00A60339">
          <w:pPr>
            <w:pStyle w:val="TOC2"/>
            <w:tabs>
              <w:tab w:val="left" w:pos="880"/>
              <w:tab w:val="right" w:leader="dot" w:pos="10456"/>
            </w:tabs>
            <w:rPr>
              <w:rFonts w:asciiTheme="minorHAnsi" w:eastAsiaTheme="minorEastAsia" w:hAnsiTheme="minorHAnsi" w:cstheme="minorBidi"/>
              <w:noProof/>
              <w:sz w:val="22"/>
              <w:szCs w:val="22"/>
            </w:rPr>
          </w:pPr>
          <w:hyperlink w:anchor="_Toc9520937" w:history="1">
            <w:r w:rsidRPr="00982AAC">
              <w:rPr>
                <w:rStyle w:val="Hyperlink"/>
                <w:noProof/>
              </w:rPr>
              <w:t>Q2.</w:t>
            </w:r>
            <w:r>
              <w:rPr>
                <w:rFonts w:asciiTheme="minorHAnsi" w:eastAsiaTheme="minorEastAsia" w:hAnsiTheme="minorHAnsi" w:cstheme="minorBidi"/>
                <w:noProof/>
                <w:sz w:val="22"/>
                <w:szCs w:val="22"/>
              </w:rPr>
              <w:tab/>
            </w:r>
            <w:r w:rsidRPr="00982AAC">
              <w:rPr>
                <w:rStyle w:val="Hyperlink"/>
                <w:noProof/>
              </w:rPr>
              <w:t>Are further air improvements necessary given that we already enjoy relatively good air quality in Australia?</w:t>
            </w:r>
            <w:r>
              <w:rPr>
                <w:noProof/>
                <w:webHidden/>
              </w:rPr>
              <w:tab/>
            </w:r>
            <w:r>
              <w:rPr>
                <w:noProof/>
                <w:webHidden/>
              </w:rPr>
              <w:fldChar w:fldCharType="begin"/>
            </w:r>
            <w:r>
              <w:rPr>
                <w:noProof/>
                <w:webHidden/>
              </w:rPr>
              <w:instrText xml:space="preserve"> PAGEREF _Toc9520937 \h </w:instrText>
            </w:r>
            <w:r>
              <w:rPr>
                <w:noProof/>
                <w:webHidden/>
              </w:rPr>
            </w:r>
            <w:r>
              <w:rPr>
                <w:noProof/>
                <w:webHidden/>
              </w:rPr>
              <w:fldChar w:fldCharType="separate"/>
            </w:r>
            <w:r>
              <w:rPr>
                <w:noProof/>
                <w:webHidden/>
              </w:rPr>
              <w:t>1</w:t>
            </w:r>
            <w:r>
              <w:rPr>
                <w:noProof/>
                <w:webHidden/>
              </w:rPr>
              <w:fldChar w:fldCharType="end"/>
            </w:r>
          </w:hyperlink>
        </w:p>
        <w:p w14:paraId="6A8E37F2" w14:textId="77777777" w:rsidR="00A60339" w:rsidRDefault="00A60339">
          <w:pPr>
            <w:pStyle w:val="TOC1"/>
            <w:tabs>
              <w:tab w:val="right" w:leader="dot" w:pos="10456"/>
            </w:tabs>
            <w:rPr>
              <w:rFonts w:asciiTheme="minorHAnsi" w:eastAsiaTheme="minorEastAsia" w:hAnsiTheme="minorHAnsi" w:cstheme="minorBidi"/>
              <w:noProof/>
              <w:sz w:val="22"/>
              <w:szCs w:val="22"/>
            </w:rPr>
          </w:pPr>
          <w:hyperlink w:anchor="_Toc9520938" w:history="1">
            <w:r w:rsidRPr="00982AAC">
              <w:rPr>
                <w:rStyle w:val="Hyperlink"/>
                <w:noProof/>
              </w:rPr>
              <w:t>Ambient Air Quality National Environment Protection Measure (AAQ NEPM)</w:t>
            </w:r>
            <w:r>
              <w:rPr>
                <w:noProof/>
                <w:webHidden/>
              </w:rPr>
              <w:tab/>
            </w:r>
            <w:r>
              <w:rPr>
                <w:noProof/>
                <w:webHidden/>
              </w:rPr>
              <w:fldChar w:fldCharType="begin"/>
            </w:r>
            <w:r>
              <w:rPr>
                <w:noProof/>
                <w:webHidden/>
              </w:rPr>
              <w:instrText xml:space="preserve"> PAGEREF _Toc9520938 \h </w:instrText>
            </w:r>
            <w:r>
              <w:rPr>
                <w:noProof/>
                <w:webHidden/>
              </w:rPr>
            </w:r>
            <w:r>
              <w:rPr>
                <w:noProof/>
                <w:webHidden/>
              </w:rPr>
              <w:fldChar w:fldCharType="separate"/>
            </w:r>
            <w:r>
              <w:rPr>
                <w:noProof/>
                <w:webHidden/>
              </w:rPr>
              <w:t>1</w:t>
            </w:r>
            <w:r>
              <w:rPr>
                <w:noProof/>
                <w:webHidden/>
              </w:rPr>
              <w:fldChar w:fldCharType="end"/>
            </w:r>
          </w:hyperlink>
        </w:p>
        <w:p w14:paraId="6D052CD5" w14:textId="77777777" w:rsidR="00A60339" w:rsidRDefault="00A60339">
          <w:pPr>
            <w:pStyle w:val="TOC2"/>
            <w:tabs>
              <w:tab w:val="left" w:pos="880"/>
              <w:tab w:val="right" w:leader="dot" w:pos="10456"/>
            </w:tabs>
            <w:rPr>
              <w:rFonts w:asciiTheme="minorHAnsi" w:eastAsiaTheme="minorEastAsia" w:hAnsiTheme="minorHAnsi" w:cstheme="minorBidi"/>
              <w:noProof/>
              <w:sz w:val="22"/>
              <w:szCs w:val="22"/>
            </w:rPr>
          </w:pPr>
          <w:hyperlink w:anchor="_Toc9520939" w:history="1">
            <w:r w:rsidRPr="00982AAC">
              <w:rPr>
                <w:rStyle w:val="Hyperlink"/>
                <w:noProof/>
              </w:rPr>
              <w:t>Q3.</w:t>
            </w:r>
            <w:r>
              <w:rPr>
                <w:rFonts w:asciiTheme="minorHAnsi" w:eastAsiaTheme="minorEastAsia" w:hAnsiTheme="minorHAnsi" w:cstheme="minorBidi"/>
                <w:noProof/>
                <w:sz w:val="22"/>
                <w:szCs w:val="22"/>
              </w:rPr>
              <w:tab/>
            </w:r>
            <w:r w:rsidRPr="00982AAC">
              <w:rPr>
                <w:rStyle w:val="Hyperlink"/>
                <w:noProof/>
              </w:rPr>
              <w:t>What is the AAQ NEPM?</w:t>
            </w:r>
            <w:r>
              <w:rPr>
                <w:noProof/>
                <w:webHidden/>
              </w:rPr>
              <w:tab/>
            </w:r>
            <w:r>
              <w:rPr>
                <w:noProof/>
                <w:webHidden/>
              </w:rPr>
              <w:fldChar w:fldCharType="begin"/>
            </w:r>
            <w:r>
              <w:rPr>
                <w:noProof/>
                <w:webHidden/>
              </w:rPr>
              <w:instrText xml:space="preserve"> PAGEREF _Toc9520939 \h </w:instrText>
            </w:r>
            <w:r>
              <w:rPr>
                <w:noProof/>
                <w:webHidden/>
              </w:rPr>
            </w:r>
            <w:r>
              <w:rPr>
                <w:noProof/>
                <w:webHidden/>
              </w:rPr>
              <w:fldChar w:fldCharType="separate"/>
            </w:r>
            <w:r>
              <w:rPr>
                <w:noProof/>
                <w:webHidden/>
              </w:rPr>
              <w:t>1</w:t>
            </w:r>
            <w:r>
              <w:rPr>
                <w:noProof/>
                <w:webHidden/>
              </w:rPr>
              <w:fldChar w:fldCharType="end"/>
            </w:r>
          </w:hyperlink>
        </w:p>
        <w:p w14:paraId="7A95D31F" w14:textId="77777777" w:rsidR="00A60339" w:rsidRDefault="00A60339">
          <w:pPr>
            <w:pStyle w:val="TOC2"/>
            <w:tabs>
              <w:tab w:val="left" w:pos="880"/>
              <w:tab w:val="right" w:leader="dot" w:pos="10456"/>
            </w:tabs>
            <w:rPr>
              <w:rFonts w:asciiTheme="minorHAnsi" w:eastAsiaTheme="minorEastAsia" w:hAnsiTheme="minorHAnsi" w:cstheme="minorBidi"/>
              <w:noProof/>
              <w:sz w:val="22"/>
              <w:szCs w:val="22"/>
            </w:rPr>
          </w:pPr>
          <w:hyperlink w:anchor="_Toc9520940" w:history="1">
            <w:r w:rsidRPr="00982AAC">
              <w:rPr>
                <w:rStyle w:val="Hyperlink"/>
                <w:noProof/>
              </w:rPr>
              <w:t>Q4.</w:t>
            </w:r>
            <w:r>
              <w:rPr>
                <w:rFonts w:asciiTheme="minorHAnsi" w:eastAsiaTheme="minorEastAsia" w:hAnsiTheme="minorHAnsi" w:cstheme="minorBidi"/>
                <w:noProof/>
                <w:sz w:val="22"/>
                <w:szCs w:val="22"/>
              </w:rPr>
              <w:tab/>
            </w:r>
            <w:r w:rsidRPr="00982AAC">
              <w:rPr>
                <w:rStyle w:val="Hyperlink"/>
                <w:noProof/>
              </w:rPr>
              <w:t>Why do we need the AAQ NEPM?</w:t>
            </w:r>
            <w:r>
              <w:rPr>
                <w:noProof/>
                <w:webHidden/>
              </w:rPr>
              <w:tab/>
            </w:r>
            <w:r>
              <w:rPr>
                <w:noProof/>
                <w:webHidden/>
              </w:rPr>
              <w:fldChar w:fldCharType="begin"/>
            </w:r>
            <w:r>
              <w:rPr>
                <w:noProof/>
                <w:webHidden/>
              </w:rPr>
              <w:instrText xml:space="preserve"> PAGEREF _Toc9520940 \h </w:instrText>
            </w:r>
            <w:r>
              <w:rPr>
                <w:noProof/>
                <w:webHidden/>
              </w:rPr>
            </w:r>
            <w:r>
              <w:rPr>
                <w:noProof/>
                <w:webHidden/>
              </w:rPr>
              <w:fldChar w:fldCharType="separate"/>
            </w:r>
            <w:r>
              <w:rPr>
                <w:noProof/>
                <w:webHidden/>
              </w:rPr>
              <w:t>2</w:t>
            </w:r>
            <w:r>
              <w:rPr>
                <w:noProof/>
                <w:webHidden/>
              </w:rPr>
              <w:fldChar w:fldCharType="end"/>
            </w:r>
          </w:hyperlink>
        </w:p>
        <w:p w14:paraId="60D15441" w14:textId="77777777" w:rsidR="00A60339" w:rsidRDefault="00A60339">
          <w:pPr>
            <w:pStyle w:val="TOC1"/>
            <w:tabs>
              <w:tab w:val="right" w:leader="dot" w:pos="10456"/>
            </w:tabs>
            <w:rPr>
              <w:rFonts w:asciiTheme="minorHAnsi" w:eastAsiaTheme="minorEastAsia" w:hAnsiTheme="minorHAnsi" w:cstheme="minorBidi"/>
              <w:noProof/>
              <w:sz w:val="22"/>
              <w:szCs w:val="22"/>
            </w:rPr>
          </w:pPr>
          <w:hyperlink w:anchor="_Toc9520941" w:history="1">
            <w:r w:rsidRPr="00982AAC">
              <w:rPr>
                <w:rStyle w:val="Hyperlink"/>
                <w:noProof/>
              </w:rPr>
              <w:t>AAQ NEPM review</w:t>
            </w:r>
            <w:r>
              <w:rPr>
                <w:noProof/>
                <w:webHidden/>
              </w:rPr>
              <w:tab/>
            </w:r>
            <w:r>
              <w:rPr>
                <w:noProof/>
                <w:webHidden/>
              </w:rPr>
              <w:fldChar w:fldCharType="begin"/>
            </w:r>
            <w:r>
              <w:rPr>
                <w:noProof/>
                <w:webHidden/>
              </w:rPr>
              <w:instrText xml:space="preserve"> PAGEREF _Toc9520941 \h </w:instrText>
            </w:r>
            <w:r>
              <w:rPr>
                <w:noProof/>
                <w:webHidden/>
              </w:rPr>
            </w:r>
            <w:r>
              <w:rPr>
                <w:noProof/>
                <w:webHidden/>
              </w:rPr>
              <w:fldChar w:fldCharType="separate"/>
            </w:r>
            <w:r>
              <w:rPr>
                <w:noProof/>
                <w:webHidden/>
              </w:rPr>
              <w:t>2</w:t>
            </w:r>
            <w:r>
              <w:rPr>
                <w:noProof/>
                <w:webHidden/>
              </w:rPr>
              <w:fldChar w:fldCharType="end"/>
            </w:r>
          </w:hyperlink>
        </w:p>
        <w:p w14:paraId="599A3587" w14:textId="77777777" w:rsidR="00A60339" w:rsidRDefault="00A60339">
          <w:pPr>
            <w:pStyle w:val="TOC2"/>
            <w:tabs>
              <w:tab w:val="left" w:pos="880"/>
              <w:tab w:val="right" w:leader="dot" w:pos="10456"/>
            </w:tabs>
            <w:rPr>
              <w:rFonts w:asciiTheme="minorHAnsi" w:eastAsiaTheme="minorEastAsia" w:hAnsiTheme="minorHAnsi" w:cstheme="minorBidi"/>
              <w:noProof/>
              <w:sz w:val="22"/>
              <w:szCs w:val="22"/>
            </w:rPr>
          </w:pPr>
          <w:hyperlink w:anchor="_Toc9520942" w:history="1">
            <w:r w:rsidRPr="00982AAC">
              <w:rPr>
                <w:rStyle w:val="Hyperlink"/>
                <w:noProof/>
              </w:rPr>
              <w:t>Q5.</w:t>
            </w:r>
            <w:r>
              <w:rPr>
                <w:rFonts w:asciiTheme="minorHAnsi" w:eastAsiaTheme="minorEastAsia" w:hAnsiTheme="minorHAnsi" w:cstheme="minorBidi"/>
                <w:noProof/>
                <w:sz w:val="22"/>
                <w:szCs w:val="22"/>
              </w:rPr>
              <w:tab/>
            </w:r>
            <w:r w:rsidRPr="00982AAC">
              <w:rPr>
                <w:rStyle w:val="Hyperlink"/>
                <w:noProof/>
              </w:rPr>
              <w:t>Why is the AAQ NEPM being reviewed again when it was recently reviewed for particles?</w:t>
            </w:r>
            <w:r>
              <w:rPr>
                <w:noProof/>
                <w:webHidden/>
              </w:rPr>
              <w:tab/>
            </w:r>
            <w:r>
              <w:rPr>
                <w:noProof/>
                <w:webHidden/>
              </w:rPr>
              <w:fldChar w:fldCharType="begin"/>
            </w:r>
            <w:r>
              <w:rPr>
                <w:noProof/>
                <w:webHidden/>
              </w:rPr>
              <w:instrText xml:space="preserve"> PAGEREF _Toc9520942 \h </w:instrText>
            </w:r>
            <w:r>
              <w:rPr>
                <w:noProof/>
                <w:webHidden/>
              </w:rPr>
            </w:r>
            <w:r>
              <w:rPr>
                <w:noProof/>
                <w:webHidden/>
              </w:rPr>
              <w:fldChar w:fldCharType="separate"/>
            </w:r>
            <w:r>
              <w:rPr>
                <w:noProof/>
                <w:webHidden/>
              </w:rPr>
              <w:t>2</w:t>
            </w:r>
            <w:r>
              <w:rPr>
                <w:noProof/>
                <w:webHidden/>
              </w:rPr>
              <w:fldChar w:fldCharType="end"/>
            </w:r>
          </w:hyperlink>
        </w:p>
        <w:p w14:paraId="0C0455D0" w14:textId="77777777" w:rsidR="00A60339" w:rsidRDefault="00A60339">
          <w:pPr>
            <w:pStyle w:val="TOC2"/>
            <w:tabs>
              <w:tab w:val="left" w:pos="880"/>
              <w:tab w:val="right" w:leader="dot" w:pos="10456"/>
            </w:tabs>
            <w:rPr>
              <w:rFonts w:asciiTheme="minorHAnsi" w:eastAsiaTheme="minorEastAsia" w:hAnsiTheme="minorHAnsi" w:cstheme="minorBidi"/>
              <w:noProof/>
              <w:sz w:val="22"/>
              <w:szCs w:val="22"/>
            </w:rPr>
          </w:pPr>
          <w:hyperlink w:anchor="_Toc9520943" w:history="1">
            <w:r w:rsidRPr="00982AAC">
              <w:rPr>
                <w:rStyle w:val="Hyperlink"/>
                <w:noProof/>
              </w:rPr>
              <w:t>Q6.</w:t>
            </w:r>
            <w:r>
              <w:rPr>
                <w:rFonts w:asciiTheme="minorHAnsi" w:eastAsiaTheme="minorEastAsia" w:hAnsiTheme="minorHAnsi" w:cstheme="minorBidi"/>
                <w:noProof/>
                <w:sz w:val="22"/>
                <w:szCs w:val="22"/>
              </w:rPr>
              <w:tab/>
            </w:r>
            <w:r w:rsidRPr="00982AAC">
              <w:rPr>
                <w:rStyle w:val="Hyperlink"/>
                <w:noProof/>
              </w:rPr>
              <w:t>When will the lead standard be reviewed?</w:t>
            </w:r>
            <w:r>
              <w:rPr>
                <w:noProof/>
                <w:webHidden/>
              </w:rPr>
              <w:tab/>
            </w:r>
            <w:r>
              <w:rPr>
                <w:noProof/>
                <w:webHidden/>
              </w:rPr>
              <w:fldChar w:fldCharType="begin"/>
            </w:r>
            <w:r>
              <w:rPr>
                <w:noProof/>
                <w:webHidden/>
              </w:rPr>
              <w:instrText xml:space="preserve"> PAGEREF _Toc9520943 \h </w:instrText>
            </w:r>
            <w:r>
              <w:rPr>
                <w:noProof/>
                <w:webHidden/>
              </w:rPr>
            </w:r>
            <w:r>
              <w:rPr>
                <w:noProof/>
                <w:webHidden/>
              </w:rPr>
              <w:fldChar w:fldCharType="separate"/>
            </w:r>
            <w:r>
              <w:rPr>
                <w:noProof/>
                <w:webHidden/>
              </w:rPr>
              <w:t>2</w:t>
            </w:r>
            <w:r>
              <w:rPr>
                <w:noProof/>
                <w:webHidden/>
              </w:rPr>
              <w:fldChar w:fldCharType="end"/>
            </w:r>
          </w:hyperlink>
        </w:p>
        <w:p w14:paraId="1D5CB0E8" w14:textId="77777777" w:rsidR="00A60339" w:rsidRDefault="00A60339">
          <w:pPr>
            <w:pStyle w:val="TOC2"/>
            <w:tabs>
              <w:tab w:val="left" w:pos="880"/>
              <w:tab w:val="right" w:leader="dot" w:pos="10456"/>
            </w:tabs>
            <w:rPr>
              <w:rFonts w:asciiTheme="minorHAnsi" w:eastAsiaTheme="minorEastAsia" w:hAnsiTheme="minorHAnsi" w:cstheme="minorBidi"/>
              <w:noProof/>
              <w:sz w:val="22"/>
              <w:szCs w:val="22"/>
            </w:rPr>
          </w:pPr>
          <w:hyperlink w:anchor="_Toc9520944" w:history="1">
            <w:r w:rsidRPr="00982AAC">
              <w:rPr>
                <w:rStyle w:val="Hyperlink"/>
                <w:noProof/>
              </w:rPr>
              <w:t xml:space="preserve">Q7. </w:t>
            </w:r>
            <w:r>
              <w:rPr>
                <w:rFonts w:asciiTheme="minorHAnsi" w:eastAsiaTheme="minorEastAsia" w:hAnsiTheme="minorHAnsi" w:cstheme="minorBidi"/>
                <w:noProof/>
                <w:sz w:val="22"/>
                <w:szCs w:val="22"/>
              </w:rPr>
              <w:tab/>
            </w:r>
            <w:r w:rsidRPr="00982AAC">
              <w:rPr>
                <w:rStyle w:val="Hyperlink"/>
                <w:noProof/>
              </w:rPr>
              <w:t>When will the carbon monoxide standard be reviewed?</w:t>
            </w:r>
            <w:r>
              <w:rPr>
                <w:noProof/>
                <w:webHidden/>
              </w:rPr>
              <w:tab/>
            </w:r>
            <w:r>
              <w:rPr>
                <w:noProof/>
                <w:webHidden/>
              </w:rPr>
              <w:fldChar w:fldCharType="begin"/>
            </w:r>
            <w:r>
              <w:rPr>
                <w:noProof/>
                <w:webHidden/>
              </w:rPr>
              <w:instrText xml:space="preserve"> PAGEREF _Toc9520944 \h </w:instrText>
            </w:r>
            <w:r>
              <w:rPr>
                <w:noProof/>
                <w:webHidden/>
              </w:rPr>
            </w:r>
            <w:r>
              <w:rPr>
                <w:noProof/>
                <w:webHidden/>
              </w:rPr>
              <w:fldChar w:fldCharType="separate"/>
            </w:r>
            <w:r>
              <w:rPr>
                <w:noProof/>
                <w:webHidden/>
              </w:rPr>
              <w:t>2</w:t>
            </w:r>
            <w:r>
              <w:rPr>
                <w:noProof/>
                <w:webHidden/>
              </w:rPr>
              <w:fldChar w:fldCharType="end"/>
            </w:r>
          </w:hyperlink>
        </w:p>
        <w:p w14:paraId="07FB6B6F" w14:textId="77777777" w:rsidR="00A60339" w:rsidRDefault="00A60339">
          <w:pPr>
            <w:pStyle w:val="TOC2"/>
            <w:tabs>
              <w:tab w:val="left" w:pos="880"/>
              <w:tab w:val="right" w:leader="dot" w:pos="10456"/>
            </w:tabs>
            <w:rPr>
              <w:rFonts w:asciiTheme="minorHAnsi" w:eastAsiaTheme="minorEastAsia" w:hAnsiTheme="minorHAnsi" w:cstheme="minorBidi"/>
              <w:noProof/>
              <w:sz w:val="22"/>
              <w:szCs w:val="22"/>
            </w:rPr>
          </w:pPr>
          <w:hyperlink w:anchor="_Toc9520945" w:history="1">
            <w:r w:rsidRPr="00982AAC">
              <w:rPr>
                <w:rStyle w:val="Hyperlink"/>
                <w:noProof/>
              </w:rPr>
              <w:t>Q8.</w:t>
            </w:r>
            <w:r>
              <w:rPr>
                <w:rFonts w:asciiTheme="minorHAnsi" w:eastAsiaTheme="minorEastAsia" w:hAnsiTheme="minorHAnsi" w:cstheme="minorBidi"/>
                <w:noProof/>
                <w:sz w:val="22"/>
                <w:szCs w:val="22"/>
              </w:rPr>
              <w:tab/>
            </w:r>
            <w:r w:rsidRPr="00982AAC">
              <w:rPr>
                <w:rStyle w:val="Hyperlink"/>
                <w:noProof/>
              </w:rPr>
              <w:t>The AAQ NEPM standards for O</w:t>
            </w:r>
            <w:r w:rsidRPr="00982AAC">
              <w:rPr>
                <w:rStyle w:val="Hyperlink"/>
                <w:noProof/>
                <w:vertAlign w:val="subscript"/>
              </w:rPr>
              <w:t>3</w:t>
            </w:r>
            <w:r w:rsidRPr="00982AAC">
              <w:rPr>
                <w:rStyle w:val="Hyperlink"/>
                <w:noProof/>
              </w:rPr>
              <w:t>, NO</w:t>
            </w:r>
            <w:r w:rsidRPr="00982AAC">
              <w:rPr>
                <w:rStyle w:val="Hyperlink"/>
                <w:noProof/>
                <w:vertAlign w:val="subscript"/>
              </w:rPr>
              <w:t>2</w:t>
            </w:r>
            <w:r w:rsidRPr="00982AAC">
              <w:rPr>
                <w:rStyle w:val="Hyperlink"/>
                <w:noProof/>
              </w:rPr>
              <w:t xml:space="preserve"> and SO</w:t>
            </w:r>
            <w:r w:rsidRPr="00982AAC">
              <w:rPr>
                <w:rStyle w:val="Hyperlink"/>
                <w:noProof/>
                <w:vertAlign w:val="subscript"/>
              </w:rPr>
              <w:t>2</w:t>
            </w:r>
            <w:r w:rsidRPr="00982AAC">
              <w:rPr>
                <w:rStyle w:val="Hyperlink"/>
                <w:noProof/>
              </w:rPr>
              <w:t xml:space="preserve"> were first established in 1998. Why has it taken so long to review them?</w:t>
            </w:r>
            <w:r>
              <w:rPr>
                <w:noProof/>
                <w:webHidden/>
              </w:rPr>
              <w:tab/>
            </w:r>
            <w:r>
              <w:rPr>
                <w:noProof/>
                <w:webHidden/>
              </w:rPr>
              <w:fldChar w:fldCharType="begin"/>
            </w:r>
            <w:r>
              <w:rPr>
                <w:noProof/>
                <w:webHidden/>
              </w:rPr>
              <w:instrText xml:space="preserve"> PAGEREF _Toc9520945 \h </w:instrText>
            </w:r>
            <w:r>
              <w:rPr>
                <w:noProof/>
                <w:webHidden/>
              </w:rPr>
            </w:r>
            <w:r>
              <w:rPr>
                <w:noProof/>
                <w:webHidden/>
              </w:rPr>
              <w:fldChar w:fldCharType="separate"/>
            </w:r>
            <w:r>
              <w:rPr>
                <w:noProof/>
                <w:webHidden/>
              </w:rPr>
              <w:t>3</w:t>
            </w:r>
            <w:r>
              <w:rPr>
                <w:noProof/>
                <w:webHidden/>
              </w:rPr>
              <w:fldChar w:fldCharType="end"/>
            </w:r>
          </w:hyperlink>
        </w:p>
        <w:p w14:paraId="535528D0" w14:textId="77777777" w:rsidR="00A60339" w:rsidRDefault="00A60339">
          <w:pPr>
            <w:pStyle w:val="TOC2"/>
            <w:tabs>
              <w:tab w:val="left" w:pos="880"/>
              <w:tab w:val="right" w:leader="dot" w:pos="10456"/>
            </w:tabs>
            <w:rPr>
              <w:rFonts w:asciiTheme="minorHAnsi" w:eastAsiaTheme="minorEastAsia" w:hAnsiTheme="minorHAnsi" w:cstheme="minorBidi"/>
              <w:noProof/>
              <w:sz w:val="22"/>
              <w:szCs w:val="22"/>
            </w:rPr>
          </w:pPr>
          <w:hyperlink w:anchor="_Toc9520946" w:history="1">
            <w:r w:rsidRPr="00982AAC">
              <w:rPr>
                <w:rStyle w:val="Hyperlink"/>
                <w:noProof/>
              </w:rPr>
              <w:t>Q9.</w:t>
            </w:r>
            <w:r>
              <w:rPr>
                <w:rFonts w:asciiTheme="minorHAnsi" w:eastAsiaTheme="minorEastAsia" w:hAnsiTheme="minorHAnsi" w:cstheme="minorBidi"/>
                <w:noProof/>
                <w:sz w:val="22"/>
                <w:szCs w:val="22"/>
              </w:rPr>
              <w:tab/>
            </w:r>
            <w:r w:rsidRPr="00982AAC">
              <w:rPr>
                <w:rStyle w:val="Hyperlink"/>
                <w:noProof/>
              </w:rPr>
              <w:t>What is the purpose of the Impact Statement to vary the AAQ NEPM O</w:t>
            </w:r>
            <w:r w:rsidRPr="00982AAC">
              <w:rPr>
                <w:rStyle w:val="Hyperlink"/>
                <w:noProof/>
                <w:vertAlign w:val="subscript"/>
              </w:rPr>
              <w:t>3</w:t>
            </w:r>
            <w:r w:rsidRPr="00982AAC">
              <w:rPr>
                <w:rStyle w:val="Hyperlink"/>
                <w:noProof/>
              </w:rPr>
              <w:t>, NO</w:t>
            </w:r>
            <w:r w:rsidRPr="00982AAC">
              <w:rPr>
                <w:rStyle w:val="Hyperlink"/>
                <w:noProof/>
                <w:vertAlign w:val="subscript"/>
              </w:rPr>
              <w:t>2</w:t>
            </w:r>
            <w:r w:rsidRPr="00982AAC">
              <w:rPr>
                <w:rStyle w:val="Hyperlink"/>
                <w:noProof/>
              </w:rPr>
              <w:t xml:space="preserve"> and SO</w:t>
            </w:r>
            <w:r w:rsidRPr="00982AAC">
              <w:rPr>
                <w:rStyle w:val="Hyperlink"/>
                <w:noProof/>
                <w:vertAlign w:val="subscript"/>
              </w:rPr>
              <w:t>2</w:t>
            </w:r>
            <w:r w:rsidRPr="00982AAC">
              <w:rPr>
                <w:rStyle w:val="Hyperlink"/>
                <w:noProof/>
              </w:rPr>
              <w:t xml:space="preserve"> standards?</w:t>
            </w:r>
            <w:r>
              <w:rPr>
                <w:noProof/>
                <w:webHidden/>
              </w:rPr>
              <w:tab/>
            </w:r>
            <w:r>
              <w:rPr>
                <w:noProof/>
                <w:webHidden/>
              </w:rPr>
              <w:fldChar w:fldCharType="begin"/>
            </w:r>
            <w:r>
              <w:rPr>
                <w:noProof/>
                <w:webHidden/>
              </w:rPr>
              <w:instrText xml:space="preserve"> PAGEREF _Toc9520946 \h </w:instrText>
            </w:r>
            <w:r>
              <w:rPr>
                <w:noProof/>
                <w:webHidden/>
              </w:rPr>
            </w:r>
            <w:r>
              <w:rPr>
                <w:noProof/>
                <w:webHidden/>
              </w:rPr>
              <w:fldChar w:fldCharType="separate"/>
            </w:r>
            <w:r>
              <w:rPr>
                <w:noProof/>
                <w:webHidden/>
              </w:rPr>
              <w:t>3</w:t>
            </w:r>
            <w:r>
              <w:rPr>
                <w:noProof/>
                <w:webHidden/>
              </w:rPr>
              <w:fldChar w:fldCharType="end"/>
            </w:r>
          </w:hyperlink>
        </w:p>
        <w:p w14:paraId="050B82D7" w14:textId="77777777" w:rsidR="00A60339" w:rsidRDefault="00A60339">
          <w:pPr>
            <w:pStyle w:val="TOC1"/>
            <w:tabs>
              <w:tab w:val="right" w:leader="dot" w:pos="10456"/>
            </w:tabs>
            <w:rPr>
              <w:rFonts w:asciiTheme="minorHAnsi" w:eastAsiaTheme="minorEastAsia" w:hAnsiTheme="minorHAnsi" w:cstheme="minorBidi"/>
              <w:noProof/>
              <w:sz w:val="22"/>
              <w:szCs w:val="22"/>
            </w:rPr>
          </w:pPr>
          <w:hyperlink w:anchor="_Toc9520947" w:history="1">
            <w:r w:rsidRPr="00982AAC">
              <w:rPr>
                <w:rStyle w:val="Hyperlink"/>
                <w:noProof/>
              </w:rPr>
              <w:t>O</w:t>
            </w:r>
            <w:r w:rsidRPr="00982AAC">
              <w:rPr>
                <w:rStyle w:val="Hyperlink"/>
                <w:noProof/>
                <w:vertAlign w:val="subscript"/>
              </w:rPr>
              <w:t>3</w:t>
            </w:r>
            <w:r w:rsidRPr="00982AAC">
              <w:rPr>
                <w:rStyle w:val="Hyperlink"/>
                <w:noProof/>
              </w:rPr>
              <w:t>, NO</w:t>
            </w:r>
            <w:r w:rsidRPr="00982AAC">
              <w:rPr>
                <w:rStyle w:val="Hyperlink"/>
                <w:noProof/>
                <w:vertAlign w:val="subscript"/>
              </w:rPr>
              <w:t>2</w:t>
            </w:r>
            <w:r w:rsidRPr="00982AAC">
              <w:rPr>
                <w:rStyle w:val="Hyperlink"/>
                <w:noProof/>
              </w:rPr>
              <w:t xml:space="preserve"> and SO</w:t>
            </w:r>
            <w:r w:rsidRPr="00982AAC">
              <w:rPr>
                <w:rStyle w:val="Hyperlink"/>
                <w:noProof/>
                <w:vertAlign w:val="subscript"/>
              </w:rPr>
              <w:t>2</w:t>
            </w:r>
            <w:r w:rsidRPr="00982AAC">
              <w:rPr>
                <w:rStyle w:val="Hyperlink"/>
                <w:noProof/>
              </w:rPr>
              <w:t xml:space="preserve"> standards</w:t>
            </w:r>
            <w:r>
              <w:rPr>
                <w:noProof/>
                <w:webHidden/>
              </w:rPr>
              <w:tab/>
            </w:r>
            <w:r>
              <w:rPr>
                <w:noProof/>
                <w:webHidden/>
              </w:rPr>
              <w:fldChar w:fldCharType="begin"/>
            </w:r>
            <w:r>
              <w:rPr>
                <w:noProof/>
                <w:webHidden/>
              </w:rPr>
              <w:instrText xml:space="preserve"> PAGEREF _Toc9520947 \h </w:instrText>
            </w:r>
            <w:r>
              <w:rPr>
                <w:noProof/>
                <w:webHidden/>
              </w:rPr>
            </w:r>
            <w:r>
              <w:rPr>
                <w:noProof/>
                <w:webHidden/>
              </w:rPr>
              <w:fldChar w:fldCharType="separate"/>
            </w:r>
            <w:r>
              <w:rPr>
                <w:noProof/>
                <w:webHidden/>
              </w:rPr>
              <w:t>3</w:t>
            </w:r>
            <w:r>
              <w:rPr>
                <w:noProof/>
                <w:webHidden/>
              </w:rPr>
              <w:fldChar w:fldCharType="end"/>
            </w:r>
          </w:hyperlink>
        </w:p>
        <w:p w14:paraId="25A72C54" w14:textId="77777777" w:rsidR="00A60339" w:rsidRDefault="00A60339">
          <w:pPr>
            <w:pStyle w:val="TOC2"/>
            <w:tabs>
              <w:tab w:val="left" w:pos="880"/>
              <w:tab w:val="right" w:leader="dot" w:pos="10456"/>
            </w:tabs>
            <w:rPr>
              <w:rFonts w:asciiTheme="minorHAnsi" w:eastAsiaTheme="minorEastAsia" w:hAnsiTheme="minorHAnsi" w:cstheme="minorBidi"/>
              <w:noProof/>
              <w:sz w:val="22"/>
              <w:szCs w:val="22"/>
            </w:rPr>
          </w:pPr>
          <w:hyperlink w:anchor="_Toc9520948" w:history="1">
            <w:r w:rsidRPr="00982AAC">
              <w:rPr>
                <w:rStyle w:val="Hyperlink"/>
                <w:noProof/>
              </w:rPr>
              <w:t>Q10.</w:t>
            </w:r>
            <w:r>
              <w:rPr>
                <w:rFonts w:asciiTheme="minorHAnsi" w:eastAsiaTheme="minorEastAsia" w:hAnsiTheme="minorHAnsi" w:cstheme="minorBidi"/>
                <w:noProof/>
                <w:sz w:val="22"/>
                <w:szCs w:val="22"/>
              </w:rPr>
              <w:tab/>
            </w:r>
            <w:r w:rsidRPr="00982AAC">
              <w:rPr>
                <w:rStyle w:val="Hyperlink"/>
                <w:noProof/>
              </w:rPr>
              <w:t>What does the Impact Statement propose for the O</w:t>
            </w:r>
            <w:r w:rsidRPr="00982AAC">
              <w:rPr>
                <w:rStyle w:val="Hyperlink"/>
                <w:noProof/>
                <w:vertAlign w:val="subscript"/>
              </w:rPr>
              <w:t>3</w:t>
            </w:r>
            <w:r w:rsidRPr="00982AAC">
              <w:rPr>
                <w:rStyle w:val="Hyperlink"/>
                <w:noProof/>
              </w:rPr>
              <w:t>, NO</w:t>
            </w:r>
            <w:r w:rsidRPr="00982AAC">
              <w:rPr>
                <w:rStyle w:val="Hyperlink"/>
                <w:noProof/>
                <w:vertAlign w:val="subscript"/>
              </w:rPr>
              <w:t>2</w:t>
            </w:r>
            <w:r w:rsidRPr="00982AAC">
              <w:rPr>
                <w:rStyle w:val="Hyperlink"/>
                <w:noProof/>
              </w:rPr>
              <w:t xml:space="preserve"> and SO</w:t>
            </w:r>
            <w:r w:rsidRPr="00982AAC">
              <w:rPr>
                <w:rStyle w:val="Hyperlink"/>
                <w:noProof/>
                <w:vertAlign w:val="subscript"/>
              </w:rPr>
              <w:t>2</w:t>
            </w:r>
            <w:r w:rsidRPr="00982AAC">
              <w:rPr>
                <w:rStyle w:val="Hyperlink"/>
                <w:noProof/>
              </w:rPr>
              <w:t xml:space="preserve"> standards?</w:t>
            </w:r>
            <w:r>
              <w:rPr>
                <w:noProof/>
                <w:webHidden/>
              </w:rPr>
              <w:tab/>
            </w:r>
            <w:r>
              <w:rPr>
                <w:noProof/>
                <w:webHidden/>
              </w:rPr>
              <w:fldChar w:fldCharType="begin"/>
            </w:r>
            <w:r>
              <w:rPr>
                <w:noProof/>
                <w:webHidden/>
              </w:rPr>
              <w:instrText xml:space="preserve"> PAGEREF _Toc9520948 \h </w:instrText>
            </w:r>
            <w:r>
              <w:rPr>
                <w:noProof/>
                <w:webHidden/>
              </w:rPr>
            </w:r>
            <w:r>
              <w:rPr>
                <w:noProof/>
                <w:webHidden/>
              </w:rPr>
              <w:fldChar w:fldCharType="separate"/>
            </w:r>
            <w:r>
              <w:rPr>
                <w:noProof/>
                <w:webHidden/>
              </w:rPr>
              <w:t>3</w:t>
            </w:r>
            <w:r>
              <w:rPr>
                <w:noProof/>
                <w:webHidden/>
              </w:rPr>
              <w:fldChar w:fldCharType="end"/>
            </w:r>
          </w:hyperlink>
        </w:p>
        <w:p w14:paraId="195C4B2A" w14:textId="77777777" w:rsidR="00A60339" w:rsidRDefault="00A60339">
          <w:pPr>
            <w:pStyle w:val="TOC2"/>
            <w:tabs>
              <w:tab w:val="left" w:pos="880"/>
              <w:tab w:val="right" w:leader="dot" w:pos="10456"/>
            </w:tabs>
            <w:rPr>
              <w:rFonts w:asciiTheme="minorHAnsi" w:eastAsiaTheme="minorEastAsia" w:hAnsiTheme="minorHAnsi" w:cstheme="minorBidi"/>
              <w:noProof/>
              <w:sz w:val="22"/>
              <w:szCs w:val="22"/>
            </w:rPr>
          </w:pPr>
          <w:hyperlink w:anchor="_Toc9520949" w:history="1">
            <w:r w:rsidRPr="00982AAC">
              <w:rPr>
                <w:rStyle w:val="Hyperlink"/>
                <w:noProof/>
              </w:rPr>
              <w:t>Q11.</w:t>
            </w:r>
            <w:r>
              <w:rPr>
                <w:rFonts w:asciiTheme="minorHAnsi" w:eastAsiaTheme="minorEastAsia" w:hAnsiTheme="minorHAnsi" w:cstheme="minorBidi"/>
                <w:noProof/>
                <w:sz w:val="22"/>
                <w:szCs w:val="22"/>
              </w:rPr>
              <w:tab/>
            </w:r>
            <w:r w:rsidRPr="00982AAC">
              <w:rPr>
                <w:rStyle w:val="Hyperlink"/>
                <w:noProof/>
              </w:rPr>
              <w:t>Why is it recommended to remove the annual SO</w:t>
            </w:r>
            <w:r w:rsidRPr="00982AAC">
              <w:rPr>
                <w:rStyle w:val="Hyperlink"/>
                <w:noProof/>
                <w:vertAlign w:val="subscript"/>
              </w:rPr>
              <w:t>2</w:t>
            </w:r>
            <w:r w:rsidRPr="00982AAC">
              <w:rPr>
                <w:rStyle w:val="Hyperlink"/>
                <w:noProof/>
              </w:rPr>
              <w:t xml:space="preserve"> and 1 and 4 - hour O</w:t>
            </w:r>
            <w:r w:rsidRPr="00982AAC">
              <w:rPr>
                <w:rStyle w:val="Hyperlink"/>
                <w:noProof/>
                <w:vertAlign w:val="subscript"/>
              </w:rPr>
              <w:t>3</w:t>
            </w:r>
            <w:r w:rsidRPr="00982AAC">
              <w:rPr>
                <w:rStyle w:val="Hyperlink"/>
                <w:noProof/>
              </w:rPr>
              <w:t xml:space="preserve"> standards?</w:t>
            </w:r>
            <w:r>
              <w:rPr>
                <w:noProof/>
                <w:webHidden/>
              </w:rPr>
              <w:tab/>
            </w:r>
            <w:r>
              <w:rPr>
                <w:noProof/>
                <w:webHidden/>
              </w:rPr>
              <w:fldChar w:fldCharType="begin"/>
            </w:r>
            <w:r>
              <w:rPr>
                <w:noProof/>
                <w:webHidden/>
              </w:rPr>
              <w:instrText xml:space="preserve"> PAGEREF _Toc9520949 \h </w:instrText>
            </w:r>
            <w:r>
              <w:rPr>
                <w:noProof/>
                <w:webHidden/>
              </w:rPr>
            </w:r>
            <w:r>
              <w:rPr>
                <w:noProof/>
                <w:webHidden/>
              </w:rPr>
              <w:fldChar w:fldCharType="separate"/>
            </w:r>
            <w:r>
              <w:rPr>
                <w:noProof/>
                <w:webHidden/>
              </w:rPr>
              <w:t>5</w:t>
            </w:r>
            <w:r>
              <w:rPr>
                <w:noProof/>
                <w:webHidden/>
              </w:rPr>
              <w:fldChar w:fldCharType="end"/>
            </w:r>
          </w:hyperlink>
        </w:p>
        <w:p w14:paraId="04BC4A07" w14:textId="77777777" w:rsidR="00A60339" w:rsidRDefault="00A60339">
          <w:pPr>
            <w:pStyle w:val="TOC2"/>
            <w:tabs>
              <w:tab w:val="left" w:pos="880"/>
              <w:tab w:val="right" w:leader="dot" w:pos="10456"/>
            </w:tabs>
            <w:rPr>
              <w:rFonts w:asciiTheme="minorHAnsi" w:eastAsiaTheme="minorEastAsia" w:hAnsiTheme="minorHAnsi" w:cstheme="minorBidi"/>
              <w:noProof/>
              <w:sz w:val="22"/>
              <w:szCs w:val="22"/>
            </w:rPr>
          </w:pPr>
          <w:hyperlink w:anchor="_Toc9520950" w:history="1">
            <w:r w:rsidRPr="00982AAC">
              <w:rPr>
                <w:rStyle w:val="Hyperlink"/>
                <w:noProof/>
              </w:rPr>
              <w:t>Q12.</w:t>
            </w:r>
            <w:r>
              <w:rPr>
                <w:rFonts w:asciiTheme="minorHAnsi" w:eastAsiaTheme="minorEastAsia" w:hAnsiTheme="minorHAnsi" w:cstheme="minorBidi"/>
                <w:noProof/>
                <w:sz w:val="22"/>
                <w:szCs w:val="22"/>
              </w:rPr>
              <w:tab/>
            </w:r>
            <w:r w:rsidRPr="00982AAC">
              <w:rPr>
                <w:rStyle w:val="Hyperlink"/>
                <w:noProof/>
              </w:rPr>
              <w:t>Are the recommendations for the SO</w:t>
            </w:r>
            <w:r w:rsidRPr="00982AAC">
              <w:rPr>
                <w:rStyle w:val="Hyperlink"/>
                <w:noProof/>
                <w:vertAlign w:val="subscript"/>
              </w:rPr>
              <w:t>2</w:t>
            </w:r>
            <w:r w:rsidRPr="00982AAC">
              <w:rPr>
                <w:rStyle w:val="Hyperlink"/>
                <w:noProof/>
              </w:rPr>
              <w:t>, NO</w:t>
            </w:r>
            <w:r w:rsidRPr="00982AAC">
              <w:rPr>
                <w:rStyle w:val="Hyperlink"/>
                <w:noProof/>
                <w:vertAlign w:val="subscript"/>
              </w:rPr>
              <w:t>2</w:t>
            </w:r>
            <w:r w:rsidRPr="00982AAC">
              <w:rPr>
                <w:rStyle w:val="Hyperlink"/>
                <w:noProof/>
              </w:rPr>
              <w:t xml:space="preserve"> and O</w:t>
            </w:r>
            <w:r w:rsidRPr="00982AAC">
              <w:rPr>
                <w:rStyle w:val="Hyperlink"/>
                <w:noProof/>
                <w:vertAlign w:val="subscript"/>
              </w:rPr>
              <w:t>3</w:t>
            </w:r>
            <w:r w:rsidRPr="00982AAC">
              <w:rPr>
                <w:rStyle w:val="Hyperlink"/>
                <w:noProof/>
              </w:rPr>
              <w:t xml:space="preserve"> standards in line with international standards?</w:t>
            </w:r>
            <w:r>
              <w:rPr>
                <w:noProof/>
                <w:webHidden/>
              </w:rPr>
              <w:tab/>
            </w:r>
            <w:r>
              <w:rPr>
                <w:noProof/>
                <w:webHidden/>
              </w:rPr>
              <w:fldChar w:fldCharType="begin"/>
            </w:r>
            <w:r>
              <w:rPr>
                <w:noProof/>
                <w:webHidden/>
              </w:rPr>
              <w:instrText xml:space="preserve"> PAGEREF _Toc9520950 \h </w:instrText>
            </w:r>
            <w:r>
              <w:rPr>
                <w:noProof/>
                <w:webHidden/>
              </w:rPr>
            </w:r>
            <w:r>
              <w:rPr>
                <w:noProof/>
                <w:webHidden/>
              </w:rPr>
              <w:fldChar w:fldCharType="separate"/>
            </w:r>
            <w:r>
              <w:rPr>
                <w:noProof/>
                <w:webHidden/>
              </w:rPr>
              <w:t>5</w:t>
            </w:r>
            <w:r>
              <w:rPr>
                <w:noProof/>
                <w:webHidden/>
              </w:rPr>
              <w:fldChar w:fldCharType="end"/>
            </w:r>
          </w:hyperlink>
        </w:p>
        <w:p w14:paraId="467091C2" w14:textId="77777777" w:rsidR="00A60339" w:rsidRDefault="00A60339">
          <w:pPr>
            <w:pStyle w:val="TOC2"/>
            <w:tabs>
              <w:tab w:val="left" w:pos="880"/>
              <w:tab w:val="right" w:leader="dot" w:pos="10456"/>
            </w:tabs>
            <w:rPr>
              <w:rFonts w:asciiTheme="minorHAnsi" w:eastAsiaTheme="minorEastAsia" w:hAnsiTheme="minorHAnsi" w:cstheme="minorBidi"/>
              <w:noProof/>
              <w:sz w:val="22"/>
              <w:szCs w:val="22"/>
            </w:rPr>
          </w:pPr>
          <w:hyperlink w:anchor="_Toc9520951" w:history="1">
            <w:r w:rsidRPr="00982AAC">
              <w:rPr>
                <w:rStyle w:val="Hyperlink"/>
                <w:noProof/>
              </w:rPr>
              <w:t>Q13.</w:t>
            </w:r>
            <w:r>
              <w:rPr>
                <w:rFonts w:asciiTheme="minorHAnsi" w:eastAsiaTheme="minorEastAsia" w:hAnsiTheme="minorHAnsi" w:cstheme="minorBidi"/>
                <w:noProof/>
                <w:sz w:val="22"/>
                <w:szCs w:val="22"/>
              </w:rPr>
              <w:tab/>
            </w:r>
            <w:r w:rsidRPr="00982AAC">
              <w:rPr>
                <w:rStyle w:val="Hyperlink"/>
                <w:noProof/>
              </w:rPr>
              <w:t>What will the revised SO</w:t>
            </w:r>
            <w:r w:rsidRPr="00982AAC">
              <w:rPr>
                <w:rStyle w:val="Hyperlink"/>
                <w:noProof/>
                <w:vertAlign w:val="subscript"/>
              </w:rPr>
              <w:t>2</w:t>
            </w:r>
            <w:r w:rsidRPr="00982AAC">
              <w:rPr>
                <w:rStyle w:val="Hyperlink"/>
                <w:noProof/>
              </w:rPr>
              <w:t>, NO</w:t>
            </w:r>
            <w:r w:rsidRPr="00982AAC">
              <w:rPr>
                <w:rStyle w:val="Hyperlink"/>
                <w:noProof/>
                <w:vertAlign w:val="subscript"/>
              </w:rPr>
              <w:t>2</w:t>
            </w:r>
            <w:r w:rsidRPr="00982AAC">
              <w:rPr>
                <w:rStyle w:val="Hyperlink"/>
                <w:noProof/>
              </w:rPr>
              <w:t xml:space="preserve"> and O</w:t>
            </w:r>
            <w:r w:rsidRPr="00982AAC">
              <w:rPr>
                <w:rStyle w:val="Hyperlink"/>
                <w:noProof/>
                <w:vertAlign w:val="subscript"/>
              </w:rPr>
              <w:t>3</w:t>
            </w:r>
            <w:r w:rsidRPr="00982AAC">
              <w:rPr>
                <w:rStyle w:val="Hyperlink"/>
                <w:noProof/>
              </w:rPr>
              <w:t xml:space="preserve"> standards mean for public health?</w:t>
            </w:r>
            <w:r>
              <w:rPr>
                <w:noProof/>
                <w:webHidden/>
              </w:rPr>
              <w:tab/>
            </w:r>
            <w:r>
              <w:rPr>
                <w:noProof/>
                <w:webHidden/>
              </w:rPr>
              <w:fldChar w:fldCharType="begin"/>
            </w:r>
            <w:r>
              <w:rPr>
                <w:noProof/>
                <w:webHidden/>
              </w:rPr>
              <w:instrText xml:space="preserve"> PAGEREF _Toc9520951 \h </w:instrText>
            </w:r>
            <w:r>
              <w:rPr>
                <w:noProof/>
                <w:webHidden/>
              </w:rPr>
            </w:r>
            <w:r>
              <w:rPr>
                <w:noProof/>
                <w:webHidden/>
              </w:rPr>
              <w:fldChar w:fldCharType="separate"/>
            </w:r>
            <w:r>
              <w:rPr>
                <w:noProof/>
                <w:webHidden/>
              </w:rPr>
              <w:t>6</w:t>
            </w:r>
            <w:r>
              <w:rPr>
                <w:noProof/>
                <w:webHidden/>
              </w:rPr>
              <w:fldChar w:fldCharType="end"/>
            </w:r>
          </w:hyperlink>
        </w:p>
        <w:p w14:paraId="6794A78D" w14:textId="77777777" w:rsidR="00A60339" w:rsidRDefault="00A60339">
          <w:pPr>
            <w:pStyle w:val="TOC2"/>
            <w:tabs>
              <w:tab w:val="right" w:leader="dot" w:pos="10456"/>
            </w:tabs>
            <w:rPr>
              <w:rFonts w:asciiTheme="minorHAnsi" w:eastAsiaTheme="minorEastAsia" w:hAnsiTheme="minorHAnsi" w:cstheme="minorBidi"/>
              <w:noProof/>
              <w:sz w:val="22"/>
              <w:szCs w:val="22"/>
            </w:rPr>
          </w:pPr>
          <w:hyperlink w:anchor="_Toc9520952" w:history="1">
            <w:r w:rsidRPr="00982AAC">
              <w:rPr>
                <w:rStyle w:val="Hyperlink"/>
                <w:noProof/>
              </w:rPr>
              <w:t>Q14. What o</w:t>
            </w:r>
            <w:r w:rsidRPr="00982AAC">
              <w:rPr>
                <w:rStyle w:val="Hyperlink"/>
                <w:noProof/>
              </w:rPr>
              <w:t>t</w:t>
            </w:r>
            <w:r w:rsidRPr="00982AAC">
              <w:rPr>
                <w:rStyle w:val="Hyperlink"/>
                <w:noProof/>
              </w:rPr>
              <w:t>her changes to the AAQ NEPM are proposed in the impact statement?</w:t>
            </w:r>
            <w:r>
              <w:rPr>
                <w:noProof/>
                <w:webHidden/>
              </w:rPr>
              <w:tab/>
            </w:r>
            <w:r>
              <w:rPr>
                <w:noProof/>
                <w:webHidden/>
              </w:rPr>
              <w:fldChar w:fldCharType="begin"/>
            </w:r>
            <w:r>
              <w:rPr>
                <w:noProof/>
                <w:webHidden/>
              </w:rPr>
              <w:instrText xml:space="preserve"> PAGEREF _Toc9520952 \h </w:instrText>
            </w:r>
            <w:r>
              <w:rPr>
                <w:noProof/>
                <w:webHidden/>
              </w:rPr>
            </w:r>
            <w:r>
              <w:rPr>
                <w:noProof/>
                <w:webHidden/>
              </w:rPr>
              <w:fldChar w:fldCharType="separate"/>
            </w:r>
            <w:r>
              <w:rPr>
                <w:noProof/>
                <w:webHidden/>
              </w:rPr>
              <w:t>6</w:t>
            </w:r>
            <w:r>
              <w:rPr>
                <w:noProof/>
                <w:webHidden/>
              </w:rPr>
              <w:fldChar w:fldCharType="end"/>
            </w:r>
          </w:hyperlink>
        </w:p>
        <w:p w14:paraId="4CECB186" w14:textId="77777777" w:rsidR="00A60339" w:rsidRDefault="00A60339">
          <w:pPr>
            <w:pStyle w:val="TOC2"/>
            <w:tabs>
              <w:tab w:val="left" w:pos="880"/>
              <w:tab w:val="right" w:leader="dot" w:pos="10456"/>
            </w:tabs>
            <w:rPr>
              <w:rFonts w:asciiTheme="minorHAnsi" w:eastAsiaTheme="minorEastAsia" w:hAnsiTheme="minorHAnsi" w:cstheme="minorBidi"/>
              <w:noProof/>
              <w:sz w:val="22"/>
              <w:szCs w:val="22"/>
            </w:rPr>
          </w:pPr>
          <w:hyperlink w:anchor="_Toc9520953" w:history="1">
            <w:r w:rsidRPr="00982AAC">
              <w:rPr>
                <w:rStyle w:val="Hyperlink"/>
                <w:noProof/>
              </w:rPr>
              <w:t>Q15.</w:t>
            </w:r>
            <w:r>
              <w:rPr>
                <w:rFonts w:asciiTheme="minorHAnsi" w:eastAsiaTheme="minorEastAsia" w:hAnsiTheme="minorHAnsi" w:cstheme="minorBidi"/>
                <w:noProof/>
                <w:sz w:val="22"/>
                <w:szCs w:val="22"/>
              </w:rPr>
              <w:tab/>
            </w:r>
            <w:r w:rsidRPr="00982AAC">
              <w:rPr>
                <w:rStyle w:val="Hyperlink"/>
                <w:noProof/>
              </w:rPr>
              <w:t>I live in an area that is impacted by air pollution. How will changes to the AAQ NEPM improve air quality for me?</w:t>
            </w:r>
            <w:r>
              <w:rPr>
                <w:noProof/>
                <w:webHidden/>
              </w:rPr>
              <w:tab/>
            </w:r>
            <w:r>
              <w:rPr>
                <w:noProof/>
                <w:webHidden/>
              </w:rPr>
              <w:fldChar w:fldCharType="begin"/>
            </w:r>
            <w:r>
              <w:rPr>
                <w:noProof/>
                <w:webHidden/>
              </w:rPr>
              <w:instrText xml:space="preserve"> PAGEREF _Toc9520953 \h </w:instrText>
            </w:r>
            <w:r>
              <w:rPr>
                <w:noProof/>
                <w:webHidden/>
              </w:rPr>
            </w:r>
            <w:r>
              <w:rPr>
                <w:noProof/>
                <w:webHidden/>
              </w:rPr>
              <w:fldChar w:fldCharType="separate"/>
            </w:r>
            <w:r>
              <w:rPr>
                <w:noProof/>
                <w:webHidden/>
              </w:rPr>
              <w:t>7</w:t>
            </w:r>
            <w:r>
              <w:rPr>
                <w:noProof/>
                <w:webHidden/>
              </w:rPr>
              <w:fldChar w:fldCharType="end"/>
            </w:r>
          </w:hyperlink>
        </w:p>
        <w:p w14:paraId="2F6351B3" w14:textId="77777777" w:rsidR="00A60339" w:rsidRDefault="00A60339">
          <w:pPr>
            <w:pStyle w:val="TOC1"/>
            <w:tabs>
              <w:tab w:val="right" w:leader="dot" w:pos="10456"/>
            </w:tabs>
            <w:rPr>
              <w:rFonts w:asciiTheme="minorHAnsi" w:eastAsiaTheme="minorEastAsia" w:hAnsiTheme="minorHAnsi" w:cstheme="minorBidi"/>
              <w:noProof/>
              <w:sz w:val="22"/>
              <w:szCs w:val="22"/>
            </w:rPr>
          </w:pPr>
          <w:hyperlink w:anchor="_Toc9520954" w:history="1">
            <w:r w:rsidRPr="00982AAC">
              <w:rPr>
                <w:rStyle w:val="Hyperlink"/>
                <w:noProof/>
              </w:rPr>
              <w:t>Air quality standards generally</w:t>
            </w:r>
            <w:r>
              <w:rPr>
                <w:noProof/>
                <w:webHidden/>
              </w:rPr>
              <w:tab/>
            </w:r>
            <w:r>
              <w:rPr>
                <w:noProof/>
                <w:webHidden/>
              </w:rPr>
              <w:fldChar w:fldCharType="begin"/>
            </w:r>
            <w:r>
              <w:rPr>
                <w:noProof/>
                <w:webHidden/>
              </w:rPr>
              <w:instrText xml:space="preserve"> PAGEREF _Toc9520954 \h </w:instrText>
            </w:r>
            <w:r>
              <w:rPr>
                <w:noProof/>
                <w:webHidden/>
              </w:rPr>
            </w:r>
            <w:r>
              <w:rPr>
                <w:noProof/>
                <w:webHidden/>
              </w:rPr>
              <w:fldChar w:fldCharType="separate"/>
            </w:r>
            <w:r>
              <w:rPr>
                <w:noProof/>
                <w:webHidden/>
              </w:rPr>
              <w:t>7</w:t>
            </w:r>
            <w:r>
              <w:rPr>
                <w:noProof/>
                <w:webHidden/>
              </w:rPr>
              <w:fldChar w:fldCharType="end"/>
            </w:r>
          </w:hyperlink>
        </w:p>
        <w:p w14:paraId="104208B6" w14:textId="77777777" w:rsidR="00A60339" w:rsidRDefault="00A60339">
          <w:pPr>
            <w:pStyle w:val="TOC2"/>
            <w:tabs>
              <w:tab w:val="left" w:pos="880"/>
              <w:tab w:val="right" w:leader="dot" w:pos="10456"/>
            </w:tabs>
            <w:rPr>
              <w:rFonts w:asciiTheme="minorHAnsi" w:eastAsiaTheme="minorEastAsia" w:hAnsiTheme="minorHAnsi" w:cstheme="minorBidi"/>
              <w:noProof/>
              <w:sz w:val="22"/>
              <w:szCs w:val="22"/>
            </w:rPr>
          </w:pPr>
          <w:hyperlink w:anchor="_Toc9520955" w:history="1">
            <w:r w:rsidRPr="00982AAC">
              <w:rPr>
                <w:rStyle w:val="Hyperlink"/>
                <w:noProof/>
              </w:rPr>
              <w:t>Q16.</w:t>
            </w:r>
            <w:r>
              <w:rPr>
                <w:rFonts w:asciiTheme="minorHAnsi" w:eastAsiaTheme="minorEastAsia" w:hAnsiTheme="minorHAnsi" w:cstheme="minorBidi"/>
                <w:noProof/>
                <w:sz w:val="22"/>
                <w:szCs w:val="22"/>
              </w:rPr>
              <w:tab/>
            </w:r>
            <w:r w:rsidRPr="00982AAC">
              <w:rPr>
                <w:rStyle w:val="Hyperlink"/>
                <w:noProof/>
              </w:rPr>
              <w:t>Why aren’t the Australian standards made enforceable?</w:t>
            </w:r>
            <w:r>
              <w:rPr>
                <w:noProof/>
                <w:webHidden/>
              </w:rPr>
              <w:tab/>
            </w:r>
            <w:r>
              <w:rPr>
                <w:noProof/>
                <w:webHidden/>
              </w:rPr>
              <w:fldChar w:fldCharType="begin"/>
            </w:r>
            <w:r>
              <w:rPr>
                <w:noProof/>
                <w:webHidden/>
              </w:rPr>
              <w:instrText xml:space="preserve"> PAGEREF _Toc9520955 \h </w:instrText>
            </w:r>
            <w:r>
              <w:rPr>
                <w:noProof/>
                <w:webHidden/>
              </w:rPr>
            </w:r>
            <w:r>
              <w:rPr>
                <w:noProof/>
                <w:webHidden/>
              </w:rPr>
              <w:fldChar w:fldCharType="separate"/>
            </w:r>
            <w:r>
              <w:rPr>
                <w:noProof/>
                <w:webHidden/>
              </w:rPr>
              <w:t>7</w:t>
            </w:r>
            <w:r>
              <w:rPr>
                <w:noProof/>
                <w:webHidden/>
              </w:rPr>
              <w:fldChar w:fldCharType="end"/>
            </w:r>
          </w:hyperlink>
        </w:p>
        <w:p w14:paraId="5054E8EF" w14:textId="77777777" w:rsidR="00A60339" w:rsidRDefault="00A60339">
          <w:pPr>
            <w:pStyle w:val="TOC2"/>
            <w:tabs>
              <w:tab w:val="left" w:pos="880"/>
              <w:tab w:val="right" w:leader="dot" w:pos="10456"/>
            </w:tabs>
            <w:rPr>
              <w:rFonts w:asciiTheme="minorHAnsi" w:eastAsiaTheme="minorEastAsia" w:hAnsiTheme="minorHAnsi" w:cstheme="minorBidi"/>
              <w:noProof/>
              <w:sz w:val="22"/>
              <w:szCs w:val="22"/>
            </w:rPr>
          </w:pPr>
          <w:hyperlink w:anchor="_Toc9520956" w:history="1">
            <w:r w:rsidRPr="00982AAC">
              <w:rPr>
                <w:rStyle w:val="Hyperlink"/>
                <w:noProof/>
              </w:rPr>
              <w:t>Q17.</w:t>
            </w:r>
            <w:r>
              <w:rPr>
                <w:rFonts w:asciiTheme="minorHAnsi" w:eastAsiaTheme="minorEastAsia" w:hAnsiTheme="minorHAnsi" w:cstheme="minorBidi"/>
                <w:noProof/>
                <w:sz w:val="22"/>
                <w:szCs w:val="22"/>
              </w:rPr>
              <w:tab/>
            </w:r>
            <w:r w:rsidRPr="00982AAC">
              <w:rPr>
                <w:rStyle w:val="Hyperlink"/>
                <w:noProof/>
              </w:rPr>
              <w:t>How are jurisdictions held accountable for poor air quality?</w:t>
            </w:r>
            <w:r>
              <w:rPr>
                <w:noProof/>
                <w:webHidden/>
              </w:rPr>
              <w:tab/>
            </w:r>
            <w:r>
              <w:rPr>
                <w:noProof/>
                <w:webHidden/>
              </w:rPr>
              <w:fldChar w:fldCharType="begin"/>
            </w:r>
            <w:r>
              <w:rPr>
                <w:noProof/>
                <w:webHidden/>
              </w:rPr>
              <w:instrText xml:space="preserve"> PAGEREF _Toc9520956 \h </w:instrText>
            </w:r>
            <w:r>
              <w:rPr>
                <w:noProof/>
                <w:webHidden/>
              </w:rPr>
            </w:r>
            <w:r>
              <w:rPr>
                <w:noProof/>
                <w:webHidden/>
              </w:rPr>
              <w:fldChar w:fldCharType="separate"/>
            </w:r>
            <w:r>
              <w:rPr>
                <w:noProof/>
                <w:webHidden/>
              </w:rPr>
              <w:t>7</w:t>
            </w:r>
            <w:r>
              <w:rPr>
                <w:noProof/>
                <w:webHidden/>
              </w:rPr>
              <w:fldChar w:fldCharType="end"/>
            </w:r>
          </w:hyperlink>
        </w:p>
        <w:p w14:paraId="64790937" w14:textId="77777777" w:rsidR="00A60339" w:rsidRDefault="00A60339">
          <w:pPr>
            <w:pStyle w:val="TOC1"/>
            <w:tabs>
              <w:tab w:val="right" w:leader="dot" w:pos="10456"/>
            </w:tabs>
            <w:rPr>
              <w:rFonts w:asciiTheme="minorHAnsi" w:eastAsiaTheme="minorEastAsia" w:hAnsiTheme="minorHAnsi" w:cstheme="minorBidi"/>
              <w:noProof/>
              <w:sz w:val="22"/>
              <w:szCs w:val="22"/>
            </w:rPr>
          </w:pPr>
          <w:hyperlink w:anchor="_Toc9520957" w:history="1">
            <w:r w:rsidRPr="00982AAC">
              <w:rPr>
                <w:rStyle w:val="Hyperlink"/>
                <w:noProof/>
              </w:rPr>
              <w:t>Exceptional events</w:t>
            </w:r>
            <w:r>
              <w:rPr>
                <w:noProof/>
                <w:webHidden/>
              </w:rPr>
              <w:tab/>
            </w:r>
            <w:r>
              <w:rPr>
                <w:noProof/>
                <w:webHidden/>
              </w:rPr>
              <w:fldChar w:fldCharType="begin"/>
            </w:r>
            <w:r>
              <w:rPr>
                <w:noProof/>
                <w:webHidden/>
              </w:rPr>
              <w:instrText xml:space="preserve"> PAGEREF _Toc9520957 \h </w:instrText>
            </w:r>
            <w:r>
              <w:rPr>
                <w:noProof/>
                <w:webHidden/>
              </w:rPr>
            </w:r>
            <w:r>
              <w:rPr>
                <w:noProof/>
                <w:webHidden/>
              </w:rPr>
              <w:fldChar w:fldCharType="separate"/>
            </w:r>
            <w:r>
              <w:rPr>
                <w:noProof/>
                <w:webHidden/>
              </w:rPr>
              <w:t>7</w:t>
            </w:r>
            <w:r>
              <w:rPr>
                <w:noProof/>
                <w:webHidden/>
              </w:rPr>
              <w:fldChar w:fldCharType="end"/>
            </w:r>
          </w:hyperlink>
        </w:p>
        <w:p w14:paraId="12636E81" w14:textId="77777777" w:rsidR="00A60339" w:rsidRDefault="00A60339">
          <w:pPr>
            <w:pStyle w:val="TOC2"/>
            <w:tabs>
              <w:tab w:val="left" w:pos="880"/>
              <w:tab w:val="right" w:leader="dot" w:pos="10456"/>
            </w:tabs>
            <w:rPr>
              <w:rFonts w:asciiTheme="minorHAnsi" w:eastAsiaTheme="minorEastAsia" w:hAnsiTheme="minorHAnsi" w:cstheme="minorBidi"/>
              <w:noProof/>
              <w:sz w:val="22"/>
              <w:szCs w:val="22"/>
            </w:rPr>
          </w:pPr>
          <w:hyperlink w:anchor="_Toc9520958" w:history="1">
            <w:r w:rsidRPr="00982AAC">
              <w:rPr>
                <w:rStyle w:val="Hyperlink"/>
                <w:noProof/>
              </w:rPr>
              <w:t>Q18.</w:t>
            </w:r>
            <w:r>
              <w:rPr>
                <w:rFonts w:asciiTheme="minorHAnsi" w:eastAsiaTheme="minorEastAsia" w:hAnsiTheme="minorHAnsi" w:cstheme="minorBidi"/>
                <w:noProof/>
                <w:sz w:val="22"/>
                <w:szCs w:val="22"/>
              </w:rPr>
              <w:tab/>
            </w:r>
            <w:r w:rsidRPr="00982AAC">
              <w:rPr>
                <w:rStyle w:val="Hyperlink"/>
                <w:noProof/>
              </w:rPr>
              <w:t>The Impact Statement considers excluding ‘exceptional events’ when assessing compliance with the ozone standards. How are exceptional events being defined?</w:t>
            </w:r>
            <w:r>
              <w:rPr>
                <w:noProof/>
                <w:webHidden/>
              </w:rPr>
              <w:tab/>
            </w:r>
            <w:r>
              <w:rPr>
                <w:noProof/>
                <w:webHidden/>
              </w:rPr>
              <w:fldChar w:fldCharType="begin"/>
            </w:r>
            <w:r>
              <w:rPr>
                <w:noProof/>
                <w:webHidden/>
              </w:rPr>
              <w:instrText xml:space="preserve"> PAGEREF _Toc9520958 \h </w:instrText>
            </w:r>
            <w:r>
              <w:rPr>
                <w:noProof/>
                <w:webHidden/>
              </w:rPr>
            </w:r>
            <w:r>
              <w:rPr>
                <w:noProof/>
                <w:webHidden/>
              </w:rPr>
              <w:fldChar w:fldCharType="separate"/>
            </w:r>
            <w:r>
              <w:rPr>
                <w:noProof/>
                <w:webHidden/>
              </w:rPr>
              <w:t>7</w:t>
            </w:r>
            <w:r>
              <w:rPr>
                <w:noProof/>
                <w:webHidden/>
              </w:rPr>
              <w:fldChar w:fldCharType="end"/>
            </w:r>
          </w:hyperlink>
        </w:p>
        <w:p w14:paraId="0B931772" w14:textId="77777777" w:rsidR="00A60339" w:rsidRDefault="00A60339">
          <w:pPr>
            <w:pStyle w:val="TOC2"/>
            <w:tabs>
              <w:tab w:val="right" w:leader="dot" w:pos="10456"/>
            </w:tabs>
            <w:rPr>
              <w:rFonts w:asciiTheme="minorHAnsi" w:eastAsiaTheme="minorEastAsia" w:hAnsiTheme="minorHAnsi" w:cstheme="minorBidi"/>
              <w:noProof/>
              <w:sz w:val="22"/>
              <w:szCs w:val="22"/>
            </w:rPr>
          </w:pPr>
          <w:hyperlink w:anchor="_Toc9520959" w:history="1">
            <w:r w:rsidRPr="00982AAC">
              <w:rPr>
                <w:rStyle w:val="Hyperlink"/>
                <w:noProof/>
              </w:rPr>
              <w:t>Q19. Why are exceptional events not proposed for SO</w:t>
            </w:r>
            <w:r w:rsidRPr="00982AAC">
              <w:rPr>
                <w:rStyle w:val="Hyperlink"/>
                <w:noProof/>
                <w:vertAlign w:val="subscript"/>
              </w:rPr>
              <w:t>2</w:t>
            </w:r>
            <w:r w:rsidRPr="00982AAC">
              <w:rPr>
                <w:rStyle w:val="Hyperlink"/>
                <w:noProof/>
              </w:rPr>
              <w:t xml:space="preserve"> or NO</w:t>
            </w:r>
            <w:r w:rsidRPr="00982AAC">
              <w:rPr>
                <w:rStyle w:val="Hyperlink"/>
                <w:noProof/>
                <w:vertAlign w:val="subscript"/>
              </w:rPr>
              <w:t>2</w:t>
            </w:r>
            <w:r w:rsidRPr="00982AAC">
              <w:rPr>
                <w:rStyle w:val="Hyperlink"/>
                <w:noProof/>
              </w:rPr>
              <w:t xml:space="preserve"> exceedances?</w:t>
            </w:r>
            <w:r>
              <w:rPr>
                <w:noProof/>
                <w:webHidden/>
              </w:rPr>
              <w:tab/>
            </w:r>
            <w:r>
              <w:rPr>
                <w:noProof/>
                <w:webHidden/>
              </w:rPr>
              <w:fldChar w:fldCharType="begin"/>
            </w:r>
            <w:r>
              <w:rPr>
                <w:noProof/>
                <w:webHidden/>
              </w:rPr>
              <w:instrText xml:space="preserve"> PAGEREF _Toc9520959 \h </w:instrText>
            </w:r>
            <w:r>
              <w:rPr>
                <w:noProof/>
                <w:webHidden/>
              </w:rPr>
            </w:r>
            <w:r>
              <w:rPr>
                <w:noProof/>
                <w:webHidden/>
              </w:rPr>
              <w:fldChar w:fldCharType="separate"/>
            </w:r>
            <w:r>
              <w:rPr>
                <w:noProof/>
                <w:webHidden/>
              </w:rPr>
              <w:t>8</w:t>
            </w:r>
            <w:r>
              <w:rPr>
                <w:noProof/>
                <w:webHidden/>
              </w:rPr>
              <w:fldChar w:fldCharType="end"/>
            </w:r>
          </w:hyperlink>
        </w:p>
        <w:p w14:paraId="24F715F5" w14:textId="77777777" w:rsidR="00A60339" w:rsidRDefault="00A60339">
          <w:pPr>
            <w:pStyle w:val="TOC1"/>
            <w:tabs>
              <w:tab w:val="right" w:leader="dot" w:pos="10456"/>
            </w:tabs>
            <w:rPr>
              <w:rFonts w:asciiTheme="minorHAnsi" w:eastAsiaTheme="minorEastAsia" w:hAnsiTheme="minorHAnsi" w:cstheme="minorBidi"/>
              <w:noProof/>
              <w:sz w:val="22"/>
              <w:szCs w:val="22"/>
            </w:rPr>
          </w:pPr>
          <w:hyperlink w:anchor="_Toc9520960" w:history="1">
            <w:r w:rsidRPr="00982AAC">
              <w:rPr>
                <w:rStyle w:val="Hyperlink"/>
                <w:noProof/>
              </w:rPr>
              <w:t>Emissions reduction measures</w:t>
            </w:r>
            <w:r>
              <w:rPr>
                <w:noProof/>
                <w:webHidden/>
              </w:rPr>
              <w:tab/>
            </w:r>
            <w:r>
              <w:rPr>
                <w:noProof/>
                <w:webHidden/>
              </w:rPr>
              <w:fldChar w:fldCharType="begin"/>
            </w:r>
            <w:r>
              <w:rPr>
                <w:noProof/>
                <w:webHidden/>
              </w:rPr>
              <w:instrText xml:space="preserve"> PAGEREF _Toc9520960 \h </w:instrText>
            </w:r>
            <w:r>
              <w:rPr>
                <w:noProof/>
                <w:webHidden/>
              </w:rPr>
            </w:r>
            <w:r>
              <w:rPr>
                <w:noProof/>
                <w:webHidden/>
              </w:rPr>
              <w:fldChar w:fldCharType="separate"/>
            </w:r>
            <w:r>
              <w:rPr>
                <w:noProof/>
                <w:webHidden/>
              </w:rPr>
              <w:t>8</w:t>
            </w:r>
            <w:r>
              <w:rPr>
                <w:noProof/>
                <w:webHidden/>
              </w:rPr>
              <w:fldChar w:fldCharType="end"/>
            </w:r>
          </w:hyperlink>
        </w:p>
        <w:p w14:paraId="36120B8E" w14:textId="77777777" w:rsidR="00A60339" w:rsidRDefault="00A60339">
          <w:pPr>
            <w:pStyle w:val="TOC2"/>
            <w:tabs>
              <w:tab w:val="left" w:pos="880"/>
              <w:tab w:val="right" w:leader="dot" w:pos="10456"/>
            </w:tabs>
            <w:rPr>
              <w:rFonts w:asciiTheme="minorHAnsi" w:eastAsiaTheme="minorEastAsia" w:hAnsiTheme="minorHAnsi" w:cstheme="minorBidi"/>
              <w:noProof/>
              <w:sz w:val="22"/>
              <w:szCs w:val="22"/>
            </w:rPr>
          </w:pPr>
          <w:hyperlink w:anchor="_Toc9520961" w:history="1">
            <w:r w:rsidRPr="00982AAC">
              <w:rPr>
                <w:rStyle w:val="Hyperlink"/>
                <w:noProof/>
              </w:rPr>
              <w:t>Q20.</w:t>
            </w:r>
            <w:r>
              <w:rPr>
                <w:rFonts w:asciiTheme="minorHAnsi" w:eastAsiaTheme="minorEastAsia" w:hAnsiTheme="minorHAnsi" w:cstheme="minorBidi"/>
                <w:noProof/>
                <w:sz w:val="22"/>
                <w:szCs w:val="22"/>
              </w:rPr>
              <w:tab/>
            </w:r>
            <w:r w:rsidRPr="00982AAC">
              <w:rPr>
                <w:rStyle w:val="Hyperlink"/>
                <w:noProof/>
              </w:rPr>
              <w:t>How will the revised SO</w:t>
            </w:r>
            <w:r w:rsidRPr="00982AAC">
              <w:rPr>
                <w:rStyle w:val="Hyperlink"/>
                <w:noProof/>
                <w:vertAlign w:val="subscript"/>
              </w:rPr>
              <w:t>2</w:t>
            </w:r>
            <w:r w:rsidRPr="00982AAC">
              <w:rPr>
                <w:rStyle w:val="Hyperlink"/>
                <w:noProof/>
              </w:rPr>
              <w:t>, NO</w:t>
            </w:r>
            <w:r w:rsidRPr="00982AAC">
              <w:rPr>
                <w:rStyle w:val="Hyperlink"/>
                <w:noProof/>
                <w:vertAlign w:val="subscript"/>
              </w:rPr>
              <w:t>2</w:t>
            </w:r>
            <w:r w:rsidRPr="00982AAC">
              <w:rPr>
                <w:rStyle w:val="Hyperlink"/>
                <w:noProof/>
              </w:rPr>
              <w:t xml:space="preserve"> and O</w:t>
            </w:r>
            <w:r w:rsidRPr="00982AAC">
              <w:rPr>
                <w:rStyle w:val="Hyperlink"/>
                <w:noProof/>
                <w:vertAlign w:val="subscript"/>
              </w:rPr>
              <w:t>3</w:t>
            </w:r>
            <w:r w:rsidRPr="00982AAC">
              <w:rPr>
                <w:rStyle w:val="Hyperlink"/>
                <w:noProof/>
              </w:rPr>
              <w:t xml:space="preserve"> standards be achieved?</w:t>
            </w:r>
            <w:r>
              <w:rPr>
                <w:noProof/>
                <w:webHidden/>
              </w:rPr>
              <w:tab/>
            </w:r>
            <w:r>
              <w:rPr>
                <w:noProof/>
                <w:webHidden/>
              </w:rPr>
              <w:fldChar w:fldCharType="begin"/>
            </w:r>
            <w:r>
              <w:rPr>
                <w:noProof/>
                <w:webHidden/>
              </w:rPr>
              <w:instrText xml:space="preserve"> PAGEREF _Toc9520961 \h </w:instrText>
            </w:r>
            <w:r>
              <w:rPr>
                <w:noProof/>
                <w:webHidden/>
              </w:rPr>
            </w:r>
            <w:r>
              <w:rPr>
                <w:noProof/>
                <w:webHidden/>
              </w:rPr>
              <w:fldChar w:fldCharType="separate"/>
            </w:r>
            <w:r>
              <w:rPr>
                <w:noProof/>
                <w:webHidden/>
              </w:rPr>
              <w:t>8</w:t>
            </w:r>
            <w:r>
              <w:rPr>
                <w:noProof/>
                <w:webHidden/>
              </w:rPr>
              <w:fldChar w:fldCharType="end"/>
            </w:r>
          </w:hyperlink>
        </w:p>
        <w:p w14:paraId="6D521F39" w14:textId="77777777" w:rsidR="00A60339" w:rsidRDefault="00A60339">
          <w:pPr>
            <w:pStyle w:val="TOC1"/>
            <w:tabs>
              <w:tab w:val="right" w:leader="dot" w:pos="10456"/>
            </w:tabs>
            <w:rPr>
              <w:rFonts w:asciiTheme="minorHAnsi" w:eastAsiaTheme="minorEastAsia" w:hAnsiTheme="minorHAnsi" w:cstheme="minorBidi"/>
              <w:noProof/>
              <w:sz w:val="22"/>
              <w:szCs w:val="22"/>
            </w:rPr>
          </w:pPr>
          <w:hyperlink w:anchor="_Toc9520962" w:history="1">
            <w:r w:rsidRPr="00982AAC">
              <w:rPr>
                <w:rStyle w:val="Hyperlink"/>
                <w:noProof/>
              </w:rPr>
              <w:t>Appendix A: Comparison of recommended standards with international standards and guidelines</w:t>
            </w:r>
            <w:r>
              <w:rPr>
                <w:noProof/>
                <w:webHidden/>
              </w:rPr>
              <w:tab/>
            </w:r>
            <w:r>
              <w:rPr>
                <w:noProof/>
                <w:webHidden/>
              </w:rPr>
              <w:fldChar w:fldCharType="begin"/>
            </w:r>
            <w:r>
              <w:rPr>
                <w:noProof/>
                <w:webHidden/>
              </w:rPr>
              <w:instrText xml:space="preserve"> PAGEREF _Toc9520962 \h </w:instrText>
            </w:r>
            <w:r>
              <w:rPr>
                <w:noProof/>
                <w:webHidden/>
              </w:rPr>
            </w:r>
            <w:r>
              <w:rPr>
                <w:noProof/>
                <w:webHidden/>
              </w:rPr>
              <w:fldChar w:fldCharType="separate"/>
            </w:r>
            <w:r>
              <w:rPr>
                <w:noProof/>
                <w:webHidden/>
              </w:rPr>
              <w:t>9</w:t>
            </w:r>
            <w:r>
              <w:rPr>
                <w:noProof/>
                <w:webHidden/>
              </w:rPr>
              <w:fldChar w:fldCharType="end"/>
            </w:r>
          </w:hyperlink>
        </w:p>
        <w:p w14:paraId="05828176" w14:textId="0284C958" w:rsidR="00A60339" w:rsidRDefault="00A60339">
          <w:r>
            <w:rPr>
              <w:b/>
              <w:bCs/>
              <w:noProof/>
            </w:rPr>
            <w:fldChar w:fldCharType="end"/>
          </w:r>
        </w:p>
      </w:sdtContent>
    </w:sdt>
    <w:p w14:paraId="6B79520C" w14:textId="77777777" w:rsidR="00C80CC8" w:rsidRPr="000B0FB1" w:rsidRDefault="00C80CC8" w:rsidP="000B0FB1">
      <w:pPr>
        <w:pStyle w:val="Heading1"/>
      </w:pPr>
      <w:bookmarkStart w:id="3" w:name="_Toc9508341"/>
      <w:bookmarkStart w:id="4" w:name="_Toc9516915"/>
      <w:bookmarkStart w:id="5" w:name="_Toc9520935"/>
      <w:r w:rsidRPr="000B0FB1">
        <w:t>Australia’s air quality</w:t>
      </w:r>
      <w:bookmarkEnd w:id="3"/>
      <w:bookmarkEnd w:id="4"/>
      <w:bookmarkEnd w:id="5"/>
    </w:p>
    <w:p w14:paraId="284D96CA" w14:textId="77777777" w:rsidR="00C80CC8" w:rsidRPr="000B0FB1" w:rsidRDefault="00C80CC8" w:rsidP="000B0FB1">
      <w:pPr>
        <w:pStyle w:val="Heading2"/>
      </w:pPr>
      <w:bookmarkStart w:id="6" w:name="_Toc9508342"/>
      <w:bookmarkStart w:id="7" w:name="_Toc9516916"/>
      <w:bookmarkStart w:id="8" w:name="_Toc9520936"/>
      <w:r w:rsidRPr="000B0FB1">
        <w:t>Q1.</w:t>
      </w:r>
      <w:r w:rsidRPr="000B0FB1">
        <w:tab/>
        <w:t>What is the current status of Australia’s air quality?</w:t>
      </w:r>
      <w:bookmarkEnd w:id="6"/>
      <w:bookmarkEnd w:id="7"/>
      <w:bookmarkEnd w:id="8"/>
    </w:p>
    <w:p w14:paraId="439E83BF" w14:textId="40720256" w:rsidR="000B4291" w:rsidRPr="000B0FB1" w:rsidRDefault="00C80CC8" w:rsidP="000B0FB1">
      <w:r w:rsidRPr="000B0FB1">
        <w:t xml:space="preserve">Australia’s air quality is good by international standards and annual average concentrations of ambient pollutants are generally below current air quality </w:t>
      </w:r>
      <w:r w:rsidR="000B4291" w:rsidRPr="000B0FB1">
        <w:t>limits</w:t>
      </w:r>
      <w:r w:rsidRPr="000B0FB1">
        <w:t xml:space="preserve">. Improvements to Australia’s air quality over the past decade have been achieved through </w:t>
      </w:r>
      <w:r w:rsidR="000B4291" w:rsidRPr="000B0FB1">
        <w:t xml:space="preserve">strengthening </w:t>
      </w:r>
      <w:r w:rsidRPr="000B0FB1">
        <w:t xml:space="preserve">ambient air quality standards, fuel quality standards, vehicle emission standards and state-based action, such as controls on industry. </w:t>
      </w:r>
    </w:p>
    <w:p w14:paraId="3331115A" w14:textId="0D3B044A" w:rsidR="00C80CC8" w:rsidRDefault="000B4291" w:rsidP="000B0FB1">
      <w:r w:rsidRPr="00C8470E">
        <w:t xml:space="preserve">It is still important to minimise air </w:t>
      </w:r>
      <w:r w:rsidR="0060038B" w:rsidRPr="00C8470E">
        <w:t>emissions and exposure to air pollution</w:t>
      </w:r>
      <w:r w:rsidRPr="00C8470E">
        <w:t xml:space="preserve">. The latest science shows that health impacts from some pollutants can occur at lower concentrations than previously thought. </w:t>
      </w:r>
    </w:p>
    <w:p w14:paraId="73BB50C5" w14:textId="77777777" w:rsidR="00C80CC8" w:rsidRPr="00C8470E" w:rsidRDefault="00C80CC8" w:rsidP="000B0FB1">
      <w:pPr>
        <w:pStyle w:val="Heading2"/>
      </w:pPr>
      <w:bookmarkStart w:id="9" w:name="_Toc9508343"/>
      <w:bookmarkStart w:id="10" w:name="_Toc9516917"/>
      <w:bookmarkStart w:id="11" w:name="_Toc9520937"/>
      <w:r w:rsidRPr="00C8470E">
        <w:t>Q2.</w:t>
      </w:r>
      <w:r w:rsidRPr="00C8470E">
        <w:tab/>
        <w:t>Are further air improvements necessary given that we already enjoy relatively good air quality in Australia?</w:t>
      </w:r>
      <w:bookmarkEnd w:id="9"/>
      <w:bookmarkEnd w:id="10"/>
      <w:bookmarkEnd w:id="11"/>
    </w:p>
    <w:p w14:paraId="74168FC6" w14:textId="2C2040C2" w:rsidR="00C80CC8" w:rsidRPr="00C8470E" w:rsidRDefault="00C80CC8" w:rsidP="000B0FB1">
      <w:pPr>
        <w:rPr>
          <w:b/>
          <w:u w:val="single"/>
        </w:rPr>
      </w:pPr>
      <w:r w:rsidRPr="00C8470E">
        <w:t>Recent international studies show that the effects of air pollution on human health are observed below current pollutant concentration levels. Further reducing ambient air pollution will result in substantial health and economic benefits.</w:t>
      </w:r>
    </w:p>
    <w:p w14:paraId="3891D707" w14:textId="77777777" w:rsidR="00384DE1" w:rsidRDefault="00C80CC8" w:rsidP="000B0FB1">
      <w:r w:rsidRPr="00C8470E">
        <w:t>Over the past few decades ambient concentrations of some pollutants have decreased in most jurisdictions. However, this is likely to be reversed in the future due to growth in Australia’s population, economic activity</w:t>
      </w:r>
      <w:r w:rsidR="000B4291" w:rsidRPr="00C8470E">
        <w:t>, and a warming and drying climate</w:t>
      </w:r>
      <w:r w:rsidRPr="00C8470E">
        <w:t xml:space="preserve">. Any increase in population exposure will increase the incidence of adverse health outcomes and the associated economic costs of air pollution to society. </w:t>
      </w:r>
    </w:p>
    <w:p w14:paraId="536F49FD" w14:textId="77777777" w:rsidR="00C80CC8" w:rsidRPr="00C8470E" w:rsidRDefault="00C80CC8" w:rsidP="000B0FB1">
      <w:pPr>
        <w:pStyle w:val="Heading1"/>
      </w:pPr>
      <w:bookmarkStart w:id="12" w:name="_Toc9508344"/>
      <w:bookmarkStart w:id="13" w:name="_Toc9516918"/>
      <w:bookmarkStart w:id="14" w:name="_Toc9520938"/>
      <w:r w:rsidRPr="00C8470E">
        <w:t>Ambient Air Quality National Environment Protection Measure (AAQ NEPM)</w:t>
      </w:r>
      <w:bookmarkEnd w:id="12"/>
      <w:bookmarkEnd w:id="13"/>
      <w:bookmarkEnd w:id="14"/>
      <w:r w:rsidRPr="00C8470E">
        <w:t xml:space="preserve"> </w:t>
      </w:r>
    </w:p>
    <w:p w14:paraId="6F76441A" w14:textId="77777777" w:rsidR="00C80CC8" w:rsidRPr="00C8470E" w:rsidRDefault="00C80CC8" w:rsidP="000B0FB1">
      <w:pPr>
        <w:pStyle w:val="Heading2"/>
      </w:pPr>
      <w:bookmarkStart w:id="15" w:name="_Toc9508345"/>
      <w:bookmarkStart w:id="16" w:name="_Toc9516919"/>
      <w:bookmarkStart w:id="17" w:name="_Toc9520939"/>
      <w:r w:rsidRPr="00C8470E">
        <w:t>Q3.</w:t>
      </w:r>
      <w:r w:rsidRPr="00C8470E">
        <w:tab/>
        <w:t>What is the AAQ NEPM?</w:t>
      </w:r>
      <w:bookmarkEnd w:id="15"/>
      <w:bookmarkEnd w:id="16"/>
      <w:bookmarkEnd w:id="17"/>
    </w:p>
    <w:p w14:paraId="271F8771" w14:textId="0B61D52F" w:rsidR="000B4291" w:rsidRPr="00C8470E" w:rsidRDefault="00C80CC8" w:rsidP="000B0FB1">
      <w:r w:rsidRPr="00C8470E">
        <w:t xml:space="preserve">The AAQ NEPM is an instrument established in 1998 under the </w:t>
      </w:r>
      <w:r w:rsidRPr="00C8470E">
        <w:rPr>
          <w:i/>
        </w:rPr>
        <w:t>National Environment Protection Act (1994)</w:t>
      </w:r>
      <w:r w:rsidRPr="00C8470E">
        <w:t xml:space="preserve"> (NEPC Act) to provide a nationally consistent framework for monitoring and reporting on six common ambient air pollutants – carbon monoxide</w:t>
      </w:r>
      <w:r w:rsidR="00227C22">
        <w:t xml:space="preserve"> (CO)</w:t>
      </w:r>
      <w:r w:rsidRPr="00C8470E">
        <w:t>, lead, nitrogen dioxide (NO</w:t>
      </w:r>
      <w:r w:rsidRPr="00C8470E">
        <w:rPr>
          <w:vertAlign w:val="subscript"/>
        </w:rPr>
        <w:t>2</w:t>
      </w:r>
      <w:r w:rsidRPr="00C8470E">
        <w:t>), photochemical oxidants (ozone or O</w:t>
      </w:r>
      <w:r w:rsidRPr="00C8470E">
        <w:rPr>
          <w:vertAlign w:val="subscript"/>
        </w:rPr>
        <w:t>3</w:t>
      </w:r>
      <w:r w:rsidRPr="00C8470E">
        <w:t>), sulfur dioxide (SO</w:t>
      </w:r>
      <w:r w:rsidRPr="00C8470E">
        <w:rPr>
          <w:vertAlign w:val="subscript"/>
        </w:rPr>
        <w:t>2</w:t>
      </w:r>
      <w:r w:rsidRPr="00C8470E">
        <w:t xml:space="preserve">) and </w:t>
      </w:r>
      <w:r w:rsidR="000B4291" w:rsidRPr="00C8470E">
        <w:t xml:space="preserve">coarse and fine </w:t>
      </w:r>
      <w:r w:rsidRPr="00C8470E">
        <w:t>particulate matter (PM</w:t>
      </w:r>
      <w:r w:rsidR="000B4291" w:rsidRPr="00C8470E">
        <w:rPr>
          <w:vertAlign w:val="subscript"/>
        </w:rPr>
        <w:t>10</w:t>
      </w:r>
      <w:r w:rsidR="000B4291" w:rsidRPr="00C8470E">
        <w:t xml:space="preserve"> and PM</w:t>
      </w:r>
      <w:r w:rsidR="000B4291" w:rsidRPr="00C8470E">
        <w:rPr>
          <w:vertAlign w:val="subscript"/>
        </w:rPr>
        <w:t>2.5</w:t>
      </w:r>
      <w:r w:rsidRPr="00C8470E">
        <w:t>)</w:t>
      </w:r>
      <w:r w:rsidR="000B4291" w:rsidRPr="00C8470E">
        <w:t xml:space="preserve">. </w:t>
      </w:r>
      <w:r w:rsidRPr="00C8470E">
        <w:t xml:space="preserve"> It was varied in 2016 </w:t>
      </w:r>
      <w:r w:rsidR="000B4291" w:rsidRPr="00C8470E">
        <w:t xml:space="preserve">to strengthen particulate matter standards. </w:t>
      </w:r>
    </w:p>
    <w:p w14:paraId="16173AC8" w14:textId="77777777" w:rsidR="006617BF" w:rsidRPr="00C8470E" w:rsidRDefault="00C80CC8" w:rsidP="000B0FB1">
      <w:r w:rsidRPr="00C8470E">
        <w:t xml:space="preserve">Jurisdictions monitor and report against the air quality standards and goals for each of the pollutants. The standards and goals aim to guide policy formulation that allows for the adequate protection of human health and wellbeing. </w:t>
      </w:r>
    </w:p>
    <w:p w14:paraId="50938812" w14:textId="6545A4BA" w:rsidR="00384DE1" w:rsidRDefault="000B4291" w:rsidP="000B0FB1">
      <w:r w:rsidRPr="00C8470E">
        <w:t>However, t</w:t>
      </w:r>
      <w:r w:rsidR="00C80CC8" w:rsidRPr="00C8470E">
        <w:t>he AAQ NEPM does not compel or direct pollution control measures</w:t>
      </w:r>
      <w:r w:rsidRPr="00C8470E">
        <w:t xml:space="preserve"> – it is up to each jurisdiction to determine what these should be</w:t>
      </w:r>
      <w:r w:rsidR="00C80CC8" w:rsidRPr="00C8470E">
        <w:t xml:space="preserve">. Each jurisdiction </w:t>
      </w:r>
      <w:r w:rsidR="006617BF" w:rsidRPr="00C8470E">
        <w:t xml:space="preserve">implements the AAQ NEPM through its own legislation, </w:t>
      </w:r>
      <w:r w:rsidR="00C80CC8" w:rsidRPr="00C8470E">
        <w:t xml:space="preserve">is required to allocate sufficient resources to enact the AAQ NEPM and </w:t>
      </w:r>
      <w:r w:rsidR="006617BF" w:rsidRPr="00C8470E">
        <w:t xml:space="preserve">must </w:t>
      </w:r>
      <w:r w:rsidR="00C80CC8" w:rsidRPr="00C8470E">
        <w:t>report annually on its implementation.</w:t>
      </w:r>
      <w:r w:rsidR="00384DE1" w:rsidRPr="00384DE1">
        <w:t xml:space="preserve"> </w:t>
      </w:r>
    </w:p>
    <w:p w14:paraId="77E42453" w14:textId="77777777" w:rsidR="00C80CC8" w:rsidRPr="00C8470E" w:rsidRDefault="00C80CC8" w:rsidP="000B0FB1">
      <w:pPr>
        <w:pStyle w:val="Heading2"/>
      </w:pPr>
      <w:bookmarkStart w:id="18" w:name="_Toc9508346"/>
      <w:bookmarkStart w:id="19" w:name="_Toc9516920"/>
      <w:bookmarkStart w:id="20" w:name="_Toc9520940"/>
      <w:r w:rsidRPr="00C8470E">
        <w:t>Q4.</w:t>
      </w:r>
      <w:r w:rsidRPr="00C8470E">
        <w:tab/>
        <w:t>Why do we need the AAQ NEPM?</w:t>
      </w:r>
      <w:bookmarkEnd w:id="18"/>
      <w:bookmarkEnd w:id="19"/>
      <w:bookmarkEnd w:id="20"/>
    </w:p>
    <w:p w14:paraId="06528C74" w14:textId="77777777" w:rsidR="00C80CC8" w:rsidRPr="00C8470E" w:rsidRDefault="00C80CC8" w:rsidP="000B0FB1">
      <w:r w:rsidRPr="00C8470E">
        <w:t>The AAQ NEPM provides a harmonised national framework for all Australian jurisdictions to monitor and publicly report on common ambient air pollutants. It ensures people enjoy equivalent protection from air pollution and removes potential conflicts or inconsistencies between individual state and territory-</w:t>
      </w:r>
      <w:r w:rsidRPr="00C8470E">
        <w:lastRenderedPageBreak/>
        <w:t>based approaches, as all jurisdictions are subject to identical criteria.</w:t>
      </w:r>
    </w:p>
    <w:p w14:paraId="27E2F1C5" w14:textId="77777777" w:rsidR="00C80CC8" w:rsidRPr="00C8470E" w:rsidRDefault="00C80CC8" w:rsidP="000B0FB1">
      <w:r w:rsidRPr="00C8470E">
        <w:t xml:space="preserve">Jurisdictions </w:t>
      </w:r>
      <w:r w:rsidR="006617BF" w:rsidRPr="00C8470E">
        <w:t xml:space="preserve">may </w:t>
      </w:r>
      <w:r w:rsidRPr="00C8470E">
        <w:t>use the AAQ NEPM standards in legislation or guidance (e.g. design goals, licence conditions, planning instruments) to manage air quality and emissions from specific sources.</w:t>
      </w:r>
    </w:p>
    <w:p w14:paraId="12F24EA6" w14:textId="118F40B7" w:rsidR="00384DE1" w:rsidRPr="00C8470E" w:rsidRDefault="00C80CC8" w:rsidP="000B0FB1">
      <w:r w:rsidRPr="00C8470E">
        <w:t xml:space="preserve">The AAQ NEPM standards are based on health evidence of the impacts of air pollutants available </w:t>
      </w:r>
      <w:r w:rsidR="006617BF" w:rsidRPr="00C8470E">
        <w:t>when</w:t>
      </w:r>
      <w:r w:rsidRPr="00C8470E">
        <w:t xml:space="preserve"> </w:t>
      </w:r>
      <w:r w:rsidR="006617BF" w:rsidRPr="00C8470E">
        <w:t xml:space="preserve">they </w:t>
      </w:r>
      <w:r w:rsidRPr="00C8470E">
        <w:t>are set. They are designed to minimise the risk of adverse health impacts from exposure to air pollution</w:t>
      </w:r>
      <w:r w:rsidR="006617BF" w:rsidRPr="00C8470E">
        <w:t xml:space="preserve">, while </w:t>
      </w:r>
      <w:r w:rsidRPr="00C8470E">
        <w:t>be</w:t>
      </w:r>
      <w:r w:rsidR="006617BF" w:rsidRPr="00C8470E">
        <w:t>ing</w:t>
      </w:r>
      <w:r w:rsidRPr="00C8470E">
        <w:t xml:space="preserve"> realistically achievable in jurisdictions</w:t>
      </w:r>
      <w:r w:rsidR="0002322B" w:rsidRPr="00C8470E">
        <w:t xml:space="preserve"> </w:t>
      </w:r>
      <w:r w:rsidRPr="00C8470E">
        <w:t xml:space="preserve">with a focus on metropolitan regions, where the majority of Australia’s population resides. </w:t>
      </w:r>
    </w:p>
    <w:p w14:paraId="7E320417" w14:textId="77777777" w:rsidR="00C80CC8" w:rsidRPr="00C8470E" w:rsidRDefault="00C80CC8" w:rsidP="000B0FB1">
      <w:pPr>
        <w:pStyle w:val="Heading1"/>
      </w:pPr>
      <w:bookmarkStart w:id="21" w:name="_Toc9508347"/>
      <w:bookmarkStart w:id="22" w:name="_Toc9516921"/>
      <w:bookmarkStart w:id="23" w:name="_Toc9520941"/>
      <w:r w:rsidRPr="00C8470E">
        <w:t>AAQ NEPM review</w:t>
      </w:r>
      <w:bookmarkEnd w:id="21"/>
      <w:bookmarkEnd w:id="22"/>
      <w:bookmarkEnd w:id="23"/>
    </w:p>
    <w:p w14:paraId="5FD3D194" w14:textId="77777777" w:rsidR="00C80CC8" w:rsidRPr="00C8470E" w:rsidRDefault="00C80CC8" w:rsidP="000B0FB1">
      <w:pPr>
        <w:pStyle w:val="Heading2"/>
      </w:pPr>
      <w:bookmarkStart w:id="24" w:name="_Toc9508348"/>
      <w:bookmarkStart w:id="25" w:name="_Toc9516922"/>
      <w:bookmarkStart w:id="26" w:name="_Toc9520942"/>
      <w:r w:rsidRPr="00C8470E">
        <w:t>Q5.</w:t>
      </w:r>
      <w:r w:rsidRPr="00C8470E">
        <w:tab/>
        <w:t>Why is the AAQ NEPM being reviewed again when it was recently reviewed for particles?</w:t>
      </w:r>
      <w:bookmarkEnd w:id="24"/>
      <w:bookmarkEnd w:id="25"/>
      <w:bookmarkEnd w:id="26"/>
    </w:p>
    <w:p w14:paraId="5C1BF1E8" w14:textId="77777777" w:rsidR="00C80CC8" w:rsidRPr="00C8470E" w:rsidRDefault="00C80CC8" w:rsidP="000B0FB1">
      <w:r w:rsidRPr="00C8470E">
        <w:t xml:space="preserve">Standards need to be periodically reviewed to consider the latest scientific evidence as health research on the impacts of pollutants continues to evolve and new findings emerge. </w:t>
      </w:r>
    </w:p>
    <w:p w14:paraId="371C34A3" w14:textId="376CB72A" w:rsidR="00C80CC8" w:rsidRPr="00C8470E" w:rsidRDefault="00C80CC8" w:rsidP="000B0FB1">
      <w:pPr>
        <w:rPr>
          <w:highlight w:val="yellow"/>
        </w:rPr>
      </w:pPr>
      <w:r w:rsidRPr="00C8470E">
        <w:t>The particle standards (PM</w:t>
      </w:r>
      <w:r w:rsidRPr="00C8470E">
        <w:rPr>
          <w:vertAlign w:val="subscript"/>
        </w:rPr>
        <w:t>10</w:t>
      </w:r>
      <w:r w:rsidRPr="00C8470E">
        <w:t xml:space="preserve"> and PM</w:t>
      </w:r>
      <w:r w:rsidRPr="00C8470E">
        <w:rPr>
          <w:vertAlign w:val="subscript"/>
        </w:rPr>
        <w:t>2.5</w:t>
      </w:r>
      <w:r w:rsidRPr="00C8470E">
        <w:t xml:space="preserve">) in the AAQ NEPM were recently reviewed and varied to reflect the latest scientific evidence at that time. The particle standards were prioritised first given the strong evidence associating particle exposure with adverse human health </w:t>
      </w:r>
      <w:r w:rsidR="003246BC" w:rsidRPr="00C8470E">
        <w:t>impacts</w:t>
      </w:r>
      <w:r w:rsidRPr="00C8470E">
        <w:t xml:space="preserve"> and that there is no clear particle pollution </w:t>
      </w:r>
      <w:r w:rsidR="003246BC" w:rsidRPr="00C8470E">
        <w:t xml:space="preserve">concentration </w:t>
      </w:r>
      <w:r w:rsidRPr="00C8470E">
        <w:t>below which health effects do not occur.</w:t>
      </w:r>
    </w:p>
    <w:p w14:paraId="77B7E577" w14:textId="34C0A731" w:rsidR="00384DE1" w:rsidRPr="00C8470E" w:rsidRDefault="00C80CC8" w:rsidP="000B0FB1">
      <w:r w:rsidRPr="00C8470E">
        <w:t>Environment Ministers agreed that the next priority is the review of the O</w:t>
      </w:r>
      <w:r w:rsidRPr="00C8470E">
        <w:rPr>
          <w:vertAlign w:val="subscript"/>
        </w:rPr>
        <w:t>3</w:t>
      </w:r>
      <w:r w:rsidRPr="00C8470E">
        <w:t>, NO</w:t>
      </w:r>
      <w:r w:rsidRPr="00C8470E">
        <w:rPr>
          <w:vertAlign w:val="subscript"/>
        </w:rPr>
        <w:t>2</w:t>
      </w:r>
      <w:r w:rsidRPr="00C8470E">
        <w:t xml:space="preserve"> and SO</w:t>
      </w:r>
      <w:r w:rsidRPr="00C8470E">
        <w:rPr>
          <w:vertAlign w:val="subscript"/>
        </w:rPr>
        <w:t>2</w:t>
      </w:r>
      <w:r w:rsidRPr="00C8470E">
        <w:t xml:space="preserve"> standards.</w:t>
      </w:r>
      <w:r w:rsidR="00384DE1" w:rsidRPr="00384DE1">
        <w:t xml:space="preserve"> </w:t>
      </w:r>
    </w:p>
    <w:p w14:paraId="0CD314F6" w14:textId="07B5ED63" w:rsidR="00C80CC8" w:rsidRPr="00C8470E" w:rsidRDefault="00C80CC8" w:rsidP="000B0FB1">
      <w:pPr>
        <w:pStyle w:val="Heading2"/>
      </w:pPr>
      <w:bookmarkStart w:id="27" w:name="_Toc9508349"/>
      <w:bookmarkStart w:id="28" w:name="_Toc9516923"/>
      <w:bookmarkStart w:id="29" w:name="_Toc9520943"/>
      <w:r w:rsidRPr="00C8470E">
        <w:t>Q6.</w:t>
      </w:r>
      <w:r w:rsidRPr="00C8470E">
        <w:tab/>
        <w:t>When will the lead standard be reviewed?</w:t>
      </w:r>
      <w:bookmarkEnd w:id="27"/>
      <w:bookmarkEnd w:id="28"/>
      <w:bookmarkEnd w:id="29"/>
    </w:p>
    <w:p w14:paraId="7893E3C7" w14:textId="7876876F" w:rsidR="003246BC" w:rsidRPr="00C8470E" w:rsidRDefault="00C80CC8" w:rsidP="000B0FB1">
      <w:r w:rsidRPr="00C8470E">
        <w:t xml:space="preserve">The AAQ NEPM was reviewed and a report released by Environment Ministers in 2011. </w:t>
      </w:r>
      <w:r w:rsidR="003246BC" w:rsidRPr="00C8470E">
        <w:t xml:space="preserve">This </w:t>
      </w:r>
      <w:r w:rsidRPr="00C8470E">
        <w:t>recommend</w:t>
      </w:r>
      <w:r w:rsidR="003246BC" w:rsidRPr="00C8470E">
        <w:t>ed</w:t>
      </w:r>
      <w:r w:rsidRPr="00C8470E">
        <w:t xml:space="preserve"> remov</w:t>
      </w:r>
      <w:r w:rsidR="003246BC" w:rsidRPr="00C8470E">
        <w:t>ing</w:t>
      </w:r>
      <w:r w:rsidRPr="00C8470E">
        <w:t xml:space="preserve"> the ambient air quality standard for lead from the AAQ NEPM and put</w:t>
      </w:r>
      <w:r w:rsidR="003246BC" w:rsidRPr="00C8470E">
        <w:t>ting</w:t>
      </w:r>
      <w:r w:rsidRPr="00C8470E">
        <w:t xml:space="preserve"> it into the Air Toxics NEPM (when it was next revised)</w:t>
      </w:r>
      <w:r w:rsidR="003246BC" w:rsidRPr="00C8470E">
        <w:t>.</w:t>
      </w:r>
    </w:p>
    <w:p w14:paraId="36F7D999" w14:textId="64A01ABE" w:rsidR="00384DE1" w:rsidRDefault="003246BC" w:rsidP="000B0FB1">
      <w:r w:rsidRPr="00C8470E">
        <w:t>L</w:t>
      </w:r>
      <w:r w:rsidR="00C80CC8" w:rsidRPr="00C8470E">
        <w:t xml:space="preserve">ead no longer meets the definition of ‘criteria’ pollutant. Following the removal of lead from motor vehicle petrol there have been significant reductions of lead in ambient air and it is no longer widespread in the environment. </w:t>
      </w:r>
      <w:r w:rsidRPr="00C8470E">
        <w:t>It</w:t>
      </w:r>
      <w:r w:rsidR="00C80CC8" w:rsidRPr="00C8470E">
        <w:t xml:space="preserve"> </w:t>
      </w:r>
      <w:r w:rsidRPr="00C8470E">
        <w:t xml:space="preserve">remains a potential risk </w:t>
      </w:r>
      <w:r w:rsidR="00542BDF" w:rsidRPr="00C8470E">
        <w:t xml:space="preserve">at </w:t>
      </w:r>
      <w:r w:rsidRPr="00C8470E">
        <w:t xml:space="preserve">some </w:t>
      </w:r>
      <w:r w:rsidR="00C80CC8" w:rsidRPr="00C8470E">
        <w:t>specific industr</w:t>
      </w:r>
      <w:r w:rsidRPr="00C8470E">
        <w:t>ial</w:t>
      </w:r>
      <w:r w:rsidR="00C80CC8" w:rsidRPr="00C8470E">
        <w:t xml:space="preserve"> sites</w:t>
      </w:r>
      <w:r w:rsidRPr="00C8470E">
        <w:t xml:space="preserve">, which are addressed </w:t>
      </w:r>
      <w:r w:rsidR="00542BDF" w:rsidRPr="00C8470E">
        <w:t>through jurisdictional controls such as licence</w:t>
      </w:r>
      <w:r w:rsidR="00AE0483" w:rsidRPr="00C8470E">
        <w:t xml:space="preserve"> condition</w:t>
      </w:r>
      <w:r w:rsidR="00542BDF" w:rsidRPr="00C8470E">
        <w:t>s</w:t>
      </w:r>
      <w:r w:rsidR="00C80CC8" w:rsidRPr="00C8470E">
        <w:t>.</w:t>
      </w:r>
      <w:r w:rsidR="00384DE1" w:rsidRPr="00384DE1">
        <w:t xml:space="preserve"> </w:t>
      </w:r>
    </w:p>
    <w:p w14:paraId="21FAE207" w14:textId="3CC25D8D" w:rsidR="00542BDF" w:rsidRPr="00C8470E" w:rsidRDefault="00542BDF" w:rsidP="000B0FB1">
      <w:pPr>
        <w:pStyle w:val="Heading2"/>
      </w:pPr>
      <w:bookmarkStart w:id="30" w:name="_Toc9508350"/>
      <w:bookmarkStart w:id="31" w:name="_Toc9516924"/>
      <w:bookmarkStart w:id="32" w:name="_Toc9520944"/>
      <w:r w:rsidRPr="00C8470E">
        <w:t>Q7</w:t>
      </w:r>
      <w:r w:rsidR="00C92CE4" w:rsidRPr="00C8470E">
        <w:t>.</w:t>
      </w:r>
      <w:r w:rsidRPr="00C8470E">
        <w:t xml:space="preserve"> </w:t>
      </w:r>
      <w:r w:rsidR="006A04AC" w:rsidRPr="00C8470E">
        <w:tab/>
      </w:r>
      <w:r w:rsidRPr="00C8470E">
        <w:t>When will the carbon monoxide standard be reviewed?</w:t>
      </w:r>
      <w:bookmarkEnd w:id="30"/>
      <w:bookmarkEnd w:id="31"/>
      <w:bookmarkEnd w:id="32"/>
    </w:p>
    <w:p w14:paraId="2AE7D5D3" w14:textId="77777777" w:rsidR="00C80CC8" w:rsidRPr="00C8470E" w:rsidRDefault="00C80CC8" w:rsidP="000B0FB1">
      <w:r w:rsidRPr="00C8470E">
        <w:t>The 2011 Australian State of the Environment Report indicates that:</w:t>
      </w:r>
    </w:p>
    <w:p w14:paraId="1B02C1E4" w14:textId="6CAABD37" w:rsidR="00C80CC8" w:rsidRPr="00204B28" w:rsidRDefault="00C80CC8" w:rsidP="00204B28">
      <w:pPr>
        <w:pStyle w:val="ListParagraph"/>
        <w:numPr>
          <w:ilvl w:val="0"/>
          <w:numId w:val="5"/>
        </w:numPr>
        <w:spacing w:before="0" w:after="200" w:line="293" w:lineRule="atLeast"/>
        <w:contextualSpacing/>
        <w:rPr>
          <w:rFonts w:ascii="Myriad Pro" w:eastAsia="Times New Roman" w:hAnsi="Myriad Pro"/>
          <w:sz w:val="20"/>
          <w:szCs w:val="20"/>
        </w:rPr>
      </w:pPr>
      <w:r w:rsidRPr="00204B28">
        <w:rPr>
          <w:rFonts w:ascii="Myriad Pro" w:eastAsia="Times New Roman" w:hAnsi="Myriad Pro"/>
          <w:sz w:val="20"/>
          <w:szCs w:val="20"/>
        </w:rPr>
        <w:t xml:space="preserve">Apart from vegetation burning and wildfires, motor vehicles are the main source of </w:t>
      </w:r>
      <w:r w:rsidR="00227C22" w:rsidRPr="00204B28">
        <w:rPr>
          <w:rFonts w:ascii="Myriad Pro" w:eastAsia="Times New Roman" w:hAnsi="Myriad Pro"/>
          <w:sz w:val="20"/>
          <w:szCs w:val="20"/>
        </w:rPr>
        <w:t>carbon monoxide (</w:t>
      </w:r>
      <w:r w:rsidRPr="00204B28">
        <w:rPr>
          <w:rFonts w:ascii="Myriad Pro" w:eastAsia="Times New Roman" w:hAnsi="Myriad Pro"/>
          <w:sz w:val="20"/>
          <w:szCs w:val="20"/>
        </w:rPr>
        <w:t>CO</w:t>
      </w:r>
      <w:r w:rsidR="00227C22" w:rsidRPr="00204B28">
        <w:rPr>
          <w:rFonts w:ascii="Myriad Pro" w:eastAsia="Times New Roman" w:hAnsi="Myriad Pro"/>
          <w:sz w:val="20"/>
          <w:szCs w:val="20"/>
        </w:rPr>
        <w:t>);</w:t>
      </w:r>
    </w:p>
    <w:p w14:paraId="53D5112F" w14:textId="2C130E73" w:rsidR="00C80CC8" w:rsidRPr="00204B28" w:rsidRDefault="00C80CC8" w:rsidP="00204B28">
      <w:pPr>
        <w:pStyle w:val="ListParagraph"/>
        <w:numPr>
          <w:ilvl w:val="0"/>
          <w:numId w:val="5"/>
        </w:numPr>
        <w:spacing w:before="0" w:after="200" w:line="293" w:lineRule="atLeast"/>
        <w:contextualSpacing/>
        <w:rPr>
          <w:rFonts w:ascii="Myriad Pro" w:eastAsia="Times New Roman" w:hAnsi="Myriad Pro"/>
          <w:sz w:val="20"/>
          <w:szCs w:val="20"/>
        </w:rPr>
      </w:pPr>
      <w:r w:rsidRPr="00204B28">
        <w:rPr>
          <w:rFonts w:ascii="Myriad Pro" w:eastAsia="Times New Roman" w:hAnsi="Myriad Pro"/>
          <w:sz w:val="20"/>
          <w:szCs w:val="20"/>
        </w:rPr>
        <w:t xml:space="preserve">levels of CO have declined significantly over the last two decades due </w:t>
      </w:r>
      <w:r w:rsidR="003246BC" w:rsidRPr="00204B28">
        <w:rPr>
          <w:rFonts w:ascii="Myriad Pro" w:eastAsia="Times New Roman" w:hAnsi="Myriad Pro"/>
          <w:sz w:val="20"/>
          <w:szCs w:val="20"/>
        </w:rPr>
        <w:t>primarily</w:t>
      </w:r>
      <w:r w:rsidRPr="00204B28">
        <w:rPr>
          <w:rFonts w:ascii="Myriad Pro" w:eastAsia="Times New Roman" w:hAnsi="Myriad Pro"/>
          <w:sz w:val="20"/>
          <w:szCs w:val="20"/>
        </w:rPr>
        <w:t xml:space="preserve"> to strengthened vehicle standards requiring the fitting of catalytic converters to exhaust systems of new vehicles and legislated phase-out of leaded fuel; and </w:t>
      </w:r>
    </w:p>
    <w:p w14:paraId="30010B3F" w14:textId="77777777" w:rsidR="00C80CC8" w:rsidRPr="00204B28" w:rsidRDefault="00C80CC8" w:rsidP="00204B28">
      <w:pPr>
        <w:pStyle w:val="ListParagraph"/>
        <w:numPr>
          <w:ilvl w:val="0"/>
          <w:numId w:val="5"/>
        </w:numPr>
        <w:spacing w:before="0" w:after="200" w:line="293" w:lineRule="atLeast"/>
        <w:contextualSpacing/>
        <w:rPr>
          <w:rFonts w:ascii="Myriad Pro" w:eastAsia="Times New Roman" w:hAnsi="Myriad Pro"/>
          <w:sz w:val="20"/>
          <w:szCs w:val="20"/>
        </w:rPr>
      </w:pPr>
      <w:r w:rsidRPr="00204B28">
        <w:rPr>
          <w:rFonts w:ascii="Myriad Pro" w:eastAsia="Times New Roman" w:hAnsi="Myriad Pro"/>
          <w:sz w:val="20"/>
          <w:szCs w:val="20"/>
        </w:rPr>
        <w:t>current peak CO levels in all regions are less than one-third to one-fifth of the national standard.</w:t>
      </w:r>
    </w:p>
    <w:p w14:paraId="6A008F54" w14:textId="247CCE96" w:rsidR="00C80CC8" w:rsidRPr="00C8470E" w:rsidRDefault="00C80CC8" w:rsidP="000B0FB1">
      <w:r w:rsidRPr="00C8470E">
        <w:t xml:space="preserve">The current AAQ NEPM standard for CO is 9ppm with an 8-hour average which is below the current World Health Organisation (WHO) guideline of 10ppm. </w:t>
      </w:r>
    </w:p>
    <w:p w14:paraId="3A625044" w14:textId="77777777" w:rsidR="00384DE1" w:rsidRDefault="00C80CC8" w:rsidP="000B0FB1">
      <w:r w:rsidRPr="00C8470E">
        <w:lastRenderedPageBreak/>
        <w:t>WHO is in the process of updating its Air Quality Guidelines and anticipates updated numerical concentration limits for PM</w:t>
      </w:r>
      <w:r w:rsidRPr="00C8470E">
        <w:rPr>
          <w:vertAlign w:val="subscript"/>
        </w:rPr>
        <w:t>10</w:t>
      </w:r>
      <w:r w:rsidRPr="00C8470E">
        <w:t>, PM</w:t>
      </w:r>
      <w:r w:rsidRPr="00C8470E">
        <w:rPr>
          <w:vertAlign w:val="subscript"/>
        </w:rPr>
        <w:t>2.5</w:t>
      </w:r>
      <w:r w:rsidRPr="00C8470E">
        <w:t>, O</w:t>
      </w:r>
      <w:r w:rsidRPr="00C8470E">
        <w:rPr>
          <w:vertAlign w:val="subscript"/>
        </w:rPr>
        <w:t>3</w:t>
      </w:r>
      <w:r w:rsidRPr="00C8470E">
        <w:t>, NO</w:t>
      </w:r>
      <w:r w:rsidRPr="00C8470E">
        <w:rPr>
          <w:vertAlign w:val="subscript"/>
        </w:rPr>
        <w:t>2</w:t>
      </w:r>
      <w:r w:rsidRPr="00C8470E">
        <w:t>, SO</w:t>
      </w:r>
      <w:r w:rsidRPr="00C8470E">
        <w:rPr>
          <w:vertAlign w:val="subscript"/>
        </w:rPr>
        <w:t>2</w:t>
      </w:r>
      <w:r w:rsidRPr="00C8470E">
        <w:t xml:space="preserve"> and CO</w:t>
      </w:r>
      <w:r w:rsidRPr="00C8470E">
        <w:rPr>
          <w:rStyle w:val="FootnoteReference"/>
          <w:rFonts w:asciiTheme="minorHAnsi" w:hAnsiTheme="minorHAnsi"/>
          <w:sz w:val="22"/>
          <w:szCs w:val="22"/>
        </w:rPr>
        <w:footnoteReference w:id="1"/>
      </w:r>
      <w:r w:rsidRPr="00C8470E">
        <w:t xml:space="preserve">. </w:t>
      </w:r>
      <w:r w:rsidR="003246BC" w:rsidRPr="00C8470E">
        <w:t xml:space="preserve">Environment ministers will determine whether to further review AAQ NEPM standards, including for CO, following </w:t>
      </w:r>
      <w:r w:rsidR="00AE0483" w:rsidRPr="00C8470E">
        <w:t>the release of the WHO guidelines later this year</w:t>
      </w:r>
      <w:r w:rsidR="003246BC" w:rsidRPr="00C8470E">
        <w:t xml:space="preserve">. </w:t>
      </w:r>
    </w:p>
    <w:p w14:paraId="03001FF8" w14:textId="6580A01F" w:rsidR="00C80CC8" w:rsidRPr="00C8470E" w:rsidRDefault="00542BDF" w:rsidP="000B0FB1">
      <w:pPr>
        <w:pStyle w:val="Heading2"/>
      </w:pPr>
      <w:bookmarkStart w:id="33" w:name="_Toc9508351"/>
      <w:bookmarkStart w:id="34" w:name="_Toc9516925"/>
      <w:bookmarkStart w:id="35" w:name="_Toc9520945"/>
      <w:r w:rsidRPr="00C8470E">
        <w:t>Q8</w:t>
      </w:r>
      <w:r w:rsidR="00C80CC8" w:rsidRPr="00C8470E">
        <w:t>.</w:t>
      </w:r>
      <w:r w:rsidR="00C80CC8" w:rsidRPr="00C8470E">
        <w:tab/>
        <w:t xml:space="preserve">The </w:t>
      </w:r>
      <w:r w:rsidR="00C8470E">
        <w:t>AAQ</w:t>
      </w:r>
      <w:r w:rsidR="00C80CC8" w:rsidRPr="00C8470E">
        <w:t xml:space="preserve"> NEPM standards for O</w:t>
      </w:r>
      <w:r w:rsidR="00C80CC8" w:rsidRPr="00C8470E">
        <w:rPr>
          <w:vertAlign w:val="subscript"/>
        </w:rPr>
        <w:t>3</w:t>
      </w:r>
      <w:r w:rsidR="00C80CC8" w:rsidRPr="00C8470E">
        <w:t>, NO</w:t>
      </w:r>
      <w:r w:rsidR="00C80CC8" w:rsidRPr="00C8470E">
        <w:rPr>
          <w:vertAlign w:val="subscript"/>
        </w:rPr>
        <w:t>2</w:t>
      </w:r>
      <w:r w:rsidR="00C80CC8" w:rsidRPr="00C8470E">
        <w:t xml:space="preserve"> and SO</w:t>
      </w:r>
      <w:r w:rsidR="00C80CC8" w:rsidRPr="00C8470E">
        <w:rPr>
          <w:vertAlign w:val="subscript"/>
        </w:rPr>
        <w:t>2</w:t>
      </w:r>
      <w:r w:rsidR="00C80CC8" w:rsidRPr="00C8470E">
        <w:t xml:space="preserve"> were first established in 1998. Why has it taken so long to review them?</w:t>
      </w:r>
      <w:bookmarkEnd w:id="33"/>
      <w:bookmarkEnd w:id="34"/>
      <w:bookmarkEnd w:id="35"/>
    </w:p>
    <w:p w14:paraId="7CED740F" w14:textId="319A860F" w:rsidR="003246BC" w:rsidRPr="00C8470E" w:rsidRDefault="00C80CC8" w:rsidP="000B0FB1">
      <w:pPr>
        <w:pStyle w:val="CommentText"/>
        <w:rPr>
          <w:rStyle w:val="CommentReference"/>
          <w:rFonts w:asciiTheme="minorHAnsi" w:hAnsiTheme="minorHAnsi"/>
          <w:sz w:val="22"/>
          <w:szCs w:val="22"/>
        </w:rPr>
      </w:pPr>
      <w:r w:rsidRPr="00C8470E">
        <w:rPr>
          <w:rStyle w:val="CommentReference"/>
          <w:rFonts w:asciiTheme="minorHAnsi" w:hAnsiTheme="minorHAnsi"/>
          <w:sz w:val="22"/>
          <w:szCs w:val="22"/>
        </w:rPr>
        <w:t>The review process</w:t>
      </w:r>
      <w:r w:rsidR="003246BC" w:rsidRPr="00C8470E">
        <w:rPr>
          <w:rStyle w:val="CommentReference"/>
          <w:rFonts w:asciiTheme="minorHAnsi" w:hAnsiTheme="minorHAnsi"/>
          <w:sz w:val="22"/>
          <w:szCs w:val="22"/>
        </w:rPr>
        <w:t xml:space="preserve"> is comprehensive and carefully assesses economic, environmental and health impacts of changing standards. It includes </w:t>
      </w:r>
      <w:r w:rsidR="00AE0483" w:rsidRPr="00C8470E">
        <w:rPr>
          <w:rStyle w:val="CommentReference"/>
          <w:rFonts w:asciiTheme="minorHAnsi" w:hAnsiTheme="minorHAnsi"/>
          <w:sz w:val="22"/>
          <w:szCs w:val="22"/>
        </w:rPr>
        <w:t xml:space="preserve">the </w:t>
      </w:r>
      <w:r w:rsidR="003246BC" w:rsidRPr="00C8470E">
        <w:rPr>
          <w:rStyle w:val="CommentReference"/>
          <w:rFonts w:asciiTheme="minorHAnsi" w:hAnsiTheme="minorHAnsi"/>
          <w:sz w:val="22"/>
          <w:szCs w:val="22"/>
        </w:rPr>
        <w:t xml:space="preserve">development </w:t>
      </w:r>
      <w:r w:rsidR="00542BDF" w:rsidRPr="00C8470E">
        <w:rPr>
          <w:rStyle w:val="CommentReference"/>
          <w:rFonts w:asciiTheme="minorHAnsi" w:hAnsiTheme="minorHAnsi"/>
          <w:sz w:val="22"/>
          <w:szCs w:val="22"/>
        </w:rPr>
        <w:t xml:space="preserve">of </w:t>
      </w:r>
      <w:r w:rsidR="003246BC" w:rsidRPr="00C8470E">
        <w:rPr>
          <w:rStyle w:val="CommentReference"/>
          <w:rFonts w:asciiTheme="minorHAnsi" w:hAnsiTheme="minorHAnsi"/>
          <w:sz w:val="22"/>
          <w:szCs w:val="22"/>
        </w:rPr>
        <w:t>and public comment on a comprehensive Impact Statement detailing these</w:t>
      </w:r>
      <w:r w:rsidR="00AE0483" w:rsidRPr="00C8470E">
        <w:rPr>
          <w:rStyle w:val="CommentReference"/>
          <w:rFonts w:asciiTheme="minorHAnsi" w:hAnsiTheme="minorHAnsi"/>
          <w:sz w:val="22"/>
          <w:szCs w:val="22"/>
        </w:rPr>
        <w:t xml:space="preserve"> outcomes</w:t>
      </w:r>
      <w:r w:rsidR="003246BC" w:rsidRPr="00C8470E">
        <w:rPr>
          <w:rStyle w:val="CommentReference"/>
          <w:rFonts w:asciiTheme="minorHAnsi" w:hAnsiTheme="minorHAnsi"/>
          <w:sz w:val="22"/>
          <w:szCs w:val="22"/>
        </w:rPr>
        <w:t>.</w:t>
      </w:r>
    </w:p>
    <w:p w14:paraId="1BDD65FF" w14:textId="7552C1CA" w:rsidR="00C80CC8" w:rsidRPr="00C8470E" w:rsidRDefault="003246BC" w:rsidP="000B0FB1">
      <w:r w:rsidRPr="00C8470E">
        <w:t xml:space="preserve">Reviewing </w:t>
      </w:r>
      <w:r w:rsidR="00C80CC8" w:rsidRPr="00C8470E">
        <w:t xml:space="preserve">particle standards </w:t>
      </w:r>
      <w:r w:rsidRPr="00C8470E">
        <w:t>was</w:t>
      </w:r>
      <w:r w:rsidR="00C80CC8" w:rsidRPr="00C8470E">
        <w:t xml:space="preserve"> prioritised first given the strong evidence associating particle exposure with adverse human health outcomes and that there is no clear threshold of particle pollution below which health effects do not occur.</w:t>
      </w:r>
    </w:p>
    <w:p w14:paraId="26EC5DF6" w14:textId="77777777" w:rsidR="00384DE1" w:rsidRDefault="00C80CC8" w:rsidP="000B0FB1">
      <w:r w:rsidRPr="00C8470E">
        <w:t>The review of the O</w:t>
      </w:r>
      <w:r w:rsidRPr="00C8470E">
        <w:rPr>
          <w:vertAlign w:val="subscript"/>
        </w:rPr>
        <w:t>3</w:t>
      </w:r>
      <w:r w:rsidRPr="00C8470E">
        <w:t>, NO</w:t>
      </w:r>
      <w:r w:rsidRPr="00C8470E">
        <w:rPr>
          <w:vertAlign w:val="subscript"/>
        </w:rPr>
        <w:t>2</w:t>
      </w:r>
      <w:r w:rsidRPr="00C8470E">
        <w:t xml:space="preserve"> and SO</w:t>
      </w:r>
      <w:r w:rsidRPr="00C8470E">
        <w:rPr>
          <w:vertAlign w:val="subscript"/>
        </w:rPr>
        <w:t>2</w:t>
      </w:r>
      <w:r w:rsidRPr="00C8470E">
        <w:t xml:space="preserve"> standards commenced </w:t>
      </w:r>
      <w:r w:rsidR="003246BC" w:rsidRPr="00C8470E">
        <w:t xml:space="preserve">immediately after the particle review was completed </w:t>
      </w:r>
      <w:r w:rsidRPr="00C8470E">
        <w:t>in early 2015</w:t>
      </w:r>
      <w:r w:rsidR="003246BC" w:rsidRPr="00C8470E">
        <w:t xml:space="preserve">. </w:t>
      </w:r>
    </w:p>
    <w:p w14:paraId="104BA225" w14:textId="6CBE8AEB" w:rsidR="00C80CC8" w:rsidRPr="00C8470E" w:rsidRDefault="00542BDF" w:rsidP="000B0FB1">
      <w:pPr>
        <w:pStyle w:val="Heading2"/>
      </w:pPr>
      <w:bookmarkStart w:id="36" w:name="_Toc9508352"/>
      <w:bookmarkStart w:id="37" w:name="_Toc9516926"/>
      <w:bookmarkStart w:id="38" w:name="_Toc9520946"/>
      <w:r w:rsidRPr="00C8470E">
        <w:t>Q9</w:t>
      </w:r>
      <w:r w:rsidR="00C80CC8" w:rsidRPr="00C8470E">
        <w:t>.</w:t>
      </w:r>
      <w:r w:rsidR="00C80CC8" w:rsidRPr="00C8470E">
        <w:tab/>
        <w:t>What is the purpose of the Impact Statement to vary the AAQ NEPM O</w:t>
      </w:r>
      <w:r w:rsidR="00C80CC8" w:rsidRPr="00C8470E">
        <w:rPr>
          <w:vertAlign w:val="subscript"/>
        </w:rPr>
        <w:t>3</w:t>
      </w:r>
      <w:r w:rsidR="00C80CC8" w:rsidRPr="00C8470E">
        <w:t>, NO</w:t>
      </w:r>
      <w:r w:rsidR="00C80CC8" w:rsidRPr="00C8470E">
        <w:rPr>
          <w:vertAlign w:val="subscript"/>
        </w:rPr>
        <w:t>2</w:t>
      </w:r>
      <w:r w:rsidR="00C80CC8" w:rsidRPr="00C8470E">
        <w:t xml:space="preserve"> and SO</w:t>
      </w:r>
      <w:r w:rsidR="00C80CC8" w:rsidRPr="00C8470E">
        <w:rPr>
          <w:vertAlign w:val="subscript"/>
        </w:rPr>
        <w:t>2</w:t>
      </w:r>
      <w:r w:rsidR="00C80CC8" w:rsidRPr="00C8470E">
        <w:t xml:space="preserve"> standards?</w:t>
      </w:r>
      <w:bookmarkEnd w:id="36"/>
      <w:bookmarkEnd w:id="37"/>
      <w:bookmarkEnd w:id="38"/>
      <w:r w:rsidR="00C80CC8" w:rsidRPr="00C8470E">
        <w:t xml:space="preserve"> </w:t>
      </w:r>
    </w:p>
    <w:p w14:paraId="40981CBD" w14:textId="5EFF17E0" w:rsidR="00C80CC8" w:rsidRPr="00C8470E" w:rsidRDefault="00C80CC8" w:rsidP="000B0FB1">
      <w:r w:rsidRPr="00C8470E">
        <w:t>The Impact Statement is required as part of the statutory process to vary a NEPM and provides an opportunity for the community to review and comment on the supporting evidence to vary the AAQ NEPM O</w:t>
      </w:r>
      <w:r w:rsidRPr="00C8470E">
        <w:rPr>
          <w:vertAlign w:val="subscript"/>
        </w:rPr>
        <w:t>3</w:t>
      </w:r>
      <w:r w:rsidRPr="00C8470E">
        <w:t>, NO</w:t>
      </w:r>
      <w:r w:rsidRPr="00C8470E">
        <w:rPr>
          <w:vertAlign w:val="subscript"/>
        </w:rPr>
        <w:t>2</w:t>
      </w:r>
      <w:r w:rsidRPr="00C8470E">
        <w:t xml:space="preserve"> and SO</w:t>
      </w:r>
      <w:r w:rsidRPr="00C8470E">
        <w:rPr>
          <w:vertAlign w:val="subscript"/>
        </w:rPr>
        <w:t>2</w:t>
      </w:r>
      <w:r w:rsidRPr="00C8470E">
        <w:t xml:space="preserve"> standards. It presents options for tighter national monitoring and reporting standards for these pollutants.</w:t>
      </w:r>
    </w:p>
    <w:p w14:paraId="26935A73" w14:textId="285F5821" w:rsidR="00C80CC8" w:rsidRPr="00C8470E" w:rsidRDefault="00C80CC8" w:rsidP="000B0FB1">
      <w:r w:rsidRPr="00C8470E">
        <w:t xml:space="preserve">Online submissions are preferred and can be made via: </w:t>
      </w:r>
      <w:hyperlink r:id="rId13" w:history="1">
        <w:r w:rsidR="00227C22" w:rsidRPr="009475D1">
          <w:rPr>
            <w:rStyle w:val="Hyperlink"/>
            <w:rFonts w:asciiTheme="minorHAnsi" w:hAnsiTheme="minorHAnsi"/>
            <w:sz w:val="22"/>
            <w:szCs w:val="22"/>
          </w:rPr>
          <w:t>nepc@environment.gov.au</w:t>
        </w:r>
      </w:hyperlink>
      <w:r w:rsidR="00227C22">
        <w:t xml:space="preserve"> </w:t>
      </w:r>
      <w:r w:rsidRPr="00C8470E">
        <w:t xml:space="preserve">  </w:t>
      </w:r>
    </w:p>
    <w:p w14:paraId="7E01B4CE" w14:textId="7B43DABE" w:rsidR="00C80CC8" w:rsidRPr="00C8470E" w:rsidRDefault="00C80CC8" w:rsidP="000B0FB1">
      <w:r w:rsidRPr="00C8470E">
        <w:t>Written submissions may also be sent to:</w:t>
      </w:r>
    </w:p>
    <w:p w14:paraId="22824A88" w14:textId="55E3B29F" w:rsidR="00C80CC8" w:rsidRPr="00C8470E" w:rsidRDefault="00880EDA" w:rsidP="00204B28">
      <w:pPr>
        <w:spacing w:before="0" w:after="0"/>
        <w:ind w:left="720"/>
      </w:pPr>
      <w:r w:rsidRPr="00C8470E">
        <w:t>Adam Carlon, NEPC Executive Officer</w:t>
      </w:r>
    </w:p>
    <w:p w14:paraId="7B721B72" w14:textId="77777777" w:rsidR="00C80CC8" w:rsidRPr="00C8470E" w:rsidRDefault="00C80CC8" w:rsidP="00204B28">
      <w:pPr>
        <w:spacing w:before="0" w:after="0"/>
        <w:ind w:left="720"/>
      </w:pPr>
      <w:r w:rsidRPr="00C8470E">
        <w:t>National Environment Protection Council</w:t>
      </w:r>
    </w:p>
    <w:p w14:paraId="6393CEA9" w14:textId="6A53886C" w:rsidR="00C80CC8" w:rsidRPr="00C8470E" w:rsidRDefault="00C80CC8" w:rsidP="00204B28">
      <w:pPr>
        <w:spacing w:before="0" w:after="0"/>
        <w:ind w:left="720"/>
      </w:pPr>
      <w:r w:rsidRPr="00C8470E">
        <w:t>Department of the Environment</w:t>
      </w:r>
      <w:r w:rsidR="00BF7264" w:rsidRPr="00C8470E">
        <w:t xml:space="preserve"> and Energy</w:t>
      </w:r>
    </w:p>
    <w:p w14:paraId="386C191D" w14:textId="77777777" w:rsidR="00C80CC8" w:rsidRPr="00C8470E" w:rsidRDefault="00C80CC8" w:rsidP="00204B28">
      <w:pPr>
        <w:spacing w:before="0" w:after="0"/>
        <w:ind w:left="720"/>
      </w:pPr>
      <w:r w:rsidRPr="00C8470E">
        <w:t>GPO Box 787</w:t>
      </w:r>
    </w:p>
    <w:p w14:paraId="260C40B5" w14:textId="77777777" w:rsidR="00C80CC8" w:rsidRPr="00C8470E" w:rsidRDefault="00C80CC8" w:rsidP="00204B28">
      <w:pPr>
        <w:spacing w:before="0"/>
        <w:ind w:left="720"/>
      </w:pPr>
      <w:r w:rsidRPr="00C8470E">
        <w:t>Canberra ACT 2601</w:t>
      </w:r>
    </w:p>
    <w:p w14:paraId="4EB530AD" w14:textId="18192934" w:rsidR="00DD320A" w:rsidRPr="00C8470E" w:rsidRDefault="00DD320A" w:rsidP="000B0FB1">
      <w:r w:rsidRPr="00C8470E">
        <w:t>The closing date for submissions is Wednesday 7 August 2019.</w:t>
      </w:r>
    </w:p>
    <w:p w14:paraId="0637B8E1" w14:textId="2C7C7A5E" w:rsidR="00384DE1" w:rsidRDefault="00C80CC8" w:rsidP="000B0FB1">
      <w:r w:rsidRPr="00C8470E">
        <w:t>The submissions will be considered when developing the final recommendation to NEPC to vary the AAQ NEPM. A summary of submissions will be prepared considering all responses</w:t>
      </w:r>
      <w:r w:rsidR="00AE0483" w:rsidRPr="00C8470E">
        <w:t xml:space="preserve"> and made available via the NEPC website</w:t>
      </w:r>
      <w:r w:rsidRPr="00C8470E">
        <w:t>.</w:t>
      </w:r>
      <w:r w:rsidR="00384DE1" w:rsidRPr="00384DE1">
        <w:t xml:space="preserve"> </w:t>
      </w:r>
    </w:p>
    <w:p w14:paraId="52D74635" w14:textId="77777777" w:rsidR="00C80CC8" w:rsidRPr="00C8470E" w:rsidRDefault="00C80CC8" w:rsidP="000B0FB1">
      <w:pPr>
        <w:pStyle w:val="Heading1"/>
      </w:pPr>
      <w:bookmarkStart w:id="39" w:name="_Toc9508353"/>
      <w:bookmarkStart w:id="40" w:name="_Toc9516927"/>
      <w:bookmarkStart w:id="41" w:name="_Toc9520947"/>
      <w:r w:rsidRPr="00C8470E">
        <w:t>O</w:t>
      </w:r>
      <w:r w:rsidRPr="00C8470E">
        <w:rPr>
          <w:vertAlign w:val="subscript"/>
        </w:rPr>
        <w:t>3</w:t>
      </w:r>
      <w:r w:rsidRPr="00C8470E">
        <w:t>, NO</w:t>
      </w:r>
      <w:r w:rsidRPr="00C8470E">
        <w:rPr>
          <w:vertAlign w:val="subscript"/>
        </w:rPr>
        <w:t>2</w:t>
      </w:r>
      <w:r w:rsidRPr="00C8470E">
        <w:t xml:space="preserve"> and SO</w:t>
      </w:r>
      <w:r w:rsidRPr="00C8470E">
        <w:rPr>
          <w:vertAlign w:val="subscript"/>
        </w:rPr>
        <w:t>2</w:t>
      </w:r>
      <w:r w:rsidRPr="00C8470E">
        <w:t xml:space="preserve"> standards</w:t>
      </w:r>
      <w:bookmarkEnd w:id="39"/>
      <w:bookmarkEnd w:id="40"/>
      <w:bookmarkEnd w:id="41"/>
    </w:p>
    <w:p w14:paraId="27AD32F3" w14:textId="64E44950" w:rsidR="00C80CC8" w:rsidRPr="00C8470E" w:rsidRDefault="00542BDF" w:rsidP="000B0FB1">
      <w:pPr>
        <w:pStyle w:val="Heading2"/>
      </w:pPr>
      <w:bookmarkStart w:id="42" w:name="_Toc9508354"/>
      <w:bookmarkStart w:id="43" w:name="_Toc9516928"/>
      <w:bookmarkStart w:id="44" w:name="_Toc9520948"/>
      <w:r w:rsidRPr="00C8470E">
        <w:t>Q10</w:t>
      </w:r>
      <w:r w:rsidR="00C80CC8" w:rsidRPr="00C8470E">
        <w:t>.</w:t>
      </w:r>
      <w:r w:rsidR="00C80CC8" w:rsidRPr="00C8470E">
        <w:tab/>
        <w:t>What does the Impact Statement propose for the O</w:t>
      </w:r>
      <w:r w:rsidR="00C80CC8" w:rsidRPr="00C8470E">
        <w:rPr>
          <w:vertAlign w:val="subscript"/>
        </w:rPr>
        <w:t>3</w:t>
      </w:r>
      <w:r w:rsidR="00C80CC8" w:rsidRPr="00C8470E">
        <w:t>, NO</w:t>
      </w:r>
      <w:r w:rsidR="00C80CC8" w:rsidRPr="00C8470E">
        <w:rPr>
          <w:vertAlign w:val="subscript"/>
        </w:rPr>
        <w:t>2</w:t>
      </w:r>
      <w:r w:rsidR="00C80CC8" w:rsidRPr="00C8470E">
        <w:t xml:space="preserve"> and SO</w:t>
      </w:r>
      <w:r w:rsidR="00C80CC8" w:rsidRPr="00C8470E">
        <w:rPr>
          <w:vertAlign w:val="subscript"/>
        </w:rPr>
        <w:t>2</w:t>
      </w:r>
      <w:r w:rsidR="00C80CC8" w:rsidRPr="00C8470E">
        <w:t xml:space="preserve"> standards?</w:t>
      </w:r>
      <w:bookmarkEnd w:id="42"/>
      <w:bookmarkEnd w:id="43"/>
      <w:bookmarkEnd w:id="44"/>
      <w:r w:rsidR="00C80CC8" w:rsidRPr="00C8470E" w:rsidDel="00BE3A2D">
        <w:t xml:space="preserve"> </w:t>
      </w:r>
    </w:p>
    <w:p w14:paraId="3A8869FF" w14:textId="1E129D66" w:rsidR="00C80CC8" w:rsidRPr="00C8470E" w:rsidRDefault="00C80CC8" w:rsidP="000B0FB1">
      <w:r w:rsidRPr="00C8470E">
        <w:t xml:space="preserve">The Impact Statement outlines, for </w:t>
      </w:r>
      <w:r w:rsidR="003246BC" w:rsidRPr="00C8470E">
        <w:t xml:space="preserve">public </w:t>
      </w:r>
      <w:r w:rsidRPr="00C8470E">
        <w:t>consideration, options for changes to the AAQ NEPM. The major proposed changes relate to:</w:t>
      </w:r>
    </w:p>
    <w:p w14:paraId="1E572DB0" w14:textId="54ECF673" w:rsidR="00C80CC8" w:rsidRPr="00204B28" w:rsidRDefault="00C80CC8" w:rsidP="00204B28">
      <w:pPr>
        <w:pStyle w:val="ListParagraph"/>
        <w:numPr>
          <w:ilvl w:val="0"/>
          <w:numId w:val="5"/>
        </w:numPr>
        <w:spacing w:before="0" w:after="200" w:line="293" w:lineRule="atLeast"/>
        <w:contextualSpacing/>
        <w:rPr>
          <w:rFonts w:ascii="Myriad Pro" w:eastAsia="Times New Roman" w:hAnsi="Myriad Pro"/>
          <w:sz w:val="20"/>
          <w:szCs w:val="20"/>
        </w:rPr>
      </w:pPr>
      <w:r w:rsidRPr="00204B28">
        <w:rPr>
          <w:rFonts w:ascii="Myriad Pro" w:eastAsia="Times New Roman" w:hAnsi="Myriad Pro"/>
          <w:sz w:val="20"/>
          <w:szCs w:val="20"/>
        </w:rPr>
        <w:t>Modernising the outcome and goal of the AAQ NEPM</w:t>
      </w:r>
      <w:r w:rsidR="00227C22" w:rsidRPr="00204B28">
        <w:rPr>
          <w:rFonts w:ascii="Myriad Pro" w:eastAsia="Times New Roman" w:hAnsi="Myriad Pro"/>
          <w:sz w:val="20"/>
          <w:szCs w:val="20"/>
        </w:rPr>
        <w:t>;</w:t>
      </w:r>
    </w:p>
    <w:p w14:paraId="11806872" w14:textId="4C32B4F5" w:rsidR="00C80CC8" w:rsidRPr="00204B28" w:rsidRDefault="00C80CC8" w:rsidP="00204B28">
      <w:pPr>
        <w:pStyle w:val="ListParagraph"/>
        <w:numPr>
          <w:ilvl w:val="0"/>
          <w:numId w:val="5"/>
        </w:numPr>
        <w:spacing w:before="0" w:after="200" w:line="293" w:lineRule="atLeast"/>
        <w:contextualSpacing/>
        <w:rPr>
          <w:rFonts w:ascii="Myriad Pro" w:eastAsia="Times New Roman" w:hAnsi="Myriad Pro"/>
          <w:sz w:val="20"/>
          <w:szCs w:val="20"/>
        </w:rPr>
      </w:pPr>
      <w:r w:rsidRPr="00204B28">
        <w:rPr>
          <w:rFonts w:ascii="Myriad Pro" w:eastAsia="Times New Roman" w:hAnsi="Myriad Pro"/>
          <w:sz w:val="20"/>
          <w:szCs w:val="20"/>
        </w:rPr>
        <w:t>Introducing an O3 8-hour standard and strengthening four NO2 and SO2 standards; now, and again in 2025 for three of the</w:t>
      </w:r>
      <w:r w:rsidR="00AE0483" w:rsidRPr="00204B28">
        <w:rPr>
          <w:rFonts w:ascii="Myriad Pro" w:eastAsia="Times New Roman" w:hAnsi="Myriad Pro"/>
          <w:sz w:val="20"/>
          <w:szCs w:val="20"/>
        </w:rPr>
        <w:t xml:space="preserve"> standards</w:t>
      </w:r>
      <w:r w:rsidR="00227C22" w:rsidRPr="00204B28">
        <w:rPr>
          <w:rFonts w:ascii="Myriad Pro" w:eastAsia="Times New Roman" w:hAnsi="Myriad Pro"/>
          <w:sz w:val="20"/>
          <w:szCs w:val="20"/>
        </w:rPr>
        <w:t>;</w:t>
      </w:r>
      <w:r w:rsidRPr="00204B28">
        <w:rPr>
          <w:rFonts w:ascii="Myriad Pro" w:eastAsia="Times New Roman" w:hAnsi="Myriad Pro"/>
          <w:sz w:val="20"/>
          <w:szCs w:val="20"/>
        </w:rPr>
        <w:t xml:space="preserve"> </w:t>
      </w:r>
    </w:p>
    <w:p w14:paraId="0633970A" w14:textId="5E2EA4DE" w:rsidR="00C80CC8" w:rsidRPr="00204B28" w:rsidRDefault="00C80CC8" w:rsidP="00204B28">
      <w:pPr>
        <w:pStyle w:val="ListParagraph"/>
        <w:numPr>
          <w:ilvl w:val="0"/>
          <w:numId w:val="5"/>
        </w:numPr>
        <w:spacing w:before="0" w:after="200" w:line="293" w:lineRule="atLeast"/>
        <w:contextualSpacing/>
        <w:rPr>
          <w:rFonts w:ascii="Myriad Pro" w:eastAsia="Times New Roman" w:hAnsi="Myriad Pro"/>
          <w:sz w:val="20"/>
          <w:szCs w:val="20"/>
        </w:rPr>
      </w:pPr>
      <w:r w:rsidRPr="00204B28">
        <w:rPr>
          <w:rFonts w:ascii="Myriad Pro" w:eastAsia="Times New Roman" w:hAnsi="Myriad Pro"/>
          <w:sz w:val="20"/>
          <w:szCs w:val="20"/>
        </w:rPr>
        <w:t xml:space="preserve">Removing three existing standards, which are not </w:t>
      </w:r>
      <w:r w:rsidR="008C16A1" w:rsidRPr="00204B28">
        <w:rPr>
          <w:rFonts w:ascii="Myriad Pro" w:eastAsia="Times New Roman" w:hAnsi="Myriad Pro"/>
          <w:sz w:val="20"/>
          <w:szCs w:val="20"/>
        </w:rPr>
        <w:t xml:space="preserve">necessary </w:t>
      </w:r>
      <w:r w:rsidRPr="00204B28">
        <w:rPr>
          <w:rFonts w:ascii="Myriad Pro" w:eastAsia="Times New Roman" w:hAnsi="Myriad Pro"/>
          <w:sz w:val="20"/>
          <w:szCs w:val="20"/>
        </w:rPr>
        <w:t xml:space="preserve">to </w:t>
      </w:r>
      <w:r w:rsidR="008C16A1" w:rsidRPr="00204B28">
        <w:rPr>
          <w:rFonts w:ascii="Myriad Pro" w:eastAsia="Times New Roman" w:hAnsi="Myriad Pro"/>
          <w:sz w:val="20"/>
          <w:szCs w:val="20"/>
        </w:rPr>
        <w:t xml:space="preserve">adequately </w:t>
      </w:r>
      <w:r w:rsidRPr="00204B28">
        <w:rPr>
          <w:rFonts w:ascii="Myriad Pro" w:eastAsia="Times New Roman" w:hAnsi="Myriad Pro"/>
          <w:sz w:val="20"/>
          <w:szCs w:val="20"/>
        </w:rPr>
        <w:t>protect human health</w:t>
      </w:r>
      <w:r w:rsidR="00227C22" w:rsidRPr="00204B28">
        <w:rPr>
          <w:rFonts w:ascii="Myriad Pro" w:eastAsia="Times New Roman" w:hAnsi="Myriad Pro"/>
          <w:sz w:val="20"/>
          <w:szCs w:val="20"/>
        </w:rPr>
        <w:t>;</w:t>
      </w:r>
    </w:p>
    <w:p w14:paraId="043601E6" w14:textId="1D33CA86" w:rsidR="00C80CC8" w:rsidRPr="00204B28" w:rsidRDefault="00C80CC8" w:rsidP="00204B28">
      <w:pPr>
        <w:pStyle w:val="ListParagraph"/>
        <w:numPr>
          <w:ilvl w:val="0"/>
          <w:numId w:val="5"/>
        </w:numPr>
        <w:spacing w:before="0" w:after="200" w:line="293" w:lineRule="atLeast"/>
        <w:contextualSpacing/>
        <w:rPr>
          <w:rFonts w:ascii="Myriad Pro" w:eastAsia="Times New Roman" w:hAnsi="Myriad Pro"/>
          <w:sz w:val="20"/>
          <w:szCs w:val="20"/>
        </w:rPr>
      </w:pPr>
      <w:r w:rsidRPr="00204B28">
        <w:rPr>
          <w:rFonts w:ascii="Myriad Pro" w:eastAsia="Times New Roman" w:hAnsi="Myriad Pro"/>
          <w:sz w:val="20"/>
          <w:szCs w:val="20"/>
        </w:rPr>
        <w:t>Introducing an exposure reduction framework for NO2 and ozone to drive reduc</w:t>
      </w:r>
      <w:r w:rsidR="008C16A1" w:rsidRPr="00204B28">
        <w:rPr>
          <w:rFonts w:ascii="Myriad Pro" w:eastAsia="Times New Roman" w:hAnsi="Myriad Pro"/>
          <w:sz w:val="20"/>
          <w:szCs w:val="20"/>
        </w:rPr>
        <w:t>tions in</w:t>
      </w:r>
      <w:r w:rsidRPr="00204B28">
        <w:rPr>
          <w:rFonts w:ascii="Myriad Pro" w:eastAsia="Times New Roman" w:hAnsi="Myriad Pro"/>
          <w:sz w:val="20"/>
          <w:szCs w:val="20"/>
        </w:rPr>
        <w:t xml:space="preserve"> popu</w:t>
      </w:r>
      <w:r w:rsidR="00227C22" w:rsidRPr="00204B28">
        <w:rPr>
          <w:rFonts w:ascii="Myriad Pro" w:eastAsia="Times New Roman" w:hAnsi="Myriad Pro"/>
          <w:sz w:val="20"/>
          <w:szCs w:val="20"/>
        </w:rPr>
        <w:t>lation exposure and health risk;</w:t>
      </w:r>
      <w:r w:rsidRPr="00204B28">
        <w:rPr>
          <w:rFonts w:ascii="Myriad Pro" w:eastAsia="Times New Roman" w:hAnsi="Myriad Pro"/>
          <w:sz w:val="20"/>
          <w:szCs w:val="20"/>
        </w:rPr>
        <w:t xml:space="preserve"> and </w:t>
      </w:r>
    </w:p>
    <w:p w14:paraId="26F38EED" w14:textId="66ED2C1A" w:rsidR="00C80CC8" w:rsidRPr="00204B28" w:rsidRDefault="00C80CC8" w:rsidP="00204B28">
      <w:pPr>
        <w:pStyle w:val="ListParagraph"/>
        <w:numPr>
          <w:ilvl w:val="0"/>
          <w:numId w:val="5"/>
        </w:numPr>
        <w:spacing w:before="0" w:after="200" w:line="293" w:lineRule="atLeast"/>
        <w:contextualSpacing/>
        <w:rPr>
          <w:rFonts w:ascii="Myriad Pro" w:eastAsia="Times New Roman" w:hAnsi="Myriad Pro"/>
          <w:sz w:val="20"/>
          <w:szCs w:val="20"/>
        </w:rPr>
      </w:pPr>
      <w:r w:rsidRPr="00204B28">
        <w:rPr>
          <w:rFonts w:ascii="Myriad Pro" w:eastAsia="Times New Roman" w:hAnsi="Myriad Pro"/>
          <w:sz w:val="20"/>
          <w:szCs w:val="20"/>
        </w:rPr>
        <w:t>an exceptional events rule for O3 to reflect its production in bushfires</w:t>
      </w:r>
      <w:r w:rsidR="00227C22" w:rsidRPr="00204B28">
        <w:rPr>
          <w:rFonts w:ascii="Myriad Pro" w:eastAsia="Times New Roman" w:hAnsi="Myriad Pro"/>
          <w:sz w:val="20"/>
          <w:szCs w:val="20"/>
        </w:rPr>
        <w:t>.</w:t>
      </w:r>
    </w:p>
    <w:p w14:paraId="57522EF7" w14:textId="3A250FF9" w:rsidR="00155061" w:rsidRPr="00C8470E" w:rsidRDefault="00C80CC8" w:rsidP="000B0FB1">
      <w:r w:rsidRPr="00C8470E">
        <w:t xml:space="preserve">The recommended standards have been identified by considering health impacts, other leading international standards including WHO, the achievability of the standards, any regional differences and </w:t>
      </w:r>
      <w:r w:rsidR="008C16A1" w:rsidRPr="00C8470E">
        <w:t xml:space="preserve">economic and </w:t>
      </w:r>
      <w:r w:rsidRPr="00C8470E">
        <w:t>societal costs and ben</w:t>
      </w:r>
      <w:r w:rsidR="00204B28">
        <w:t>efits of meeting the standards</w:t>
      </w:r>
      <w:r w:rsidR="00155061">
        <w:t>.</w:t>
      </w:r>
    </w:p>
    <w:p w14:paraId="0FAEFB2E" w14:textId="77777777" w:rsidR="00C80CC8" w:rsidRPr="00204B28" w:rsidRDefault="00C80CC8" w:rsidP="00204B28">
      <w:pPr>
        <w:spacing w:before="0"/>
        <w:rPr>
          <w:b/>
        </w:rPr>
      </w:pPr>
      <w:r w:rsidRPr="00204B28">
        <w:rPr>
          <w:b/>
        </w:rPr>
        <w:t>Summary of recommendations</w:t>
      </w:r>
    </w:p>
    <w:tbl>
      <w:tblPr>
        <w:tblStyle w:val="GridTable2-Accent3"/>
        <w:tblW w:w="5000" w:type="pct"/>
        <w:tblLook w:val="00A0" w:firstRow="1" w:lastRow="0" w:firstColumn="1" w:lastColumn="0" w:noHBand="0" w:noVBand="0"/>
      </w:tblPr>
      <w:tblGrid>
        <w:gridCol w:w="1686"/>
        <w:gridCol w:w="1785"/>
        <w:gridCol w:w="1210"/>
        <w:gridCol w:w="1166"/>
        <w:gridCol w:w="1714"/>
        <w:gridCol w:w="1515"/>
        <w:gridCol w:w="1390"/>
      </w:tblGrid>
      <w:tr w:rsidR="009D4D53" w:rsidRPr="00227C22" w14:paraId="53F3BC98" w14:textId="77777777" w:rsidTr="009D4D53">
        <w:trPr>
          <w:cnfStyle w:val="100000000000" w:firstRow="1" w:lastRow="0" w:firstColumn="0" w:lastColumn="0" w:oddVBand="0" w:evenVBand="0" w:oddHBand="0"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805" w:type="pct"/>
            <w:shd w:val="clear" w:color="auto" w:fill="BFBFBF" w:themeFill="background1" w:themeFillShade="BF"/>
          </w:tcPr>
          <w:p w14:paraId="46E6CFCE" w14:textId="77777777" w:rsidR="00C80CC8" w:rsidRPr="00227C22" w:rsidRDefault="00C80CC8" w:rsidP="000B0FB1">
            <w:pPr>
              <w:rPr>
                <w:b w:val="0"/>
              </w:rPr>
            </w:pPr>
            <w:r w:rsidRPr="00227C22">
              <w:t>Aspect</w:t>
            </w:r>
          </w:p>
        </w:tc>
        <w:tc>
          <w:tcPr>
            <w:cnfStyle w:val="000010000000" w:firstRow="0" w:lastRow="0" w:firstColumn="0" w:lastColumn="0" w:oddVBand="1" w:evenVBand="0" w:oddHBand="0" w:evenHBand="0" w:firstRowFirstColumn="0" w:firstRowLastColumn="0" w:lastRowFirstColumn="0" w:lastRowLastColumn="0"/>
            <w:tcW w:w="853" w:type="pct"/>
            <w:shd w:val="clear" w:color="auto" w:fill="BFBFBF" w:themeFill="background1" w:themeFillShade="BF"/>
          </w:tcPr>
          <w:p w14:paraId="1FBEDF3D" w14:textId="77777777" w:rsidR="00C80CC8" w:rsidRPr="00227C22" w:rsidRDefault="00C80CC8" w:rsidP="000B0FB1">
            <w:pPr>
              <w:rPr>
                <w:b w:val="0"/>
              </w:rPr>
            </w:pPr>
            <w:r w:rsidRPr="00227C22">
              <w:t>Metric</w:t>
            </w:r>
          </w:p>
        </w:tc>
        <w:tc>
          <w:tcPr>
            <w:tcW w:w="578" w:type="pct"/>
            <w:shd w:val="clear" w:color="auto" w:fill="BFBFBF" w:themeFill="background1" w:themeFillShade="BF"/>
          </w:tcPr>
          <w:p w14:paraId="7886F2FC" w14:textId="77777777" w:rsidR="00C80CC8" w:rsidRPr="00227C22" w:rsidRDefault="00C80CC8" w:rsidP="000B0FB1">
            <w:pPr>
              <w:cnfStyle w:val="100000000000" w:firstRow="1" w:lastRow="0" w:firstColumn="0" w:lastColumn="0" w:oddVBand="0" w:evenVBand="0" w:oddHBand="0" w:evenHBand="0" w:firstRowFirstColumn="0" w:firstRowLastColumn="0" w:lastRowFirstColumn="0" w:lastRowLastColumn="0"/>
              <w:rPr>
                <w:b w:val="0"/>
              </w:rPr>
            </w:pPr>
            <w:r w:rsidRPr="00227C22">
              <w:t>To be included in AAQ NEPM?</w:t>
            </w:r>
          </w:p>
        </w:tc>
        <w:tc>
          <w:tcPr>
            <w:cnfStyle w:val="000010000000" w:firstRow="0" w:lastRow="0" w:firstColumn="0" w:lastColumn="0" w:oddVBand="1" w:evenVBand="0" w:oddHBand="0" w:evenHBand="0" w:firstRowFirstColumn="0" w:firstRowLastColumn="0" w:lastRowFirstColumn="0" w:lastRowLastColumn="0"/>
            <w:tcW w:w="557" w:type="pct"/>
            <w:shd w:val="clear" w:color="auto" w:fill="BFBFBF" w:themeFill="background1" w:themeFillShade="BF"/>
          </w:tcPr>
          <w:p w14:paraId="6C24A6DA" w14:textId="77777777" w:rsidR="00C80CC8" w:rsidRPr="00227C22" w:rsidRDefault="00C80CC8" w:rsidP="000B0FB1">
            <w:pPr>
              <w:rPr>
                <w:b w:val="0"/>
              </w:rPr>
            </w:pPr>
            <w:r w:rsidRPr="00227C22">
              <w:t>Current numerical value</w:t>
            </w:r>
          </w:p>
        </w:tc>
        <w:tc>
          <w:tcPr>
            <w:tcW w:w="819" w:type="pct"/>
            <w:shd w:val="clear" w:color="auto" w:fill="BFBFBF" w:themeFill="background1" w:themeFillShade="BF"/>
          </w:tcPr>
          <w:p w14:paraId="5521FC65" w14:textId="77777777" w:rsidR="00C80CC8" w:rsidRPr="00227C22" w:rsidRDefault="00C80CC8" w:rsidP="000B0FB1">
            <w:pPr>
              <w:cnfStyle w:val="100000000000" w:firstRow="1" w:lastRow="0" w:firstColumn="0" w:lastColumn="0" w:oddVBand="0" w:evenVBand="0" w:oddHBand="0" w:evenHBand="0" w:firstRowFirstColumn="0" w:firstRowLastColumn="0" w:lastRowFirstColumn="0" w:lastRowLastColumn="0"/>
              <w:rPr>
                <w:b w:val="0"/>
              </w:rPr>
            </w:pPr>
            <w:r w:rsidRPr="00227C22">
              <w:t>Numerical value commencement of varied NEPM</w:t>
            </w:r>
          </w:p>
        </w:tc>
        <w:tc>
          <w:tcPr>
            <w:cnfStyle w:val="000010000000" w:firstRow="0" w:lastRow="0" w:firstColumn="0" w:lastColumn="0" w:oddVBand="1" w:evenVBand="0" w:oddHBand="0" w:evenHBand="0" w:firstRowFirstColumn="0" w:firstRowLastColumn="0" w:lastRowFirstColumn="0" w:lastRowLastColumn="0"/>
            <w:tcW w:w="724" w:type="pct"/>
            <w:shd w:val="clear" w:color="auto" w:fill="BFBFBF" w:themeFill="background1" w:themeFillShade="BF"/>
          </w:tcPr>
          <w:p w14:paraId="13DC8AA2" w14:textId="77777777" w:rsidR="00C80CC8" w:rsidRPr="00227C22" w:rsidRDefault="00C80CC8" w:rsidP="000B0FB1">
            <w:pPr>
              <w:rPr>
                <w:b w:val="0"/>
              </w:rPr>
            </w:pPr>
            <w:r w:rsidRPr="00227C22">
              <w:t>Future standard by 2025</w:t>
            </w:r>
          </w:p>
        </w:tc>
        <w:tc>
          <w:tcPr>
            <w:tcW w:w="664" w:type="pct"/>
            <w:shd w:val="clear" w:color="auto" w:fill="BFBFBF" w:themeFill="background1" w:themeFillShade="BF"/>
          </w:tcPr>
          <w:p w14:paraId="0EBF1776" w14:textId="77777777" w:rsidR="00C80CC8" w:rsidRPr="00227C22" w:rsidRDefault="00C80CC8" w:rsidP="000B0FB1">
            <w:pPr>
              <w:cnfStyle w:val="100000000000" w:firstRow="1" w:lastRow="0" w:firstColumn="0" w:lastColumn="0" w:oddVBand="0" w:evenVBand="0" w:oddHBand="0" w:evenHBand="0" w:firstRowFirstColumn="0" w:firstRowLastColumn="0" w:lastRowFirstColumn="0" w:lastRowLastColumn="0"/>
              <w:rPr>
                <w:b w:val="0"/>
              </w:rPr>
            </w:pPr>
            <w:r w:rsidRPr="00227C22">
              <w:t>Form of standard</w:t>
            </w:r>
          </w:p>
        </w:tc>
      </w:tr>
      <w:tr w:rsidR="009D4D53" w:rsidRPr="00227C22" w14:paraId="6D5A6EFD" w14:textId="77777777" w:rsidTr="009D4D53">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805" w:type="pct"/>
            <w:vMerge w:val="restart"/>
          </w:tcPr>
          <w:p w14:paraId="4896EBEF" w14:textId="77777777" w:rsidR="009D4D53" w:rsidRPr="00227C22" w:rsidRDefault="009D4D53" w:rsidP="009D4D53">
            <w:r w:rsidRPr="00227C22">
              <w:t>Air quality standards</w:t>
            </w:r>
          </w:p>
        </w:tc>
        <w:tc>
          <w:tcPr>
            <w:cnfStyle w:val="000010000000" w:firstRow="0" w:lastRow="0" w:firstColumn="0" w:lastColumn="0" w:oddVBand="1" w:evenVBand="0" w:oddHBand="0" w:evenHBand="0" w:firstRowFirstColumn="0" w:firstRowLastColumn="0" w:lastRowFirstColumn="0" w:lastRowLastColumn="0"/>
            <w:tcW w:w="853" w:type="pct"/>
          </w:tcPr>
          <w:p w14:paraId="60E60C0F" w14:textId="77777777" w:rsidR="009D4D53" w:rsidRPr="00227C22" w:rsidRDefault="009D4D53" w:rsidP="009D4D53">
            <w:r w:rsidRPr="00227C22">
              <w:t>SO</w:t>
            </w:r>
            <w:r w:rsidRPr="00227C22">
              <w:rPr>
                <w:vertAlign w:val="subscript"/>
              </w:rPr>
              <w:t>2</w:t>
            </w:r>
            <w:r w:rsidRPr="00227C22">
              <w:t xml:space="preserve"> – 10 minute</w:t>
            </w:r>
          </w:p>
        </w:tc>
        <w:tc>
          <w:tcPr>
            <w:tcW w:w="578" w:type="pct"/>
          </w:tcPr>
          <w:p w14:paraId="74698C4A" w14:textId="77777777" w:rsidR="009D4D53" w:rsidRPr="00227C22" w:rsidRDefault="009D4D53" w:rsidP="009D4D53">
            <w:pPr>
              <w:cnfStyle w:val="000000100000" w:firstRow="0" w:lastRow="0" w:firstColumn="0" w:lastColumn="0" w:oddVBand="0" w:evenVBand="0" w:oddHBand="1" w:evenHBand="0" w:firstRowFirstColumn="0" w:firstRowLastColumn="0" w:lastRowFirstColumn="0" w:lastRowLastColumn="0"/>
            </w:pPr>
            <w:r w:rsidRPr="00227C22">
              <w:t>No</w:t>
            </w:r>
          </w:p>
        </w:tc>
        <w:tc>
          <w:tcPr>
            <w:cnfStyle w:val="000010000000" w:firstRow="0" w:lastRow="0" w:firstColumn="0" w:lastColumn="0" w:oddVBand="1" w:evenVBand="0" w:oddHBand="0" w:evenHBand="0" w:firstRowFirstColumn="0" w:firstRowLastColumn="0" w:lastRowFirstColumn="0" w:lastRowLastColumn="0"/>
            <w:tcW w:w="557" w:type="pct"/>
          </w:tcPr>
          <w:p w14:paraId="1037E1DB" w14:textId="1CE78A6D" w:rsidR="009D4D53" w:rsidRPr="00227C22" w:rsidRDefault="009D4D53" w:rsidP="009D4D53">
            <w:r w:rsidRPr="006D3659">
              <w:rPr>
                <w:rFonts w:cs="Times New Roman"/>
                <w:sz w:val="16"/>
                <w:szCs w:val="16"/>
              </w:rPr>
              <w:t>–</w:t>
            </w:r>
          </w:p>
        </w:tc>
        <w:tc>
          <w:tcPr>
            <w:tcW w:w="819" w:type="pct"/>
          </w:tcPr>
          <w:p w14:paraId="4AE0427C" w14:textId="6122D595" w:rsidR="009D4D53" w:rsidRPr="00227C22" w:rsidRDefault="009D4D53" w:rsidP="009D4D53">
            <w:pPr>
              <w:cnfStyle w:val="000000100000" w:firstRow="0" w:lastRow="0" w:firstColumn="0" w:lastColumn="0" w:oddVBand="0" w:evenVBand="0" w:oddHBand="1" w:evenHBand="0" w:firstRowFirstColumn="0" w:firstRowLastColumn="0" w:lastRowFirstColumn="0" w:lastRowLastColumn="0"/>
            </w:pPr>
            <w:r w:rsidRPr="006D3659">
              <w:rPr>
                <w:rFonts w:cs="Times New Roman"/>
                <w:sz w:val="16"/>
                <w:szCs w:val="16"/>
              </w:rPr>
              <w:t>–</w:t>
            </w:r>
          </w:p>
        </w:tc>
        <w:tc>
          <w:tcPr>
            <w:cnfStyle w:val="000010000000" w:firstRow="0" w:lastRow="0" w:firstColumn="0" w:lastColumn="0" w:oddVBand="1" w:evenVBand="0" w:oddHBand="0" w:evenHBand="0" w:firstRowFirstColumn="0" w:firstRowLastColumn="0" w:lastRowFirstColumn="0" w:lastRowLastColumn="0"/>
            <w:tcW w:w="724" w:type="pct"/>
          </w:tcPr>
          <w:p w14:paraId="1863642B" w14:textId="1AE1DC7C" w:rsidR="009D4D53" w:rsidRPr="00227C22" w:rsidRDefault="009D4D53" w:rsidP="009D4D53">
            <w:r w:rsidRPr="006D3659">
              <w:rPr>
                <w:rFonts w:cs="Times New Roman"/>
                <w:sz w:val="16"/>
                <w:szCs w:val="16"/>
              </w:rPr>
              <w:t>–</w:t>
            </w:r>
          </w:p>
        </w:tc>
        <w:tc>
          <w:tcPr>
            <w:tcW w:w="664" w:type="pct"/>
          </w:tcPr>
          <w:p w14:paraId="38068649" w14:textId="1D22D9FC" w:rsidR="009D4D53" w:rsidRPr="00227C22" w:rsidRDefault="009D4D53" w:rsidP="009D4D53">
            <w:pPr>
              <w:cnfStyle w:val="000000100000" w:firstRow="0" w:lastRow="0" w:firstColumn="0" w:lastColumn="0" w:oddVBand="0" w:evenVBand="0" w:oddHBand="1" w:evenHBand="0" w:firstRowFirstColumn="0" w:firstRowLastColumn="0" w:lastRowFirstColumn="0" w:lastRowLastColumn="0"/>
            </w:pPr>
            <w:r w:rsidRPr="006D3659">
              <w:rPr>
                <w:rFonts w:cs="Times New Roman"/>
                <w:sz w:val="16"/>
                <w:szCs w:val="16"/>
              </w:rPr>
              <w:t>–</w:t>
            </w:r>
          </w:p>
        </w:tc>
      </w:tr>
      <w:tr w:rsidR="00C80CC8" w:rsidRPr="00227C22" w14:paraId="1B32A1B6" w14:textId="77777777" w:rsidTr="009D4D53">
        <w:trPr>
          <w:cantSplit/>
          <w:trHeight w:val="397"/>
        </w:trPr>
        <w:tc>
          <w:tcPr>
            <w:cnfStyle w:val="001000000000" w:firstRow="0" w:lastRow="0" w:firstColumn="1" w:lastColumn="0" w:oddVBand="0" w:evenVBand="0" w:oddHBand="0" w:evenHBand="0" w:firstRowFirstColumn="0" w:firstRowLastColumn="0" w:lastRowFirstColumn="0" w:lastRowLastColumn="0"/>
            <w:tcW w:w="805" w:type="pct"/>
            <w:vMerge/>
          </w:tcPr>
          <w:p w14:paraId="4160E342" w14:textId="77777777" w:rsidR="00C80CC8" w:rsidRPr="00227C22" w:rsidRDefault="00C80CC8" w:rsidP="000B0FB1"/>
        </w:tc>
        <w:tc>
          <w:tcPr>
            <w:cnfStyle w:val="000010000000" w:firstRow="0" w:lastRow="0" w:firstColumn="0" w:lastColumn="0" w:oddVBand="1" w:evenVBand="0" w:oddHBand="0" w:evenHBand="0" w:firstRowFirstColumn="0" w:firstRowLastColumn="0" w:lastRowFirstColumn="0" w:lastRowLastColumn="0"/>
            <w:tcW w:w="853" w:type="pct"/>
            <w:shd w:val="clear" w:color="auto" w:fill="auto"/>
          </w:tcPr>
          <w:p w14:paraId="3CFB44DA" w14:textId="77777777" w:rsidR="00C80CC8" w:rsidRPr="00227C22" w:rsidRDefault="00C80CC8" w:rsidP="000B0FB1">
            <w:r w:rsidRPr="00227C22">
              <w:t>SO</w:t>
            </w:r>
            <w:r w:rsidRPr="00227C22">
              <w:rPr>
                <w:vertAlign w:val="subscript"/>
              </w:rPr>
              <w:t>2</w:t>
            </w:r>
            <w:r w:rsidRPr="00227C22">
              <w:t xml:space="preserve"> – I hour</w:t>
            </w:r>
          </w:p>
        </w:tc>
        <w:tc>
          <w:tcPr>
            <w:tcW w:w="578" w:type="pct"/>
            <w:shd w:val="clear" w:color="auto" w:fill="auto"/>
          </w:tcPr>
          <w:p w14:paraId="0E8D2BED" w14:textId="77777777" w:rsidR="00C80CC8" w:rsidRPr="00227C22" w:rsidRDefault="00C80CC8" w:rsidP="000B0FB1">
            <w:pPr>
              <w:cnfStyle w:val="000000000000" w:firstRow="0" w:lastRow="0" w:firstColumn="0" w:lastColumn="0" w:oddVBand="0" w:evenVBand="0" w:oddHBand="0" w:evenHBand="0" w:firstRowFirstColumn="0" w:firstRowLastColumn="0" w:lastRowFirstColumn="0" w:lastRowLastColumn="0"/>
            </w:pPr>
            <w:r w:rsidRPr="00227C22">
              <w:t>Yes</w:t>
            </w:r>
          </w:p>
        </w:tc>
        <w:tc>
          <w:tcPr>
            <w:cnfStyle w:val="000010000000" w:firstRow="0" w:lastRow="0" w:firstColumn="0" w:lastColumn="0" w:oddVBand="1" w:evenVBand="0" w:oddHBand="0" w:evenHBand="0" w:firstRowFirstColumn="0" w:firstRowLastColumn="0" w:lastRowFirstColumn="0" w:lastRowLastColumn="0"/>
            <w:tcW w:w="557" w:type="pct"/>
            <w:shd w:val="clear" w:color="auto" w:fill="auto"/>
          </w:tcPr>
          <w:p w14:paraId="58DAD692" w14:textId="77777777" w:rsidR="00C80CC8" w:rsidRPr="00227C22" w:rsidRDefault="00C80CC8" w:rsidP="000B0FB1">
            <w:r w:rsidRPr="00227C22">
              <w:t>200ppb</w:t>
            </w:r>
          </w:p>
        </w:tc>
        <w:tc>
          <w:tcPr>
            <w:tcW w:w="819" w:type="pct"/>
            <w:shd w:val="clear" w:color="auto" w:fill="auto"/>
          </w:tcPr>
          <w:p w14:paraId="5E669713" w14:textId="77777777" w:rsidR="00C80CC8" w:rsidRPr="00227C22" w:rsidRDefault="00C80CC8" w:rsidP="000B0FB1">
            <w:pPr>
              <w:cnfStyle w:val="000000000000" w:firstRow="0" w:lastRow="0" w:firstColumn="0" w:lastColumn="0" w:oddVBand="0" w:evenVBand="0" w:oddHBand="0" w:evenHBand="0" w:firstRowFirstColumn="0" w:firstRowLastColumn="0" w:lastRowFirstColumn="0" w:lastRowLastColumn="0"/>
            </w:pPr>
            <w:r w:rsidRPr="00227C22">
              <w:t>100ppb</w:t>
            </w:r>
          </w:p>
        </w:tc>
        <w:tc>
          <w:tcPr>
            <w:cnfStyle w:val="000010000000" w:firstRow="0" w:lastRow="0" w:firstColumn="0" w:lastColumn="0" w:oddVBand="1" w:evenVBand="0" w:oddHBand="0" w:evenHBand="0" w:firstRowFirstColumn="0" w:firstRowLastColumn="0" w:lastRowFirstColumn="0" w:lastRowLastColumn="0"/>
            <w:tcW w:w="724" w:type="pct"/>
            <w:shd w:val="clear" w:color="auto" w:fill="auto"/>
          </w:tcPr>
          <w:p w14:paraId="20BE8D4B" w14:textId="77777777" w:rsidR="00C80CC8" w:rsidRPr="00227C22" w:rsidRDefault="00C80CC8" w:rsidP="000B0FB1">
            <w:r w:rsidRPr="00227C22">
              <w:t>75ppb</w:t>
            </w:r>
          </w:p>
        </w:tc>
        <w:tc>
          <w:tcPr>
            <w:tcW w:w="664" w:type="pct"/>
            <w:shd w:val="clear" w:color="auto" w:fill="auto"/>
          </w:tcPr>
          <w:p w14:paraId="493F4479" w14:textId="77777777" w:rsidR="00C80CC8" w:rsidRPr="00227C22" w:rsidRDefault="00C80CC8" w:rsidP="000B0FB1">
            <w:pPr>
              <w:cnfStyle w:val="000000000000" w:firstRow="0" w:lastRow="0" w:firstColumn="0" w:lastColumn="0" w:oddVBand="0" w:evenVBand="0" w:oddHBand="0" w:evenHBand="0" w:firstRowFirstColumn="0" w:firstRowLastColumn="0" w:lastRowFirstColumn="0" w:lastRowLastColumn="0"/>
            </w:pPr>
            <w:r w:rsidRPr="00227C22">
              <w:t>No allowable exceedances</w:t>
            </w:r>
          </w:p>
        </w:tc>
      </w:tr>
      <w:tr w:rsidR="00C80CC8" w:rsidRPr="00227C22" w14:paraId="1928B29C" w14:textId="77777777" w:rsidTr="009D4D53">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805" w:type="pct"/>
            <w:vMerge/>
          </w:tcPr>
          <w:p w14:paraId="00728F19" w14:textId="77777777" w:rsidR="00C80CC8" w:rsidRPr="00227C22" w:rsidRDefault="00C80CC8" w:rsidP="000B0FB1"/>
        </w:tc>
        <w:tc>
          <w:tcPr>
            <w:cnfStyle w:val="000010000000" w:firstRow="0" w:lastRow="0" w:firstColumn="0" w:lastColumn="0" w:oddVBand="1" w:evenVBand="0" w:oddHBand="0" w:evenHBand="0" w:firstRowFirstColumn="0" w:firstRowLastColumn="0" w:lastRowFirstColumn="0" w:lastRowLastColumn="0"/>
            <w:tcW w:w="853" w:type="pct"/>
          </w:tcPr>
          <w:p w14:paraId="45E86C9A" w14:textId="77777777" w:rsidR="00C80CC8" w:rsidRPr="00227C22" w:rsidRDefault="00C80CC8" w:rsidP="000B0FB1">
            <w:r w:rsidRPr="00227C22">
              <w:t>SO</w:t>
            </w:r>
            <w:r w:rsidRPr="00227C22">
              <w:rPr>
                <w:vertAlign w:val="subscript"/>
              </w:rPr>
              <w:t>2</w:t>
            </w:r>
            <w:r w:rsidRPr="00227C22">
              <w:t xml:space="preserve"> 24 hour</w:t>
            </w:r>
          </w:p>
        </w:tc>
        <w:tc>
          <w:tcPr>
            <w:tcW w:w="578" w:type="pct"/>
          </w:tcPr>
          <w:p w14:paraId="009B2478" w14:textId="77777777" w:rsidR="00C80CC8" w:rsidRPr="00227C22" w:rsidRDefault="00C80CC8" w:rsidP="000B0FB1">
            <w:pPr>
              <w:cnfStyle w:val="000000100000" w:firstRow="0" w:lastRow="0" w:firstColumn="0" w:lastColumn="0" w:oddVBand="0" w:evenVBand="0" w:oddHBand="1" w:evenHBand="0" w:firstRowFirstColumn="0" w:firstRowLastColumn="0" w:lastRowFirstColumn="0" w:lastRowLastColumn="0"/>
            </w:pPr>
            <w:r w:rsidRPr="00227C22">
              <w:t>Yes</w:t>
            </w:r>
          </w:p>
        </w:tc>
        <w:tc>
          <w:tcPr>
            <w:cnfStyle w:val="000010000000" w:firstRow="0" w:lastRow="0" w:firstColumn="0" w:lastColumn="0" w:oddVBand="1" w:evenVBand="0" w:oddHBand="0" w:evenHBand="0" w:firstRowFirstColumn="0" w:firstRowLastColumn="0" w:lastRowFirstColumn="0" w:lastRowLastColumn="0"/>
            <w:tcW w:w="557" w:type="pct"/>
          </w:tcPr>
          <w:p w14:paraId="5AD2CA56" w14:textId="77777777" w:rsidR="00C80CC8" w:rsidRPr="00227C22" w:rsidRDefault="00C80CC8" w:rsidP="000B0FB1">
            <w:r w:rsidRPr="00227C22">
              <w:t>80ppb</w:t>
            </w:r>
          </w:p>
        </w:tc>
        <w:tc>
          <w:tcPr>
            <w:tcW w:w="819" w:type="pct"/>
          </w:tcPr>
          <w:p w14:paraId="63A92EAA" w14:textId="77777777" w:rsidR="00C80CC8" w:rsidRPr="00227C22" w:rsidRDefault="00C80CC8" w:rsidP="000B0FB1">
            <w:pPr>
              <w:cnfStyle w:val="000000100000" w:firstRow="0" w:lastRow="0" w:firstColumn="0" w:lastColumn="0" w:oddVBand="0" w:evenVBand="0" w:oddHBand="1" w:evenHBand="0" w:firstRowFirstColumn="0" w:firstRowLastColumn="0" w:lastRowFirstColumn="0" w:lastRowLastColumn="0"/>
            </w:pPr>
            <w:r w:rsidRPr="00227C22">
              <w:t>20ppb</w:t>
            </w:r>
          </w:p>
        </w:tc>
        <w:tc>
          <w:tcPr>
            <w:cnfStyle w:val="000010000000" w:firstRow="0" w:lastRow="0" w:firstColumn="0" w:lastColumn="0" w:oddVBand="1" w:evenVBand="0" w:oddHBand="0" w:evenHBand="0" w:firstRowFirstColumn="0" w:firstRowLastColumn="0" w:lastRowFirstColumn="0" w:lastRowLastColumn="0"/>
            <w:tcW w:w="724" w:type="pct"/>
          </w:tcPr>
          <w:p w14:paraId="6C702ADD" w14:textId="7F72CCFD" w:rsidR="00C80CC8" w:rsidRPr="00227C22" w:rsidRDefault="009D4D53" w:rsidP="000B0FB1">
            <w:r w:rsidRPr="00C01530">
              <w:rPr>
                <w:rFonts w:cs="Times New Roman"/>
                <w:sz w:val="16"/>
                <w:szCs w:val="16"/>
              </w:rPr>
              <w:t>–</w:t>
            </w:r>
          </w:p>
        </w:tc>
        <w:tc>
          <w:tcPr>
            <w:tcW w:w="664" w:type="pct"/>
          </w:tcPr>
          <w:p w14:paraId="26294AD6" w14:textId="77777777" w:rsidR="00C80CC8" w:rsidRPr="00227C22" w:rsidRDefault="00C80CC8" w:rsidP="000B0FB1">
            <w:pPr>
              <w:cnfStyle w:val="000000100000" w:firstRow="0" w:lastRow="0" w:firstColumn="0" w:lastColumn="0" w:oddVBand="0" w:evenVBand="0" w:oddHBand="1" w:evenHBand="0" w:firstRowFirstColumn="0" w:firstRowLastColumn="0" w:lastRowFirstColumn="0" w:lastRowLastColumn="0"/>
            </w:pPr>
            <w:r w:rsidRPr="00227C22">
              <w:t>No allowable exceedances</w:t>
            </w:r>
          </w:p>
        </w:tc>
      </w:tr>
      <w:tr w:rsidR="009D4D53" w:rsidRPr="00227C22" w14:paraId="729FF01D" w14:textId="77777777" w:rsidTr="009D4D53">
        <w:trPr>
          <w:cantSplit/>
          <w:trHeight w:val="397"/>
        </w:trPr>
        <w:tc>
          <w:tcPr>
            <w:cnfStyle w:val="001000000000" w:firstRow="0" w:lastRow="0" w:firstColumn="1" w:lastColumn="0" w:oddVBand="0" w:evenVBand="0" w:oddHBand="0" w:evenHBand="0" w:firstRowFirstColumn="0" w:firstRowLastColumn="0" w:lastRowFirstColumn="0" w:lastRowLastColumn="0"/>
            <w:tcW w:w="805" w:type="pct"/>
            <w:vMerge/>
          </w:tcPr>
          <w:p w14:paraId="4958CD5C" w14:textId="77777777" w:rsidR="009D4D53" w:rsidRPr="00227C22" w:rsidRDefault="009D4D53" w:rsidP="009D4D53"/>
        </w:tc>
        <w:tc>
          <w:tcPr>
            <w:cnfStyle w:val="000010000000" w:firstRow="0" w:lastRow="0" w:firstColumn="0" w:lastColumn="0" w:oddVBand="1" w:evenVBand="0" w:oddHBand="0" w:evenHBand="0" w:firstRowFirstColumn="0" w:firstRowLastColumn="0" w:lastRowFirstColumn="0" w:lastRowLastColumn="0"/>
            <w:tcW w:w="853" w:type="pct"/>
            <w:shd w:val="clear" w:color="auto" w:fill="auto"/>
          </w:tcPr>
          <w:p w14:paraId="6ECB0F39" w14:textId="77777777" w:rsidR="009D4D53" w:rsidRPr="00227C22" w:rsidRDefault="009D4D53" w:rsidP="009D4D53">
            <w:r w:rsidRPr="00227C22">
              <w:t>SO</w:t>
            </w:r>
            <w:r w:rsidRPr="00227C22">
              <w:rPr>
                <w:vertAlign w:val="subscript"/>
              </w:rPr>
              <w:t>2</w:t>
            </w:r>
            <w:r w:rsidRPr="00227C22">
              <w:t xml:space="preserve"> annual</w:t>
            </w:r>
          </w:p>
        </w:tc>
        <w:tc>
          <w:tcPr>
            <w:tcW w:w="578" w:type="pct"/>
            <w:shd w:val="clear" w:color="auto" w:fill="auto"/>
          </w:tcPr>
          <w:p w14:paraId="7F13DE83" w14:textId="77777777" w:rsidR="009D4D53" w:rsidRPr="00227C22" w:rsidRDefault="009D4D53" w:rsidP="009D4D53">
            <w:pPr>
              <w:cnfStyle w:val="000000000000" w:firstRow="0" w:lastRow="0" w:firstColumn="0" w:lastColumn="0" w:oddVBand="0" w:evenVBand="0" w:oddHBand="0" w:evenHBand="0" w:firstRowFirstColumn="0" w:firstRowLastColumn="0" w:lastRowFirstColumn="0" w:lastRowLastColumn="0"/>
              <w:rPr>
                <w:b/>
              </w:rPr>
            </w:pPr>
            <w:r w:rsidRPr="00227C22">
              <w:t>No</w:t>
            </w:r>
          </w:p>
        </w:tc>
        <w:tc>
          <w:tcPr>
            <w:cnfStyle w:val="000010000000" w:firstRow="0" w:lastRow="0" w:firstColumn="0" w:lastColumn="0" w:oddVBand="1" w:evenVBand="0" w:oddHBand="0" w:evenHBand="0" w:firstRowFirstColumn="0" w:firstRowLastColumn="0" w:lastRowFirstColumn="0" w:lastRowLastColumn="0"/>
            <w:tcW w:w="557" w:type="pct"/>
            <w:shd w:val="clear" w:color="auto" w:fill="auto"/>
          </w:tcPr>
          <w:p w14:paraId="384C3B81" w14:textId="77777777" w:rsidR="009D4D53" w:rsidRPr="00227C22" w:rsidRDefault="009D4D53" w:rsidP="009D4D53">
            <w:r w:rsidRPr="00227C22">
              <w:t>20ppb</w:t>
            </w:r>
          </w:p>
        </w:tc>
        <w:tc>
          <w:tcPr>
            <w:tcW w:w="819" w:type="pct"/>
            <w:shd w:val="clear" w:color="auto" w:fill="auto"/>
          </w:tcPr>
          <w:p w14:paraId="5F939DB3" w14:textId="5D82AC91" w:rsidR="009D4D53" w:rsidRPr="00227C22" w:rsidRDefault="009D4D53" w:rsidP="009D4D53">
            <w:pPr>
              <w:cnfStyle w:val="000000000000" w:firstRow="0" w:lastRow="0" w:firstColumn="0" w:lastColumn="0" w:oddVBand="0" w:evenVBand="0" w:oddHBand="0" w:evenHBand="0" w:firstRowFirstColumn="0" w:firstRowLastColumn="0" w:lastRowFirstColumn="0" w:lastRowLastColumn="0"/>
            </w:pPr>
            <w:r w:rsidRPr="00A07A73">
              <w:rPr>
                <w:rFonts w:cs="Times New Roman"/>
                <w:sz w:val="16"/>
                <w:szCs w:val="16"/>
              </w:rPr>
              <w:t>–</w:t>
            </w:r>
          </w:p>
        </w:tc>
        <w:tc>
          <w:tcPr>
            <w:cnfStyle w:val="000010000000" w:firstRow="0" w:lastRow="0" w:firstColumn="0" w:lastColumn="0" w:oddVBand="1" w:evenVBand="0" w:oddHBand="0" w:evenHBand="0" w:firstRowFirstColumn="0" w:firstRowLastColumn="0" w:lastRowFirstColumn="0" w:lastRowLastColumn="0"/>
            <w:tcW w:w="724" w:type="pct"/>
            <w:shd w:val="clear" w:color="auto" w:fill="auto"/>
          </w:tcPr>
          <w:p w14:paraId="3D15D410" w14:textId="541A68A5" w:rsidR="009D4D53" w:rsidRPr="00227C22" w:rsidRDefault="009D4D53" w:rsidP="009D4D53">
            <w:r w:rsidRPr="00A07A73">
              <w:rPr>
                <w:rFonts w:cs="Times New Roman"/>
                <w:sz w:val="16"/>
                <w:szCs w:val="16"/>
              </w:rPr>
              <w:t>–</w:t>
            </w:r>
          </w:p>
        </w:tc>
        <w:tc>
          <w:tcPr>
            <w:tcW w:w="664" w:type="pct"/>
            <w:shd w:val="clear" w:color="auto" w:fill="auto"/>
          </w:tcPr>
          <w:p w14:paraId="09754335" w14:textId="2E9671C1" w:rsidR="009D4D53" w:rsidRPr="00227C22" w:rsidRDefault="009D4D53" w:rsidP="009D4D53">
            <w:pPr>
              <w:cnfStyle w:val="000000000000" w:firstRow="0" w:lastRow="0" w:firstColumn="0" w:lastColumn="0" w:oddVBand="0" w:evenVBand="0" w:oddHBand="0" w:evenHBand="0" w:firstRowFirstColumn="0" w:firstRowLastColumn="0" w:lastRowFirstColumn="0" w:lastRowLastColumn="0"/>
            </w:pPr>
            <w:r w:rsidRPr="00A07A73">
              <w:rPr>
                <w:rFonts w:cs="Times New Roman"/>
                <w:sz w:val="16"/>
                <w:szCs w:val="16"/>
              </w:rPr>
              <w:t>–</w:t>
            </w:r>
          </w:p>
        </w:tc>
      </w:tr>
      <w:tr w:rsidR="00C80CC8" w:rsidRPr="00227C22" w14:paraId="2D4CBD6E" w14:textId="77777777" w:rsidTr="009D4D53">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805" w:type="pct"/>
            <w:vMerge/>
          </w:tcPr>
          <w:p w14:paraId="7CCB7AA6" w14:textId="77777777" w:rsidR="00C80CC8" w:rsidRPr="00227C22" w:rsidRDefault="00C80CC8" w:rsidP="000B0FB1"/>
        </w:tc>
        <w:tc>
          <w:tcPr>
            <w:cnfStyle w:val="000010000000" w:firstRow="0" w:lastRow="0" w:firstColumn="0" w:lastColumn="0" w:oddVBand="1" w:evenVBand="0" w:oddHBand="0" w:evenHBand="0" w:firstRowFirstColumn="0" w:firstRowLastColumn="0" w:lastRowFirstColumn="0" w:lastRowLastColumn="0"/>
            <w:tcW w:w="853" w:type="pct"/>
          </w:tcPr>
          <w:p w14:paraId="252D24B9" w14:textId="77777777" w:rsidR="00C80CC8" w:rsidRPr="00227C22" w:rsidRDefault="00C80CC8" w:rsidP="000B0FB1">
            <w:r w:rsidRPr="00227C22">
              <w:t>NO</w:t>
            </w:r>
            <w:r w:rsidRPr="00227C22">
              <w:rPr>
                <w:vertAlign w:val="subscript"/>
              </w:rPr>
              <w:t>2</w:t>
            </w:r>
            <w:r w:rsidRPr="00227C22">
              <w:t xml:space="preserve"> – 1 hour</w:t>
            </w:r>
          </w:p>
        </w:tc>
        <w:tc>
          <w:tcPr>
            <w:tcW w:w="578" w:type="pct"/>
          </w:tcPr>
          <w:p w14:paraId="4FE68EC5" w14:textId="77777777" w:rsidR="00C80CC8" w:rsidRPr="00227C22" w:rsidRDefault="00C80CC8" w:rsidP="000B0FB1">
            <w:pPr>
              <w:cnfStyle w:val="000000100000" w:firstRow="0" w:lastRow="0" w:firstColumn="0" w:lastColumn="0" w:oddVBand="0" w:evenVBand="0" w:oddHBand="1" w:evenHBand="0" w:firstRowFirstColumn="0" w:firstRowLastColumn="0" w:lastRowFirstColumn="0" w:lastRowLastColumn="0"/>
            </w:pPr>
            <w:r w:rsidRPr="00227C22">
              <w:t>Yes</w:t>
            </w:r>
          </w:p>
        </w:tc>
        <w:tc>
          <w:tcPr>
            <w:cnfStyle w:val="000010000000" w:firstRow="0" w:lastRow="0" w:firstColumn="0" w:lastColumn="0" w:oddVBand="1" w:evenVBand="0" w:oddHBand="0" w:evenHBand="0" w:firstRowFirstColumn="0" w:firstRowLastColumn="0" w:lastRowFirstColumn="0" w:lastRowLastColumn="0"/>
            <w:tcW w:w="557" w:type="pct"/>
          </w:tcPr>
          <w:p w14:paraId="5AFFF2EE" w14:textId="77777777" w:rsidR="00C80CC8" w:rsidRPr="00227C22" w:rsidRDefault="00C80CC8" w:rsidP="000B0FB1">
            <w:r w:rsidRPr="00227C22">
              <w:t>120ppb</w:t>
            </w:r>
          </w:p>
        </w:tc>
        <w:tc>
          <w:tcPr>
            <w:tcW w:w="819" w:type="pct"/>
          </w:tcPr>
          <w:p w14:paraId="28178CB9" w14:textId="77777777" w:rsidR="00C80CC8" w:rsidRPr="00227C22" w:rsidRDefault="00C80CC8" w:rsidP="000B0FB1">
            <w:pPr>
              <w:cnfStyle w:val="000000100000" w:firstRow="0" w:lastRow="0" w:firstColumn="0" w:lastColumn="0" w:oddVBand="0" w:evenVBand="0" w:oddHBand="1" w:evenHBand="0" w:firstRowFirstColumn="0" w:firstRowLastColumn="0" w:lastRowFirstColumn="0" w:lastRowLastColumn="0"/>
            </w:pPr>
            <w:r w:rsidRPr="00227C22">
              <w:t>90 ppb</w:t>
            </w:r>
          </w:p>
        </w:tc>
        <w:tc>
          <w:tcPr>
            <w:cnfStyle w:val="000010000000" w:firstRow="0" w:lastRow="0" w:firstColumn="0" w:lastColumn="0" w:oddVBand="1" w:evenVBand="0" w:oddHBand="0" w:evenHBand="0" w:firstRowFirstColumn="0" w:firstRowLastColumn="0" w:lastRowFirstColumn="0" w:lastRowLastColumn="0"/>
            <w:tcW w:w="724" w:type="pct"/>
          </w:tcPr>
          <w:p w14:paraId="2A7E5D24" w14:textId="77777777" w:rsidR="00C80CC8" w:rsidRPr="00227C22" w:rsidRDefault="00C80CC8" w:rsidP="000B0FB1">
            <w:r w:rsidRPr="00227C22">
              <w:t>80 ppb</w:t>
            </w:r>
          </w:p>
        </w:tc>
        <w:tc>
          <w:tcPr>
            <w:tcW w:w="664" w:type="pct"/>
          </w:tcPr>
          <w:p w14:paraId="4CC7EFF1" w14:textId="77777777" w:rsidR="00C80CC8" w:rsidRPr="00227C22" w:rsidRDefault="00C80CC8" w:rsidP="000B0FB1">
            <w:pPr>
              <w:cnfStyle w:val="000000100000" w:firstRow="0" w:lastRow="0" w:firstColumn="0" w:lastColumn="0" w:oddVBand="0" w:evenVBand="0" w:oddHBand="1" w:evenHBand="0" w:firstRowFirstColumn="0" w:firstRowLastColumn="0" w:lastRowFirstColumn="0" w:lastRowLastColumn="0"/>
            </w:pPr>
            <w:r w:rsidRPr="00227C22">
              <w:t>No allowable exceedances</w:t>
            </w:r>
          </w:p>
        </w:tc>
      </w:tr>
      <w:tr w:rsidR="00C80CC8" w:rsidRPr="00227C22" w14:paraId="3EAFC2B2" w14:textId="77777777" w:rsidTr="009D4D53">
        <w:trPr>
          <w:cantSplit/>
          <w:trHeight w:val="397"/>
        </w:trPr>
        <w:tc>
          <w:tcPr>
            <w:cnfStyle w:val="001000000000" w:firstRow="0" w:lastRow="0" w:firstColumn="1" w:lastColumn="0" w:oddVBand="0" w:evenVBand="0" w:oddHBand="0" w:evenHBand="0" w:firstRowFirstColumn="0" w:firstRowLastColumn="0" w:lastRowFirstColumn="0" w:lastRowLastColumn="0"/>
            <w:tcW w:w="805" w:type="pct"/>
            <w:vMerge/>
          </w:tcPr>
          <w:p w14:paraId="740BE65F" w14:textId="77777777" w:rsidR="00C80CC8" w:rsidRPr="00227C22" w:rsidRDefault="00C80CC8" w:rsidP="000B0FB1"/>
        </w:tc>
        <w:tc>
          <w:tcPr>
            <w:cnfStyle w:val="000010000000" w:firstRow="0" w:lastRow="0" w:firstColumn="0" w:lastColumn="0" w:oddVBand="1" w:evenVBand="0" w:oddHBand="0" w:evenHBand="0" w:firstRowFirstColumn="0" w:firstRowLastColumn="0" w:lastRowFirstColumn="0" w:lastRowLastColumn="0"/>
            <w:tcW w:w="853" w:type="pct"/>
            <w:shd w:val="clear" w:color="auto" w:fill="auto"/>
          </w:tcPr>
          <w:p w14:paraId="0791BA4F" w14:textId="77777777" w:rsidR="00C80CC8" w:rsidRPr="00227C22" w:rsidRDefault="00C80CC8" w:rsidP="000B0FB1">
            <w:r w:rsidRPr="00227C22">
              <w:t>NO</w:t>
            </w:r>
            <w:r w:rsidRPr="00227C22">
              <w:rPr>
                <w:vertAlign w:val="subscript"/>
              </w:rPr>
              <w:t>2</w:t>
            </w:r>
            <w:r w:rsidRPr="00227C22">
              <w:t xml:space="preserve"> - annual</w:t>
            </w:r>
          </w:p>
        </w:tc>
        <w:tc>
          <w:tcPr>
            <w:tcW w:w="578" w:type="pct"/>
            <w:shd w:val="clear" w:color="auto" w:fill="auto"/>
          </w:tcPr>
          <w:p w14:paraId="7CA51C79" w14:textId="77777777" w:rsidR="00C80CC8" w:rsidRPr="00227C22" w:rsidRDefault="00C80CC8" w:rsidP="000B0FB1">
            <w:pPr>
              <w:cnfStyle w:val="000000000000" w:firstRow="0" w:lastRow="0" w:firstColumn="0" w:lastColumn="0" w:oddVBand="0" w:evenVBand="0" w:oddHBand="0" w:evenHBand="0" w:firstRowFirstColumn="0" w:firstRowLastColumn="0" w:lastRowFirstColumn="0" w:lastRowLastColumn="0"/>
            </w:pPr>
            <w:r w:rsidRPr="00227C22">
              <w:t>Yes</w:t>
            </w:r>
          </w:p>
        </w:tc>
        <w:tc>
          <w:tcPr>
            <w:cnfStyle w:val="000010000000" w:firstRow="0" w:lastRow="0" w:firstColumn="0" w:lastColumn="0" w:oddVBand="1" w:evenVBand="0" w:oddHBand="0" w:evenHBand="0" w:firstRowFirstColumn="0" w:firstRowLastColumn="0" w:lastRowFirstColumn="0" w:lastRowLastColumn="0"/>
            <w:tcW w:w="557" w:type="pct"/>
            <w:shd w:val="clear" w:color="auto" w:fill="auto"/>
          </w:tcPr>
          <w:p w14:paraId="65423B80" w14:textId="77777777" w:rsidR="00C80CC8" w:rsidRPr="00227C22" w:rsidRDefault="00C80CC8" w:rsidP="000B0FB1">
            <w:r w:rsidRPr="00227C22">
              <w:t>30ppb</w:t>
            </w:r>
          </w:p>
        </w:tc>
        <w:tc>
          <w:tcPr>
            <w:tcW w:w="819" w:type="pct"/>
            <w:shd w:val="clear" w:color="auto" w:fill="auto"/>
          </w:tcPr>
          <w:p w14:paraId="38F18CEB" w14:textId="77777777" w:rsidR="00C80CC8" w:rsidRPr="00227C22" w:rsidRDefault="00C80CC8" w:rsidP="000B0FB1">
            <w:pPr>
              <w:cnfStyle w:val="000000000000" w:firstRow="0" w:lastRow="0" w:firstColumn="0" w:lastColumn="0" w:oddVBand="0" w:evenVBand="0" w:oddHBand="0" w:evenHBand="0" w:firstRowFirstColumn="0" w:firstRowLastColumn="0" w:lastRowFirstColumn="0" w:lastRowLastColumn="0"/>
            </w:pPr>
            <w:r w:rsidRPr="00227C22">
              <w:t>19 ppb</w:t>
            </w:r>
          </w:p>
        </w:tc>
        <w:tc>
          <w:tcPr>
            <w:cnfStyle w:val="000010000000" w:firstRow="0" w:lastRow="0" w:firstColumn="0" w:lastColumn="0" w:oddVBand="1" w:evenVBand="0" w:oddHBand="0" w:evenHBand="0" w:firstRowFirstColumn="0" w:firstRowLastColumn="0" w:lastRowFirstColumn="0" w:lastRowLastColumn="0"/>
            <w:tcW w:w="724" w:type="pct"/>
            <w:shd w:val="clear" w:color="auto" w:fill="auto"/>
          </w:tcPr>
          <w:p w14:paraId="25B7F109" w14:textId="77777777" w:rsidR="00C80CC8" w:rsidRPr="00227C22" w:rsidRDefault="00C80CC8" w:rsidP="000B0FB1">
            <w:r w:rsidRPr="00227C22">
              <w:t>15 ppb</w:t>
            </w:r>
          </w:p>
        </w:tc>
        <w:tc>
          <w:tcPr>
            <w:tcW w:w="664" w:type="pct"/>
            <w:shd w:val="clear" w:color="auto" w:fill="auto"/>
          </w:tcPr>
          <w:p w14:paraId="1CA69BB2" w14:textId="77777777" w:rsidR="00C80CC8" w:rsidRPr="00227C22" w:rsidRDefault="00C80CC8" w:rsidP="000B0FB1">
            <w:pPr>
              <w:cnfStyle w:val="000000000000" w:firstRow="0" w:lastRow="0" w:firstColumn="0" w:lastColumn="0" w:oddVBand="0" w:evenVBand="0" w:oddHBand="0" w:evenHBand="0" w:firstRowFirstColumn="0" w:firstRowLastColumn="0" w:lastRowFirstColumn="0" w:lastRowLastColumn="0"/>
            </w:pPr>
            <w:r w:rsidRPr="00227C22">
              <w:t>No allowable exceedances</w:t>
            </w:r>
          </w:p>
        </w:tc>
      </w:tr>
      <w:tr w:rsidR="009D4D53" w:rsidRPr="00227C22" w14:paraId="3D55191D" w14:textId="77777777" w:rsidTr="009D4D53">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805" w:type="pct"/>
            <w:vMerge/>
          </w:tcPr>
          <w:p w14:paraId="77CD07FE" w14:textId="77777777" w:rsidR="009D4D53" w:rsidRPr="00227C22" w:rsidRDefault="009D4D53" w:rsidP="009D4D53"/>
        </w:tc>
        <w:tc>
          <w:tcPr>
            <w:cnfStyle w:val="000010000000" w:firstRow="0" w:lastRow="0" w:firstColumn="0" w:lastColumn="0" w:oddVBand="1" w:evenVBand="0" w:oddHBand="0" w:evenHBand="0" w:firstRowFirstColumn="0" w:firstRowLastColumn="0" w:lastRowFirstColumn="0" w:lastRowLastColumn="0"/>
            <w:tcW w:w="853" w:type="pct"/>
          </w:tcPr>
          <w:p w14:paraId="0FB8999B" w14:textId="77777777" w:rsidR="009D4D53" w:rsidRPr="00227C22" w:rsidRDefault="009D4D53" w:rsidP="009D4D53">
            <w:r w:rsidRPr="00227C22">
              <w:t>O</w:t>
            </w:r>
            <w:r w:rsidRPr="00227C22">
              <w:rPr>
                <w:vertAlign w:val="subscript"/>
              </w:rPr>
              <w:t>3</w:t>
            </w:r>
            <w:r w:rsidRPr="00227C22">
              <w:t xml:space="preserve"> – 1 hour</w:t>
            </w:r>
          </w:p>
        </w:tc>
        <w:tc>
          <w:tcPr>
            <w:tcW w:w="578" w:type="pct"/>
          </w:tcPr>
          <w:p w14:paraId="37E98C60" w14:textId="77777777" w:rsidR="009D4D53" w:rsidRPr="00227C22" w:rsidRDefault="009D4D53" w:rsidP="009D4D53">
            <w:pPr>
              <w:cnfStyle w:val="000000100000" w:firstRow="0" w:lastRow="0" w:firstColumn="0" w:lastColumn="0" w:oddVBand="0" w:evenVBand="0" w:oddHBand="1" w:evenHBand="0" w:firstRowFirstColumn="0" w:firstRowLastColumn="0" w:lastRowFirstColumn="0" w:lastRowLastColumn="0"/>
              <w:rPr>
                <w:b/>
              </w:rPr>
            </w:pPr>
            <w:r w:rsidRPr="00227C22">
              <w:t>No</w:t>
            </w:r>
          </w:p>
        </w:tc>
        <w:tc>
          <w:tcPr>
            <w:cnfStyle w:val="000010000000" w:firstRow="0" w:lastRow="0" w:firstColumn="0" w:lastColumn="0" w:oddVBand="1" w:evenVBand="0" w:oddHBand="0" w:evenHBand="0" w:firstRowFirstColumn="0" w:firstRowLastColumn="0" w:lastRowFirstColumn="0" w:lastRowLastColumn="0"/>
            <w:tcW w:w="557" w:type="pct"/>
          </w:tcPr>
          <w:p w14:paraId="15BB1A24" w14:textId="77777777" w:rsidR="009D4D53" w:rsidRPr="00227C22" w:rsidRDefault="009D4D53" w:rsidP="009D4D53">
            <w:r w:rsidRPr="00227C22">
              <w:t>100 ppb</w:t>
            </w:r>
          </w:p>
        </w:tc>
        <w:tc>
          <w:tcPr>
            <w:tcW w:w="819" w:type="pct"/>
          </w:tcPr>
          <w:p w14:paraId="45E693B2" w14:textId="08A93021" w:rsidR="009D4D53" w:rsidRPr="00227C22" w:rsidRDefault="009D4D53" w:rsidP="009D4D53">
            <w:pPr>
              <w:cnfStyle w:val="000000100000" w:firstRow="0" w:lastRow="0" w:firstColumn="0" w:lastColumn="0" w:oddVBand="0" w:evenVBand="0" w:oddHBand="1" w:evenHBand="0" w:firstRowFirstColumn="0" w:firstRowLastColumn="0" w:lastRowFirstColumn="0" w:lastRowLastColumn="0"/>
            </w:pPr>
            <w:r w:rsidRPr="00D651F6">
              <w:rPr>
                <w:rFonts w:cs="Times New Roman"/>
                <w:sz w:val="16"/>
                <w:szCs w:val="16"/>
              </w:rPr>
              <w:t>–</w:t>
            </w:r>
          </w:p>
        </w:tc>
        <w:tc>
          <w:tcPr>
            <w:cnfStyle w:val="000010000000" w:firstRow="0" w:lastRow="0" w:firstColumn="0" w:lastColumn="0" w:oddVBand="1" w:evenVBand="0" w:oddHBand="0" w:evenHBand="0" w:firstRowFirstColumn="0" w:firstRowLastColumn="0" w:lastRowFirstColumn="0" w:lastRowLastColumn="0"/>
            <w:tcW w:w="724" w:type="pct"/>
          </w:tcPr>
          <w:p w14:paraId="39BCEB7B" w14:textId="1693CDA7" w:rsidR="009D4D53" w:rsidRPr="00227C22" w:rsidRDefault="009D4D53" w:rsidP="009D4D53">
            <w:r w:rsidRPr="00D651F6">
              <w:rPr>
                <w:rFonts w:cs="Times New Roman"/>
                <w:sz w:val="16"/>
                <w:szCs w:val="16"/>
              </w:rPr>
              <w:t>–</w:t>
            </w:r>
          </w:p>
        </w:tc>
        <w:tc>
          <w:tcPr>
            <w:tcW w:w="664" w:type="pct"/>
          </w:tcPr>
          <w:p w14:paraId="1FA2A307" w14:textId="5DD33816" w:rsidR="009D4D53" w:rsidRPr="00227C22" w:rsidRDefault="009D4D53" w:rsidP="009D4D53">
            <w:pPr>
              <w:cnfStyle w:val="000000100000" w:firstRow="0" w:lastRow="0" w:firstColumn="0" w:lastColumn="0" w:oddVBand="0" w:evenVBand="0" w:oddHBand="1" w:evenHBand="0" w:firstRowFirstColumn="0" w:firstRowLastColumn="0" w:lastRowFirstColumn="0" w:lastRowLastColumn="0"/>
            </w:pPr>
            <w:r w:rsidRPr="00D651F6">
              <w:rPr>
                <w:rFonts w:cs="Times New Roman"/>
                <w:sz w:val="16"/>
                <w:szCs w:val="16"/>
              </w:rPr>
              <w:t>–</w:t>
            </w:r>
          </w:p>
        </w:tc>
      </w:tr>
      <w:tr w:rsidR="009D4D53" w:rsidRPr="00227C22" w14:paraId="79BFC494" w14:textId="77777777" w:rsidTr="009D4D53">
        <w:trPr>
          <w:cantSplit/>
          <w:trHeight w:val="397"/>
        </w:trPr>
        <w:tc>
          <w:tcPr>
            <w:cnfStyle w:val="001000000000" w:firstRow="0" w:lastRow="0" w:firstColumn="1" w:lastColumn="0" w:oddVBand="0" w:evenVBand="0" w:oddHBand="0" w:evenHBand="0" w:firstRowFirstColumn="0" w:firstRowLastColumn="0" w:lastRowFirstColumn="0" w:lastRowLastColumn="0"/>
            <w:tcW w:w="805" w:type="pct"/>
            <w:vMerge/>
          </w:tcPr>
          <w:p w14:paraId="04B131A6" w14:textId="77777777" w:rsidR="009D4D53" w:rsidRPr="00227C22" w:rsidRDefault="009D4D53" w:rsidP="009D4D53"/>
        </w:tc>
        <w:tc>
          <w:tcPr>
            <w:cnfStyle w:val="000010000000" w:firstRow="0" w:lastRow="0" w:firstColumn="0" w:lastColumn="0" w:oddVBand="1" w:evenVBand="0" w:oddHBand="0" w:evenHBand="0" w:firstRowFirstColumn="0" w:firstRowLastColumn="0" w:lastRowFirstColumn="0" w:lastRowLastColumn="0"/>
            <w:tcW w:w="853" w:type="pct"/>
            <w:shd w:val="clear" w:color="auto" w:fill="auto"/>
          </w:tcPr>
          <w:p w14:paraId="1CCA650E" w14:textId="77777777" w:rsidR="009D4D53" w:rsidRPr="00227C22" w:rsidRDefault="009D4D53" w:rsidP="009D4D53">
            <w:r w:rsidRPr="00227C22">
              <w:t>O</w:t>
            </w:r>
            <w:r w:rsidRPr="00227C22">
              <w:rPr>
                <w:vertAlign w:val="subscript"/>
              </w:rPr>
              <w:t>3</w:t>
            </w:r>
            <w:r w:rsidRPr="00227C22">
              <w:t xml:space="preserve"> – 4 hour</w:t>
            </w:r>
          </w:p>
        </w:tc>
        <w:tc>
          <w:tcPr>
            <w:tcW w:w="578" w:type="pct"/>
            <w:shd w:val="clear" w:color="auto" w:fill="auto"/>
          </w:tcPr>
          <w:p w14:paraId="1B9382F6" w14:textId="77777777" w:rsidR="009D4D53" w:rsidRPr="00227C22" w:rsidRDefault="009D4D53" w:rsidP="009D4D53">
            <w:pPr>
              <w:cnfStyle w:val="000000000000" w:firstRow="0" w:lastRow="0" w:firstColumn="0" w:lastColumn="0" w:oddVBand="0" w:evenVBand="0" w:oddHBand="0" w:evenHBand="0" w:firstRowFirstColumn="0" w:firstRowLastColumn="0" w:lastRowFirstColumn="0" w:lastRowLastColumn="0"/>
            </w:pPr>
            <w:r w:rsidRPr="00227C22">
              <w:t>No</w:t>
            </w:r>
          </w:p>
        </w:tc>
        <w:tc>
          <w:tcPr>
            <w:cnfStyle w:val="000010000000" w:firstRow="0" w:lastRow="0" w:firstColumn="0" w:lastColumn="0" w:oddVBand="1" w:evenVBand="0" w:oddHBand="0" w:evenHBand="0" w:firstRowFirstColumn="0" w:firstRowLastColumn="0" w:lastRowFirstColumn="0" w:lastRowLastColumn="0"/>
            <w:tcW w:w="557" w:type="pct"/>
            <w:shd w:val="clear" w:color="auto" w:fill="auto"/>
          </w:tcPr>
          <w:p w14:paraId="0513C5AD" w14:textId="77777777" w:rsidR="009D4D53" w:rsidRPr="00227C22" w:rsidRDefault="009D4D53" w:rsidP="009D4D53">
            <w:r w:rsidRPr="00227C22">
              <w:t>80 ppb</w:t>
            </w:r>
          </w:p>
        </w:tc>
        <w:tc>
          <w:tcPr>
            <w:tcW w:w="819" w:type="pct"/>
            <w:shd w:val="clear" w:color="auto" w:fill="auto"/>
          </w:tcPr>
          <w:p w14:paraId="62933B10" w14:textId="5818FE1E" w:rsidR="009D4D53" w:rsidRPr="00227C22" w:rsidRDefault="009D4D53" w:rsidP="009D4D53">
            <w:pPr>
              <w:cnfStyle w:val="000000000000" w:firstRow="0" w:lastRow="0" w:firstColumn="0" w:lastColumn="0" w:oddVBand="0" w:evenVBand="0" w:oddHBand="0" w:evenHBand="0" w:firstRowFirstColumn="0" w:firstRowLastColumn="0" w:lastRowFirstColumn="0" w:lastRowLastColumn="0"/>
            </w:pPr>
            <w:r w:rsidRPr="00884EF8">
              <w:rPr>
                <w:rFonts w:cs="Times New Roman"/>
                <w:sz w:val="16"/>
                <w:szCs w:val="16"/>
              </w:rPr>
              <w:t>–</w:t>
            </w:r>
          </w:p>
        </w:tc>
        <w:tc>
          <w:tcPr>
            <w:cnfStyle w:val="000010000000" w:firstRow="0" w:lastRow="0" w:firstColumn="0" w:lastColumn="0" w:oddVBand="1" w:evenVBand="0" w:oddHBand="0" w:evenHBand="0" w:firstRowFirstColumn="0" w:firstRowLastColumn="0" w:lastRowFirstColumn="0" w:lastRowLastColumn="0"/>
            <w:tcW w:w="724" w:type="pct"/>
            <w:shd w:val="clear" w:color="auto" w:fill="auto"/>
          </w:tcPr>
          <w:p w14:paraId="454DBE03" w14:textId="2837E178" w:rsidR="009D4D53" w:rsidRPr="00227C22" w:rsidRDefault="009D4D53" w:rsidP="009D4D53">
            <w:r w:rsidRPr="00884EF8">
              <w:rPr>
                <w:rFonts w:cs="Times New Roman"/>
                <w:sz w:val="16"/>
                <w:szCs w:val="16"/>
              </w:rPr>
              <w:t>–</w:t>
            </w:r>
          </w:p>
        </w:tc>
        <w:tc>
          <w:tcPr>
            <w:tcW w:w="664" w:type="pct"/>
            <w:shd w:val="clear" w:color="auto" w:fill="auto"/>
          </w:tcPr>
          <w:p w14:paraId="527F53D4" w14:textId="376AFD5E" w:rsidR="009D4D53" w:rsidRPr="00227C22" w:rsidRDefault="009D4D53" w:rsidP="009D4D53">
            <w:pPr>
              <w:cnfStyle w:val="000000000000" w:firstRow="0" w:lastRow="0" w:firstColumn="0" w:lastColumn="0" w:oddVBand="0" w:evenVBand="0" w:oddHBand="0" w:evenHBand="0" w:firstRowFirstColumn="0" w:firstRowLastColumn="0" w:lastRowFirstColumn="0" w:lastRowLastColumn="0"/>
            </w:pPr>
            <w:r w:rsidRPr="00884EF8">
              <w:rPr>
                <w:rFonts w:cs="Times New Roman"/>
                <w:sz w:val="16"/>
                <w:szCs w:val="16"/>
              </w:rPr>
              <w:t>–</w:t>
            </w:r>
          </w:p>
        </w:tc>
      </w:tr>
      <w:tr w:rsidR="00C80CC8" w:rsidRPr="00227C22" w14:paraId="79A378BE" w14:textId="77777777" w:rsidTr="009D4D53">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805" w:type="pct"/>
            <w:vMerge/>
          </w:tcPr>
          <w:p w14:paraId="4CE5566E" w14:textId="77777777" w:rsidR="00C80CC8" w:rsidRPr="00227C22" w:rsidRDefault="00C80CC8" w:rsidP="000B0FB1"/>
        </w:tc>
        <w:tc>
          <w:tcPr>
            <w:cnfStyle w:val="000010000000" w:firstRow="0" w:lastRow="0" w:firstColumn="0" w:lastColumn="0" w:oddVBand="1" w:evenVBand="0" w:oddHBand="0" w:evenHBand="0" w:firstRowFirstColumn="0" w:firstRowLastColumn="0" w:lastRowFirstColumn="0" w:lastRowLastColumn="0"/>
            <w:tcW w:w="853" w:type="pct"/>
          </w:tcPr>
          <w:p w14:paraId="15318CC2" w14:textId="77777777" w:rsidR="00C80CC8" w:rsidRPr="00227C22" w:rsidRDefault="00C80CC8" w:rsidP="000B0FB1">
            <w:r w:rsidRPr="00227C22">
              <w:t>O</w:t>
            </w:r>
            <w:r w:rsidRPr="00227C22">
              <w:rPr>
                <w:vertAlign w:val="subscript"/>
              </w:rPr>
              <w:t>3</w:t>
            </w:r>
            <w:r w:rsidRPr="00227C22">
              <w:t xml:space="preserve"> - 8 hour</w:t>
            </w:r>
          </w:p>
        </w:tc>
        <w:tc>
          <w:tcPr>
            <w:tcW w:w="578" w:type="pct"/>
          </w:tcPr>
          <w:p w14:paraId="28F1BD4E" w14:textId="77777777" w:rsidR="00C80CC8" w:rsidRPr="00227C22" w:rsidRDefault="00C80CC8" w:rsidP="000B0FB1">
            <w:pPr>
              <w:cnfStyle w:val="000000100000" w:firstRow="0" w:lastRow="0" w:firstColumn="0" w:lastColumn="0" w:oddVBand="0" w:evenVBand="0" w:oddHBand="1" w:evenHBand="0" w:firstRowFirstColumn="0" w:firstRowLastColumn="0" w:lastRowFirstColumn="0" w:lastRowLastColumn="0"/>
            </w:pPr>
            <w:r w:rsidRPr="00227C22">
              <w:t>Yes</w:t>
            </w:r>
          </w:p>
        </w:tc>
        <w:tc>
          <w:tcPr>
            <w:cnfStyle w:val="000010000000" w:firstRow="0" w:lastRow="0" w:firstColumn="0" w:lastColumn="0" w:oddVBand="1" w:evenVBand="0" w:oddHBand="0" w:evenHBand="0" w:firstRowFirstColumn="0" w:firstRowLastColumn="0" w:lastRowFirstColumn="0" w:lastRowLastColumn="0"/>
            <w:tcW w:w="557" w:type="pct"/>
          </w:tcPr>
          <w:p w14:paraId="5CF8101B" w14:textId="62D199F3" w:rsidR="00C80CC8" w:rsidRPr="00227C22" w:rsidRDefault="009D4D53" w:rsidP="000B0FB1">
            <w:r w:rsidRPr="00C01530">
              <w:rPr>
                <w:rFonts w:cs="Times New Roman"/>
                <w:sz w:val="16"/>
                <w:szCs w:val="16"/>
              </w:rPr>
              <w:t>–</w:t>
            </w:r>
          </w:p>
        </w:tc>
        <w:tc>
          <w:tcPr>
            <w:tcW w:w="819" w:type="pct"/>
          </w:tcPr>
          <w:p w14:paraId="338ED38C" w14:textId="77777777" w:rsidR="00C80CC8" w:rsidRPr="00227C22" w:rsidRDefault="00C80CC8" w:rsidP="000B0FB1">
            <w:pPr>
              <w:cnfStyle w:val="000000100000" w:firstRow="0" w:lastRow="0" w:firstColumn="0" w:lastColumn="0" w:oddVBand="0" w:evenVBand="0" w:oddHBand="1" w:evenHBand="0" w:firstRowFirstColumn="0" w:firstRowLastColumn="0" w:lastRowFirstColumn="0" w:lastRowLastColumn="0"/>
            </w:pPr>
            <w:r w:rsidRPr="00227C22">
              <w:t>65 ppb</w:t>
            </w:r>
          </w:p>
        </w:tc>
        <w:tc>
          <w:tcPr>
            <w:cnfStyle w:val="000010000000" w:firstRow="0" w:lastRow="0" w:firstColumn="0" w:lastColumn="0" w:oddVBand="1" w:evenVBand="0" w:oddHBand="0" w:evenHBand="0" w:firstRowFirstColumn="0" w:firstRowLastColumn="0" w:lastRowFirstColumn="0" w:lastRowLastColumn="0"/>
            <w:tcW w:w="724" w:type="pct"/>
          </w:tcPr>
          <w:p w14:paraId="09565F61" w14:textId="1E0BEC00" w:rsidR="00C80CC8" w:rsidRPr="00227C22" w:rsidRDefault="009D4D53" w:rsidP="000B0FB1">
            <w:r w:rsidRPr="00C01530">
              <w:rPr>
                <w:rFonts w:cs="Times New Roman"/>
                <w:sz w:val="16"/>
                <w:szCs w:val="16"/>
              </w:rPr>
              <w:t>–</w:t>
            </w:r>
          </w:p>
        </w:tc>
        <w:tc>
          <w:tcPr>
            <w:tcW w:w="664" w:type="pct"/>
          </w:tcPr>
          <w:p w14:paraId="5195C495" w14:textId="77777777" w:rsidR="00C80CC8" w:rsidRPr="00227C22" w:rsidRDefault="00C80CC8" w:rsidP="000B0FB1">
            <w:pPr>
              <w:cnfStyle w:val="000000100000" w:firstRow="0" w:lastRow="0" w:firstColumn="0" w:lastColumn="0" w:oddVBand="0" w:evenVBand="0" w:oddHBand="1" w:evenHBand="0" w:firstRowFirstColumn="0" w:firstRowLastColumn="0" w:lastRowFirstColumn="0" w:lastRowLastColumn="0"/>
            </w:pPr>
            <w:r w:rsidRPr="00227C22">
              <w:t>No allowable exceedances</w:t>
            </w:r>
          </w:p>
        </w:tc>
      </w:tr>
    </w:tbl>
    <w:p w14:paraId="18211A56" w14:textId="77777777" w:rsidR="00B200BE" w:rsidRDefault="00B200BE"/>
    <w:p w14:paraId="084BF65C" w14:textId="77777777" w:rsidR="00B200BE" w:rsidRDefault="00B200BE">
      <w:pPr>
        <w:spacing w:before="0" w:after="160" w:line="259" w:lineRule="auto"/>
        <w:textAlignment w:val="auto"/>
      </w:pPr>
      <w:r>
        <w:br w:type="page"/>
      </w:r>
    </w:p>
    <w:tbl>
      <w:tblPr>
        <w:tblStyle w:val="GridTable2-Accent3"/>
        <w:tblW w:w="5000" w:type="pct"/>
        <w:tblLook w:val="00A0" w:firstRow="1" w:lastRow="0" w:firstColumn="1" w:lastColumn="0" w:noHBand="0" w:noVBand="0"/>
      </w:tblPr>
      <w:tblGrid>
        <w:gridCol w:w="1679"/>
        <w:gridCol w:w="1785"/>
        <w:gridCol w:w="7002"/>
      </w:tblGrid>
      <w:tr w:rsidR="00C80CC8" w:rsidRPr="00227C22" w14:paraId="5A164F81" w14:textId="77777777" w:rsidTr="00204B28">
        <w:trPr>
          <w:cnfStyle w:val="100000000000" w:firstRow="1" w:lastRow="0" w:firstColumn="0" w:lastColumn="0" w:oddVBand="0" w:evenVBand="0" w:oddHBand="0"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5000" w:type="pct"/>
            <w:gridSpan w:val="3"/>
          </w:tcPr>
          <w:p w14:paraId="0F5C1174" w14:textId="77777777" w:rsidR="00C80CC8" w:rsidRPr="00227C22" w:rsidRDefault="00C80CC8" w:rsidP="000B0FB1">
            <w:r w:rsidRPr="00227C22">
              <w:t xml:space="preserve">Recommendations related to the AAQ NEPM </w:t>
            </w:r>
          </w:p>
        </w:tc>
      </w:tr>
      <w:tr w:rsidR="00C80CC8" w:rsidRPr="00227C22" w14:paraId="081EF729" w14:textId="77777777" w:rsidTr="00B200BE">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802" w:type="pct"/>
          </w:tcPr>
          <w:p w14:paraId="24F4E2D4" w14:textId="77777777" w:rsidR="00C80CC8" w:rsidRPr="00227C22" w:rsidRDefault="00C80CC8" w:rsidP="000B0FB1">
            <w:r w:rsidRPr="00227C22">
              <w:t>1</w:t>
            </w:r>
          </w:p>
        </w:tc>
        <w:tc>
          <w:tcPr>
            <w:cnfStyle w:val="000010000000" w:firstRow="0" w:lastRow="0" w:firstColumn="0" w:lastColumn="0" w:oddVBand="1" w:evenVBand="0" w:oddHBand="0" w:evenHBand="0" w:firstRowFirstColumn="0" w:firstRowLastColumn="0" w:lastRowFirstColumn="0" w:lastRowLastColumn="0"/>
            <w:tcW w:w="853" w:type="pct"/>
          </w:tcPr>
          <w:p w14:paraId="61AEA61F" w14:textId="77777777" w:rsidR="00C80CC8" w:rsidRPr="00227C22" w:rsidRDefault="00C80CC8" w:rsidP="000B0FB1">
            <w:r w:rsidRPr="00227C22">
              <w:t>Environmental outcome</w:t>
            </w:r>
          </w:p>
        </w:tc>
        <w:tc>
          <w:tcPr>
            <w:tcW w:w="3345" w:type="pct"/>
          </w:tcPr>
          <w:p w14:paraId="0427DB91" w14:textId="77777777" w:rsidR="00C80CC8" w:rsidRPr="00227C22" w:rsidRDefault="00C80CC8" w:rsidP="000B0FB1">
            <w:pPr>
              <w:cnfStyle w:val="000000100000" w:firstRow="0" w:lastRow="0" w:firstColumn="0" w:lastColumn="0" w:oddVBand="0" w:evenVBand="0" w:oddHBand="1" w:evenHBand="0" w:firstRowFirstColumn="0" w:firstRowLastColumn="0" w:lastRowFirstColumn="0" w:lastRowLastColumn="0"/>
            </w:pPr>
            <w:r w:rsidRPr="00227C22">
              <w:t>The desired environmental outcome of the AAQ NEPM should be revised to ‘minimise the risk of adverse health impacts from exposure to air pollution for all people, wherever they may live’.</w:t>
            </w:r>
          </w:p>
        </w:tc>
      </w:tr>
      <w:tr w:rsidR="00C80CC8" w:rsidRPr="00227C22" w14:paraId="07985F06" w14:textId="77777777" w:rsidTr="00B200BE">
        <w:trPr>
          <w:cantSplit/>
          <w:trHeight w:val="397"/>
        </w:trPr>
        <w:tc>
          <w:tcPr>
            <w:cnfStyle w:val="001000000000" w:firstRow="0" w:lastRow="0" w:firstColumn="1" w:lastColumn="0" w:oddVBand="0" w:evenVBand="0" w:oddHBand="0" w:evenHBand="0" w:firstRowFirstColumn="0" w:firstRowLastColumn="0" w:lastRowFirstColumn="0" w:lastRowLastColumn="0"/>
            <w:tcW w:w="802" w:type="pct"/>
          </w:tcPr>
          <w:p w14:paraId="26FC9D30" w14:textId="77777777" w:rsidR="00C80CC8" w:rsidRPr="00227C22" w:rsidRDefault="00C80CC8" w:rsidP="000B0FB1">
            <w:r w:rsidRPr="00227C22">
              <w:t>2</w:t>
            </w:r>
          </w:p>
        </w:tc>
        <w:tc>
          <w:tcPr>
            <w:cnfStyle w:val="000010000000" w:firstRow="0" w:lastRow="0" w:firstColumn="0" w:lastColumn="0" w:oddVBand="1" w:evenVBand="0" w:oddHBand="0" w:evenHBand="0" w:firstRowFirstColumn="0" w:firstRowLastColumn="0" w:lastRowFirstColumn="0" w:lastRowLastColumn="0"/>
            <w:tcW w:w="853" w:type="pct"/>
            <w:shd w:val="clear" w:color="auto" w:fill="auto"/>
          </w:tcPr>
          <w:p w14:paraId="4427043E" w14:textId="77777777" w:rsidR="00C80CC8" w:rsidRPr="00227C22" w:rsidRDefault="00C80CC8" w:rsidP="000B0FB1">
            <w:r w:rsidRPr="00227C22">
              <w:t>Environmental goal</w:t>
            </w:r>
          </w:p>
        </w:tc>
        <w:tc>
          <w:tcPr>
            <w:tcW w:w="3345" w:type="pct"/>
            <w:shd w:val="clear" w:color="auto" w:fill="auto"/>
          </w:tcPr>
          <w:p w14:paraId="27DA9524" w14:textId="77777777" w:rsidR="00C80CC8" w:rsidRPr="00227C22" w:rsidRDefault="00C80CC8" w:rsidP="000B0FB1">
            <w:pPr>
              <w:cnfStyle w:val="000000000000" w:firstRow="0" w:lastRow="0" w:firstColumn="0" w:lastColumn="0" w:oddVBand="0" w:evenVBand="0" w:oddHBand="0" w:evenHBand="0" w:firstRowFirstColumn="0" w:firstRowLastColumn="0" w:lastRowFirstColumn="0" w:lastRowLastColumn="0"/>
            </w:pPr>
            <w:r w:rsidRPr="00227C22">
              <w:t>The goal of the AAQ NEPM should be revised to make reference to the air quality standards and incorporation of exposure-reduction targets for priority pollutants.</w:t>
            </w:r>
          </w:p>
        </w:tc>
      </w:tr>
      <w:tr w:rsidR="00C80CC8" w:rsidRPr="00227C22" w14:paraId="025E3414" w14:textId="77777777" w:rsidTr="00B200BE">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802" w:type="pct"/>
          </w:tcPr>
          <w:p w14:paraId="7B820D97" w14:textId="77777777" w:rsidR="00C80CC8" w:rsidRPr="00227C22" w:rsidRDefault="00C80CC8" w:rsidP="000B0FB1">
            <w:r w:rsidRPr="00227C22">
              <w:t>16, 24</w:t>
            </w:r>
          </w:p>
        </w:tc>
        <w:tc>
          <w:tcPr>
            <w:cnfStyle w:val="000010000000" w:firstRow="0" w:lastRow="0" w:firstColumn="0" w:lastColumn="0" w:oddVBand="1" w:evenVBand="0" w:oddHBand="0" w:evenHBand="0" w:firstRowFirstColumn="0" w:firstRowLastColumn="0" w:lastRowFirstColumn="0" w:lastRowLastColumn="0"/>
            <w:tcW w:w="853" w:type="pct"/>
          </w:tcPr>
          <w:p w14:paraId="475064B3" w14:textId="77777777" w:rsidR="00C80CC8" w:rsidRPr="00227C22" w:rsidRDefault="00C80CC8" w:rsidP="000B0FB1">
            <w:r w:rsidRPr="00227C22">
              <w:t xml:space="preserve">Annual reporting of population exposure </w:t>
            </w:r>
          </w:p>
        </w:tc>
        <w:tc>
          <w:tcPr>
            <w:tcW w:w="3345" w:type="pct"/>
          </w:tcPr>
          <w:p w14:paraId="7233F0D4" w14:textId="77777777" w:rsidR="00C80CC8" w:rsidRPr="00227C22" w:rsidRDefault="00C80CC8" w:rsidP="000B0FB1">
            <w:pPr>
              <w:cnfStyle w:val="000000100000" w:firstRow="0" w:lastRow="0" w:firstColumn="0" w:lastColumn="0" w:oddVBand="0" w:evenVBand="0" w:oddHBand="1" w:evenHBand="0" w:firstRowFirstColumn="0" w:firstRowLastColumn="0" w:lastRowFirstColumn="0" w:lastRowLastColumn="0"/>
            </w:pPr>
            <w:r w:rsidRPr="00227C22">
              <w:t>Jurisdictions should also commence reporting on population exposure to NO</w:t>
            </w:r>
            <w:r w:rsidRPr="001C32EF">
              <w:t>2</w:t>
            </w:r>
            <w:r w:rsidRPr="00227C22">
              <w:t xml:space="preserve"> annually from the commencement of a varied AAQ NEPM.</w:t>
            </w:r>
          </w:p>
          <w:p w14:paraId="0B98DCE0" w14:textId="77406B57" w:rsidR="00C80CC8" w:rsidRPr="00227C22" w:rsidRDefault="00C80CC8" w:rsidP="000B0FB1">
            <w:pPr>
              <w:cnfStyle w:val="000000100000" w:firstRow="0" w:lastRow="0" w:firstColumn="0" w:lastColumn="0" w:oddVBand="0" w:evenVBand="0" w:oddHBand="1" w:evenHBand="0" w:firstRowFirstColumn="0" w:firstRowLastColumn="0" w:lastRowFirstColumn="0" w:lastRowLastColumn="0"/>
            </w:pPr>
            <w:r w:rsidRPr="001C32EF">
              <w:t>Jurisdictions should commence reporting on population exposure to O3 from the commencement of a varied AAQ NEPM.</w:t>
            </w:r>
          </w:p>
        </w:tc>
      </w:tr>
      <w:tr w:rsidR="00C80CC8" w:rsidRPr="00227C22" w14:paraId="0D9B6BCA" w14:textId="77777777" w:rsidTr="00B200BE">
        <w:trPr>
          <w:cantSplit/>
          <w:trHeight w:val="397"/>
        </w:trPr>
        <w:tc>
          <w:tcPr>
            <w:cnfStyle w:val="001000000000" w:firstRow="0" w:lastRow="0" w:firstColumn="1" w:lastColumn="0" w:oddVBand="0" w:evenVBand="0" w:oddHBand="0" w:evenHBand="0" w:firstRowFirstColumn="0" w:firstRowLastColumn="0" w:lastRowFirstColumn="0" w:lastRowLastColumn="0"/>
            <w:tcW w:w="802" w:type="pct"/>
            <w:shd w:val="clear" w:color="auto" w:fill="auto"/>
          </w:tcPr>
          <w:p w14:paraId="7300874E" w14:textId="77777777" w:rsidR="00C80CC8" w:rsidRPr="00227C22" w:rsidRDefault="00C80CC8" w:rsidP="000B0FB1">
            <w:r w:rsidRPr="00227C22">
              <w:t>18</w:t>
            </w:r>
          </w:p>
        </w:tc>
        <w:tc>
          <w:tcPr>
            <w:cnfStyle w:val="000010000000" w:firstRow="0" w:lastRow="0" w:firstColumn="0" w:lastColumn="0" w:oddVBand="1" w:evenVBand="0" w:oddHBand="0" w:evenHBand="0" w:firstRowFirstColumn="0" w:firstRowLastColumn="0" w:lastRowFirstColumn="0" w:lastRowLastColumn="0"/>
            <w:tcW w:w="853" w:type="pct"/>
            <w:shd w:val="clear" w:color="auto" w:fill="auto"/>
          </w:tcPr>
          <w:p w14:paraId="7653A356" w14:textId="77777777" w:rsidR="00C80CC8" w:rsidRPr="00227C22" w:rsidRDefault="00C80CC8" w:rsidP="000B0FB1">
            <w:r w:rsidRPr="00227C22">
              <w:t>Record and report 1 – hour O</w:t>
            </w:r>
            <w:r w:rsidRPr="00227C22">
              <w:rPr>
                <w:vertAlign w:val="subscript"/>
              </w:rPr>
              <w:t>3</w:t>
            </w:r>
            <w:r w:rsidRPr="00227C22">
              <w:t xml:space="preserve"> concentrations</w:t>
            </w:r>
          </w:p>
        </w:tc>
        <w:tc>
          <w:tcPr>
            <w:tcW w:w="3345" w:type="pct"/>
            <w:shd w:val="clear" w:color="auto" w:fill="auto"/>
          </w:tcPr>
          <w:p w14:paraId="01AE0FA9" w14:textId="77777777" w:rsidR="00C80CC8" w:rsidRPr="00227C22" w:rsidRDefault="00C80CC8" w:rsidP="000B0FB1">
            <w:pPr>
              <w:cnfStyle w:val="000000000000" w:firstRow="0" w:lastRow="0" w:firstColumn="0" w:lastColumn="0" w:oddVBand="0" w:evenVBand="0" w:oddHBand="0" w:evenHBand="0" w:firstRowFirstColumn="0" w:firstRowLastColumn="0" w:lastRowFirstColumn="0" w:lastRowLastColumn="0"/>
            </w:pPr>
            <w:r w:rsidRPr="001C32EF">
              <w:t>Jurisdictions should continue to record and report 1-hour O3 concentrations.</w:t>
            </w:r>
          </w:p>
        </w:tc>
      </w:tr>
      <w:tr w:rsidR="00C80CC8" w:rsidRPr="00227C22" w14:paraId="3DFE59D2" w14:textId="77777777" w:rsidTr="00B200BE">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802" w:type="pct"/>
          </w:tcPr>
          <w:p w14:paraId="1E82CA00" w14:textId="77777777" w:rsidR="00C80CC8" w:rsidRPr="00227C22" w:rsidRDefault="00C80CC8" w:rsidP="000B0FB1">
            <w:r w:rsidRPr="00227C22">
              <w:t>20</w:t>
            </w:r>
          </w:p>
        </w:tc>
        <w:tc>
          <w:tcPr>
            <w:cnfStyle w:val="000010000000" w:firstRow="0" w:lastRow="0" w:firstColumn="0" w:lastColumn="0" w:oddVBand="1" w:evenVBand="0" w:oddHBand="0" w:evenHBand="0" w:firstRowFirstColumn="0" w:firstRowLastColumn="0" w:lastRowFirstColumn="0" w:lastRowLastColumn="0"/>
            <w:tcW w:w="853" w:type="pct"/>
          </w:tcPr>
          <w:p w14:paraId="1A8C3386" w14:textId="77777777" w:rsidR="00C80CC8" w:rsidRPr="00227C22" w:rsidRDefault="00C80CC8" w:rsidP="000B0FB1">
            <w:r w:rsidRPr="00227C22">
              <w:t>8 – hour O</w:t>
            </w:r>
            <w:r w:rsidRPr="00227C22">
              <w:rPr>
                <w:vertAlign w:val="subscript"/>
              </w:rPr>
              <w:t xml:space="preserve">3 </w:t>
            </w:r>
            <w:r w:rsidRPr="00227C22">
              <w:t>standard review in 2025</w:t>
            </w:r>
          </w:p>
        </w:tc>
        <w:tc>
          <w:tcPr>
            <w:tcW w:w="3345" w:type="pct"/>
          </w:tcPr>
          <w:p w14:paraId="0FA16723" w14:textId="77777777" w:rsidR="00C80CC8" w:rsidRPr="00227C22" w:rsidRDefault="00C80CC8" w:rsidP="000B0FB1">
            <w:pPr>
              <w:cnfStyle w:val="000000100000" w:firstRow="0" w:lastRow="0" w:firstColumn="0" w:lastColumn="0" w:oddVBand="0" w:evenVBand="0" w:oddHBand="1" w:evenHBand="0" w:firstRowFirstColumn="0" w:firstRowLastColumn="0" w:lastRowFirstColumn="0" w:lastRowLastColumn="0"/>
            </w:pPr>
            <w:r w:rsidRPr="001C32EF">
              <w:t>The 8-hour standard should be reviewed in 2025, with the option of reducing it once there is a better understanding of O3 generation in capital city airsheds.</w:t>
            </w:r>
          </w:p>
        </w:tc>
      </w:tr>
      <w:tr w:rsidR="00C80CC8" w:rsidRPr="00227C22" w14:paraId="40D73F19" w14:textId="77777777" w:rsidTr="00B200BE">
        <w:trPr>
          <w:cantSplit/>
          <w:trHeight w:val="397"/>
        </w:trPr>
        <w:tc>
          <w:tcPr>
            <w:cnfStyle w:val="001000000000" w:firstRow="0" w:lastRow="0" w:firstColumn="1" w:lastColumn="0" w:oddVBand="0" w:evenVBand="0" w:oddHBand="0" w:evenHBand="0" w:firstRowFirstColumn="0" w:firstRowLastColumn="0" w:lastRowFirstColumn="0" w:lastRowLastColumn="0"/>
            <w:tcW w:w="802" w:type="pct"/>
            <w:shd w:val="clear" w:color="auto" w:fill="auto"/>
          </w:tcPr>
          <w:p w14:paraId="61C8984A" w14:textId="77777777" w:rsidR="00C80CC8" w:rsidRPr="00227C22" w:rsidRDefault="00C80CC8" w:rsidP="000B0FB1">
            <w:r w:rsidRPr="00227C22">
              <w:t>22</w:t>
            </w:r>
          </w:p>
        </w:tc>
        <w:tc>
          <w:tcPr>
            <w:cnfStyle w:val="000010000000" w:firstRow="0" w:lastRow="0" w:firstColumn="0" w:lastColumn="0" w:oddVBand="1" w:evenVBand="0" w:oddHBand="0" w:evenHBand="0" w:firstRowFirstColumn="0" w:firstRowLastColumn="0" w:lastRowFirstColumn="0" w:lastRowLastColumn="0"/>
            <w:tcW w:w="853" w:type="pct"/>
            <w:shd w:val="clear" w:color="auto" w:fill="auto"/>
          </w:tcPr>
          <w:p w14:paraId="67874844" w14:textId="77777777" w:rsidR="00C80CC8" w:rsidRPr="00227C22" w:rsidRDefault="00C80CC8" w:rsidP="000B0FB1">
            <w:r w:rsidRPr="00227C22">
              <w:t>Exceptional event rule for O</w:t>
            </w:r>
            <w:r w:rsidRPr="00227C22">
              <w:rPr>
                <w:vertAlign w:val="subscript"/>
              </w:rPr>
              <w:t>3</w:t>
            </w:r>
          </w:p>
        </w:tc>
        <w:tc>
          <w:tcPr>
            <w:tcW w:w="3345" w:type="pct"/>
            <w:shd w:val="clear" w:color="auto" w:fill="auto"/>
          </w:tcPr>
          <w:p w14:paraId="4BEC3C6F" w14:textId="77777777" w:rsidR="00C80CC8" w:rsidRPr="00227C22" w:rsidRDefault="00C80CC8" w:rsidP="000B0FB1">
            <w:pPr>
              <w:cnfStyle w:val="000000000000" w:firstRow="0" w:lastRow="0" w:firstColumn="0" w:lastColumn="0" w:oddVBand="0" w:evenVBand="0" w:oddHBand="0" w:evenHBand="0" w:firstRowFirstColumn="0" w:firstRowLastColumn="0" w:lastRowFirstColumn="0" w:lastRowLastColumn="0"/>
            </w:pPr>
            <w:r w:rsidRPr="001C32EF">
              <w:t>An exceptional event rule should be implemented for O3, defined in a way that is consistent with the approach for PM10 and PM2.5 in the AAQ NEPM.</w:t>
            </w:r>
          </w:p>
        </w:tc>
      </w:tr>
      <w:tr w:rsidR="00C80CC8" w:rsidRPr="00227C22" w14:paraId="16595357" w14:textId="77777777" w:rsidTr="00B200BE">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802" w:type="pct"/>
          </w:tcPr>
          <w:p w14:paraId="1C9C7495" w14:textId="77777777" w:rsidR="00C80CC8" w:rsidRPr="00227C22" w:rsidRDefault="00C80CC8" w:rsidP="000B0FB1">
            <w:r w:rsidRPr="00227C22">
              <w:t>23</w:t>
            </w:r>
          </w:p>
        </w:tc>
        <w:tc>
          <w:tcPr>
            <w:cnfStyle w:val="000010000000" w:firstRow="0" w:lastRow="0" w:firstColumn="0" w:lastColumn="0" w:oddVBand="1" w:evenVBand="0" w:oddHBand="0" w:evenHBand="0" w:firstRowFirstColumn="0" w:firstRowLastColumn="0" w:lastRowFirstColumn="0" w:lastRowLastColumn="0"/>
            <w:tcW w:w="853" w:type="pct"/>
          </w:tcPr>
          <w:p w14:paraId="39312B15" w14:textId="77777777" w:rsidR="00C80CC8" w:rsidRPr="00227C22" w:rsidRDefault="00C80CC8" w:rsidP="000B0FB1">
            <w:r w:rsidRPr="00227C22">
              <w:t>Exposure reduction framework for O</w:t>
            </w:r>
            <w:r w:rsidRPr="00227C22">
              <w:rPr>
                <w:vertAlign w:val="subscript"/>
              </w:rPr>
              <w:t>3</w:t>
            </w:r>
          </w:p>
        </w:tc>
        <w:tc>
          <w:tcPr>
            <w:tcW w:w="3345" w:type="pct"/>
          </w:tcPr>
          <w:p w14:paraId="2E4E8BE3" w14:textId="77777777" w:rsidR="00C80CC8" w:rsidRPr="00227C22" w:rsidRDefault="00C80CC8" w:rsidP="000B0FB1">
            <w:pPr>
              <w:cnfStyle w:val="000000100000" w:firstRow="0" w:lastRow="0" w:firstColumn="0" w:lastColumn="0" w:oddVBand="0" w:evenVBand="0" w:oddHBand="1" w:evenHBand="0" w:firstRowFirstColumn="0" w:firstRowLastColumn="0" w:lastRowFirstColumn="0" w:lastRowLastColumn="0"/>
            </w:pPr>
            <w:r w:rsidRPr="001C32EF">
              <w:t>An exposure-reduction framework, in the form of a long-term goal for O3, should be considered to reduce population exposure and associated health risk</w:t>
            </w:r>
            <w:r w:rsidRPr="00227C22">
              <w:t xml:space="preserve"> </w:t>
            </w:r>
            <w:r w:rsidRPr="001C32EF">
              <w:t>once there is a better understanding of O3 generation in capital city airsheds.</w:t>
            </w:r>
          </w:p>
        </w:tc>
      </w:tr>
    </w:tbl>
    <w:p w14:paraId="1170D59E" w14:textId="1A32FCAE" w:rsidR="00384DE1" w:rsidRPr="00C8470E" w:rsidRDefault="00C80CC8" w:rsidP="000B0FB1">
      <w:r w:rsidRPr="00C8470E">
        <w:t>Further details are available in Chapter 10 of the Impact Statement.</w:t>
      </w:r>
      <w:r w:rsidR="00384DE1" w:rsidRPr="00384DE1">
        <w:t xml:space="preserve"> </w:t>
      </w:r>
    </w:p>
    <w:p w14:paraId="0303F94E" w14:textId="787BDBE5" w:rsidR="00C80CC8" w:rsidRPr="00C8470E" w:rsidRDefault="00542BDF" w:rsidP="000B0FB1">
      <w:pPr>
        <w:pStyle w:val="Heading2"/>
      </w:pPr>
      <w:bookmarkStart w:id="45" w:name="_Toc9508355"/>
      <w:bookmarkStart w:id="46" w:name="_Toc9516929"/>
      <w:bookmarkStart w:id="47" w:name="_Toc9520949"/>
      <w:r w:rsidRPr="00C8470E">
        <w:lastRenderedPageBreak/>
        <w:t>Q11</w:t>
      </w:r>
      <w:r w:rsidR="00C80CC8" w:rsidRPr="00C8470E">
        <w:t>.</w:t>
      </w:r>
      <w:r w:rsidR="00C80CC8" w:rsidRPr="00C8470E">
        <w:tab/>
        <w:t>Why is it recommended to remove the annual SO</w:t>
      </w:r>
      <w:r w:rsidR="00C80CC8" w:rsidRPr="00C8470E">
        <w:rPr>
          <w:vertAlign w:val="subscript"/>
        </w:rPr>
        <w:t>2</w:t>
      </w:r>
      <w:r w:rsidR="00C80CC8" w:rsidRPr="00C8470E">
        <w:t xml:space="preserve"> and 1 and 4 - hour O</w:t>
      </w:r>
      <w:r w:rsidR="00C80CC8" w:rsidRPr="00C8470E">
        <w:rPr>
          <w:vertAlign w:val="subscript"/>
        </w:rPr>
        <w:t>3</w:t>
      </w:r>
      <w:r w:rsidR="00C80CC8" w:rsidRPr="00C8470E">
        <w:t xml:space="preserve"> standards?</w:t>
      </w:r>
      <w:bookmarkEnd w:id="45"/>
      <w:bookmarkEnd w:id="46"/>
      <w:bookmarkEnd w:id="47"/>
    </w:p>
    <w:p w14:paraId="4A7FDBCF" w14:textId="6DB6B1AA" w:rsidR="00C80CC8" w:rsidRPr="00C8470E" w:rsidRDefault="00C80CC8" w:rsidP="000B0FB1">
      <w:pPr>
        <w:rPr>
          <w:b/>
        </w:rPr>
      </w:pPr>
      <w:r w:rsidRPr="00C8470E">
        <w:t>The main health effects from SO</w:t>
      </w:r>
      <w:r w:rsidRPr="00C8470E">
        <w:rPr>
          <w:vertAlign w:val="subscript"/>
        </w:rPr>
        <w:t>2</w:t>
      </w:r>
      <w:r w:rsidRPr="00C8470E">
        <w:t xml:space="preserve"> are short-term. WHO advises an annual guideline is not needed since compliance with a 24-hour level will assure low annual average levels. </w:t>
      </w:r>
      <w:r w:rsidR="008C16A1" w:rsidRPr="00C8470E">
        <w:t>Many i</w:t>
      </w:r>
      <w:r w:rsidRPr="00C8470E">
        <w:t xml:space="preserve">nternational jurisdictions have </w:t>
      </w:r>
      <w:r w:rsidR="008C16A1" w:rsidRPr="00C8470E">
        <w:t xml:space="preserve">already </w:t>
      </w:r>
      <w:r w:rsidRPr="00C8470E">
        <w:t xml:space="preserve">revoked this standard and are focusing on implementing shorter-term standards. </w:t>
      </w:r>
    </w:p>
    <w:p w14:paraId="43B8E496" w14:textId="44AB1582" w:rsidR="00384DE1" w:rsidRPr="00C8470E" w:rsidRDefault="00C80CC8" w:rsidP="000B0FB1">
      <w:r w:rsidRPr="00C8470E">
        <w:rPr>
          <w:rFonts w:eastAsiaTheme="minorHAnsi"/>
          <w:lang w:eastAsia="en-US"/>
        </w:rPr>
        <w:t>The 1 and 4-hour O</w:t>
      </w:r>
      <w:r w:rsidRPr="00C8470E">
        <w:rPr>
          <w:rFonts w:eastAsiaTheme="minorHAnsi"/>
          <w:vertAlign w:val="subscript"/>
          <w:lang w:eastAsia="en-US"/>
        </w:rPr>
        <w:t>3</w:t>
      </w:r>
      <w:r w:rsidRPr="00C8470E">
        <w:rPr>
          <w:rFonts w:eastAsiaTheme="minorHAnsi"/>
          <w:lang w:eastAsia="en-US"/>
        </w:rPr>
        <w:t xml:space="preserve"> standards are not recommended by WHO or used in most international </w:t>
      </w:r>
      <w:r w:rsidRPr="003A6989">
        <w:t>jurisdictions</w:t>
      </w:r>
      <w:r w:rsidR="00AE0483" w:rsidRPr="003A6989">
        <w:t xml:space="preserve">. </w:t>
      </w:r>
      <w:r w:rsidRPr="003A6989">
        <w:t>The 8-hour standard appropriately represents daily exposure levels</w:t>
      </w:r>
      <w:r w:rsidR="008C16A1" w:rsidRPr="003A6989">
        <w:t xml:space="preserve"> and risks</w:t>
      </w:r>
      <w:r w:rsidRPr="003A6989">
        <w:t>. WHO has not found any evidence that setting a 1-hour standard provides any additional health protection and advises that the 8-hour guideline would also protect</w:t>
      </w:r>
      <w:r w:rsidR="00155061">
        <w:t xml:space="preserve"> against acute 1-hour exposures.</w:t>
      </w:r>
      <w:r w:rsidR="00384DE1" w:rsidRPr="00384DE1">
        <w:t xml:space="preserve"> </w:t>
      </w:r>
    </w:p>
    <w:p w14:paraId="64A88104" w14:textId="133AD21F" w:rsidR="00C80CC8" w:rsidRPr="00C8470E" w:rsidRDefault="00542BDF" w:rsidP="000B0FB1">
      <w:pPr>
        <w:pStyle w:val="Heading2"/>
      </w:pPr>
      <w:bookmarkStart w:id="48" w:name="_Toc9508356"/>
      <w:bookmarkStart w:id="49" w:name="_Toc9516930"/>
      <w:bookmarkStart w:id="50" w:name="_Toc9520950"/>
      <w:r w:rsidRPr="00C8470E">
        <w:t>Q12</w:t>
      </w:r>
      <w:r w:rsidR="00C80CC8" w:rsidRPr="00C8470E">
        <w:t>.</w:t>
      </w:r>
      <w:r w:rsidR="00C80CC8" w:rsidRPr="00C8470E">
        <w:tab/>
        <w:t>Are the recommendations for the SO</w:t>
      </w:r>
      <w:r w:rsidR="00C80CC8" w:rsidRPr="00C8470E">
        <w:rPr>
          <w:vertAlign w:val="subscript"/>
        </w:rPr>
        <w:t>2</w:t>
      </w:r>
      <w:r w:rsidR="00C80CC8" w:rsidRPr="00C8470E">
        <w:t>, NO</w:t>
      </w:r>
      <w:r w:rsidR="00C80CC8" w:rsidRPr="00C8470E">
        <w:rPr>
          <w:vertAlign w:val="subscript"/>
        </w:rPr>
        <w:t>2</w:t>
      </w:r>
      <w:r w:rsidR="00C80CC8" w:rsidRPr="00C8470E">
        <w:t xml:space="preserve"> and O</w:t>
      </w:r>
      <w:r w:rsidR="00C80CC8" w:rsidRPr="00C8470E">
        <w:rPr>
          <w:vertAlign w:val="subscript"/>
        </w:rPr>
        <w:t>3</w:t>
      </w:r>
      <w:r w:rsidR="00C80CC8" w:rsidRPr="00C8470E">
        <w:t xml:space="preserve"> standards in line with international standards?</w:t>
      </w:r>
      <w:bookmarkEnd w:id="48"/>
      <w:bookmarkEnd w:id="49"/>
      <w:bookmarkEnd w:id="50"/>
      <w:r w:rsidR="00C80CC8" w:rsidRPr="00C8470E">
        <w:t xml:space="preserve"> </w:t>
      </w:r>
    </w:p>
    <w:p w14:paraId="4C7D7F32" w14:textId="35D6C170" w:rsidR="00D11CA8" w:rsidRPr="00C8470E" w:rsidRDefault="00C92CE4" w:rsidP="000B0FB1">
      <w:r w:rsidRPr="00C8470E">
        <w:t>A c</w:t>
      </w:r>
      <w:r w:rsidR="00D11CA8" w:rsidRPr="00C8470E">
        <w:t>omparison of recommended standards with WHO and a range of international standards</w:t>
      </w:r>
      <w:r w:rsidRPr="00C8470E">
        <w:t xml:space="preserve"> is provided in the Table below</w:t>
      </w:r>
      <w:r w:rsidR="00D11CA8" w:rsidRPr="00C8470E">
        <w:t xml:space="preserve">. More detail is provided in </w:t>
      </w:r>
      <w:hyperlink w:anchor="AppendixA" w:history="1">
        <w:r w:rsidR="00D11CA8" w:rsidRPr="00227C22">
          <w:rPr>
            <w:rStyle w:val="Hyperlink"/>
            <w:rFonts w:asciiTheme="minorHAnsi" w:hAnsiTheme="minorHAnsi"/>
            <w:sz w:val="22"/>
            <w:szCs w:val="22"/>
          </w:rPr>
          <w:t>Appendix A</w:t>
        </w:r>
      </w:hyperlink>
      <w:r w:rsidR="00D11CA8" w:rsidRPr="00C8470E">
        <w:t>.</w:t>
      </w:r>
    </w:p>
    <w:tbl>
      <w:tblPr>
        <w:tblStyle w:val="TableGridLight"/>
        <w:tblW w:w="0" w:type="auto"/>
        <w:tblLook w:val="04A0" w:firstRow="1" w:lastRow="0" w:firstColumn="1" w:lastColumn="0" w:noHBand="0" w:noVBand="1"/>
      </w:tblPr>
      <w:tblGrid>
        <w:gridCol w:w="1413"/>
        <w:gridCol w:w="1930"/>
        <w:gridCol w:w="2002"/>
        <w:gridCol w:w="2588"/>
        <w:gridCol w:w="2523"/>
      </w:tblGrid>
      <w:tr w:rsidR="00C92CE4" w:rsidRPr="00573612" w14:paraId="424BDF7B" w14:textId="77777777" w:rsidTr="00573612">
        <w:tc>
          <w:tcPr>
            <w:tcW w:w="1413" w:type="dxa"/>
            <w:vMerge w:val="restart"/>
            <w:shd w:val="clear" w:color="auto" w:fill="BFBFBF" w:themeFill="background1" w:themeFillShade="BF"/>
          </w:tcPr>
          <w:p w14:paraId="641A20FF" w14:textId="77777777" w:rsidR="00C92CE4" w:rsidRPr="00573612" w:rsidRDefault="00C92CE4" w:rsidP="00573612">
            <w:pPr>
              <w:spacing w:before="60" w:after="60" w:line="240" w:lineRule="auto"/>
              <w:textAlignment w:val="auto"/>
              <w:rPr>
                <w:rFonts w:cs="Times New Roman"/>
                <w:b/>
                <w:bCs/>
                <w:color w:val="000000"/>
              </w:rPr>
            </w:pPr>
            <w:r w:rsidRPr="00573612">
              <w:rPr>
                <w:rFonts w:cs="Times New Roman"/>
                <w:b/>
                <w:bCs/>
                <w:color w:val="000000"/>
              </w:rPr>
              <w:t>Standard</w:t>
            </w:r>
          </w:p>
        </w:tc>
        <w:tc>
          <w:tcPr>
            <w:tcW w:w="1930" w:type="dxa"/>
            <w:vMerge w:val="restart"/>
            <w:shd w:val="clear" w:color="auto" w:fill="BFBFBF" w:themeFill="background1" w:themeFillShade="BF"/>
          </w:tcPr>
          <w:p w14:paraId="5970CEF8" w14:textId="77777777" w:rsidR="00C92CE4" w:rsidRPr="00573612" w:rsidRDefault="00C92CE4" w:rsidP="00573612">
            <w:pPr>
              <w:spacing w:before="60" w:after="60" w:line="240" w:lineRule="auto"/>
              <w:textAlignment w:val="auto"/>
              <w:rPr>
                <w:rFonts w:cs="Times New Roman"/>
                <w:b/>
                <w:bCs/>
                <w:color w:val="000000"/>
              </w:rPr>
            </w:pPr>
            <w:r w:rsidRPr="00573612">
              <w:rPr>
                <w:rFonts w:cs="Times New Roman"/>
                <w:b/>
                <w:bCs/>
                <w:color w:val="000000"/>
              </w:rPr>
              <w:t>International standards</w:t>
            </w:r>
          </w:p>
          <w:p w14:paraId="57C0F55B" w14:textId="77777777" w:rsidR="00C92CE4" w:rsidRPr="009D4D53" w:rsidRDefault="00C92CE4" w:rsidP="00573612">
            <w:pPr>
              <w:spacing w:before="60" w:after="60" w:line="240" w:lineRule="auto"/>
              <w:textAlignment w:val="auto"/>
              <w:rPr>
                <w:rFonts w:cs="Times New Roman"/>
                <w:bCs/>
                <w:color w:val="000000"/>
              </w:rPr>
            </w:pPr>
            <w:r w:rsidRPr="009D4D53">
              <w:rPr>
                <w:rFonts w:cs="Times New Roman"/>
                <w:bCs/>
                <w:color w:val="000000"/>
              </w:rPr>
              <w:t>(ppb)</w:t>
            </w:r>
          </w:p>
        </w:tc>
        <w:tc>
          <w:tcPr>
            <w:tcW w:w="0" w:type="auto"/>
            <w:vMerge w:val="restart"/>
            <w:shd w:val="clear" w:color="auto" w:fill="BFBFBF" w:themeFill="background1" w:themeFillShade="BF"/>
          </w:tcPr>
          <w:p w14:paraId="2091882A" w14:textId="77777777" w:rsidR="00C92CE4" w:rsidRPr="00573612" w:rsidRDefault="00C92CE4" w:rsidP="00573612">
            <w:pPr>
              <w:spacing w:before="60" w:after="60" w:line="240" w:lineRule="auto"/>
              <w:textAlignment w:val="auto"/>
              <w:rPr>
                <w:rFonts w:cs="Times New Roman"/>
                <w:b/>
                <w:bCs/>
                <w:color w:val="000000"/>
              </w:rPr>
            </w:pPr>
            <w:r w:rsidRPr="00573612">
              <w:rPr>
                <w:rFonts w:cs="Times New Roman"/>
                <w:b/>
                <w:bCs/>
                <w:color w:val="000000"/>
              </w:rPr>
              <w:t xml:space="preserve">Current standard </w:t>
            </w:r>
            <w:r w:rsidRPr="009D4D53">
              <w:rPr>
                <w:rFonts w:cs="Times New Roman"/>
                <w:bCs/>
                <w:color w:val="000000"/>
              </w:rPr>
              <w:t>(ppb)</w:t>
            </w:r>
          </w:p>
        </w:tc>
        <w:tc>
          <w:tcPr>
            <w:tcW w:w="0" w:type="auto"/>
            <w:gridSpan w:val="2"/>
            <w:shd w:val="clear" w:color="auto" w:fill="BFBFBF" w:themeFill="background1" w:themeFillShade="BF"/>
          </w:tcPr>
          <w:p w14:paraId="48E0DC48" w14:textId="77777777" w:rsidR="009D4D53" w:rsidRDefault="00C92CE4" w:rsidP="00573612">
            <w:pPr>
              <w:spacing w:before="60" w:after="60" w:line="240" w:lineRule="auto"/>
              <w:jc w:val="center"/>
              <w:textAlignment w:val="auto"/>
              <w:rPr>
                <w:rFonts w:cs="Times New Roman"/>
                <w:b/>
                <w:bCs/>
                <w:color w:val="000000"/>
              </w:rPr>
            </w:pPr>
            <w:r w:rsidRPr="00573612">
              <w:rPr>
                <w:rFonts w:cs="Times New Roman"/>
                <w:b/>
                <w:bCs/>
                <w:color w:val="000000"/>
              </w:rPr>
              <w:t xml:space="preserve">Recommended standards </w:t>
            </w:r>
          </w:p>
          <w:p w14:paraId="0A218083" w14:textId="756FA32D" w:rsidR="00C92CE4" w:rsidRPr="00573612" w:rsidRDefault="00C92CE4" w:rsidP="00573612">
            <w:pPr>
              <w:spacing w:before="60" w:after="60" w:line="240" w:lineRule="auto"/>
              <w:jc w:val="center"/>
              <w:textAlignment w:val="auto"/>
              <w:rPr>
                <w:rFonts w:cs="Times New Roman"/>
                <w:b/>
                <w:bCs/>
                <w:color w:val="000000"/>
              </w:rPr>
            </w:pPr>
            <w:r w:rsidRPr="009D4D53">
              <w:rPr>
                <w:rFonts w:cs="Times New Roman"/>
                <w:bCs/>
                <w:color w:val="000000"/>
              </w:rPr>
              <w:t>(ppb)</w:t>
            </w:r>
          </w:p>
        </w:tc>
      </w:tr>
      <w:tr w:rsidR="00C92CE4" w:rsidRPr="00573612" w14:paraId="5471FC60" w14:textId="77777777" w:rsidTr="00573612">
        <w:tc>
          <w:tcPr>
            <w:tcW w:w="1413" w:type="dxa"/>
            <w:vMerge/>
            <w:shd w:val="clear" w:color="auto" w:fill="BFBFBF" w:themeFill="background1" w:themeFillShade="BF"/>
          </w:tcPr>
          <w:p w14:paraId="73C94CDE" w14:textId="77777777" w:rsidR="00C92CE4" w:rsidRPr="00573612" w:rsidRDefault="00C92CE4" w:rsidP="00573612">
            <w:pPr>
              <w:spacing w:before="60" w:after="60" w:line="240" w:lineRule="auto"/>
              <w:textAlignment w:val="auto"/>
              <w:rPr>
                <w:rFonts w:cs="Times New Roman"/>
                <w:b/>
                <w:bCs/>
                <w:color w:val="000000"/>
              </w:rPr>
            </w:pPr>
          </w:p>
        </w:tc>
        <w:tc>
          <w:tcPr>
            <w:tcW w:w="1930" w:type="dxa"/>
            <w:vMerge/>
            <w:shd w:val="clear" w:color="auto" w:fill="BFBFBF" w:themeFill="background1" w:themeFillShade="BF"/>
          </w:tcPr>
          <w:p w14:paraId="0C96E307" w14:textId="77777777" w:rsidR="00C92CE4" w:rsidRPr="00573612" w:rsidRDefault="00C92CE4" w:rsidP="00573612">
            <w:pPr>
              <w:spacing w:before="60" w:after="60" w:line="240" w:lineRule="auto"/>
              <w:textAlignment w:val="auto"/>
              <w:rPr>
                <w:rFonts w:cs="Times New Roman"/>
                <w:b/>
                <w:bCs/>
                <w:color w:val="000000"/>
              </w:rPr>
            </w:pPr>
          </w:p>
        </w:tc>
        <w:tc>
          <w:tcPr>
            <w:tcW w:w="0" w:type="auto"/>
            <w:vMerge/>
            <w:shd w:val="clear" w:color="auto" w:fill="BFBFBF" w:themeFill="background1" w:themeFillShade="BF"/>
          </w:tcPr>
          <w:p w14:paraId="1390391F" w14:textId="77777777" w:rsidR="00C92CE4" w:rsidRPr="00573612" w:rsidRDefault="00C92CE4" w:rsidP="00573612">
            <w:pPr>
              <w:spacing w:before="60" w:after="60" w:line="240" w:lineRule="auto"/>
              <w:textAlignment w:val="auto"/>
              <w:rPr>
                <w:rFonts w:cs="Times New Roman"/>
                <w:b/>
                <w:bCs/>
                <w:color w:val="000000"/>
              </w:rPr>
            </w:pPr>
          </w:p>
        </w:tc>
        <w:tc>
          <w:tcPr>
            <w:tcW w:w="2588" w:type="dxa"/>
            <w:shd w:val="clear" w:color="auto" w:fill="BFBFBF" w:themeFill="background1" w:themeFillShade="BF"/>
          </w:tcPr>
          <w:p w14:paraId="1EEC08DF" w14:textId="77777777" w:rsidR="00C92CE4" w:rsidRPr="00573612" w:rsidRDefault="00C92CE4" w:rsidP="00573612">
            <w:pPr>
              <w:spacing w:before="60" w:after="60" w:line="240" w:lineRule="auto"/>
              <w:textAlignment w:val="auto"/>
              <w:rPr>
                <w:rFonts w:cs="Times New Roman"/>
                <w:b/>
                <w:bCs/>
                <w:color w:val="000000"/>
              </w:rPr>
            </w:pPr>
            <w:r w:rsidRPr="00573612">
              <w:rPr>
                <w:rFonts w:cs="Times New Roman"/>
                <w:b/>
                <w:bCs/>
                <w:color w:val="000000"/>
              </w:rPr>
              <w:t>At commencement of varied NEPM</w:t>
            </w:r>
          </w:p>
        </w:tc>
        <w:tc>
          <w:tcPr>
            <w:tcW w:w="2523" w:type="dxa"/>
            <w:shd w:val="clear" w:color="auto" w:fill="BFBFBF" w:themeFill="background1" w:themeFillShade="BF"/>
          </w:tcPr>
          <w:p w14:paraId="601D05BD" w14:textId="77777777" w:rsidR="00C92CE4" w:rsidRPr="00573612" w:rsidRDefault="00C92CE4" w:rsidP="00573612">
            <w:pPr>
              <w:spacing w:before="60" w:after="60" w:line="240" w:lineRule="auto"/>
              <w:textAlignment w:val="auto"/>
              <w:rPr>
                <w:rFonts w:cs="Times New Roman"/>
                <w:b/>
                <w:bCs/>
                <w:color w:val="000000"/>
              </w:rPr>
            </w:pPr>
            <w:r w:rsidRPr="00573612">
              <w:rPr>
                <w:rFonts w:cs="Times New Roman"/>
                <w:b/>
                <w:bCs/>
                <w:color w:val="000000"/>
              </w:rPr>
              <w:t>Future standard by 2025</w:t>
            </w:r>
          </w:p>
        </w:tc>
      </w:tr>
      <w:tr w:rsidR="00C92CE4" w:rsidRPr="00573612" w14:paraId="724E9279" w14:textId="77777777" w:rsidTr="00573612">
        <w:tc>
          <w:tcPr>
            <w:tcW w:w="1413" w:type="dxa"/>
            <w:shd w:val="clear" w:color="auto" w:fill="F2F2F2" w:themeFill="background1" w:themeFillShade="F2"/>
          </w:tcPr>
          <w:p w14:paraId="33EBCB1D" w14:textId="77777777" w:rsidR="00C92CE4" w:rsidRPr="00573612" w:rsidRDefault="00C92CE4" w:rsidP="00573612">
            <w:pPr>
              <w:spacing w:before="60" w:after="60" w:line="240" w:lineRule="auto"/>
              <w:textAlignment w:val="auto"/>
              <w:rPr>
                <w:rFonts w:cs="Times New Roman"/>
                <w:bCs/>
                <w:color w:val="000000"/>
              </w:rPr>
            </w:pPr>
            <w:r w:rsidRPr="00573612">
              <w:rPr>
                <w:rFonts w:cs="Times New Roman"/>
                <w:bCs/>
                <w:color w:val="000000"/>
              </w:rPr>
              <w:t>SO2 1-hour</w:t>
            </w:r>
          </w:p>
        </w:tc>
        <w:tc>
          <w:tcPr>
            <w:tcW w:w="1930" w:type="dxa"/>
            <w:shd w:val="clear" w:color="auto" w:fill="F2F2F2" w:themeFill="background1" w:themeFillShade="F2"/>
          </w:tcPr>
          <w:p w14:paraId="77DBE203" w14:textId="77777777" w:rsidR="00C92CE4" w:rsidRPr="00573612" w:rsidRDefault="00C92CE4" w:rsidP="00573612">
            <w:pPr>
              <w:spacing w:before="60" w:after="60" w:line="240" w:lineRule="auto"/>
              <w:textAlignment w:val="auto"/>
              <w:rPr>
                <w:rFonts w:cs="Times New Roman"/>
                <w:bCs/>
                <w:color w:val="000000"/>
              </w:rPr>
            </w:pPr>
            <w:r w:rsidRPr="00573612">
              <w:rPr>
                <w:rFonts w:cs="Times New Roman"/>
                <w:bCs/>
                <w:color w:val="000000"/>
              </w:rPr>
              <w:t>USEPA</w:t>
            </w:r>
            <w:r w:rsidRPr="00573612">
              <w:rPr>
                <w:rFonts w:cs="Times New Roman"/>
                <w:bCs/>
                <w:color w:val="000000"/>
              </w:rPr>
              <w:tab/>
              <w:t>75</w:t>
            </w:r>
          </w:p>
          <w:p w14:paraId="497A7C0F" w14:textId="77777777" w:rsidR="00C92CE4" w:rsidRPr="00573612" w:rsidRDefault="00C92CE4" w:rsidP="00573612">
            <w:pPr>
              <w:spacing w:before="60" w:after="60" w:line="240" w:lineRule="auto"/>
              <w:textAlignment w:val="auto"/>
              <w:rPr>
                <w:rFonts w:cs="Times New Roman"/>
                <w:bCs/>
                <w:color w:val="000000"/>
              </w:rPr>
            </w:pPr>
            <w:r w:rsidRPr="00573612">
              <w:rPr>
                <w:rFonts w:cs="Times New Roman"/>
                <w:bCs/>
                <w:color w:val="000000"/>
              </w:rPr>
              <w:t>Canada</w:t>
            </w:r>
            <w:r w:rsidRPr="00573612">
              <w:rPr>
                <w:rFonts w:cs="Times New Roman"/>
                <w:bCs/>
                <w:color w:val="000000"/>
              </w:rPr>
              <w:tab/>
              <w:t>70a, 65b</w:t>
            </w:r>
          </w:p>
          <w:p w14:paraId="7AF625BC" w14:textId="77777777" w:rsidR="00C92CE4" w:rsidRPr="00573612" w:rsidRDefault="00C92CE4" w:rsidP="00573612">
            <w:pPr>
              <w:spacing w:before="60" w:after="60" w:line="240" w:lineRule="auto"/>
              <w:textAlignment w:val="auto"/>
              <w:rPr>
                <w:rFonts w:cs="Times New Roman"/>
                <w:bCs/>
                <w:color w:val="000000"/>
              </w:rPr>
            </w:pPr>
            <w:r w:rsidRPr="00573612">
              <w:rPr>
                <w:rFonts w:cs="Times New Roman"/>
                <w:bCs/>
                <w:color w:val="000000"/>
              </w:rPr>
              <w:t>EU</w:t>
            </w:r>
            <w:r w:rsidRPr="00573612">
              <w:rPr>
                <w:rFonts w:cs="Times New Roman"/>
                <w:bCs/>
                <w:color w:val="000000"/>
              </w:rPr>
              <w:tab/>
              <w:t>124</w:t>
            </w:r>
          </w:p>
        </w:tc>
        <w:tc>
          <w:tcPr>
            <w:tcW w:w="0" w:type="auto"/>
            <w:shd w:val="clear" w:color="auto" w:fill="F2F2F2" w:themeFill="background1" w:themeFillShade="F2"/>
          </w:tcPr>
          <w:p w14:paraId="501298C7" w14:textId="77777777" w:rsidR="00C92CE4" w:rsidRPr="00573612" w:rsidRDefault="00C92CE4" w:rsidP="00573612">
            <w:pPr>
              <w:spacing w:before="60" w:after="60" w:line="240" w:lineRule="auto"/>
              <w:textAlignment w:val="auto"/>
              <w:rPr>
                <w:rFonts w:cs="Times New Roman"/>
                <w:bCs/>
                <w:color w:val="000000"/>
              </w:rPr>
            </w:pPr>
            <w:r w:rsidRPr="00573612">
              <w:rPr>
                <w:rFonts w:cs="Times New Roman"/>
                <w:bCs/>
                <w:color w:val="000000"/>
              </w:rPr>
              <w:t>200</w:t>
            </w:r>
          </w:p>
        </w:tc>
        <w:tc>
          <w:tcPr>
            <w:tcW w:w="2588" w:type="dxa"/>
            <w:shd w:val="clear" w:color="auto" w:fill="F2F2F2" w:themeFill="background1" w:themeFillShade="F2"/>
          </w:tcPr>
          <w:p w14:paraId="747BF151" w14:textId="77777777" w:rsidR="00C92CE4" w:rsidRPr="00573612" w:rsidRDefault="00C92CE4" w:rsidP="00573612">
            <w:pPr>
              <w:spacing w:before="60" w:after="60" w:line="240" w:lineRule="auto"/>
              <w:textAlignment w:val="auto"/>
              <w:rPr>
                <w:rFonts w:cs="Times New Roman"/>
                <w:bCs/>
                <w:color w:val="000000"/>
              </w:rPr>
            </w:pPr>
            <w:r w:rsidRPr="00573612">
              <w:rPr>
                <w:rFonts w:cs="Times New Roman"/>
                <w:bCs/>
                <w:color w:val="000000"/>
              </w:rPr>
              <w:t>100</w:t>
            </w:r>
          </w:p>
        </w:tc>
        <w:tc>
          <w:tcPr>
            <w:tcW w:w="2523" w:type="dxa"/>
            <w:shd w:val="clear" w:color="auto" w:fill="F2F2F2" w:themeFill="background1" w:themeFillShade="F2"/>
          </w:tcPr>
          <w:p w14:paraId="51E5A743" w14:textId="77777777" w:rsidR="00C92CE4" w:rsidRPr="00573612" w:rsidRDefault="00C92CE4" w:rsidP="00573612">
            <w:pPr>
              <w:spacing w:before="60" w:after="60" w:line="240" w:lineRule="auto"/>
              <w:textAlignment w:val="auto"/>
              <w:rPr>
                <w:rFonts w:cs="Times New Roman"/>
                <w:bCs/>
                <w:color w:val="000000"/>
              </w:rPr>
            </w:pPr>
            <w:r w:rsidRPr="00573612">
              <w:rPr>
                <w:rFonts w:cs="Times New Roman"/>
                <w:bCs/>
                <w:color w:val="000000"/>
              </w:rPr>
              <w:t>75</w:t>
            </w:r>
          </w:p>
        </w:tc>
      </w:tr>
      <w:tr w:rsidR="00C92CE4" w:rsidRPr="00573612" w14:paraId="19609FC5" w14:textId="77777777" w:rsidTr="00573612">
        <w:tc>
          <w:tcPr>
            <w:tcW w:w="1413" w:type="dxa"/>
            <w:shd w:val="clear" w:color="auto" w:fill="F2F2F2" w:themeFill="background1" w:themeFillShade="F2"/>
          </w:tcPr>
          <w:p w14:paraId="4B5623B1" w14:textId="77777777" w:rsidR="00C92CE4" w:rsidRPr="00573612" w:rsidRDefault="00C92CE4" w:rsidP="00573612">
            <w:pPr>
              <w:spacing w:before="60" w:after="60" w:line="240" w:lineRule="auto"/>
              <w:textAlignment w:val="auto"/>
              <w:rPr>
                <w:rFonts w:cs="Times New Roman"/>
                <w:bCs/>
                <w:color w:val="000000"/>
              </w:rPr>
            </w:pPr>
            <w:r w:rsidRPr="00573612">
              <w:rPr>
                <w:rFonts w:cs="Times New Roman"/>
                <w:bCs/>
                <w:color w:val="000000"/>
              </w:rPr>
              <w:t>SO2 24-hour</w:t>
            </w:r>
          </w:p>
        </w:tc>
        <w:tc>
          <w:tcPr>
            <w:tcW w:w="1930" w:type="dxa"/>
            <w:shd w:val="clear" w:color="auto" w:fill="F2F2F2" w:themeFill="background1" w:themeFillShade="F2"/>
          </w:tcPr>
          <w:p w14:paraId="42A42155" w14:textId="77777777" w:rsidR="00C92CE4" w:rsidRPr="00573612" w:rsidRDefault="00C92CE4" w:rsidP="00573612">
            <w:pPr>
              <w:spacing w:before="60" w:after="60" w:line="240" w:lineRule="auto"/>
              <w:textAlignment w:val="auto"/>
              <w:rPr>
                <w:rFonts w:cs="Times New Roman"/>
                <w:bCs/>
                <w:color w:val="000000"/>
              </w:rPr>
            </w:pPr>
            <w:r w:rsidRPr="00573612">
              <w:rPr>
                <w:rFonts w:cs="Times New Roman"/>
                <w:bCs/>
                <w:color w:val="000000"/>
              </w:rPr>
              <w:t>WHO</w:t>
            </w:r>
            <w:r w:rsidRPr="00573612">
              <w:rPr>
                <w:rFonts w:cs="Times New Roman"/>
                <w:bCs/>
                <w:color w:val="000000"/>
              </w:rPr>
              <w:tab/>
              <w:t>7</w:t>
            </w:r>
          </w:p>
          <w:p w14:paraId="2D9F802A" w14:textId="77777777" w:rsidR="00C92CE4" w:rsidRPr="00573612" w:rsidRDefault="00C92CE4" w:rsidP="00573612">
            <w:pPr>
              <w:spacing w:before="60" w:after="60" w:line="240" w:lineRule="auto"/>
              <w:textAlignment w:val="auto"/>
              <w:rPr>
                <w:rFonts w:cs="Times New Roman"/>
                <w:bCs/>
                <w:color w:val="000000"/>
              </w:rPr>
            </w:pPr>
            <w:r w:rsidRPr="00573612">
              <w:rPr>
                <w:rFonts w:cs="Times New Roman"/>
                <w:bCs/>
                <w:color w:val="000000"/>
              </w:rPr>
              <w:t>EU</w:t>
            </w:r>
            <w:r w:rsidRPr="00573612">
              <w:rPr>
                <w:rFonts w:cs="Times New Roman"/>
                <w:bCs/>
                <w:color w:val="000000"/>
              </w:rPr>
              <w:tab/>
              <w:t>44</w:t>
            </w:r>
          </w:p>
          <w:p w14:paraId="5B048D45" w14:textId="77777777" w:rsidR="00C92CE4" w:rsidRPr="00573612" w:rsidRDefault="00C92CE4" w:rsidP="00573612">
            <w:pPr>
              <w:spacing w:before="60" w:after="60" w:line="240" w:lineRule="auto"/>
              <w:textAlignment w:val="auto"/>
              <w:rPr>
                <w:rFonts w:cs="Times New Roman"/>
                <w:bCs/>
                <w:color w:val="000000"/>
              </w:rPr>
            </w:pPr>
            <w:r w:rsidRPr="00573612">
              <w:rPr>
                <w:rFonts w:cs="Times New Roman"/>
                <w:bCs/>
                <w:color w:val="000000"/>
              </w:rPr>
              <w:t>UK</w:t>
            </w:r>
            <w:r w:rsidRPr="00573612">
              <w:rPr>
                <w:rFonts w:cs="Times New Roman"/>
                <w:bCs/>
                <w:color w:val="000000"/>
              </w:rPr>
              <w:tab/>
              <w:t>44</w:t>
            </w:r>
          </w:p>
        </w:tc>
        <w:tc>
          <w:tcPr>
            <w:tcW w:w="0" w:type="auto"/>
            <w:shd w:val="clear" w:color="auto" w:fill="F2F2F2" w:themeFill="background1" w:themeFillShade="F2"/>
          </w:tcPr>
          <w:p w14:paraId="58AC6AE1" w14:textId="77777777" w:rsidR="00C92CE4" w:rsidRPr="00573612" w:rsidRDefault="00C92CE4" w:rsidP="00573612">
            <w:pPr>
              <w:spacing w:before="60" w:after="60" w:line="240" w:lineRule="auto"/>
              <w:textAlignment w:val="auto"/>
              <w:rPr>
                <w:rFonts w:cs="Times New Roman"/>
                <w:bCs/>
                <w:color w:val="000000"/>
              </w:rPr>
            </w:pPr>
            <w:r w:rsidRPr="00573612">
              <w:rPr>
                <w:rFonts w:cs="Times New Roman"/>
                <w:bCs/>
                <w:color w:val="000000"/>
              </w:rPr>
              <w:t>80</w:t>
            </w:r>
          </w:p>
        </w:tc>
        <w:tc>
          <w:tcPr>
            <w:tcW w:w="2588" w:type="dxa"/>
            <w:shd w:val="clear" w:color="auto" w:fill="F2F2F2" w:themeFill="background1" w:themeFillShade="F2"/>
          </w:tcPr>
          <w:p w14:paraId="698D1945" w14:textId="77777777" w:rsidR="00C92CE4" w:rsidRPr="00573612" w:rsidRDefault="00C92CE4" w:rsidP="00573612">
            <w:pPr>
              <w:spacing w:before="60" w:after="60" w:line="240" w:lineRule="auto"/>
              <w:textAlignment w:val="auto"/>
              <w:rPr>
                <w:rFonts w:cs="Times New Roman"/>
                <w:bCs/>
                <w:color w:val="000000"/>
              </w:rPr>
            </w:pPr>
            <w:r w:rsidRPr="00573612">
              <w:rPr>
                <w:rFonts w:cs="Times New Roman"/>
                <w:bCs/>
                <w:color w:val="000000"/>
              </w:rPr>
              <w:t>20</w:t>
            </w:r>
          </w:p>
        </w:tc>
        <w:tc>
          <w:tcPr>
            <w:tcW w:w="2523" w:type="dxa"/>
            <w:shd w:val="clear" w:color="auto" w:fill="F2F2F2" w:themeFill="background1" w:themeFillShade="F2"/>
          </w:tcPr>
          <w:p w14:paraId="650F5C9B" w14:textId="567E3EA2" w:rsidR="00C92CE4" w:rsidRPr="00573612" w:rsidRDefault="00573612" w:rsidP="00573612">
            <w:pPr>
              <w:spacing w:before="60" w:after="60" w:line="240" w:lineRule="auto"/>
              <w:textAlignment w:val="auto"/>
              <w:rPr>
                <w:rFonts w:cs="Times New Roman"/>
                <w:bCs/>
                <w:color w:val="000000"/>
              </w:rPr>
            </w:pPr>
            <w:r w:rsidRPr="00C01530">
              <w:rPr>
                <w:rFonts w:cs="Times New Roman"/>
                <w:sz w:val="16"/>
                <w:szCs w:val="16"/>
              </w:rPr>
              <w:t>–</w:t>
            </w:r>
          </w:p>
        </w:tc>
      </w:tr>
      <w:tr w:rsidR="00C92CE4" w:rsidRPr="00573612" w14:paraId="5234CAB4" w14:textId="77777777" w:rsidTr="00573612">
        <w:tc>
          <w:tcPr>
            <w:tcW w:w="1413" w:type="dxa"/>
            <w:shd w:val="clear" w:color="auto" w:fill="F2F2F2" w:themeFill="background1" w:themeFillShade="F2"/>
          </w:tcPr>
          <w:p w14:paraId="2ADE0CE7" w14:textId="77777777" w:rsidR="00C92CE4" w:rsidRPr="00573612" w:rsidRDefault="00C92CE4" w:rsidP="00573612">
            <w:pPr>
              <w:spacing w:before="60" w:after="60" w:line="240" w:lineRule="auto"/>
              <w:textAlignment w:val="auto"/>
              <w:rPr>
                <w:rFonts w:cs="Times New Roman"/>
                <w:bCs/>
                <w:color w:val="000000"/>
              </w:rPr>
            </w:pPr>
            <w:r w:rsidRPr="00573612">
              <w:rPr>
                <w:rFonts w:cs="Times New Roman"/>
                <w:bCs/>
                <w:color w:val="000000"/>
              </w:rPr>
              <w:t>SO2 1-year</w:t>
            </w:r>
          </w:p>
        </w:tc>
        <w:tc>
          <w:tcPr>
            <w:tcW w:w="1930" w:type="dxa"/>
            <w:shd w:val="clear" w:color="auto" w:fill="F2F2F2" w:themeFill="background1" w:themeFillShade="F2"/>
          </w:tcPr>
          <w:p w14:paraId="23A1C692" w14:textId="77777777" w:rsidR="00C92CE4" w:rsidRPr="00573612" w:rsidRDefault="00C92CE4" w:rsidP="00573612">
            <w:pPr>
              <w:spacing w:before="60" w:after="60" w:line="240" w:lineRule="auto"/>
              <w:textAlignment w:val="auto"/>
              <w:rPr>
                <w:rFonts w:cs="Times New Roman"/>
                <w:bCs/>
                <w:color w:val="000000"/>
              </w:rPr>
            </w:pPr>
            <w:r w:rsidRPr="00573612">
              <w:rPr>
                <w:rFonts w:cs="Times New Roman"/>
                <w:bCs/>
                <w:color w:val="000000"/>
              </w:rPr>
              <w:t>Canada</w:t>
            </w:r>
            <w:r w:rsidRPr="00573612">
              <w:rPr>
                <w:rFonts w:cs="Times New Roman"/>
                <w:bCs/>
                <w:color w:val="000000"/>
              </w:rPr>
              <w:tab/>
              <w:t>5a, 4b</w:t>
            </w:r>
          </w:p>
        </w:tc>
        <w:tc>
          <w:tcPr>
            <w:tcW w:w="0" w:type="auto"/>
            <w:shd w:val="clear" w:color="auto" w:fill="F2F2F2" w:themeFill="background1" w:themeFillShade="F2"/>
          </w:tcPr>
          <w:p w14:paraId="104BA1EA" w14:textId="77777777" w:rsidR="00C92CE4" w:rsidRPr="00573612" w:rsidRDefault="00C92CE4" w:rsidP="00573612">
            <w:pPr>
              <w:spacing w:before="60" w:after="60" w:line="240" w:lineRule="auto"/>
              <w:textAlignment w:val="auto"/>
              <w:rPr>
                <w:rFonts w:cs="Times New Roman"/>
                <w:bCs/>
                <w:color w:val="000000"/>
              </w:rPr>
            </w:pPr>
            <w:r w:rsidRPr="00573612">
              <w:rPr>
                <w:rFonts w:cs="Times New Roman"/>
                <w:bCs/>
                <w:color w:val="000000"/>
              </w:rPr>
              <w:t>20</w:t>
            </w:r>
          </w:p>
        </w:tc>
        <w:tc>
          <w:tcPr>
            <w:tcW w:w="0" w:type="auto"/>
            <w:gridSpan w:val="2"/>
            <w:shd w:val="clear" w:color="auto" w:fill="F2F2F2" w:themeFill="background1" w:themeFillShade="F2"/>
          </w:tcPr>
          <w:p w14:paraId="408F3D70" w14:textId="77777777" w:rsidR="00C92CE4" w:rsidRPr="00573612" w:rsidRDefault="00C92CE4" w:rsidP="00573612">
            <w:pPr>
              <w:spacing w:before="60" w:after="60" w:line="240" w:lineRule="auto"/>
              <w:textAlignment w:val="auto"/>
              <w:rPr>
                <w:rFonts w:cs="Times New Roman"/>
                <w:bCs/>
                <w:color w:val="000000"/>
              </w:rPr>
            </w:pPr>
            <w:r w:rsidRPr="00573612">
              <w:rPr>
                <w:rFonts w:cs="Times New Roman"/>
                <w:bCs/>
                <w:color w:val="000000"/>
              </w:rPr>
              <w:t>No standard</w:t>
            </w:r>
          </w:p>
        </w:tc>
      </w:tr>
      <w:tr w:rsidR="00C92CE4" w:rsidRPr="00573612" w14:paraId="1359145E" w14:textId="77777777" w:rsidTr="00573612">
        <w:tc>
          <w:tcPr>
            <w:tcW w:w="1413" w:type="dxa"/>
          </w:tcPr>
          <w:p w14:paraId="4E512D23" w14:textId="77777777" w:rsidR="00C92CE4" w:rsidRPr="00573612" w:rsidRDefault="00C92CE4" w:rsidP="00573612">
            <w:pPr>
              <w:spacing w:before="60" w:after="60" w:line="240" w:lineRule="auto"/>
              <w:textAlignment w:val="auto"/>
              <w:rPr>
                <w:rFonts w:cs="Times New Roman"/>
                <w:bCs/>
                <w:color w:val="000000"/>
              </w:rPr>
            </w:pPr>
            <w:r w:rsidRPr="00573612">
              <w:rPr>
                <w:rFonts w:cs="Times New Roman"/>
                <w:bCs/>
                <w:color w:val="000000"/>
              </w:rPr>
              <w:t>NO2 1-hour</w:t>
            </w:r>
          </w:p>
        </w:tc>
        <w:tc>
          <w:tcPr>
            <w:tcW w:w="1930" w:type="dxa"/>
          </w:tcPr>
          <w:p w14:paraId="1B3D7813" w14:textId="77777777" w:rsidR="00C92CE4" w:rsidRPr="00573612" w:rsidRDefault="00C92CE4" w:rsidP="00573612">
            <w:pPr>
              <w:spacing w:before="60" w:after="60" w:line="240" w:lineRule="auto"/>
              <w:textAlignment w:val="auto"/>
              <w:rPr>
                <w:rFonts w:cs="Times New Roman"/>
                <w:bCs/>
                <w:color w:val="000000"/>
              </w:rPr>
            </w:pPr>
            <w:r w:rsidRPr="00573612">
              <w:rPr>
                <w:rFonts w:cs="Times New Roman"/>
                <w:bCs/>
                <w:color w:val="000000"/>
              </w:rPr>
              <w:t>WHO</w:t>
            </w:r>
            <w:r w:rsidRPr="00573612">
              <w:rPr>
                <w:rFonts w:cs="Times New Roman"/>
                <w:bCs/>
                <w:color w:val="000000"/>
              </w:rPr>
              <w:tab/>
              <w:t>97</w:t>
            </w:r>
          </w:p>
          <w:p w14:paraId="20343B02" w14:textId="77777777" w:rsidR="00C92CE4" w:rsidRPr="00573612" w:rsidRDefault="00C92CE4" w:rsidP="00573612">
            <w:pPr>
              <w:spacing w:before="60" w:after="60" w:line="240" w:lineRule="auto"/>
              <w:textAlignment w:val="auto"/>
              <w:rPr>
                <w:rFonts w:cs="Times New Roman"/>
                <w:bCs/>
                <w:color w:val="000000"/>
              </w:rPr>
            </w:pPr>
            <w:r w:rsidRPr="00573612">
              <w:rPr>
                <w:rFonts w:cs="Times New Roman"/>
                <w:bCs/>
                <w:color w:val="000000"/>
              </w:rPr>
              <w:t xml:space="preserve">USEPA </w:t>
            </w:r>
            <w:r w:rsidRPr="00573612">
              <w:rPr>
                <w:rFonts w:cs="Times New Roman"/>
                <w:bCs/>
                <w:color w:val="000000"/>
              </w:rPr>
              <w:tab/>
              <w:t>100</w:t>
            </w:r>
          </w:p>
          <w:p w14:paraId="0EC887DB" w14:textId="77777777" w:rsidR="00C92CE4" w:rsidRPr="00573612" w:rsidRDefault="00C92CE4" w:rsidP="00573612">
            <w:pPr>
              <w:spacing w:before="60" w:after="60" w:line="240" w:lineRule="auto"/>
              <w:textAlignment w:val="auto"/>
              <w:rPr>
                <w:rFonts w:cs="Times New Roman"/>
                <w:bCs/>
                <w:color w:val="000000"/>
              </w:rPr>
            </w:pPr>
            <w:r w:rsidRPr="00573612">
              <w:rPr>
                <w:rFonts w:cs="Times New Roman"/>
                <w:bCs/>
                <w:color w:val="000000"/>
              </w:rPr>
              <w:t>EU</w:t>
            </w:r>
            <w:r w:rsidRPr="00573612">
              <w:rPr>
                <w:rFonts w:cs="Times New Roman"/>
                <w:bCs/>
                <w:color w:val="000000"/>
              </w:rPr>
              <w:tab/>
              <w:t>97</w:t>
            </w:r>
          </w:p>
          <w:p w14:paraId="3E10A504" w14:textId="77777777" w:rsidR="00C92CE4" w:rsidRPr="00573612" w:rsidRDefault="00C92CE4" w:rsidP="00573612">
            <w:pPr>
              <w:spacing w:before="60" w:after="60" w:line="240" w:lineRule="auto"/>
              <w:textAlignment w:val="auto"/>
              <w:rPr>
                <w:rFonts w:cs="Times New Roman"/>
                <w:bCs/>
                <w:color w:val="000000"/>
              </w:rPr>
            </w:pPr>
            <w:r w:rsidRPr="00573612">
              <w:rPr>
                <w:rFonts w:cs="Times New Roman"/>
                <w:bCs/>
                <w:color w:val="000000"/>
              </w:rPr>
              <w:t>UK</w:t>
            </w:r>
            <w:r w:rsidRPr="00573612">
              <w:rPr>
                <w:rFonts w:cs="Times New Roman"/>
                <w:bCs/>
                <w:color w:val="000000"/>
              </w:rPr>
              <w:tab/>
              <w:t>97</w:t>
            </w:r>
          </w:p>
        </w:tc>
        <w:tc>
          <w:tcPr>
            <w:tcW w:w="0" w:type="auto"/>
          </w:tcPr>
          <w:p w14:paraId="1F9756BC" w14:textId="77777777" w:rsidR="00C92CE4" w:rsidRPr="00573612" w:rsidRDefault="00C92CE4" w:rsidP="00573612">
            <w:pPr>
              <w:spacing w:before="60" w:after="60" w:line="240" w:lineRule="auto"/>
              <w:textAlignment w:val="auto"/>
              <w:rPr>
                <w:rFonts w:cs="Times New Roman"/>
                <w:bCs/>
                <w:color w:val="000000"/>
              </w:rPr>
            </w:pPr>
            <w:r w:rsidRPr="00573612">
              <w:rPr>
                <w:rFonts w:cs="Times New Roman"/>
                <w:bCs/>
                <w:color w:val="000000"/>
              </w:rPr>
              <w:t>120</w:t>
            </w:r>
          </w:p>
        </w:tc>
        <w:tc>
          <w:tcPr>
            <w:tcW w:w="2588" w:type="dxa"/>
          </w:tcPr>
          <w:p w14:paraId="0BE71A54" w14:textId="77777777" w:rsidR="00C92CE4" w:rsidRPr="00573612" w:rsidRDefault="00C92CE4" w:rsidP="00573612">
            <w:pPr>
              <w:spacing w:before="60" w:after="60" w:line="240" w:lineRule="auto"/>
              <w:textAlignment w:val="auto"/>
              <w:rPr>
                <w:rFonts w:cs="Times New Roman"/>
                <w:bCs/>
                <w:color w:val="000000"/>
              </w:rPr>
            </w:pPr>
            <w:r w:rsidRPr="00573612">
              <w:rPr>
                <w:rFonts w:cs="Times New Roman"/>
                <w:bCs/>
                <w:color w:val="000000"/>
              </w:rPr>
              <w:t>90</w:t>
            </w:r>
          </w:p>
        </w:tc>
        <w:tc>
          <w:tcPr>
            <w:tcW w:w="2523" w:type="dxa"/>
          </w:tcPr>
          <w:p w14:paraId="3BE9CC8D" w14:textId="77777777" w:rsidR="00C92CE4" w:rsidRPr="00573612" w:rsidRDefault="00C92CE4" w:rsidP="00573612">
            <w:pPr>
              <w:spacing w:before="60" w:after="60" w:line="240" w:lineRule="auto"/>
              <w:textAlignment w:val="auto"/>
              <w:rPr>
                <w:rFonts w:cs="Times New Roman"/>
                <w:bCs/>
                <w:color w:val="000000"/>
              </w:rPr>
            </w:pPr>
            <w:r w:rsidRPr="00573612">
              <w:rPr>
                <w:rFonts w:cs="Times New Roman"/>
                <w:bCs/>
                <w:color w:val="000000"/>
              </w:rPr>
              <w:t>80</w:t>
            </w:r>
          </w:p>
        </w:tc>
      </w:tr>
      <w:tr w:rsidR="00C92CE4" w:rsidRPr="00573612" w14:paraId="55175673" w14:textId="77777777" w:rsidTr="00573612">
        <w:tc>
          <w:tcPr>
            <w:tcW w:w="1413" w:type="dxa"/>
          </w:tcPr>
          <w:p w14:paraId="5B6F1724" w14:textId="77777777" w:rsidR="00C92CE4" w:rsidRPr="00573612" w:rsidRDefault="00C92CE4" w:rsidP="00573612">
            <w:pPr>
              <w:spacing w:before="60" w:after="60" w:line="240" w:lineRule="auto"/>
              <w:textAlignment w:val="auto"/>
              <w:rPr>
                <w:rFonts w:cs="Times New Roman"/>
                <w:bCs/>
                <w:color w:val="000000"/>
              </w:rPr>
            </w:pPr>
            <w:r w:rsidRPr="00573612">
              <w:rPr>
                <w:rFonts w:cs="Times New Roman"/>
                <w:bCs/>
                <w:color w:val="000000"/>
              </w:rPr>
              <w:t>NO2 1-year</w:t>
            </w:r>
          </w:p>
        </w:tc>
        <w:tc>
          <w:tcPr>
            <w:tcW w:w="1930" w:type="dxa"/>
          </w:tcPr>
          <w:p w14:paraId="4FD7945F" w14:textId="77777777" w:rsidR="00C92CE4" w:rsidRPr="00573612" w:rsidRDefault="00C92CE4" w:rsidP="00573612">
            <w:pPr>
              <w:spacing w:before="60" w:after="60" w:line="240" w:lineRule="auto"/>
              <w:textAlignment w:val="auto"/>
              <w:rPr>
                <w:rFonts w:cs="Times New Roman"/>
                <w:bCs/>
                <w:color w:val="000000"/>
              </w:rPr>
            </w:pPr>
            <w:r w:rsidRPr="00573612">
              <w:rPr>
                <w:rFonts w:cs="Times New Roman"/>
                <w:bCs/>
                <w:color w:val="000000"/>
              </w:rPr>
              <w:t>WHO</w:t>
            </w:r>
            <w:r w:rsidRPr="00573612">
              <w:rPr>
                <w:rFonts w:cs="Times New Roman"/>
                <w:bCs/>
                <w:color w:val="000000"/>
              </w:rPr>
              <w:tab/>
              <w:t>19</w:t>
            </w:r>
          </w:p>
          <w:p w14:paraId="1C63E79E" w14:textId="77777777" w:rsidR="00C92CE4" w:rsidRPr="00573612" w:rsidRDefault="00C92CE4" w:rsidP="00573612">
            <w:pPr>
              <w:spacing w:before="60" w:after="60" w:line="240" w:lineRule="auto"/>
              <w:textAlignment w:val="auto"/>
              <w:rPr>
                <w:rFonts w:cs="Times New Roman"/>
                <w:bCs/>
                <w:color w:val="000000"/>
              </w:rPr>
            </w:pPr>
            <w:r w:rsidRPr="00573612">
              <w:rPr>
                <w:rFonts w:cs="Times New Roman"/>
                <w:bCs/>
                <w:color w:val="000000"/>
              </w:rPr>
              <w:t>USEPA</w:t>
            </w:r>
            <w:r w:rsidRPr="00573612">
              <w:rPr>
                <w:rFonts w:cs="Times New Roman"/>
                <w:bCs/>
                <w:color w:val="000000"/>
              </w:rPr>
              <w:tab/>
              <w:t>53</w:t>
            </w:r>
          </w:p>
          <w:p w14:paraId="3FB9497A" w14:textId="77777777" w:rsidR="00C92CE4" w:rsidRPr="00573612" w:rsidRDefault="00C92CE4" w:rsidP="00573612">
            <w:pPr>
              <w:spacing w:before="60" w:after="60" w:line="240" w:lineRule="auto"/>
              <w:textAlignment w:val="auto"/>
              <w:rPr>
                <w:rFonts w:cs="Times New Roman"/>
                <w:bCs/>
                <w:color w:val="000000"/>
              </w:rPr>
            </w:pPr>
            <w:r w:rsidRPr="00573612">
              <w:rPr>
                <w:rFonts w:cs="Times New Roman"/>
                <w:bCs/>
                <w:color w:val="000000"/>
              </w:rPr>
              <w:t>EU</w:t>
            </w:r>
            <w:r w:rsidRPr="00573612">
              <w:rPr>
                <w:rFonts w:cs="Times New Roman"/>
                <w:bCs/>
                <w:color w:val="000000"/>
              </w:rPr>
              <w:tab/>
              <w:t>19</w:t>
            </w:r>
          </w:p>
          <w:p w14:paraId="4244A62F" w14:textId="77777777" w:rsidR="00C92CE4" w:rsidRPr="00573612" w:rsidRDefault="00C92CE4" w:rsidP="00573612">
            <w:pPr>
              <w:spacing w:before="60" w:after="60" w:line="240" w:lineRule="auto"/>
              <w:textAlignment w:val="auto"/>
              <w:rPr>
                <w:rFonts w:cs="Times New Roman"/>
                <w:bCs/>
                <w:color w:val="000000"/>
              </w:rPr>
            </w:pPr>
            <w:r w:rsidRPr="00573612">
              <w:rPr>
                <w:rFonts w:cs="Times New Roman"/>
                <w:bCs/>
                <w:color w:val="000000"/>
              </w:rPr>
              <w:t>UK</w:t>
            </w:r>
            <w:r w:rsidRPr="00573612">
              <w:rPr>
                <w:rFonts w:cs="Times New Roman"/>
                <w:bCs/>
                <w:color w:val="000000"/>
              </w:rPr>
              <w:tab/>
              <w:t>19</w:t>
            </w:r>
          </w:p>
        </w:tc>
        <w:tc>
          <w:tcPr>
            <w:tcW w:w="0" w:type="auto"/>
          </w:tcPr>
          <w:p w14:paraId="5EA8433F" w14:textId="77777777" w:rsidR="00C92CE4" w:rsidRPr="00573612" w:rsidRDefault="00C92CE4" w:rsidP="00573612">
            <w:pPr>
              <w:spacing w:before="60" w:after="60" w:line="240" w:lineRule="auto"/>
              <w:textAlignment w:val="auto"/>
              <w:rPr>
                <w:rFonts w:cs="Times New Roman"/>
                <w:bCs/>
                <w:color w:val="000000"/>
              </w:rPr>
            </w:pPr>
            <w:r w:rsidRPr="00573612">
              <w:rPr>
                <w:rFonts w:cs="Times New Roman"/>
                <w:bCs/>
                <w:color w:val="000000"/>
              </w:rPr>
              <w:t>30</w:t>
            </w:r>
          </w:p>
        </w:tc>
        <w:tc>
          <w:tcPr>
            <w:tcW w:w="2588" w:type="dxa"/>
          </w:tcPr>
          <w:p w14:paraId="7828B07C" w14:textId="77777777" w:rsidR="00C92CE4" w:rsidRPr="00573612" w:rsidRDefault="00C92CE4" w:rsidP="00573612">
            <w:pPr>
              <w:spacing w:before="60" w:after="60" w:line="240" w:lineRule="auto"/>
              <w:textAlignment w:val="auto"/>
              <w:rPr>
                <w:rFonts w:cs="Times New Roman"/>
                <w:bCs/>
                <w:color w:val="000000"/>
              </w:rPr>
            </w:pPr>
            <w:r w:rsidRPr="00573612">
              <w:rPr>
                <w:rFonts w:cs="Times New Roman"/>
                <w:bCs/>
                <w:color w:val="000000"/>
              </w:rPr>
              <w:t>19</w:t>
            </w:r>
          </w:p>
        </w:tc>
        <w:tc>
          <w:tcPr>
            <w:tcW w:w="2523" w:type="dxa"/>
          </w:tcPr>
          <w:p w14:paraId="4C0774C4" w14:textId="77777777" w:rsidR="00C92CE4" w:rsidRPr="00573612" w:rsidRDefault="00C92CE4" w:rsidP="00573612">
            <w:pPr>
              <w:spacing w:before="60" w:after="60" w:line="240" w:lineRule="auto"/>
              <w:textAlignment w:val="auto"/>
              <w:rPr>
                <w:rFonts w:cs="Times New Roman"/>
                <w:bCs/>
                <w:color w:val="000000"/>
              </w:rPr>
            </w:pPr>
            <w:r w:rsidRPr="00573612">
              <w:rPr>
                <w:rFonts w:cs="Times New Roman"/>
                <w:bCs/>
                <w:color w:val="000000"/>
              </w:rPr>
              <w:t>15</w:t>
            </w:r>
          </w:p>
        </w:tc>
      </w:tr>
      <w:tr w:rsidR="00C92CE4" w:rsidRPr="00573612" w14:paraId="5FEA964F" w14:textId="77777777" w:rsidTr="00573612">
        <w:tc>
          <w:tcPr>
            <w:tcW w:w="1413" w:type="dxa"/>
            <w:shd w:val="clear" w:color="auto" w:fill="F2F2F2" w:themeFill="background1" w:themeFillShade="F2"/>
          </w:tcPr>
          <w:p w14:paraId="7B5C4C0C" w14:textId="77777777" w:rsidR="00C92CE4" w:rsidRPr="00573612" w:rsidRDefault="00C92CE4" w:rsidP="00573612">
            <w:pPr>
              <w:spacing w:before="60" w:after="60" w:line="240" w:lineRule="auto"/>
              <w:textAlignment w:val="auto"/>
              <w:rPr>
                <w:rFonts w:cs="Times New Roman"/>
                <w:bCs/>
                <w:color w:val="000000"/>
              </w:rPr>
            </w:pPr>
            <w:r w:rsidRPr="00573612">
              <w:rPr>
                <w:rFonts w:cs="Times New Roman"/>
                <w:bCs/>
                <w:color w:val="000000"/>
              </w:rPr>
              <w:t>O3 1-hour</w:t>
            </w:r>
          </w:p>
        </w:tc>
        <w:tc>
          <w:tcPr>
            <w:tcW w:w="1930" w:type="dxa"/>
            <w:shd w:val="clear" w:color="auto" w:fill="F2F2F2" w:themeFill="background1" w:themeFillShade="F2"/>
          </w:tcPr>
          <w:p w14:paraId="1EDE5322" w14:textId="77777777" w:rsidR="00C92CE4" w:rsidRPr="00573612" w:rsidRDefault="00C92CE4" w:rsidP="00573612">
            <w:pPr>
              <w:spacing w:before="60" w:after="60" w:line="240" w:lineRule="auto"/>
              <w:textAlignment w:val="auto"/>
              <w:rPr>
                <w:rFonts w:cs="Times New Roman"/>
                <w:bCs/>
                <w:color w:val="000000"/>
              </w:rPr>
            </w:pPr>
            <w:r w:rsidRPr="00573612">
              <w:rPr>
                <w:rFonts w:cs="Times New Roman"/>
                <w:bCs/>
                <w:color w:val="000000"/>
              </w:rPr>
              <w:t>NZ</w:t>
            </w:r>
            <w:r w:rsidRPr="00573612">
              <w:rPr>
                <w:rFonts w:cs="Times New Roman"/>
                <w:bCs/>
                <w:color w:val="000000"/>
              </w:rPr>
              <w:tab/>
              <w:t>70</w:t>
            </w:r>
          </w:p>
        </w:tc>
        <w:tc>
          <w:tcPr>
            <w:tcW w:w="0" w:type="auto"/>
            <w:shd w:val="clear" w:color="auto" w:fill="F2F2F2" w:themeFill="background1" w:themeFillShade="F2"/>
          </w:tcPr>
          <w:p w14:paraId="5228130C" w14:textId="77777777" w:rsidR="00C92CE4" w:rsidRPr="00573612" w:rsidRDefault="00C92CE4" w:rsidP="00573612">
            <w:pPr>
              <w:spacing w:before="60" w:after="60" w:line="240" w:lineRule="auto"/>
              <w:textAlignment w:val="auto"/>
              <w:rPr>
                <w:rFonts w:cs="Times New Roman"/>
                <w:bCs/>
                <w:color w:val="000000"/>
              </w:rPr>
            </w:pPr>
            <w:r w:rsidRPr="00573612">
              <w:rPr>
                <w:rFonts w:cs="Times New Roman"/>
                <w:bCs/>
                <w:color w:val="000000"/>
              </w:rPr>
              <w:t>100</w:t>
            </w:r>
          </w:p>
        </w:tc>
        <w:tc>
          <w:tcPr>
            <w:tcW w:w="0" w:type="auto"/>
            <w:gridSpan w:val="2"/>
            <w:shd w:val="clear" w:color="auto" w:fill="F2F2F2" w:themeFill="background1" w:themeFillShade="F2"/>
          </w:tcPr>
          <w:p w14:paraId="666F8913" w14:textId="77777777" w:rsidR="00C92CE4" w:rsidRPr="00573612" w:rsidRDefault="00C92CE4" w:rsidP="00573612">
            <w:pPr>
              <w:spacing w:before="60" w:after="60" w:line="240" w:lineRule="auto"/>
              <w:textAlignment w:val="auto"/>
              <w:rPr>
                <w:rFonts w:cs="Times New Roman"/>
                <w:bCs/>
                <w:color w:val="000000"/>
              </w:rPr>
            </w:pPr>
            <w:r w:rsidRPr="00573612">
              <w:rPr>
                <w:rFonts w:cs="Times New Roman"/>
                <w:bCs/>
                <w:color w:val="000000"/>
              </w:rPr>
              <w:t>No standard</w:t>
            </w:r>
          </w:p>
        </w:tc>
      </w:tr>
      <w:tr w:rsidR="00C92CE4" w:rsidRPr="00573612" w14:paraId="5D7AF9BB" w14:textId="77777777" w:rsidTr="00573612">
        <w:tc>
          <w:tcPr>
            <w:tcW w:w="1413" w:type="dxa"/>
            <w:shd w:val="clear" w:color="auto" w:fill="F2F2F2" w:themeFill="background1" w:themeFillShade="F2"/>
          </w:tcPr>
          <w:p w14:paraId="459550EE" w14:textId="77777777" w:rsidR="00C92CE4" w:rsidRPr="00573612" w:rsidRDefault="00C92CE4" w:rsidP="00573612">
            <w:pPr>
              <w:spacing w:before="60" w:after="60" w:line="240" w:lineRule="auto"/>
              <w:textAlignment w:val="auto"/>
              <w:rPr>
                <w:rFonts w:cs="Times New Roman"/>
                <w:bCs/>
                <w:color w:val="000000"/>
              </w:rPr>
            </w:pPr>
            <w:r w:rsidRPr="00573612">
              <w:rPr>
                <w:rFonts w:cs="Times New Roman"/>
                <w:bCs/>
                <w:color w:val="000000"/>
              </w:rPr>
              <w:t>O3 4-hour</w:t>
            </w:r>
          </w:p>
        </w:tc>
        <w:tc>
          <w:tcPr>
            <w:tcW w:w="1930" w:type="dxa"/>
            <w:shd w:val="clear" w:color="auto" w:fill="F2F2F2" w:themeFill="background1" w:themeFillShade="F2"/>
          </w:tcPr>
          <w:p w14:paraId="0C4E9A73" w14:textId="77777777" w:rsidR="00C92CE4" w:rsidRPr="00573612" w:rsidRDefault="00C92CE4" w:rsidP="00573612">
            <w:pPr>
              <w:spacing w:before="60" w:after="60" w:line="240" w:lineRule="auto"/>
              <w:textAlignment w:val="auto"/>
              <w:rPr>
                <w:rFonts w:cs="Times New Roman"/>
                <w:bCs/>
                <w:color w:val="000000"/>
              </w:rPr>
            </w:pPr>
            <w:r w:rsidRPr="00573612">
              <w:rPr>
                <w:rFonts w:cs="Times New Roman"/>
                <w:bCs/>
                <w:color w:val="000000"/>
              </w:rPr>
              <w:t>None</w:t>
            </w:r>
          </w:p>
        </w:tc>
        <w:tc>
          <w:tcPr>
            <w:tcW w:w="0" w:type="auto"/>
            <w:shd w:val="clear" w:color="auto" w:fill="F2F2F2" w:themeFill="background1" w:themeFillShade="F2"/>
          </w:tcPr>
          <w:p w14:paraId="3E87D50A" w14:textId="77777777" w:rsidR="00C92CE4" w:rsidRPr="00573612" w:rsidRDefault="00C92CE4" w:rsidP="00573612">
            <w:pPr>
              <w:spacing w:before="60" w:after="60" w:line="240" w:lineRule="auto"/>
              <w:textAlignment w:val="auto"/>
              <w:rPr>
                <w:rFonts w:cs="Times New Roman"/>
                <w:bCs/>
                <w:color w:val="000000"/>
              </w:rPr>
            </w:pPr>
            <w:r w:rsidRPr="00573612">
              <w:rPr>
                <w:rFonts w:cs="Times New Roman"/>
                <w:bCs/>
                <w:color w:val="000000"/>
              </w:rPr>
              <w:t>80</w:t>
            </w:r>
          </w:p>
        </w:tc>
        <w:tc>
          <w:tcPr>
            <w:tcW w:w="0" w:type="auto"/>
            <w:gridSpan w:val="2"/>
            <w:shd w:val="clear" w:color="auto" w:fill="F2F2F2" w:themeFill="background1" w:themeFillShade="F2"/>
          </w:tcPr>
          <w:p w14:paraId="7C04C15D" w14:textId="77777777" w:rsidR="00C92CE4" w:rsidRPr="00573612" w:rsidRDefault="00C92CE4" w:rsidP="00573612">
            <w:pPr>
              <w:spacing w:before="60" w:after="60" w:line="240" w:lineRule="auto"/>
              <w:textAlignment w:val="auto"/>
              <w:rPr>
                <w:rFonts w:cs="Times New Roman"/>
                <w:bCs/>
                <w:color w:val="000000"/>
              </w:rPr>
            </w:pPr>
            <w:r w:rsidRPr="00573612">
              <w:rPr>
                <w:rFonts w:cs="Times New Roman"/>
                <w:bCs/>
                <w:color w:val="000000"/>
              </w:rPr>
              <w:t>No standard</w:t>
            </w:r>
          </w:p>
        </w:tc>
      </w:tr>
      <w:tr w:rsidR="00C92CE4" w:rsidRPr="00573612" w14:paraId="44F100AA" w14:textId="77777777" w:rsidTr="00573612">
        <w:tc>
          <w:tcPr>
            <w:tcW w:w="1413" w:type="dxa"/>
          </w:tcPr>
          <w:p w14:paraId="51CB58F8" w14:textId="77777777" w:rsidR="00C92CE4" w:rsidRPr="00573612" w:rsidRDefault="00C92CE4" w:rsidP="00573612">
            <w:pPr>
              <w:spacing w:before="60" w:after="60" w:line="240" w:lineRule="auto"/>
              <w:textAlignment w:val="auto"/>
              <w:rPr>
                <w:rFonts w:cs="Times New Roman"/>
                <w:bCs/>
                <w:color w:val="000000"/>
              </w:rPr>
            </w:pPr>
            <w:r w:rsidRPr="00573612">
              <w:rPr>
                <w:rFonts w:cs="Times New Roman"/>
                <w:bCs/>
                <w:color w:val="000000"/>
              </w:rPr>
              <w:t xml:space="preserve"> 8-hour</w:t>
            </w:r>
          </w:p>
        </w:tc>
        <w:tc>
          <w:tcPr>
            <w:tcW w:w="1930" w:type="dxa"/>
          </w:tcPr>
          <w:p w14:paraId="0120FA5D" w14:textId="77777777" w:rsidR="00C92CE4" w:rsidRPr="00573612" w:rsidRDefault="00C92CE4" w:rsidP="00573612">
            <w:pPr>
              <w:spacing w:before="60" w:after="60" w:line="240" w:lineRule="auto"/>
              <w:textAlignment w:val="auto"/>
              <w:rPr>
                <w:rFonts w:cs="Times New Roman"/>
                <w:bCs/>
                <w:color w:val="000000"/>
              </w:rPr>
            </w:pPr>
            <w:r w:rsidRPr="00573612">
              <w:rPr>
                <w:rFonts w:cs="Times New Roman"/>
                <w:bCs/>
                <w:color w:val="000000"/>
              </w:rPr>
              <w:t>WHO</w:t>
            </w:r>
            <w:r w:rsidRPr="00573612">
              <w:rPr>
                <w:rFonts w:cs="Times New Roman"/>
                <w:bCs/>
                <w:color w:val="000000"/>
              </w:rPr>
              <w:tab/>
              <w:t>47</w:t>
            </w:r>
          </w:p>
          <w:p w14:paraId="69317436" w14:textId="77777777" w:rsidR="00C92CE4" w:rsidRPr="00573612" w:rsidRDefault="00C92CE4" w:rsidP="00573612">
            <w:pPr>
              <w:spacing w:before="60" w:after="60" w:line="240" w:lineRule="auto"/>
              <w:textAlignment w:val="auto"/>
              <w:rPr>
                <w:rFonts w:cs="Times New Roman"/>
                <w:bCs/>
                <w:color w:val="000000"/>
              </w:rPr>
            </w:pPr>
            <w:r w:rsidRPr="00573612">
              <w:rPr>
                <w:rFonts w:cs="Times New Roman"/>
                <w:bCs/>
                <w:color w:val="000000"/>
              </w:rPr>
              <w:t>USEPA</w:t>
            </w:r>
            <w:r w:rsidRPr="00573612">
              <w:rPr>
                <w:rFonts w:cs="Times New Roman"/>
                <w:bCs/>
                <w:color w:val="000000"/>
              </w:rPr>
              <w:tab/>
              <w:t>70</w:t>
            </w:r>
          </w:p>
          <w:p w14:paraId="29441ED3" w14:textId="77777777" w:rsidR="00C92CE4" w:rsidRPr="00573612" w:rsidRDefault="00C92CE4" w:rsidP="00573612">
            <w:pPr>
              <w:spacing w:before="60" w:after="60" w:line="240" w:lineRule="auto"/>
              <w:textAlignment w:val="auto"/>
              <w:rPr>
                <w:rFonts w:cs="Times New Roman"/>
                <w:bCs/>
                <w:color w:val="000000"/>
              </w:rPr>
            </w:pPr>
            <w:r w:rsidRPr="00573612">
              <w:rPr>
                <w:rFonts w:cs="Times New Roman"/>
                <w:bCs/>
                <w:color w:val="000000"/>
              </w:rPr>
              <w:t>Canada</w:t>
            </w:r>
            <w:r w:rsidRPr="00573612">
              <w:rPr>
                <w:rFonts w:cs="Times New Roman"/>
                <w:bCs/>
                <w:color w:val="000000"/>
              </w:rPr>
              <w:tab/>
              <w:t>63a, 62b</w:t>
            </w:r>
          </w:p>
          <w:p w14:paraId="355F567A" w14:textId="77777777" w:rsidR="00C92CE4" w:rsidRPr="00573612" w:rsidRDefault="00C92CE4" w:rsidP="00573612">
            <w:pPr>
              <w:spacing w:before="60" w:after="60" w:line="240" w:lineRule="auto"/>
              <w:textAlignment w:val="auto"/>
              <w:rPr>
                <w:rFonts w:cs="Times New Roman"/>
                <w:bCs/>
                <w:color w:val="000000"/>
              </w:rPr>
            </w:pPr>
            <w:r w:rsidRPr="00573612">
              <w:rPr>
                <w:rFonts w:cs="Times New Roman"/>
                <w:bCs/>
                <w:color w:val="000000"/>
              </w:rPr>
              <w:t>EU</w:t>
            </w:r>
            <w:r w:rsidRPr="00573612">
              <w:rPr>
                <w:rFonts w:cs="Times New Roman"/>
                <w:bCs/>
                <w:color w:val="000000"/>
              </w:rPr>
              <w:tab/>
              <w:t>56</w:t>
            </w:r>
          </w:p>
          <w:p w14:paraId="25854749" w14:textId="77777777" w:rsidR="00C92CE4" w:rsidRPr="00573612" w:rsidRDefault="00C92CE4" w:rsidP="00573612">
            <w:pPr>
              <w:spacing w:before="60" w:after="60" w:line="240" w:lineRule="auto"/>
              <w:textAlignment w:val="auto"/>
              <w:rPr>
                <w:rFonts w:cs="Times New Roman"/>
                <w:bCs/>
                <w:color w:val="000000"/>
              </w:rPr>
            </w:pPr>
            <w:r w:rsidRPr="00573612">
              <w:rPr>
                <w:rFonts w:cs="Times New Roman"/>
                <w:bCs/>
                <w:color w:val="000000"/>
              </w:rPr>
              <w:t>UK</w:t>
            </w:r>
            <w:r w:rsidRPr="00573612">
              <w:rPr>
                <w:rFonts w:cs="Times New Roman"/>
                <w:bCs/>
                <w:color w:val="000000"/>
              </w:rPr>
              <w:tab/>
              <w:t>47</w:t>
            </w:r>
          </w:p>
        </w:tc>
        <w:tc>
          <w:tcPr>
            <w:tcW w:w="0" w:type="auto"/>
          </w:tcPr>
          <w:p w14:paraId="050C8182" w14:textId="77777777" w:rsidR="00C92CE4" w:rsidRPr="00573612" w:rsidRDefault="00C92CE4" w:rsidP="00573612">
            <w:pPr>
              <w:spacing w:before="60" w:after="60" w:line="240" w:lineRule="auto"/>
              <w:textAlignment w:val="auto"/>
              <w:rPr>
                <w:rFonts w:cs="Times New Roman"/>
                <w:bCs/>
                <w:color w:val="000000"/>
              </w:rPr>
            </w:pPr>
            <w:r w:rsidRPr="00573612">
              <w:rPr>
                <w:rFonts w:cs="Times New Roman"/>
                <w:bCs/>
                <w:color w:val="000000"/>
              </w:rPr>
              <w:t>No current standard</w:t>
            </w:r>
          </w:p>
        </w:tc>
        <w:tc>
          <w:tcPr>
            <w:tcW w:w="2588" w:type="dxa"/>
          </w:tcPr>
          <w:p w14:paraId="4BD0FE5D" w14:textId="77777777" w:rsidR="00C92CE4" w:rsidRPr="00573612" w:rsidRDefault="00C92CE4" w:rsidP="00573612">
            <w:pPr>
              <w:spacing w:before="60" w:after="60" w:line="240" w:lineRule="auto"/>
              <w:textAlignment w:val="auto"/>
              <w:rPr>
                <w:rFonts w:cs="Times New Roman"/>
                <w:bCs/>
                <w:color w:val="000000"/>
              </w:rPr>
            </w:pPr>
            <w:r w:rsidRPr="00573612">
              <w:rPr>
                <w:rFonts w:cs="Times New Roman"/>
                <w:bCs/>
                <w:color w:val="000000"/>
              </w:rPr>
              <w:t>65</w:t>
            </w:r>
          </w:p>
        </w:tc>
        <w:tc>
          <w:tcPr>
            <w:tcW w:w="2523" w:type="dxa"/>
          </w:tcPr>
          <w:p w14:paraId="2BBB2116" w14:textId="507C257B" w:rsidR="00C92CE4" w:rsidRPr="00573612" w:rsidRDefault="00573612" w:rsidP="00573612">
            <w:pPr>
              <w:spacing w:before="60" w:after="60" w:line="240" w:lineRule="auto"/>
              <w:textAlignment w:val="auto"/>
              <w:rPr>
                <w:rFonts w:cs="Times New Roman"/>
                <w:bCs/>
                <w:color w:val="000000"/>
              </w:rPr>
            </w:pPr>
            <w:r w:rsidRPr="00C01530">
              <w:rPr>
                <w:rFonts w:cs="Times New Roman"/>
                <w:sz w:val="16"/>
                <w:szCs w:val="16"/>
              </w:rPr>
              <w:t>–</w:t>
            </w:r>
          </w:p>
        </w:tc>
      </w:tr>
    </w:tbl>
    <w:p w14:paraId="7CF86A2D" w14:textId="0E5F17CD" w:rsidR="00C80CC8" w:rsidRPr="00C8470E" w:rsidRDefault="00542BDF" w:rsidP="00E9062C">
      <w:pPr>
        <w:pStyle w:val="Heading2"/>
        <w:spacing w:before="240"/>
      </w:pPr>
      <w:bookmarkStart w:id="51" w:name="_Toc9508357"/>
      <w:bookmarkStart w:id="52" w:name="_Toc9516931"/>
      <w:bookmarkStart w:id="53" w:name="_Toc9520951"/>
      <w:r w:rsidRPr="00C8470E">
        <w:t>Q13</w:t>
      </w:r>
      <w:r w:rsidR="00C80CC8" w:rsidRPr="00C8470E">
        <w:t>.</w:t>
      </w:r>
      <w:r w:rsidR="00C80CC8" w:rsidRPr="00C8470E">
        <w:tab/>
        <w:t>What will the revised SO</w:t>
      </w:r>
      <w:r w:rsidR="00C80CC8" w:rsidRPr="00C8470E">
        <w:rPr>
          <w:vertAlign w:val="subscript"/>
        </w:rPr>
        <w:t>2</w:t>
      </w:r>
      <w:r w:rsidR="00C80CC8" w:rsidRPr="00C8470E">
        <w:t>, NO</w:t>
      </w:r>
      <w:r w:rsidR="00C80CC8" w:rsidRPr="00C8470E">
        <w:rPr>
          <w:vertAlign w:val="subscript"/>
        </w:rPr>
        <w:t>2</w:t>
      </w:r>
      <w:r w:rsidR="00C80CC8" w:rsidRPr="00C8470E">
        <w:t xml:space="preserve"> and O</w:t>
      </w:r>
      <w:r w:rsidR="00C80CC8" w:rsidRPr="00C8470E">
        <w:rPr>
          <w:vertAlign w:val="subscript"/>
        </w:rPr>
        <w:t>3</w:t>
      </w:r>
      <w:r w:rsidR="00C80CC8" w:rsidRPr="00C8470E">
        <w:t xml:space="preserve"> standards mean for public health?</w:t>
      </w:r>
      <w:bookmarkEnd w:id="51"/>
      <w:bookmarkEnd w:id="52"/>
      <w:bookmarkEnd w:id="53"/>
    </w:p>
    <w:p w14:paraId="78B2CB48" w14:textId="033D340D" w:rsidR="00C80CC8" w:rsidRPr="00C8470E" w:rsidRDefault="00C80CC8" w:rsidP="000B0FB1">
      <w:r w:rsidRPr="00C8470E">
        <w:t>This Impact Statement found that there are health effects arising from exposure to O</w:t>
      </w:r>
      <w:r w:rsidRPr="00C8470E">
        <w:rPr>
          <w:vertAlign w:val="subscript"/>
        </w:rPr>
        <w:t>3</w:t>
      </w:r>
      <w:r w:rsidRPr="00C8470E">
        <w:t>, NO</w:t>
      </w:r>
      <w:r w:rsidRPr="00C8470E">
        <w:rPr>
          <w:vertAlign w:val="subscript"/>
        </w:rPr>
        <w:t>2</w:t>
      </w:r>
      <w:r w:rsidRPr="00C8470E">
        <w:t xml:space="preserve"> and SO</w:t>
      </w:r>
      <w:r w:rsidRPr="00C8470E">
        <w:rPr>
          <w:vertAlign w:val="subscript"/>
        </w:rPr>
        <w:t>2</w:t>
      </w:r>
      <w:r w:rsidRPr="00C8470E">
        <w:t xml:space="preserve"> in Australian cities at the current concentrations. The associated combined health costs due to mortality and hospitalisation over 2010-2014 were of the order of $562 million to $2,405 million. </w:t>
      </w:r>
    </w:p>
    <w:p w14:paraId="6B7EE1A3" w14:textId="48554733" w:rsidR="00384DE1" w:rsidRPr="00204B28" w:rsidRDefault="008C16A1" w:rsidP="000B0FB1">
      <w:pPr>
        <w:rPr>
          <w:szCs w:val="22"/>
        </w:rPr>
      </w:pPr>
      <w:r w:rsidRPr="00C8470E">
        <w:t>T</w:t>
      </w:r>
      <w:r w:rsidR="00C80CC8" w:rsidRPr="00C8470E">
        <w:t>he Impact Statement shows there are material health benefits associated with meeting the recommended standards.</w:t>
      </w:r>
      <w:r w:rsidR="00384DE1" w:rsidRPr="00384DE1">
        <w:rPr>
          <w:szCs w:val="22"/>
        </w:rPr>
        <w:t xml:space="preserve"> </w:t>
      </w:r>
    </w:p>
    <w:p w14:paraId="00C19D38" w14:textId="67449EF3" w:rsidR="00C80CC8" w:rsidRPr="00C8470E" w:rsidRDefault="00542BDF" w:rsidP="000B0FB1">
      <w:pPr>
        <w:pStyle w:val="Heading2"/>
      </w:pPr>
      <w:bookmarkStart w:id="54" w:name="_Toc9508358"/>
      <w:bookmarkStart w:id="55" w:name="_Toc9516932"/>
      <w:bookmarkStart w:id="56" w:name="_Toc9520952"/>
      <w:r w:rsidRPr="00C8470E">
        <w:t>Q1</w:t>
      </w:r>
      <w:r w:rsidR="00745DB1" w:rsidRPr="00C8470E">
        <w:t>4</w:t>
      </w:r>
      <w:r w:rsidR="00C80CC8" w:rsidRPr="00C8470E">
        <w:t xml:space="preserve">. </w:t>
      </w:r>
      <w:r w:rsidR="00840175">
        <w:tab/>
      </w:r>
      <w:r w:rsidR="00C80CC8" w:rsidRPr="00C8470E">
        <w:t>What other changes to the AAQ NEPM are proposed in the impact statement?</w:t>
      </w:r>
      <w:bookmarkEnd w:id="54"/>
      <w:bookmarkEnd w:id="55"/>
      <w:bookmarkEnd w:id="56"/>
    </w:p>
    <w:p w14:paraId="1EB9113D" w14:textId="28672A34" w:rsidR="00C80CC8" w:rsidRPr="00C8470E" w:rsidRDefault="00C80CC8" w:rsidP="000B0FB1">
      <w:r w:rsidRPr="00C8470E">
        <w:t xml:space="preserve">Changes to clause 14 (number of performance monitoring stations) and some additional definitions for </w:t>
      </w:r>
      <w:r w:rsidRPr="00C8470E">
        <w:rPr>
          <w:i/>
        </w:rPr>
        <w:t>population at risk</w:t>
      </w:r>
      <w:r w:rsidRPr="00C8470E">
        <w:t xml:space="preserve"> and </w:t>
      </w:r>
      <w:r w:rsidRPr="00C8470E">
        <w:rPr>
          <w:i/>
        </w:rPr>
        <w:t>high risk areas</w:t>
      </w:r>
      <w:r w:rsidRPr="00C8470E">
        <w:t xml:space="preserve"> are proposed to provide a </w:t>
      </w:r>
      <w:r w:rsidR="002D19DB" w:rsidRPr="00C8470E">
        <w:t xml:space="preserve">strengthened </w:t>
      </w:r>
      <w:r w:rsidRPr="00C8470E">
        <w:t xml:space="preserve">focus on </w:t>
      </w:r>
      <w:r w:rsidRPr="00C8470E">
        <w:lastRenderedPageBreak/>
        <w:t>risk. Further information on this change can be found in Chapter 1.5.3.2</w:t>
      </w:r>
      <w:r w:rsidR="002D19DB" w:rsidRPr="00C8470E">
        <w:t xml:space="preserve">. </w:t>
      </w:r>
    </w:p>
    <w:p w14:paraId="3CD704DD" w14:textId="18CAD460" w:rsidR="00C80CC8" w:rsidRPr="00C8470E" w:rsidRDefault="00C80CC8" w:rsidP="000B0FB1">
      <w:r w:rsidRPr="00C8470E">
        <w:t>Removal of the maximum allowable exceedances for CO is also proposed</w:t>
      </w:r>
      <w:r w:rsidR="002D19DB" w:rsidRPr="00C8470E">
        <w:t>, as</w:t>
      </w:r>
      <w:r w:rsidRPr="00C8470E">
        <w:t xml:space="preserve">:  </w:t>
      </w:r>
    </w:p>
    <w:p w14:paraId="1FE25E01" w14:textId="454CF2C6" w:rsidR="00C80CC8" w:rsidRPr="00204B28" w:rsidRDefault="00C80CC8" w:rsidP="00204B28">
      <w:pPr>
        <w:pStyle w:val="ListParagraph"/>
        <w:numPr>
          <w:ilvl w:val="0"/>
          <w:numId w:val="5"/>
        </w:numPr>
        <w:spacing w:before="0" w:after="200" w:line="293" w:lineRule="atLeast"/>
        <w:contextualSpacing/>
        <w:rPr>
          <w:rFonts w:ascii="Myriad Pro" w:eastAsia="Times New Roman" w:hAnsi="Myriad Pro"/>
          <w:sz w:val="20"/>
          <w:szCs w:val="20"/>
        </w:rPr>
      </w:pPr>
      <w:r w:rsidRPr="00204B28">
        <w:rPr>
          <w:rFonts w:ascii="Myriad Pro" w:eastAsia="Times New Roman" w:hAnsi="Myriad Pro"/>
          <w:sz w:val="20"/>
          <w:szCs w:val="20"/>
        </w:rPr>
        <w:t xml:space="preserve">allowable exceedances for O3, NO2 and SO2 are </w:t>
      </w:r>
      <w:r w:rsidR="002D19DB" w:rsidRPr="00204B28">
        <w:rPr>
          <w:rFonts w:ascii="Myriad Pro" w:eastAsia="Times New Roman" w:hAnsi="Myriad Pro"/>
          <w:sz w:val="20"/>
          <w:szCs w:val="20"/>
        </w:rPr>
        <w:t xml:space="preserve">proposed to be </w:t>
      </w:r>
      <w:r w:rsidRPr="00204B28">
        <w:rPr>
          <w:rFonts w:ascii="Myriad Pro" w:eastAsia="Times New Roman" w:hAnsi="Myriad Pro"/>
          <w:sz w:val="20"/>
          <w:szCs w:val="20"/>
        </w:rPr>
        <w:t>removed</w:t>
      </w:r>
    </w:p>
    <w:p w14:paraId="6D4A50E0" w14:textId="77777777" w:rsidR="00384DE1" w:rsidRPr="00204B28" w:rsidRDefault="00C80CC8" w:rsidP="00204B28">
      <w:pPr>
        <w:pStyle w:val="ListParagraph"/>
        <w:numPr>
          <w:ilvl w:val="0"/>
          <w:numId w:val="5"/>
        </w:numPr>
        <w:spacing w:before="0" w:after="200" w:line="293" w:lineRule="atLeast"/>
        <w:contextualSpacing/>
        <w:rPr>
          <w:rFonts w:ascii="Myriad Pro" w:eastAsia="Times New Roman" w:hAnsi="Myriad Pro"/>
          <w:sz w:val="20"/>
          <w:szCs w:val="20"/>
        </w:rPr>
      </w:pPr>
      <w:r w:rsidRPr="00204B28">
        <w:rPr>
          <w:rFonts w:ascii="Myriad Pro" w:eastAsia="Times New Roman" w:hAnsi="Myriad Pro"/>
          <w:sz w:val="20"/>
          <w:szCs w:val="20"/>
        </w:rPr>
        <w:t>The levels of CO across Australia have been continuously low over the past decade and allowable exceedances have not been needed.</w:t>
      </w:r>
    </w:p>
    <w:p w14:paraId="58897702" w14:textId="570D8374" w:rsidR="00384DE1" w:rsidRPr="00204B28" w:rsidRDefault="00C80CC8" w:rsidP="00204B28">
      <w:pPr>
        <w:pStyle w:val="ListParagraph"/>
        <w:numPr>
          <w:ilvl w:val="0"/>
          <w:numId w:val="5"/>
        </w:numPr>
        <w:spacing w:before="0" w:after="200" w:line="293" w:lineRule="atLeast"/>
        <w:contextualSpacing/>
        <w:rPr>
          <w:rFonts w:ascii="Myriad Pro" w:eastAsia="Times New Roman" w:hAnsi="Myriad Pro"/>
          <w:sz w:val="20"/>
          <w:szCs w:val="20"/>
        </w:rPr>
      </w:pPr>
      <w:r w:rsidRPr="00204B28">
        <w:rPr>
          <w:rFonts w:ascii="Myriad Pro" w:eastAsia="Times New Roman" w:hAnsi="Myriad Pro"/>
          <w:sz w:val="20"/>
          <w:szCs w:val="20"/>
        </w:rPr>
        <w:t>CO is likely to remain low for the foreseeable future.</w:t>
      </w:r>
      <w:r w:rsidR="00384DE1" w:rsidRPr="00204B28">
        <w:rPr>
          <w:rFonts w:ascii="Myriad Pro" w:eastAsia="Times New Roman" w:hAnsi="Myriad Pro"/>
          <w:sz w:val="20"/>
          <w:szCs w:val="20"/>
        </w:rPr>
        <w:t xml:space="preserve"> </w:t>
      </w:r>
    </w:p>
    <w:p w14:paraId="35E707DF" w14:textId="7491BFE1" w:rsidR="00C80CC8" w:rsidRPr="00C8470E" w:rsidRDefault="00542BDF" w:rsidP="000B0FB1">
      <w:pPr>
        <w:pStyle w:val="Heading2"/>
      </w:pPr>
      <w:bookmarkStart w:id="57" w:name="_Toc9508359"/>
      <w:bookmarkStart w:id="58" w:name="_Toc9516933"/>
      <w:bookmarkStart w:id="59" w:name="_Toc9520953"/>
      <w:r w:rsidRPr="00C8470E">
        <w:t>Q1</w:t>
      </w:r>
      <w:r w:rsidR="00745DB1" w:rsidRPr="00C8470E">
        <w:t>5</w:t>
      </w:r>
      <w:r w:rsidR="00C80CC8" w:rsidRPr="00C8470E">
        <w:t>.</w:t>
      </w:r>
      <w:r w:rsidR="00C80CC8" w:rsidRPr="00C8470E">
        <w:tab/>
        <w:t>I live in an area that is impacted by air pollution. How will changes to the AAQ NEPM improve air quality for me?</w:t>
      </w:r>
      <w:bookmarkEnd w:id="57"/>
      <w:bookmarkEnd w:id="58"/>
      <w:bookmarkEnd w:id="59"/>
    </w:p>
    <w:p w14:paraId="7B25B673" w14:textId="7A485195" w:rsidR="00C80CC8" w:rsidRPr="00C8470E" w:rsidRDefault="00C80CC8" w:rsidP="000B0FB1">
      <w:r w:rsidRPr="00C8470E">
        <w:t>The AAQ NEPM provides national standards for jurisdictions to monitor and publicly report on air pollution. Changes to the standards will provide more stringent targets</w:t>
      </w:r>
      <w:r w:rsidR="0091440B" w:rsidRPr="00C8470E">
        <w:t xml:space="preserve">, which jurisdictions may consider </w:t>
      </w:r>
      <w:r w:rsidRPr="00C8470E">
        <w:t>implement</w:t>
      </w:r>
      <w:r w:rsidR="0091440B" w:rsidRPr="00C8470E">
        <w:t>ing</w:t>
      </w:r>
      <w:r w:rsidRPr="00C8470E">
        <w:t>.</w:t>
      </w:r>
    </w:p>
    <w:p w14:paraId="70D552B5" w14:textId="77777777" w:rsidR="00C80CC8" w:rsidRPr="00C8470E" w:rsidRDefault="00C80CC8" w:rsidP="000B0FB1">
      <w:r w:rsidRPr="00C8470E">
        <w:t>Proposed changes to the AAQ NEPM are based on the latest scientific evidence and are intended to drive reduced population exposure to these pollutants and thereby reduce the risk of health impacts.</w:t>
      </w:r>
    </w:p>
    <w:p w14:paraId="42D2F08D" w14:textId="2F722C3B" w:rsidR="00C80CC8" w:rsidRPr="00C8470E" w:rsidRDefault="00C80CC8" w:rsidP="000B0FB1">
      <w:r w:rsidRPr="00C8470E">
        <w:t>The proposed exposure reduction framework for NO</w:t>
      </w:r>
      <w:r w:rsidRPr="00C8470E">
        <w:rPr>
          <w:vertAlign w:val="subscript"/>
        </w:rPr>
        <w:t>2</w:t>
      </w:r>
      <w:r w:rsidRPr="00C8470E">
        <w:t xml:space="preserve"> and O</w:t>
      </w:r>
      <w:r w:rsidRPr="00C8470E">
        <w:rPr>
          <w:vertAlign w:val="subscript"/>
        </w:rPr>
        <w:t>3</w:t>
      </w:r>
      <w:r w:rsidRPr="00C8470E">
        <w:t xml:space="preserve"> seeks a continued reduction in exposure to air pollution, even if standards are met</w:t>
      </w:r>
      <w:r w:rsidR="0091440B" w:rsidRPr="00C8470E">
        <w:t xml:space="preserve">, to </w:t>
      </w:r>
      <w:r w:rsidRPr="00C8470E">
        <w:t>continually drive air quality improvement across all communities.</w:t>
      </w:r>
    </w:p>
    <w:p w14:paraId="34470200" w14:textId="4D624F9D" w:rsidR="00384DE1" w:rsidRDefault="00AE0483" w:rsidP="000B0FB1">
      <w:r w:rsidRPr="00C8470E">
        <w:lastRenderedPageBreak/>
        <w:t>Emissions from point sources, such as industrial facilities, that affect a localised area are addressed by state based arrangements, such as works approvals or licence conditions imposed on industry to keep emissions at acceptable levels.</w:t>
      </w:r>
      <w:r w:rsidR="00384DE1" w:rsidRPr="00384DE1">
        <w:t xml:space="preserve"> </w:t>
      </w:r>
    </w:p>
    <w:p w14:paraId="3163225F" w14:textId="77777777" w:rsidR="00C80CC8" w:rsidRPr="00C8470E" w:rsidRDefault="00C80CC8" w:rsidP="000B0FB1">
      <w:pPr>
        <w:pStyle w:val="Heading1"/>
      </w:pPr>
      <w:bookmarkStart w:id="60" w:name="_Toc9508360"/>
      <w:bookmarkStart w:id="61" w:name="_Toc9516934"/>
      <w:bookmarkStart w:id="62" w:name="_Toc9520954"/>
      <w:r w:rsidRPr="00C8470E">
        <w:t>Air quality standards generally</w:t>
      </w:r>
      <w:bookmarkEnd w:id="60"/>
      <w:bookmarkEnd w:id="61"/>
      <w:bookmarkEnd w:id="62"/>
    </w:p>
    <w:p w14:paraId="432A657C" w14:textId="0A9A6EC0" w:rsidR="00C80CC8" w:rsidRPr="00C8470E" w:rsidRDefault="00542BDF" w:rsidP="000B0FB1">
      <w:pPr>
        <w:pStyle w:val="Heading2"/>
      </w:pPr>
      <w:bookmarkStart w:id="63" w:name="_Toc9508361"/>
      <w:bookmarkStart w:id="64" w:name="_Toc9516935"/>
      <w:bookmarkStart w:id="65" w:name="_Toc9520955"/>
      <w:r w:rsidRPr="00C8470E">
        <w:t>Q1</w:t>
      </w:r>
      <w:r w:rsidR="00745DB1" w:rsidRPr="00C8470E">
        <w:t>6</w:t>
      </w:r>
      <w:r w:rsidR="00C80CC8" w:rsidRPr="00C8470E">
        <w:t>.</w:t>
      </w:r>
      <w:r w:rsidR="00C80CC8" w:rsidRPr="00C8470E">
        <w:tab/>
        <w:t>Why aren’t the Australian standards made enforceable?</w:t>
      </w:r>
      <w:bookmarkEnd w:id="63"/>
      <w:bookmarkEnd w:id="64"/>
      <w:bookmarkEnd w:id="65"/>
    </w:p>
    <w:p w14:paraId="1150CE4C" w14:textId="172B6984" w:rsidR="00273E02" w:rsidRPr="00C8470E" w:rsidRDefault="00273E02" w:rsidP="000B0FB1">
      <w:r w:rsidRPr="00C8470E">
        <w:t>Performance against the AAQ NEPM is not enforced by NEPC.</w:t>
      </w:r>
    </w:p>
    <w:p w14:paraId="48F1E9A2" w14:textId="77777777" w:rsidR="00384DE1" w:rsidRDefault="00C80CC8" w:rsidP="000B0FB1">
      <w:r w:rsidRPr="00C8470E">
        <w:t xml:space="preserve">Australia’s air quality is relatively good. This good air quality result is achieved through the current AAQ NEPM arrangement. Its lack of enforceability is not an impediment to further air quality improvement. </w:t>
      </w:r>
    </w:p>
    <w:p w14:paraId="6B682AE4" w14:textId="0B89DF1D" w:rsidR="00C80CC8" w:rsidRPr="00C8470E" w:rsidRDefault="00542BDF" w:rsidP="000B0FB1">
      <w:pPr>
        <w:pStyle w:val="Heading2"/>
      </w:pPr>
      <w:bookmarkStart w:id="66" w:name="_Toc9508362"/>
      <w:bookmarkStart w:id="67" w:name="_Toc9516936"/>
      <w:bookmarkStart w:id="68" w:name="_Toc9520956"/>
      <w:r w:rsidRPr="00C8470E">
        <w:t>Q1</w:t>
      </w:r>
      <w:r w:rsidR="00745DB1" w:rsidRPr="00C8470E">
        <w:t>7</w:t>
      </w:r>
      <w:r w:rsidR="00C80CC8" w:rsidRPr="00C8470E">
        <w:t>.</w:t>
      </w:r>
      <w:r w:rsidR="00C80CC8" w:rsidRPr="00C8470E">
        <w:tab/>
        <w:t>How are jurisdictions held accountable for poor air quality?</w:t>
      </w:r>
      <w:bookmarkEnd w:id="66"/>
      <w:bookmarkEnd w:id="67"/>
      <w:bookmarkEnd w:id="68"/>
    </w:p>
    <w:p w14:paraId="1EE0A486" w14:textId="04C952FF" w:rsidR="00384DE1" w:rsidRDefault="00C80CC8" w:rsidP="000B0FB1">
      <w:r w:rsidRPr="00C8470E">
        <w:t>Under the NEPC Act, accountability for meeting the standards lies in public reporting.</w:t>
      </w:r>
      <w:r w:rsidRPr="00C8470E" w:rsidDel="00857FBD">
        <w:t xml:space="preserve"> </w:t>
      </w:r>
      <w:r w:rsidRPr="00C8470E">
        <w:t xml:space="preserve">Jurisdictions are required under the AAQ NEPM to report on the implementation and effectiveness of the AAQ NEPM to the National Environment Protection Council (NEPC) each year. Reports must include an evaluation of performance at each monitoring station against the AAQ NEPM standards and goals, comprising an analysis of the extent to which the standards are met, a statement of progress made towards achieving the goal, and a description of the circumstances that led to any </w:t>
      </w:r>
      <w:r w:rsidR="00AE0483" w:rsidRPr="00C8470E">
        <w:t>exceedances</w:t>
      </w:r>
      <w:r w:rsidRPr="00C8470E">
        <w:t xml:space="preserve"> of the standards, including the influence of natural events and fire management.</w:t>
      </w:r>
    </w:p>
    <w:p w14:paraId="117C7E1B" w14:textId="53A0B5ED" w:rsidR="00C80CC8" w:rsidRPr="00C8470E" w:rsidRDefault="00384DE1" w:rsidP="000B0FB1">
      <w:pPr>
        <w:pStyle w:val="Heading1"/>
      </w:pPr>
      <w:bookmarkStart w:id="69" w:name="_Toc9508363"/>
      <w:bookmarkStart w:id="70" w:name="_Toc9516937"/>
      <w:bookmarkStart w:id="71" w:name="_Toc9520957"/>
      <w:r>
        <w:lastRenderedPageBreak/>
        <w:t>E</w:t>
      </w:r>
      <w:r w:rsidR="00C80CC8" w:rsidRPr="00C8470E">
        <w:t>xceptional events</w:t>
      </w:r>
      <w:bookmarkEnd w:id="69"/>
      <w:bookmarkEnd w:id="70"/>
      <w:bookmarkEnd w:id="71"/>
    </w:p>
    <w:p w14:paraId="6FFE89C7" w14:textId="36E9ACA0" w:rsidR="00C80CC8" w:rsidRPr="00C8470E" w:rsidRDefault="00542BDF" w:rsidP="000B0FB1">
      <w:pPr>
        <w:pStyle w:val="Heading2"/>
      </w:pPr>
      <w:bookmarkStart w:id="72" w:name="_Toc9508364"/>
      <w:bookmarkStart w:id="73" w:name="_Toc9516938"/>
      <w:bookmarkStart w:id="74" w:name="_Toc9520958"/>
      <w:r w:rsidRPr="00C8470E">
        <w:t>Q</w:t>
      </w:r>
      <w:r w:rsidR="00745DB1" w:rsidRPr="00C8470E">
        <w:t>18</w:t>
      </w:r>
      <w:r w:rsidR="00C80CC8" w:rsidRPr="00C8470E">
        <w:t>.</w:t>
      </w:r>
      <w:r w:rsidR="00C80CC8" w:rsidRPr="00C8470E">
        <w:tab/>
        <w:t>The Impact Statement considers excluding ‘exceptional events’ when assessing compliance with the ozone standards. How are exceptional events being defined?</w:t>
      </w:r>
      <w:bookmarkEnd w:id="72"/>
      <w:bookmarkEnd w:id="73"/>
      <w:bookmarkEnd w:id="74"/>
    </w:p>
    <w:p w14:paraId="12F88B6F" w14:textId="77777777" w:rsidR="00C80CC8" w:rsidRPr="00C8470E" w:rsidRDefault="00C80CC8" w:rsidP="000B0FB1">
      <w:r w:rsidRPr="00C8470E">
        <w:t>An ‘exceptional events’ rule was introduced with the particles review and allows jurisdictions to exclude natural events like bushfires and dust storms when assessing compliance with air quality standards so that attention could be focused on air pollution sources that can be realistically managed.</w:t>
      </w:r>
    </w:p>
    <w:p w14:paraId="582949CD" w14:textId="33074A76" w:rsidR="0091440B" w:rsidRPr="00C8470E" w:rsidRDefault="0091440B" w:rsidP="000B0FB1">
      <w:r w:rsidRPr="00C8470E">
        <w:t>A</w:t>
      </w:r>
      <w:r w:rsidR="00C80CC8" w:rsidRPr="00C8470E">
        <w:t xml:space="preserve">n exceptional event </w:t>
      </w:r>
      <w:r w:rsidRPr="00C8470E">
        <w:t xml:space="preserve">is an </w:t>
      </w:r>
      <w:r w:rsidR="00C80CC8" w:rsidRPr="00C8470E">
        <w:t>occurrence that adversely affects air quality at a particular location, and causes an exceedance of 1</w:t>
      </w:r>
      <w:r w:rsidR="000F2E10" w:rsidRPr="00C8470E">
        <w:t>-</w:t>
      </w:r>
      <w:r w:rsidR="00C80CC8" w:rsidRPr="00C8470E">
        <w:t xml:space="preserve">day average </w:t>
      </w:r>
      <w:r w:rsidR="00BF7264" w:rsidRPr="00C8470E">
        <w:t xml:space="preserve">particles </w:t>
      </w:r>
      <w:r w:rsidR="00C80CC8" w:rsidRPr="00C8470E">
        <w:t xml:space="preserve">standards in </w:t>
      </w:r>
      <w:r w:rsidR="00BF7264" w:rsidRPr="00C8470E">
        <w:t>8-hour O</w:t>
      </w:r>
      <w:r w:rsidR="00BF7264" w:rsidRPr="00C8470E">
        <w:rPr>
          <w:vertAlign w:val="subscript"/>
        </w:rPr>
        <w:t>3</w:t>
      </w:r>
      <w:r w:rsidR="00BF7264" w:rsidRPr="00C8470E">
        <w:t xml:space="preserve"> standards </w:t>
      </w:r>
      <w:r w:rsidR="00C80CC8" w:rsidRPr="00C8470E">
        <w:t>excess of normal historical fluctuations and background levels</w:t>
      </w:r>
      <w:r w:rsidRPr="00C8470E">
        <w:t>,</w:t>
      </w:r>
    </w:p>
    <w:p w14:paraId="6409E9C7" w14:textId="54DC2DBD" w:rsidR="00C80CC8" w:rsidRPr="00C8470E" w:rsidRDefault="0091440B" w:rsidP="000B0FB1">
      <w:pPr>
        <w:rPr>
          <w:highlight w:val="yellow"/>
        </w:rPr>
      </w:pPr>
      <w:r w:rsidRPr="00C8470E">
        <w:t xml:space="preserve">It </w:t>
      </w:r>
      <w:r w:rsidR="00C80CC8" w:rsidRPr="00C8470E">
        <w:t>is directly related to bushfire; jurisdiction authorised hazard reduction burning; or continental scale windblown dust.</w:t>
      </w:r>
    </w:p>
    <w:p w14:paraId="410E9BF9" w14:textId="77777777" w:rsidR="00384DE1" w:rsidRDefault="00C80CC8" w:rsidP="000B0FB1">
      <w:r w:rsidRPr="00C8470E">
        <w:t>Bushfires are a natural source of O</w:t>
      </w:r>
      <w:r w:rsidRPr="00C8470E">
        <w:rPr>
          <w:vertAlign w:val="subscript"/>
        </w:rPr>
        <w:t>3</w:t>
      </w:r>
      <w:r w:rsidRPr="00C8470E">
        <w:t xml:space="preserve"> precursors (nitrogen oxides and volatile organic compounds) that can react to form O</w:t>
      </w:r>
      <w:r w:rsidRPr="00C8470E">
        <w:rPr>
          <w:vertAlign w:val="subscript"/>
        </w:rPr>
        <w:t>3</w:t>
      </w:r>
      <w:r w:rsidRPr="00C8470E">
        <w:t xml:space="preserve"> at concentrations that exceed the current standards.  Bushfires can have a significant impact on ozone </w:t>
      </w:r>
      <w:r w:rsidR="0091440B" w:rsidRPr="00C8470E">
        <w:t xml:space="preserve">concentration </w:t>
      </w:r>
      <w:r w:rsidRPr="00C8470E">
        <w:t>exceedances</w:t>
      </w:r>
      <w:r w:rsidR="0091440B" w:rsidRPr="00C8470E">
        <w:t xml:space="preserve">. </w:t>
      </w:r>
    </w:p>
    <w:p w14:paraId="3907F440" w14:textId="4D6668B5" w:rsidR="00C80CC8" w:rsidRPr="00C8470E" w:rsidRDefault="00542BDF" w:rsidP="000B0FB1">
      <w:pPr>
        <w:pStyle w:val="Heading2"/>
      </w:pPr>
      <w:bookmarkStart w:id="75" w:name="_Toc9508365"/>
      <w:bookmarkStart w:id="76" w:name="_Toc9516939"/>
      <w:bookmarkStart w:id="77" w:name="_Toc9520959"/>
      <w:r w:rsidRPr="00C8470E">
        <w:t>Q</w:t>
      </w:r>
      <w:r w:rsidR="00745DB1" w:rsidRPr="00C8470E">
        <w:t>19</w:t>
      </w:r>
      <w:r w:rsidR="00C80CC8" w:rsidRPr="00C8470E">
        <w:t>. Why are exceptional events not proposed for SO</w:t>
      </w:r>
      <w:r w:rsidR="00C80CC8" w:rsidRPr="00227C22">
        <w:rPr>
          <w:vertAlign w:val="subscript"/>
        </w:rPr>
        <w:t>2</w:t>
      </w:r>
      <w:r w:rsidR="00C80CC8" w:rsidRPr="00C8470E">
        <w:t xml:space="preserve"> or NO</w:t>
      </w:r>
      <w:r w:rsidR="00C80CC8" w:rsidRPr="00227C22">
        <w:rPr>
          <w:vertAlign w:val="subscript"/>
        </w:rPr>
        <w:t>2</w:t>
      </w:r>
      <w:r w:rsidR="00C80CC8" w:rsidRPr="00C8470E">
        <w:t xml:space="preserve"> exceedances?</w:t>
      </w:r>
      <w:bookmarkEnd w:id="75"/>
      <w:bookmarkEnd w:id="76"/>
      <w:bookmarkEnd w:id="77"/>
    </w:p>
    <w:p w14:paraId="0713AE39" w14:textId="03E2BE7B" w:rsidR="00384DE1" w:rsidRDefault="00C80CC8" w:rsidP="000B0FB1">
      <w:r w:rsidRPr="00C8470E">
        <w:t>There is no evidence that bushfires, hazard reduction burns or agricultural burning lead to elevated SO</w:t>
      </w:r>
      <w:r w:rsidRPr="00C8470E">
        <w:rPr>
          <w:vertAlign w:val="subscript"/>
        </w:rPr>
        <w:t>2</w:t>
      </w:r>
      <w:r w:rsidRPr="00C8470E">
        <w:t xml:space="preserve"> or NO</w:t>
      </w:r>
      <w:r w:rsidRPr="00C8470E">
        <w:rPr>
          <w:vertAlign w:val="subscript"/>
        </w:rPr>
        <w:t>2</w:t>
      </w:r>
      <w:r w:rsidRPr="00C8470E">
        <w:t xml:space="preserve"> levels.</w:t>
      </w:r>
      <w:r w:rsidR="00384DE1" w:rsidRPr="00384DE1">
        <w:t xml:space="preserve"> </w:t>
      </w:r>
    </w:p>
    <w:p w14:paraId="0E402D7D" w14:textId="77777777" w:rsidR="00C80CC8" w:rsidRPr="00C8470E" w:rsidRDefault="00C80CC8" w:rsidP="000B0FB1">
      <w:pPr>
        <w:pStyle w:val="Heading1"/>
      </w:pPr>
      <w:bookmarkStart w:id="78" w:name="_Toc9508366"/>
      <w:bookmarkStart w:id="79" w:name="_Toc9516940"/>
      <w:bookmarkStart w:id="80" w:name="_Toc9520960"/>
      <w:r w:rsidRPr="00C8470E">
        <w:t>Emissions reduction measures</w:t>
      </w:r>
      <w:bookmarkEnd w:id="78"/>
      <w:bookmarkEnd w:id="79"/>
      <w:bookmarkEnd w:id="80"/>
    </w:p>
    <w:p w14:paraId="4F1DCC15" w14:textId="5F58DB31" w:rsidR="00C80CC8" w:rsidRPr="00C8470E" w:rsidRDefault="00542BDF" w:rsidP="000B0FB1">
      <w:pPr>
        <w:pStyle w:val="Heading2"/>
      </w:pPr>
      <w:bookmarkStart w:id="81" w:name="_Toc9508367"/>
      <w:bookmarkStart w:id="82" w:name="_Toc9516941"/>
      <w:bookmarkStart w:id="83" w:name="_Toc9520961"/>
      <w:r w:rsidRPr="00C8470E">
        <w:t>Q2</w:t>
      </w:r>
      <w:r w:rsidR="00745DB1" w:rsidRPr="00C8470E">
        <w:t>0</w:t>
      </w:r>
      <w:r w:rsidR="00C80CC8" w:rsidRPr="00C8470E">
        <w:t>.</w:t>
      </w:r>
      <w:r w:rsidR="00C80CC8" w:rsidRPr="00C8470E">
        <w:tab/>
        <w:t>How will the revised SO</w:t>
      </w:r>
      <w:r w:rsidR="00C80CC8" w:rsidRPr="00C8470E">
        <w:rPr>
          <w:vertAlign w:val="subscript"/>
        </w:rPr>
        <w:t>2</w:t>
      </w:r>
      <w:r w:rsidR="00C80CC8" w:rsidRPr="00C8470E">
        <w:t>, NO</w:t>
      </w:r>
      <w:r w:rsidR="00C80CC8" w:rsidRPr="00C8470E">
        <w:rPr>
          <w:vertAlign w:val="subscript"/>
        </w:rPr>
        <w:t>2</w:t>
      </w:r>
      <w:r w:rsidR="00C80CC8" w:rsidRPr="00C8470E">
        <w:t xml:space="preserve"> and O</w:t>
      </w:r>
      <w:r w:rsidR="00C80CC8" w:rsidRPr="00C8470E">
        <w:rPr>
          <w:vertAlign w:val="subscript"/>
        </w:rPr>
        <w:t>3</w:t>
      </w:r>
      <w:r w:rsidR="00C80CC8" w:rsidRPr="00C8470E">
        <w:t xml:space="preserve"> standards be achieved?</w:t>
      </w:r>
      <w:bookmarkEnd w:id="81"/>
      <w:bookmarkEnd w:id="82"/>
      <w:bookmarkEnd w:id="83"/>
    </w:p>
    <w:p w14:paraId="452B19E5" w14:textId="1A79B004" w:rsidR="00C80CC8" w:rsidRPr="00C8470E" w:rsidRDefault="00C80CC8" w:rsidP="000B0FB1">
      <w:r w:rsidRPr="00C8470E">
        <w:t>Meeting the standards requires consideration of the introduction of new abatement measures at both national and jurisdictional levels. Abatement measures can reduce emissions, ambient concentrations and/or exposure.</w:t>
      </w:r>
    </w:p>
    <w:p w14:paraId="218D3EFC" w14:textId="59DC3BB7" w:rsidR="00C80CC8" w:rsidRPr="00C8470E" w:rsidRDefault="00C80CC8" w:rsidP="000B0FB1">
      <w:r w:rsidRPr="00C8470E">
        <w:t>Nationally, measures to reduce emissions from non-road spark ignition engines (as used in lawnmowers, handheld garden equipment and outboard marine engines) have recently been introduced and target reductions in precursors of O</w:t>
      </w:r>
      <w:r w:rsidRPr="00C8470E">
        <w:rPr>
          <w:vertAlign w:val="subscript"/>
        </w:rPr>
        <w:t>3</w:t>
      </w:r>
      <w:r w:rsidRPr="00C8470E">
        <w:t>.</w:t>
      </w:r>
    </w:p>
    <w:p w14:paraId="5B551239" w14:textId="1E56D5AD" w:rsidR="002847E4" w:rsidRPr="00C8470E" w:rsidRDefault="002847E4" w:rsidP="000B0FB1">
      <w:r w:rsidRPr="00C8470E">
        <w:rPr>
          <w:lang w:val="en"/>
        </w:rPr>
        <w:t>New measures to improve fuel standards to ensure access to the latest vehicles and health benefits to the community from cleaner air have been announced. This will include reducing sulfur in petrol to 10 parts per millions from 1 July 2027.</w:t>
      </w:r>
    </w:p>
    <w:p w14:paraId="42B60664" w14:textId="77777777" w:rsidR="00C80CC8" w:rsidRPr="00C8470E" w:rsidRDefault="00C80CC8" w:rsidP="000B0FB1">
      <w:r w:rsidRPr="00C8470E">
        <w:t>The potential for a national approach to manage non-road diesel engine emissions is being evaluated under the National Clean Air Agreement. Non-road diesel engines (as used in construction and mining equipment, cranes, forklifts, generators, etc) contribute to PM and NOx emissions.</w:t>
      </w:r>
    </w:p>
    <w:p w14:paraId="55135FD3" w14:textId="07BAEE3A" w:rsidR="00D11CA8" w:rsidRPr="00C8470E" w:rsidRDefault="00C80CC8" w:rsidP="000B0FB1">
      <w:r w:rsidRPr="00C8470E">
        <w:t>Shipping is a major source of sulphur dioxide emissions. From 2020, international convention limits of 0.5 per cent sulphur limit will apply, further decreasing sulphur dioxide emissions and providing cleaner air in the environs of ports and shipping lanes.</w:t>
      </w:r>
      <w:r w:rsidR="00D11CA8" w:rsidRPr="00C8470E">
        <w:br w:type="page"/>
      </w:r>
    </w:p>
    <w:p w14:paraId="3FFE73B9" w14:textId="08016AE3" w:rsidR="00C80CC8" w:rsidRPr="00C8470E" w:rsidRDefault="00D11CA8" w:rsidP="000B0FB1">
      <w:pPr>
        <w:pStyle w:val="Heading1"/>
      </w:pPr>
      <w:bookmarkStart w:id="84" w:name="AppendixA"/>
      <w:bookmarkStart w:id="85" w:name="_Toc9508368"/>
      <w:bookmarkStart w:id="86" w:name="_Toc9516942"/>
      <w:bookmarkStart w:id="87" w:name="_Toc9520962"/>
      <w:r w:rsidRPr="00C8470E">
        <w:lastRenderedPageBreak/>
        <w:t>Appendix A</w:t>
      </w:r>
      <w:bookmarkEnd w:id="84"/>
      <w:r w:rsidRPr="00C8470E">
        <w:t>: Comparison of recommended standards with international standards and guidelines</w:t>
      </w:r>
      <w:bookmarkEnd w:id="85"/>
      <w:bookmarkEnd w:id="86"/>
      <w:bookmarkEnd w:id="87"/>
    </w:p>
    <w:p w14:paraId="0CBB7BB6" w14:textId="5777C980" w:rsidR="00D11CA8" w:rsidRPr="00C8470E" w:rsidRDefault="00D11CA8" w:rsidP="000B0FB1">
      <w:r w:rsidRPr="00C8470E">
        <w:t xml:space="preserve">The World Health Organisation </w:t>
      </w:r>
      <w:r w:rsidR="00810FE4" w:rsidRPr="00C8470E">
        <w:t xml:space="preserve">(WHO) </w:t>
      </w:r>
      <w:r w:rsidRPr="00C8470E">
        <w:t>has established heath-based air quality guidelines for the most common ambient air pollutants. These guidelines provide for an adequate level of human health protection</w:t>
      </w:r>
      <w:r w:rsidR="00810FE4" w:rsidRPr="00C8470E">
        <w:t xml:space="preserve"> and </w:t>
      </w:r>
      <w:r w:rsidRPr="00C8470E">
        <w:t>are based solely on health considerations. WHO recognises that individual countries will need to balance health risks, technological feasibility, economic and social considerations when converting the guidelines to standards.</w:t>
      </w:r>
    </w:p>
    <w:p w14:paraId="0F85B4A9" w14:textId="4D719844" w:rsidR="00D11CA8" w:rsidRPr="00C8470E" w:rsidRDefault="00D11CA8" w:rsidP="000B0FB1">
      <w:r w:rsidRPr="00C8470E">
        <w:t>The options for standards presented in the Impact Statement are based on international guidance (e.g. from the WHO, U</w:t>
      </w:r>
      <w:r w:rsidR="00810FE4" w:rsidRPr="00C8470E">
        <w:t xml:space="preserve">nited </w:t>
      </w:r>
      <w:r w:rsidRPr="00C8470E">
        <w:t>S</w:t>
      </w:r>
      <w:r w:rsidR="00810FE4" w:rsidRPr="00C8470E">
        <w:t>tates Environmental Protection Agency)</w:t>
      </w:r>
      <w:r w:rsidRPr="00C8470E">
        <w:t xml:space="preserve"> but are informed by Australian conditions, including natural background and current air quality trends.</w:t>
      </w:r>
    </w:p>
    <w:p w14:paraId="17706C12" w14:textId="045007D9" w:rsidR="00D11CA8" w:rsidRPr="00C8470E" w:rsidRDefault="00D11CA8" w:rsidP="000B0FB1">
      <w:r w:rsidRPr="00C8470E">
        <w:t xml:space="preserve">WHO has 10 minute and 24-hour guideline values </w:t>
      </w:r>
      <w:r w:rsidR="002847E4" w:rsidRPr="00C8470E">
        <w:t>for SO</w:t>
      </w:r>
      <w:r w:rsidR="002847E4" w:rsidRPr="00C8470E">
        <w:rPr>
          <w:vertAlign w:val="subscript"/>
        </w:rPr>
        <w:t xml:space="preserve">2 </w:t>
      </w:r>
      <w:r w:rsidRPr="00C8470E">
        <w:t>of 175</w:t>
      </w:r>
      <w:r w:rsidR="00380A13" w:rsidRPr="00C8470E">
        <w:t xml:space="preserve"> </w:t>
      </w:r>
      <w:r w:rsidRPr="00C8470E">
        <w:t>ppb and 7 ppb respectively. It is not intended to introduce a 10-minute SO</w:t>
      </w:r>
      <w:r w:rsidRPr="00C8470E">
        <w:rPr>
          <w:vertAlign w:val="subscript"/>
        </w:rPr>
        <w:t>2</w:t>
      </w:r>
      <w:r w:rsidRPr="00C8470E">
        <w:t xml:space="preserve"> ambient standard in the AAQ NEPM. Air quality data in Australia indicate that, in general, SO</w:t>
      </w:r>
      <w:r w:rsidRPr="00C8470E">
        <w:rPr>
          <w:vertAlign w:val="subscript"/>
        </w:rPr>
        <w:t>2</w:t>
      </w:r>
      <w:r w:rsidRPr="00C8470E">
        <w:t xml:space="preserve"> levels are low, with short-term peaks only experienced at locations close to major sources of SO</w:t>
      </w:r>
      <w:r w:rsidRPr="00C8470E">
        <w:rPr>
          <w:vertAlign w:val="subscript"/>
        </w:rPr>
        <w:t>2</w:t>
      </w:r>
      <w:r w:rsidRPr="00C8470E">
        <w:t xml:space="preserve"> that are not covered by the AAQ NEPM. A similar situation exists in other leading countries, and a number of international agencies have not set a 10-minute standard. Based on the weight-of-evidence approach, it is therefore considered appropriate to retain the status quo, with the 10-minute SO</w:t>
      </w:r>
      <w:r w:rsidRPr="00C8470E">
        <w:rPr>
          <w:vertAlign w:val="subscript"/>
        </w:rPr>
        <w:t>2</w:t>
      </w:r>
      <w:r w:rsidRPr="00C8470E">
        <w:t xml:space="preserve"> standard being excluded from the AAQ NEPM, and with concentrations being managed through State environment legislation and frameworks.</w:t>
      </w:r>
    </w:p>
    <w:p w14:paraId="4EEEBC9D" w14:textId="21C34197" w:rsidR="00D11CA8" w:rsidRPr="00C8470E" w:rsidRDefault="00D11CA8" w:rsidP="000B0FB1">
      <w:r w:rsidRPr="00C8470E">
        <w:lastRenderedPageBreak/>
        <w:t>WHO does not have a 1-hour SO</w:t>
      </w:r>
      <w:r w:rsidRPr="00C8470E">
        <w:rPr>
          <w:vertAlign w:val="subscript"/>
        </w:rPr>
        <w:t>2</w:t>
      </w:r>
      <w:r w:rsidRPr="00C8470E">
        <w:t xml:space="preserve"> guideline but the recommended value of 100ppb when the AAQ NEPM variation commence</w:t>
      </w:r>
      <w:r w:rsidR="00810FE4" w:rsidRPr="00C8470E">
        <w:t>s</w:t>
      </w:r>
      <w:r w:rsidRPr="00C8470E">
        <w:t xml:space="preserve"> with a reduction to 75ppb in 2025 is consistent with other international agencies.</w:t>
      </w:r>
    </w:p>
    <w:p w14:paraId="37C6B737" w14:textId="61030692" w:rsidR="00D11CA8" w:rsidRPr="00C8470E" w:rsidRDefault="00D11CA8" w:rsidP="000B0FB1">
      <w:r w:rsidRPr="00C8470E">
        <w:t xml:space="preserve">The 7 ppb 24-hour </w:t>
      </w:r>
      <w:r w:rsidR="00810FE4" w:rsidRPr="00C8470E">
        <w:t>SO</w:t>
      </w:r>
      <w:r w:rsidR="00810FE4" w:rsidRPr="00C8470E">
        <w:rPr>
          <w:vertAlign w:val="subscript"/>
        </w:rPr>
        <w:t>2</w:t>
      </w:r>
      <w:r w:rsidR="00810FE4" w:rsidRPr="00C8470E">
        <w:t xml:space="preserve"> </w:t>
      </w:r>
      <w:r w:rsidRPr="00C8470E">
        <w:t>guideline was assessed in the impact statement and was found to have relatively low additional health benefits and be very uneconomic to achieve. The recommended standard of 20ppb is likely to be achievable, be significantly more stringent than international standards and will have material health benefits.</w:t>
      </w:r>
    </w:p>
    <w:p w14:paraId="5D6F8D33" w14:textId="77777777" w:rsidR="00D11CA8" w:rsidRPr="00C8470E" w:rsidRDefault="00D11CA8" w:rsidP="000B0FB1">
      <w:r w:rsidRPr="00C8470E">
        <w:t>The recommendation to remove the annual SO</w:t>
      </w:r>
      <w:r w:rsidRPr="00C8470E">
        <w:rPr>
          <w:vertAlign w:val="subscript"/>
        </w:rPr>
        <w:t>2</w:t>
      </w:r>
      <w:r w:rsidRPr="00C8470E">
        <w:t xml:space="preserve"> standard is consistent with WHO advice that an annual guideline is not needed since compliance with a 24-hour level will assure low annual average levels.</w:t>
      </w:r>
    </w:p>
    <w:p w14:paraId="1B88BDAA" w14:textId="56D428C6" w:rsidR="00D11CA8" w:rsidRPr="00C8470E" w:rsidRDefault="00D11CA8" w:rsidP="000B0FB1">
      <w:r w:rsidRPr="00C8470E">
        <w:t>WHO has a 1-hour NO</w:t>
      </w:r>
      <w:r w:rsidRPr="00C8470E">
        <w:rPr>
          <w:vertAlign w:val="subscript"/>
        </w:rPr>
        <w:t>2</w:t>
      </w:r>
      <w:r w:rsidRPr="00C8470E">
        <w:t xml:space="preserve"> guideline of 97 ppb and an annual NO</w:t>
      </w:r>
      <w:r w:rsidRPr="00C8470E">
        <w:rPr>
          <w:vertAlign w:val="subscript"/>
        </w:rPr>
        <w:t>2</w:t>
      </w:r>
      <w:r w:rsidRPr="00C8470E">
        <w:t xml:space="preserve"> guideline of 19 ppb. The recommendations for NO</w:t>
      </w:r>
      <w:r w:rsidRPr="00C8470E">
        <w:rPr>
          <w:vertAlign w:val="subscript"/>
        </w:rPr>
        <w:t>2</w:t>
      </w:r>
      <w:r w:rsidRPr="00C8470E">
        <w:t xml:space="preserve"> </w:t>
      </w:r>
      <w:r w:rsidR="002847E4" w:rsidRPr="00C8470E">
        <w:t xml:space="preserve">in the Impact Statement </w:t>
      </w:r>
      <w:r w:rsidRPr="00C8470E">
        <w:t xml:space="preserve">are more stringent or equal to the WHO guideline and more stringent than leading international agencies. The recommendations for the 1-hour </w:t>
      </w:r>
      <w:r w:rsidR="00810FE4" w:rsidRPr="00C8470E">
        <w:t>NO</w:t>
      </w:r>
      <w:r w:rsidR="00810FE4" w:rsidRPr="00C8470E">
        <w:rPr>
          <w:vertAlign w:val="subscript"/>
        </w:rPr>
        <w:t>2</w:t>
      </w:r>
      <w:r w:rsidR="00810FE4" w:rsidRPr="00C8470E">
        <w:t xml:space="preserve"> </w:t>
      </w:r>
      <w:r w:rsidRPr="00C8470E">
        <w:t>standard are 90 ppb when the AAQ NEPM is varied moving to a 1-hour standard of 80 ppb in 2025. The recommendation for the annual standard is for 19 ppb when the AAQ NEPM is varied moving to an annual standard of 15 ppb in 2025.</w:t>
      </w:r>
    </w:p>
    <w:p w14:paraId="514898FC" w14:textId="77777777" w:rsidR="00BF7264" w:rsidRPr="00C8470E" w:rsidRDefault="00BF7264" w:rsidP="000B0FB1">
      <w:r w:rsidRPr="00C8470E">
        <w:t>As O</w:t>
      </w:r>
      <w:r w:rsidRPr="00C8470E">
        <w:rPr>
          <w:vertAlign w:val="subscript"/>
        </w:rPr>
        <w:t>3</w:t>
      </w:r>
      <w:r w:rsidRPr="00C8470E">
        <w:t xml:space="preserve"> forms in the presence of sunlight, tighter O</w:t>
      </w:r>
      <w:r w:rsidRPr="00C8470E">
        <w:rPr>
          <w:vertAlign w:val="subscript"/>
        </w:rPr>
        <w:t>3</w:t>
      </w:r>
      <w:r w:rsidRPr="00C8470E">
        <w:t xml:space="preserve"> standards are more likely to be adopted in colder climate countries where O</w:t>
      </w:r>
      <w:r w:rsidRPr="00C8470E">
        <w:rPr>
          <w:vertAlign w:val="subscript"/>
        </w:rPr>
        <w:t>3</w:t>
      </w:r>
      <w:r w:rsidRPr="00C8470E">
        <w:t xml:space="preserve"> formation potential is lower. WHO has an 8-hour O</w:t>
      </w:r>
      <w:r w:rsidRPr="00C8470E">
        <w:rPr>
          <w:vertAlign w:val="subscript"/>
        </w:rPr>
        <w:t>3</w:t>
      </w:r>
      <w:r w:rsidRPr="00C8470E">
        <w:t xml:space="preserve"> standard of 47 ppb. The AAQ NEPM currently has O</w:t>
      </w:r>
      <w:r w:rsidRPr="00C8470E">
        <w:rPr>
          <w:vertAlign w:val="subscript"/>
        </w:rPr>
        <w:t>3</w:t>
      </w:r>
      <w:r w:rsidRPr="00C8470E">
        <w:t xml:space="preserve"> standards with averaging periods of 1 and 4 hour. The recommendations are consistent with WHO – to have an 8-hour O</w:t>
      </w:r>
      <w:r w:rsidRPr="00C8470E">
        <w:rPr>
          <w:vertAlign w:val="subscript"/>
        </w:rPr>
        <w:t>3</w:t>
      </w:r>
      <w:r w:rsidRPr="00C8470E">
        <w:t xml:space="preserve"> standard only. The nu</w:t>
      </w:r>
      <w:r w:rsidRPr="00C8470E">
        <w:lastRenderedPageBreak/>
        <w:t xml:space="preserve">merical value proposed (65 ppb) is higher than the WHO guideline and EU and UK standard, similar to Canada and stricter than the US. The difference between these standards also reduces once the form of the standard and allowable exceedances is considered. </w:t>
      </w:r>
    </w:p>
    <w:p w14:paraId="6921D861" w14:textId="77777777" w:rsidR="00BF7264" w:rsidRPr="00C8470E" w:rsidRDefault="00BF7264" w:rsidP="000B0FB1">
      <w:r w:rsidRPr="00C8470E">
        <w:t>All mainland jurisdictions do not always meet the existing two O</w:t>
      </w:r>
      <w:r w:rsidRPr="00C8470E">
        <w:rPr>
          <w:vertAlign w:val="subscript"/>
        </w:rPr>
        <w:t>3</w:t>
      </w:r>
      <w:r w:rsidRPr="00C8470E">
        <w:t xml:space="preserve"> reporting standards during summer. The proposed revised ozone standard sets a single reporting standard in line with WHO guidance and leading jurisdictions. However, all mainland jurisdictions, will likely continue exceed the recommended O</w:t>
      </w:r>
      <w:r w:rsidRPr="00C8470E">
        <w:rPr>
          <w:vertAlign w:val="subscript"/>
        </w:rPr>
        <w:t>3</w:t>
      </w:r>
      <w:r w:rsidRPr="00C8470E">
        <w:t xml:space="preserve"> standard, particularly during summer. To address this issue, the report recommends better understanding of O</w:t>
      </w:r>
      <w:r w:rsidRPr="00C8470E">
        <w:rPr>
          <w:vertAlign w:val="subscript"/>
        </w:rPr>
        <w:t>3</w:t>
      </w:r>
      <w:r w:rsidRPr="00C8470E">
        <w:t xml:space="preserve"> generation in capital city airsheds to enable improved O</w:t>
      </w:r>
      <w:r w:rsidRPr="00C8470E">
        <w:rPr>
          <w:vertAlign w:val="subscript"/>
        </w:rPr>
        <w:t>3</w:t>
      </w:r>
      <w:r w:rsidRPr="00C8470E">
        <w:t xml:space="preserve"> mitigation strategies. Continued pursuit of the recommended standard is warranted to drive achievable improvements in health.</w:t>
      </w:r>
    </w:p>
    <w:p w14:paraId="37C9AA7F" w14:textId="77777777" w:rsidR="00D11CA8" w:rsidRPr="00C8470E" w:rsidRDefault="00D11CA8" w:rsidP="000B0FB1">
      <w:r w:rsidRPr="00C8470E">
        <w:t>It is also recommended that jurisdictions continue to record and report 1-hour O</w:t>
      </w:r>
      <w:r w:rsidRPr="00C8470E">
        <w:rPr>
          <w:vertAlign w:val="subscript"/>
        </w:rPr>
        <w:t>3</w:t>
      </w:r>
      <w:r w:rsidRPr="00C8470E">
        <w:t xml:space="preserve"> concentrations in the future and use this information to provide quick community health alerts in conjunction with an 8-hour standard.</w:t>
      </w:r>
    </w:p>
    <w:p w14:paraId="2CDD22C5" w14:textId="75243946" w:rsidR="00384DE1" w:rsidRDefault="00D11CA8" w:rsidP="000B0FB1">
      <w:r w:rsidRPr="00C8470E">
        <w:t>It is not straightforward to interpret numerical comparisons of standards and they do not necessarily mean Australian standards are more stringent. For example, to a large degree, the lower standards in Australia are made possible by relatively low natural background concentrations and the absence of significant trans-boundary pollution which is a major issue in Europe.</w:t>
      </w:r>
    </w:p>
    <w:p w14:paraId="59A87971" w14:textId="77777777" w:rsidR="00384DE1" w:rsidRPr="00551471" w:rsidRDefault="00384DE1" w:rsidP="000B0FB1"/>
    <w:sectPr w:rsidR="00384DE1" w:rsidRPr="00551471" w:rsidSect="000B0FB1">
      <w:headerReference w:type="even" r:id="rId14"/>
      <w:headerReference w:type="default" r:id="rId15"/>
      <w:footerReference w:type="default" r:id="rId16"/>
      <w:headerReference w:type="first" r:id="rId17"/>
      <w:pgSz w:w="11906" w:h="16838"/>
      <w:pgMar w:top="720" w:right="720" w:bottom="720" w:left="720" w:header="708" w:footer="23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DAD41F" w14:textId="77777777" w:rsidR="00C8470E" w:rsidRDefault="00C8470E" w:rsidP="000B0FB1">
      <w:r>
        <w:separator/>
      </w:r>
    </w:p>
  </w:endnote>
  <w:endnote w:type="continuationSeparator" w:id="0">
    <w:p w14:paraId="53C30ED6" w14:textId="77777777" w:rsidR="00C8470E" w:rsidRDefault="00C8470E" w:rsidP="000B0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yriad Pro">
    <w:altName w:val="Corbel"/>
    <w:panose1 w:val="00000000000000000000"/>
    <w:charset w:val="00"/>
    <w:family w:val="swiss"/>
    <w:notTrueType/>
    <w:pitch w:val="variable"/>
    <w:sig w:usb0="00000001" w:usb1="00000001"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0185853"/>
      <w:docPartObj>
        <w:docPartGallery w:val="Page Numbers (Bottom of Page)"/>
        <w:docPartUnique/>
      </w:docPartObj>
    </w:sdtPr>
    <w:sdtEndPr>
      <w:rPr>
        <w:noProof/>
      </w:rPr>
    </w:sdtEndPr>
    <w:sdtContent>
      <w:p w14:paraId="3EE69B2F" w14:textId="2F305921" w:rsidR="00C8470E" w:rsidRDefault="00C8470E" w:rsidP="00A60339">
        <w:pPr>
          <w:pStyle w:val="Footer"/>
          <w:jc w:val="right"/>
        </w:pPr>
        <w:r>
          <w:fldChar w:fldCharType="begin"/>
        </w:r>
        <w:r>
          <w:instrText xml:space="preserve"> PAGE   \* MERGEFORMAT </w:instrText>
        </w:r>
        <w:r>
          <w:fldChar w:fldCharType="separate"/>
        </w:r>
        <w:r w:rsidR="00840175">
          <w:rPr>
            <w:noProof/>
          </w:rPr>
          <w:t>11</w:t>
        </w:r>
        <w:r>
          <w:rPr>
            <w:noProof/>
          </w:rPr>
          <w:fldChar w:fldCharType="end"/>
        </w:r>
      </w:p>
    </w:sdtContent>
  </w:sdt>
  <w:p w14:paraId="48A64C35" w14:textId="77777777" w:rsidR="00C8470E" w:rsidRDefault="00C8470E" w:rsidP="000B0F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3C031F" w14:textId="77777777" w:rsidR="00C8470E" w:rsidRDefault="00C8470E" w:rsidP="000B0FB1">
      <w:r>
        <w:separator/>
      </w:r>
    </w:p>
  </w:footnote>
  <w:footnote w:type="continuationSeparator" w:id="0">
    <w:p w14:paraId="6F9BB7A5" w14:textId="77777777" w:rsidR="00C8470E" w:rsidRDefault="00C8470E" w:rsidP="000B0FB1">
      <w:r>
        <w:continuationSeparator/>
      </w:r>
    </w:p>
  </w:footnote>
  <w:footnote w:id="1">
    <w:p w14:paraId="10421E97" w14:textId="77777777" w:rsidR="00C8470E" w:rsidRDefault="00C8470E" w:rsidP="000B0FB1">
      <w:pPr>
        <w:pStyle w:val="FootnoteText"/>
      </w:pPr>
      <w:r>
        <w:rPr>
          <w:rStyle w:val="FootnoteReference"/>
        </w:rPr>
        <w:footnoteRef/>
      </w:r>
      <w:r>
        <w:t xml:space="preserve"> WHO 2017,  Evolution of WHO air quality guidelines: past, present and future</w:t>
      </w:r>
      <w:r>
        <w:rPr>
          <w:rFonts w:ascii="Segoe UI" w:hAnsi="Segoe UI" w:cs="Segoe UI"/>
          <w:color w:val="F1F1F1"/>
          <w:sz w:val="21"/>
          <w:szCs w:val="21"/>
          <w:shd w:val="clear" w:color="auto" w:fill="323639"/>
        </w:rPr>
        <w:t xml:space="preserve"> </w:t>
      </w:r>
      <w:r>
        <w:t xml:space="preserve">p27, </w:t>
      </w:r>
      <w:r w:rsidRPr="003C1A8F">
        <w:t>http://www.euro.who.int/__data/assets/pdf_file/0019/331660/Evolution-air-quality.pdf?ua=1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C9B7AD" w14:textId="5C6C2E1E" w:rsidR="00C8470E" w:rsidRDefault="00C8470E" w:rsidP="000B0FB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CDE614" w14:textId="3D3225BE" w:rsidR="00C8470E" w:rsidRDefault="00C8470E" w:rsidP="000B0FB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52CD14" w14:textId="178B774B" w:rsidR="00C8470E" w:rsidRDefault="00C8470E" w:rsidP="000B0FB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3CB431E6"/>
    <w:lvl w:ilvl="0">
      <w:start w:val="1"/>
      <w:numFmt w:val="bullet"/>
      <w:pStyle w:val="ListBullet"/>
      <w:lvlText w:val=""/>
      <w:lvlJc w:val="left"/>
      <w:pPr>
        <w:ind w:left="717" w:hanging="360"/>
      </w:pPr>
      <w:rPr>
        <w:rFonts w:ascii="Symbol" w:hAnsi="Symbol" w:hint="default"/>
        <w:color w:val="0076C0"/>
      </w:rPr>
    </w:lvl>
  </w:abstractNum>
  <w:abstractNum w:abstractNumId="1" w15:restartNumberingAfterBreak="0">
    <w:nsid w:val="107512C5"/>
    <w:multiLevelType w:val="hybridMultilevel"/>
    <w:tmpl w:val="6AD61C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2F76BEC"/>
    <w:multiLevelType w:val="hybridMultilevel"/>
    <w:tmpl w:val="EBCCBA42"/>
    <w:lvl w:ilvl="0" w:tplc="ED3C9536">
      <w:start w:val="1"/>
      <w:numFmt w:val="bullet"/>
      <w:pStyle w:val="Bullets"/>
      <w:lvlText w:val=""/>
      <w:lvlJc w:val="left"/>
      <w:pPr>
        <w:tabs>
          <w:tab w:val="num" w:pos="2160"/>
        </w:tabs>
        <w:ind w:left="2160" w:hanging="360"/>
      </w:pPr>
      <w:rPr>
        <w:rFonts w:ascii="Symbol" w:hAnsi="Symbol" w:hint="default"/>
      </w:rPr>
    </w:lvl>
    <w:lvl w:ilvl="1" w:tplc="0C090003">
      <w:start w:val="1"/>
      <w:numFmt w:val="bullet"/>
      <w:lvlText w:val="o"/>
      <w:lvlJc w:val="left"/>
      <w:pPr>
        <w:tabs>
          <w:tab w:val="num" w:pos="2880"/>
        </w:tabs>
        <w:ind w:left="2880" w:hanging="360"/>
      </w:pPr>
      <w:rPr>
        <w:rFonts w:ascii="Courier New" w:hAnsi="Courier New" w:cs="Courier New" w:hint="default"/>
      </w:rPr>
    </w:lvl>
    <w:lvl w:ilvl="2" w:tplc="0C090005" w:tentative="1">
      <w:start w:val="1"/>
      <w:numFmt w:val="bullet"/>
      <w:lvlText w:val=""/>
      <w:lvlJc w:val="left"/>
      <w:pPr>
        <w:tabs>
          <w:tab w:val="num" w:pos="3600"/>
        </w:tabs>
        <w:ind w:left="3600" w:hanging="360"/>
      </w:pPr>
      <w:rPr>
        <w:rFonts w:ascii="Wingdings" w:hAnsi="Wingdings" w:hint="default"/>
      </w:rPr>
    </w:lvl>
    <w:lvl w:ilvl="3" w:tplc="0C090001" w:tentative="1">
      <w:start w:val="1"/>
      <w:numFmt w:val="bullet"/>
      <w:lvlText w:val=""/>
      <w:lvlJc w:val="left"/>
      <w:pPr>
        <w:tabs>
          <w:tab w:val="num" w:pos="4320"/>
        </w:tabs>
        <w:ind w:left="4320" w:hanging="360"/>
      </w:pPr>
      <w:rPr>
        <w:rFonts w:ascii="Symbol" w:hAnsi="Symbol" w:hint="default"/>
      </w:rPr>
    </w:lvl>
    <w:lvl w:ilvl="4" w:tplc="0C090003" w:tentative="1">
      <w:start w:val="1"/>
      <w:numFmt w:val="bullet"/>
      <w:lvlText w:val="o"/>
      <w:lvlJc w:val="left"/>
      <w:pPr>
        <w:tabs>
          <w:tab w:val="num" w:pos="5040"/>
        </w:tabs>
        <w:ind w:left="5040" w:hanging="360"/>
      </w:pPr>
      <w:rPr>
        <w:rFonts w:ascii="Courier New" w:hAnsi="Courier New" w:cs="Courier New" w:hint="default"/>
      </w:rPr>
    </w:lvl>
    <w:lvl w:ilvl="5" w:tplc="0C090005" w:tentative="1">
      <w:start w:val="1"/>
      <w:numFmt w:val="bullet"/>
      <w:lvlText w:val=""/>
      <w:lvlJc w:val="left"/>
      <w:pPr>
        <w:tabs>
          <w:tab w:val="num" w:pos="5760"/>
        </w:tabs>
        <w:ind w:left="5760" w:hanging="360"/>
      </w:pPr>
      <w:rPr>
        <w:rFonts w:ascii="Wingdings" w:hAnsi="Wingdings" w:hint="default"/>
      </w:rPr>
    </w:lvl>
    <w:lvl w:ilvl="6" w:tplc="0C090001" w:tentative="1">
      <w:start w:val="1"/>
      <w:numFmt w:val="bullet"/>
      <w:lvlText w:val=""/>
      <w:lvlJc w:val="left"/>
      <w:pPr>
        <w:tabs>
          <w:tab w:val="num" w:pos="6480"/>
        </w:tabs>
        <w:ind w:left="6480" w:hanging="360"/>
      </w:pPr>
      <w:rPr>
        <w:rFonts w:ascii="Symbol" w:hAnsi="Symbol" w:hint="default"/>
      </w:rPr>
    </w:lvl>
    <w:lvl w:ilvl="7" w:tplc="0C090003" w:tentative="1">
      <w:start w:val="1"/>
      <w:numFmt w:val="bullet"/>
      <w:lvlText w:val="o"/>
      <w:lvlJc w:val="left"/>
      <w:pPr>
        <w:tabs>
          <w:tab w:val="num" w:pos="7200"/>
        </w:tabs>
        <w:ind w:left="7200" w:hanging="360"/>
      </w:pPr>
      <w:rPr>
        <w:rFonts w:ascii="Courier New" w:hAnsi="Courier New" w:cs="Courier New" w:hint="default"/>
      </w:rPr>
    </w:lvl>
    <w:lvl w:ilvl="8" w:tplc="0C090005" w:tentative="1">
      <w:start w:val="1"/>
      <w:numFmt w:val="bullet"/>
      <w:lvlText w:val=""/>
      <w:lvlJc w:val="left"/>
      <w:pPr>
        <w:tabs>
          <w:tab w:val="num" w:pos="7920"/>
        </w:tabs>
        <w:ind w:left="7920" w:hanging="360"/>
      </w:pPr>
      <w:rPr>
        <w:rFonts w:ascii="Wingdings" w:hAnsi="Wingdings" w:hint="default"/>
      </w:rPr>
    </w:lvl>
  </w:abstractNum>
  <w:abstractNum w:abstractNumId="3" w15:restartNumberingAfterBreak="0">
    <w:nsid w:val="340A1182"/>
    <w:multiLevelType w:val="hybridMultilevel"/>
    <w:tmpl w:val="75FE0A3E"/>
    <w:lvl w:ilvl="0" w:tplc="DA5807CC">
      <w:numFmt w:val="bullet"/>
      <w:lvlText w:val="•"/>
      <w:lvlJc w:val="left"/>
      <w:pPr>
        <w:ind w:left="1065" w:hanging="705"/>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C657ACF"/>
    <w:multiLevelType w:val="hybridMultilevel"/>
    <w:tmpl w:val="3BDE2A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F407D80"/>
    <w:multiLevelType w:val="hybridMultilevel"/>
    <w:tmpl w:val="F5EE33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0B90BD8"/>
    <w:multiLevelType w:val="hybridMultilevel"/>
    <w:tmpl w:val="15BAC42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EE670C7"/>
    <w:multiLevelType w:val="hybridMultilevel"/>
    <w:tmpl w:val="910011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2"/>
  </w:num>
  <w:num w:numId="4">
    <w:abstractNumId w:val="0"/>
  </w:num>
  <w:num w:numId="5">
    <w:abstractNumId w:val="7"/>
  </w:num>
  <w:num w:numId="6">
    <w:abstractNumId w:val="1"/>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CC8"/>
    <w:rsid w:val="0002322B"/>
    <w:rsid w:val="000A285F"/>
    <w:rsid w:val="000B0FB1"/>
    <w:rsid w:val="000B4291"/>
    <w:rsid w:val="000F2E10"/>
    <w:rsid w:val="00155061"/>
    <w:rsid w:val="001C32EF"/>
    <w:rsid w:val="00204B28"/>
    <w:rsid w:val="00205195"/>
    <w:rsid w:val="00227C22"/>
    <w:rsid w:val="00273E02"/>
    <w:rsid w:val="002847E4"/>
    <w:rsid w:val="002C6697"/>
    <w:rsid w:val="002D19DB"/>
    <w:rsid w:val="003246BC"/>
    <w:rsid w:val="00380A13"/>
    <w:rsid w:val="00384DE1"/>
    <w:rsid w:val="003A141A"/>
    <w:rsid w:val="003A6989"/>
    <w:rsid w:val="003C6558"/>
    <w:rsid w:val="004C5B8E"/>
    <w:rsid w:val="004D2B5D"/>
    <w:rsid w:val="00530302"/>
    <w:rsid w:val="00542BDF"/>
    <w:rsid w:val="00551471"/>
    <w:rsid w:val="00573612"/>
    <w:rsid w:val="00590185"/>
    <w:rsid w:val="005D05CE"/>
    <w:rsid w:val="0060038B"/>
    <w:rsid w:val="006617BF"/>
    <w:rsid w:val="00681423"/>
    <w:rsid w:val="006A04AC"/>
    <w:rsid w:val="006C341F"/>
    <w:rsid w:val="00741D68"/>
    <w:rsid w:val="00745DB1"/>
    <w:rsid w:val="00764560"/>
    <w:rsid w:val="00776CBE"/>
    <w:rsid w:val="00810FE4"/>
    <w:rsid w:val="008366E3"/>
    <w:rsid w:val="00840175"/>
    <w:rsid w:val="00872DB7"/>
    <w:rsid w:val="0087479E"/>
    <w:rsid w:val="00880EDA"/>
    <w:rsid w:val="00887A46"/>
    <w:rsid w:val="008C16A1"/>
    <w:rsid w:val="0091440B"/>
    <w:rsid w:val="0093343F"/>
    <w:rsid w:val="009D4D53"/>
    <w:rsid w:val="00A60339"/>
    <w:rsid w:val="00AE0483"/>
    <w:rsid w:val="00B130DF"/>
    <w:rsid w:val="00B200BE"/>
    <w:rsid w:val="00BF7264"/>
    <w:rsid w:val="00C80CC8"/>
    <w:rsid w:val="00C8470E"/>
    <w:rsid w:val="00C92CE4"/>
    <w:rsid w:val="00D11CA8"/>
    <w:rsid w:val="00DD320A"/>
    <w:rsid w:val="00E9062C"/>
    <w:rsid w:val="00E91C55"/>
    <w:rsid w:val="00F8525D"/>
    <w:rsid w:val="00F8667B"/>
    <w:rsid w:val="00F978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72714F"/>
  <w15:chartTrackingRefBased/>
  <w15:docId w15:val="{AEB7D511-1EB0-4C50-A023-14BED4606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0FB1"/>
    <w:pPr>
      <w:spacing w:before="100" w:after="200" w:line="293" w:lineRule="atLeast"/>
      <w:textAlignment w:val="baseline"/>
    </w:pPr>
    <w:rPr>
      <w:rFonts w:ascii="Myriad Pro" w:eastAsia="Times New Roman" w:hAnsi="Myriad Pro" w:cs="Arial"/>
      <w:sz w:val="20"/>
      <w:szCs w:val="20"/>
      <w:lang w:eastAsia="en-AU"/>
    </w:rPr>
  </w:style>
  <w:style w:type="paragraph" w:styleId="Heading1">
    <w:name w:val="heading 1"/>
    <w:basedOn w:val="Normal"/>
    <w:next w:val="Normal"/>
    <w:link w:val="Heading1Char"/>
    <w:autoRedefine/>
    <w:uiPriority w:val="9"/>
    <w:qFormat/>
    <w:rsid w:val="00204B28"/>
    <w:pPr>
      <w:keepNext/>
      <w:keepLines/>
      <w:spacing w:before="120" w:after="240" w:line="240" w:lineRule="auto"/>
      <w:outlineLvl w:val="0"/>
    </w:pPr>
    <w:rPr>
      <w:b/>
      <w:color w:val="4472C4" w:themeColor="accent1"/>
      <w:sz w:val="32"/>
      <w:szCs w:val="32"/>
    </w:rPr>
  </w:style>
  <w:style w:type="paragraph" w:styleId="Heading2">
    <w:name w:val="heading 2"/>
    <w:basedOn w:val="Normal"/>
    <w:next w:val="Normal"/>
    <w:link w:val="Heading2Char"/>
    <w:autoRedefine/>
    <w:uiPriority w:val="9"/>
    <w:unhideWhenUsed/>
    <w:qFormat/>
    <w:rsid w:val="00204B28"/>
    <w:pPr>
      <w:keepNext/>
      <w:keepLines/>
      <w:spacing w:before="0" w:after="240" w:line="240" w:lineRule="auto"/>
      <w:outlineLvl w:val="1"/>
    </w:pPr>
    <w:rPr>
      <w:i/>
      <w:color w:val="4472C4" w:themeColor="accent1"/>
      <w:sz w:val="32"/>
      <w:szCs w:val="32"/>
    </w:rPr>
  </w:style>
  <w:style w:type="paragraph" w:styleId="Heading3">
    <w:name w:val="heading 3"/>
    <w:basedOn w:val="Normal"/>
    <w:next w:val="Normal"/>
    <w:link w:val="Heading3Char"/>
    <w:uiPriority w:val="9"/>
    <w:unhideWhenUsed/>
    <w:qFormat/>
    <w:rsid w:val="00B130D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Recommendation,Rec para"/>
    <w:basedOn w:val="Normal"/>
    <w:link w:val="ListParagraphChar"/>
    <w:uiPriority w:val="34"/>
    <w:qFormat/>
    <w:rsid w:val="00C80CC8"/>
    <w:pPr>
      <w:spacing w:after="0" w:line="240" w:lineRule="auto"/>
      <w:ind w:left="720"/>
    </w:pPr>
    <w:rPr>
      <w:rFonts w:ascii="Times New Roman" w:eastAsiaTheme="minorHAnsi" w:hAnsi="Times New Roman"/>
      <w:sz w:val="24"/>
      <w:szCs w:val="24"/>
    </w:rPr>
  </w:style>
  <w:style w:type="character" w:customStyle="1" w:styleId="ListParagraphChar">
    <w:name w:val="List Paragraph Char"/>
    <w:aliases w:val="List Paragraph1 Char,Recommendation Char,Rec para Char"/>
    <w:link w:val="ListParagraph"/>
    <w:uiPriority w:val="34"/>
    <w:locked/>
    <w:rsid w:val="00C80CC8"/>
    <w:rPr>
      <w:rFonts w:ascii="Times New Roman" w:hAnsi="Times New Roman" w:cs="Times New Roman"/>
      <w:sz w:val="24"/>
      <w:szCs w:val="24"/>
      <w:lang w:eastAsia="en-AU"/>
    </w:rPr>
  </w:style>
  <w:style w:type="character" w:styleId="CommentReference">
    <w:name w:val="annotation reference"/>
    <w:basedOn w:val="DefaultParagraphFont"/>
    <w:rsid w:val="00C80CC8"/>
    <w:rPr>
      <w:sz w:val="16"/>
      <w:szCs w:val="16"/>
    </w:rPr>
  </w:style>
  <w:style w:type="paragraph" w:styleId="CommentText">
    <w:name w:val="annotation text"/>
    <w:basedOn w:val="Normal"/>
    <w:link w:val="CommentTextChar"/>
    <w:rsid w:val="00C80CC8"/>
    <w:pPr>
      <w:spacing w:line="240" w:lineRule="auto"/>
    </w:pPr>
  </w:style>
  <w:style w:type="character" w:customStyle="1" w:styleId="CommentTextChar">
    <w:name w:val="Comment Text Char"/>
    <w:basedOn w:val="DefaultParagraphFont"/>
    <w:link w:val="CommentText"/>
    <w:rsid w:val="00C80CC8"/>
    <w:rPr>
      <w:rFonts w:ascii="Century Gothic" w:eastAsia="Times New Roman" w:hAnsi="Century Gothic" w:cs="Times New Roman"/>
      <w:sz w:val="20"/>
      <w:szCs w:val="20"/>
      <w:lang w:eastAsia="en-AU"/>
    </w:rPr>
  </w:style>
  <w:style w:type="character" w:styleId="Hyperlink">
    <w:name w:val="Hyperlink"/>
    <w:basedOn w:val="DefaultParagraphFont"/>
    <w:uiPriority w:val="99"/>
    <w:rsid w:val="00C80CC8"/>
    <w:rPr>
      <w:color w:val="0563C1" w:themeColor="hyperlink"/>
      <w:u w:val="single"/>
    </w:rPr>
  </w:style>
  <w:style w:type="paragraph" w:styleId="Caption">
    <w:name w:val="caption"/>
    <w:aliases w:val=" Char,Caption-tables Char,Caption-tables,Char"/>
    <w:basedOn w:val="Normal"/>
    <w:next w:val="Normal"/>
    <w:link w:val="CaptionChar"/>
    <w:qFormat/>
    <w:rsid w:val="00C80CC8"/>
    <w:pPr>
      <w:keepNext/>
      <w:spacing w:before="120" w:after="120"/>
      <w:ind w:right="-23"/>
      <w:jc w:val="center"/>
    </w:pPr>
    <w:rPr>
      <w:b/>
      <w:bCs/>
      <w:color w:val="0076C0"/>
      <w:sz w:val="16"/>
      <w:szCs w:val="16"/>
    </w:rPr>
  </w:style>
  <w:style w:type="character" w:customStyle="1" w:styleId="CaptionChar">
    <w:name w:val="Caption Char"/>
    <w:aliases w:val=" Char Char,Caption-tables Char Char,Caption-tables Char1,Char Char"/>
    <w:link w:val="Caption"/>
    <w:locked/>
    <w:rsid w:val="00C80CC8"/>
    <w:rPr>
      <w:rFonts w:ascii="Century Gothic" w:eastAsia="Times New Roman" w:hAnsi="Century Gothic" w:cs="Times New Roman"/>
      <w:b/>
      <w:bCs/>
      <w:color w:val="0076C0"/>
      <w:sz w:val="16"/>
      <w:szCs w:val="16"/>
      <w:lang w:eastAsia="en-AU"/>
    </w:rPr>
  </w:style>
  <w:style w:type="paragraph" w:styleId="Header">
    <w:name w:val="header"/>
    <w:basedOn w:val="Normal"/>
    <w:link w:val="HeaderChar"/>
    <w:uiPriority w:val="99"/>
    <w:rsid w:val="00C80C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0CC8"/>
    <w:rPr>
      <w:rFonts w:ascii="Century Gothic" w:eastAsia="Times New Roman" w:hAnsi="Century Gothic" w:cs="Times New Roman"/>
      <w:sz w:val="18"/>
      <w:szCs w:val="18"/>
      <w:lang w:eastAsia="en-AU"/>
    </w:rPr>
  </w:style>
  <w:style w:type="paragraph" w:styleId="FootnoteText">
    <w:name w:val="footnote text"/>
    <w:basedOn w:val="Normal"/>
    <w:link w:val="FootnoteTextChar"/>
    <w:unhideWhenUsed/>
    <w:rsid w:val="00C80CC8"/>
    <w:pPr>
      <w:spacing w:after="0" w:line="240" w:lineRule="auto"/>
    </w:pPr>
  </w:style>
  <w:style w:type="character" w:customStyle="1" w:styleId="FootnoteTextChar">
    <w:name w:val="Footnote Text Char"/>
    <w:basedOn w:val="DefaultParagraphFont"/>
    <w:link w:val="FootnoteText"/>
    <w:rsid w:val="00C80CC8"/>
    <w:rPr>
      <w:rFonts w:ascii="Century Gothic" w:eastAsia="Times New Roman" w:hAnsi="Century Gothic" w:cs="Times New Roman"/>
      <w:sz w:val="20"/>
      <w:szCs w:val="20"/>
      <w:lang w:eastAsia="en-AU"/>
    </w:rPr>
  </w:style>
  <w:style w:type="character" w:styleId="FootnoteReference">
    <w:name w:val="footnote reference"/>
    <w:basedOn w:val="DefaultParagraphFont"/>
    <w:semiHidden/>
    <w:unhideWhenUsed/>
    <w:rsid w:val="00C80CC8"/>
    <w:rPr>
      <w:vertAlign w:val="superscript"/>
    </w:rPr>
  </w:style>
  <w:style w:type="paragraph" w:customStyle="1" w:styleId="Bullets">
    <w:name w:val="Bullets"/>
    <w:basedOn w:val="Normal"/>
    <w:rsid w:val="00C80CC8"/>
    <w:pPr>
      <w:numPr>
        <w:numId w:val="3"/>
      </w:numPr>
      <w:spacing w:after="0" w:line="240" w:lineRule="auto"/>
    </w:pPr>
    <w:rPr>
      <w:rFonts w:ascii="Times New Roman" w:hAnsi="Times New Roman"/>
      <w:sz w:val="24"/>
    </w:rPr>
  </w:style>
  <w:style w:type="paragraph" w:styleId="ListBullet">
    <w:name w:val="List Bullet"/>
    <w:basedOn w:val="BodyText"/>
    <w:link w:val="ListBulletChar"/>
    <w:uiPriority w:val="99"/>
    <w:qFormat/>
    <w:rsid w:val="00C80CC8"/>
    <w:pPr>
      <w:numPr>
        <w:numId w:val="4"/>
      </w:numPr>
      <w:spacing w:after="170" w:line="280" w:lineRule="atLeast"/>
    </w:pPr>
    <w:rPr>
      <w:rFonts w:ascii="Arial" w:eastAsiaTheme="minorHAnsi" w:hAnsi="Arial" w:cstheme="minorBidi"/>
      <w:szCs w:val="22"/>
      <w:lang w:eastAsia="en-US"/>
    </w:rPr>
  </w:style>
  <w:style w:type="character" w:customStyle="1" w:styleId="ListBulletChar">
    <w:name w:val="List Bullet Char"/>
    <w:basedOn w:val="DefaultParagraphFont"/>
    <w:link w:val="ListBullet"/>
    <w:uiPriority w:val="99"/>
    <w:rsid w:val="00C80CC8"/>
    <w:rPr>
      <w:rFonts w:ascii="Arial" w:hAnsi="Arial"/>
      <w:sz w:val="20"/>
    </w:rPr>
  </w:style>
  <w:style w:type="paragraph" w:styleId="BodyText">
    <w:name w:val="Body Text"/>
    <w:basedOn w:val="Normal"/>
    <w:link w:val="BodyTextChar"/>
    <w:uiPriority w:val="99"/>
    <w:semiHidden/>
    <w:unhideWhenUsed/>
    <w:rsid w:val="00C80CC8"/>
    <w:pPr>
      <w:spacing w:after="120"/>
    </w:pPr>
  </w:style>
  <w:style w:type="character" w:customStyle="1" w:styleId="BodyTextChar">
    <w:name w:val="Body Text Char"/>
    <w:basedOn w:val="DefaultParagraphFont"/>
    <w:link w:val="BodyText"/>
    <w:uiPriority w:val="99"/>
    <w:semiHidden/>
    <w:rsid w:val="00C80CC8"/>
    <w:rPr>
      <w:rFonts w:ascii="Century Gothic" w:eastAsia="Times New Roman" w:hAnsi="Century Gothic" w:cs="Times New Roman"/>
      <w:sz w:val="18"/>
      <w:szCs w:val="18"/>
      <w:lang w:eastAsia="en-AU"/>
    </w:rPr>
  </w:style>
  <w:style w:type="paragraph" w:styleId="CommentSubject">
    <w:name w:val="annotation subject"/>
    <w:basedOn w:val="CommentText"/>
    <w:next w:val="CommentText"/>
    <w:link w:val="CommentSubjectChar"/>
    <w:uiPriority w:val="99"/>
    <w:semiHidden/>
    <w:unhideWhenUsed/>
    <w:rsid w:val="000B4291"/>
    <w:rPr>
      <w:b/>
      <w:bCs/>
    </w:rPr>
  </w:style>
  <w:style w:type="character" w:customStyle="1" w:styleId="CommentSubjectChar">
    <w:name w:val="Comment Subject Char"/>
    <w:basedOn w:val="CommentTextChar"/>
    <w:link w:val="CommentSubject"/>
    <w:uiPriority w:val="99"/>
    <w:semiHidden/>
    <w:rsid w:val="000B4291"/>
    <w:rPr>
      <w:rFonts w:ascii="Century Gothic" w:eastAsia="Times New Roman" w:hAnsi="Century Gothic" w:cs="Times New Roman"/>
      <w:b/>
      <w:bCs/>
      <w:sz w:val="20"/>
      <w:szCs w:val="20"/>
      <w:lang w:eastAsia="en-AU"/>
    </w:rPr>
  </w:style>
  <w:style w:type="paragraph" w:styleId="BalloonText">
    <w:name w:val="Balloon Text"/>
    <w:basedOn w:val="Normal"/>
    <w:link w:val="BalloonTextChar"/>
    <w:uiPriority w:val="99"/>
    <w:semiHidden/>
    <w:unhideWhenUsed/>
    <w:rsid w:val="000B4291"/>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0B4291"/>
    <w:rPr>
      <w:rFonts w:ascii="Segoe UI" w:eastAsia="Times New Roman" w:hAnsi="Segoe UI" w:cs="Segoe UI"/>
      <w:sz w:val="18"/>
      <w:szCs w:val="18"/>
      <w:lang w:eastAsia="en-AU"/>
    </w:rPr>
  </w:style>
  <w:style w:type="table" w:customStyle="1" w:styleId="TableGrid1">
    <w:name w:val="Table Grid1"/>
    <w:basedOn w:val="TableNormal"/>
    <w:next w:val="TableGrid"/>
    <w:uiPriority w:val="39"/>
    <w:rsid w:val="00C92C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92C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F866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667B"/>
    <w:rPr>
      <w:rFonts w:ascii="Century Gothic" w:eastAsia="Times New Roman" w:hAnsi="Century Gothic" w:cs="Times New Roman"/>
      <w:sz w:val="18"/>
      <w:szCs w:val="18"/>
      <w:lang w:eastAsia="en-AU"/>
    </w:rPr>
  </w:style>
  <w:style w:type="paragraph" w:styleId="Revision">
    <w:name w:val="Revision"/>
    <w:hidden/>
    <w:uiPriority w:val="99"/>
    <w:semiHidden/>
    <w:rsid w:val="00872DB7"/>
    <w:pPr>
      <w:spacing w:after="0" w:line="240" w:lineRule="auto"/>
    </w:pPr>
    <w:rPr>
      <w:rFonts w:ascii="Century Gothic" w:eastAsia="Times New Roman" w:hAnsi="Century Gothic" w:cs="Times New Roman"/>
      <w:sz w:val="18"/>
      <w:szCs w:val="18"/>
      <w:lang w:eastAsia="en-AU"/>
    </w:rPr>
  </w:style>
  <w:style w:type="character" w:customStyle="1" w:styleId="Heading1Char">
    <w:name w:val="Heading 1 Char"/>
    <w:basedOn w:val="DefaultParagraphFont"/>
    <w:link w:val="Heading1"/>
    <w:uiPriority w:val="9"/>
    <w:rsid w:val="00204B28"/>
    <w:rPr>
      <w:rFonts w:ascii="Myriad Pro" w:eastAsia="Times New Roman" w:hAnsi="Myriad Pro" w:cs="Arial"/>
      <w:b/>
      <w:color w:val="4472C4" w:themeColor="accent1"/>
      <w:sz w:val="32"/>
      <w:szCs w:val="32"/>
      <w:lang w:eastAsia="en-AU"/>
    </w:rPr>
  </w:style>
  <w:style w:type="paragraph" w:styleId="Title">
    <w:name w:val="Title"/>
    <w:basedOn w:val="Normal"/>
    <w:next w:val="Normal"/>
    <w:link w:val="TitleChar"/>
    <w:uiPriority w:val="10"/>
    <w:qFormat/>
    <w:rsid w:val="00B130D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30DF"/>
    <w:rPr>
      <w:rFonts w:asciiTheme="majorHAnsi" w:eastAsiaTheme="majorEastAsia" w:hAnsiTheme="majorHAnsi" w:cstheme="majorBidi"/>
      <w:spacing w:val="-10"/>
      <w:kern w:val="28"/>
      <w:sz w:val="56"/>
      <w:szCs w:val="56"/>
      <w:lang w:eastAsia="en-AU"/>
    </w:rPr>
  </w:style>
  <w:style w:type="paragraph" w:styleId="Subtitle">
    <w:name w:val="Subtitle"/>
    <w:basedOn w:val="Normal"/>
    <w:next w:val="Normal"/>
    <w:link w:val="SubtitleChar"/>
    <w:uiPriority w:val="11"/>
    <w:qFormat/>
    <w:rsid w:val="00B130D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B130DF"/>
    <w:rPr>
      <w:rFonts w:eastAsiaTheme="minorEastAsia"/>
      <w:color w:val="5A5A5A" w:themeColor="text1" w:themeTint="A5"/>
      <w:spacing w:val="15"/>
      <w:lang w:eastAsia="en-AU"/>
    </w:rPr>
  </w:style>
  <w:style w:type="character" w:customStyle="1" w:styleId="Heading2Char">
    <w:name w:val="Heading 2 Char"/>
    <w:basedOn w:val="DefaultParagraphFont"/>
    <w:link w:val="Heading2"/>
    <w:uiPriority w:val="9"/>
    <w:rsid w:val="00204B28"/>
    <w:rPr>
      <w:rFonts w:ascii="Myriad Pro" w:eastAsia="Times New Roman" w:hAnsi="Myriad Pro" w:cs="Arial"/>
      <w:i/>
      <w:color w:val="4472C4" w:themeColor="accent1"/>
      <w:sz w:val="32"/>
      <w:szCs w:val="32"/>
      <w:lang w:eastAsia="en-AU"/>
    </w:rPr>
  </w:style>
  <w:style w:type="character" w:customStyle="1" w:styleId="Heading3Char">
    <w:name w:val="Heading 3 Char"/>
    <w:basedOn w:val="DefaultParagraphFont"/>
    <w:link w:val="Heading3"/>
    <w:uiPriority w:val="9"/>
    <w:rsid w:val="00B130DF"/>
    <w:rPr>
      <w:rFonts w:asciiTheme="majorHAnsi" w:eastAsiaTheme="majorEastAsia" w:hAnsiTheme="majorHAnsi" w:cstheme="majorBidi"/>
      <w:color w:val="1F3763" w:themeColor="accent1" w:themeShade="7F"/>
      <w:sz w:val="24"/>
      <w:szCs w:val="24"/>
      <w:lang w:eastAsia="en-AU"/>
    </w:rPr>
  </w:style>
  <w:style w:type="paragraph" w:styleId="TOCHeading">
    <w:name w:val="TOC Heading"/>
    <w:basedOn w:val="Heading1"/>
    <w:next w:val="Normal"/>
    <w:uiPriority w:val="39"/>
    <w:unhideWhenUsed/>
    <w:qFormat/>
    <w:rsid w:val="008366E3"/>
    <w:pPr>
      <w:spacing w:line="259" w:lineRule="auto"/>
      <w:outlineLvl w:val="9"/>
    </w:pPr>
    <w:rPr>
      <w:lang w:val="en-US" w:eastAsia="en-US"/>
    </w:rPr>
  </w:style>
  <w:style w:type="paragraph" w:styleId="TOC1">
    <w:name w:val="toc 1"/>
    <w:basedOn w:val="Normal"/>
    <w:next w:val="Normal"/>
    <w:autoRedefine/>
    <w:uiPriority w:val="39"/>
    <w:unhideWhenUsed/>
    <w:rsid w:val="008366E3"/>
    <w:pPr>
      <w:spacing w:after="100"/>
    </w:pPr>
  </w:style>
  <w:style w:type="paragraph" w:styleId="TOC2">
    <w:name w:val="toc 2"/>
    <w:basedOn w:val="Normal"/>
    <w:next w:val="Normal"/>
    <w:autoRedefine/>
    <w:uiPriority w:val="39"/>
    <w:unhideWhenUsed/>
    <w:rsid w:val="008366E3"/>
    <w:pPr>
      <w:spacing w:after="100"/>
      <w:ind w:left="180"/>
    </w:pPr>
  </w:style>
  <w:style w:type="character" w:styleId="FollowedHyperlink">
    <w:name w:val="FollowedHyperlink"/>
    <w:basedOn w:val="DefaultParagraphFont"/>
    <w:uiPriority w:val="99"/>
    <w:semiHidden/>
    <w:unhideWhenUsed/>
    <w:rsid w:val="00384DE1"/>
    <w:rPr>
      <w:color w:val="954F72" w:themeColor="followedHyperlink"/>
      <w:u w:val="single"/>
    </w:rPr>
  </w:style>
  <w:style w:type="table" w:styleId="GridTable2-Accent3">
    <w:name w:val="Grid Table 2 Accent 3"/>
    <w:basedOn w:val="TableNormal"/>
    <w:uiPriority w:val="47"/>
    <w:rsid w:val="00204B28"/>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eGridLight">
    <w:name w:val="Grid Table Light"/>
    <w:basedOn w:val="TableNormal"/>
    <w:uiPriority w:val="40"/>
    <w:rsid w:val="00E9062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nepc@environment.gov.a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p:properties xmlns:p="http://schemas.microsoft.com/office/2006/metadata/properties" xmlns:xsi="http://www.w3.org/2001/XMLSchema-instance" xmlns:pc="http://schemas.microsoft.com/office/infopath/2007/PartnerControls">
  <documentManagement>
    <RecordNumber xmlns="1201fbac-4e05-4e09-943f-b1daffa0ea6b" xsi:nil="true"/>
    <IconOverlay xmlns="http://schemas.microsoft.com/sharepoint/v4" xsi:nil="true"/>
    <DocumentDescription xmlns="1201fbac-4e05-4e09-943f-b1daffa0ea6b">AAQ NEPM review agenda paper - Attachment I - AQS comments</DocumentDescription>
    <Approval xmlns="1201fbac-4e05-4e09-943f-b1daffa0ea6b" xsi:nil="true"/>
    <Function xmlns="1201fbac-4e05-4e09-943f-b1daffa0ea6b">Program Admin</Funct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SPIRE Document" ma:contentTypeID="0x01010087E80B6A94CF17418D78389AE32387B500301EDE1458ADDA4B8062E44989F525B9" ma:contentTypeVersion="7" ma:contentTypeDescription="SPIRE Document" ma:contentTypeScope="" ma:versionID="06c50c9b480e6b50e9d92b6ed30a00f5">
  <xsd:schema xmlns:xsd="http://www.w3.org/2001/XMLSchema" xmlns:xs="http://www.w3.org/2001/XMLSchema" xmlns:p="http://schemas.microsoft.com/office/2006/metadata/properties" xmlns:ns2="1201fbac-4e05-4e09-943f-b1daffa0ea6b" xmlns:ns3="http://schemas.microsoft.com/sharepoint/v4" targetNamespace="http://schemas.microsoft.com/office/2006/metadata/properties" ma:root="true" ma:fieldsID="d6efb1064d675a32c561ea79aee4baa2" ns2:_="" ns3:_="">
    <xsd:import namespace="1201fbac-4e05-4e09-943f-b1daffa0ea6b"/>
    <xsd:import namespace="http://schemas.microsoft.com/sharepoint/v4"/>
    <xsd:element name="properties">
      <xsd:complexType>
        <xsd:sequence>
          <xsd:element name="documentManagement">
            <xsd:complexType>
              <xsd:all>
                <xsd:element ref="ns2:DocumentDescription" minOccurs="0"/>
                <xsd:element ref="ns2:Approval" minOccurs="0"/>
                <xsd:element ref="ns2:RecordNumber" minOccurs="0"/>
                <xsd:element ref="ns2:Function"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01fbac-4e05-4e09-943f-b1daffa0ea6b" elementFormDefault="qualified">
    <xsd:import namespace="http://schemas.microsoft.com/office/2006/documentManagement/types"/>
    <xsd:import namespace="http://schemas.microsoft.com/office/infopath/2007/PartnerControls"/>
    <xsd:element name="DocumentDescription" ma:index="8" nillable="true" ma:displayName="Document Description" ma:description="Document Description. Max 255 characters" ma:internalName="DocumentDescription">
      <xsd:simpleType>
        <xsd:restriction base="dms:Note">
          <xsd:maxLength value="255"/>
        </xsd:restriction>
      </xsd:simpleType>
    </xsd:element>
    <xsd:element name="Approval" ma:index="9" nillable="true" ma:displayName="Approval" ma:default="" ma:description="Select the approval status of the document" ma:format="Dropdown" ma:internalName="Approval">
      <xsd:simpleType>
        <xsd:restriction base="dms:Choice">
          <xsd:enumeration value="For Review"/>
          <xsd:enumeration value="Approved"/>
          <xsd:enumeration value="Superseded"/>
          <xsd:enumeration value="Cancelled"/>
        </xsd:restriction>
      </xsd:simpleType>
    </xsd:element>
    <xsd:element name="RecordNumber" ma:index="10" nillable="true" ma:displayName="Record Number" ma:description="RecordPoint Record Number" ma:internalName="RecordNumber">
      <xsd:simpleType>
        <xsd:restriction base="dms:Text"/>
      </xsd:simpleType>
    </xsd:element>
    <xsd:element name="Function" ma:index="11" nillable="true" ma:displayName="Function" ma:default="Program Admin" ma:description="Select the relevance function" ma:format="Dropdown" ma:hidden="true" ma:internalName="Function" ma:readOnly="false">
      <xsd:simpleType>
        <xsd:restriction base="dms:Choice">
          <xsd:enumeration value="Administration"/>
          <xsd:enumeration value="International"/>
          <xsd:enumeration value="OHS"/>
          <xsd:enumeration value="Legal"/>
          <xsd:enumeration value="Personnel"/>
          <xsd:enumeration value="Program Admin"/>
          <xsd:enumeration value="Project"/>
          <xsd:enumeration value="Property"/>
          <xsd:enumeration value="Regulation"/>
          <xsd:enumeration value="Technology"/>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
    <Synchronization>Asynchronous</Synchronization>
    <Type>10003</Type>
    <SequenceNumber>10000</SequenceNumber>
    <Assembly>RecordPoint.Active.UI, Version=1.0.0.0, Culture=neutral, PublicKeyToken=d49476ae5b650bf3</Assembly>
    <Class>RecordPoint.Active.UI.Events.WorkflowItemEventReceiver</Class>
    <Data/>
    <Filter/>
  </Receiver>
  <Receiver>
    <Name/>
    <Synchronization>Synchronous</Synchronization>
    <Type>3</Type>
    <SequenceNumber>10000</SequenceNumber>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Assembly>RecordPoint.Active.UI, Version=1.0.0.0, Culture=neutral, PublicKeyToken=d49476ae5b650bf3</Assembly>
    <Class>RecordPoint.Active.UI.Events.WorkflowItemEventReceiver</Class>
    <Data/>
    <Filter/>
  </Receiver>
  <Receiver>
    <Name/>
    <Synchronization>Synchronous</Synchronization>
    <Type>9</Type>
    <SequenceNumber>10000</SequenceNumber>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Assembly>RecordPoint.Active.UI, Version=1.0.0.0, Culture=neutral, PublicKeyToken=d49476ae5b650bf3</Assembly>
    <Class>RecordPoint.Active.UI.Events.WorkflowListEventReceiver</Class>
    <Data/>
    <Filter/>
  </Receiver>
  <Receiver>
    <Name/>
    <Synchronization>Synchronous</Synchronization>
    <Type>102</Type>
    <SequenceNumber>10000</SequenceNumber>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Assembly>RecordPoint.Active.UI, Version=1.0.0.0, Culture=neutral, PublicKeyToken=d49476ae5b650bf3</Assembly>
    <Class>RecordPoint.Active.UI.Events.WorkflowListEventReceiver</Class>
    <Data/>
    <Filter/>
  </Receiver>
  <Receiver>
    <Name/>
    <Synchronization>Synchronous</Synchronization>
    <Type>105</Type>
    <SequenceNumber>10000</SequenceNumber>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Assembly>RecordPoint.Active.UI, Version=1.0.0.0, Culture=neutral, PublicKeyToken=d49476ae5b650bf3</Assembly>
    <Class>RecordPoint.Active.UI.Events.WorkflowItemEventReceiver</Class>
    <Data/>
    <Filter/>
  </Receiver>
  <Receiver>
    <Name/>
    <Synchronization>Synchronous</Synchronization>
    <Type>2</Type>
    <SequenceNumber>10000</SequenceNumber>
    <Assembly>RecordPoint.Active.UI, Version=1.0.0.0, Culture=neutral, PublicKeyToken=d49476ae5b650bf3</Assembly>
    <Class>RecordPoint.Active.UI.Events.WorkflowItemEventReceiver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9C0436-B453-4957-84DE-CC31C63C64A9}">
  <ds:schemaRefs>
    <ds:schemaRef ds:uri="http://schemas.microsoft.com/office/2006/metadata/customXsn"/>
  </ds:schemaRefs>
</ds:datastoreItem>
</file>

<file path=customXml/itemProps2.xml><?xml version="1.0" encoding="utf-8"?>
<ds:datastoreItem xmlns:ds="http://schemas.openxmlformats.org/officeDocument/2006/customXml" ds:itemID="{3FA2040A-6631-4DEE-8C95-5B17E2AFBEC6}">
  <ds:schemaRefs>
    <ds:schemaRef ds:uri="http://www.w3.org/XML/1998/namespace"/>
    <ds:schemaRef ds:uri="http://purl.org/dc/terms/"/>
    <ds:schemaRef ds:uri="http://schemas.microsoft.com/office/2006/documentManagement/types"/>
    <ds:schemaRef ds:uri="http://schemas.microsoft.com/sharepoint/v4"/>
    <ds:schemaRef ds:uri="http://schemas.openxmlformats.org/package/2006/metadata/core-properties"/>
    <ds:schemaRef ds:uri="http://purl.org/dc/elements/1.1/"/>
    <ds:schemaRef ds:uri="http://schemas.microsoft.com/office/infopath/2007/PartnerControls"/>
    <ds:schemaRef ds:uri="1201fbac-4e05-4e09-943f-b1daffa0ea6b"/>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925CD727-AD80-4214-90DC-25F5A53FFD55}">
  <ds:schemaRefs>
    <ds:schemaRef ds:uri="http://schemas.microsoft.com/sharepoint/v3/contenttype/forms"/>
  </ds:schemaRefs>
</ds:datastoreItem>
</file>

<file path=customXml/itemProps4.xml><?xml version="1.0" encoding="utf-8"?>
<ds:datastoreItem xmlns:ds="http://schemas.openxmlformats.org/officeDocument/2006/customXml" ds:itemID="{A58CE0B7-81C7-442B-AF83-DD25142552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01fbac-4e05-4e09-943f-b1daffa0ea6b"/>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F8A3323-4F48-445A-891F-14B60C426120}">
  <ds:schemaRefs>
    <ds:schemaRef ds:uri="http://schemas.microsoft.com/sharepoint/events"/>
  </ds:schemaRefs>
</ds:datastoreItem>
</file>

<file path=customXml/itemProps6.xml><?xml version="1.0" encoding="utf-8"?>
<ds:datastoreItem xmlns:ds="http://schemas.openxmlformats.org/officeDocument/2006/customXml" ds:itemID="{D94337C7-9A1F-47D3-81DE-38910C7B4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11</Pages>
  <Words>4002</Words>
  <Characters>22817</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20190523 - AAQ NEPM Review - Question and answer fact sheet</vt:lpstr>
    </vt:vector>
  </TitlesOfParts>
  <Company/>
  <LinksUpToDate>false</LinksUpToDate>
  <CharactersWithSpaces>26766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20190523 - AAQ NEPM Review - Question and answer fact sheet</dc:title>
  <dc:subject/>
  <dc:creator>Kyle T Garland (DELWP)</dc:creator>
  <cp:keywords/>
  <dc:description/>
  <cp:lastModifiedBy>Brendan Pippen</cp:lastModifiedBy>
  <cp:revision>18</cp:revision>
  <dcterms:created xsi:type="dcterms:W3CDTF">2019-05-23T02:46:00Z</dcterms:created>
  <dcterms:modified xsi:type="dcterms:W3CDTF">2019-05-23T06:22:00Z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0x01010087E80B6A94CF17418D78389AE32387B500301EDE1458ADDA4B8062E44989F525B9</vt:lpwstr>
  </property>
  <property fmtid="{D5CDD505-2E9C-101B-9397-08002B2CF9AE}" pid="3" name="RecordPoint_WorkflowType">
    <vt:lpwstr>ActiveSubmitStub</vt:lpwstr>
  </property>
  <property fmtid="{D5CDD505-2E9C-101B-9397-08002B2CF9AE}" pid="4" name="RecordPoint_ActiveItemSiteId">
    <vt:lpwstr>{1385f4fc-5717-4abf-b566-e69ec52ac4b2}</vt:lpwstr>
  </property>
  <property fmtid="{D5CDD505-2E9C-101B-9397-08002B2CF9AE}" pid="5" name="RecordPoint_ActiveItemListId">
    <vt:lpwstr>{af21dfc1-5773-42d5-846e-f05aca11362a}</vt:lpwstr>
  </property>
  <property fmtid="{D5CDD505-2E9C-101B-9397-08002B2CF9AE}" pid="6" name="RecordPoint_ActiveItemUniqueId">
    <vt:lpwstr>{d88eaaa2-b337-4454-9050-06d4c1edd680}</vt:lpwstr>
  </property>
  <property fmtid="{D5CDD505-2E9C-101B-9397-08002B2CF9AE}" pid="7" name="RecordPoint_ActiveItemWebId">
    <vt:lpwstr>{8de9f648-7dd0-448a-9e3e-1ceb39954497}</vt:lpwstr>
  </property>
  <property fmtid="{D5CDD505-2E9C-101B-9397-08002B2CF9AE}" pid="8" name="RecordPoint_SubmissionDate">
    <vt:lpwstr/>
  </property>
  <property fmtid="{D5CDD505-2E9C-101B-9397-08002B2CF9AE}" pid="9" name="RecordPoint_RecordNumberSubmitted">
    <vt:lpwstr/>
  </property>
  <property fmtid="{D5CDD505-2E9C-101B-9397-08002B2CF9AE}" pid="10" name="RecordPoint_ActiveItemMoved">
    <vt:lpwstr/>
  </property>
  <property fmtid="{D5CDD505-2E9C-101B-9397-08002B2CF9AE}" pid="11" name="RecordPoint_RecordFormat">
    <vt:lpwstr/>
  </property>
  <property fmtid="{D5CDD505-2E9C-101B-9397-08002B2CF9AE}" pid="12" name="RecordPoint_SubmissionCompleted">
    <vt:lpwstr/>
  </property>
</Properties>
</file>