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88" w:rsidRPr="00392A2E" w:rsidRDefault="0078593E" w:rsidP="00585788">
      <w:pPr>
        <w:jc w:val="center"/>
        <w:rPr>
          <w:rFonts w:ascii="Times New Roman" w:hAnsi="Times New Roman" w:cs="Times New Roman"/>
          <w:b/>
          <w:sz w:val="28"/>
          <w:szCs w:val="28"/>
        </w:rPr>
      </w:pPr>
      <w:r>
        <w:rPr>
          <w:rFonts w:ascii="Times New Roman" w:hAnsi="Times New Roman" w:cs="Times New Roman"/>
          <w:b/>
          <w:sz w:val="28"/>
          <w:szCs w:val="28"/>
        </w:rPr>
        <w:t>Octo</w:t>
      </w:r>
      <w:r w:rsidR="00585788" w:rsidRPr="00392A2E">
        <w:rPr>
          <w:rFonts w:ascii="Times New Roman" w:hAnsi="Times New Roman" w:cs="Times New Roman"/>
          <w:b/>
          <w:sz w:val="28"/>
          <w:szCs w:val="28"/>
        </w:rPr>
        <w:t>ber 2012</w:t>
      </w:r>
    </w:p>
    <w:p w:rsidR="00392A2E" w:rsidRDefault="00585788" w:rsidP="00392A2E">
      <w:pPr>
        <w:spacing w:after="0" w:line="240" w:lineRule="auto"/>
        <w:jc w:val="center"/>
        <w:rPr>
          <w:rFonts w:ascii="Times New Roman" w:hAnsi="Times New Roman" w:cs="Times New Roman"/>
          <w:b/>
          <w:sz w:val="28"/>
          <w:szCs w:val="28"/>
        </w:rPr>
      </w:pPr>
      <w:r w:rsidRPr="00392A2E">
        <w:rPr>
          <w:rFonts w:ascii="Times New Roman" w:hAnsi="Times New Roman" w:cs="Times New Roman"/>
          <w:b/>
          <w:sz w:val="28"/>
          <w:szCs w:val="28"/>
        </w:rPr>
        <w:t xml:space="preserve">Reducing Emissions from </w:t>
      </w:r>
    </w:p>
    <w:p w:rsidR="00585788" w:rsidRPr="00392A2E" w:rsidRDefault="00585788" w:rsidP="00585788">
      <w:pPr>
        <w:jc w:val="center"/>
        <w:rPr>
          <w:rFonts w:ascii="Times New Roman" w:hAnsi="Times New Roman" w:cs="Times New Roman"/>
          <w:b/>
          <w:sz w:val="28"/>
          <w:szCs w:val="28"/>
        </w:rPr>
      </w:pPr>
      <w:r w:rsidRPr="00392A2E">
        <w:rPr>
          <w:rFonts w:ascii="Times New Roman" w:hAnsi="Times New Roman" w:cs="Times New Roman"/>
          <w:b/>
          <w:sz w:val="28"/>
          <w:szCs w:val="28"/>
        </w:rPr>
        <w:t>Non-Road Spark Ignition Engines and Equipment Regulation</w:t>
      </w:r>
    </w:p>
    <w:p w:rsidR="00585788" w:rsidRDefault="00585788" w:rsidP="00585788">
      <w:pPr>
        <w:jc w:val="center"/>
        <w:rPr>
          <w:rFonts w:ascii="Times New Roman" w:hAnsi="Times New Roman" w:cs="Times New Roman"/>
          <w:b/>
          <w:sz w:val="28"/>
          <w:szCs w:val="28"/>
        </w:rPr>
      </w:pPr>
      <w:r w:rsidRPr="00392A2E">
        <w:rPr>
          <w:rFonts w:ascii="Times New Roman" w:hAnsi="Times New Roman" w:cs="Times New Roman"/>
          <w:b/>
          <w:sz w:val="28"/>
          <w:szCs w:val="28"/>
        </w:rPr>
        <w:t>Consultation Regulation Impact Statement</w:t>
      </w:r>
    </w:p>
    <w:p w:rsidR="00392A2E" w:rsidRPr="00392A2E" w:rsidRDefault="00392A2E" w:rsidP="00585788">
      <w:pPr>
        <w:jc w:val="center"/>
        <w:rPr>
          <w:rFonts w:ascii="Times New Roman" w:hAnsi="Times New Roman" w:cs="Times New Roman"/>
          <w:b/>
          <w:sz w:val="28"/>
          <w:szCs w:val="28"/>
        </w:rPr>
      </w:pPr>
    </w:p>
    <w:p w:rsidR="00585788" w:rsidRPr="00470DA1" w:rsidRDefault="00585788" w:rsidP="00585788">
      <w:pPr>
        <w:jc w:val="center"/>
        <w:rPr>
          <w:rFonts w:ascii="Times New Roman" w:hAnsi="Times New Roman" w:cs="Times New Roman"/>
          <w:b/>
          <w:sz w:val="32"/>
          <w:szCs w:val="24"/>
        </w:rPr>
      </w:pPr>
      <w:r>
        <w:rPr>
          <w:rFonts w:ascii="Times New Roman" w:hAnsi="Times New Roman" w:cs="Times New Roman"/>
          <w:b/>
          <w:sz w:val="32"/>
          <w:szCs w:val="24"/>
        </w:rPr>
        <w:t>CONSULTATION SUMMARY REPORT</w:t>
      </w:r>
    </w:p>
    <w:p w:rsidR="00F449A8" w:rsidRDefault="00F449A8">
      <w:pPr>
        <w:rPr>
          <w:rFonts w:ascii="Times New Roman" w:hAnsi="Times New Roman" w:cs="Times New Roman"/>
          <w:b/>
          <w:sz w:val="28"/>
          <w:szCs w:val="28"/>
        </w:rPr>
      </w:pPr>
      <w:bookmarkStart w:id="0" w:name="_Toc338252766"/>
      <w:r>
        <w:br w:type="page"/>
      </w:r>
    </w:p>
    <w:p w:rsidR="00EB6C5C" w:rsidRPr="00EB6C5C" w:rsidRDefault="00EB6C5C" w:rsidP="00EB6C5C">
      <w:pPr>
        <w:pStyle w:val="Heading1"/>
      </w:pPr>
      <w:bookmarkStart w:id="1" w:name="_Toc342565452"/>
      <w:r w:rsidRPr="00EB6C5C">
        <w:lastRenderedPageBreak/>
        <w:t>Table of contents</w:t>
      </w:r>
      <w:bookmarkEnd w:id="0"/>
      <w:bookmarkEnd w:id="1"/>
    </w:p>
    <w:p w:rsidR="0095302A" w:rsidRDefault="006D214A">
      <w:pPr>
        <w:pStyle w:val="TOC1"/>
        <w:tabs>
          <w:tab w:val="right" w:leader="dot" w:pos="9130"/>
        </w:tabs>
        <w:rPr>
          <w:rFonts w:eastAsiaTheme="minorEastAsia"/>
          <w:noProof/>
          <w:lang w:eastAsia="en-AU"/>
        </w:rPr>
      </w:pPr>
      <w:r w:rsidRPr="00C31847">
        <w:rPr>
          <w:rFonts w:ascii="Times New Roman" w:hAnsi="Times New Roman" w:cs="Times New Roman"/>
          <w:sz w:val="24"/>
          <w:szCs w:val="24"/>
        </w:rPr>
        <w:fldChar w:fldCharType="begin"/>
      </w:r>
      <w:r w:rsidR="00EB6C5C" w:rsidRPr="00C31847">
        <w:rPr>
          <w:rFonts w:ascii="Times New Roman" w:hAnsi="Times New Roman" w:cs="Times New Roman"/>
          <w:sz w:val="24"/>
          <w:szCs w:val="24"/>
        </w:rPr>
        <w:instrText xml:space="preserve"> TOC \o "1-1" \h \z \u </w:instrText>
      </w:r>
      <w:r w:rsidRPr="00C31847">
        <w:rPr>
          <w:rFonts w:ascii="Times New Roman" w:hAnsi="Times New Roman" w:cs="Times New Roman"/>
          <w:sz w:val="24"/>
          <w:szCs w:val="24"/>
        </w:rPr>
        <w:fldChar w:fldCharType="separate"/>
      </w:r>
      <w:hyperlink w:anchor="_Toc342565452" w:history="1">
        <w:r w:rsidR="0095302A" w:rsidRPr="00401602">
          <w:rPr>
            <w:rStyle w:val="Hyperlink"/>
            <w:noProof/>
          </w:rPr>
          <w:t>Table of contents</w:t>
        </w:r>
        <w:r w:rsidR="0095302A">
          <w:rPr>
            <w:noProof/>
            <w:webHidden/>
          </w:rPr>
          <w:tab/>
        </w:r>
        <w:r w:rsidR="0095302A">
          <w:rPr>
            <w:noProof/>
            <w:webHidden/>
          </w:rPr>
          <w:fldChar w:fldCharType="begin"/>
        </w:r>
        <w:r w:rsidR="0095302A">
          <w:rPr>
            <w:noProof/>
            <w:webHidden/>
          </w:rPr>
          <w:instrText xml:space="preserve"> PAGEREF _Toc342565452 \h </w:instrText>
        </w:r>
        <w:r w:rsidR="0095302A">
          <w:rPr>
            <w:noProof/>
            <w:webHidden/>
          </w:rPr>
        </w:r>
        <w:r w:rsidR="0095302A">
          <w:rPr>
            <w:noProof/>
            <w:webHidden/>
          </w:rPr>
          <w:fldChar w:fldCharType="separate"/>
        </w:r>
        <w:r w:rsidR="0095302A">
          <w:rPr>
            <w:noProof/>
            <w:webHidden/>
          </w:rPr>
          <w:t>2</w:t>
        </w:r>
        <w:r w:rsidR="0095302A">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53" w:history="1">
        <w:r w:rsidRPr="00401602">
          <w:rPr>
            <w:rStyle w:val="Hyperlink"/>
            <w:noProof/>
          </w:rPr>
          <w:t>Background</w:t>
        </w:r>
        <w:r>
          <w:rPr>
            <w:noProof/>
            <w:webHidden/>
          </w:rPr>
          <w:tab/>
        </w:r>
        <w:r>
          <w:rPr>
            <w:noProof/>
            <w:webHidden/>
          </w:rPr>
          <w:fldChar w:fldCharType="begin"/>
        </w:r>
        <w:r>
          <w:rPr>
            <w:noProof/>
            <w:webHidden/>
          </w:rPr>
          <w:instrText xml:space="preserve"> PAGEREF _Toc342565453 \h </w:instrText>
        </w:r>
        <w:r>
          <w:rPr>
            <w:noProof/>
            <w:webHidden/>
          </w:rPr>
        </w:r>
        <w:r>
          <w:rPr>
            <w:noProof/>
            <w:webHidden/>
          </w:rPr>
          <w:fldChar w:fldCharType="separate"/>
        </w:r>
        <w:r>
          <w:rPr>
            <w:noProof/>
            <w:webHidden/>
          </w:rPr>
          <w:t>3</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54" w:history="1">
        <w:r w:rsidRPr="00401602">
          <w:rPr>
            <w:rStyle w:val="Hyperlink"/>
            <w:noProof/>
          </w:rPr>
          <w:t>Methodology</w:t>
        </w:r>
        <w:r>
          <w:rPr>
            <w:noProof/>
            <w:webHidden/>
          </w:rPr>
          <w:tab/>
        </w:r>
        <w:r>
          <w:rPr>
            <w:noProof/>
            <w:webHidden/>
          </w:rPr>
          <w:fldChar w:fldCharType="begin"/>
        </w:r>
        <w:r>
          <w:rPr>
            <w:noProof/>
            <w:webHidden/>
          </w:rPr>
          <w:instrText xml:space="preserve"> PAGEREF _Toc342565454 \h </w:instrText>
        </w:r>
        <w:r>
          <w:rPr>
            <w:noProof/>
            <w:webHidden/>
          </w:rPr>
        </w:r>
        <w:r>
          <w:rPr>
            <w:noProof/>
            <w:webHidden/>
          </w:rPr>
          <w:fldChar w:fldCharType="separate"/>
        </w:r>
        <w:r>
          <w:rPr>
            <w:noProof/>
            <w:webHidden/>
          </w:rPr>
          <w:t>5</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55" w:history="1">
        <w:r w:rsidRPr="00401602">
          <w:rPr>
            <w:rStyle w:val="Hyperlink"/>
            <w:noProof/>
          </w:rPr>
          <w:t>Summary</w:t>
        </w:r>
        <w:r>
          <w:rPr>
            <w:noProof/>
            <w:webHidden/>
          </w:rPr>
          <w:tab/>
        </w:r>
        <w:r>
          <w:rPr>
            <w:noProof/>
            <w:webHidden/>
          </w:rPr>
          <w:fldChar w:fldCharType="begin"/>
        </w:r>
        <w:r>
          <w:rPr>
            <w:noProof/>
            <w:webHidden/>
          </w:rPr>
          <w:instrText xml:space="preserve"> PAGEREF _Toc342565455 \h </w:instrText>
        </w:r>
        <w:r>
          <w:rPr>
            <w:noProof/>
            <w:webHidden/>
          </w:rPr>
        </w:r>
        <w:r>
          <w:rPr>
            <w:noProof/>
            <w:webHidden/>
          </w:rPr>
          <w:fldChar w:fldCharType="separate"/>
        </w:r>
        <w:r>
          <w:rPr>
            <w:noProof/>
            <w:webHidden/>
          </w:rPr>
          <w:t>6</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56" w:history="1">
        <w:r w:rsidRPr="00401602">
          <w:rPr>
            <w:rStyle w:val="Hyperlink"/>
            <w:noProof/>
          </w:rPr>
          <w:t>Timing</w:t>
        </w:r>
        <w:r>
          <w:rPr>
            <w:noProof/>
            <w:webHidden/>
          </w:rPr>
          <w:tab/>
        </w:r>
        <w:r>
          <w:rPr>
            <w:noProof/>
            <w:webHidden/>
          </w:rPr>
          <w:fldChar w:fldCharType="begin"/>
        </w:r>
        <w:r>
          <w:rPr>
            <w:noProof/>
            <w:webHidden/>
          </w:rPr>
          <w:instrText xml:space="preserve"> PAGEREF _Toc342565456 \h </w:instrText>
        </w:r>
        <w:r>
          <w:rPr>
            <w:noProof/>
            <w:webHidden/>
          </w:rPr>
        </w:r>
        <w:r>
          <w:rPr>
            <w:noProof/>
            <w:webHidden/>
          </w:rPr>
          <w:fldChar w:fldCharType="separate"/>
        </w:r>
        <w:r>
          <w:rPr>
            <w:noProof/>
            <w:webHidden/>
          </w:rPr>
          <w:t>8</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57" w:history="1">
        <w:r w:rsidRPr="00401602">
          <w:rPr>
            <w:rStyle w:val="Hyperlink"/>
            <w:noProof/>
          </w:rPr>
          <w:t>Averaging, Banking and Trading</w:t>
        </w:r>
        <w:r>
          <w:rPr>
            <w:noProof/>
            <w:webHidden/>
          </w:rPr>
          <w:tab/>
        </w:r>
        <w:r>
          <w:rPr>
            <w:noProof/>
            <w:webHidden/>
          </w:rPr>
          <w:fldChar w:fldCharType="begin"/>
        </w:r>
        <w:r>
          <w:rPr>
            <w:noProof/>
            <w:webHidden/>
          </w:rPr>
          <w:instrText xml:space="preserve"> PAGEREF _Toc342565457 \h </w:instrText>
        </w:r>
        <w:r>
          <w:rPr>
            <w:noProof/>
            <w:webHidden/>
          </w:rPr>
        </w:r>
        <w:r>
          <w:rPr>
            <w:noProof/>
            <w:webHidden/>
          </w:rPr>
          <w:fldChar w:fldCharType="separate"/>
        </w:r>
        <w:r>
          <w:rPr>
            <w:noProof/>
            <w:webHidden/>
          </w:rPr>
          <w:t>9</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58" w:history="1">
        <w:r w:rsidRPr="00401602">
          <w:rPr>
            <w:rStyle w:val="Hyperlink"/>
            <w:noProof/>
          </w:rPr>
          <w:t>Exemptions</w:t>
        </w:r>
        <w:r>
          <w:rPr>
            <w:noProof/>
            <w:webHidden/>
          </w:rPr>
          <w:tab/>
        </w:r>
        <w:r>
          <w:rPr>
            <w:noProof/>
            <w:webHidden/>
          </w:rPr>
          <w:fldChar w:fldCharType="begin"/>
        </w:r>
        <w:r>
          <w:rPr>
            <w:noProof/>
            <w:webHidden/>
          </w:rPr>
          <w:instrText xml:space="preserve"> PAGEREF _Toc342565458 \h </w:instrText>
        </w:r>
        <w:r>
          <w:rPr>
            <w:noProof/>
            <w:webHidden/>
          </w:rPr>
        </w:r>
        <w:r>
          <w:rPr>
            <w:noProof/>
            <w:webHidden/>
          </w:rPr>
          <w:fldChar w:fldCharType="separate"/>
        </w:r>
        <w:r>
          <w:rPr>
            <w:noProof/>
            <w:webHidden/>
          </w:rPr>
          <w:t>10</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59" w:history="1">
        <w:r w:rsidRPr="00401602">
          <w:rPr>
            <w:rStyle w:val="Hyperlink"/>
            <w:noProof/>
          </w:rPr>
          <w:t>Pricing and Consumer Demand</w:t>
        </w:r>
        <w:r>
          <w:rPr>
            <w:noProof/>
            <w:webHidden/>
          </w:rPr>
          <w:tab/>
        </w:r>
        <w:r>
          <w:rPr>
            <w:noProof/>
            <w:webHidden/>
          </w:rPr>
          <w:fldChar w:fldCharType="begin"/>
        </w:r>
        <w:r>
          <w:rPr>
            <w:noProof/>
            <w:webHidden/>
          </w:rPr>
          <w:instrText xml:space="preserve"> PAGEREF _Toc342565459 \h </w:instrText>
        </w:r>
        <w:r>
          <w:rPr>
            <w:noProof/>
            <w:webHidden/>
          </w:rPr>
        </w:r>
        <w:r>
          <w:rPr>
            <w:noProof/>
            <w:webHidden/>
          </w:rPr>
          <w:fldChar w:fldCharType="separate"/>
        </w:r>
        <w:r>
          <w:rPr>
            <w:noProof/>
            <w:webHidden/>
          </w:rPr>
          <w:t>11</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60" w:history="1">
        <w:r w:rsidRPr="00401602">
          <w:rPr>
            <w:rStyle w:val="Hyperlink"/>
            <w:noProof/>
          </w:rPr>
          <w:t>Engine weight</w:t>
        </w:r>
        <w:r>
          <w:rPr>
            <w:noProof/>
            <w:webHidden/>
          </w:rPr>
          <w:tab/>
        </w:r>
        <w:r>
          <w:rPr>
            <w:noProof/>
            <w:webHidden/>
          </w:rPr>
          <w:fldChar w:fldCharType="begin"/>
        </w:r>
        <w:r>
          <w:rPr>
            <w:noProof/>
            <w:webHidden/>
          </w:rPr>
          <w:instrText xml:space="preserve"> PAGEREF _Toc342565460 \h </w:instrText>
        </w:r>
        <w:r>
          <w:rPr>
            <w:noProof/>
            <w:webHidden/>
          </w:rPr>
        </w:r>
        <w:r>
          <w:rPr>
            <w:noProof/>
            <w:webHidden/>
          </w:rPr>
          <w:fldChar w:fldCharType="separate"/>
        </w:r>
        <w:r>
          <w:rPr>
            <w:noProof/>
            <w:webHidden/>
          </w:rPr>
          <w:t>13</w:t>
        </w:r>
        <w:r>
          <w:rPr>
            <w:noProof/>
            <w:webHidden/>
          </w:rPr>
          <w:fldChar w:fldCharType="end"/>
        </w:r>
      </w:hyperlink>
    </w:p>
    <w:p w:rsidR="0095302A" w:rsidRDefault="0095302A">
      <w:pPr>
        <w:pStyle w:val="TOC1"/>
        <w:tabs>
          <w:tab w:val="right" w:leader="dot" w:pos="9130"/>
        </w:tabs>
        <w:rPr>
          <w:rFonts w:eastAsiaTheme="minorEastAsia"/>
          <w:noProof/>
          <w:lang w:eastAsia="en-AU"/>
        </w:rPr>
      </w:pPr>
      <w:hyperlink w:anchor="_Toc342565461" w:history="1">
        <w:r w:rsidRPr="00401602">
          <w:rPr>
            <w:rStyle w:val="Hyperlink"/>
            <w:noProof/>
          </w:rPr>
          <w:t>List of public submissions</w:t>
        </w:r>
        <w:r>
          <w:rPr>
            <w:noProof/>
            <w:webHidden/>
          </w:rPr>
          <w:tab/>
        </w:r>
        <w:r>
          <w:rPr>
            <w:noProof/>
            <w:webHidden/>
          </w:rPr>
          <w:fldChar w:fldCharType="begin"/>
        </w:r>
        <w:r>
          <w:rPr>
            <w:noProof/>
            <w:webHidden/>
          </w:rPr>
          <w:instrText xml:space="preserve"> PAGEREF _Toc342565461 \h </w:instrText>
        </w:r>
        <w:r>
          <w:rPr>
            <w:noProof/>
            <w:webHidden/>
          </w:rPr>
        </w:r>
        <w:r>
          <w:rPr>
            <w:noProof/>
            <w:webHidden/>
          </w:rPr>
          <w:fldChar w:fldCharType="separate"/>
        </w:r>
        <w:r>
          <w:rPr>
            <w:noProof/>
            <w:webHidden/>
          </w:rPr>
          <w:t>14</w:t>
        </w:r>
        <w:r>
          <w:rPr>
            <w:noProof/>
            <w:webHidden/>
          </w:rPr>
          <w:fldChar w:fldCharType="end"/>
        </w:r>
      </w:hyperlink>
    </w:p>
    <w:p w:rsidR="00EB6C5C" w:rsidRPr="00EB6C5C" w:rsidRDefault="006D214A" w:rsidP="00EB6C5C">
      <w:pPr>
        <w:rPr>
          <w:rFonts w:ascii="Times New Roman" w:hAnsi="Times New Roman" w:cs="Times New Roman"/>
          <w:sz w:val="24"/>
          <w:szCs w:val="24"/>
        </w:rPr>
      </w:pPr>
      <w:r w:rsidRPr="00C31847">
        <w:rPr>
          <w:rFonts w:ascii="Times New Roman" w:hAnsi="Times New Roman" w:cs="Times New Roman"/>
          <w:sz w:val="24"/>
          <w:szCs w:val="24"/>
        </w:rPr>
        <w:fldChar w:fldCharType="end"/>
      </w:r>
    </w:p>
    <w:p w:rsidR="00F449A8" w:rsidRDefault="00F449A8">
      <w:pPr>
        <w:rPr>
          <w:rFonts w:ascii="Times New Roman" w:hAnsi="Times New Roman" w:cs="Times New Roman"/>
          <w:b/>
          <w:sz w:val="28"/>
          <w:szCs w:val="28"/>
        </w:rPr>
      </w:pPr>
      <w:r>
        <w:br w:type="page"/>
      </w:r>
    </w:p>
    <w:p w:rsidR="009503EF" w:rsidRPr="00EB6C5C" w:rsidRDefault="009503EF" w:rsidP="00EB6C5C">
      <w:pPr>
        <w:pStyle w:val="Heading1"/>
      </w:pPr>
      <w:bookmarkStart w:id="2" w:name="_Toc342565453"/>
      <w:r w:rsidRPr="00EB6C5C">
        <w:lastRenderedPageBreak/>
        <w:t>Background</w:t>
      </w:r>
      <w:bookmarkEnd w:id="2"/>
    </w:p>
    <w:p w:rsidR="007D5F52" w:rsidRDefault="007D5F52" w:rsidP="007D5F52">
      <w:pPr>
        <w:rPr>
          <w:rFonts w:ascii="Times New Roman" w:hAnsi="Times New Roman" w:cs="Times New Roman"/>
          <w:sz w:val="24"/>
          <w:szCs w:val="24"/>
        </w:rPr>
      </w:pPr>
      <w:r w:rsidRPr="002E4514">
        <w:rPr>
          <w:rFonts w:ascii="Times New Roman" w:hAnsi="Times New Roman" w:cs="Times New Roman"/>
          <w:sz w:val="24"/>
          <w:szCs w:val="24"/>
        </w:rPr>
        <w:t xml:space="preserve">On </w:t>
      </w:r>
      <w:r w:rsidR="0001276E">
        <w:rPr>
          <w:rFonts w:ascii="Times New Roman" w:hAnsi="Times New Roman" w:cs="Times New Roman"/>
          <w:sz w:val="24"/>
          <w:szCs w:val="24"/>
        </w:rPr>
        <w:t>25</w:t>
      </w:r>
      <w:r w:rsidR="002E4514" w:rsidRPr="002E4514">
        <w:rPr>
          <w:rFonts w:ascii="Times New Roman" w:hAnsi="Times New Roman" w:cs="Times New Roman"/>
          <w:sz w:val="24"/>
          <w:szCs w:val="24"/>
        </w:rPr>
        <w:t xml:space="preserve"> May</w:t>
      </w:r>
      <w:r w:rsidRPr="002E4514">
        <w:rPr>
          <w:rFonts w:ascii="Times New Roman" w:hAnsi="Times New Roman" w:cs="Times New Roman"/>
          <w:sz w:val="24"/>
          <w:szCs w:val="24"/>
        </w:rPr>
        <w:t xml:space="preserve"> 2010,</w:t>
      </w:r>
      <w:r>
        <w:rPr>
          <w:rFonts w:ascii="Times New Roman" w:hAnsi="Times New Roman" w:cs="Times New Roman"/>
          <w:sz w:val="24"/>
          <w:szCs w:val="24"/>
        </w:rPr>
        <w:t xml:space="preserve"> the then Environment Protection and Heritage Council released the Reducing Emissions from Non-Road Spark Ignition Engines and Equipment Consultation Regulation Impact Statement (</w:t>
      </w:r>
      <w:r w:rsidR="00232153">
        <w:rPr>
          <w:rFonts w:ascii="Times New Roman" w:hAnsi="Times New Roman" w:cs="Times New Roman"/>
          <w:sz w:val="24"/>
          <w:szCs w:val="24"/>
        </w:rPr>
        <w:t xml:space="preserve">Consultation </w:t>
      </w:r>
      <w:r>
        <w:rPr>
          <w:rFonts w:ascii="Times New Roman" w:hAnsi="Times New Roman" w:cs="Times New Roman"/>
          <w:sz w:val="24"/>
          <w:szCs w:val="24"/>
        </w:rPr>
        <w:t>RIS) for public comment</w:t>
      </w:r>
      <w:r w:rsidR="00301402">
        <w:rPr>
          <w:rFonts w:ascii="Times New Roman" w:hAnsi="Times New Roman" w:cs="Times New Roman"/>
          <w:sz w:val="24"/>
          <w:szCs w:val="24"/>
        </w:rPr>
        <w:t xml:space="preserve">. </w:t>
      </w:r>
    </w:p>
    <w:p w:rsidR="008365E7" w:rsidRPr="00EE1708" w:rsidRDefault="00D20319" w:rsidP="008365E7">
      <w:pPr>
        <w:spacing w:after="0" w:line="300" w:lineRule="auto"/>
        <w:rPr>
          <w:rFonts w:ascii="Times New Roman" w:hAnsi="Times New Roman" w:cs="Times New Roman"/>
          <w:sz w:val="24"/>
          <w:szCs w:val="24"/>
        </w:rPr>
      </w:pPr>
      <w:r w:rsidRPr="008365E7">
        <w:rPr>
          <w:rFonts w:ascii="Times New Roman" w:hAnsi="Times New Roman" w:cs="Times New Roman"/>
          <w:sz w:val="24"/>
          <w:szCs w:val="24"/>
        </w:rPr>
        <w:t>Non-road spark ignition engines and equipment</w:t>
      </w:r>
      <w:r w:rsidR="00602C94">
        <w:rPr>
          <w:rFonts w:ascii="Times New Roman" w:hAnsi="Times New Roman" w:cs="Times New Roman"/>
          <w:sz w:val="24"/>
          <w:szCs w:val="24"/>
        </w:rPr>
        <w:t xml:space="preserve"> (NRSIEE)</w:t>
      </w:r>
      <w:r w:rsidRPr="008365E7">
        <w:rPr>
          <w:rFonts w:ascii="Times New Roman" w:hAnsi="Times New Roman" w:cs="Times New Roman"/>
          <w:sz w:val="24"/>
          <w:szCs w:val="24"/>
        </w:rPr>
        <w:t xml:space="preserve">, particularly conventional two stroke engines contribute to urban air pollution and are high polluters relative to their engine size and usage. </w:t>
      </w:r>
      <w:r w:rsidR="008365E7">
        <w:rPr>
          <w:rFonts w:ascii="Times New Roman" w:hAnsi="Times New Roman" w:cs="Times New Roman"/>
          <w:sz w:val="24"/>
          <w:szCs w:val="24"/>
        </w:rPr>
        <w:t>NRSIEE include</w:t>
      </w:r>
      <w:r w:rsidR="008365E7" w:rsidRPr="00EE1708">
        <w:rPr>
          <w:rFonts w:ascii="Times New Roman" w:hAnsi="Times New Roman" w:cs="Times New Roman"/>
          <w:sz w:val="24"/>
          <w:szCs w:val="24"/>
        </w:rPr>
        <w:t>:</w:t>
      </w:r>
    </w:p>
    <w:p w:rsidR="008365E7" w:rsidRPr="00EE1708" w:rsidRDefault="008365E7" w:rsidP="008365E7">
      <w:pPr>
        <w:pStyle w:val="ListBullet"/>
        <w:rPr>
          <w:rFonts w:ascii="Times New Roman" w:hAnsi="Times New Roman" w:cs="Times New Roman"/>
          <w:sz w:val="24"/>
          <w:szCs w:val="24"/>
        </w:rPr>
      </w:pPr>
      <w:r>
        <w:rPr>
          <w:rFonts w:ascii="Times New Roman" w:hAnsi="Times New Roman" w:cs="Times New Roman"/>
          <w:sz w:val="24"/>
          <w:szCs w:val="24"/>
        </w:rPr>
        <w:t>S</w:t>
      </w:r>
      <w:r w:rsidRPr="00EE1708">
        <w:rPr>
          <w:rFonts w:ascii="Times New Roman" w:hAnsi="Times New Roman" w:cs="Times New Roman"/>
          <w:sz w:val="24"/>
          <w:szCs w:val="24"/>
        </w:rPr>
        <w:t>mall engines used in a range of domestic and commercial applications such as gardening equipment, generators, construction, farm and industrial equipment (</w:t>
      </w:r>
      <w:r>
        <w:rPr>
          <w:rFonts w:ascii="Times New Roman" w:hAnsi="Times New Roman" w:cs="Times New Roman"/>
          <w:sz w:val="24"/>
          <w:szCs w:val="24"/>
        </w:rPr>
        <w:t>because</w:t>
      </w:r>
      <w:r w:rsidRPr="00EE1708">
        <w:rPr>
          <w:rFonts w:ascii="Times New Roman" w:hAnsi="Times New Roman" w:cs="Times New Roman"/>
          <w:sz w:val="24"/>
          <w:szCs w:val="24"/>
        </w:rPr>
        <w:t xml:space="preserve"> the bulk of these engines are used in gardening applications these will be referred to as garden engines)</w:t>
      </w:r>
      <w:r>
        <w:rPr>
          <w:rFonts w:ascii="Times New Roman" w:hAnsi="Times New Roman" w:cs="Times New Roman"/>
          <w:sz w:val="24"/>
          <w:szCs w:val="24"/>
        </w:rPr>
        <w:t>, and</w:t>
      </w:r>
    </w:p>
    <w:p w:rsidR="00602C94" w:rsidRDefault="008365E7" w:rsidP="00602C94">
      <w:pPr>
        <w:pStyle w:val="ListBullet"/>
        <w:rPr>
          <w:rFonts w:ascii="Times New Roman" w:hAnsi="Times New Roman" w:cs="Times New Roman"/>
          <w:sz w:val="24"/>
          <w:szCs w:val="24"/>
        </w:rPr>
      </w:pPr>
      <w:r>
        <w:rPr>
          <w:rFonts w:ascii="Times New Roman" w:hAnsi="Times New Roman" w:cs="Times New Roman"/>
          <w:sz w:val="24"/>
          <w:szCs w:val="24"/>
        </w:rPr>
        <w:t>M</w:t>
      </w:r>
      <w:r w:rsidRPr="00EE1708">
        <w:rPr>
          <w:rFonts w:ascii="Times New Roman" w:hAnsi="Times New Roman" w:cs="Times New Roman"/>
          <w:sz w:val="24"/>
          <w:szCs w:val="24"/>
        </w:rPr>
        <w:t>arine engines including outboard engines, personal watercraft and inboard and sterndrive engines.</w:t>
      </w:r>
    </w:p>
    <w:p w:rsidR="00602C94" w:rsidRDefault="00602C94" w:rsidP="00602C94">
      <w:pPr>
        <w:pStyle w:val="ListBullet"/>
        <w:numPr>
          <w:ilvl w:val="0"/>
          <w:numId w:val="0"/>
        </w:numPr>
        <w:rPr>
          <w:rFonts w:ascii="Times New Roman" w:hAnsi="Times New Roman" w:cs="Times New Roman"/>
          <w:sz w:val="24"/>
          <w:szCs w:val="24"/>
        </w:rPr>
      </w:pPr>
    </w:p>
    <w:p w:rsidR="00602C94" w:rsidRPr="00602C94" w:rsidRDefault="00A25F79" w:rsidP="00602C94">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NRSIEE Consultation RIS examined </w:t>
      </w:r>
      <w:r w:rsidRPr="009A5FA1">
        <w:rPr>
          <w:rFonts w:ascii="Times New Roman" w:eastAsia="Calibri" w:hAnsi="Times New Roman" w:cs="Times New Roman"/>
          <w:sz w:val="24"/>
          <w:szCs w:val="24"/>
          <w:lang w:eastAsia="en-AU"/>
        </w:rPr>
        <w:t xml:space="preserve">whether there </w:t>
      </w:r>
      <w:r>
        <w:rPr>
          <w:rFonts w:ascii="Times New Roman" w:eastAsia="Calibri" w:hAnsi="Times New Roman" w:cs="Times New Roman"/>
          <w:sz w:val="24"/>
          <w:szCs w:val="24"/>
          <w:lang w:eastAsia="en-AU"/>
        </w:rPr>
        <w:t>was</w:t>
      </w:r>
      <w:r w:rsidRPr="009A5FA1">
        <w:rPr>
          <w:rFonts w:ascii="Times New Roman" w:eastAsia="Calibri" w:hAnsi="Times New Roman" w:cs="Times New Roman"/>
          <w:sz w:val="24"/>
          <w:szCs w:val="24"/>
          <w:lang w:eastAsia="en-AU"/>
        </w:rPr>
        <w:t xml:space="preserve"> a case for government action to reduce adverse impacts of non-road spark ignition engines and equipment on human health and the environment.</w:t>
      </w:r>
      <w:r>
        <w:rPr>
          <w:rFonts w:ascii="Times New Roman" w:eastAsia="Calibri" w:hAnsi="Times New Roman" w:cs="Times New Roman"/>
          <w:sz w:val="24"/>
          <w:szCs w:val="24"/>
          <w:lang w:eastAsia="en-AU"/>
        </w:rPr>
        <w:t xml:space="preserve"> </w:t>
      </w:r>
      <w:r w:rsidR="00B14752" w:rsidRPr="00602C94">
        <w:rPr>
          <w:rFonts w:ascii="Times New Roman" w:eastAsia="Calibri" w:hAnsi="Times New Roman" w:cs="Times New Roman"/>
          <w:sz w:val="24"/>
          <w:szCs w:val="24"/>
          <w:lang w:eastAsia="en-AU"/>
        </w:rPr>
        <w:t xml:space="preserve">The Consultation RIS </w:t>
      </w:r>
      <w:r w:rsidR="00B14752" w:rsidRPr="00602C94">
        <w:rPr>
          <w:rFonts w:ascii="Times New Roman" w:hAnsi="Times New Roman" w:cs="Times New Roman"/>
          <w:sz w:val="24"/>
          <w:szCs w:val="24"/>
        </w:rPr>
        <w:t xml:space="preserve">identified the need for government action and considered management options for delivering emission standards for non-road spark ignition engines and equipment. Following an </w:t>
      </w:r>
      <w:r w:rsidR="00B14752" w:rsidRPr="00602C94">
        <w:rPr>
          <w:rFonts w:ascii="Times New Roman" w:eastAsia="Calibri" w:hAnsi="Times New Roman" w:cs="Times New Roman"/>
          <w:sz w:val="24"/>
          <w:szCs w:val="24"/>
          <w:lang w:eastAsia="en-AU"/>
        </w:rPr>
        <w:t>initial assessment, three management</w:t>
      </w:r>
      <w:r w:rsidR="00B14752" w:rsidRPr="00602C94">
        <w:rPr>
          <w:rFonts w:ascii="Times New Roman" w:hAnsi="Times New Roman" w:cs="Times New Roman"/>
          <w:sz w:val="24"/>
          <w:szCs w:val="24"/>
        </w:rPr>
        <w:t xml:space="preserve"> options were considered viable to </w:t>
      </w:r>
      <w:r w:rsidR="00B14752" w:rsidRPr="00602C94">
        <w:rPr>
          <w:rFonts w:ascii="Times New Roman" w:eastAsia="Calibri" w:hAnsi="Times New Roman" w:cs="Times New Roman"/>
          <w:sz w:val="24"/>
          <w:szCs w:val="24"/>
          <w:lang w:eastAsia="en-AU"/>
        </w:rPr>
        <w:t>deliver national emission standards</w:t>
      </w:r>
      <w:r w:rsidR="00B14752" w:rsidRPr="00602C94">
        <w:rPr>
          <w:rFonts w:ascii="Times New Roman" w:hAnsi="Times New Roman" w:cs="Times New Roman"/>
          <w:sz w:val="24"/>
          <w:szCs w:val="24"/>
        </w:rPr>
        <w:t>:</w:t>
      </w:r>
      <w:r w:rsidR="00B14752" w:rsidRPr="00602C94" w:rsidDel="00B14752">
        <w:rPr>
          <w:rFonts w:ascii="Times New Roman" w:hAnsi="Times New Roman" w:cs="Times New Roman"/>
          <w:sz w:val="24"/>
          <w:szCs w:val="24"/>
        </w:rPr>
        <w:t xml:space="preserve"> </w:t>
      </w:r>
    </w:p>
    <w:p w:rsidR="00602C94" w:rsidRPr="00602C94" w:rsidRDefault="00292BD1" w:rsidP="00602C94">
      <w:pPr>
        <w:pStyle w:val="ListBullet"/>
        <w:rPr>
          <w:rFonts w:ascii="Times New Roman" w:hAnsi="Times New Roman" w:cs="Times New Roman"/>
          <w:sz w:val="24"/>
          <w:szCs w:val="24"/>
        </w:rPr>
      </w:pPr>
      <w:r w:rsidRPr="00602C94">
        <w:rPr>
          <w:rFonts w:ascii="Times New Roman" w:hAnsi="Times New Roman" w:cs="Times New Roman"/>
          <w:sz w:val="24"/>
          <w:szCs w:val="24"/>
        </w:rPr>
        <w:t>A voluntary industry agreement (outboard engines only)</w:t>
      </w:r>
    </w:p>
    <w:p w:rsidR="00602C94" w:rsidRPr="00602C94" w:rsidRDefault="00534BD7" w:rsidP="00602C94">
      <w:pPr>
        <w:pStyle w:val="ListBullet"/>
        <w:rPr>
          <w:rFonts w:ascii="Times New Roman" w:hAnsi="Times New Roman" w:cs="Times New Roman"/>
          <w:sz w:val="24"/>
          <w:szCs w:val="24"/>
        </w:rPr>
      </w:pPr>
      <w:r w:rsidRPr="00602C94">
        <w:rPr>
          <w:rFonts w:ascii="Times New Roman" w:hAnsi="Times New Roman" w:cs="Times New Roman"/>
          <w:sz w:val="24"/>
          <w:szCs w:val="24"/>
        </w:rPr>
        <w:t>Commonwealth regulation</w:t>
      </w:r>
    </w:p>
    <w:p w:rsidR="00292BD1" w:rsidRPr="00602C94" w:rsidRDefault="00292BD1" w:rsidP="00551052">
      <w:pPr>
        <w:pStyle w:val="ListBullet"/>
        <w:spacing w:after="0"/>
        <w:ind w:left="357" w:hanging="357"/>
        <w:rPr>
          <w:rFonts w:ascii="Times New Roman" w:hAnsi="Times New Roman" w:cs="Times New Roman"/>
          <w:sz w:val="24"/>
          <w:szCs w:val="24"/>
        </w:rPr>
      </w:pPr>
      <w:r w:rsidRPr="00602C94">
        <w:rPr>
          <w:rFonts w:ascii="Times New Roman" w:hAnsi="Times New Roman" w:cs="Times New Roman"/>
          <w:sz w:val="24"/>
          <w:szCs w:val="24"/>
        </w:rPr>
        <w:t>National Environment Protec</w:t>
      </w:r>
      <w:r w:rsidR="00970E4B" w:rsidRPr="00602C94">
        <w:rPr>
          <w:rFonts w:ascii="Times New Roman" w:hAnsi="Times New Roman" w:cs="Times New Roman"/>
          <w:sz w:val="24"/>
          <w:szCs w:val="24"/>
        </w:rPr>
        <w:t>tion Measure (NEPM).</w:t>
      </w:r>
    </w:p>
    <w:p w:rsidR="00551052" w:rsidRDefault="00551052" w:rsidP="00551052">
      <w:pPr>
        <w:spacing w:after="0"/>
        <w:rPr>
          <w:rFonts w:ascii="Times New Roman" w:hAnsi="Times New Roman" w:cs="Times New Roman"/>
          <w:sz w:val="24"/>
          <w:szCs w:val="24"/>
        </w:rPr>
      </w:pPr>
    </w:p>
    <w:p w:rsidR="0029383A" w:rsidRDefault="0029383A" w:rsidP="0029383A">
      <w:pPr>
        <w:rPr>
          <w:rFonts w:ascii="Times New Roman" w:hAnsi="Times New Roman" w:cs="Times New Roman"/>
          <w:sz w:val="24"/>
          <w:szCs w:val="24"/>
        </w:rPr>
      </w:pPr>
      <w:r>
        <w:rPr>
          <w:rFonts w:ascii="Times New Roman" w:hAnsi="Times New Roman" w:cs="Times New Roman"/>
          <w:sz w:val="24"/>
          <w:szCs w:val="24"/>
        </w:rPr>
        <w:t xml:space="preserve">Within these options, scenarios were considered in which </w:t>
      </w:r>
      <w:r w:rsidR="00310E2E">
        <w:rPr>
          <w:rFonts w:ascii="Times New Roman" w:hAnsi="Times New Roman" w:cs="Times New Roman"/>
          <w:sz w:val="24"/>
          <w:szCs w:val="24"/>
        </w:rPr>
        <w:t>standards would</w:t>
      </w:r>
      <w:r>
        <w:rPr>
          <w:rFonts w:ascii="Times New Roman" w:hAnsi="Times New Roman" w:cs="Times New Roman"/>
          <w:sz w:val="24"/>
          <w:szCs w:val="24"/>
        </w:rPr>
        <w:t xml:space="preserve"> be implemented in either a phased or a non</w:t>
      </w:r>
      <w:r w:rsidR="00A2145C">
        <w:rPr>
          <w:rFonts w:ascii="Times New Roman" w:hAnsi="Times New Roman" w:cs="Times New Roman"/>
          <w:sz w:val="24"/>
          <w:szCs w:val="24"/>
        </w:rPr>
        <w:noBreakHyphen/>
      </w:r>
      <w:r>
        <w:rPr>
          <w:rFonts w:ascii="Times New Roman" w:hAnsi="Times New Roman" w:cs="Times New Roman"/>
          <w:sz w:val="24"/>
          <w:szCs w:val="24"/>
        </w:rPr>
        <w:t>phased approach.</w:t>
      </w:r>
    </w:p>
    <w:p w:rsidR="0029383A" w:rsidRDefault="0029383A" w:rsidP="0029383A">
      <w:pPr>
        <w:rPr>
          <w:rFonts w:ascii="Times New Roman" w:hAnsi="Times New Roman" w:cs="Times New Roman"/>
          <w:sz w:val="24"/>
          <w:szCs w:val="24"/>
        </w:rPr>
      </w:pPr>
      <w:r>
        <w:rPr>
          <w:rFonts w:ascii="Times New Roman" w:eastAsia="Calibri" w:hAnsi="Times New Roman" w:cs="Times New Roman"/>
          <w:sz w:val="24"/>
          <w:szCs w:val="24"/>
          <w:lang w:eastAsia="en-AU"/>
        </w:rPr>
        <w:t>The Consultation RIS identified the preferred approach</w:t>
      </w:r>
      <w:r>
        <w:rPr>
          <w:rFonts w:ascii="Times New Roman" w:hAnsi="Times New Roman" w:cs="Times New Roman"/>
          <w:sz w:val="24"/>
          <w:szCs w:val="24"/>
        </w:rPr>
        <w:t xml:space="preserve"> as “the adoption of US emissions standards in force at the time regulations are implemented in Australia (i.e. a non-phased approach), through Commonwealth regulation, with regulations to take effect as soon as practicable”. </w:t>
      </w:r>
      <w:r w:rsidR="009D7CBF">
        <w:rPr>
          <w:rFonts w:ascii="Times New Roman" w:hAnsi="Times New Roman" w:cs="Times New Roman"/>
          <w:sz w:val="24"/>
          <w:szCs w:val="24"/>
        </w:rPr>
        <w:t xml:space="preserve">For the purpose of seeking stakeholder views, the Consultation RIS proposed the introduction of </w:t>
      </w:r>
      <w:r w:rsidR="00D027BC">
        <w:rPr>
          <w:rFonts w:ascii="Times New Roman" w:hAnsi="Times New Roman" w:cs="Times New Roman"/>
          <w:sz w:val="24"/>
          <w:szCs w:val="24"/>
        </w:rPr>
        <w:t>standards from 2012.</w:t>
      </w:r>
    </w:p>
    <w:p w:rsidR="00882BDC" w:rsidRDefault="00A2145C" w:rsidP="00551052">
      <w:pPr>
        <w:spacing w:after="0"/>
        <w:rPr>
          <w:rFonts w:ascii="Times New Roman" w:hAnsi="Times New Roman" w:cs="Times New Roman"/>
          <w:sz w:val="24"/>
          <w:szCs w:val="24"/>
        </w:rPr>
      </w:pPr>
      <w:r>
        <w:rPr>
          <w:rFonts w:ascii="Times New Roman" w:hAnsi="Times New Roman" w:cs="Times New Roman"/>
          <w:sz w:val="24"/>
          <w:szCs w:val="24"/>
        </w:rPr>
        <w:t>In addition to the issues raised in the Consultation RIS, views were sought on the following specific issues</w:t>
      </w:r>
      <w:r w:rsidR="0062328E">
        <w:rPr>
          <w:rFonts w:ascii="Times New Roman" w:hAnsi="Times New Roman" w:cs="Times New Roman"/>
          <w:sz w:val="24"/>
          <w:szCs w:val="24"/>
        </w:rPr>
        <w:t>:</w:t>
      </w:r>
    </w:p>
    <w:p w:rsidR="00A2145C" w:rsidRDefault="00A2145C" w:rsidP="00A2145C">
      <w:pPr>
        <w:pStyle w:val="ListBullet"/>
        <w:rPr>
          <w:rFonts w:ascii="Times New Roman" w:hAnsi="Times New Roman" w:cs="Times New Roman"/>
          <w:sz w:val="24"/>
          <w:szCs w:val="24"/>
        </w:rPr>
      </w:pPr>
      <w:r w:rsidRPr="0062328E">
        <w:rPr>
          <w:rFonts w:ascii="Times New Roman" w:hAnsi="Times New Roman" w:cs="Times New Roman"/>
          <w:sz w:val="24"/>
          <w:szCs w:val="24"/>
        </w:rPr>
        <w:t xml:space="preserve">What are impacts to manufacturers and distributors of meeting </w:t>
      </w:r>
      <w:r w:rsidRPr="00602C94">
        <w:rPr>
          <w:rFonts w:ascii="Times New Roman" w:hAnsi="Times New Roman" w:cs="Times New Roman"/>
          <w:sz w:val="24"/>
          <w:szCs w:val="24"/>
        </w:rPr>
        <w:t>US Final Rule</w:t>
      </w:r>
      <w:r w:rsidRPr="0062328E">
        <w:rPr>
          <w:rFonts w:ascii="Times New Roman" w:hAnsi="Times New Roman" w:cs="Times New Roman"/>
          <w:sz w:val="24"/>
          <w:szCs w:val="24"/>
        </w:rPr>
        <w:t xml:space="preserve"> standards through a phased approach in comparison with a non-phased approach? </w:t>
      </w:r>
    </w:p>
    <w:p w:rsidR="00D027BC" w:rsidRPr="0062328E" w:rsidRDefault="00D027BC" w:rsidP="00D027BC">
      <w:pPr>
        <w:pStyle w:val="ListBullet"/>
        <w:rPr>
          <w:rFonts w:ascii="Times New Roman" w:hAnsi="Times New Roman" w:cs="Times New Roman"/>
          <w:sz w:val="24"/>
          <w:szCs w:val="24"/>
        </w:rPr>
      </w:pPr>
      <w:r w:rsidRPr="0062328E">
        <w:rPr>
          <w:rFonts w:ascii="Times New Roman" w:hAnsi="Times New Roman" w:cs="Times New Roman"/>
          <w:sz w:val="24"/>
          <w:szCs w:val="24"/>
        </w:rPr>
        <w:t xml:space="preserve">What is the likely impact of adopting US emission standards on </w:t>
      </w:r>
      <w:r w:rsidRPr="00602C94">
        <w:rPr>
          <w:rFonts w:ascii="Times New Roman" w:hAnsi="Times New Roman" w:cs="Times New Roman"/>
          <w:sz w:val="24"/>
          <w:szCs w:val="24"/>
        </w:rPr>
        <w:t>consumer choice</w:t>
      </w:r>
      <w:r w:rsidRPr="0062328E">
        <w:rPr>
          <w:rFonts w:ascii="Times New Roman" w:hAnsi="Times New Roman" w:cs="Times New Roman"/>
          <w:sz w:val="24"/>
          <w:szCs w:val="24"/>
        </w:rPr>
        <w:t xml:space="preserve"> for each type of relevant product, i.e., if US standards were adopted, which products would be removed from the market? </w:t>
      </w:r>
    </w:p>
    <w:p w:rsidR="0062328E" w:rsidRPr="0062328E" w:rsidRDefault="0062328E" w:rsidP="0062328E">
      <w:pPr>
        <w:pStyle w:val="ListBullet"/>
        <w:rPr>
          <w:rFonts w:ascii="Times New Roman" w:hAnsi="Times New Roman" w:cs="Times New Roman"/>
          <w:sz w:val="24"/>
          <w:szCs w:val="24"/>
        </w:rPr>
      </w:pPr>
      <w:r w:rsidRPr="0062328E">
        <w:rPr>
          <w:rFonts w:ascii="Times New Roman" w:hAnsi="Times New Roman" w:cs="Times New Roman"/>
          <w:sz w:val="24"/>
          <w:szCs w:val="24"/>
        </w:rPr>
        <w:t xml:space="preserve">What is the likely impact of adopting US emission standards on the </w:t>
      </w:r>
      <w:r w:rsidR="001E6103" w:rsidRPr="00602C94">
        <w:rPr>
          <w:rFonts w:ascii="Times New Roman" w:hAnsi="Times New Roman" w:cs="Times New Roman"/>
          <w:sz w:val="24"/>
          <w:szCs w:val="24"/>
        </w:rPr>
        <w:t>purchase price</w:t>
      </w:r>
      <w:r w:rsidRPr="0062328E">
        <w:rPr>
          <w:rFonts w:ascii="Times New Roman" w:hAnsi="Times New Roman" w:cs="Times New Roman"/>
          <w:sz w:val="24"/>
          <w:szCs w:val="24"/>
        </w:rPr>
        <w:t xml:space="preserve"> for each type of relevant product? </w:t>
      </w:r>
    </w:p>
    <w:p w:rsidR="0062328E" w:rsidRPr="0062328E" w:rsidRDefault="0062328E" w:rsidP="0062328E">
      <w:pPr>
        <w:pStyle w:val="ListBullet"/>
        <w:rPr>
          <w:rFonts w:ascii="Times New Roman" w:hAnsi="Times New Roman" w:cs="Times New Roman"/>
          <w:sz w:val="24"/>
          <w:szCs w:val="24"/>
        </w:rPr>
      </w:pPr>
      <w:r w:rsidRPr="0062328E">
        <w:rPr>
          <w:rFonts w:ascii="Times New Roman" w:hAnsi="Times New Roman" w:cs="Times New Roman"/>
          <w:sz w:val="24"/>
          <w:szCs w:val="24"/>
        </w:rPr>
        <w:lastRenderedPageBreak/>
        <w:t xml:space="preserve">What is the likely impact of adopting US emission standards on </w:t>
      </w:r>
      <w:r w:rsidR="001E6103" w:rsidRPr="00602C94">
        <w:rPr>
          <w:rFonts w:ascii="Times New Roman" w:hAnsi="Times New Roman" w:cs="Times New Roman"/>
          <w:sz w:val="24"/>
          <w:szCs w:val="24"/>
        </w:rPr>
        <w:t>consumer demand</w:t>
      </w:r>
      <w:r w:rsidRPr="0062328E">
        <w:rPr>
          <w:rFonts w:ascii="Times New Roman" w:hAnsi="Times New Roman" w:cs="Times New Roman"/>
          <w:sz w:val="24"/>
          <w:szCs w:val="24"/>
        </w:rPr>
        <w:t xml:space="preserve"> for each type of relevant product? </w:t>
      </w:r>
    </w:p>
    <w:p w:rsidR="00A356AD" w:rsidRDefault="00A356AD" w:rsidP="00A356AD">
      <w:pPr>
        <w:pStyle w:val="ListBullet"/>
        <w:numPr>
          <w:ilvl w:val="0"/>
          <w:numId w:val="0"/>
        </w:numPr>
        <w:rPr>
          <w:rFonts w:ascii="Times New Roman" w:hAnsi="Times New Roman" w:cs="Times New Roman"/>
          <w:sz w:val="24"/>
          <w:szCs w:val="24"/>
        </w:rPr>
      </w:pPr>
    </w:p>
    <w:p w:rsidR="00A356AD" w:rsidRDefault="007D5F52" w:rsidP="00585788">
      <w:pPr>
        <w:pStyle w:val="ListBullet"/>
        <w:numPr>
          <w:ilvl w:val="0"/>
          <w:numId w:val="0"/>
        </w:numPr>
        <w:rPr>
          <w:rFonts w:ascii="Times New Roman" w:hAnsi="Times New Roman" w:cs="Times New Roman"/>
          <w:sz w:val="24"/>
          <w:szCs w:val="24"/>
        </w:rPr>
      </w:pPr>
      <w:r w:rsidRPr="00A356AD">
        <w:rPr>
          <w:rFonts w:ascii="Times New Roman" w:hAnsi="Times New Roman" w:cs="Times New Roman"/>
          <w:sz w:val="24"/>
          <w:szCs w:val="24"/>
        </w:rPr>
        <w:t xml:space="preserve">During the </w:t>
      </w:r>
      <w:r w:rsidR="00F92F43" w:rsidRPr="00A356AD">
        <w:rPr>
          <w:rFonts w:ascii="Times New Roman" w:hAnsi="Times New Roman" w:cs="Times New Roman"/>
          <w:sz w:val="24"/>
          <w:szCs w:val="24"/>
        </w:rPr>
        <w:t xml:space="preserve">initial </w:t>
      </w:r>
      <w:r w:rsidRPr="00A356AD">
        <w:rPr>
          <w:rFonts w:ascii="Times New Roman" w:hAnsi="Times New Roman" w:cs="Times New Roman"/>
          <w:sz w:val="24"/>
          <w:szCs w:val="24"/>
        </w:rPr>
        <w:t>consultation period</w:t>
      </w:r>
      <w:r w:rsidR="00F92F43" w:rsidRPr="00A356AD">
        <w:rPr>
          <w:rFonts w:ascii="Times New Roman" w:hAnsi="Times New Roman" w:cs="Times New Roman"/>
          <w:sz w:val="24"/>
          <w:szCs w:val="24"/>
        </w:rPr>
        <w:t xml:space="preserve"> (</w:t>
      </w:r>
      <w:r w:rsidR="0001276E">
        <w:rPr>
          <w:rFonts w:ascii="Times New Roman" w:hAnsi="Times New Roman" w:cs="Times New Roman"/>
          <w:sz w:val="24"/>
          <w:szCs w:val="24"/>
        </w:rPr>
        <w:t>25</w:t>
      </w:r>
      <w:r w:rsidR="00F92F43" w:rsidRPr="002E4514">
        <w:rPr>
          <w:rFonts w:ascii="Times New Roman" w:hAnsi="Times New Roman" w:cs="Times New Roman"/>
          <w:sz w:val="24"/>
          <w:szCs w:val="24"/>
        </w:rPr>
        <w:t xml:space="preserve"> </w:t>
      </w:r>
      <w:r w:rsidR="002E4514">
        <w:rPr>
          <w:rFonts w:ascii="Times New Roman" w:hAnsi="Times New Roman" w:cs="Times New Roman"/>
          <w:sz w:val="24"/>
          <w:szCs w:val="24"/>
        </w:rPr>
        <w:t>May</w:t>
      </w:r>
      <w:r w:rsidR="00F92F43" w:rsidRPr="00A356AD">
        <w:rPr>
          <w:rFonts w:ascii="Times New Roman" w:hAnsi="Times New Roman" w:cs="Times New Roman"/>
          <w:sz w:val="24"/>
          <w:szCs w:val="24"/>
        </w:rPr>
        <w:t xml:space="preserve"> – 27 July 2010)</w:t>
      </w:r>
      <w:r w:rsidRPr="00A356AD">
        <w:rPr>
          <w:rFonts w:ascii="Times New Roman" w:hAnsi="Times New Roman" w:cs="Times New Roman"/>
          <w:sz w:val="24"/>
          <w:szCs w:val="24"/>
        </w:rPr>
        <w:t>, a consultation session</w:t>
      </w:r>
      <w:r w:rsidR="00132205" w:rsidRPr="00A356AD">
        <w:rPr>
          <w:rFonts w:ascii="Times New Roman" w:hAnsi="Times New Roman" w:cs="Times New Roman"/>
          <w:sz w:val="24"/>
          <w:szCs w:val="24"/>
        </w:rPr>
        <w:t xml:space="preserve"> was held </w:t>
      </w:r>
      <w:r w:rsidRPr="00A356AD">
        <w:rPr>
          <w:rFonts w:ascii="Times New Roman" w:hAnsi="Times New Roman" w:cs="Times New Roman"/>
          <w:sz w:val="24"/>
          <w:szCs w:val="24"/>
        </w:rPr>
        <w:t>in Melbourne</w:t>
      </w:r>
      <w:r w:rsidR="009129F3" w:rsidRPr="00A356AD">
        <w:rPr>
          <w:rFonts w:ascii="Times New Roman" w:hAnsi="Times New Roman" w:cs="Times New Roman"/>
          <w:sz w:val="24"/>
          <w:szCs w:val="24"/>
        </w:rPr>
        <w:t xml:space="preserve"> that was</w:t>
      </w:r>
      <w:r w:rsidR="00132205" w:rsidRPr="00A356AD">
        <w:rPr>
          <w:rFonts w:ascii="Times New Roman" w:hAnsi="Times New Roman" w:cs="Times New Roman"/>
          <w:sz w:val="24"/>
          <w:szCs w:val="24"/>
        </w:rPr>
        <w:t xml:space="preserve"> attended by about 40 stakeholders. The closing date for written public comment was 27 July 2010. A total of </w:t>
      </w:r>
      <w:r w:rsidRPr="00A356AD">
        <w:rPr>
          <w:rFonts w:ascii="Times New Roman" w:hAnsi="Times New Roman" w:cs="Times New Roman"/>
          <w:sz w:val="24"/>
          <w:szCs w:val="24"/>
        </w:rPr>
        <w:t xml:space="preserve">86 submissions were received in response to the </w:t>
      </w:r>
      <w:r w:rsidR="00132205" w:rsidRPr="00A356AD">
        <w:rPr>
          <w:rFonts w:ascii="Times New Roman" w:hAnsi="Times New Roman" w:cs="Times New Roman"/>
          <w:sz w:val="24"/>
          <w:szCs w:val="24"/>
        </w:rPr>
        <w:t>C</w:t>
      </w:r>
      <w:r w:rsidR="0088704F">
        <w:rPr>
          <w:rFonts w:ascii="Times New Roman" w:hAnsi="Times New Roman" w:cs="Times New Roman"/>
          <w:sz w:val="24"/>
          <w:szCs w:val="24"/>
        </w:rPr>
        <w:t>onsultation RIS.</w:t>
      </w:r>
    </w:p>
    <w:p w:rsidR="00A356AD" w:rsidRDefault="007D5F52" w:rsidP="00D20319">
      <w:pPr>
        <w:rPr>
          <w:rFonts w:ascii="Times New Roman" w:hAnsi="Times New Roman" w:cs="Times New Roman"/>
          <w:sz w:val="24"/>
          <w:szCs w:val="24"/>
        </w:rPr>
      </w:pPr>
      <w:r w:rsidRPr="00383CB1">
        <w:rPr>
          <w:rFonts w:ascii="Times New Roman" w:hAnsi="Times New Roman" w:cs="Times New Roman"/>
          <w:sz w:val="24"/>
          <w:szCs w:val="24"/>
        </w:rPr>
        <w:t>Further consultation was conducted in 201</w:t>
      </w:r>
      <w:r w:rsidR="002369A2">
        <w:rPr>
          <w:rFonts w:ascii="Times New Roman" w:hAnsi="Times New Roman" w:cs="Times New Roman"/>
          <w:sz w:val="24"/>
          <w:szCs w:val="24"/>
        </w:rPr>
        <w:t xml:space="preserve">2 </w:t>
      </w:r>
      <w:r w:rsidR="002C527B">
        <w:rPr>
          <w:rFonts w:ascii="Times New Roman" w:hAnsi="Times New Roman" w:cs="Times New Roman"/>
          <w:sz w:val="24"/>
          <w:szCs w:val="24"/>
        </w:rPr>
        <w:t>to target</w:t>
      </w:r>
      <w:r w:rsidR="009129F3">
        <w:rPr>
          <w:rFonts w:ascii="Times New Roman" w:hAnsi="Times New Roman" w:cs="Times New Roman"/>
          <w:sz w:val="24"/>
          <w:szCs w:val="24"/>
        </w:rPr>
        <w:t xml:space="preserve"> key stakeholders who were </w:t>
      </w:r>
      <w:r w:rsidR="002369A2">
        <w:rPr>
          <w:rFonts w:ascii="Times New Roman" w:hAnsi="Times New Roman" w:cs="Times New Roman"/>
          <w:sz w:val="24"/>
          <w:szCs w:val="24"/>
        </w:rPr>
        <w:t>not well represen</w:t>
      </w:r>
      <w:r w:rsidR="00CE01DE">
        <w:rPr>
          <w:rFonts w:ascii="Times New Roman" w:hAnsi="Times New Roman" w:cs="Times New Roman"/>
          <w:sz w:val="24"/>
          <w:szCs w:val="24"/>
        </w:rPr>
        <w:t xml:space="preserve">ted in the original submissions </w:t>
      </w:r>
      <w:r w:rsidR="009129F3">
        <w:rPr>
          <w:rFonts w:ascii="Times New Roman" w:hAnsi="Times New Roman" w:cs="Times New Roman"/>
          <w:sz w:val="24"/>
          <w:szCs w:val="24"/>
        </w:rPr>
        <w:t xml:space="preserve">and may </w:t>
      </w:r>
      <w:r>
        <w:rPr>
          <w:rFonts w:ascii="Times New Roman" w:hAnsi="Times New Roman" w:cs="Times New Roman"/>
          <w:sz w:val="24"/>
          <w:szCs w:val="24"/>
        </w:rPr>
        <w:t>be impacted by the opt</w:t>
      </w:r>
      <w:r w:rsidR="002369A2">
        <w:rPr>
          <w:rFonts w:ascii="Times New Roman" w:hAnsi="Times New Roman" w:cs="Times New Roman"/>
          <w:sz w:val="24"/>
          <w:szCs w:val="24"/>
        </w:rPr>
        <w:t xml:space="preserve">ions in the </w:t>
      </w:r>
      <w:r w:rsidR="009129F3">
        <w:rPr>
          <w:rFonts w:ascii="Times New Roman" w:hAnsi="Times New Roman" w:cs="Times New Roman"/>
          <w:sz w:val="24"/>
          <w:szCs w:val="24"/>
        </w:rPr>
        <w:t xml:space="preserve">Consultation </w:t>
      </w:r>
      <w:r w:rsidR="002369A2">
        <w:rPr>
          <w:rFonts w:ascii="Times New Roman" w:hAnsi="Times New Roman" w:cs="Times New Roman"/>
          <w:sz w:val="24"/>
          <w:szCs w:val="24"/>
        </w:rPr>
        <w:t>RIS</w:t>
      </w:r>
      <w:r w:rsidR="00301402">
        <w:rPr>
          <w:rFonts w:ascii="Times New Roman" w:hAnsi="Times New Roman" w:cs="Times New Roman"/>
          <w:sz w:val="24"/>
          <w:szCs w:val="24"/>
        </w:rPr>
        <w:t xml:space="preserve">. </w:t>
      </w:r>
      <w:r w:rsidR="00A356AD" w:rsidRPr="00E0214F">
        <w:rPr>
          <w:rFonts w:ascii="Times New Roman" w:hAnsi="Times New Roman"/>
          <w:sz w:val="24"/>
          <w:szCs w:val="24"/>
        </w:rPr>
        <w:t>Recreational fishers were the primary focus for this consultation as their views were notably absent from the</w:t>
      </w:r>
      <w:r w:rsidR="00A356AD">
        <w:rPr>
          <w:rFonts w:ascii="Times New Roman" w:hAnsi="Times New Roman"/>
          <w:sz w:val="24"/>
          <w:szCs w:val="24"/>
        </w:rPr>
        <w:t xml:space="preserve"> earlier </w:t>
      </w:r>
      <w:r w:rsidR="00C84C93">
        <w:rPr>
          <w:rFonts w:ascii="Times New Roman" w:hAnsi="Times New Roman"/>
          <w:sz w:val="24"/>
          <w:szCs w:val="24"/>
        </w:rPr>
        <w:t>submissions. An additional six</w:t>
      </w:r>
      <w:r w:rsidR="00A356AD">
        <w:rPr>
          <w:rFonts w:ascii="Times New Roman" w:hAnsi="Times New Roman"/>
          <w:sz w:val="24"/>
          <w:szCs w:val="24"/>
        </w:rPr>
        <w:t xml:space="preserve"> submissions were received.</w:t>
      </w:r>
    </w:p>
    <w:p w:rsidR="00F948B7" w:rsidRPr="00D20319" w:rsidRDefault="00A356AD" w:rsidP="00D20319">
      <w:pPr>
        <w:rPr>
          <w:rFonts w:ascii="Times New Roman" w:hAnsi="Times New Roman" w:cs="Times New Roman"/>
          <w:sz w:val="24"/>
          <w:szCs w:val="24"/>
        </w:rPr>
      </w:pPr>
      <w:r>
        <w:rPr>
          <w:rFonts w:ascii="Times New Roman" w:hAnsi="Times New Roman"/>
          <w:sz w:val="24"/>
          <w:szCs w:val="24"/>
        </w:rPr>
        <w:t xml:space="preserve">During the additional </w:t>
      </w:r>
      <w:r w:rsidR="00A2145C">
        <w:rPr>
          <w:rFonts w:ascii="Times New Roman" w:hAnsi="Times New Roman"/>
          <w:sz w:val="24"/>
          <w:szCs w:val="24"/>
        </w:rPr>
        <w:t xml:space="preserve">round of </w:t>
      </w:r>
      <w:r>
        <w:rPr>
          <w:rFonts w:ascii="Times New Roman" w:hAnsi="Times New Roman"/>
          <w:sz w:val="24"/>
          <w:szCs w:val="24"/>
        </w:rPr>
        <w:t xml:space="preserve">consultation in 2012, </w:t>
      </w:r>
      <w:r w:rsidR="00A2145C">
        <w:rPr>
          <w:rFonts w:ascii="Times New Roman" w:hAnsi="Times New Roman"/>
          <w:sz w:val="24"/>
          <w:szCs w:val="24"/>
        </w:rPr>
        <w:t>update</w:t>
      </w:r>
      <w:r w:rsidR="006D53F8">
        <w:rPr>
          <w:rFonts w:ascii="Times New Roman" w:hAnsi="Times New Roman"/>
          <w:sz w:val="24"/>
          <w:szCs w:val="24"/>
        </w:rPr>
        <w:t>s</w:t>
      </w:r>
      <w:r w:rsidR="00A2145C">
        <w:rPr>
          <w:rFonts w:ascii="Times New Roman" w:hAnsi="Times New Roman"/>
          <w:sz w:val="24"/>
          <w:szCs w:val="24"/>
        </w:rPr>
        <w:t xml:space="preserve"> were sought on some of the </w:t>
      </w:r>
      <w:r w:rsidR="006D53F8">
        <w:rPr>
          <w:rFonts w:ascii="Times New Roman" w:hAnsi="Times New Roman"/>
          <w:sz w:val="24"/>
          <w:szCs w:val="24"/>
        </w:rPr>
        <w:t>earlier</w:t>
      </w:r>
      <w:r w:rsidR="00A2145C">
        <w:rPr>
          <w:rFonts w:ascii="Times New Roman" w:hAnsi="Times New Roman"/>
          <w:sz w:val="24"/>
          <w:szCs w:val="24"/>
        </w:rPr>
        <w:t xml:space="preserve"> submissions</w:t>
      </w:r>
      <w:r w:rsidR="00301402">
        <w:rPr>
          <w:rFonts w:ascii="Times New Roman" w:hAnsi="Times New Roman"/>
          <w:sz w:val="24"/>
          <w:szCs w:val="24"/>
        </w:rPr>
        <w:t xml:space="preserve">. </w:t>
      </w:r>
      <w:r w:rsidR="00585788">
        <w:rPr>
          <w:rFonts w:ascii="Times New Roman" w:hAnsi="Times New Roman"/>
          <w:sz w:val="24"/>
          <w:szCs w:val="24"/>
        </w:rPr>
        <w:t>T</w:t>
      </w:r>
      <w:r>
        <w:rPr>
          <w:rFonts w:ascii="Times New Roman" w:hAnsi="Times New Roman"/>
          <w:sz w:val="24"/>
          <w:szCs w:val="24"/>
        </w:rPr>
        <w:t xml:space="preserve">he National Marine Safety </w:t>
      </w:r>
      <w:r w:rsidRPr="002C527B">
        <w:rPr>
          <w:rFonts w:ascii="Times New Roman" w:hAnsi="Times New Roman"/>
          <w:sz w:val="24"/>
          <w:szCs w:val="24"/>
        </w:rPr>
        <w:t>Committee subsequently withdr</w:t>
      </w:r>
      <w:r w:rsidR="006D53F8" w:rsidRPr="002C527B">
        <w:rPr>
          <w:rFonts w:ascii="Times New Roman" w:hAnsi="Times New Roman"/>
          <w:sz w:val="24"/>
          <w:szCs w:val="24"/>
        </w:rPr>
        <w:t>ew</w:t>
      </w:r>
      <w:r w:rsidR="002C527B" w:rsidRPr="002C527B">
        <w:rPr>
          <w:rFonts w:ascii="Times New Roman" w:hAnsi="Times New Roman"/>
          <w:sz w:val="24"/>
          <w:szCs w:val="24"/>
        </w:rPr>
        <w:t xml:space="preserve"> its submission </w:t>
      </w:r>
      <w:r w:rsidR="000C6074">
        <w:rPr>
          <w:rFonts w:ascii="Times New Roman" w:hAnsi="Times New Roman"/>
          <w:sz w:val="24"/>
          <w:szCs w:val="24"/>
        </w:rPr>
        <w:t>as they considered that their earlier concerns may not be relevant in 2012.</w:t>
      </w:r>
      <w:r w:rsidR="0088704F">
        <w:rPr>
          <w:rFonts w:ascii="Times New Roman" w:hAnsi="Times New Roman"/>
          <w:sz w:val="24"/>
          <w:szCs w:val="24"/>
        </w:rPr>
        <w:t xml:space="preserve"> From the 91 remaining subm</w:t>
      </w:r>
      <w:r w:rsidR="004C3527">
        <w:rPr>
          <w:rFonts w:ascii="Times New Roman" w:hAnsi="Times New Roman"/>
          <w:sz w:val="24"/>
          <w:szCs w:val="24"/>
        </w:rPr>
        <w:t>issions 10 were provided as commercial-in-confidence.</w:t>
      </w:r>
    </w:p>
    <w:p w:rsidR="00EC03BB" w:rsidRPr="00EC03BB" w:rsidRDefault="007D5F52" w:rsidP="007D5F52">
      <w:pPr>
        <w:rPr>
          <w:rFonts w:ascii="Times New Roman" w:hAnsi="Times New Roman" w:cs="Times New Roman"/>
          <w:sz w:val="24"/>
          <w:szCs w:val="24"/>
        </w:rPr>
      </w:pPr>
      <w:r>
        <w:rPr>
          <w:rFonts w:ascii="Times New Roman" w:hAnsi="Times New Roman" w:cs="Times New Roman"/>
          <w:sz w:val="24"/>
          <w:szCs w:val="24"/>
        </w:rPr>
        <w:t>This report provides a summary of th</w:t>
      </w:r>
      <w:r w:rsidR="0088704F">
        <w:rPr>
          <w:rFonts w:ascii="Times New Roman" w:hAnsi="Times New Roman" w:cs="Times New Roman"/>
          <w:sz w:val="24"/>
          <w:szCs w:val="24"/>
        </w:rPr>
        <w:t>e key messages arising from the</w:t>
      </w:r>
      <w:r>
        <w:rPr>
          <w:rFonts w:ascii="Times New Roman" w:hAnsi="Times New Roman" w:cs="Times New Roman"/>
          <w:sz w:val="24"/>
          <w:szCs w:val="24"/>
        </w:rPr>
        <w:t xml:space="preserve"> submissions</w:t>
      </w:r>
      <w:r w:rsidR="00984758">
        <w:rPr>
          <w:rFonts w:ascii="Times New Roman" w:hAnsi="Times New Roman" w:cs="Times New Roman"/>
          <w:sz w:val="24"/>
          <w:szCs w:val="24"/>
        </w:rPr>
        <w:t xml:space="preserve">. It is an overview of the main matters </w:t>
      </w:r>
      <w:r w:rsidR="00F92F43">
        <w:rPr>
          <w:rFonts w:ascii="Times New Roman" w:hAnsi="Times New Roman" w:cs="Times New Roman"/>
          <w:sz w:val="24"/>
          <w:szCs w:val="24"/>
        </w:rPr>
        <w:t xml:space="preserve">that were </w:t>
      </w:r>
      <w:r w:rsidR="00984758">
        <w:rPr>
          <w:rFonts w:ascii="Times New Roman" w:hAnsi="Times New Roman" w:cs="Times New Roman"/>
          <w:sz w:val="24"/>
          <w:szCs w:val="24"/>
        </w:rPr>
        <w:t xml:space="preserve">raised by the public regarding the Consultation RIS and should be read in conjunction with </w:t>
      </w:r>
      <w:r w:rsidR="00D027BC">
        <w:rPr>
          <w:rFonts w:ascii="Times New Roman" w:hAnsi="Times New Roman" w:cs="Times New Roman"/>
          <w:sz w:val="24"/>
          <w:szCs w:val="24"/>
        </w:rPr>
        <w:t>that document</w:t>
      </w:r>
      <w:r w:rsidR="00F92F43">
        <w:rPr>
          <w:rFonts w:ascii="Times New Roman" w:hAnsi="Times New Roman" w:cs="Times New Roman"/>
          <w:sz w:val="24"/>
          <w:szCs w:val="24"/>
        </w:rPr>
        <w:t xml:space="preserve">. </w:t>
      </w:r>
    </w:p>
    <w:p w:rsidR="00F449A8" w:rsidRDefault="00F449A8">
      <w:pPr>
        <w:rPr>
          <w:rFonts w:ascii="Times New Roman" w:hAnsi="Times New Roman" w:cs="Times New Roman"/>
          <w:b/>
          <w:sz w:val="28"/>
          <w:szCs w:val="28"/>
        </w:rPr>
      </w:pPr>
      <w:r>
        <w:br w:type="page"/>
      </w:r>
    </w:p>
    <w:p w:rsidR="007D5F52" w:rsidRDefault="007D5F52" w:rsidP="00EB6C5C">
      <w:pPr>
        <w:pStyle w:val="Heading1"/>
      </w:pPr>
      <w:bookmarkStart w:id="3" w:name="_Toc342565454"/>
      <w:r>
        <w:lastRenderedPageBreak/>
        <w:t>Methodology</w:t>
      </w:r>
      <w:bookmarkEnd w:id="3"/>
    </w:p>
    <w:p w:rsidR="00726036" w:rsidRDefault="009129F3" w:rsidP="005E434E">
      <w:pPr>
        <w:rPr>
          <w:rFonts w:ascii="Times New Roman" w:hAnsi="Times New Roman" w:cs="Times New Roman"/>
          <w:sz w:val="24"/>
          <w:szCs w:val="24"/>
        </w:rPr>
      </w:pPr>
      <w:r>
        <w:rPr>
          <w:rFonts w:ascii="Times New Roman" w:hAnsi="Times New Roman" w:cs="Times New Roman"/>
          <w:sz w:val="24"/>
          <w:szCs w:val="24"/>
        </w:rPr>
        <w:t>I</w:t>
      </w:r>
      <w:r w:rsidR="007D5F52">
        <w:rPr>
          <w:rFonts w:ascii="Times New Roman" w:hAnsi="Times New Roman" w:cs="Times New Roman"/>
          <w:sz w:val="24"/>
          <w:szCs w:val="24"/>
        </w:rPr>
        <w:t>ndividual submission</w:t>
      </w:r>
      <w:r>
        <w:rPr>
          <w:rFonts w:ascii="Times New Roman" w:hAnsi="Times New Roman" w:cs="Times New Roman"/>
          <w:sz w:val="24"/>
          <w:szCs w:val="24"/>
        </w:rPr>
        <w:t>s</w:t>
      </w:r>
      <w:r w:rsidR="007D5F52">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7D5F52">
        <w:rPr>
          <w:rFonts w:ascii="Times New Roman" w:hAnsi="Times New Roman" w:cs="Times New Roman"/>
          <w:sz w:val="24"/>
          <w:szCs w:val="24"/>
        </w:rPr>
        <w:t>analysed to identify</w:t>
      </w:r>
      <w:r w:rsidR="00E75145">
        <w:rPr>
          <w:rFonts w:ascii="Times New Roman" w:hAnsi="Times New Roman" w:cs="Times New Roman"/>
          <w:sz w:val="24"/>
          <w:szCs w:val="24"/>
        </w:rPr>
        <w:t xml:space="preserve"> views o</w:t>
      </w:r>
      <w:r w:rsidR="00C36575">
        <w:rPr>
          <w:rFonts w:ascii="Times New Roman" w:hAnsi="Times New Roman" w:cs="Times New Roman"/>
          <w:sz w:val="24"/>
          <w:szCs w:val="24"/>
        </w:rPr>
        <w:t>n the options presented in the C</w:t>
      </w:r>
      <w:r w:rsidR="00E75145">
        <w:rPr>
          <w:rFonts w:ascii="Times New Roman" w:hAnsi="Times New Roman" w:cs="Times New Roman"/>
          <w:sz w:val="24"/>
          <w:szCs w:val="24"/>
        </w:rPr>
        <w:t>onsultation RIS and</w:t>
      </w:r>
      <w:r w:rsidR="007D5F52">
        <w:rPr>
          <w:rFonts w:ascii="Times New Roman" w:hAnsi="Times New Roman" w:cs="Times New Roman"/>
          <w:sz w:val="24"/>
          <w:szCs w:val="24"/>
        </w:rPr>
        <w:t xml:space="preserve"> the main </w:t>
      </w:r>
      <w:r w:rsidR="00E75145">
        <w:rPr>
          <w:rFonts w:ascii="Times New Roman" w:hAnsi="Times New Roman" w:cs="Times New Roman"/>
          <w:sz w:val="24"/>
          <w:szCs w:val="24"/>
        </w:rPr>
        <w:t xml:space="preserve">issues </w:t>
      </w:r>
      <w:r w:rsidR="007D5F52">
        <w:rPr>
          <w:rFonts w:ascii="Times New Roman" w:hAnsi="Times New Roman" w:cs="Times New Roman"/>
          <w:sz w:val="24"/>
          <w:szCs w:val="24"/>
        </w:rPr>
        <w:t>raised.</w:t>
      </w:r>
      <w:r w:rsidR="00CD41AC">
        <w:rPr>
          <w:rFonts w:ascii="Times New Roman" w:hAnsi="Times New Roman" w:cs="Times New Roman"/>
          <w:sz w:val="24"/>
          <w:szCs w:val="24"/>
        </w:rPr>
        <w:t xml:space="preserve"> The responses were </w:t>
      </w:r>
      <w:r>
        <w:rPr>
          <w:rFonts w:ascii="Times New Roman" w:hAnsi="Times New Roman" w:cs="Times New Roman"/>
          <w:sz w:val="24"/>
          <w:szCs w:val="24"/>
        </w:rPr>
        <w:t xml:space="preserve">classified according to the stakeholder group they represent </w:t>
      </w:r>
      <w:r w:rsidR="00CD41AC">
        <w:rPr>
          <w:rFonts w:ascii="Times New Roman" w:hAnsi="Times New Roman" w:cs="Times New Roman"/>
          <w:sz w:val="24"/>
          <w:szCs w:val="24"/>
        </w:rPr>
        <w:t xml:space="preserve">to help </w:t>
      </w:r>
      <w:r w:rsidR="00726036">
        <w:rPr>
          <w:rFonts w:ascii="Times New Roman" w:hAnsi="Times New Roman" w:cs="Times New Roman"/>
          <w:sz w:val="24"/>
          <w:szCs w:val="24"/>
        </w:rPr>
        <w:t>analyse</w:t>
      </w:r>
      <w:r w:rsidR="00CD41AC">
        <w:rPr>
          <w:rFonts w:ascii="Times New Roman" w:hAnsi="Times New Roman" w:cs="Times New Roman"/>
          <w:sz w:val="24"/>
          <w:szCs w:val="24"/>
        </w:rPr>
        <w:t xml:space="preserve"> the broad range of </w:t>
      </w:r>
      <w:r w:rsidR="00185C60">
        <w:rPr>
          <w:rFonts w:ascii="Times New Roman" w:hAnsi="Times New Roman" w:cs="Times New Roman"/>
          <w:sz w:val="24"/>
          <w:szCs w:val="24"/>
        </w:rPr>
        <w:t xml:space="preserve">positions </w:t>
      </w:r>
      <w:r w:rsidR="00CD41AC">
        <w:rPr>
          <w:rFonts w:ascii="Times New Roman" w:hAnsi="Times New Roman" w:cs="Times New Roman"/>
          <w:sz w:val="24"/>
          <w:szCs w:val="24"/>
        </w:rPr>
        <w:t>and opinions expressed in the submissions.</w:t>
      </w:r>
      <w:r w:rsidR="005E434E">
        <w:rPr>
          <w:rFonts w:ascii="Times New Roman" w:hAnsi="Times New Roman" w:cs="Times New Roman"/>
          <w:sz w:val="24"/>
          <w:szCs w:val="24"/>
        </w:rPr>
        <w:t xml:space="preserve"> </w:t>
      </w:r>
    </w:p>
    <w:p w:rsidR="00E75145" w:rsidRDefault="00E75145" w:rsidP="005E434E">
      <w:pPr>
        <w:rPr>
          <w:rFonts w:ascii="Times New Roman" w:hAnsi="Times New Roman" w:cs="Times New Roman"/>
          <w:sz w:val="24"/>
          <w:szCs w:val="24"/>
        </w:rPr>
      </w:pPr>
      <w:r>
        <w:rPr>
          <w:rFonts w:ascii="Times New Roman" w:hAnsi="Times New Roman" w:cs="Times New Roman"/>
          <w:sz w:val="24"/>
          <w:szCs w:val="24"/>
        </w:rPr>
        <w:t xml:space="preserve">More than half of the submissions </w:t>
      </w:r>
      <w:r w:rsidR="00AC48AC">
        <w:rPr>
          <w:rFonts w:ascii="Times New Roman" w:hAnsi="Times New Roman" w:cs="Times New Roman"/>
          <w:sz w:val="24"/>
          <w:szCs w:val="24"/>
        </w:rPr>
        <w:t xml:space="preserve">received </w:t>
      </w:r>
      <w:r>
        <w:rPr>
          <w:rFonts w:ascii="Times New Roman" w:hAnsi="Times New Roman" w:cs="Times New Roman"/>
          <w:sz w:val="24"/>
          <w:szCs w:val="24"/>
        </w:rPr>
        <w:t xml:space="preserve">were </w:t>
      </w:r>
      <w:r w:rsidR="004D04D8">
        <w:rPr>
          <w:rFonts w:ascii="Times New Roman" w:hAnsi="Times New Roman" w:cs="Times New Roman"/>
          <w:sz w:val="24"/>
          <w:szCs w:val="24"/>
        </w:rPr>
        <w:t xml:space="preserve">based </w:t>
      </w:r>
      <w:r>
        <w:rPr>
          <w:rFonts w:ascii="Times New Roman" w:hAnsi="Times New Roman" w:cs="Times New Roman"/>
          <w:sz w:val="24"/>
          <w:szCs w:val="24"/>
        </w:rPr>
        <w:t xml:space="preserve">on a </w:t>
      </w:r>
      <w:r w:rsidR="001855EC">
        <w:rPr>
          <w:rFonts w:ascii="Times New Roman" w:hAnsi="Times New Roman" w:cs="Times New Roman"/>
          <w:sz w:val="24"/>
          <w:szCs w:val="24"/>
        </w:rPr>
        <w:t xml:space="preserve">campaign </w:t>
      </w:r>
      <w:r>
        <w:rPr>
          <w:rFonts w:ascii="Times New Roman" w:hAnsi="Times New Roman" w:cs="Times New Roman"/>
          <w:sz w:val="24"/>
          <w:szCs w:val="24"/>
        </w:rPr>
        <w:t>letter</w:t>
      </w:r>
      <w:r w:rsidR="001855EC">
        <w:rPr>
          <w:rFonts w:ascii="Times New Roman" w:hAnsi="Times New Roman" w:cs="Times New Roman"/>
          <w:sz w:val="24"/>
          <w:szCs w:val="24"/>
        </w:rPr>
        <w:t xml:space="preserve"> raising similar concerns</w:t>
      </w:r>
      <w:r w:rsidR="00301402">
        <w:rPr>
          <w:rFonts w:ascii="Times New Roman" w:hAnsi="Times New Roman" w:cs="Times New Roman"/>
          <w:sz w:val="24"/>
          <w:szCs w:val="24"/>
        </w:rPr>
        <w:t xml:space="preserve">. </w:t>
      </w:r>
      <w:r w:rsidR="00587AEF">
        <w:rPr>
          <w:rFonts w:ascii="Times New Roman" w:hAnsi="Times New Roman" w:cs="Times New Roman"/>
          <w:sz w:val="24"/>
          <w:szCs w:val="24"/>
        </w:rPr>
        <w:t>The</w:t>
      </w:r>
      <w:r w:rsidR="00AC48AC">
        <w:rPr>
          <w:rFonts w:ascii="Times New Roman" w:hAnsi="Times New Roman" w:cs="Times New Roman"/>
          <w:sz w:val="24"/>
          <w:szCs w:val="24"/>
        </w:rPr>
        <w:t xml:space="preserve"> views expressed in these submissions</w:t>
      </w:r>
      <w:r w:rsidR="00587AEF">
        <w:rPr>
          <w:rFonts w:ascii="Times New Roman" w:hAnsi="Times New Roman" w:cs="Times New Roman"/>
          <w:sz w:val="24"/>
          <w:szCs w:val="24"/>
        </w:rPr>
        <w:t xml:space="preserve"> are included in the discussion throughout this </w:t>
      </w:r>
      <w:r w:rsidR="00705780">
        <w:rPr>
          <w:rFonts w:ascii="Times New Roman" w:hAnsi="Times New Roman" w:cs="Times New Roman"/>
          <w:sz w:val="24"/>
          <w:szCs w:val="24"/>
        </w:rPr>
        <w:t>document</w:t>
      </w:r>
      <w:r w:rsidR="00587AEF">
        <w:rPr>
          <w:rFonts w:ascii="Times New Roman" w:hAnsi="Times New Roman" w:cs="Times New Roman"/>
          <w:sz w:val="24"/>
          <w:szCs w:val="24"/>
        </w:rPr>
        <w:t xml:space="preserve">. </w:t>
      </w:r>
      <w:r w:rsidR="00AC48AC">
        <w:rPr>
          <w:rFonts w:ascii="Times New Roman" w:hAnsi="Times New Roman" w:cs="Times New Roman"/>
          <w:sz w:val="24"/>
          <w:szCs w:val="24"/>
        </w:rPr>
        <w:t>For clarity</w:t>
      </w:r>
      <w:r w:rsidR="00EC5665">
        <w:rPr>
          <w:rFonts w:ascii="Times New Roman" w:hAnsi="Times New Roman" w:cs="Times New Roman"/>
          <w:sz w:val="24"/>
          <w:szCs w:val="24"/>
        </w:rPr>
        <w:t>,</w:t>
      </w:r>
      <w:r w:rsidR="00AC48AC">
        <w:rPr>
          <w:rFonts w:ascii="Times New Roman" w:hAnsi="Times New Roman" w:cs="Times New Roman"/>
          <w:sz w:val="24"/>
          <w:szCs w:val="24"/>
        </w:rPr>
        <w:t xml:space="preserve"> and to ensure they do not overwhelm other views provided</w:t>
      </w:r>
      <w:r w:rsidR="00EC5665">
        <w:rPr>
          <w:rFonts w:ascii="Times New Roman" w:hAnsi="Times New Roman" w:cs="Times New Roman"/>
          <w:sz w:val="24"/>
          <w:szCs w:val="24"/>
        </w:rPr>
        <w:t>,</w:t>
      </w:r>
      <w:r w:rsidR="00AC48AC">
        <w:rPr>
          <w:rFonts w:ascii="Times New Roman" w:hAnsi="Times New Roman" w:cs="Times New Roman"/>
          <w:sz w:val="24"/>
          <w:szCs w:val="24"/>
        </w:rPr>
        <w:t xml:space="preserve"> they</w:t>
      </w:r>
      <w:r w:rsidR="001855EC">
        <w:rPr>
          <w:rFonts w:ascii="Times New Roman" w:hAnsi="Times New Roman" w:cs="Times New Roman"/>
          <w:sz w:val="24"/>
          <w:szCs w:val="24"/>
        </w:rPr>
        <w:t xml:space="preserve"> are referred to a</w:t>
      </w:r>
      <w:r w:rsidR="00AC48AC">
        <w:rPr>
          <w:rFonts w:ascii="Times New Roman" w:hAnsi="Times New Roman" w:cs="Times New Roman"/>
          <w:sz w:val="24"/>
          <w:szCs w:val="24"/>
        </w:rPr>
        <w:t xml:space="preserve">s form letter submissions and </w:t>
      </w:r>
      <w:r w:rsidR="001855EC">
        <w:rPr>
          <w:rFonts w:ascii="Times New Roman" w:hAnsi="Times New Roman" w:cs="Times New Roman"/>
          <w:sz w:val="24"/>
          <w:szCs w:val="24"/>
        </w:rPr>
        <w:t xml:space="preserve">the remaining </w:t>
      </w:r>
      <w:r w:rsidR="00AC48AC">
        <w:rPr>
          <w:rFonts w:ascii="Times New Roman" w:hAnsi="Times New Roman" w:cs="Times New Roman"/>
          <w:sz w:val="24"/>
          <w:szCs w:val="24"/>
        </w:rPr>
        <w:t xml:space="preserve">submissions </w:t>
      </w:r>
      <w:r w:rsidR="001855EC">
        <w:rPr>
          <w:rFonts w:ascii="Times New Roman" w:hAnsi="Times New Roman" w:cs="Times New Roman"/>
          <w:sz w:val="24"/>
          <w:szCs w:val="24"/>
        </w:rPr>
        <w:t xml:space="preserve">are referred to </w:t>
      </w:r>
      <w:r w:rsidR="00AC48AC">
        <w:rPr>
          <w:rFonts w:ascii="Times New Roman" w:hAnsi="Times New Roman" w:cs="Times New Roman"/>
          <w:sz w:val="24"/>
          <w:szCs w:val="24"/>
        </w:rPr>
        <w:t>as independent submissions.</w:t>
      </w:r>
      <w:r w:rsidR="00587AEF">
        <w:rPr>
          <w:rFonts w:ascii="Times New Roman" w:hAnsi="Times New Roman" w:cs="Times New Roman"/>
          <w:sz w:val="24"/>
          <w:szCs w:val="24"/>
        </w:rPr>
        <w:t xml:space="preserve"> </w:t>
      </w:r>
    </w:p>
    <w:p w:rsidR="00475E2D" w:rsidRDefault="00475E2D" w:rsidP="00551052">
      <w:pPr>
        <w:spacing w:after="0"/>
        <w:rPr>
          <w:rFonts w:ascii="Times New Roman" w:hAnsi="Times New Roman" w:cs="Times New Roman"/>
          <w:sz w:val="24"/>
          <w:szCs w:val="24"/>
        </w:rPr>
      </w:pPr>
      <w:r>
        <w:rPr>
          <w:rFonts w:ascii="Times New Roman" w:hAnsi="Times New Roman" w:cs="Times New Roman"/>
          <w:sz w:val="24"/>
          <w:szCs w:val="24"/>
        </w:rPr>
        <w:t>This report discusses the views expressed in the submissions in the following categories:</w:t>
      </w:r>
    </w:p>
    <w:p w:rsidR="00FA10D0" w:rsidRPr="00FA10D0" w:rsidRDefault="00FA10D0" w:rsidP="006842AD">
      <w:pPr>
        <w:pStyle w:val="ListBullet"/>
        <w:rPr>
          <w:rFonts w:ascii="Times New Roman" w:hAnsi="Times New Roman" w:cs="Times New Roman"/>
          <w:sz w:val="24"/>
          <w:szCs w:val="24"/>
        </w:rPr>
      </w:pPr>
      <w:r w:rsidRPr="00FA10D0">
        <w:rPr>
          <w:rFonts w:ascii="Times New Roman" w:hAnsi="Times New Roman" w:cs="Times New Roman"/>
          <w:sz w:val="24"/>
          <w:szCs w:val="24"/>
        </w:rPr>
        <w:t>Timing</w:t>
      </w:r>
    </w:p>
    <w:p w:rsidR="00FA10D0" w:rsidRPr="00FA10D0" w:rsidRDefault="00FA10D0" w:rsidP="006842AD">
      <w:pPr>
        <w:pStyle w:val="ListBullet"/>
        <w:rPr>
          <w:rFonts w:ascii="Times New Roman" w:hAnsi="Times New Roman" w:cs="Times New Roman"/>
          <w:sz w:val="24"/>
          <w:szCs w:val="24"/>
        </w:rPr>
      </w:pPr>
      <w:r w:rsidRPr="00FA10D0">
        <w:rPr>
          <w:rFonts w:ascii="Times New Roman" w:hAnsi="Times New Roman" w:cs="Times New Roman"/>
          <w:sz w:val="24"/>
          <w:szCs w:val="24"/>
        </w:rPr>
        <w:t>Averaging, Banking and Trading (ABT)</w:t>
      </w:r>
    </w:p>
    <w:p w:rsidR="00FA10D0" w:rsidRPr="00FA10D0" w:rsidRDefault="00FA10D0" w:rsidP="006842AD">
      <w:pPr>
        <w:pStyle w:val="ListBullet"/>
        <w:rPr>
          <w:rFonts w:ascii="Times New Roman" w:hAnsi="Times New Roman" w:cs="Times New Roman"/>
          <w:sz w:val="24"/>
          <w:szCs w:val="24"/>
        </w:rPr>
      </w:pPr>
      <w:r w:rsidRPr="00FA10D0">
        <w:rPr>
          <w:rFonts w:ascii="Times New Roman" w:hAnsi="Times New Roman" w:cs="Times New Roman"/>
          <w:sz w:val="24"/>
          <w:szCs w:val="24"/>
        </w:rPr>
        <w:t>Exemptions</w:t>
      </w:r>
    </w:p>
    <w:p w:rsidR="00FA10D0" w:rsidRPr="00FA10D0" w:rsidRDefault="00175AE8" w:rsidP="006842AD">
      <w:pPr>
        <w:pStyle w:val="ListBullet"/>
        <w:rPr>
          <w:rFonts w:ascii="Times New Roman" w:hAnsi="Times New Roman" w:cs="Times New Roman"/>
          <w:sz w:val="24"/>
          <w:szCs w:val="24"/>
        </w:rPr>
      </w:pPr>
      <w:r>
        <w:rPr>
          <w:rFonts w:ascii="Times New Roman" w:hAnsi="Times New Roman" w:cs="Times New Roman"/>
          <w:sz w:val="24"/>
          <w:szCs w:val="24"/>
        </w:rPr>
        <w:t xml:space="preserve">Pricing and Consumer </w:t>
      </w:r>
      <w:r w:rsidR="00D027BC">
        <w:rPr>
          <w:rFonts w:ascii="Times New Roman" w:hAnsi="Times New Roman" w:cs="Times New Roman"/>
          <w:sz w:val="24"/>
          <w:szCs w:val="24"/>
        </w:rPr>
        <w:t>Demand</w:t>
      </w:r>
    </w:p>
    <w:p w:rsidR="00FA10D0" w:rsidRPr="00F46EE6" w:rsidRDefault="00FA10D0" w:rsidP="00F46EE6">
      <w:pPr>
        <w:pStyle w:val="ListBullet"/>
        <w:rPr>
          <w:rFonts w:ascii="Times New Roman" w:hAnsi="Times New Roman" w:cs="Times New Roman"/>
          <w:sz w:val="24"/>
          <w:szCs w:val="24"/>
        </w:rPr>
      </w:pPr>
      <w:r w:rsidRPr="00F46EE6">
        <w:rPr>
          <w:rFonts w:ascii="Times New Roman" w:hAnsi="Times New Roman" w:cs="Times New Roman"/>
          <w:sz w:val="24"/>
          <w:szCs w:val="24"/>
        </w:rPr>
        <w:t>Technical Issues</w:t>
      </w:r>
    </w:p>
    <w:p w:rsidR="00475E2D" w:rsidRDefault="00920EB9" w:rsidP="005E434E">
      <w:pPr>
        <w:rPr>
          <w:rFonts w:ascii="Times New Roman" w:hAnsi="Times New Roman" w:cs="Times New Roman"/>
          <w:sz w:val="24"/>
          <w:szCs w:val="24"/>
        </w:rPr>
      </w:pPr>
      <w:r>
        <w:rPr>
          <w:rFonts w:ascii="Times New Roman" w:hAnsi="Times New Roman" w:cs="Times New Roman"/>
          <w:sz w:val="24"/>
          <w:szCs w:val="24"/>
        </w:rPr>
        <w:t>A list of public</w:t>
      </w:r>
      <w:r w:rsidR="00FA10D0" w:rsidRPr="00FA10D0">
        <w:rPr>
          <w:rFonts w:ascii="Times New Roman" w:hAnsi="Times New Roman" w:cs="Times New Roman"/>
          <w:sz w:val="24"/>
          <w:szCs w:val="24"/>
        </w:rPr>
        <w:t xml:space="preserve"> submissions is also presented</w:t>
      </w:r>
      <w:r w:rsidR="00585788">
        <w:rPr>
          <w:rFonts w:ascii="Times New Roman" w:hAnsi="Times New Roman" w:cs="Times New Roman"/>
          <w:sz w:val="24"/>
          <w:szCs w:val="24"/>
        </w:rPr>
        <w:t xml:space="preserve"> at the end of this report, identifying the stakeholder categories to which the submissions belong</w:t>
      </w:r>
      <w:r w:rsidR="00FA10D0" w:rsidRPr="00FA10D0">
        <w:rPr>
          <w:rFonts w:ascii="Times New Roman" w:hAnsi="Times New Roman" w:cs="Times New Roman"/>
          <w:sz w:val="24"/>
          <w:szCs w:val="24"/>
        </w:rPr>
        <w:t>.</w:t>
      </w:r>
    </w:p>
    <w:p w:rsidR="00F449A8" w:rsidRDefault="00F449A8">
      <w:pPr>
        <w:rPr>
          <w:rFonts w:ascii="Times New Roman" w:hAnsi="Times New Roman" w:cs="Times New Roman"/>
          <w:b/>
          <w:sz w:val="28"/>
          <w:szCs w:val="28"/>
        </w:rPr>
      </w:pPr>
      <w:r>
        <w:br w:type="page"/>
      </w:r>
    </w:p>
    <w:p w:rsidR="00084FDC" w:rsidRDefault="007D5F52" w:rsidP="00EB6C5C">
      <w:pPr>
        <w:pStyle w:val="Heading1"/>
      </w:pPr>
      <w:bookmarkStart w:id="4" w:name="_Toc342565455"/>
      <w:r>
        <w:lastRenderedPageBreak/>
        <w:t>S</w:t>
      </w:r>
      <w:r w:rsidR="00777758">
        <w:t>ummary</w:t>
      </w:r>
      <w:bookmarkEnd w:id="4"/>
    </w:p>
    <w:p w:rsidR="00FF47A6" w:rsidRDefault="00C71D5E" w:rsidP="006D0F10">
      <w:pPr>
        <w:rPr>
          <w:rFonts w:ascii="Times New Roman" w:hAnsi="Times New Roman" w:cs="Times New Roman"/>
          <w:sz w:val="24"/>
          <w:szCs w:val="24"/>
        </w:rPr>
      </w:pPr>
      <w:r>
        <w:rPr>
          <w:rFonts w:ascii="Times New Roman" w:hAnsi="Times New Roman" w:cs="Times New Roman"/>
          <w:sz w:val="24"/>
          <w:szCs w:val="24"/>
        </w:rPr>
        <w:t>Of the two categories o</w:t>
      </w:r>
      <w:r w:rsidR="00F41F74">
        <w:rPr>
          <w:rFonts w:ascii="Times New Roman" w:hAnsi="Times New Roman" w:cs="Times New Roman"/>
          <w:sz w:val="24"/>
          <w:szCs w:val="24"/>
        </w:rPr>
        <w:t>f</w:t>
      </w:r>
      <w:r>
        <w:rPr>
          <w:rFonts w:ascii="Times New Roman" w:hAnsi="Times New Roman" w:cs="Times New Roman"/>
          <w:sz w:val="24"/>
          <w:szCs w:val="24"/>
        </w:rPr>
        <w:t xml:space="preserve"> non-road spark ignition engines and equipment, submissions were largely focussed on the marine engine sector</w:t>
      </w:r>
      <w:r w:rsidR="00301402">
        <w:rPr>
          <w:rFonts w:ascii="Times New Roman" w:hAnsi="Times New Roman" w:cs="Times New Roman"/>
          <w:sz w:val="24"/>
          <w:szCs w:val="24"/>
        </w:rPr>
        <w:t xml:space="preserve">. </w:t>
      </w:r>
      <w:r>
        <w:rPr>
          <w:rFonts w:ascii="Times New Roman" w:hAnsi="Times New Roman" w:cs="Times New Roman"/>
          <w:sz w:val="24"/>
          <w:szCs w:val="24"/>
        </w:rPr>
        <w:t xml:space="preserve">Figure 1 shows that </w:t>
      </w:r>
      <w:r w:rsidR="00F41F74">
        <w:rPr>
          <w:rFonts w:ascii="Times New Roman" w:hAnsi="Times New Roman" w:cs="Times New Roman"/>
          <w:sz w:val="24"/>
          <w:szCs w:val="24"/>
        </w:rPr>
        <w:t>85</w:t>
      </w:r>
      <w:r w:rsidR="00FF47A6">
        <w:rPr>
          <w:rFonts w:ascii="Times New Roman" w:hAnsi="Times New Roman" w:cs="Times New Roman"/>
          <w:sz w:val="24"/>
          <w:szCs w:val="24"/>
        </w:rPr>
        <w:t xml:space="preserve"> per cent of submissions</w:t>
      </w:r>
      <w:r>
        <w:rPr>
          <w:rFonts w:ascii="Times New Roman" w:hAnsi="Times New Roman" w:cs="Times New Roman"/>
          <w:sz w:val="24"/>
          <w:szCs w:val="24"/>
        </w:rPr>
        <w:t xml:space="preserve"> relate to </w:t>
      </w:r>
      <w:r w:rsidR="00731836">
        <w:rPr>
          <w:rFonts w:ascii="Times New Roman" w:hAnsi="Times New Roman" w:cs="Times New Roman"/>
          <w:sz w:val="24"/>
          <w:szCs w:val="24"/>
        </w:rPr>
        <w:t xml:space="preserve">the </w:t>
      </w:r>
      <w:r>
        <w:rPr>
          <w:rFonts w:ascii="Times New Roman" w:hAnsi="Times New Roman" w:cs="Times New Roman"/>
          <w:sz w:val="24"/>
          <w:szCs w:val="24"/>
        </w:rPr>
        <w:t xml:space="preserve">marine engine sector and </w:t>
      </w:r>
      <w:r w:rsidR="00F41F74">
        <w:rPr>
          <w:rFonts w:ascii="Times New Roman" w:hAnsi="Times New Roman" w:cs="Times New Roman"/>
          <w:sz w:val="24"/>
          <w:szCs w:val="24"/>
        </w:rPr>
        <w:t xml:space="preserve">13 </w:t>
      </w:r>
      <w:r>
        <w:rPr>
          <w:rFonts w:ascii="Times New Roman" w:hAnsi="Times New Roman" w:cs="Times New Roman"/>
          <w:sz w:val="24"/>
          <w:szCs w:val="24"/>
        </w:rPr>
        <w:t xml:space="preserve">per cent </w:t>
      </w:r>
      <w:r w:rsidR="00FA3B52">
        <w:rPr>
          <w:rFonts w:ascii="Times New Roman" w:hAnsi="Times New Roman" w:cs="Times New Roman"/>
          <w:sz w:val="24"/>
          <w:szCs w:val="24"/>
        </w:rPr>
        <w:t>refer to</w:t>
      </w:r>
      <w:r>
        <w:rPr>
          <w:rFonts w:ascii="Times New Roman" w:hAnsi="Times New Roman" w:cs="Times New Roman"/>
          <w:sz w:val="24"/>
          <w:szCs w:val="24"/>
        </w:rPr>
        <w:t xml:space="preserve"> the garden sector.</w:t>
      </w:r>
    </w:p>
    <w:p w:rsidR="00C71D5E" w:rsidRDefault="00C71D5E" w:rsidP="006D0F10">
      <w:pPr>
        <w:rPr>
          <w:rFonts w:ascii="Times New Roman" w:hAnsi="Times New Roman" w:cs="Times New Roman"/>
          <w:sz w:val="24"/>
          <w:szCs w:val="24"/>
        </w:rPr>
      </w:pPr>
      <w:r w:rsidRPr="00C71D5E">
        <w:rPr>
          <w:rFonts w:ascii="Times New Roman" w:hAnsi="Times New Roman" w:cs="Times New Roman"/>
          <w:noProof/>
          <w:sz w:val="24"/>
          <w:szCs w:val="24"/>
          <w:lang w:eastAsia="en-AU"/>
        </w:rPr>
        <w:drawing>
          <wp:inline distT="0" distB="0" distL="0" distR="0">
            <wp:extent cx="5233434" cy="2679405"/>
            <wp:effectExtent l="19050" t="0" r="24366" b="6645"/>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0F10" w:rsidRDefault="00FF47A6" w:rsidP="006D0F10">
      <w:pPr>
        <w:rPr>
          <w:rFonts w:ascii="Times New Roman" w:hAnsi="Times New Roman" w:cs="Times New Roman"/>
          <w:sz w:val="24"/>
          <w:szCs w:val="24"/>
        </w:rPr>
      </w:pPr>
      <w:r>
        <w:rPr>
          <w:rFonts w:ascii="Times New Roman" w:hAnsi="Times New Roman" w:cs="Times New Roman"/>
          <w:sz w:val="24"/>
          <w:szCs w:val="24"/>
        </w:rPr>
        <w:t>Submissions were mainly received from industry stakeholders</w:t>
      </w:r>
      <w:r w:rsidR="00301402">
        <w:rPr>
          <w:rFonts w:ascii="Times New Roman" w:hAnsi="Times New Roman" w:cs="Times New Roman"/>
          <w:sz w:val="24"/>
          <w:szCs w:val="24"/>
        </w:rPr>
        <w:t xml:space="preserve">. </w:t>
      </w:r>
      <w:r w:rsidR="00F06D50">
        <w:rPr>
          <w:rFonts w:ascii="Times New Roman" w:hAnsi="Times New Roman" w:cs="Times New Roman"/>
          <w:sz w:val="24"/>
          <w:szCs w:val="24"/>
        </w:rPr>
        <w:t xml:space="preserve">The distribution </w:t>
      </w:r>
      <w:r w:rsidR="00137A41">
        <w:rPr>
          <w:rFonts w:ascii="Times New Roman" w:hAnsi="Times New Roman" w:cs="Times New Roman"/>
          <w:sz w:val="24"/>
          <w:szCs w:val="24"/>
        </w:rPr>
        <w:t xml:space="preserve">of submissions by </w:t>
      </w:r>
      <w:r w:rsidR="00FA10D0">
        <w:rPr>
          <w:rFonts w:ascii="Times New Roman" w:hAnsi="Times New Roman" w:cs="Times New Roman"/>
          <w:sz w:val="24"/>
          <w:szCs w:val="24"/>
        </w:rPr>
        <w:t xml:space="preserve">stakeholder </w:t>
      </w:r>
      <w:r w:rsidR="00C71D5E">
        <w:rPr>
          <w:rFonts w:ascii="Times New Roman" w:hAnsi="Times New Roman" w:cs="Times New Roman"/>
          <w:sz w:val="24"/>
          <w:szCs w:val="24"/>
        </w:rPr>
        <w:t>type</w:t>
      </w:r>
      <w:r w:rsidR="008821EC">
        <w:rPr>
          <w:rFonts w:ascii="Times New Roman" w:hAnsi="Times New Roman" w:cs="Times New Roman"/>
          <w:sz w:val="24"/>
          <w:szCs w:val="24"/>
        </w:rPr>
        <w:t xml:space="preserve"> </w:t>
      </w:r>
      <w:r w:rsidR="00F06D50">
        <w:rPr>
          <w:rFonts w:ascii="Times New Roman" w:hAnsi="Times New Roman" w:cs="Times New Roman"/>
          <w:sz w:val="24"/>
          <w:szCs w:val="24"/>
        </w:rPr>
        <w:t xml:space="preserve">is represented in Figure </w:t>
      </w:r>
      <w:r w:rsidR="00C71D5E">
        <w:rPr>
          <w:rFonts w:ascii="Times New Roman" w:hAnsi="Times New Roman" w:cs="Times New Roman"/>
          <w:sz w:val="24"/>
          <w:szCs w:val="24"/>
        </w:rPr>
        <w:t>2</w:t>
      </w:r>
      <w:r w:rsidR="003146C1">
        <w:rPr>
          <w:rFonts w:ascii="Times New Roman" w:hAnsi="Times New Roman" w:cs="Times New Roman"/>
          <w:sz w:val="24"/>
          <w:szCs w:val="24"/>
        </w:rPr>
        <w:t xml:space="preserve">. </w:t>
      </w:r>
      <w:r w:rsidR="00C71D5E">
        <w:rPr>
          <w:rFonts w:ascii="Times New Roman" w:hAnsi="Times New Roman" w:cs="Times New Roman"/>
          <w:sz w:val="24"/>
          <w:szCs w:val="24"/>
        </w:rPr>
        <w:t>As can be seen</w:t>
      </w:r>
      <w:r w:rsidR="00FA3B52">
        <w:rPr>
          <w:rFonts w:ascii="Times New Roman" w:hAnsi="Times New Roman" w:cs="Times New Roman"/>
          <w:sz w:val="24"/>
          <w:szCs w:val="24"/>
        </w:rPr>
        <w:t>,</w:t>
      </w:r>
      <w:r w:rsidR="00C71D5E">
        <w:rPr>
          <w:rFonts w:ascii="Times New Roman" w:hAnsi="Times New Roman" w:cs="Times New Roman"/>
          <w:sz w:val="24"/>
          <w:szCs w:val="24"/>
        </w:rPr>
        <w:t xml:space="preserve"> a large proportion of submissions represent the views of retailers</w:t>
      </w:r>
      <w:r w:rsidR="00301402">
        <w:rPr>
          <w:rFonts w:ascii="Times New Roman" w:hAnsi="Times New Roman" w:cs="Times New Roman"/>
          <w:sz w:val="24"/>
          <w:szCs w:val="24"/>
        </w:rPr>
        <w:t xml:space="preserve">. </w:t>
      </w:r>
      <w:r w:rsidR="00731836">
        <w:rPr>
          <w:rFonts w:ascii="Times New Roman" w:hAnsi="Times New Roman" w:cs="Times New Roman"/>
          <w:sz w:val="24"/>
          <w:szCs w:val="24"/>
        </w:rPr>
        <w:t>However</w:t>
      </w:r>
      <w:r w:rsidR="00301402">
        <w:rPr>
          <w:rFonts w:ascii="Times New Roman" w:hAnsi="Times New Roman" w:cs="Times New Roman"/>
          <w:sz w:val="24"/>
          <w:szCs w:val="24"/>
        </w:rPr>
        <w:t>,</w:t>
      </w:r>
      <w:r w:rsidR="00731836">
        <w:rPr>
          <w:rFonts w:ascii="Times New Roman" w:hAnsi="Times New Roman" w:cs="Times New Roman"/>
          <w:sz w:val="24"/>
          <w:szCs w:val="24"/>
        </w:rPr>
        <w:t xml:space="preserve"> f</w:t>
      </w:r>
      <w:r w:rsidR="00875E16">
        <w:rPr>
          <w:rFonts w:ascii="Times New Roman" w:hAnsi="Times New Roman" w:cs="Times New Roman"/>
          <w:sz w:val="24"/>
          <w:szCs w:val="24"/>
        </w:rPr>
        <w:t>ifty submissions</w:t>
      </w:r>
      <w:r w:rsidR="00FA10D0">
        <w:rPr>
          <w:rFonts w:ascii="Times New Roman" w:hAnsi="Times New Roman" w:cs="Times New Roman"/>
          <w:sz w:val="24"/>
          <w:szCs w:val="24"/>
        </w:rPr>
        <w:t xml:space="preserve"> were</w:t>
      </w:r>
      <w:r w:rsidR="003754E8">
        <w:rPr>
          <w:rFonts w:ascii="Times New Roman" w:hAnsi="Times New Roman" w:cs="Times New Roman"/>
          <w:sz w:val="24"/>
          <w:szCs w:val="24"/>
        </w:rPr>
        <w:t xml:space="preserve"> </w:t>
      </w:r>
      <w:r w:rsidR="008821EC">
        <w:rPr>
          <w:rFonts w:ascii="Times New Roman" w:hAnsi="Times New Roman" w:cs="Times New Roman"/>
          <w:sz w:val="24"/>
          <w:szCs w:val="24"/>
        </w:rPr>
        <w:t xml:space="preserve">based on a </w:t>
      </w:r>
      <w:r w:rsidR="006D0F10">
        <w:rPr>
          <w:rFonts w:ascii="Times New Roman" w:hAnsi="Times New Roman" w:cs="Times New Roman"/>
          <w:sz w:val="24"/>
          <w:szCs w:val="24"/>
        </w:rPr>
        <w:t>form letter</w:t>
      </w:r>
      <w:r w:rsidR="00C71D5E">
        <w:rPr>
          <w:rFonts w:ascii="Times New Roman" w:hAnsi="Times New Roman" w:cs="Times New Roman"/>
          <w:sz w:val="24"/>
          <w:szCs w:val="24"/>
        </w:rPr>
        <w:t xml:space="preserve"> and t</w:t>
      </w:r>
      <w:r>
        <w:rPr>
          <w:rFonts w:ascii="Times New Roman" w:hAnsi="Times New Roman" w:cs="Times New Roman"/>
          <w:sz w:val="24"/>
          <w:szCs w:val="24"/>
        </w:rPr>
        <w:t xml:space="preserve">he vast majority of these </w:t>
      </w:r>
      <w:r w:rsidR="009D418A">
        <w:rPr>
          <w:rFonts w:ascii="Times New Roman" w:hAnsi="Times New Roman" w:cs="Times New Roman"/>
          <w:sz w:val="24"/>
          <w:szCs w:val="24"/>
        </w:rPr>
        <w:t xml:space="preserve">were from </w:t>
      </w:r>
      <w:r>
        <w:rPr>
          <w:rFonts w:ascii="Times New Roman" w:hAnsi="Times New Roman" w:cs="Times New Roman"/>
          <w:sz w:val="24"/>
          <w:szCs w:val="24"/>
        </w:rPr>
        <w:t xml:space="preserve">boat </w:t>
      </w:r>
      <w:r w:rsidR="009D418A">
        <w:rPr>
          <w:rFonts w:ascii="Times New Roman" w:hAnsi="Times New Roman" w:cs="Times New Roman"/>
          <w:sz w:val="24"/>
          <w:szCs w:val="24"/>
        </w:rPr>
        <w:t xml:space="preserve">builders and </w:t>
      </w:r>
      <w:r>
        <w:rPr>
          <w:rFonts w:ascii="Times New Roman" w:hAnsi="Times New Roman" w:cs="Times New Roman"/>
          <w:sz w:val="24"/>
          <w:szCs w:val="24"/>
        </w:rPr>
        <w:t xml:space="preserve">sellers </w:t>
      </w:r>
      <w:r w:rsidR="00731836">
        <w:rPr>
          <w:rFonts w:ascii="Times New Roman" w:hAnsi="Times New Roman" w:cs="Times New Roman"/>
          <w:sz w:val="24"/>
          <w:szCs w:val="24"/>
        </w:rPr>
        <w:t xml:space="preserve">included </w:t>
      </w:r>
      <w:r>
        <w:rPr>
          <w:rFonts w:ascii="Times New Roman" w:hAnsi="Times New Roman" w:cs="Times New Roman"/>
          <w:sz w:val="24"/>
          <w:szCs w:val="24"/>
        </w:rPr>
        <w:t>in the retailer category</w:t>
      </w:r>
      <w:r w:rsidR="00E932E8">
        <w:rPr>
          <w:rFonts w:ascii="Times New Roman" w:hAnsi="Times New Roman" w:cs="Times New Roman"/>
          <w:sz w:val="24"/>
          <w:szCs w:val="24"/>
        </w:rPr>
        <w:t>.</w:t>
      </w:r>
    </w:p>
    <w:p w:rsidR="006D0F10" w:rsidRDefault="00D027BC" w:rsidP="006D0F10">
      <w:pPr>
        <w:rPr>
          <w:rFonts w:ascii="Times New Roman" w:hAnsi="Times New Roman" w:cs="Times New Roman"/>
          <w:sz w:val="24"/>
          <w:szCs w:val="24"/>
        </w:rPr>
      </w:pPr>
      <w:r w:rsidRPr="00D027BC">
        <w:rPr>
          <w:rFonts w:ascii="Times New Roman" w:hAnsi="Times New Roman" w:cs="Times New Roman"/>
          <w:noProof/>
          <w:sz w:val="24"/>
          <w:szCs w:val="24"/>
          <w:lang w:eastAsia="en-AU"/>
        </w:rPr>
        <w:drawing>
          <wp:inline distT="0" distB="0" distL="0" distR="0">
            <wp:extent cx="5591174" cy="3571876"/>
            <wp:effectExtent l="19050" t="0" r="9526" b="952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4AF9" w:rsidRDefault="00B14752" w:rsidP="00B14752">
      <w:pPr>
        <w:rPr>
          <w:rFonts w:ascii="Times New Roman" w:hAnsi="Times New Roman" w:cs="Times New Roman"/>
          <w:sz w:val="24"/>
          <w:szCs w:val="24"/>
        </w:rPr>
      </w:pPr>
      <w:r>
        <w:rPr>
          <w:rFonts w:ascii="Times New Roman" w:hAnsi="Times New Roman" w:cs="Times New Roman"/>
          <w:sz w:val="24"/>
          <w:szCs w:val="24"/>
        </w:rPr>
        <w:lastRenderedPageBreak/>
        <w:t>Overall the submissions were supportive of government action to reduce emissions from NRSIEE</w:t>
      </w:r>
      <w:r w:rsidR="00301402">
        <w:rPr>
          <w:rFonts w:ascii="Times New Roman" w:hAnsi="Times New Roman" w:cs="Times New Roman"/>
          <w:sz w:val="24"/>
          <w:szCs w:val="24"/>
        </w:rPr>
        <w:t xml:space="preserve">. </w:t>
      </w:r>
      <w:r>
        <w:rPr>
          <w:rFonts w:ascii="Times New Roman" w:hAnsi="Times New Roman" w:cs="Times New Roman"/>
          <w:sz w:val="24"/>
          <w:szCs w:val="24"/>
        </w:rPr>
        <w:t>However, there were diverging opinions regarding the timing of the implementation of full regulation, with some respondents preferring a phase</w:t>
      </w:r>
      <w:r w:rsidR="00F41F74">
        <w:rPr>
          <w:rFonts w:ascii="Times New Roman" w:hAnsi="Times New Roman" w:cs="Times New Roman"/>
          <w:sz w:val="24"/>
          <w:szCs w:val="24"/>
        </w:rPr>
        <w:t>d</w:t>
      </w:r>
      <w:r>
        <w:rPr>
          <w:rFonts w:ascii="Times New Roman" w:hAnsi="Times New Roman" w:cs="Times New Roman"/>
          <w:sz w:val="24"/>
          <w:szCs w:val="24"/>
        </w:rPr>
        <w:t xml:space="preserve"> approach, while other respondents favoured immediate regulation. </w:t>
      </w:r>
    </w:p>
    <w:p w:rsidR="00B14752" w:rsidRDefault="00B14752" w:rsidP="00B14752">
      <w:pPr>
        <w:rPr>
          <w:rFonts w:ascii="Times New Roman" w:hAnsi="Times New Roman" w:cs="Times New Roman"/>
          <w:sz w:val="24"/>
          <w:szCs w:val="24"/>
        </w:rPr>
      </w:pPr>
      <w:r>
        <w:rPr>
          <w:rFonts w:ascii="Times New Roman" w:hAnsi="Times New Roman" w:cs="Times New Roman"/>
          <w:sz w:val="24"/>
          <w:szCs w:val="24"/>
        </w:rPr>
        <w:t>Only one submission stated a preference for no government intervention, while another three do not provide a clear statement on their preferred action. One submission supported the voluntary outboard industry agreement option with no other government action.</w:t>
      </w:r>
      <w:r w:rsidRPr="00B14752">
        <w:rPr>
          <w:rFonts w:ascii="Times New Roman" w:hAnsi="Times New Roman" w:cs="Times New Roman"/>
          <w:sz w:val="24"/>
          <w:szCs w:val="24"/>
        </w:rPr>
        <w:t xml:space="preserve"> </w:t>
      </w:r>
    </w:p>
    <w:p w:rsidR="00B14752" w:rsidRDefault="009D418A" w:rsidP="00B14752">
      <w:pPr>
        <w:rPr>
          <w:rFonts w:ascii="Times New Roman" w:hAnsi="Times New Roman" w:cs="Times New Roman"/>
          <w:sz w:val="24"/>
          <w:szCs w:val="24"/>
        </w:rPr>
      </w:pPr>
      <w:r>
        <w:rPr>
          <w:rFonts w:ascii="Times New Roman" w:hAnsi="Times New Roman" w:cs="Times New Roman"/>
          <w:sz w:val="24"/>
          <w:szCs w:val="24"/>
        </w:rPr>
        <w:t>Of t</w:t>
      </w:r>
      <w:r w:rsidR="00B14752">
        <w:rPr>
          <w:rFonts w:ascii="Times New Roman" w:hAnsi="Times New Roman" w:cs="Times New Roman"/>
          <w:sz w:val="24"/>
          <w:szCs w:val="24"/>
        </w:rPr>
        <w:t xml:space="preserve">he submissions </w:t>
      </w:r>
      <w:r>
        <w:rPr>
          <w:rFonts w:ascii="Times New Roman" w:hAnsi="Times New Roman" w:cs="Times New Roman"/>
          <w:sz w:val="24"/>
          <w:szCs w:val="24"/>
        </w:rPr>
        <w:t xml:space="preserve">which </w:t>
      </w:r>
      <w:r w:rsidR="00B14752">
        <w:rPr>
          <w:rFonts w:ascii="Times New Roman" w:hAnsi="Times New Roman" w:cs="Times New Roman"/>
          <w:sz w:val="24"/>
          <w:szCs w:val="24"/>
        </w:rPr>
        <w:t>were supportive of regulated emissions standards</w:t>
      </w:r>
      <w:r>
        <w:rPr>
          <w:rFonts w:ascii="Times New Roman" w:hAnsi="Times New Roman" w:cs="Times New Roman"/>
          <w:sz w:val="24"/>
          <w:szCs w:val="24"/>
        </w:rPr>
        <w:t>,</w:t>
      </w:r>
      <w:r w:rsidR="001855EC">
        <w:rPr>
          <w:rFonts w:ascii="Times New Roman" w:hAnsi="Times New Roman" w:cs="Times New Roman"/>
          <w:sz w:val="24"/>
          <w:szCs w:val="24"/>
        </w:rPr>
        <w:t xml:space="preserve"> </w:t>
      </w:r>
      <w:r>
        <w:rPr>
          <w:rFonts w:ascii="Times New Roman" w:hAnsi="Times New Roman" w:cs="Times New Roman"/>
          <w:sz w:val="24"/>
          <w:szCs w:val="24"/>
        </w:rPr>
        <w:t>n</w:t>
      </w:r>
      <w:r w:rsidR="00B14752">
        <w:rPr>
          <w:rFonts w:ascii="Times New Roman" w:hAnsi="Times New Roman" w:cs="Times New Roman"/>
          <w:sz w:val="24"/>
          <w:szCs w:val="24"/>
        </w:rPr>
        <w:t>one specifically mentioned whether implement</w:t>
      </w:r>
      <w:r w:rsidR="001855EC">
        <w:rPr>
          <w:rFonts w:ascii="Times New Roman" w:hAnsi="Times New Roman" w:cs="Times New Roman"/>
          <w:sz w:val="24"/>
          <w:szCs w:val="24"/>
        </w:rPr>
        <w:t>ation should be in the form of</w:t>
      </w:r>
      <w:r w:rsidR="00B14752">
        <w:rPr>
          <w:rFonts w:ascii="Times New Roman" w:hAnsi="Times New Roman" w:cs="Times New Roman"/>
          <w:sz w:val="24"/>
          <w:szCs w:val="24"/>
        </w:rPr>
        <w:t xml:space="preserve"> </w:t>
      </w:r>
      <w:r w:rsidR="00703018">
        <w:rPr>
          <w:rFonts w:ascii="Times New Roman" w:hAnsi="Times New Roman" w:cs="Times New Roman"/>
          <w:sz w:val="24"/>
          <w:szCs w:val="24"/>
        </w:rPr>
        <w:t xml:space="preserve">Commonwealth </w:t>
      </w:r>
      <w:r w:rsidR="00B14752">
        <w:rPr>
          <w:rFonts w:ascii="Times New Roman" w:hAnsi="Times New Roman" w:cs="Times New Roman"/>
          <w:sz w:val="24"/>
          <w:szCs w:val="24"/>
        </w:rPr>
        <w:t>regulation or a NEPM</w:t>
      </w:r>
      <w:r w:rsidR="00301402">
        <w:rPr>
          <w:rFonts w:ascii="Times New Roman" w:hAnsi="Times New Roman" w:cs="Times New Roman"/>
          <w:sz w:val="24"/>
          <w:szCs w:val="24"/>
        </w:rPr>
        <w:t xml:space="preserve">. </w:t>
      </w:r>
      <w:r w:rsidR="00B14752">
        <w:rPr>
          <w:rFonts w:ascii="Times New Roman" w:hAnsi="Times New Roman" w:cs="Times New Roman"/>
          <w:sz w:val="24"/>
          <w:szCs w:val="24"/>
        </w:rPr>
        <w:t xml:space="preserve">Comments were largely focussed on the stringency and timing of standards and the impacts that could result from the implementation of emissions standards. </w:t>
      </w:r>
    </w:p>
    <w:p w:rsidR="00544AF9" w:rsidRPr="000662DE" w:rsidRDefault="00544AF9" w:rsidP="00B14752">
      <w:pPr>
        <w:rPr>
          <w:rFonts w:ascii="Times New Roman" w:hAnsi="Times New Roman" w:cs="Times New Roman"/>
          <w:sz w:val="24"/>
          <w:szCs w:val="24"/>
        </w:rPr>
      </w:pPr>
      <w:r>
        <w:rPr>
          <w:rFonts w:ascii="Times New Roman" w:hAnsi="Times New Roman" w:cs="Times New Roman"/>
          <w:sz w:val="24"/>
          <w:szCs w:val="24"/>
        </w:rPr>
        <w:t xml:space="preserve">Given that submissions largely related to the introduction of emissions standards through </w:t>
      </w:r>
      <w:r w:rsidR="008A00D0">
        <w:rPr>
          <w:rFonts w:ascii="Times New Roman" w:hAnsi="Times New Roman" w:cs="Times New Roman"/>
          <w:sz w:val="24"/>
          <w:szCs w:val="24"/>
        </w:rPr>
        <w:t>regulation, which</w:t>
      </w:r>
      <w:r>
        <w:rPr>
          <w:rFonts w:ascii="Times New Roman" w:hAnsi="Times New Roman" w:cs="Times New Roman"/>
          <w:sz w:val="24"/>
          <w:szCs w:val="24"/>
        </w:rPr>
        <w:t xml:space="preserve"> is the focus of the following sections of this summary.</w:t>
      </w:r>
    </w:p>
    <w:p w:rsidR="00F449A8" w:rsidRDefault="00F449A8">
      <w:pPr>
        <w:rPr>
          <w:rFonts w:ascii="Times New Roman" w:hAnsi="Times New Roman" w:cs="Times New Roman"/>
          <w:b/>
          <w:sz w:val="28"/>
          <w:szCs w:val="28"/>
        </w:rPr>
      </w:pPr>
      <w:r>
        <w:br w:type="page"/>
      </w:r>
    </w:p>
    <w:p w:rsidR="00AD230A" w:rsidRDefault="00CF737E" w:rsidP="00EB6C5C">
      <w:pPr>
        <w:pStyle w:val="Heading1"/>
      </w:pPr>
      <w:bookmarkStart w:id="5" w:name="_Toc342565456"/>
      <w:r w:rsidRPr="00CF737E">
        <w:lastRenderedPageBreak/>
        <w:t>Timing</w:t>
      </w:r>
      <w:bookmarkEnd w:id="5"/>
    </w:p>
    <w:p w:rsidR="00640B3E" w:rsidRPr="00640B3E" w:rsidRDefault="009D418A" w:rsidP="00551052">
      <w:pPr>
        <w:spacing w:after="0"/>
        <w:rPr>
          <w:rFonts w:ascii="Times New Roman" w:hAnsi="Times New Roman" w:cs="Times New Roman"/>
          <w:sz w:val="24"/>
          <w:szCs w:val="24"/>
        </w:rPr>
      </w:pPr>
      <w:r>
        <w:rPr>
          <w:rFonts w:ascii="Times New Roman" w:hAnsi="Times New Roman" w:cs="Times New Roman"/>
          <w:sz w:val="24"/>
          <w:szCs w:val="24"/>
        </w:rPr>
        <w:t xml:space="preserve">As noted earlier, </w:t>
      </w:r>
      <w:r w:rsidR="00AC48AC">
        <w:rPr>
          <w:rFonts w:ascii="Times New Roman" w:hAnsi="Times New Roman" w:cs="Times New Roman"/>
          <w:sz w:val="24"/>
          <w:szCs w:val="24"/>
        </w:rPr>
        <w:t>for th</w:t>
      </w:r>
      <w:r>
        <w:rPr>
          <w:rFonts w:ascii="Times New Roman" w:hAnsi="Times New Roman" w:cs="Times New Roman"/>
          <w:sz w:val="24"/>
          <w:szCs w:val="24"/>
        </w:rPr>
        <w:t>e</w:t>
      </w:r>
      <w:r w:rsidR="00AC48AC">
        <w:rPr>
          <w:rFonts w:ascii="Times New Roman" w:hAnsi="Times New Roman" w:cs="Times New Roman"/>
          <w:sz w:val="24"/>
          <w:szCs w:val="24"/>
        </w:rPr>
        <w:t xml:space="preserve"> purpose of seeking stakeholder views the proposed </w:t>
      </w:r>
      <w:r w:rsidR="001855EC">
        <w:rPr>
          <w:rFonts w:ascii="Times New Roman" w:hAnsi="Times New Roman" w:cs="Times New Roman"/>
          <w:sz w:val="24"/>
          <w:szCs w:val="24"/>
        </w:rPr>
        <w:t xml:space="preserve">implementation </w:t>
      </w:r>
      <w:r w:rsidR="001855EC" w:rsidRPr="00640B3E">
        <w:rPr>
          <w:rFonts w:ascii="Times New Roman" w:hAnsi="Times New Roman" w:cs="Times New Roman"/>
          <w:sz w:val="24"/>
          <w:szCs w:val="24"/>
        </w:rPr>
        <w:t xml:space="preserve">approach </w:t>
      </w:r>
      <w:r w:rsidR="00640B3E">
        <w:rPr>
          <w:rFonts w:ascii="Times New Roman" w:hAnsi="Times New Roman" w:cs="Times New Roman"/>
          <w:sz w:val="24"/>
          <w:szCs w:val="24"/>
        </w:rPr>
        <w:t>included</w:t>
      </w:r>
      <w:r w:rsidR="00640B3E" w:rsidRPr="00640B3E">
        <w:rPr>
          <w:rFonts w:ascii="Times New Roman" w:hAnsi="Times New Roman" w:cs="Times New Roman"/>
          <w:sz w:val="24"/>
          <w:szCs w:val="24"/>
        </w:rPr>
        <w:t>:</w:t>
      </w:r>
    </w:p>
    <w:p w:rsidR="00640B3E" w:rsidRPr="00640B3E" w:rsidRDefault="00640B3E" w:rsidP="00640B3E">
      <w:pPr>
        <w:pStyle w:val="ListBullet"/>
        <w:rPr>
          <w:rFonts w:ascii="Times New Roman" w:hAnsi="Times New Roman" w:cs="Times New Roman"/>
          <w:sz w:val="24"/>
          <w:szCs w:val="24"/>
        </w:rPr>
      </w:pPr>
      <w:r>
        <w:rPr>
          <w:rFonts w:ascii="Times New Roman" w:hAnsi="Times New Roman" w:cs="Times New Roman"/>
          <w:sz w:val="24"/>
          <w:szCs w:val="24"/>
        </w:rPr>
        <w:t xml:space="preserve">a non-phased approach, </w:t>
      </w:r>
      <w:r w:rsidR="008E7027">
        <w:rPr>
          <w:rFonts w:ascii="Times New Roman" w:hAnsi="Times New Roman" w:cs="Times New Roman"/>
          <w:sz w:val="24"/>
          <w:szCs w:val="24"/>
        </w:rPr>
        <w:t>i.e.</w:t>
      </w:r>
      <w:r>
        <w:rPr>
          <w:rFonts w:ascii="Times New Roman" w:hAnsi="Times New Roman" w:cs="Times New Roman"/>
          <w:sz w:val="24"/>
          <w:szCs w:val="24"/>
        </w:rPr>
        <w:t xml:space="preserve"> adopting</w:t>
      </w:r>
      <w:r w:rsidR="0024443A" w:rsidRPr="00640B3E">
        <w:rPr>
          <w:rFonts w:ascii="Times New Roman" w:hAnsi="Times New Roman" w:cs="Times New Roman"/>
          <w:sz w:val="24"/>
          <w:szCs w:val="24"/>
        </w:rPr>
        <w:t xml:space="preserve"> the standards in place in the US</w:t>
      </w:r>
      <w:r>
        <w:rPr>
          <w:rFonts w:ascii="Times New Roman" w:hAnsi="Times New Roman" w:cs="Times New Roman"/>
          <w:sz w:val="24"/>
          <w:szCs w:val="24"/>
        </w:rPr>
        <w:t xml:space="preserve"> at the time of implementation,</w:t>
      </w:r>
      <w:r w:rsidR="0024443A" w:rsidRPr="00640B3E">
        <w:rPr>
          <w:rFonts w:ascii="Times New Roman" w:hAnsi="Times New Roman" w:cs="Times New Roman"/>
          <w:sz w:val="24"/>
          <w:szCs w:val="24"/>
        </w:rPr>
        <w:t xml:space="preserve"> </w:t>
      </w:r>
      <w:r>
        <w:rPr>
          <w:rFonts w:ascii="Times New Roman" w:hAnsi="Times New Roman" w:cs="Times New Roman"/>
          <w:sz w:val="24"/>
          <w:szCs w:val="24"/>
        </w:rPr>
        <w:t xml:space="preserve">as opposed </w:t>
      </w:r>
      <w:r w:rsidR="008E7027">
        <w:rPr>
          <w:rFonts w:ascii="Times New Roman" w:hAnsi="Times New Roman" w:cs="Times New Roman"/>
          <w:sz w:val="24"/>
          <w:szCs w:val="24"/>
        </w:rPr>
        <w:t xml:space="preserve">to </w:t>
      </w:r>
      <w:r w:rsidR="0024443A" w:rsidRPr="00640B3E">
        <w:rPr>
          <w:rFonts w:ascii="Times New Roman" w:hAnsi="Times New Roman" w:cs="Times New Roman"/>
          <w:sz w:val="24"/>
          <w:szCs w:val="24"/>
        </w:rPr>
        <w:t xml:space="preserve">a phased approach which would involve implementing less stringent standards first and then moving to the current US standards after a few years </w:t>
      </w:r>
    </w:p>
    <w:p w:rsidR="00640B3E" w:rsidRPr="00640B3E" w:rsidRDefault="00AC48AC" w:rsidP="00510F9B">
      <w:pPr>
        <w:pStyle w:val="ListBullet"/>
        <w:rPr>
          <w:rFonts w:ascii="Times New Roman" w:hAnsi="Times New Roman" w:cs="Times New Roman"/>
          <w:sz w:val="24"/>
          <w:szCs w:val="24"/>
        </w:rPr>
      </w:pPr>
      <w:r w:rsidRPr="00640B3E">
        <w:rPr>
          <w:rFonts w:ascii="Times New Roman" w:hAnsi="Times New Roman" w:cs="Times New Roman"/>
          <w:sz w:val="24"/>
          <w:szCs w:val="24"/>
        </w:rPr>
        <w:t>the introduction of standards from 2012</w:t>
      </w:r>
      <w:r w:rsidR="00301402">
        <w:rPr>
          <w:rFonts w:ascii="Times New Roman" w:hAnsi="Times New Roman" w:cs="Times New Roman"/>
          <w:sz w:val="24"/>
          <w:szCs w:val="24"/>
        </w:rPr>
        <w:t xml:space="preserve">. </w:t>
      </w:r>
    </w:p>
    <w:p w:rsidR="00DF1AC2" w:rsidRDefault="00DF1AC2" w:rsidP="00DF1AC2">
      <w:pPr>
        <w:rPr>
          <w:rFonts w:ascii="Times New Roman" w:hAnsi="Times New Roman" w:cs="Times New Roman"/>
          <w:sz w:val="24"/>
          <w:szCs w:val="24"/>
        </w:rPr>
      </w:pPr>
      <w:r>
        <w:rPr>
          <w:rFonts w:ascii="Times New Roman" w:hAnsi="Times New Roman" w:cs="Times New Roman"/>
          <w:sz w:val="24"/>
          <w:szCs w:val="24"/>
        </w:rPr>
        <w:t xml:space="preserve">Among the reasons put forward in support of a delay to regulation was the justification that some aspects of the final US standards, for example evaporative emissions standards and transition provisions, will be phased in through to 2015 for the marine sector, and 2016 for the garden sector. Submissions argue that the adoption of US emissions standards from 2012 would mean that Australia effectively had more stringent standards than those in place in the US. </w:t>
      </w:r>
    </w:p>
    <w:p w:rsidR="001855EC" w:rsidRPr="00640B3E" w:rsidRDefault="007A750D" w:rsidP="00640B3E">
      <w:pPr>
        <w:pStyle w:val="ListBullet"/>
        <w:numPr>
          <w:ilvl w:val="0"/>
          <w:numId w:val="0"/>
        </w:numPr>
        <w:rPr>
          <w:rFonts w:ascii="Times New Roman" w:hAnsi="Times New Roman" w:cs="Times New Roman"/>
          <w:sz w:val="24"/>
          <w:szCs w:val="24"/>
        </w:rPr>
      </w:pPr>
      <w:r w:rsidRPr="00640B3E">
        <w:rPr>
          <w:rFonts w:ascii="Times New Roman" w:hAnsi="Times New Roman" w:cs="Times New Roman"/>
          <w:sz w:val="24"/>
          <w:szCs w:val="24"/>
        </w:rPr>
        <w:t>S</w:t>
      </w:r>
      <w:r w:rsidR="00C76794" w:rsidRPr="00640B3E">
        <w:rPr>
          <w:rFonts w:ascii="Times New Roman" w:hAnsi="Times New Roman" w:cs="Times New Roman"/>
          <w:sz w:val="24"/>
          <w:szCs w:val="24"/>
        </w:rPr>
        <w:t xml:space="preserve">ubmissions from industry stakeholders </w:t>
      </w:r>
      <w:r w:rsidRPr="00640B3E">
        <w:rPr>
          <w:rFonts w:ascii="Times New Roman" w:hAnsi="Times New Roman" w:cs="Times New Roman"/>
          <w:sz w:val="24"/>
          <w:szCs w:val="24"/>
        </w:rPr>
        <w:t>represented two opposing viewpoints – those that</w:t>
      </w:r>
      <w:r w:rsidR="00C76794" w:rsidRPr="00640B3E">
        <w:rPr>
          <w:rFonts w:ascii="Times New Roman" w:hAnsi="Times New Roman" w:cs="Times New Roman"/>
          <w:sz w:val="24"/>
          <w:szCs w:val="24"/>
        </w:rPr>
        <w:t xml:space="preserve"> advocated </w:t>
      </w:r>
      <w:r w:rsidRPr="00640B3E">
        <w:rPr>
          <w:rFonts w:ascii="Times New Roman" w:hAnsi="Times New Roman" w:cs="Times New Roman"/>
          <w:sz w:val="24"/>
          <w:szCs w:val="24"/>
        </w:rPr>
        <w:t>implementing</w:t>
      </w:r>
      <w:r w:rsidR="00C76794" w:rsidRPr="00640B3E">
        <w:rPr>
          <w:rFonts w:ascii="Times New Roman" w:hAnsi="Times New Roman" w:cs="Times New Roman"/>
          <w:sz w:val="24"/>
          <w:szCs w:val="24"/>
        </w:rPr>
        <w:t xml:space="preserve"> standards</w:t>
      </w:r>
      <w:r w:rsidRPr="00640B3E">
        <w:rPr>
          <w:rFonts w:ascii="Times New Roman" w:hAnsi="Times New Roman" w:cs="Times New Roman"/>
          <w:sz w:val="24"/>
          <w:szCs w:val="24"/>
        </w:rPr>
        <w:t xml:space="preserve"> in Australia as soon as possible and those that favoured a delay. </w:t>
      </w:r>
      <w:r w:rsidR="002E0E71">
        <w:rPr>
          <w:rFonts w:ascii="Times New Roman" w:hAnsi="Times New Roman" w:cs="Times New Roman"/>
          <w:sz w:val="24"/>
          <w:szCs w:val="24"/>
        </w:rPr>
        <w:t xml:space="preserve">Within the marine sector </w:t>
      </w:r>
      <w:r w:rsidR="00107B97">
        <w:rPr>
          <w:rFonts w:ascii="Times New Roman" w:hAnsi="Times New Roman" w:cs="Times New Roman"/>
          <w:sz w:val="24"/>
          <w:szCs w:val="24"/>
        </w:rPr>
        <w:t>there was a distinct division in</w:t>
      </w:r>
      <w:r w:rsidR="002E0E71">
        <w:rPr>
          <w:rFonts w:ascii="Times New Roman" w:hAnsi="Times New Roman" w:cs="Times New Roman"/>
          <w:sz w:val="24"/>
          <w:szCs w:val="24"/>
        </w:rPr>
        <w:t xml:space="preserve"> views </w:t>
      </w:r>
      <w:r w:rsidR="00DF1AC2">
        <w:rPr>
          <w:rFonts w:ascii="Times New Roman" w:hAnsi="Times New Roman" w:cs="Times New Roman"/>
          <w:sz w:val="24"/>
          <w:szCs w:val="24"/>
        </w:rPr>
        <w:t>with some submissions seeking implementation of regulation as soon as possible and others requesting a delay to ensure industry has time to adjust to new standards</w:t>
      </w:r>
      <w:r w:rsidR="00301402">
        <w:rPr>
          <w:rFonts w:ascii="Times New Roman" w:hAnsi="Times New Roman" w:cs="Times New Roman"/>
          <w:sz w:val="24"/>
          <w:szCs w:val="24"/>
        </w:rPr>
        <w:t xml:space="preserve">. </w:t>
      </w:r>
      <w:r w:rsidR="00DF1AC2">
        <w:rPr>
          <w:rFonts w:ascii="Times New Roman" w:hAnsi="Times New Roman" w:cs="Times New Roman"/>
          <w:sz w:val="24"/>
          <w:szCs w:val="24"/>
        </w:rPr>
        <w:t>The garden sector l</w:t>
      </w:r>
      <w:r w:rsidR="00387EFE">
        <w:rPr>
          <w:rFonts w:ascii="Times New Roman" w:hAnsi="Times New Roman" w:cs="Times New Roman"/>
          <w:sz w:val="24"/>
          <w:szCs w:val="24"/>
        </w:rPr>
        <w:t>argely support</w:t>
      </w:r>
      <w:r w:rsidR="00DF1AC2">
        <w:rPr>
          <w:rFonts w:ascii="Times New Roman" w:hAnsi="Times New Roman" w:cs="Times New Roman"/>
          <w:sz w:val="24"/>
          <w:szCs w:val="24"/>
        </w:rPr>
        <w:t>ed</w:t>
      </w:r>
      <w:r w:rsidR="00387EFE">
        <w:rPr>
          <w:rFonts w:ascii="Times New Roman" w:hAnsi="Times New Roman" w:cs="Times New Roman"/>
          <w:sz w:val="24"/>
          <w:szCs w:val="24"/>
        </w:rPr>
        <w:t xml:space="preserve"> </w:t>
      </w:r>
      <w:r w:rsidR="00107B97">
        <w:rPr>
          <w:rFonts w:ascii="Times New Roman" w:hAnsi="Times New Roman" w:cs="Times New Roman"/>
          <w:sz w:val="24"/>
          <w:szCs w:val="24"/>
        </w:rPr>
        <w:t xml:space="preserve">implementation </w:t>
      </w:r>
      <w:r w:rsidR="00DF1AC2">
        <w:rPr>
          <w:rFonts w:ascii="Times New Roman" w:hAnsi="Times New Roman" w:cs="Times New Roman"/>
          <w:sz w:val="24"/>
          <w:szCs w:val="24"/>
        </w:rPr>
        <w:t>of st</w:t>
      </w:r>
      <w:r w:rsidR="00152325">
        <w:rPr>
          <w:rFonts w:ascii="Times New Roman" w:hAnsi="Times New Roman" w:cs="Times New Roman"/>
          <w:sz w:val="24"/>
          <w:szCs w:val="24"/>
        </w:rPr>
        <w:t>andards along the same timelin</w:t>
      </w:r>
      <w:r w:rsidR="00DF1AC2">
        <w:rPr>
          <w:rFonts w:ascii="Times New Roman" w:hAnsi="Times New Roman" w:cs="Times New Roman"/>
          <w:sz w:val="24"/>
          <w:szCs w:val="24"/>
        </w:rPr>
        <w:t>es as those in the US</w:t>
      </w:r>
      <w:r w:rsidR="00301402">
        <w:rPr>
          <w:rFonts w:ascii="Times New Roman" w:hAnsi="Times New Roman" w:cs="Times New Roman"/>
          <w:sz w:val="24"/>
          <w:szCs w:val="24"/>
        </w:rPr>
        <w:t xml:space="preserve">. </w:t>
      </w:r>
    </w:p>
    <w:p w:rsidR="0024443A" w:rsidRDefault="0024443A" w:rsidP="00510F9B">
      <w:pPr>
        <w:rPr>
          <w:rFonts w:ascii="Times New Roman" w:hAnsi="Times New Roman" w:cs="Times New Roman"/>
          <w:sz w:val="24"/>
          <w:szCs w:val="24"/>
        </w:rPr>
      </w:pPr>
      <w:r>
        <w:rPr>
          <w:rFonts w:ascii="Times New Roman" w:hAnsi="Times New Roman" w:cs="Times New Roman"/>
          <w:sz w:val="24"/>
          <w:szCs w:val="24"/>
        </w:rPr>
        <w:t xml:space="preserve">Those </w:t>
      </w:r>
      <w:r w:rsidR="00640B3E">
        <w:rPr>
          <w:rFonts w:ascii="Times New Roman" w:hAnsi="Times New Roman" w:cs="Times New Roman"/>
          <w:sz w:val="24"/>
          <w:szCs w:val="24"/>
        </w:rPr>
        <w:t xml:space="preserve">industry </w:t>
      </w:r>
      <w:r w:rsidR="00687E26">
        <w:rPr>
          <w:rFonts w:ascii="Times New Roman" w:hAnsi="Times New Roman" w:cs="Times New Roman"/>
          <w:sz w:val="24"/>
          <w:szCs w:val="24"/>
        </w:rPr>
        <w:t xml:space="preserve">submissions which supported the non-phased approach being introduced from 2012 </w:t>
      </w:r>
      <w:r w:rsidR="00640B3E">
        <w:rPr>
          <w:rFonts w:ascii="Times New Roman" w:hAnsi="Times New Roman" w:cs="Times New Roman"/>
          <w:sz w:val="24"/>
          <w:szCs w:val="24"/>
        </w:rPr>
        <w:t>argued that</w:t>
      </w:r>
      <w:r w:rsidR="00387EFE">
        <w:rPr>
          <w:rFonts w:ascii="Times New Roman" w:hAnsi="Times New Roman" w:cs="Times New Roman"/>
          <w:sz w:val="24"/>
          <w:szCs w:val="24"/>
        </w:rPr>
        <w:t xml:space="preserve"> a full range of low emission engines are already available in Australia and</w:t>
      </w:r>
      <w:r w:rsidR="00107B97">
        <w:rPr>
          <w:rFonts w:ascii="Times New Roman" w:hAnsi="Times New Roman" w:cs="Times New Roman"/>
          <w:sz w:val="24"/>
          <w:szCs w:val="24"/>
        </w:rPr>
        <w:t>,</w:t>
      </w:r>
      <w:r w:rsidR="004C0469">
        <w:rPr>
          <w:rFonts w:ascii="Times New Roman" w:hAnsi="Times New Roman" w:cs="Times New Roman"/>
          <w:sz w:val="24"/>
          <w:szCs w:val="24"/>
        </w:rPr>
        <w:t xml:space="preserve"> for some engine categories,</w:t>
      </w:r>
      <w:r w:rsidR="00387EFE">
        <w:rPr>
          <w:rFonts w:ascii="Times New Roman" w:hAnsi="Times New Roman" w:cs="Times New Roman"/>
          <w:sz w:val="24"/>
          <w:szCs w:val="24"/>
        </w:rPr>
        <w:t xml:space="preserve"> </w:t>
      </w:r>
      <w:r w:rsidR="00107B97">
        <w:rPr>
          <w:rFonts w:ascii="Times New Roman" w:hAnsi="Times New Roman" w:cs="Times New Roman"/>
          <w:sz w:val="24"/>
          <w:szCs w:val="24"/>
        </w:rPr>
        <w:t xml:space="preserve">in the absence of regulation </w:t>
      </w:r>
      <w:r w:rsidR="004C0469">
        <w:rPr>
          <w:rFonts w:ascii="Times New Roman" w:hAnsi="Times New Roman" w:cs="Times New Roman"/>
          <w:sz w:val="24"/>
          <w:szCs w:val="24"/>
        </w:rPr>
        <w:t>these engines continue to face competition from cheaper, higher emitting engines. Further, the submissions stated that delays would continue to cost the Australian community in terms of environmental and health outcomes.</w:t>
      </w:r>
      <w:r w:rsidR="00107B97">
        <w:rPr>
          <w:rFonts w:ascii="Times New Roman" w:hAnsi="Times New Roman" w:cs="Times New Roman"/>
          <w:sz w:val="24"/>
          <w:szCs w:val="24"/>
        </w:rPr>
        <w:t xml:space="preserve"> A few submissions from the marine sector stated that Australia needs to move in the direction of world’s best practice and that overseas experience has shown that regulation of emissions does not lead to a collapse of the marine engine industry rather that sales were more affected by the global and local economy.</w:t>
      </w:r>
      <w:r w:rsidR="00640B3E">
        <w:rPr>
          <w:rFonts w:ascii="Times New Roman" w:hAnsi="Times New Roman" w:cs="Times New Roman"/>
          <w:sz w:val="24"/>
          <w:szCs w:val="24"/>
        </w:rPr>
        <w:t xml:space="preserve"> </w:t>
      </w:r>
    </w:p>
    <w:p w:rsidR="00703018" w:rsidRDefault="00152325" w:rsidP="00510F9B">
      <w:pPr>
        <w:rPr>
          <w:rFonts w:ascii="Times New Roman" w:hAnsi="Times New Roman" w:cs="Times New Roman"/>
          <w:sz w:val="24"/>
          <w:szCs w:val="24"/>
        </w:rPr>
      </w:pPr>
      <w:r>
        <w:rPr>
          <w:rFonts w:ascii="Times New Roman" w:hAnsi="Times New Roman" w:cs="Times New Roman"/>
          <w:sz w:val="24"/>
          <w:szCs w:val="24"/>
        </w:rPr>
        <w:t>Some m</w:t>
      </w:r>
      <w:r w:rsidR="00DF1AC2">
        <w:rPr>
          <w:rFonts w:ascii="Times New Roman" w:hAnsi="Times New Roman" w:cs="Times New Roman"/>
          <w:sz w:val="24"/>
          <w:szCs w:val="24"/>
        </w:rPr>
        <w:t>anufacturers and d</w:t>
      </w:r>
      <w:r w:rsidR="00A13A6B">
        <w:rPr>
          <w:rFonts w:ascii="Times New Roman" w:hAnsi="Times New Roman" w:cs="Times New Roman"/>
          <w:sz w:val="24"/>
          <w:szCs w:val="24"/>
        </w:rPr>
        <w:t>istributor</w:t>
      </w:r>
      <w:r w:rsidR="00862199">
        <w:rPr>
          <w:rFonts w:ascii="Times New Roman" w:hAnsi="Times New Roman" w:cs="Times New Roman"/>
          <w:sz w:val="24"/>
          <w:szCs w:val="24"/>
        </w:rPr>
        <w:t>s argued that lead time is required when</w:t>
      </w:r>
      <w:r w:rsidR="00A13A6B">
        <w:rPr>
          <w:rFonts w:ascii="Times New Roman" w:hAnsi="Times New Roman" w:cs="Times New Roman"/>
          <w:sz w:val="24"/>
          <w:szCs w:val="24"/>
        </w:rPr>
        <w:t xml:space="preserve"> determining the model mix and volume of product imported into Australia</w:t>
      </w:r>
      <w:r w:rsidR="00862199">
        <w:rPr>
          <w:rFonts w:ascii="Times New Roman" w:hAnsi="Times New Roman" w:cs="Times New Roman"/>
          <w:sz w:val="24"/>
          <w:szCs w:val="24"/>
        </w:rPr>
        <w:t xml:space="preserve">. Lead times stated in marine </w:t>
      </w:r>
      <w:r w:rsidR="00550C83">
        <w:rPr>
          <w:rFonts w:ascii="Times New Roman" w:hAnsi="Times New Roman" w:cs="Times New Roman"/>
          <w:sz w:val="24"/>
          <w:szCs w:val="24"/>
        </w:rPr>
        <w:t xml:space="preserve">sector </w:t>
      </w:r>
      <w:r w:rsidR="00862199">
        <w:rPr>
          <w:rFonts w:ascii="Times New Roman" w:hAnsi="Times New Roman" w:cs="Times New Roman"/>
          <w:sz w:val="24"/>
          <w:szCs w:val="24"/>
        </w:rPr>
        <w:t>submissions ranged from 3 months to</w:t>
      </w:r>
      <w:r w:rsidR="00A13A6B">
        <w:rPr>
          <w:rFonts w:ascii="Times New Roman" w:hAnsi="Times New Roman" w:cs="Times New Roman"/>
          <w:sz w:val="24"/>
          <w:szCs w:val="24"/>
        </w:rPr>
        <w:t xml:space="preserve"> 24 months</w:t>
      </w:r>
      <w:r w:rsidR="00862199">
        <w:rPr>
          <w:rFonts w:ascii="Times New Roman" w:hAnsi="Times New Roman" w:cs="Times New Roman"/>
          <w:sz w:val="24"/>
          <w:szCs w:val="24"/>
        </w:rPr>
        <w:t>, while in the garden sector a lead time of 12 to 18 months was stated.</w:t>
      </w:r>
      <w:r w:rsidR="00A13A6B">
        <w:rPr>
          <w:rFonts w:ascii="Times New Roman" w:hAnsi="Times New Roman" w:cs="Times New Roman"/>
          <w:sz w:val="24"/>
          <w:szCs w:val="24"/>
        </w:rPr>
        <w:t xml:space="preserve"> </w:t>
      </w:r>
    </w:p>
    <w:p w:rsidR="00A13A6B" w:rsidRDefault="00B86790" w:rsidP="00510F9B">
      <w:pPr>
        <w:rPr>
          <w:rFonts w:ascii="Times New Roman" w:hAnsi="Times New Roman" w:cs="Times New Roman"/>
          <w:sz w:val="24"/>
          <w:szCs w:val="24"/>
        </w:rPr>
      </w:pPr>
      <w:r>
        <w:rPr>
          <w:rFonts w:ascii="Times New Roman" w:hAnsi="Times New Roman" w:cs="Times New Roman"/>
          <w:sz w:val="24"/>
          <w:szCs w:val="24"/>
        </w:rPr>
        <w:t xml:space="preserve">Marine engine sector </w:t>
      </w:r>
      <w:r w:rsidR="00703018">
        <w:rPr>
          <w:rFonts w:ascii="Times New Roman" w:hAnsi="Times New Roman" w:cs="Times New Roman"/>
          <w:sz w:val="24"/>
          <w:szCs w:val="24"/>
        </w:rPr>
        <w:t xml:space="preserve">submissions raised </w:t>
      </w:r>
      <w:r>
        <w:rPr>
          <w:rFonts w:ascii="Times New Roman" w:hAnsi="Times New Roman" w:cs="Times New Roman"/>
          <w:sz w:val="24"/>
          <w:szCs w:val="24"/>
        </w:rPr>
        <w:t>concern</w:t>
      </w:r>
      <w:r w:rsidR="00703018">
        <w:rPr>
          <w:rFonts w:ascii="Times New Roman" w:hAnsi="Times New Roman" w:cs="Times New Roman"/>
          <w:sz w:val="24"/>
          <w:szCs w:val="24"/>
        </w:rPr>
        <w:t>s</w:t>
      </w:r>
      <w:r>
        <w:rPr>
          <w:rFonts w:ascii="Times New Roman" w:hAnsi="Times New Roman" w:cs="Times New Roman"/>
          <w:sz w:val="24"/>
          <w:szCs w:val="24"/>
        </w:rPr>
        <w:t xml:space="preserve"> that boat builders in Australia will not have sufficient time to source appropriately certified components or re-engineer the boat-fuel systems if regulations are implemented in 2012.</w:t>
      </w:r>
      <w:r w:rsidR="00F41F74">
        <w:rPr>
          <w:rFonts w:ascii="Times New Roman" w:hAnsi="Times New Roman" w:cs="Times New Roman"/>
          <w:sz w:val="24"/>
          <w:szCs w:val="24"/>
        </w:rPr>
        <w:t xml:space="preserve"> Concerns were also raised regarding short transition time to the introduction of standards requiring the use of catalyst</w:t>
      </w:r>
      <w:r w:rsidR="003A2FA4">
        <w:rPr>
          <w:rFonts w:ascii="Times New Roman" w:hAnsi="Times New Roman" w:cs="Times New Roman"/>
          <w:sz w:val="24"/>
          <w:szCs w:val="24"/>
        </w:rPr>
        <w:t>s</w:t>
      </w:r>
      <w:r w:rsidR="00F41F74">
        <w:rPr>
          <w:rFonts w:ascii="Times New Roman" w:hAnsi="Times New Roman" w:cs="Times New Roman"/>
          <w:sz w:val="24"/>
          <w:szCs w:val="24"/>
        </w:rPr>
        <w:t xml:space="preserve"> in sterndrive and inboard engines.</w:t>
      </w:r>
    </w:p>
    <w:p w:rsidR="0024443A" w:rsidRDefault="0024443A" w:rsidP="00510F9B">
      <w:pPr>
        <w:rPr>
          <w:rFonts w:ascii="Times New Roman" w:hAnsi="Times New Roman" w:cs="Times New Roman"/>
          <w:sz w:val="24"/>
          <w:szCs w:val="24"/>
        </w:rPr>
      </w:pPr>
      <w:r>
        <w:rPr>
          <w:rFonts w:ascii="Times New Roman" w:hAnsi="Times New Roman" w:cs="Times New Roman"/>
          <w:sz w:val="24"/>
          <w:szCs w:val="24"/>
        </w:rPr>
        <w:t xml:space="preserve">Non-industry submissions which commented on timing tended </w:t>
      </w:r>
      <w:r w:rsidR="002E0E71">
        <w:rPr>
          <w:rFonts w:ascii="Times New Roman" w:hAnsi="Times New Roman" w:cs="Times New Roman"/>
          <w:sz w:val="24"/>
          <w:szCs w:val="24"/>
        </w:rPr>
        <w:t xml:space="preserve">to </w:t>
      </w:r>
      <w:r>
        <w:rPr>
          <w:rFonts w:ascii="Times New Roman" w:hAnsi="Times New Roman" w:cs="Times New Roman"/>
          <w:sz w:val="24"/>
          <w:szCs w:val="24"/>
        </w:rPr>
        <w:t xml:space="preserve">support the </w:t>
      </w:r>
      <w:r w:rsidR="00BD4587">
        <w:rPr>
          <w:rFonts w:ascii="Times New Roman" w:hAnsi="Times New Roman" w:cs="Times New Roman"/>
          <w:sz w:val="24"/>
          <w:szCs w:val="24"/>
        </w:rPr>
        <w:t>approach proposed</w:t>
      </w:r>
      <w:r w:rsidR="002E0E71">
        <w:rPr>
          <w:rFonts w:ascii="Times New Roman" w:hAnsi="Times New Roman" w:cs="Times New Roman"/>
          <w:sz w:val="24"/>
          <w:szCs w:val="24"/>
        </w:rPr>
        <w:t>.</w:t>
      </w:r>
    </w:p>
    <w:p w:rsidR="00510F9B" w:rsidRPr="006E3871" w:rsidRDefault="00510F9B" w:rsidP="00EB6C5C">
      <w:pPr>
        <w:pStyle w:val="Heading1"/>
      </w:pPr>
      <w:bookmarkStart w:id="6" w:name="_Toc342565457"/>
      <w:r w:rsidRPr="006E3871">
        <w:lastRenderedPageBreak/>
        <w:t>Averaging, Banking and Trading</w:t>
      </w:r>
      <w:bookmarkEnd w:id="6"/>
    </w:p>
    <w:p w:rsidR="001438E4" w:rsidRDefault="00012A23" w:rsidP="001438E4">
      <w:pPr>
        <w:rPr>
          <w:rFonts w:ascii="Times New Roman" w:hAnsi="Times New Roman" w:cs="Times New Roman"/>
          <w:sz w:val="24"/>
          <w:szCs w:val="24"/>
        </w:rPr>
      </w:pPr>
      <w:r>
        <w:rPr>
          <w:rFonts w:ascii="Times New Roman" w:hAnsi="Times New Roman" w:cs="Times New Roman"/>
          <w:sz w:val="24"/>
          <w:szCs w:val="24"/>
        </w:rPr>
        <w:t>The prefe</w:t>
      </w:r>
      <w:r w:rsidR="00C36575">
        <w:rPr>
          <w:rFonts w:ascii="Times New Roman" w:hAnsi="Times New Roman" w:cs="Times New Roman"/>
          <w:sz w:val="24"/>
          <w:szCs w:val="24"/>
        </w:rPr>
        <w:t>rred option put forward in the C</w:t>
      </w:r>
      <w:r>
        <w:rPr>
          <w:rFonts w:ascii="Times New Roman" w:hAnsi="Times New Roman" w:cs="Times New Roman"/>
          <w:sz w:val="24"/>
          <w:szCs w:val="24"/>
        </w:rPr>
        <w:t>onsultation RIS d</w:t>
      </w:r>
      <w:r w:rsidR="00BF670B">
        <w:rPr>
          <w:rFonts w:ascii="Times New Roman" w:hAnsi="Times New Roman" w:cs="Times New Roman"/>
          <w:sz w:val="24"/>
          <w:szCs w:val="24"/>
        </w:rPr>
        <w:t>oes</w:t>
      </w:r>
      <w:r>
        <w:rPr>
          <w:rFonts w:ascii="Times New Roman" w:hAnsi="Times New Roman" w:cs="Times New Roman"/>
          <w:sz w:val="24"/>
          <w:szCs w:val="24"/>
        </w:rPr>
        <w:t xml:space="preserve"> not include </w:t>
      </w:r>
      <w:r w:rsidR="0057572A">
        <w:rPr>
          <w:rFonts w:ascii="Times New Roman" w:hAnsi="Times New Roman" w:cs="Times New Roman"/>
          <w:sz w:val="24"/>
          <w:szCs w:val="24"/>
        </w:rPr>
        <w:t>a</w:t>
      </w:r>
      <w:r w:rsidR="001438E4">
        <w:rPr>
          <w:rFonts w:ascii="Times New Roman" w:hAnsi="Times New Roman" w:cs="Times New Roman"/>
          <w:sz w:val="24"/>
          <w:szCs w:val="24"/>
        </w:rPr>
        <w:t xml:space="preserve">veraging, </w:t>
      </w:r>
      <w:r w:rsidR="0057572A">
        <w:rPr>
          <w:rFonts w:ascii="Times New Roman" w:hAnsi="Times New Roman" w:cs="Times New Roman"/>
          <w:sz w:val="24"/>
          <w:szCs w:val="24"/>
        </w:rPr>
        <w:t>b</w:t>
      </w:r>
      <w:r w:rsidR="001438E4">
        <w:rPr>
          <w:rFonts w:ascii="Times New Roman" w:hAnsi="Times New Roman" w:cs="Times New Roman"/>
          <w:sz w:val="24"/>
          <w:szCs w:val="24"/>
        </w:rPr>
        <w:t xml:space="preserve">anking and </w:t>
      </w:r>
      <w:r w:rsidR="0057572A">
        <w:rPr>
          <w:rFonts w:ascii="Times New Roman" w:hAnsi="Times New Roman" w:cs="Times New Roman"/>
          <w:sz w:val="24"/>
          <w:szCs w:val="24"/>
        </w:rPr>
        <w:t>t</w:t>
      </w:r>
      <w:r w:rsidR="001438E4">
        <w:rPr>
          <w:rFonts w:ascii="Times New Roman" w:hAnsi="Times New Roman" w:cs="Times New Roman"/>
          <w:sz w:val="24"/>
          <w:szCs w:val="24"/>
        </w:rPr>
        <w:t>rading (ABT)</w:t>
      </w:r>
      <w:r>
        <w:rPr>
          <w:rFonts w:ascii="Times New Roman" w:hAnsi="Times New Roman" w:cs="Times New Roman"/>
          <w:sz w:val="24"/>
          <w:szCs w:val="24"/>
        </w:rPr>
        <w:t>.</w:t>
      </w:r>
      <w:r w:rsidR="001438E4">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1438E4">
        <w:rPr>
          <w:rFonts w:ascii="Times New Roman" w:hAnsi="Times New Roman" w:cs="Times New Roman"/>
          <w:sz w:val="24"/>
          <w:szCs w:val="24"/>
        </w:rPr>
        <w:t xml:space="preserve">provisions in the US emission standards enable </w:t>
      </w:r>
      <w:r w:rsidR="003A2FA4">
        <w:rPr>
          <w:rFonts w:ascii="Times New Roman" w:hAnsi="Times New Roman" w:cs="Times New Roman"/>
          <w:sz w:val="24"/>
          <w:szCs w:val="24"/>
        </w:rPr>
        <w:t xml:space="preserve">engine/equipment </w:t>
      </w:r>
      <w:r w:rsidR="001438E4">
        <w:rPr>
          <w:rFonts w:ascii="Times New Roman" w:hAnsi="Times New Roman" w:cs="Times New Roman"/>
          <w:sz w:val="24"/>
          <w:szCs w:val="24"/>
        </w:rPr>
        <w:t xml:space="preserve">manufacturers to average exhaust emissions across engine families within their product lines and to </w:t>
      </w:r>
      <w:r w:rsidR="003A2FA4">
        <w:rPr>
          <w:rFonts w:ascii="Times New Roman" w:hAnsi="Times New Roman" w:cs="Times New Roman"/>
          <w:sz w:val="24"/>
          <w:szCs w:val="24"/>
        </w:rPr>
        <w:t xml:space="preserve">accrue </w:t>
      </w:r>
      <w:r w:rsidR="001438E4">
        <w:rPr>
          <w:rFonts w:ascii="Times New Roman" w:hAnsi="Times New Roman" w:cs="Times New Roman"/>
          <w:sz w:val="24"/>
          <w:szCs w:val="24"/>
        </w:rPr>
        <w:t>credits for engines that outperform emission standard</w:t>
      </w:r>
      <w:r w:rsidR="003A2FA4">
        <w:rPr>
          <w:rFonts w:ascii="Times New Roman" w:hAnsi="Times New Roman" w:cs="Times New Roman"/>
          <w:sz w:val="24"/>
          <w:szCs w:val="24"/>
        </w:rPr>
        <w:t>s which can be used</w:t>
      </w:r>
      <w:r w:rsidR="001438E4">
        <w:rPr>
          <w:rFonts w:ascii="Times New Roman" w:hAnsi="Times New Roman" w:cs="Times New Roman"/>
          <w:sz w:val="24"/>
          <w:szCs w:val="24"/>
        </w:rPr>
        <w:t xml:space="preserve"> to offset worse</w:t>
      </w:r>
      <w:r w:rsidR="003A2FA4">
        <w:rPr>
          <w:rFonts w:ascii="Times New Roman" w:hAnsi="Times New Roman" w:cs="Times New Roman"/>
          <w:sz w:val="24"/>
          <w:szCs w:val="24"/>
        </w:rPr>
        <w:noBreakHyphen/>
      </w:r>
      <w:r w:rsidR="001438E4">
        <w:rPr>
          <w:rFonts w:ascii="Times New Roman" w:hAnsi="Times New Roman" w:cs="Times New Roman"/>
          <w:sz w:val="24"/>
          <w:szCs w:val="24"/>
        </w:rPr>
        <w:t xml:space="preserve">performing engines in subsequent years. They may also trade credits </w:t>
      </w:r>
      <w:r w:rsidR="003A2FA4">
        <w:rPr>
          <w:rFonts w:ascii="Times New Roman" w:hAnsi="Times New Roman" w:cs="Times New Roman"/>
          <w:sz w:val="24"/>
          <w:szCs w:val="24"/>
        </w:rPr>
        <w:t xml:space="preserve">with other </w:t>
      </w:r>
      <w:r w:rsidR="001438E4">
        <w:rPr>
          <w:rFonts w:ascii="Times New Roman" w:hAnsi="Times New Roman" w:cs="Times New Roman"/>
          <w:sz w:val="24"/>
          <w:szCs w:val="24"/>
        </w:rPr>
        <w:t xml:space="preserve">manufacturers. </w:t>
      </w:r>
    </w:p>
    <w:p w:rsidR="00B86790" w:rsidRDefault="003A2FA4" w:rsidP="003E5F21">
      <w:pPr>
        <w:rPr>
          <w:rFonts w:ascii="Times New Roman" w:hAnsi="Times New Roman" w:cs="Times New Roman"/>
          <w:sz w:val="24"/>
          <w:szCs w:val="24"/>
        </w:rPr>
      </w:pPr>
      <w:r>
        <w:rPr>
          <w:rFonts w:ascii="Times New Roman" w:hAnsi="Times New Roman" w:cs="Times New Roman"/>
          <w:sz w:val="24"/>
          <w:szCs w:val="24"/>
        </w:rPr>
        <w:t>Some</w:t>
      </w:r>
      <w:r w:rsidR="00F41F74">
        <w:rPr>
          <w:rFonts w:ascii="Times New Roman" w:hAnsi="Times New Roman" w:cs="Times New Roman"/>
          <w:sz w:val="24"/>
          <w:szCs w:val="24"/>
        </w:rPr>
        <w:t xml:space="preserve"> industry stakeholders in both the marine and garden sectors</w:t>
      </w:r>
      <w:r>
        <w:rPr>
          <w:rFonts w:ascii="Times New Roman" w:hAnsi="Times New Roman" w:cs="Times New Roman"/>
          <w:sz w:val="24"/>
          <w:szCs w:val="24"/>
        </w:rPr>
        <w:t xml:space="preserve"> support the inclusion of either averaging of full ABT provisions in Australia</w:t>
      </w:r>
      <w:r w:rsidR="00F41F74">
        <w:rPr>
          <w:rFonts w:ascii="Times New Roman" w:hAnsi="Times New Roman" w:cs="Times New Roman"/>
          <w:sz w:val="24"/>
          <w:szCs w:val="24"/>
        </w:rPr>
        <w:t xml:space="preserve">. </w:t>
      </w:r>
      <w:r w:rsidR="00B86790">
        <w:rPr>
          <w:rFonts w:ascii="Times New Roman" w:hAnsi="Times New Roman" w:cs="Times New Roman"/>
          <w:sz w:val="24"/>
          <w:szCs w:val="24"/>
        </w:rPr>
        <w:t xml:space="preserve">Of the 42 independent submissions, 14 are supportive of averaging and/or ABT, 8 are not, and 20 do not </w:t>
      </w:r>
      <w:r w:rsidR="00F41F74">
        <w:rPr>
          <w:rFonts w:ascii="Times New Roman" w:hAnsi="Times New Roman" w:cs="Times New Roman"/>
          <w:sz w:val="24"/>
          <w:szCs w:val="24"/>
        </w:rPr>
        <w:t>provide comment</w:t>
      </w:r>
      <w:r w:rsidR="002B437A">
        <w:rPr>
          <w:rFonts w:ascii="Times New Roman" w:hAnsi="Times New Roman" w:cs="Times New Roman"/>
          <w:sz w:val="24"/>
          <w:szCs w:val="24"/>
        </w:rPr>
        <w:t xml:space="preserve">. </w:t>
      </w:r>
      <w:r w:rsidR="00F41F74">
        <w:rPr>
          <w:rFonts w:ascii="Times New Roman" w:hAnsi="Times New Roman" w:cs="Times New Roman"/>
          <w:sz w:val="24"/>
          <w:szCs w:val="24"/>
        </w:rPr>
        <w:t xml:space="preserve">In addition, the form letter submissions from boat </w:t>
      </w:r>
      <w:r>
        <w:rPr>
          <w:rFonts w:ascii="Times New Roman" w:hAnsi="Times New Roman" w:cs="Times New Roman"/>
          <w:sz w:val="24"/>
          <w:szCs w:val="24"/>
        </w:rPr>
        <w:t xml:space="preserve">builders and </w:t>
      </w:r>
      <w:r w:rsidR="00F41F74">
        <w:rPr>
          <w:rFonts w:ascii="Times New Roman" w:hAnsi="Times New Roman" w:cs="Times New Roman"/>
          <w:sz w:val="24"/>
          <w:szCs w:val="24"/>
        </w:rPr>
        <w:t xml:space="preserve">sellers support </w:t>
      </w:r>
      <w:r>
        <w:rPr>
          <w:rFonts w:ascii="Times New Roman" w:hAnsi="Times New Roman" w:cs="Times New Roman"/>
          <w:sz w:val="24"/>
          <w:szCs w:val="24"/>
        </w:rPr>
        <w:t>these provisions.</w:t>
      </w:r>
    </w:p>
    <w:p w:rsidR="002B437A" w:rsidRDefault="0057572A" w:rsidP="002B437A">
      <w:pPr>
        <w:rPr>
          <w:rFonts w:ascii="Times New Roman" w:hAnsi="Times New Roman" w:cs="Times New Roman"/>
          <w:sz w:val="24"/>
          <w:szCs w:val="24"/>
        </w:rPr>
      </w:pPr>
      <w:r>
        <w:rPr>
          <w:rFonts w:ascii="Times New Roman" w:hAnsi="Times New Roman" w:cs="Times New Roman"/>
          <w:sz w:val="24"/>
          <w:szCs w:val="24"/>
        </w:rPr>
        <w:t>S</w:t>
      </w:r>
      <w:r w:rsidR="00044C8A">
        <w:rPr>
          <w:rFonts w:ascii="Times New Roman" w:hAnsi="Times New Roman" w:cs="Times New Roman"/>
          <w:sz w:val="24"/>
          <w:szCs w:val="24"/>
        </w:rPr>
        <w:t>upporters</w:t>
      </w:r>
      <w:r w:rsidR="001438E4">
        <w:rPr>
          <w:rFonts w:ascii="Times New Roman" w:hAnsi="Times New Roman" w:cs="Times New Roman"/>
          <w:sz w:val="24"/>
          <w:szCs w:val="24"/>
        </w:rPr>
        <w:t xml:space="preserve"> of</w:t>
      </w:r>
      <w:r w:rsidR="00510F9B">
        <w:rPr>
          <w:rFonts w:ascii="Times New Roman" w:hAnsi="Times New Roman" w:cs="Times New Roman"/>
          <w:sz w:val="24"/>
          <w:szCs w:val="24"/>
        </w:rPr>
        <w:t xml:space="preserve"> ABT</w:t>
      </w:r>
      <w:r w:rsidR="001438E4">
        <w:rPr>
          <w:rFonts w:ascii="Times New Roman" w:hAnsi="Times New Roman" w:cs="Times New Roman"/>
          <w:sz w:val="24"/>
          <w:szCs w:val="24"/>
        </w:rPr>
        <w:t xml:space="preserve"> provisions</w:t>
      </w:r>
      <w:r w:rsidR="00510F9B" w:rsidRPr="00EB3FBF">
        <w:rPr>
          <w:rFonts w:ascii="Times New Roman" w:hAnsi="Times New Roman" w:cs="Times New Roman"/>
          <w:sz w:val="24"/>
          <w:szCs w:val="24"/>
        </w:rPr>
        <w:t xml:space="preserve"> </w:t>
      </w:r>
      <w:r w:rsidR="002B437A">
        <w:rPr>
          <w:rFonts w:ascii="Times New Roman" w:hAnsi="Times New Roman" w:cs="Times New Roman"/>
          <w:sz w:val="24"/>
          <w:szCs w:val="24"/>
        </w:rPr>
        <w:t xml:space="preserve">argue </w:t>
      </w:r>
      <w:r w:rsidR="00510F9B" w:rsidRPr="00EB3FBF">
        <w:rPr>
          <w:rFonts w:ascii="Times New Roman" w:hAnsi="Times New Roman" w:cs="Times New Roman"/>
          <w:sz w:val="24"/>
          <w:szCs w:val="24"/>
        </w:rPr>
        <w:t xml:space="preserve">that </w:t>
      </w:r>
      <w:r w:rsidR="00510F9B" w:rsidRPr="00044C8A">
        <w:rPr>
          <w:rFonts w:ascii="Times New Roman" w:hAnsi="Times New Roman" w:cs="Times New Roman"/>
          <w:sz w:val="24"/>
          <w:szCs w:val="24"/>
        </w:rPr>
        <w:t>some flexibility i</w:t>
      </w:r>
      <w:r>
        <w:rPr>
          <w:rFonts w:ascii="Times New Roman" w:hAnsi="Times New Roman" w:cs="Times New Roman"/>
          <w:sz w:val="24"/>
          <w:szCs w:val="24"/>
        </w:rPr>
        <w:t>s required to</w:t>
      </w:r>
      <w:r w:rsidR="00764CF7">
        <w:rPr>
          <w:rFonts w:ascii="Times New Roman" w:hAnsi="Times New Roman" w:cs="Times New Roman"/>
          <w:sz w:val="24"/>
          <w:szCs w:val="24"/>
        </w:rPr>
        <w:t xml:space="preserve"> meet these new regulations</w:t>
      </w:r>
      <w:r>
        <w:rPr>
          <w:rFonts w:ascii="Times New Roman" w:hAnsi="Times New Roman" w:cs="Times New Roman"/>
          <w:sz w:val="24"/>
          <w:szCs w:val="24"/>
        </w:rPr>
        <w:t xml:space="preserve"> as is recognised by the US EPA</w:t>
      </w:r>
      <w:r w:rsidR="002B437A">
        <w:rPr>
          <w:rFonts w:ascii="Times New Roman" w:hAnsi="Times New Roman" w:cs="Times New Roman"/>
          <w:sz w:val="24"/>
          <w:szCs w:val="24"/>
        </w:rPr>
        <w:t xml:space="preserve"> in implementing ABT provisions</w:t>
      </w:r>
      <w:r w:rsidR="00764CF7">
        <w:rPr>
          <w:rFonts w:ascii="Times New Roman" w:hAnsi="Times New Roman" w:cs="Times New Roman"/>
          <w:sz w:val="24"/>
          <w:szCs w:val="24"/>
        </w:rPr>
        <w:t>.</w:t>
      </w:r>
      <w:r w:rsidR="00510F9B" w:rsidRPr="00EB3FBF">
        <w:rPr>
          <w:rFonts w:ascii="Times New Roman" w:hAnsi="Times New Roman" w:cs="Times New Roman"/>
          <w:sz w:val="24"/>
          <w:szCs w:val="24"/>
        </w:rPr>
        <w:t xml:space="preserve"> </w:t>
      </w:r>
      <w:r w:rsidR="003E5F21">
        <w:rPr>
          <w:rFonts w:ascii="Times New Roman" w:hAnsi="Times New Roman" w:cs="Times New Roman"/>
          <w:sz w:val="24"/>
          <w:szCs w:val="24"/>
        </w:rPr>
        <w:t xml:space="preserve">They </w:t>
      </w:r>
      <w:r w:rsidR="002B437A">
        <w:rPr>
          <w:rFonts w:ascii="Times New Roman" w:hAnsi="Times New Roman" w:cs="Times New Roman"/>
          <w:sz w:val="24"/>
          <w:szCs w:val="24"/>
        </w:rPr>
        <w:t>claim</w:t>
      </w:r>
      <w:r w:rsidR="00510F9B">
        <w:rPr>
          <w:rFonts w:ascii="Times New Roman" w:hAnsi="Times New Roman" w:cs="Times New Roman"/>
          <w:sz w:val="24"/>
          <w:szCs w:val="24"/>
        </w:rPr>
        <w:t xml:space="preserve"> that </w:t>
      </w:r>
      <w:r w:rsidR="00510F9B" w:rsidRPr="009A2E47">
        <w:rPr>
          <w:rFonts w:ascii="Times New Roman" w:hAnsi="Times New Roman" w:cs="Times New Roman"/>
          <w:sz w:val="24"/>
          <w:szCs w:val="24"/>
        </w:rPr>
        <w:t xml:space="preserve">ABT </w:t>
      </w:r>
      <w:r>
        <w:rPr>
          <w:rFonts w:ascii="Times New Roman" w:hAnsi="Times New Roman" w:cs="Times New Roman"/>
          <w:sz w:val="24"/>
          <w:szCs w:val="24"/>
        </w:rPr>
        <w:t>would not result in</w:t>
      </w:r>
      <w:r w:rsidR="00510F9B">
        <w:rPr>
          <w:rFonts w:ascii="Times New Roman" w:hAnsi="Times New Roman" w:cs="Times New Roman"/>
          <w:sz w:val="24"/>
          <w:szCs w:val="24"/>
        </w:rPr>
        <w:t xml:space="preserve"> large numbers of high emission eng</w:t>
      </w:r>
      <w:r w:rsidR="003322D8">
        <w:rPr>
          <w:rFonts w:ascii="Times New Roman" w:hAnsi="Times New Roman" w:cs="Times New Roman"/>
          <w:sz w:val="24"/>
          <w:szCs w:val="24"/>
        </w:rPr>
        <w:t>ines be</w:t>
      </w:r>
      <w:r w:rsidR="008E7027">
        <w:rPr>
          <w:rFonts w:ascii="Times New Roman" w:hAnsi="Times New Roman" w:cs="Times New Roman"/>
          <w:sz w:val="24"/>
          <w:szCs w:val="24"/>
        </w:rPr>
        <w:t>ing</w:t>
      </w:r>
      <w:r w:rsidR="003322D8">
        <w:rPr>
          <w:rFonts w:ascii="Times New Roman" w:hAnsi="Times New Roman" w:cs="Times New Roman"/>
          <w:sz w:val="24"/>
          <w:szCs w:val="24"/>
        </w:rPr>
        <w:t xml:space="preserve"> “dumped” in Australia</w:t>
      </w:r>
      <w:r w:rsidR="00044C8A">
        <w:rPr>
          <w:rFonts w:ascii="Times New Roman" w:hAnsi="Times New Roman" w:cs="Times New Roman"/>
          <w:sz w:val="24"/>
          <w:szCs w:val="24"/>
        </w:rPr>
        <w:t>.</w:t>
      </w:r>
      <w:r w:rsidR="002B437A">
        <w:rPr>
          <w:rFonts w:ascii="Times New Roman" w:hAnsi="Times New Roman" w:cs="Times New Roman"/>
          <w:sz w:val="24"/>
          <w:szCs w:val="24"/>
        </w:rPr>
        <w:t xml:space="preserve"> </w:t>
      </w:r>
    </w:p>
    <w:p w:rsidR="006C7F67" w:rsidRDefault="002B437A" w:rsidP="006C7F67">
      <w:pPr>
        <w:rPr>
          <w:rFonts w:ascii="Times New Roman" w:hAnsi="Times New Roman" w:cs="Times New Roman"/>
          <w:sz w:val="24"/>
          <w:szCs w:val="24"/>
        </w:rPr>
      </w:pPr>
      <w:r>
        <w:rPr>
          <w:rFonts w:ascii="Times New Roman" w:hAnsi="Times New Roman" w:cs="Times New Roman"/>
          <w:sz w:val="24"/>
          <w:szCs w:val="24"/>
        </w:rPr>
        <w:t>A number of submissions proposed a similar</w:t>
      </w:r>
      <w:r w:rsidR="00510F9B">
        <w:rPr>
          <w:rFonts w:ascii="Times New Roman" w:hAnsi="Times New Roman" w:cs="Times New Roman"/>
          <w:sz w:val="24"/>
          <w:szCs w:val="24"/>
        </w:rPr>
        <w:t xml:space="preserve"> approach to </w:t>
      </w:r>
      <w:r>
        <w:rPr>
          <w:rFonts w:ascii="Times New Roman" w:hAnsi="Times New Roman" w:cs="Times New Roman"/>
          <w:sz w:val="24"/>
          <w:szCs w:val="24"/>
        </w:rPr>
        <w:t xml:space="preserve">that in place in </w:t>
      </w:r>
      <w:r w:rsidR="00510F9B">
        <w:rPr>
          <w:rFonts w:ascii="Times New Roman" w:hAnsi="Times New Roman" w:cs="Times New Roman"/>
          <w:sz w:val="24"/>
          <w:szCs w:val="24"/>
        </w:rPr>
        <w:t xml:space="preserve">Canada </w:t>
      </w:r>
      <w:r>
        <w:rPr>
          <w:rFonts w:ascii="Times New Roman" w:hAnsi="Times New Roman" w:cs="Times New Roman"/>
          <w:sz w:val="24"/>
          <w:szCs w:val="24"/>
        </w:rPr>
        <w:t>where</w:t>
      </w:r>
      <w:r w:rsidR="003A2FA4">
        <w:rPr>
          <w:rFonts w:ascii="Times New Roman" w:hAnsi="Times New Roman" w:cs="Times New Roman"/>
          <w:sz w:val="24"/>
          <w:szCs w:val="24"/>
        </w:rPr>
        <w:t xml:space="preserve"> </w:t>
      </w:r>
      <w:r w:rsidR="00C5752F">
        <w:rPr>
          <w:rFonts w:ascii="Times New Roman" w:hAnsi="Times New Roman" w:cs="Times New Roman"/>
          <w:sz w:val="24"/>
          <w:szCs w:val="24"/>
        </w:rPr>
        <w:t xml:space="preserve">engines certified under </w:t>
      </w:r>
      <w:r w:rsidR="00421F22">
        <w:rPr>
          <w:rFonts w:ascii="Times New Roman" w:hAnsi="Times New Roman" w:cs="Times New Roman"/>
          <w:sz w:val="24"/>
          <w:szCs w:val="24"/>
        </w:rPr>
        <w:t xml:space="preserve">ABT </w:t>
      </w:r>
      <w:r w:rsidR="00C5752F">
        <w:rPr>
          <w:rFonts w:ascii="Times New Roman" w:hAnsi="Times New Roman" w:cs="Times New Roman"/>
          <w:sz w:val="24"/>
          <w:szCs w:val="24"/>
        </w:rPr>
        <w:t>provisions</w:t>
      </w:r>
      <w:r>
        <w:rPr>
          <w:rFonts w:ascii="Times New Roman" w:hAnsi="Times New Roman" w:cs="Times New Roman"/>
          <w:sz w:val="24"/>
          <w:szCs w:val="24"/>
        </w:rPr>
        <w:t xml:space="preserve"> </w:t>
      </w:r>
      <w:r w:rsidR="003A2FA4">
        <w:rPr>
          <w:rFonts w:ascii="Times New Roman" w:hAnsi="Times New Roman" w:cs="Times New Roman"/>
          <w:sz w:val="24"/>
          <w:szCs w:val="24"/>
        </w:rPr>
        <w:t xml:space="preserve">in the US </w:t>
      </w:r>
      <w:r>
        <w:rPr>
          <w:rFonts w:ascii="Times New Roman" w:hAnsi="Times New Roman" w:cs="Times New Roman"/>
          <w:sz w:val="24"/>
          <w:szCs w:val="24"/>
        </w:rPr>
        <w:t>are accepted</w:t>
      </w:r>
      <w:r w:rsidR="008668B0">
        <w:rPr>
          <w:rFonts w:ascii="Times New Roman" w:hAnsi="Times New Roman" w:cs="Times New Roman"/>
          <w:sz w:val="24"/>
          <w:szCs w:val="24"/>
        </w:rPr>
        <w:t>.</w:t>
      </w:r>
      <w:r w:rsidR="00421F22">
        <w:rPr>
          <w:rFonts w:ascii="Times New Roman" w:hAnsi="Times New Roman" w:cs="Times New Roman"/>
          <w:sz w:val="24"/>
          <w:szCs w:val="24"/>
        </w:rPr>
        <w:t xml:space="preserve"> </w:t>
      </w:r>
      <w:r w:rsidR="006C7F67">
        <w:rPr>
          <w:rFonts w:ascii="Times New Roman" w:hAnsi="Times New Roman" w:cs="Times New Roman"/>
          <w:sz w:val="24"/>
          <w:szCs w:val="24"/>
        </w:rPr>
        <w:t>They assume that under such an approach the model mix imported into Australia will be similar to that sold in the US.</w:t>
      </w:r>
    </w:p>
    <w:p w:rsidR="003A2FA4" w:rsidRDefault="003A2FA4" w:rsidP="003E5F21">
      <w:pPr>
        <w:rPr>
          <w:rFonts w:ascii="Times New Roman" w:hAnsi="Times New Roman" w:cs="Times New Roman"/>
          <w:sz w:val="24"/>
          <w:szCs w:val="24"/>
        </w:rPr>
      </w:pPr>
      <w:r>
        <w:rPr>
          <w:rFonts w:ascii="Times New Roman" w:hAnsi="Times New Roman" w:cs="Times New Roman"/>
          <w:sz w:val="24"/>
          <w:szCs w:val="24"/>
        </w:rPr>
        <w:t xml:space="preserve">The submissions which opposed the </w:t>
      </w:r>
      <w:r w:rsidR="00ED0FAC">
        <w:rPr>
          <w:rFonts w:ascii="Times New Roman" w:hAnsi="Times New Roman" w:cs="Times New Roman"/>
          <w:sz w:val="24"/>
          <w:szCs w:val="24"/>
        </w:rPr>
        <w:t xml:space="preserve">inclusion of ABT were almost exclusively from </w:t>
      </w:r>
      <w:r>
        <w:rPr>
          <w:rFonts w:ascii="Times New Roman" w:hAnsi="Times New Roman" w:cs="Times New Roman"/>
          <w:sz w:val="24"/>
          <w:szCs w:val="24"/>
        </w:rPr>
        <w:t>marine industry stakeholders</w:t>
      </w:r>
      <w:r w:rsidR="00ED0FAC">
        <w:rPr>
          <w:rFonts w:ascii="Times New Roman" w:hAnsi="Times New Roman" w:cs="Times New Roman"/>
          <w:sz w:val="24"/>
          <w:szCs w:val="24"/>
        </w:rPr>
        <w:t>.</w:t>
      </w:r>
      <w:r w:rsidR="006C7F67">
        <w:rPr>
          <w:rFonts w:ascii="Times New Roman" w:hAnsi="Times New Roman" w:cs="Times New Roman"/>
          <w:sz w:val="24"/>
          <w:szCs w:val="24"/>
        </w:rPr>
        <w:t xml:space="preserve"> As with timing of regulation, there is a division in opinions within marine engine manufacturers and distributors as to whether ABT should be applied. The group that does not support the inclusion of ABT argues </w:t>
      </w:r>
      <w:r w:rsidR="008E7027">
        <w:rPr>
          <w:rFonts w:ascii="Times New Roman" w:hAnsi="Times New Roman" w:cs="Times New Roman"/>
          <w:sz w:val="24"/>
          <w:szCs w:val="24"/>
        </w:rPr>
        <w:t xml:space="preserve">that </w:t>
      </w:r>
      <w:r w:rsidR="006C7F67">
        <w:rPr>
          <w:rFonts w:ascii="Times New Roman" w:hAnsi="Times New Roman" w:cs="Times New Roman"/>
          <w:sz w:val="24"/>
          <w:szCs w:val="24"/>
        </w:rPr>
        <w:t xml:space="preserve">these provisions are not required as engines </w:t>
      </w:r>
      <w:r w:rsidR="00C85ABC">
        <w:rPr>
          <w:rFonts w:ascii="Times New Roman" w:hAnsi="Times New Roman" w:cs="Times New Roman"/>
          <w:sz w:val="24"/>
          <w:szCs w:val="24"/>
        </w:rPr>
        <w:t xml:space="preserve">complying with </w:t>
      </w:r>
      <w:r w:rsidR="006C7F67">
        <w:rPr>
          <w:rFonts w:ascii="Times New Roman" w:hAnsi="Times New Roman" w:cs="Times New Roman"/>
          <w:sz w:val="24"/>
          <w:szCs w:val="24"/>
        </w:rPr>
        <w:t>emission</w:t>
      </w:r>
      <w:r w:rsidR="00B27608">
        <w:rPr>
          <w:rFonts w:ascii="Times New Roman" w:hAnsi="Times New Roman" w:cs="Times New Roman"/>
          <w:sz w:val="24"/>
          <w:szCs w:val="24"/>
        </w:rPr>
        <w:t xml:space="preserve"> standards are already available. </w:t>
      </w:r>
      <w:r w:rsidR="00C85ABC">
        <w:rPr>
          <w:rFonts w:ascii="Times New Roman" w:hAnsi="Times New Roman" w:cs="Times New Roman"/>
          <w:sz w:val="24"/>
          <w:szCs w:val="24"/>
        </w:rPr>
        <w:t>The</w:t>
      </w:r>
      <w:r w:rsidR="008E7027">
        <w:rPr>
          <w:rFonts w:ascii="Times New Roman" w:hAnsi="Times New Roman" w:cs="Times New Roman"/>
          <w:sz w:val="24"/>
          <w:szCs w:val="24"/>
        </w:rPr>
        <w:t>se</w:t>
      </w:r>
      <w:r w:rsidR="00C85ABC">
        <w:rPr>
          <w:rFonts w:ascii="Times New Roman" w:hAnsi="Times New Roman" w:cs="Times New Roman"/>
          <w:sz w:val="24"/>
          <w:szCs w:val="24"/>
        </w:rPr>
        <w:t xml:space="preserve"> submissions </w:t>
      </w:r>
      <w:r w:rsidR="008E7027">
        <w:rPr>
          <w:rFonts w:ascii="Times New Roman" w:hAnsi="Times New Roman" w:cs="Times New Roman"/>
          <w:sz w:val="24"/>
          <w:szCs w:val="24"/>
        </w:rPr>
        <w:t xml:space="preserve">suggest </w:t>
      </w:r>
      <w:r w:rsidR="00C85ABC">
        <w:rPr>
          <w:rFonts w:ascii="Times New Roman" w:hAnsi="Times New Roman" w:cs="Times New Roman"/>
          <w:sz w:val="24"/>
          <w:szCs w:val="24"/>
        </w:rPr>
        <w:t xml:space="preserve">that ABT </w:t>
      </w:r>
      <w:r w:rsidR="00B27608">
        <w:rPr>
          <w:rFonts w:ascii="Times New Roman" w:hAnsi="Times New Roman" w:cs="Times New Roman"/>
          <w:sz w:val="24"/>
          <w:szCs w:val="24"/>
        </w:rPr>
        <w:t>may benefit existing manufacturers at the expense of new entrants to the market and therefore discourage innovation. One submission goes on to state that most 2010-2011 model year outboards engines on the US market could meet the US EPA emission standards without utilising ABT.</w:t>
      </w:r>
    </w:p>
    <w:p w:rsidR="00F449A8" w:rsidRDefault="00F449A8">
      <w:pPr>
        <w:rPr>
          <w:rFonts w:ascii="Times New Roman" w:hAnsi="Times New Roman" w:cs="Times New Roman"/>
          <w:b/>
          <w:sz w:val="28"/>
          <w:szCs w:val="28"/>
        </w:rPr>
      </w:pPr>
      <w:r>
        <w:br w:type="page"/>
      </w:r>
    </w:p>
    <w:p w:rsidR="00510F9B" w:rsidRPr="006E3871" w:rsidRDefault="00510F9B" w:rsidP="00EB6C5C">
      <w:pPr>
        <w:pStyle w:val="Heading1"/>
      </w:pPr>
      <w:bookmarkStart w:id="7" w:name="_Toc342565458"/>
      <w:r w:rsidRPr="006E3871">
        <w:lastRenderedPageBreak/>
        <w:t>Exemptions</w:t>
      </w:r>
      <w:bookmarkEnd w:id="7"/>
    </w:p>
    <w:p w:rsidR="007B2781" w:rsidRDefault="00DE3F99" w:rsidP="007B2781">
      <w:pPr>
        <w:rPr>
          <w:rFonts w:ascii="Times New Roman" w:hAnsi="Times New Roman" w:cs="Times New Roman"/>
          <w:sz w:val="24"/>
          <w:szCs w:val="24"/>
        </w:rPr>
      </w:pPr>
      <w:r>
        <w:rPr>
          <w:rFonts w:ascii="Times New Roman" w:hAnsi="Times New Roman" w:cs="Times New Roman"/>
          <w:sz w:val="24"/>
          <w:szCs w:val="24"/>
        </w:rPr>
        <w:t xml:space="preserve">While the Consultation RIS made no mention of exemptions from standards for specific engine types or uses, this issue was raised in 19 </w:t>
      </w:r>
      <w:r w:rsidR="007B2781">
        <w:rPr>
          <w:rFonts w:ascii="Times New Roman" w:hAnsi="Times New Roman" w:cs="Times New Roman"/>
          <w:sz w:val="24"/>
          <w:szCs w:val="24"/>
        </w:rPr>
        <w:t xml:space="preserve">independent </w:t>
      </w:r>
      <w:r>
        <w:rPr>
          <w:rFonts w:ascii="Times New Roman" w:hAnsi="Times New Roman" w:cs="Times New Roman"/>
          <w:sz w:val="24"/>
          <w:szCs w:val="24"/>
        </w:rPr>
        <w:t>submissions.</w:t>
      </w:r>
      <w:r w:rsidR="00040259">
        <w:rPr>
          <w:rFonts w:ascii="Times New Roman" w:hAnsi="Times New Roman" w:cs="Times New Roman"/>
          <w:sz w:val="24"/>
          <w:szCs w:val="24"/>
        </w:rPr>
        <w:t xml:space="preserve"> These submissions were largely from industry stakeholders.</w:t>
      </w:r>
      <w:r>
        <w:rPr>
          <w:rFonts w:ascii="Times New Roman" w:hAnsi="Times New Roman" w:cs="Times New Roman"/>
          <w:sz w:val="24"/>
          <w:szCs w:val="24"/>
        </w:rPr>
        <w:t xml:space="preserve"> </w:t>
      </w:r>
    </w:p>
    <w:p w:rsidR="007137C3" w:rsidRDefault="007137C3" w:rsidP="001112C4">
      <w:pPr>
        <w:spacing w:after="0"/>
        <w:rPr>
          <w:rFonts w:ascii="Times New Roman" w:hAnsi="Times New Roman" w:cs="Times New Roman"/>
          <w:sz w:val="24"/>
          <w:szCs w:val="24"/>
        </w:rPr>
      </w:pPr>
      <w:r>
        <w:rPr>
          <w:rFonts w:ascii="Times New Roman" w:hAnsi="Times New Roman" w:cs="Times New Roman"/>
          <w:sz w:val="24"/>
          <w:szCs w:val="24"/>
        </w:rPr>
        <w:t xml:space="preserve">Within the marine sector there are divided views on </w:t>
      </w:r>
      <w:r w:rsidR="00040259">
        <w:rPr>
          <w:rFonts w:ascii="Times New Roman" w:hAnsi="Times New Roman" w:cs="Times New Roman"/>
          <w:sz w:val="24"/>
          <w:szCs w:val="24"/>
        </w:rPr>
        <w:t xml:space="preserve">the application of </w:t>
      </w:r>
      <w:r>
        <w:rPr>
          <w:rFonts w:ascii="Times New Roman" w:hAnsi="Times New Roman" w:cs="Times New Roman"/>
          <w:sz w:val="24"/>
          <w:szCs w:val="24"/>
        </w:rPr>
        <w:t>exemptions. Some submissions support exemptions under specific circumstances only, on the basis the broader exemptions would undermine the benefits of implementing standards</w:t>
      </w:r>
      <w:r w:rsidR="00301402">
        <w:rPr>
          <w:rFonts w:ascii="Times New Roman" w:hAnsi="Times New Roman" w:cs="Times New Roman"/>
          <w:sz w:val="24"/>
          <w:szCs w:val="24"/>
        </w:rPr>
        <w:t xml:space="preserve">. </w:t>
      </w:r>
      <w:r>
        <w:rPr>
          <w:rFonts w:ascii="Times New Roman" w:hAnsi="Times New Roman" w:cs="Times New Roman"/>
          <w:sz w:val="24"/>
          <w:szCs w:val="24"/>
        </w:rPr>
        <w:t>The specific exemptions suggested include:</w:t>
      </w:r>
    </w:p>
    <w:p w:rsidR="007137C3" w:rsidRDefault="007137C3" w:rsidP="007137C3">
      <w:pPr>
        <w:pStyle w:val="ListBullet"/>
        <w:rPr>
          <w:rFonts w:ascii="Times New Roman" w:hAnsi="Times New Roman" w:cs="Times New Roman"/>
          <w:sz w:val="24"/>
          <w:szCs w:val="24"/>
        </w:rPr>
      </w:pPr>
      <w:r w:rsidRPr="00B65683">
        <w:rPr>
          <w:rFonts w:ascii="Times New Roman" w:hAnsi="Times New Roman" w:cs="Times New Roman"/>
          <w:sz w:val="24"/>
          <w:szCs w:val="24"/>
        </w:rPr>
        <w:t>preproduction, racing, and re</w:t>
      </w:r>
      <w:r>
        <w:rPr>
          <w:rFonts w:ascii="Times New Roman" w:hAnsi="Times New Roman" w:cs="Times New Roman"/>
          <w:sz w:val="24"/>
          <w:szCs w:val="24"/>
        </w:rPr>
        <w:t>search and development engines (as allowed by the US EPA),</w:t>
      </w:r>
    </w:p>
    <w:p w:rsidR="007137C3" w:rsidRDefault="007137C3" w:rsidP="007137C3">
      <w:pPr>
        <w:pStyle w:val="ListBullet"/>
        <w:rPr>
          <w:rFonts w:ascii="Times New Roman" w:hAnsi="Times New Roman" w:cs="Times New Roman"/>
          <w:sz w:val="24"/>
          <w:szCs w:val="24"/>
        </w:rPr>
      </w:pPr>
      <w:r w:rsidRPr="00B65683">
        <w:rPr>
          <w:rFonts w:ascii="Times New Roman" w:hAnsi="Times New Roman" w:cs="Times New Roman"/>
          <w:sz w:val="24"/>
          <w:szCs w:val="24"/>
        </w:rPr>
        <w:t xml:space="preserve">outboards associated </w:t>
      </w:r>
      <w:r>
        <w:rPr>
          <w:rFonts w:ascii="Times New Roman" w:hAnsi="Times New Roman" w:cs="Times New Roman"/>
          <w:sz w:val="24"/>
          <w:szCs w:val="24"/>
        </w:rPr>
        <w:t>with tenders on visiting ships</w:t>
      </w:r>
      <w:r w:rsidR="00E12D76">
        <w:rPr>
          <w:rFonts w:ascii="Times New Roman" w:hAnsi="Times New Roman" w:cs="Times New Roman"/>
          <w:sz w:val="24"/>
          <w:szCs w:val="24"/>
        </w:rPr>
        <w:t>,</w:t>
      </w:r>
      <w:r>
        <w:rPr>
          <w:rFonts w:ascii="Times New Roman" w:hAnsi="Times New Roman" w:cs="Times New Roman"/>
          <w:sz w:val="24"/>
          <w:szCs w:val="24"/>
        </w:rPr>
        <w:t xml:space="preserve"> those used in military applications and by the </w:t>
      </w:r>
      <w:r w:rsidRPr="00B65683">
        <w:rPr>
          <w:rFonts w:ascii="Times New Roman" w:hAnsi="Times New Roman" w:cs="Times New Roman"/>
          <w:sz w:val="24"/>
          <w:szCs w:val="24"/>
        </w:rPr>
        <w:t>Australian Surf Life Saving Association</w:t>
      </w:r>
      <w:r w:rsidR="002B437A">
        <w:rPr>
          <w:rFonts w:ascii="Times New Roman" w:hAnsi="Times New Roman" w:cs="Times New Roman"/>
          <w:sz w:val="24"/>
          <w:szCs w:val="24"/>
        </w:rPr>
        <w:t>.</w:t>
      </w:r>
    </w:p>
    <w:p w:rsidR="007137C3" w:rsidRDefault="007137C3" w:rsidP="007137C3">
      <w:pPr>
        <w:rPr>
          <w:rFonts w:ascii="Times New Roman" w:hAnsi="Times New Roman" w:cs="Times New Roman"/>
          <w:sz w:val="24"/>
          <w:szCs w:val="24"/>
        </w:rPr>
      </w:pPr>
      <w:r>
        <w:rPr>
          <w:rFonts w:ascii="Times New Roman" w:hAnsi="Times New Roman" w:cs="Times New Roman"/>
          <w:sz w:val="24"/>
          <w:szCs w:val="24"/>
        </w:rPr>
        <w:t>Other marine sector submissions support more general exemptions in addition to those listed above</w:t>
      </w:r>
      <w:r w:rsidR="00301402">
        <w:rPr>
          <w:rFonts w:ascii="Times New Roman" w:hAnsi="Times New Roman" w:cs="Times New Roman"/>
          <w:sz w:val="24"/>
          <w:szCs w:val="24"/>
        </w:rPr>
        <w:t xml:space="preserve">. </w:t>
      </w:r>
      <w:r>
        <w:rPr>
          <w:rFonts w:ascii="Times New Roman" w:hAnsi="Times New Roman" w:cs="Times New Roman"/>
          <w:sz w:val="24"/>
          <w:szCs w:val="24"/>
        </w:rPr>
        <w:t>These exemptions would be aimed at groups such as Indigenous communities and “grey nomads”. They state that as 2-stroke outboards (which could not meet emission standards) are cheaper, lighter and easier to service they are more suitable for these groups.</w:t>
      </w:r>
    </w:p>
    <w:p w:rsidR="00510F9B" w:rsidRDefault="007137C3" w:rsidP="00510F9B">
      <w:pPr>
        <w:rPr>
          <w:rFonts w:ascii="Times New Roman" w:hAnsi="Times New Roman" w:cs="Times New Roman"/>
          <w:sz w:val="24"/>
          <w:szCs w:val="24"/>
        </w:rPr>
      </w:pPr>
      <w:r>
        <w:rPr>
          <w:rFonts w:ascii="Times New Roman" w:hAnsi="Times New Roman" w:cs="Times New Roman"/>
          <w:sz w:val="24"/>
          <w:szCs w:val="24"/>
        </w:rPr>
        <w:t>H</w:t>
      </w:r>
      <w:r w:rsidR="00E63BD5">
        <w:rPr>
          <w:rFonts w:ascii="Times New Roman" w:hAnsi="Times New Roman" w:cs="Times New Roman"/>
          <w:sz w:val="24"/>
          <w:szCs w:val="24"/>
        </w:rPr>
        <w:t xml:space="preserve">alf of </w:t>
      </w:r>
      <w:r w:rsidR="002B437A">
        <w:rPr>
          <w:rFonts w:ascii="Times New Roman" w:hAnsi="Times New Roman" w:cs="Times New Roman"/>
          <w:sz w:val="24"/>
          <w:szCs w:val="24"/>
        </w:rPr>
        <w:t xml:space="preserve">the </w:t>
      </w:r>
      <w:r>
        <w:rPr>
          <w:rFonts w:ascii="Times New Roman" w:hAnsi="Times New Roman" w:cs="Times New Roman"/>
          <w:sz w:val="24"/>
          <w:szCs w:val="24"/>
        </w:rPr>
        <w:t xml:space="preserve">garden sector </w:t>
      </w:r>
      <w:r w:rsidR="00452357">
        <w:rPr>
          <w:rFonts w:ascii="Times New Roman" w:hAnsi="Times New Roman" w:cs="Times New Roman"/>
          <w:sz w:val="24"/>
          <w:szCs w:val="24"/>
        </w:rPr>
        <w:t>submissions expressed</w:t>
      </w:r>
      <w:r w:rsidR="00580650">
        <w:rPr>
          <w:rFonts w:ascii="Times New Roman" w:hAnsi="Times New Roman" w:cs="Times New Roman"/>
          <w:sz w:val="24"/>
          <w:szCs w:val="24"/>
        </w:rPr>
        <w:t xml:space="preserve"> support </w:t>
      </w:r>
      <w:r w:rsidR="00452357">
        <w:rPr>
          <w:rFonts w:ascii="Times New Roman" w:hAnsi="Times New Roman" w:cs="Times New Roman"/>
          <w:sz w:val="24"/>
          <w:szCs w:val="24"/>
        </w:rPr>
        <w:t xml:space="preserve">for </w:t>
      </w:r>
      <w:r w:rsidR="00580650">
        <w:rPr>
          <w:rFonts w:ascii="Times New Roman" w:hAnsi="Times New Roman" w:cs="Times New Roman"/>
          <w:sz w:val="24"/>
          <w:szCs w:val="24"/>
        </w:rPr>
        <w:t>limited</w:t>
      </w:r>
      <w:r w:rsidR="00510F9B">
        <w:rPr>
          <w:rFonts w:ascii="Times New Roman" w:hAnsi="Times New Roman" w:cs="Times New Roman"/>
          <w:sz w:val="24"/>
          <w:szCs w:val="24"/>
        </w:rPr>
        <w:t xml:space="preserve"> exe</w:t>
      </w:r>
      <w:r w:rsidR="00A67AD5">
        <w:rPr>
          <w:rFonts w:ascii="Times New Roman" w:hAnsi="Times New Roman" w:cs="Times New Roman"/>
          <w:sz w:val="24"/>
          <w:szCs w:val="24"/>
        </w:rPr>
        <w:t>mptions for</w:t>
      </w:r>
      <w:r w:rsidR="00510F9B">
        <w:rPr>
          <w:rFonts w:ascii="Times New Roman" w:hAnsi="Times New Roman" w:cs="Times New Roman"/>
          <w:sz w:val="24"/>
          <w:szCs w:val="24"/>
        </w:rPr>
        <w:t xml:space="preserve"> s</w:t>
      </w:r>
      <w:r w:rsidR="00510F9B" w:rsidRPr="009B5D0A">
        <w:rPr>
          <w:rFonts w:ascii="Times New Roman" w:hAnsi="Times New Roman" w:cs="Times New Roman"/>
          <w:sz w:val="24"/>
          <w:szCs w:val="24"/>
        </w:rPr>
        <w:t>pecial purpose or niche market</w:t>
      </w:r>
      <w:r w:rsidR="00580650">
        <w:rPr>
          <w:rFonts w:ascii="Times New Roman" w:hAnsi="Times New Roman" w:cs="Times New Roman"/>
          <w:sz w:val="24"/>
          <w:szCs w:val="24"/>
        </w:rPr>
        <w:t xml:space="preserve"> products</w:t>
      </w:r>
      <w:r w:rsidR="00510F9B">
        <w:rPr>
          <w:rFonts w:ascii="Times New Roman" w:hAnsi="Times New Roman" w:cs="Times New Roman"/>
          <w:sz w:val="24"/>
          <w:szCs w:val="24"/>
        </w:rPr>
        <w:t xml:space="preserve"> </w:t>
      </w:r>
      <w:r w:rsidR="00E63BD5">
        <w:rPr>
          <w:rFonts w:ascii="Times New Roman" w:hAnsi="Times New Roman" w:cs="Times New Roman"/>
          <w:sz w:val="24"/>
          <w:szCs w:val="24"/>
        </w:rPr>
        <w:t>which have either</w:t>
      </w:r>
      <w:r w:rsidR="00510F9B">
        <w:rPr>
          <w:rFonts w:ascii="Times New Roman" w:hAnsi="Times New Roman" w:cs="Times New Roman"/>
          <w:sz w:val="24"/>
          <w:szCs w:val="24"/>
        </w:rPr>
        <w:t xml:space="preserve"> v</w:t>
      </w:r>
      <w:r w:rsidR="00510F9B" w:rsidRPr="00E23BE1">
        <w:rPr>
          <w:rFonts w:ascii="Times New Roman" w:hAnsi="Times New Roman" w:cs="Times New Roman"/>
          <w:sz w:val="24"/>
          <w:szCs w:val="24"/>
        </w:rPr>
        <w:t xml:space="preserve">ery low </w:t>
      </w:r>
      <w:r w:rsidR="00DC0E7D">
        <w:rPr>
          <w:rFonts w:ascii="Times New Roman" w:hAnsi="Times New Roman" w:cs="Times New Roman"/>
          <w:sz w:val="24"/>
          <w:szCs w:val="24"/>
        </w:rPr>
        <w:t xml:space="preserve">sales </w:t>
      </w:r>
      <w:r w:rsidR="00510F9B" w:rsidRPr="00E23BE1">
        <w:rPr>
          <w:rFonts w:ascii="Times New Roman" w:hAnsi="Times New Roman" w:cs="Times New Roman"/>
          <w:sz w:val="24"/>
          <w:szCs w:val="24"/>
        </w:rPr>
        <w:t>volume,</w:t>
      </w:r>
      <w:r w:rsidR="00510F9B">
        <w:rPr>
          <w:rFonts w:ascii="Times New Roman" w:hAnsi="Times New Roman" w:cs="Times New Roman"/>
          <w:sz w:val="24"/>
          <w:szCs w:val="24"/>
        </w:rPr>
        <w:t xml:space="preserve"> </w:t>
      </w:r>
      <w:r w:rsidR="008E7027">
        <w:rPr>
          <w:rFonts w:ascii="Times New Roman" w:hAnsi="Times New Roman" w:cs="Times New Roman"/>
          <w:sz w:val="24"/>
          <w:szCs w:val="24"/>
        </w:rPr>
        <w:t xml:space="preserve">a </w:t>
      </w:r>
      <w:r w:rsidR="00510F9B">
        <w:rPr>
          <w:rFonts w:ascii="Times New Roman" w:hAnsi="Times New Roman" w:cs="Times New Roman"/>
          <w:sz w:val="24"/>
          <w:szCs w:val="24"/>
        </w:rPr>
        <w:t>l</w:t>
      </w:r>
      <w:r w:rsidR="00510F9B" w:rsidRPr="00E23BE1">
        <w:rPr>
          <w:rFonts w:ascii="Times New Roman" w:hAnsi="Times New Roman" w:cs="Times New Roman"/>
          <w:sz w:val="24"/>
          <w:szCs w:val="24"/>
        </w:rPr>
        <w:t>ack of alternatives</w:t>
      </w:r>
      <w:r w:rsidR="00040259">
        <w:rPr>
          <w:rFonts w:ascii="Times New Roman" w:hAnsi="Times New Roman" w:cs="Times New Roman"/>
          <w:sz w:val="24"/>
          <w:szCs w:val="24"/>
        </w:rPr>
        <w:t xml:space="preserve"> </w:t>
      </w:r>
      <w:r w:rsidR="00510F9B">
        <w:rPr>
          <w:rFonts w:ascii="Times New Roman" w:hAnsi="Times New Roman" w:cs="Times New Roman"/>
          <w:sz w:val="24"/>
          <w:szCs w:val="24"/>
        </w:rPr>
        <w:t xml:space="preserve">or </w:t>
      </w:r>
      <w:r w:rsidR="00E63BD5">
        <w:rPr>
          <w:rFonts w:ascii="Times New Roman" w:hAnsi="Times New Roman" w:cs="Times New Roman"/>
          <w:sz w:val="24"/>
          <w:szCs w:val="24"/>
        </w:rPr>
        <w:t xml:space="preserve">are used in </w:t>
      </w:r>
      <w:r w:rsidR="00510F9B">
        <w:rPr>
          <w:rFonts w:ascii="Times New Roman" w:hAnsi="Times New Roman" w:cs="Times New Roman"/>
          <w:sz w:val="24"/>
          <w:szCs w:val="24"/>
        </w:rPr>
        <w:t>s</w:t>
      </w:r>
      <w:r w:rsidR="00580650">
        <w:rPr>
          <w:rFonts w:ascii="Times New Roman" w:hAnsi="Times New Roman" w:cs="Times New Roman"/>
          <w:sz w:val="24"/>
          <w:szCs w:val="24"/>
        </w:rPr>
        <w:t>pecialist application</w:t>
      </w:r>
      <w:r w:rsidR="002A0F78">
        <w:rPr>
          <w:rFonts w:ascii="Times New Roman" w:hAnsi="Times New Roman" w:cs="Times New Roman"/>
          <w:sz w:val="24"/>
          <w:szCs w:val="24"/>
        </w:rPr>
        <w:t>s</w:t>
      </w:r>
      <w:r w:rsidR="00510F9B" w:rsidRPr="00E23BE1">
        <w:rPr>
          <w:rFonts w:ascii="Times New Roman" w:hAnsi="Times New Roman" w:cs="Times New Roman"/>
          <w:sz w:val="24"/>
          <w:szCs w:val="24"/>
        </w:rPr>
        <w:t>.</w:t>
      </w:r>
      <w:r>
        <w:rPr>
          <w:rFonts w:ascii="Times New Roman" w:hAnsi="Times New Roman" w:cs="Times New Roman"/>
          <w:sz w:val="24"/>
          <w:szCs w:val="24"/>
        </w:rPr>
        <w:t xml:space="preserve"> </w:t>
      </w:r>
      <w:r w:rsidR="001D7C96">
        <w:rPr>
          <w:rFonts w:ascii="Times New Roman" w:hAnsi="Times New Roman" w:cs="Times New Roman"/>
          <w:sz w:val="24"/>
          <w:szCs w:val="24"/>
        </w:rPr>
        <w:t xml:space="preserve">The remaining garden sector submissions made no comment on exemptions. </w:t>
      </w:r>
    </w:p>
    <w:p w:rsidR="00F449A8" w:rsidRDefault="00F449A8">
      <w:pPr>
        <w:rPr>
          <w:rFonts w:ascii="Times New Roman" w:hAnsi="Times New Roman" w:cs="Times New Roman"/>
          <w:b/>
          <w:sz w:val="28"/>
          <w:szCs w:val="28"/>
        </w:rPr>
      </w:pPr>
      <w:r>
        <w:br w:type="page"/>
      </w:r>
    </w:p>
    <w:p w:rsidR="00510F9B" w:rsidRDefault="00175AE8" w:rsidP="00EB6C5C">
      <w:pPr>
        <w:pStyle w:val="Heading1"/>
      </w:pPr>
      <w:bookmarkStart w:id="8" w:name="_Toc342565459"/>
      <w:r>
        <w:lastRenderedPageBreak/>
        <w:t xml:space="preserve">Pricing and Consumer </w:t>
      </w:r>
      <w:r w:rsidR="00ED0FAC">
        <w:t>Demand</w:t>
      </w:r>
      <w:bookmarkEnd w:id="8"/>
    </w:p>
    <w:p w:rsidR="00150D3F" w:rsidRDefault="00B243AD" w:rsidP="00510F9B">
      <w:pPr>
        <w:rPr>
          <w:rFonts w:ascii="Times New Roman" w:hAnsi="Times New Roman" w:cs="Times New Roman"/>
          <w:sz w:val="24"/>
          <w:szCs w:val="24"/>
        </w:rPr>
      </w:pPr>
      <w:r>
        <w:rPr>
          <w:rFonts w:ascii="Times New Roman" w:hAnsi="Times New Roman" w:cs="Times New Roman"/>
          <w:sz w:val="24"/>
          <w:szCs w:val="24"/>
        </w:rPr>
        <w:t>In addition to the</w:t>
      </w:r>
      <w:r w:rsidR="00175AE8">
        <w:rPr>
          <w:rFonts w:ascii="Times New Roman" w:hAnsi="Times New Roman" w:cs="Times New Roman"/>
          <w:sz w:val="24"/>
          <w:szCs w:val="24"/>
        </w:rPr>
        <w:t xml:space="preserve"> issues raised in the Consultation RIS</w:t>
      </w:r>
      <w:r>
        <w:rPr>
          <w:rFonts w:ascii="Times New Roman" w:hAnsi="Times New Roman" w:cs="Times New Roman"/>
          <w:sz w:val="24"/>
          <w:szCs w:val="24"/>
        </w:rPr>
        <w:t xml:space="preserve">, comment was sought on the impacts </w:t>
      </w:r>
      <w:r w:rsidR="008E7027">
        <w:rPr>
          <w:rFonts w:ascii="Times New Roman" w:hAnsi="Times New Roman" w:cs="Times New Roman"/>
          <w:sz w:val="24"/>
          <w:szCs w:val="24"/>
        </w:rPr>
        <w:t xml:space="preserve">that </w:t>
      </w:r>
      <w:r>
        <w:rPr>
          <w:rFonts w:ascii="Times New Roman" w:hAnsi="Times New Roman" w:cs="Times New Roman"/>
          <w:sz w:val="24"/>
          <w:szCs w:val="24"/>
        </w:rPr>
        <w:t xml:space="preserve">emission standards would have on the price and </w:t>
      </w:r>
      <w:r w:rsidR="007137C3">
        <w:rPr>
          <w:rFonts w:ascii="Times New Roman" w:hAnsi="Times New Roman" w:cs="Times New Roman"/>
          <w:sz w:val="24"/>
          <w:szCs w:val="24"/>
        </w:rPr>
        <w:t xml:space="preserve">the </w:t>
      </w:r>
      <w:r>
        <w:rPr>
          <w:rFonts w:ascii="Times New Roman" w:hAnsi="Times New Roman" w:cs="Times New Roman"/>
          <w:sz w:val="24"/>
          <w:szCs w:val="24"/>
        </w:rPr>
        <w:t xml:space="preserve">range of engines available in Australia. </w:t>
      </w:r>
    </w:p>
    <w:p w:rsidR="0026402D" w:rsidRDefault="00150D3F" w:rsidP="0026402D">
      <w:pPr>
        <w:keepLines/>
        <w:rPr>
          <w:rFonts w:ascii="Times New Roman" w:hAnsi="Times New Roman" w:cs="Times New Roman"/>
          <w:sz w:val="24"/>
          <w:szCs w:val="24"/>
        </w:rPr>
      </w:pPr>
      <w:r>
        <w:rPr>
          <w:rFonts w:ascii="Times New Roman" w:hAnsi="Times New Roman" w:cs="Times New Roman"/>
          <w:sz w:val="24"/>
          <w:szCs w:val="24"/>
        </w:rPr>
        <w:t xml:space="preserve">As shown in Figure </w:t>
      </w:r>
      <w:r w:rsidR="00C444DE">
        <w:rPr>
          <w:rFonts w:ascii="Times New Roman" w:hAnsi="Times New Roman" w:cs="Times New Roman"/>
          <w:sz w:val="24"/>
          <w:szCs w:val="24"/>
        </w:rPr>
        <w:t>3</w:t>
      </w:r>
      <w:r>
        <w:rPr>
          <w:rFonts w:ascii="Times New Roman" w:hAnsi="Times New Roman" w:cs="Times New Roman"/>
          <w:sz w:val="24"/>
          <w:szCs w:val="24"/>
        </w:rPr>
        <w:t xml:space="preserve"> below, </w:t>
      </w:r>
      <w:r w:rsidR="00B54151">
        <w:rPr>
          <w:rFonts w:ascii="Times New Roman" w:hAnsi="Times New Roman" w:cs="Times New Roman"/>
          <w:sz w:val="24"/>
          <w:szCs w:val="24"/>
        </w:rPr>
        <w:t xml:space="preserve">the impact of increased engine/equipment prices on consumer demand </w:t>
      </w:r>
      <w:r>
        <w:rPr>
          <w:rFonts w:ascii="Times New Roman" w:hAnsi="Times New Roman" w:cs="Times New Roman"/>
          <w:sz w:val="24"/>
          <w:szCs w:val="24"/>
        </w:rPr>
        <w:t xml:space="preserve">was </w:t>
      </w:r>
      <w:r w:rsidR="00B54151">
        <w:rPr>
          <w:rFonts w:ascii="Times New Roman" w:hAnsi="Times New Roman" w:cs="Times New Roman"/>
          <w:sz w:val="24"/>
          <w:szCs w:val="24"/>
        </w:rPr>
        <w:t xml:space="preserve">a concern </w:t>
      </w:r>
      <w:r w:rsidR="00F433A9">
        <w:rPr>
          <w:rFonts w:ascii="Times New Roman" w:hAnsi="Times New Roman" w:cs="Times New Roman"/>
          <w:sz w:val="24"/>
          <w:szCs w:val="24"/>
        </w:rPr>
        <w:t>more commonly</w:t>
      </w:r>
      <w:r w:rsidR="00B54151">
        <w:rPr>
          <w:rFonts w:ascii="Times New Roman" w:hAnsi="Times New Roman" w:cs="Times New Roman"/>
          <w:sz w:val="24"/>
          <w:szCs w:val="24"/>
        </w:rPr>
        <w:t xml:space="preserve"> expressed in </w:t>
      </w:r>
      <w:r>
        <w:rPr>
          <w:rFonts w:ascii="Times New Roman" w:hAnsi="Times New Roman" w:cs="Times New Roman"/>
          <w:sz w:val="24"/>
          <w:szCs w:val="24"/>
        </w:rPr>
        <w:t xml:space="preserve">marine sector </w:t>
      </w:r>
      <w:r w:rsidR="00B54151">
        <w:rPr>
          <w:rFonts w:ascii="Times New Roman" w:hAnsi="Times New Roman" w:cs="Times New Roman"/>
          <w:sz w:val="24"/>
          <w:szCs w:val="24"/>
        </w:rPr>
        <w:t>submissions</w:t>
      </w:r>
      <w:r>
        <w:rPr>
          <w:rFonts w:ascii="Times New Roman" w:hAnsi="Times New Roman" w:cs="Times New Roman"/>
          <w:sz w:val="24"/>
          <w:szCs w:val="24"/>
        </w:rPr>
        <w:t>. In addition to the i</w:t>
      </w:r>
      <w:r w:rsidR="007137C3">
        <w:rPr>
          <w:rFonts w:ascii="Times New Roman" w:hAnsi="Times New Roman" w:cs="Times New Roman"/>
          <w:sz w:val="24"/>
          <w:szCs w:val="24"/>
        </w:rPr>
        <w:t>ndependent</w:t>
      </w:r>
      <w:r w:rsidR="000F437B">
        <w:rPr>
          <w:rFonts w:ascii="Times New Roman" w:hAnsi="Times New Roman" w:cs="Times New Roman"/>
          <w:sz w:val="24"/>
          <w:szCs w:val="24"/>
        </w:rPr>
        <w:t xml:space="preserve"> </w:t>
      </w:r>
      <w:r>
        <w:rPr>
          <w:rFonts w:ascii="Times New Roman" w:hAnsi="Times New Roman" w:cs="Times New Roman"/>
          <w:sz w:val="24"/>
          <w:szCs w:val="24"/>
        </w:rPr>
        <w:t>submissions included in the figure, the submissions based on the form letter also provided view</w:t>
      </w:r>
      <w:r w:rsidR="00843AF0">
        <w:rPr>
          <w:rFonts w:ascii="Times New Roman" w:hAnsi="Times New Roman" w:cs="Times New Roman"/>
          <w:sz w:val="24"/>
          <w:szCs w:val="24"/>
        </w:rPr>
        <w:t>s</w:t>
      </w:r>
      <w:r w:rsidR="00B243AD">
        <w:rPr>
          <w:rFonts w:ascii="Times New Roman" w:hAnsi="Times New Roman" w:cs="Times New Roman"/>
          <w:sz w:val="24"/>
          <w:szCs w:val="24"/>
        </w:rPr>
        <w:t xml:space="preserve"> on these issues</w:t>
      </w:r>
      <w:r>
        <w:rPr>
          <w:rFonts w:ascii="Times New Roman" w:hAnsi="Times New Roman" w:cs="Times New Roman"/>
          <w:sz w:val="24"/>
          <w:szCs w:val="24"/>
        </w:rPr>
        <w:t xml:space="preserve">. </w:t>
      </w:r>
    </w:p>
    <w:p w:rsidR="00175AE8" w:rsidRDefault="00175AE8" w:rsidP="00843C5C">
      <w:pPr>
        <w:rPr>
          <w:rFonts w:ascii="Times New Roman" w:hAnsi="Times New Roman" w:cs="Times New Roman"/>
          <w:sz w:val="24"/>
          <w:szCs w:val="24"/>
        </w:rPr>
      </w:pPr>
      <w:r w:rsidRPr="00175AE8">
        <w:rPr>
          <w:rFonts w:ascii="Times New Roman" w:hAnsi="Times New Roman" w:cs="Times New Roman"/>
          <w:noProof/>
          <w:sz w:val="24"/>
          <w:szCs w:val="24"/>
          <w:lang w:eastAsia="en-AU"/>
        </w:rPr>
        <w:drawing>
          <wp:inline distT="0" distB="0" distL="0" distR="0">
            <wp:extent cx="5740621" cy="3465579"/>
            <wp:effectExtent l="19050" t="0" r="12479" b="1521"/>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402D" w:rsidRDefault="0026402D" w:rsidP="0026402D">
      <w:pPr>
        <w:rPr>
          <w:rFonts w:ascii="Times New Roman" w:hAnsi="Times New Roman" w:cs="Times New Roman"/>
          <w:sz w:val="24"/>
          <w:szCs w:val="24"/>
        </w:rPr>
      </w:pPr>
      <w:r>
        <w:rPr>
          <w:rFonts w:ascii="Times New Roman" w:hAnsi="Times New Roman" w:cs="Times New Roman"/>
          <w:sz w:val="24"/>
          <w:szCs w:val="24"/>
        </w:rPr>
        <w:t>While the vast majority of comment was from industry stakeholders, the potential for unjustifi</w:t>
      </w:r>
      <w:r w:rsidR="00B54151">
        <w:rPr>
          <w:rFonts w:ascii="Times New Roman" w:hAnsi="Times New Roman" w:cs="Times New Roman"/>
          <w:sz w:val="24"/>
          <w:szCs w:val="24"/>
        </w:rPr>
        <w:t>ably</w:t>
      </w:r>
      <w:r>
        <w:rPr>
          <w:rFonts w:ascii="Times New Roman" w:hAnsi="Times New Roman" w:cs="Times New Roman"/>
          <w:sz w:val="24"/>
          <w:szCs w:val="24"/>
        </w:rPr>
        <w:t xml:space="preserve"> higher prices was raised by </w:t>
      </w:r>
      <w:r w:rsidR="009324EC">
        <w:rPr>
          <w:rFonts w:ascii="Times New Roman" w:hAnsi="Times New Roman" w:cs="Times New Roman"/>
          <w:sz w:val="24"/>
          <w:szCs w:val="24"/>
        </w:rPr>
        <w:t>two</w:t>
      </w:r>
      <w:r>
        <w:rPr>
          <w:rFonts w:ascii="Times New Roman" w:hAnsi="Times New Roman" w:cs="Times New Roman"/>
          <w:sz w:val="24"/>
          <w:szCs w:val="24"/>
        </w:rPr>
        <w:t xml:space="preserve"> recreational fishing organisations. These organisations accept that the low emission </w:t>
      </w:r>
      <w:r w:rsidR="00E12D76">
        <w:rPr>
          <w:rFonts w:ascii="Times New Roman" w:hAnsi="Times New Roman" w:cs="Times New Roman"/>
          <w:sz w:val="24"/>
          <w:szCs w:val="24"/>
        </w:rPr>
        <w:t>outboards have higher purchase prices</w:t>
      </w:r>
      <w:r w:rsidR="008E7027">
        <w:rPr>
          <w:rFonts w:ascii="Times New Roman" w:hAnsi="Times New Roman" w:cs="Times New Roman"/>
          <w:sz w:val="24"/>
          <w:szCs w:val="24"/>
        </w:rPr>
        <w:t>; h</w:t>
      </w:r>
      <w:r>
        <w:rPr>
          <w:rFonts w:ascii="Times New Roman" w:hAnsi="Times New Roman" w:cs="Times New Roman"/>
          <w:sz w:val="24"/>
          <w:szCs w:val="24"/>
        </w:rPr>
        <w:t>owever</w:t>
      </w:r>
      <w:r w:rsidR="008E7027">
        <w:rPr>
          <w:rFonts w:ascii="Times New Roman" w:hAnsi="Times New Roman" w:cs="Times New Roman"/>
          <w:sz w:val="24"/>
          <w:szCs w:val="24"/>
        </w:rPr>
        <w:t>,</w:t>
      </w:r>
      <w:r>
        <w:rPr>
          <w:rFonts w:ascii="Times New Roman" w:hAnsi="Times New Roman" w:cs="Times New Roman"/>
          <w:sz w:val="24"/>
          <w:szCs w:val="24"/>
        </w:rPr>
        <w:t xml:space="preserve"> they are concerned that price increases </w:t>
      </w:r>
      <w:r w:rsidR="00E12D76">
        <w:rPr>
          <w:rFonts w:ascii="Times New Roman" w:hAnsi="Times New Roman" w:cs="Times New Roman"/>
          <w:sz w:val="24"/>
          <w:szCs w:val="24"/>
        </w:rPr>
        <w:t xml:space="preserve">passed on to consumers </w:t>
      </w:r>
      <w:r>
        <w:rPr>
          <w:rFonts w:ascii="Times New Roman" w:hAnsi="Times New Roman" w:cs="Times New Roman"/>
          <w:sz w:val="24"/>
          <w:szCs w:val="24"/>
        </w:rPr>
        <w:t>may not reflect the actual costs to the manufacturers, importers and retailers.</w:t>
      </w:r>
    </w:p>
    <w:p w:rsidR="001D7C96" w:rsidRDefault="00137597" w:rsidP="00B55F28">
      <w:pPr>
        <w:rPr>
          <w:rFonts w:ascii="Times New Roman" w:hAnsi="Times New Roman" w:cs="Times New Roman"/>
          <w:sz w:val="24"/>
          <w:szCs w:val="24"/>
        </w:rPr>
      </w:pPr>
      <w:r>
        <w:rPr>
          <w:rFonts w:ascii="Times New Roman" w:hAnsi="Times New Roman" w:cs="Times New Roman"/>
          <w:sz w:val="24"/>
          <w:szCs w:val="24"/>
        </w:rPr>
        <w:t>The Consultation RIS claimed that</w:t>
      </w:r>
      <w:r w:rsidR="008E7027">
        <w:rPr>
          <w:rFonts w:ascii="Times New Roman" w:hAnsi="Times New Roman" w:cs="Times New Roman"/>
          <w:sz w:val="24"/>
          <w:szCs w:val="24"/>
        </w:rPr>
        <w:t>,</w:t>
      </w:r>
      <w:r>
        <w:rPr>
          <w:rFonts w:ascii="Times New Roman" w:hAnsi="Times New Roman" w:cs="Times New Roman"/>
          <w:sz w:val="24"/>
          <w:szCs w:val="24"/>
        </w:rPr>
        <w:t xml:space="preserve"> on average, outboard engines that comply with em</w:t>
      </w:r>
      <w:r w:rsidR="00A74ABB">
        <w:rPr>
          <w:rFonts w:ascii="Times New Roman" w:hAnsi="Times New Roman" w:cs="Times New Roman"/>
          <w:sz w:val="24"/>
          <w:szCs w:val="24"/>
        </w:rPr>
        <w:t>ission standards cost around $3</w:t>
      </w:r>
      <w:r>
        <w:rPr>
          <w:rFonts w:ascii="Times New Roman" w:hAnsi="Times New Roman" w:cs="Times New Roman"/>
          <w:sz w:val="24"/>
          <w:szCs w:val="24"/>
        </w:rPr>
        <w:t>000 more than non-compliant engines</w:t>
      </w:r>
      <w:r w:rsidR="00301402">
        <w:rPr>
          <w:rFonts w:ascii="Times New Roman" w:hAnsi="Times New Roman" w:cs="Times New Roman"/>
          <w:sz w:val="24"/>
          <w:szCs w:val="24"/>
        </w:rPr>
        <w:t xml:space="preserve">. </w:t>
      </w:r>
      <w:r>
        <w:rPr>
          <w:rFonts w:ascii="Times New Roman" w:hAnsi="Times New Roman" w:cs="Times New Roman"/>
          <w:sz w:val="24"/>
          <w:szCs w:val="24"/>
        </w:rPr>
        <w:t>A number of submissions agreed that this was representative</w:t>
      </w:r>
      <w:r w:rsidR="00301402">
        <w:rPr>
          <w:rFonts w:ascii="Times New Roman" w:hAnsi="Times New Roman" w:cs="Times New Roman"/>
          <w:sz w:val="24"/>
          <w:szCs w:val="24"/>
        </w:rPr>
        <w:t xml:space="preserve">. </w:t>
      </w:r>
      <w:r w:rsidR="004540C6">
        <w:rPr>
          <w:rFonts w:ascii="Times New Roman" w:hAnsi="Times New Roman" w:cs="Times New Roman"/>
          <w:sz w:val="24"/>
          <w:szCs w:val="24"/>
        </w:rPr>
        <w:t>They went on to</w:t>
      </w:r>
      <w:r>
        <w:rPr>
          <w:rFonts w:ascii="Times New Roman" w:hAnsi="Times New Roman" w:cs="Times New Roman"/>
          <w:sz w:val="24"/>
          <w:szCs w:val="24"/>
        </w:rPr>
        <w:t xml:space="preserve"> state that the</w:t>
      </w:r>
      <w:r w:rsidR="00B55F28">
        <w:rPr>
          <w:rFonts w:ascii="Times New Roman" w:hAnsi="Times New Roman" w:cs="Times New Roman"/>
          <w:sz w:val="24"/>
          <w:szCs w:val="24"/>
        </w:rPr>
        <w:t xml:space="preserve"> bulk of the costs will be borne by the small horsepower market segment and </w:t>
      </w:r>
      <w:r w:rsidR="00843AF0">
        <w:rPr>
          <w:rFonts w:ascii="Times New Roman" w:hAnsi="Times New Roman" w:cs="Times New Roman"/>
          <w:sz w:val="24"/>
          <w:szCs w:val="24"/>
        </w:rPr>
        <w:t xml:space="preserve">were concerned </w:t>
      </w:r>
      <w:r w:rsidR="00B55F28">
        <w:rPr>
          <w:rFonts w:ascii="Times New Roman" w:hAnsi="Times New Roman" w:cs="Times New Roman"/>
          <w:sz w:val="24"/>
          <w:szCs w:val="24"/>
        </w:rPr>
        <w:t xml:space="preserve">that replacement of these motors with compliant models will prove too costly for many first-time buyers, or those seeking to replace aging motors. </w:t>
      </w:r>
    </w:p>
    <w:p w:rsidR="001D7C96" w:rsidRDefault="004540C6" w:rsidP="001D7C96">
      <w:pPr>
        <w:rPr>
          <w:rFonts w:ascii="Times New Roman" w:hAnsi="Times New Roman" w:cs="Times New Roman"/>
          <w:sz w:val="24"/>
          <w:szCs w:val="24"/>
        </w:rPr>
      </w:pPr>
      <w:r>
        <w:rPr>
          <w:rFonts w:ascii="Times New Roman" w:hAnsi="Times New Roman" w:cs="Times New Roman"/>
          <w:sz w:val="24"/>
          <w:szCs w:val="24"/>
        </w:rPr>
        <w:t>One submission claimed that a</w:t>
      </w:r>
      <w:r w:rsidR="00B55F28">
        <w:rPr>
          <w:rFonts w:ascii="Times New Roman" w:hAnsi="Times New Roman" w:cs="Times New Roman"/>
          <w:sz w:val="24"/>
          <w:szCs w:val="24"/>
        </w:rPr>
        <w:t xml:space="preserve"> sales drop of 10 to 20% in the first year of </w:t>
      </w:r>
      <w:r w:rsidR="00B55F28" w:rsidRPr="004540C6">
        <w:rPr>
          <w:rFonts w:ascii="Times New Roman" w:hAnsi="Times New Roman" w:cs="Times New Roman"/>
          <w:sz w:val="24"/>
          <w:szCs w:val="24"/>
        </w:rPr>
        <w:t>regulat</w:t>
      </w:r>
      <w:r w:rsidRPr="004540C6">
        <w:rPr>
          <w:rFonts w:ascii="Times New Roman" w:hAnsi="Times New Roman" w:cs="Times New Roman"/>
          <w:sz w:val="24"/>
          <w:szCs w:val="24"/>
        </w:rPr>
        <w:t xml:space="preserve">ion was likely based on experience in </w:t>
      </w:r>
      <w:r w:rsidR="00B55F28" w:rsidRPr="004540C6">
        <w:rPr>
          <w:rFonts w:ascii="Times New Roman" w:hAnsi="Times New Roman" w:cs="Times New Roman"/>
          <w:sz w:val="24"/>
          <w:szCs w:val="24"/>
        </w:rPr>
        <w:t xml:space="preserve">other </w:t>
      </w:r>
      <w:r w:rsidRPr="004540C6">
        <w:rPr>
          <w:rFonts w:ascii="Times New Roman" w:hAnsi="Times New Roman" w:cs="Times New Roman"/>
          <w:sz w:val="24"/>
          <w:szCs w:val="24"/>
        </w:rPr>
        <w:t xml:space="preserve">regulated </w:t>
      </w:r>
      <w:r w:rsidR="00B55F28" w:rsidRPr="004540C6">
        <w:rPr>
          <w:rFonts w:ascii="Times New Roman" w:hAnsi="Times New Roman" w:cs="Times New Roman"/>
          <w:sz w:val="24"/>
          <w:szCs w:val="24"/>
        </w:rPr>
        <w:t>markets</w:t>
      </w:r>
      <w:r w:rsidR="001D7C96">
        <w:rPr>
          <w:rFonts w:ascii="Times New Roman" w:hAnsi="Times New Roman" w:cs="Times New Roman"/>
          <w:sz w:val="24"/>
          <w:szCs w:val="24"/>
        </w:rPr>
        <w:t xml:space="preserve">. The marine engine sector submissions based </w:t>
      </w:r>
      <w:r w:rsidR="001D7C96">
        <w:rPr>
          <w:rFonts w:ascii="Times New Roman" w:hAnsi="Times New Roman" w:cs="Times New Roman"/>
          <w:sz w:val="24"/>
          <w:szCs w:val="24"/>
        </w:rPr>
        <w:lastRenderedPageBreak/>
        <w:t xml:space="preserve">on the form letter expressed concern that emission standards will add cost to their products, may result in a loss of jobs, and may reduce the range of available product. </w:t>
      </w:r>
    </w:p>
    <w:p w:rsidR="00B55F28" w:rsidRDefault="00B55F28" w:rsidP="00B55F28">
      <w:pPr>
        <w:rPr>
          <w:rFonts w:ascii="Times New Roman" w:hAnsi="Times New Roman" w:cs="Times New Roman"/>
          <w:sz w:val="24"/>
          <w:szCs w:val="24"/>
        </w:rPr>
      </w:pPr>
      <w:r>
        <w:rPr>
          <w:rFonts w:ascii="Times New Roman" w:hAnsi="Times New Roman" w:cs="Times New Roman"/>
          <w:sz w:val="24"/>
          <w:szCs w:val="24"/>
        </w:rPr>
        <w:t xml:space="preserve">Several </w:t>
      </w:r>
      <w:r w:rsidR="004540C6">
        <w:rPr>
          <w:rFonts w:ascii="Times New Roman" w:hAnsi="Times New Roman" w:cs="Times New Roman"/>
          <w:sz w:val="24"/>
          <w:szCs w:val="24"/>
        </w:rPr>
        <w:t xml:space="preserve">submissions </w:t>
      </w:r>
      <w:r>
        <w:rPr>
          <w:rFonts w:ascii="Times New Roman" w:hAnsi="Times New Roman" w:cs="Times New Roman"/>
          <w:sz w:val="24"/>
          <w:szCs w:val="24"/>
        </w:rPr>
        <w:t>contest</w:t>
      </w:r>
      <w:r w:rsidR="004540C6">
        <w:rPr>
          <w:rFonts w:ascii="Times New Roman" w:hAnsi="Times New Roman" w:cs="Times New Roman"/>
          <w:sz w:val="24"/>
          <w:szCs w:val="24"/>
        </w:rPr>
        <w:t xml:space="preserve">ed the price increase put forward in the Consultation RIS, </w:t>
      </w:r>
      <w:r>
        <w:rPr>
          <w:rFonts w:ascii="Times New Roman" w:hAnsi="Times New Roman" w:cs="Times New Roman"/>
          <w:sz w:val="24"/>
          <w:szCs w:val="24"/>
        </w:rPr>
        <w:t>stat</w:t>
      </w:r>
      <w:r w:rsidR="004540C6">
        <w:rPr>
          <w:rFonts w:ascii="Times New Roman" w:hAnsi="Times New Roman" w:cs="Times New Roman"/>
          <w:sz w:val="24"/>
          <w:szCs w:val="24"/>
        </w:rPr>
        <w:t>ing</w:t>
      </w:r>
      <w:r>
        <w:rPr>
          <w:rFonts w:ascii="Times New Roman" w:hAnsi="Times New Roman" w:cs="Times New Roman"/>
          <w:sz w:val="24"/>
          <w:szCs w:val="24"/>
        </w:rPr>
        <w:t xml:space="preserve"> that </w:t>
      </w:r>
      <w:r w:rsidR="004540C6">
        <w:rPr>
          <w:rFonts w:ascii="Times New Roman" w:hAnsi="Times New Roman" w:cs="Times New Roman"/>
          <w:sz w:val="24"/>
          <w:szCs w:val="24"/>
        </w:rPr>
        <w:t>considering the</w:t>
      </w:r>
      <w:r>
        <w:rPr>
          <w:rFonts w:ascii="Times New Roman" w:hAnsi="Times New Roman" w:cs="Times New Roman"/>
          <w:sz w:val="24"/>
          <w:szCs w:val="24"/>
        </w:rPr>
        <w:t xml:space="preserve"> mix of engines in the marketplace </w:t>
      </w:r>
      <w:r w:rsidR="00A74ABB">
        <w:rPr>
          <w:rFonts w:ascii="Times New Roman" w:hAnsi="Times New Roman" w:cs="Times New Roman"/>
          <w:sz w:val="24"/>
          <w:szCs w:val="24"/>
        </w:rPr>
        <w:t>it is closer to $1</w:t>
      </w:r>
      <w:r w:rsidR="004540C6">
        <w:rPr>
          <w:rFonts w:ascii="Times New Roman" w:hAnsi="Times New Roman" w:cs="Times New Roman"/>
          <w:sz w:val="24"/>
          <w:szCs w:val="24"/>
        </w:rPr>
        <w:t>200-$1500</w:t>
      </w:r>
      <w:r>
        <w:rPr>
          <w:rFonts w:ascii="Times New Roman" w:hAnsi="Times New Roman" w:cs="Times New Roman"/>
          <w:sz w:val="24"/>
          <w:szCs w:val="24"/>
        </w:rPr>
        <w:t xml:space="preserve">. </w:t>
      </w:r>
      <w:r w:rsidR="007649E4">
        <w:rPr>
          <w:rFonts w:ascii="Times New Roman" w:hAnsi="Times New Roman" w:cs="Times New Roman"/>
          <w:sz w:val="24"/>
          <w:szCs w:val="24"/>
        </w:rPr>
        <w:t>Furthermore, t</w:t>
      </w:r>
      <w:r>
        <w:rPr>
          <w:rFonts w:ascii="Times New Roman" w:hAnsi="Times New Roman" w:cs="Times New Roman"/>
          <w:sz w:val="24"/>
          <w:szCs w:val="24"/>
        </w:rPr>
        <w:t>hey suggest that price increases should be measured as a proportion of the price of the “package” (</w:t>
      </w:r>
      <w:r w:rsidR="00843AF0">
        <w:rPr>
          <w:rFonts w:ascii="Times New Roman" w:hAnsi="Times New Roman" w:cs="Times New Roman"/>
          <w:sz w:val="24"/>
          <w:szCs w:val="24"/>
        </w:rPr>
        <w:t xml:space="preserve">made up of the boat, engine and </w:t>
      </w:r>
      <w:r>
        <w:rPr>
          <w:rFonts w:ascii="Times New Roman" w:hAnsi="Times New Roman" w:cs="Times New Roman"/>
          <w:sz w:val="24"/>
          <w:szCs w:val="24"/>
        </w:rPr>
        <w:t xml:space="preserve">trailer), not solely on the </w:t>
      </w:r>
      <w:r w:rsidR="00843AF0">
        <w:rPr>
          <w:rFonts w:ascii="Times New Roman" w:hAnsi="Times New Roman" w:cs="Times New Roman"/>
          <w:sz w:val="24"/>
          <w:szCs w:val="24"/>
        </w:rPr>
        <w:t>engine</w:t>
      </w:r>
      <w:r>
        <w:rPr>
          <w:rFonts w:ascii="Times New Roman" w:hAnsi="Times New Roman" w:cs="Times New Roman"/>
          <w:sz w:val="24"/>
          <w:szCs w:val="24"/>
        </w:rPr>
        <w:t xml:space="preserve">. </w:t>
      </w:r>
      <w:r w:rsidR="007649E4">
        <w:rPr>
          <w:rFonts w:ascii="Times New Roman" w:hAnsi="Times New Roman" w:cs="Times New Roman"/>
          <w:sz w:val="24"/>
          <w:szCs w:val="24"/>
        </w:rPr>
        <w:t>T</w:t>
      </w:r>
      <w:r>
        <w:rPr>
          <w:rFonts w:ascii="Times New Roman" w:hAnsi="Times New Roman" w:cs="Times New Roman"/>
          <w:sz w:val="24"/>
          <w:szCs w:val="24"/>
        </w:rPr>
        <w:t>hey believe that the value of the Australian dollar will have a more potent influence on consumer demand</w:t>
      </w:r>
      <w:r w:rsidR="007649E4">
        <w:rPr>
          <w:rFonts w:ascii="Times New Roman" w:hAnsi="Times New Roman" w:cs="Times New Roman"/>
          <w:sz w:val="24"/>
          <w:szCs w:val="24"/>
        </w:rPr>
        <w:t xml:space="preserve"> for outboard engines than the introduction of emission standards</w:t>
      </w:r>
      <w:r>
        <w:rPr>
          <w:rFonts w:ascii="Times New Roman" w:hAnsi="Times New Roman" w:cs="Times New Roman"/>
          <w:sz w:val="24"/>
          <w:szCs w:val="24"/>
        </w:rPr>
        <w:t>.</w:t>
      </w:r>
    </w:p>
    <w:p w:rsidR="00F449A8" w:rsidRDefault="00F449A8">
      <w:pPr>
        <w:rPr>
          <w:rFonts w:ascii="Times New Roman" w:hAnsi="Times New Roman" w:cs="Times New Roman"/>
          <w:b/>
          <w:sz w:val="28"/>
          <w:szCs w:val="28"/>
        </w:rPr>
      </w:pPr>
      <w:r>
        <w:br w:type="page"/>
      </w:r>
    </w:p>
    <w:p w:rsidR="004E242E" w:rsidRPr="004E242E" w:rsidRDefault="004E242E" w:rsidP="004E242E">
      <w:pPr>
        <w:pStyle w:val="Heading1"/>
        <w:keepNext/>
      </w:pPr>
      <w:bookmarkStart w:id="9" w:name="_Toc342565460"/>
      <w:r>
        <w:lastRenderedPageBreak/>
        <w:t>Engine weight</w:t>
      </w:r>
      <w:bookmarkEnd w:id="9"/>
      <w:r>
        <w:t xml:space="preserve"> </w:t>
      </w:r>
    </w:p>
    <w:p w:rsidR="00C1548C" w:rsidRDefault="00C1548C" w:rsidP="00551052">
      <w:pPr>
        <w:spacing w:after="0"/>
        <w:rPr>
          <w:rFonts w:ascii="Times New Roman" w:hAnsi="Times New Roman" w:cs="Times New Roman"/>
          <w:sz w:val="24"/>
          <w:szCs w:val="24"/>
        </w:rPr>
      </w:pPr>
      <w:r>
        <w:rPr>
          <w:rFonts w:ascii="Times New Roman" w:hAnsi="Times New Roman" w:cs="Times New Roman"/>
          <w:sz w:val="24"/>
          <w:szCs w:val="24"/>
        </w:rPr>
        <w:t xml:space="preserve">Six </w:t>
      </w:r>
      <w:r w:rsidR="00295649">
        <w:rPr>
          <w:rFonts w:ascii="Times New Roman" w:hAnsi="Times New Roman" w:cs="Times New Roman"/>
          <w:sz w:val="24"/>
          <w:szCs w:val="24"/>
        </w:rPr>
        <w:t xml:space="preserve">independent </w:t>
      </w:r>
      <w:r>
        <w:rPr>
          <w:rFonts w:ascii="Times New Roman" w:hAnsi="Times New Roman" w:cs="Times New Roman"/>
          <w:sz w:val="24"/>
          <w:szCs w:val="24"/>
        </w:rPr>
        <w:t>submissions from the</w:t>
      </w:r>
      <w:r w:rsidR="001A0293">
        <w:rPr>
          <w:rFonts w:ascii="Times New Roman" w:hAnsi="Times New Roman" w:cs="Times New Roman"/>
          <w:sz w:val="24"/>
          <w:szCs w:val="24"/>
        </w:rPr>
        <w:t xml:space="preserve"> marine sector</w:t>
      </w:r>
      <w:r>
        <w:rPr>
          <w:rFonts w:ascii="Times New Roman" w:hAnsi="Times New Roman" w:cs="Times New Roman"/>
          <w:sz w:val="24"/>
          <w:szCs w:val="24"/>
        </w:rPr>
        <w:t xml:space="preserve"> express</w:t>
      </w:r>
      <w:r w:rsidR="000D144D">
        <w:rPr>
          <w:rFonts w:ascii="Times New Roman" w:hAnsi="Times New Roman" w:cs="Times New Roman"/>
          <w:sz w:val="24"/>
          <w:szCs w:val="24"/>
        </w:rPr>
        <w:t xml:space="preserve"> concerns regarding the </w:t>
      </w:r>
      <w:r w:rsidR="00AD2A2B">
        <w:rPr>
          <w:rFonts w:ascii="Times New Roman" w:hAnsi="Times New Roman" w:cs="Times New Roman"/>
          <w:sz w:val="24"/>
          <w:szCs w:val="24"/>
        </w:rPr>
        <w:t>potenti</w:t>
      </w:r>
      <w:r w:rsidR="00295649">
        <w:rPr>
          <w:rFonts w:ascii="Times New Roman" w:hAnsi="Times New Roman" w:cs="Times New Roman"/>
          <w:sz w:val="24"/>
          <w:szCs w:val="24"/>
        </w:rPr>
        <w:t>a</w:t>
      </w:r>
      <w:r w:rsidR="00AD2A2B">
        <w:rPr>
          <w:rFonts w:ascii="Times New Roman" w:hAnsi="Times New Roman" w:cs="Times New Roman"/>
          <w:sz w:val="24"/>
          <w:szCs w:val="24"/>
        </w:rPr>
        <w:t>l impacts associated with</w:t>
      </w:r>
      <w:r w:rsidR="008E7027">
        <w:rPr>
          <w:rFonts w:ascii="Times New Roman" w:hAnsi="Times New Roman" w:cs="Times New Roman"/>
          <w:sz w:val="24"/>
          <w:szCs w:val="24"/>
        </w:rPr>
        <w:t xml:space="preserve"> the</w:t>
      </w:r>
      <w:r w:rsidR="00AD2A2B">
        <w:rPr>
          <w:rFonts w:ascii="Times New Roman" w:hAnsi="Times New Roman" w:cs="Times New Roman"/>
          <w:sz w:val="24"/>
          <w:szCs w:val="24"/>
        </w:rPr>
        <w:t xml:space="preserve"> </w:t>
      </w:r>
      <w:r w:rsidR="000D144D">
        <w:rPr>
          <w:rFonts w:ascii="Times New Roman" w:hAnsi="Times New Roman" w:cs="Times New Roman"/>
          <w:sz w:val="24"/>
          <w:szCs w:val="24"/>
        </w:rPr>
        <w:t xml:space="preserve">difference in weight between 2-stroke and 4-stroke </w:t>
      </w:r>
      <w:r w:rsidR="00295649">
        <w:rPr>
          <w:rFonts w:ascii="Times New Roman" w:hAnsi="Times New Roman" w:cs="Times New Roman"/>
          <w:sz w:val="24"/>
          <w:szCs w:val="24"/>
        </w:rPr>
        <w:t xml:space="preserve">outboard </w:t>
      </w:r>
      <w:r w:rsidR="000D144D">
        <w:rPr>
          <w:rFonts w:ascii="Times New Roman" w:hAnsi="Times New Roman" w:cs="Times New Roman"/>
          <w:sz w:val="24"/>
          <w:szCs w:val="24"/>
        </w:rPr>
        <w:t>engines of the same horsepower</w:t>
      </w:r>
      <w:r w:rsidR="008E7027">
        <w:rPr>
          <w:rFonts w:ascii="Times New Roman" w:hAnsi="Times New Roman" w:cs="Times New Roman"/>
          <w:sz w:val="24"/>
          <w:szCs w:val="24"/>
        </w:rPr>
        <w:t>,</w:t>
      </w:r>
      <w:r w:rsidR="00295649">
        <w:rPr>
          <w:rFonts w:ascii="Times New Roman" w:hAnsi="Times New Roman" w:cs="Times New Roman"/>
          <w:sz w:val="24"/>
          <w:szCs w:val="24"/>
        </w:rPr>
        <w:t xml:space="preserve"> particularly in the less than 25 horsepower category</w:t>
      </w:r>
      <w:r w:rsidR="00CA3326">
        <w:rPr>
          <w:rFonts w:ascii="Times New Roman" w:hAnsi="Times New Roman" w:cs="Times New Roman"/>
          <w:sz w:val="24"/>
          <w:szCs w:val="24"/>
        </w:rPr>
        <w:t xml:space="preserve">. </w:t>
      </w:r>
      <w:r>
        <w:rPr>
          <w:rFonts w:ascii="Times New Roman" w:hAnsi="Times New Roman" w:cs="Times New Roman"/>
          <w:sz w:val="24"/>
          <w:szCs w:val="24"/>
        </w:rPr>
        <w:t>The issues they raise include:</w:t>
      </w:r>
    </w:p>
    <w:p w:rsidR="00C1548C" w:rsidRPr="00E659D9" w:rsidRDefault="00E659D9" w:rsidP="00C1548C">
      <w:pPr>
        <w:pStyle w:val="ListBullet"/>
        <w:rPr>
          <w:rFonts w:ascii="Times New Roman" w:hAnsi="Times New Roman" w:cs="Times New Roman"/>
          <w:sz w:val="24"/>
          <w:szCs w:val="24"/>
        </w:rPr>
      </w:pPr>
      <w:r w:rsidRPr="00E659D9">
        <w:rPr>
          <w:rFonts w:ascii="Times New Roman" w:hAnsi="Times New Roman" w:cs="Times New Roman"/>
          <w:sz w:val="24"/>
          <w:szCs w:val="24"/>
        </w:rPr>
        <w:t xml:space="preserve">The weight of replacement engines </w:t>
      </w:r>
      <w:r w:rsidR="00295649">
        <w:rPr>
          <w:rFonts w:ascii="Times New Roman" w:hAnsi="Times New Roman" w:cs="Times New Roman"/>
          <w:sz w:val="24"/>
          <w:szCs w:val="24"/>
        </w:rPr>
        <w:t xml:space="preserve">(when replacing a 2-stroke with a 4-stroke engines) </w:t>
      </w:r>
      <w:r w:rsidRPr="00E659D9">
        <w:rPr>
          <w:rFonts w:ascii="Times New Roman" w:hAnsi="Times New Roman" w:cs="Times New Roman"/>
          <w:sz w:val="24"/>
          <w:szCs w:val="24"/>
        </w:rPr>
        <w:t>may be greater than the design specifications of the transom</w:t>
      </w:r>
      <w:r>
        <w:rPr>
          <w:rFonts w:ascii="Times New Roman" w:hAnsi="Times New Roman" w:cs="Times New Roman"/>
          <w:sz w:val="24"/>
          <w:szCs w:val="24"/>
        </w:rPr>
        <w:t xml:space="preserve"> and/or boat</w:t>
      </w:r>
      <w:r w:rsidRPr="00E659D9">
        <w:rPr>
          <w:rFonts w:ascii="Times New Roman" w:hAnsi="Times New Roman" w:cs="Times New Roman"/>
          <w:sz w:val="24"/>
          <w:szCs w:val="24"/>
        </w:rPr>
        <w:t>, and</w:t>
      </w:r>
    </w:p>
    <w:p w:rsidR="00E659D9" w:rsidRDefault="00E659D9" w:rsidP="00C1548C">
      <w:pPr>
        <w:pStyle w:val="ListBullet"/>
        <w:rPr>
          <w:rFonts w:ascii="Times New Roman" w:hAnsi="Times New Roman" w:cs="Times New Roman"/>
          <w:sz w:val="24"/>
          <w:szCs w:val="24"/>
        </w:rPr>
      </w:pPr>
      <w:r>
        <w:rPr>
          <w:rFonts w:ascii="Times New Roman" w:hAnsi="Times New Roman" w:cs="Times New Roman"/>
          <w:sz w:val="24"/>
          <w:szCs w:val="24"/>
        </w:rPr>
        <w:t>M</w:t>
      </w:r>
      <w:r w:rsidRPr="00E659D9">
        <w:rPr>
          <w:rFonts w:ascii="Times New Roman" w:hAnsi="Times New Roman" w:cs="Times New Roman"/>
          <w:sz w:val="24"/>
          <w:szCs w:val="24"/>
        </w:rPr>
        <w:t>anual handling issues.</w:t>
      </w:r>
    </w:p>
    <w:p w:rsidR="00A40850" w:rsidRDefault="00CA3326" w:rsidP="007C30A1">
      <w:pPr>
        <w:rPr>
          <w:rFonts w:ascii="Times New Roman" w:hAnsi="Times New Roman" w:cs="Times New Roman"/>
          <w:sz w:val="24"/>
          <w:szCs w:val="24"/>
        </w:rPr>
      </w:pPr>
      <w:r>
        <w:rPr>
          <w:rFonts w:ascii="Times New Roman" w:hAnsi="Times New Roman" w:cs="Times New Roman"/>
          <w:sz w:val="24"/>
          <w:szCs w:val="24"/>
        </w:rPr>
        <w:t>These respondents, as well as</w:t>
      </w:r>
      <w:r w:rsidR="007C30A1">
        <w:rPr>
          <w:rFonts w:ascii="Times New Roman" w:hAnsi="Times New Roman" w:cs="Times New Roman"/>
          <w:sz w:val="24"/>
          <w:szCs w:val="24"/>
        </w:rPr>
        <w:t xml:space="preserve"> the marine engine sector form letters</w:t>
      </w:r>
      <w:r>
        <w:rPr>
          <w:rFonts w:ascii="Times New Roman" w:hAnsi="Times New Roman" w:cs="Times New Roman"/>
          <w:sz w:val="24"/>
          <w:szCs w:val="24"/>
        </w:rPr>
        <w:t>, suggest</w:t>
      </w:r>
      <w:r w:rsidR="007C30A1">
        <w:rPr>
          <w:rFonts w:ascii="Times New Roman" w:hAnsi="Times New Roman" w:cs="Times New Roman"/>
          <w:sz w:val="24"/>
          <w:szCs w:val="24"/>
        </w:rPr>
        <w:t xml:space="preserve"> that boat builders and dealers </w:t>
      </w:r>
      <w:r w:rsidR="007C30A1" w:rsidRPr="007C30A1">
        <w:rPr>
          <w:rFonts w:ascii="Times New Roman" w:hAnsi="Times New Roman" w:cs="Times New Roman"/>
          <w:sz w:val="24"/>
          <w:szCs w:val="24"/>
        </w:rPr>
        <w:t>need</w:t>
      </w:r>
      <w:r w:rsidR="007C30A1">
        <w:rPr>
          <w:rFonts w:ascii="Times New Roman" w:hAnsi="Times New Roman" w:cs="Times New Roman"/>
          <w:sz w:val="24"/>
          <w:szCs w:val="24"/>
        </w:rPr>
        <w:t xml:space="preserve"> </w:t>
      </w:r>
      <w:r w:rsidR="007C30A1" w:rsidRPr="007C30A1">
        <w:rPr>
          <w:rFonts w:ascii="Times New Roman" w:hAnsi="Times New Roman" w:cs="Times New Roman"/>
          <w:sz w:val="24"/>
          <w:szCs w:val="24"/>
        </w:rPr>
        <w:t>add</w:t>
      </w:r>
      <w:r>
        <w:rPr>
          <w:rFonts w:ascii="Times New Roman" w:hAnsi="Times New Roman" w:cs="Times New Roman"/>
          <w:sz w:val="24"/>
          <w:szCs w:val="24"/>
        </w:rPr>
        <w:t>itional time</w:t>
      </w:r>
      <w:r w:rsidR="007C30A1">
        <w:rPr>
          <w:rFonts w:ascii="Times New Roman" w:hAnsi="Times New Roman" w:cs="Times New Roman"/>
          <w:sz w:val="24"/>
          <w:szCs w:val="24"/>
        </w:rPr>
        <w:t xml:space="preserve"> to accommodate these changes. </w:t>
      </w:r>
      <w:r>
        <w:rPr>
          <w:rFonts w:ascii="Times New Roman" w:hAnsi="Times New Roman" w:cs="Times New Roman"/>
          <w:sz w:val="24"/>
          <w:szCs w:val="24"/>
        </w:rPr>
        <w:t>Four</w:t>
      </w:r>
      <w:r w:rsidR="00207DCA">
        <w:rPr>
          <w:rFonts w:ascii="Times New Roman" w:hAnsi="Times New Roman" w:cs="Times New Roman"/>
          <w:sz w:val="24"/>
          <w:szCs w:val="24"/>
        </w:rPr>
        <w:t xml:space="preserve"> independen</w:t>
      </w:r>
      <w:r>
        <w:rPr>
          <w:rFonts w:ascii="Times New Roman" w:hAnsi="Times New Roman" w:cs="Times New Roman"/>
          <w:sz w:val="24"/>
          <w:szCs w:val="24"/>
        </w:rPr>
        <w:t xml:space="preserve">t marine </w:t>
      </w:r>
      <w:r w:rsidR="00891B5D">
        <w:rPr>
          <w:rFonts w:ascii="Times New Roman" w:hAnsi="Times New Roman" w:cs="Times New Roman"/>
          <w:sz w:val="24"/>
          <w:szCs w:val="24"/>
        </w:rPr>
        <w:t>sector</w:t>
      </w:r>
      <w:r w:rsidR="00C444DE">
        <w:rPr>
          <w:rFonts w:ascii="Times New Roman" w:hAnsi="Times New Roman" w:cs="Times New Roman"/>
          <w:sz w:val="24"/>
          <w:szCs w:val="24"/>
        </w:rPr>
        <w:t xml:space="preserve"> </w:t>
      </w:r>
      <w:r>
        <w:rPr>
          <w:rFonts w:ascii="Times New Roman" w:hAnsi="Times New Roman" w:cs="Times New Roman"/>
          <w:sz w:val="24"/>
          <w:szCs w:val="24"/>
        </w:rPr>
        <w:t>submissions</w:t>
      </w:r>
      <w:r w:rsidR="00207DCA">
        <w:rPr>
          <w:rFonts w:ascii="Times New Roman" w:hAnsi="Times New Roman" w:cs="Times New Roman"/>
          <w:sz w:val="24"/>
          <w:szCs w:val="24"/>
        </w:rPr>
        <w:t xml:space="preserve"> state that </w:t>
      </w:r>
      <w:r>
        <w:rPr>
          <w:rFonts w:ascii="Times New Roman" w:hAnsi="Times New Roman" w:cs="Times New Roman"/>
          <w:sz w:val="24"/>
          <w:szCs w:val="24"/>
        </w:rPr>
        <w:t>this is not an issue, while</w:t>
      </w:r>
      <w:r w:rsidR="00207DCA">
        <w:rPr>
          <w:rFonts w:ascii="Times New Roman" w:hAnsi="Times New Roman" w:cs="Times New Roman"/>
          <w:sz w:val="24"/>
          <w:szCs w:val="24"/>
        </w:rPr>
        <w:t xml:space="preserve"> </w:t>
      </w:r>
      <w:r w:rsidR="004C148B">
        <w:rPr>
          <w:rFonts w:ascii="Times New Roman" w:hAnsi="Times New Roman" w:cs="Times New Roman"/>
          <w:sz w:val="24"/>
          <w:szCs w:val="24"/>
        </w:rPr>
        <w:t xml:space="preserve">the remaining </w:t>
      </w:r>
      <w:r w:rsidR="00207DCA">
        <w:rPr>
          <w:rFonts w:ascii="Times New Roman" w:hAnsi="Times New Roman" w:cs="Times New Roman"/>
          <w:sz w:val="24"/>
          <w:szCs w:val="24"/>
        </w:rPr>
        <w:t xml:space="preserve">18 </w:t>
      </w:r>
      <w:r w:rsidR="004C148B">
        <w:rPr>
          <w:rFonts w:ascii="Times New Roman" w:hAnsi="Times New Roman" w:cs="Times New Roman"/>
          <w:sz w:val="24"/>
          <w:szCs w:val="24"/>
        </w:rPr>
        <w:t xml:space="preserve">marine engine respondents </w:t>
      </w:r>
      <w:r w:rsidR="002C527B">
        <w:rPr>
          <w:rFonts w:ascii="Times New Roman" w:hAnsi="Times New Roman" w:cs="Times New Roman"/>
          <w:sz w:val="24"/>
          <w:szCs w:val="24"/>
        </w:rPr>
        <w:t>make no comment at all.</w:t>
      </w:r>
    </w:p>
    <w:p w:rsidR="005E0E3B" w:rsidRDefault="006E3871" w:rsidP="007B407C">
      <w:pPr>
        <w:pStyle w:val="Heading1"/>
        <w:pageBreakBefore/>
      </w:pPr>
      <w:bookmarkStart w:id="10" w:name="_Toc342565461"/>
      <w:r w:rsidRPr="00146F56">
        <w:lastRenderedPageBreak/>
        <w:t>List of public submissions</w:t>
      </w:r>
      <w:bookmarkEnd w:id="10"/>
    </w:p>
    <w:p w:rsidR="007D2DBF" w:rsidRDefault="00770871" w:rsidP="005E0E3B">
      <w:pPr>
        <w:keepNext/>
        <w:rPr>
          <w:rFonts w:ascii="Times New Roman" w:hAnsi="Times New Roman" w:cs="Times New Roman"/>
          <w:sz w:val="24"/>
          <w:szCs w:val="24"/>
        </w:rPr>
      </w:pPr>
      <w:r>
        <w:rPr>
          <w:rFonts w:ascii="Times New Roman" w:hAnsi="Times New Roman" w:cs="Times New Roman"/>
          <w:sz w:val="24"/>
          <w:szCs w:val="24"/>
        </w:rPr>
        <w:t xml:space="preserve">The </w:t>
      </w:r>
      <w:r w:rsidR="007B407C">
        <w:rPr>
          <w:rFonts w:ascii="Times New Roman" w:hAnsi="Times New Roman" w:cs="Times New Roman"/>
          <w:sz w:val="24"/>
          <w:szCs w:val="24"/>
        </w:rPr>
        <w:t>8</w:t>
      </w:r>
      <w:r w:rsidR="001C683B">
        <w:rPr>
          <w:rFonts w:ascii="Times New Roman" w:hAnsi="Times New Roman" w:cs="Times New Roman"/>
          <w:sz w:val="24"/>
          <w:szCs w:val="24"/>
        </w:rPr>
        <w:t>1</w:t>
      </w:r>
      <w:r w:rsidR="007B407C">
        <w:rPr>
          <w:rFonts w:ascii="Times New Roman" w:hAnsi="Times New Roman" w:cs="Times New Roman"/>
          <w:sz w:val="24"/>
          <w:szCs w:val="24"/>
        </w:rPr>
        <w:t xml:space="preserve"> </w:t>
      </w:r>
      <w:r>
        <w:rPr>
          <w:rFonts w:ascii="Times New Roman" w:hAnsi="Times New Roman" w:cs="Times New Roman"/>
          <w:sz w:val="24"/>
          <w:szCs w:val="24"/>
        </w:rPr>
        <w:t>public</w:t>
      </w:r>
      <w:r w:rsidR="004619AB">
        <w:rPr>
          <w:rFonts w:ascii="Times New Roman" w:hAnsi="Times New Roman" w:cs="Times New Roman"/>
          <w:sz w:val="24"/>
          <w:szCs w:val="24"/>
        </w:rPr>
        <w:t xml:space="preserve"> </w:t>
      </w:r>
      <w:r w:rsidR="007073DD">
        <w:rPr>
          <w:rFonts w:ascii="Times New Roman" w:hAnsi="Times New Roman" w:cs="Times New Roman"/>
          <w:sz w:val="24"/>
          <w:szCs w:val="24"/>
        </w:rPr>
        <w:t>submissions</w:t>
      </w:r>
      <w:r w:rsidR="00E87934">
        <w:rPr>
          <w:rFonts w:ascii="Times New Roman" w:hAnsi="Times New Roman" w:cs="Times New Roman"/>
          <w:sz w:val="24"/>
          <w:szCs w:val="24"/>
        </w:rPr>
        <w:t xml:space="preserve"> are listed below. </w:t>
      </w:r>
      <w:r w:rsidR="00A82BBD">
        <w:rPr>
          <w:rFonts w:ascii="Times New Roman" w:hAnsi="Times New Roman" w:cs="Times New Roman"/>
          <w:sz w:val="24"/>
          <w:szCs w:val="24"/>
        </w:rPr>
        <w:t xml:space="preserve">The </w:t>
      </w:r>
      <w:r w:rsidR="001C683B">
        <w:rPr>
          <w:rFonts w:ascii="Times New Roman" w:hAnsi="Times New Roman" w:cs="Times New Roman"/>
          <w:sz w:val="24"/>
          <w:szCs w:val="24"/>
        </w:rPr>
        <w:t>ten</w:t>
      </w:r>
      <w:r w:rsidR="007D2DBF">
        <w:rPr>
          <w:rFonts w:ascii="Times New Roman" w:hAnsi="Times New Roman" w:cs="Times New Roman"/>
          <w:sz w:val="24"/>
          <w:szCs w:val="24"/>
        </w:rPr>
        <w:t xml:space="preserve"> commercial-in-confidence submissions are not recorded.</w:t>
      </w:r>
      <w:r w:rsidR="004619AB">
        <w:rPr>
          <w:rFonts w:ascii="Times New Roman" w:hAnsi="Times New Roman" w:cs="Times New Roman"/>
          <w:sz w:val="24"/>
          <w:szCs w:val="24"/>
        </w:rPr>
        <w:t xml:space="preserve"> </w:t>
      </w:r>
      <w:r w:rsidR="00A82BBD">
        <w:rPr>
          <w:rFonts w:ascii="Times New Roman" w:hAnsi="Times New Roman" w:cs="Times New Roman"/>
          <w:sz w:val="24"/>
          <w:szCs w:val="24"/>
        </w:rPr>
        <w:t>P</w:t>
      </w:r>
      <w:r w:rsidR="004619AB">
        <w:rPr>
          <w:rFonts w:ascii="Times New Roman" w:hAnsi="Times New Roman" w:cs="Times New Roman"/>
          <w:sz w:val="24"/>
          <w:szCs w:val="24"/>
        </w:rPr>
        <w:t>ublic</w:t>
      </w:r>
      <w:r w:rsidR="00E87934">
        <w:rPr>
          <w:rFonts w:ascii="Times New Roman" w:hAnsi="Times New Roman" w:cs="Times New Roman"/>
          <w:sz w:val="24"/>
          <w:szCs w:val="24"/>
        </w:rPr>
        <w:t>ly available</w:t>
      </w:r>
      <w:r w:rsidR="004619AB">
        <w:rPr>
          <w:rFonts w:ascii="Times New Roman" w:hAnsi="Times New Roman" w:cs="Times New Roman"/>
          <w:sz w:val="24"/>
          <w:szCs w:val="24"/>
        </w:rPr>
        <w:t xml:space="preserve"> submissions </w:t>
      </w:r>
      <w:r w:rsidR="00E87934">
        <w:rPr>
          <w:rFonts w:ascii="Times New Roman" w:hAnsi="Times New Roman" w:cs="Times New Roman"/>
          <w:sz w:val="24"/>
          <w:szCs w:val="24"/>
        </w:rPr>
        <w:t>may be found</w:t>
      </w:r>
      <w:r w:rsidR="004619AB">
        <w:rPr>
          <w:rFonts w:ascii="Times New Roman" w:hAnsi="Times New Roman" w:cs="Times New Roman"/>
          <w:sz w:val="24"/>
          <w:szCs w:val="24"/>
        </w:rPr>
        <w:t xml:space="preserve"> at:</w:t>
      </w:r>
      <w:r w:rsidR="00A354C2">
        <w:rPr>
          <w:rFonts w:ascii="Times New Roman" w:hAnsi="Times New Roman" w:cs="Times New Roman"/>
          <w:sz w:val="24"/>
          <w:szCs w:val="24"/>
        </w:rPr>
        <w:t xml:space="preserve"> </w:t>
      </w:r>
      <w:hyperlink r:id="rId11" w:history="1">
        <w:r w:rsidR="00A354C2" w:rsidRPr="005E20DA">
          <w:rPr>
            <w:rStyle w:val="Hyperlink"/>
            <w:rFonts w:ascii="Times New Roman" w:hAnsi="Times New Roman" w:cs="Times New Roman"/>
            <w:sz w:val="24"/>
            <w:szCs w:val="24"/>
          </w:rPr>
          <w:t>http://www.scew.gov.au/archive/air/spark-ignition-submissions.html</w:t>
        </w:r>
      </w:hyperlink>
      <w:r w:rsidR="00A354C2">
        <w:rPr>
          <w:rFonts w:ascii="Times New Roman" w:hAnsi="Times New Roman" w:cs="Times New Roman"/>
          <w:sz w:val="24"/>
          <w:szCs w:val="24"/>
        </w:rPr>
        <w:t xml:space="preserve"> </w:t>
      </w:r>
    </w:p>
    <w:tbl>
      <w:tblPr>
        <w:tblW w:w="86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2693"/>
        <w:gridCol w:w="1559"/>
      </w:tblGrid>
      <w:tr w:rsidR="002916C5" w:rsidRPr="002916C5" w:rsidTr="007B407C">
        <w:trPr>
          <w:cantSplit/>
          <w:trHeight w:val="284"/>
          <w:tblHeader/>
        </w:trPr>
        <w:tc>
          <w:tcPr>
            <w:tcW w:w="4400" w:type="dxa"/>
            <w:shd w:val="clear" w:color="auto" w:fill="auto"/>
            <w:vAlign w:val="center"/>
            <w:hideMark/>
          </w:tcPr>
          <w:p w:rsidR="002916C5" w:rsidRPr="002916C5" w:rsidRDefault="002916C5" w:rsidP="002916C5">
            <w:pPr>
              <w:spacing w:after="0" w:line="240" w:lineRule="auto"/>
              <w:jc w:val="center"/>
              <w:rPr>
                <w:rFonts w:ascii="Calibri" w:eastAsia="Times New Roman" w:hAnsi="Calibri" w:cs="Calibri"/>
                <w:b/>
                <w:bCs/>
                <w:color w:val="000000"/>
                <w:lang w:eastAsia="en-AU"/>
              </w:rPr>
            </w:pPr>
            <w:r w:rsidRPr="002916C5">
              <w:rPr>
                <w:rFonts w:ascii="Calibri" w:eastAsia="Times New Roman" w:hAnsi="Calibri" w:cs="Calibri"/>
                <w:b/>
                <w:bCs/>
                <w:color w:val="000000"/>
                <w:lang w:eastAsia="en-AU"/>
              </w:rPr>
              <w:t>RESPONDANT</w:t>
            </w:r>
          </w:p>
        </w:tc>
        <w:tc>
          <w:tcPr>
            <w:tcW w:w="2693" w:type="dxa"/>
            <w:shd w:val="clear" w:color="auto" w:fill="auto"/>
            <w:vAlign w:val="center"/>
            <w:hideMark/>
          </w:tcPr>
          <w:p w:rsidR="002916C5" w:rsidRPr="002916C5" w:rsidRDefault="002916C5" w:rsidP="002916C5">
            <w:pPr>
              <w:spacing w:after="0" w:line="240" w:lineRule="auto"/>
              <w:jc w:val="center"/>
              <w:rPr>
                <w:rFonts w:ascii="Calibri" w:eastAsia="Times New Roman" w:hAnsi="Calibri" w:cs="Calibri"/>
                <w:b/>
                <w:bCs/>
                <w:color w:val="000000"/>
                <w:lang w:eastAsia="en-AU"/>
              </w:rPr>
            </w:pPr>
            <w:r w:rsidRPr="002916C5">
              <w:rPr>
                <w:rFonts w:ascii="Calibri" w:eastAsia="Times New Roman" w:hAnsi="Calibri" w:cs="Calibri"/>
                <w:b/>
                <w:bCs/>
                <w:color w:val="000000"/>
                <w:lang w:eastAsia="en-AU"/>
              </w:rPr>
              <w:t>Type of Respondent</w:t>
            </w:r>
          </w:p>
        </w:tc>
        <w:tc>
          <w:tcPr>
            <w:tcW w:w="1559" w:type="dxa"/>
            <w:shd w:val="clear" w:color="auto" w:fill="auto"/>
            <w:vAlign w:val="center"/>
            <w:hideMark/>
          </w:tcPr>
          <w:p w:rsidR="002916C5" w:rsidRPr="002916C5" w:rsidRDefault="002916C5" w:rsidP="00F636B4">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Engine</w:t>
            </w:r>
            <w:r w:rsidRPr="002916C5">
              <w:rPr>
                <w:rFonts w:ascii="Calibri" w:eastAsia="Times New Roman" w:hAnsi="Calibri" w:cs="Calibri"/>
                <w:b/>
                <w:bCs/>
                <w:color w:val="000000"/>
                <w:lang w:eastAsia="en-AU"/>
              </w:rPr>
              <w:t xml:space="preserve"> Sector</w:t>
            </w:r>
            <w:r>
              <w:rPr>
                <w:rFonts w:ascii="Calibri" w:eastAsia="Times New Roman" w:hAnsi="Calibri" w:cs="Calibri"/>
                <w:b/>
                <w:bCs/>
                <w:color w:val="000000"/>
                <w:lang w:eastAsia="en-AU"/>
              </w:rPr>
              <w:t xml:space="preserv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ABC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Adelaide Shores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1C683B" w:rsidRPr="002916C5" w:rsidTr="007B407C">
        <w:trPr>
          <w:cantSplit/>
          <w:trHeight w:val="284"/>
        </w:trPr>
        <w:tc>
          <w:tcPr>
            <w:tcW w:w="4400" w:type="dxa"/>
            <w:shd w:val="clear" w:color="auto" w:fill="auto"/>
            <w:vAlign w:val="center"/>
            <w:hideMark/>
          </w:tcPr>
          <w:p w:rsidR="001C683B" w:rsidRPr="002916C5" w:rsidRDefault="001C683B" w:rsidP="001C683B">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Andrew </w:t>
            </w:r>
            <w:proofErr w:type="spellStart"/>
            <w:r w:rsidRPr="002916C5">
              <w:rPr>
                <w:rFonts w:ascii="Calibri" w:eastAsia="Times New Roman" w:hAnsi="Calibri" w:cs="Calibri"/>
                <w:color w:val="000000"/>
                <w:lang w:eastAsia="en-AU"/>
              </w:rPr>
              <w:t>Ettingshausen</w:t>
            </w:r>
            <w:proofErr w:type="spellEnd"/>
          </w:p>
        </w:tc>
        <w:tc>
          <w:tcPr>
            <w:tcW w:w="2693" w:type="dxa"/>
            <w:shd w:val="clear" w:color="auto" w:fill="auto"/>
            <w:vAlign w:val="center"/>
            <w:hideMark/>
          </w:tcPr>
          <w:p w:rsidR="001C683B" w:rsidRPr="002916C5" w:rsidRDefault="001C683B" w:rsidP="001C683B">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Private individual</w:t>
            </w:r>
          </w:p>
        </w:tc>
        <w:tc>
          <w:tcPr>
            <w:tcW w:w="1559" w:type="dxa"/>
            <w:shd w:val="clear" w:color="auto" w:fill="auto"/>
            <w:vAlign w:val="center"/>
            <w:hideMark/>
          </w:tcPr>
          <w:p w:rsidR="001C683B" w:rsidRPr="002916C5" w:rsidRDefault="001C683B" w:rsidP="001C683B">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Anthony </w:t>
            </w:r>
            <w:proofErr w:type="spellStart"/>
            <w:r w:rsidRPr="002916C5">
              <w:rPr>
                <w:rFonts w:ascii="Calibri" w:eastAsia="Times New Roman" w:hAnsi="Calibri" w:cs="Calibri"/>
                <w:color w:val="000000"/>
                <w:lang w:eastAsia="en-AU"/>
              </w:rPr>
              <w:t>McEnnally</w:t>
            </w:r>
            <w:proofErr w:type="spellEnd"/>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Australian National Sportfishing Association</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Recreational </w:t>
            </w:r>
            <w:r w:rsidR="00C444DE">
              <w:rPr>
                <w:rFonts w:ascii="Calibri" w:eastAsia="Times New Roman" w:hAnsi="Calibri" w:cs="Calibri"/>
                <w:color w:val="000000"/>
                <w:lang w:eastAsia="en-AU"/>
              </w:rPr>
              <w:t>o</w:t>
            </w:r>
            <w:r w:rsidRPr="002916C5">
              <w:rPr>
                <w:rFonts w:ascii="Calibri" w:eastAsia="Times New Roman" w:hAnsi="Calibri" w:cs="Calibri"/>
                <w:color w:val="000000"/>
                <w:lang w:eastAsia="en-AU"/>
              </w:rPr>
              <w:t>rganisation</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Boat Industry Association of NSW</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Industry </w:t>
            </w:r>
            <w:r w:rsidR="00C444DE">
              <w:rPr>
                <w:rFonts w:ascii="Calibri" w:eastAsia="Times New Roman" w:hAnsi="Calibri" w:cs="Calibri"/>
                <w:color w:val="000000"/>
                <w:lang w:eastAsia="en-AU"/>
              </w:rPr>
              <w:t>a</w:t>
            </w:r>
            <w:r w:rsidRPr="002916C5">
              <w:rPr>
                <w:rFonts w:ascii="Calibri" w:eastAsia="Times New Roman" w:hAnsi="Calibri" w:cs="Calibri"/>
                <w:color w:val="000000"/>
                <w:lang w:eastAsia="en-AU"/>
              </w:rPr>
              <w:t>ssociation</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Boat Industry Association of Victoria</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Industry </w:t>
            </w:r>
            <w:r w:rsidR="00C444DE">
              <w:rPr>
                <w:rFonts w:ascii="Calibri" w:eastAsia="Times New Roman" w:hAnsi="Calibri" w:cs="Calibri"/>
                <w:color w:val="000000"/>
                <w:lang w:eastAsia="en-AU"/>
              </w:rPr>
              <w:t>a</w:t>
            </w:r>
            <w:r w:rsidRPr="002916C5">
              <w:rPr>
                <w:rFonts w:ascii="Calibri" w:eastAsia="Times New Roman" w:hAnsi="Calibri" w:cs="Calibri"/>
                <w:color w:val="000000"/>
                <w:lang w:eastAsia="en-AU"/>
              </w:rPr>
              <w:t>ssociation</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proofErr w:type="spellStart"/>
            <w:r w:rsidRPr="002916C5">
              <w:rPr>
                <w:rFonts w:ascii="Calibri" w:eastAsia="Times New Roman" w:hAnsi="Calibri" w:cs="Calibri"/>
                <w:color w:val="000000"/>
                <w:lang w:eastAsia="en-AU"/>
              </w:rPr>
              <w:t>Boatland</w:t>
            </w:r>
            <w:proofErr w:type="spellEnd"/>
            <w:r w:rsidRPr="002916C5">
              <w:rPr>
                <w:rFonts w:ascii="Calibri" w:eastAsia="Times New Roman" w:hAnsi="Calibri" w:cs="Calibri"/>
                <w:color w:val="000000"/>
                <w:lang w:eastAsia="en-AU"/>
              </w:rPr>
              <w:t xml:space="preserve"> Winnellie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Briggs &amp; Stratton Australia</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BWW</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Carnarvon Tackle &amp;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Challenge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Christies Beach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Cove Marine Pty Ltd</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Croydon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Cummins South Pacific Pty</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Davey Water Products Pty Ltd</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Disco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Dolphin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Don Burke</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Private individual</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East Kimberley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Eildon Outboard Service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Empire Bay Marina</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Engine Manufacturers Association (US)</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Industry </w:t>
            </w:r>
            <w:r w:rsidR="00C444DE">
              <w:rPr>
                <w:rFonts w:ascii="Calibri" w:eastAsia="Times New Roman" w:hAnsi="Calibri" w:cs="Calibri"/>
                <w:color w:val="000000"/>
                <w:lang w:eastAsia="en-AU"/>
              </w:rPr>
              <w:t>a</w:t>
            </w:r>
            <w:r w:rsidRPr="002916C5">
              <w:rPr>
                <w:rFonts w:ascii="Calibri" w:eastAsia="Times New Roman" w:hAnsi="Calibri" w:cs="Calibri"/>
                <w:color w:val="000000"/>
                <w:lang w:eastAsia="en-AU"/>
              </w:rPr>
              <w:t>ssociation</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Geoff Newman</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1C683B"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Grahame</w:t>
            </w:r>
            <w:r w:rsidR="002916C5" w:rsidRPr="002916C5">
              <w:rPr>
                <w:rFonts w:ascii="Calibri" w:eastAsia="Times New Roman" w:hAnsi="Calibri" w:cs="Calibri"/>
                <w:color w:val="000000"/>
                <w:lang w:eastAsia="en-AU"/>
              </w:rPr>
              <w:t xml:space="preserve"> Williams</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Private individual</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Hastings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Hi Tech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Hurreys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Innisfail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Insinc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Inverloch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Joshua Smith</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Ken Evans Consulting</w:t>
            </w:r>
          </w:p>
        </w:tc>
        <w:tc>
          <w:tcPr>
            <w:tcW w:w="2693" w:type="dxa"/>
            <w:shd w:val="clear" w:color="auto" w:fill="auto"/>
            <w:vAlign w:val="center"/>
            <w:hideMark/>
          </w:tcPr>
          <w:p w:rsidR="002916C5" w:rsidRPr="002916C5" w:rsidRDefault="008571D0" w:rsidP="008571D0">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w:t>
            </w:r>
            <w:r w:rsidR="002916C5" w:rsidRPr="002916C5">
              <w:rPr>
                <w:rFonts w:ascii="Calibri" w:eastAsia="Times New Roman" w:hAnsi="Calibri" w:cs="Calibri"/>
                <w:color w:val="000000"/>
                <w:lang w:eastAsia="en-AU"/>
              </w:rPr>
              <w:t>ther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Lakeside Marine</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Lee Hunt Director</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Lindsay Raymond</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Manning River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Mannum Engine Centre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Marine Tune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lastRenderedPageBreak/>
              <w:t>Mark Wilson</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Maynes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Mercury marine and Brunswick Corporation</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Meridien Marina - Onshore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Merimbula Outboard Service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Midcoast Marine Inflatables Pty Ltd</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Midway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Millard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Motor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Noosa Cat Australia Pty Ltd</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Northside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Nowra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OEDA</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Industry </w:t>
            </w:r>
            <w:r w:rsidR="00C444DE">
              <w:rPr>
                <w:rFonts w:ascii="Calibri" w:eastAsia="Times New Roman" w:hAnsi="Calibri" w:cs="Calibri"/>
                <w:color w:val="000000"/>
                <w:lang w:eastAsia="en-AU"/>
              </w:rPr>
              <w:t>a</w:t>
            </w:r>
            <w:r w:rsidRPr="002916C5">
              <w:rPr>
                <w:rFonts w:ascii="Calibri" w:eastAsia="Times New Roman" w:hAnsi="Calibri" w:cs="Calibri"/>
                <w:color w:val="000000"/>
                <w:lang w:eastAsia="en-AU"/>
              </w:rPr>
              <w:t>ssociation</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OPEA</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Industry </w:t>
            </w:r>
            <w:r w:rsidR="00C444DE">
              <w:rPr>
                <w:rFonts w:ascii="Calibri" w:eastAsia="Times New Roman" w:hAnsi="Calibri" w:cs="Calibri"/>
                <w:color w:val="000000"/>
                <w:lang w:eastAsia="en-AU"/>
              </w:rPr>
              <w:t>a</w:t>
            </w:r>
            <w:r w:rsidRPr="002916C5">
              <w:rPr>
                <w:rFonts w:ascii="Calibri" w:eastAsia="Times New Roman" w:hAnsi="Calibri" w:cs="Calibri"/>
                <w:color w:val="000000"/>
                <w:lang w:eastAsia="en-AU"/>
              </w:rPr>
              <w:t>ssociation</w:t>
            </w:r>
          </w:p>
        </w:tc>
        <w:tc>
          <w:tcPr>
            <w:tcW w:w="1559" w:type="dxa"/>
            <w:shd w:val="clear" w:color="auto" w:fill="auto"/>
            <w:vAlign w:val="center"/>
            <w:hideMark/>
          </w:tcPr>
          <w:p w:rsidR="002916C5" w:rsidRPr="002916C5" w:rsidRDefault="002916C5" w:rsidP="00F636B4">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Outdoor Power Equipment Institute (US)</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Industry </w:t>
            </w:r>
            <w:r w:rsidR="00C444DE">
              <w:rPr>
                <w:rFonts w:ascii="Calibri" w:eastAsia="Times New Roman" w:hAnsi="Calibri" w:cs="Calibri"/>
                <w:color w:val="000000"/>
                <w:lang w:eastAsia="en-AU"/>
              </w:rPr>
              <w:t>a</w:t>
            </w:r>
            <w:r w:rsidRPr="002916C5">
              <w:rPr>
                <w:rFonts w:ascii="Calibri" w:eastAsia="Times New Roman" w:hAnsi="Calibri" w:cs="Calibri"/>
                <w:color w:val="000000"/>
                <w:lang w:eastAsia="en-AU"/>
              </w:rPr>
              <w:t>ssociation</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E87934" w:rsidRPr="002916C5" w:rsidTr="007B407C">
        <w:trPr>
          <w:cantSplit/>
          <w:trHeight w:val="284"/>
        </w:trPr>
        <w:tc>
          <w:tcPr>
            <w:tcW w:w="4400" w:type="dxa"/>
            <w:shd w:val="clear" w:color="auto" w:fill="auto"/>
            <w:vAlign w:val="center"/>
            <w:hideMark/>
          </w:tcPr>
          <w:p w:rsidR="00E87934" w:rsidRPr="002916C5" w:rsidRDefault="00E87934" w:rsidP="002916C5">
            <w:pPr>
              <w:spacing w:after="0" w:line="240" w:lineRule="auto"/>
              <w:rPr>
                <w:rFonts w:ascii="Calibri" w:eastAsia="Times New Roman" w:hAnsi="Calibri" w:cs="Calibri"/>
                <w:color w:val="000000"/>
                <w:lang w:eastAsia="en-AU"/>
              </w:rPr>
            </w:pPr>
            <w:r w:rsidRPr="00E87934">
              <w:rPr>
                <w:rFonts w:ascii="Calibri" w:eastAsia="Times New Roman" w:hAnsi="Calibri" w:cs="Calibri"/>
                <w:color w:val="000000"/>
                <w:lang w:eastAsia="en-AU"/>
              </w:rPr>
              <w:t>Penrith Marine</w:t>
            </w:r>
          </w:p>
        </w:tc>
        <w:tc>
          <w:tcPr>
            <w:tcW w:w="2693" w:type="dxa"/>
            <w:shd w:val="clear" w:color="auto" w:fill="auto"/>
            <w:vAlign w:val="center"/>
            <w:hideMark/>
          </w:tcPr>
          <w:p w:rsidR="00E87934" w:rsidRPr="002916C5" w:rsidRDefault="00E87934"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E87934" w:rsidRPr="002916C5" w:rsidRDefault="00E87934"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Peto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Port Lincoln Boat Supplies</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Race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7B407C">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Recfish Australia</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Recreational </w:t>
            </w:r>
            <w:r w:rsidR="00C444DE">
              <w:rPr>
                <w:rFonts w:ascii="Calibri" w:eastAsia="Times New Roman" w:hAnsi="Calibri" w:cs="Calibri"/>
                <w:color w:val="000000"/>
                <w:lang w:eastAsia="en-AU"/>
              </w:rPr>
              <w:t>o</w:t>
            </w:r>
            <w:r w:rsidRPr="002916C5">
              <w:rPr>
                <w:rFonts w:ascii="Calibri" w:eastAsia="Times New Roman" w:hAnsi="Calibri" w:cs="Calibri"/>
                <w:color w:val="000000"/>
                <w:lang w:eastAsia="en-AU"/>
              </w:rPr>
              <w:t>rganisation</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RecFishSA</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Recreational </w:t>
            </w:r>
            <w:r w:rsidR="00C444DE">
              <w:rPr>
                <w:rFonts w:ascii="Calibri" w:eastAsia="Times New Roman" w:hAnsi="Calibri" w:cs="Calibri"/>
                <w:color w:val="000000"/>
                <w:lang w:eastAsia="en-AU"/>
              </w:rPr>
              <w:t>o</w:t>
            </w:r>
            <w:r w:rsidRPr="002916C5">
              <w:rPr>
                <w:rFonts w:ascii="Calibri" w:eastAsia="Times New Roman" w:hAnsi="Calibri" w:cs="Calibri"/>
                <w:color w:val="000000"/>
                <w:lang w:eastAsia="en-AU"/>
              </w:rPr>
              <w:t>rganisation</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Reibel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Rolco Boats</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Russell Cairns Marine and 4X4</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Solar City Marine &amp; Caravans Pty Ltd</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STIHL Pty Ltd</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Garden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Streaker Boats</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Sugar City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1E5C6B"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Surf Life S</w:t>
            </w:r>
            <w:r w:rsidR="002916C5" w:rsidRPr="002916C5">
              <w:rPr>
                <w:rFonts w:ascii="Calibri" w:eastAsia="Times New Roman" w:hAnsi="Calibri" w:cs="Calibri"/>
                <w:color w:val="000000"/>
                <w:lang w:eastAsia="en-AU"/>
              </w:rPr>
              <w:t>aving Australia</w:t>
            </w:r>
          </w:p>
        </w:tc>
        <w:tc>
          <w:tcPr>
            <w:tcW w:w="2693" w:type="dxa"/>
            <w:shd w:val="clear" w:color="auto" w:fill="auto"/>
            <w:vAlign w:val="center"/>
            <w:hideMark/>
          </w:tcPr>
          <w:p w:rsidR="002916C5" w:rsidRPr="002916C5" w:rsidRDefault="00C444DE"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Non government organisation</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Sydney Powerboat Centre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TARFish</w:t>
            </w:r>
          </w:p>
        </w:tc>
        <w:tc>
          <w:tcPr>
            <w:tcW w:w="2693" w:type="dxa"/>
            <w:shd w:val="clear" w:color="auto" w:fill="auto"/>
            <w:vAlign w:val="center"/>
            <w:hideMark/>
          </w:tcPr>
          <w:p w:rsidR="002916C5" w:rsidRPr="002916C5" w:rsidRDefault="002916C5" w:rsidP="00C444DE">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Recreational </w:t>
            </w:r>
            <w:r w:rsidR="00C444DE">
              <w:rPr>
                <w:rFonts w:ascii="Calibri" w:eastAsia="Times New Roman" w:hAnsi="Calibri" w:cs="Calibri"/>
                <w:color w:val="000000"/>
                <w:lang w:eastAsia="en-AU"/>
              </w:rPr>
              <w:t>o</w:t>
            </w:r>
            <w:r w:rsidRPr="002916C5">
              <w:rPr>
                <w:rFonts w:ascii="Calibri" w:eastAsia="Times New Roman" w:hAnsi="Calibri" w:cs="Calibri"/>
                <w:color w:val="000000"/>
                <w:lang w:eastAsia="en-AU"/>
              </w:rPr>
              <w:t>rganisation</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The Haines Group</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The Marine Shop</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1C683B" w:rsidRPr="002916C5" w:rsidTr="007B407C">
        <w:trPr>
          <w:cantSplit/>
          <w:trHeight w:val="284"/>
        </w:trPr>
        <w:tc>
          <w:tcPr>
            <w:tcW w:w="4400" w:type="dxa"/>
            <w:shd w:val="clear" w:color="auto" w:fill="auto"/>
            <w:vAlign w:val="center"/>
            <w:hideMark/>
          </w:tcPr>
          <w:p w:rsidR="001C683B" w:rsidRPr="002916C5" w:rsidRDefault="001C683B" w:rsidP="001C683B">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Tim </w:t>
            </w:r>
            <w:r w:rsidRPr="002916C5">
              <w:rPr>
                <w:rFonts w:ascii="Calibri" w:eastAsia="Times New Roman" w:hAnsi="Calibri" w:cs="Calibri"/>
                <w:color w:val="000000"/>
                <w:lang w:eastAsia="en-AU"/>
              </w:rPr>
              <w:t>Flannery</w:t>
            </w:r>
          </w:p>
        </w:tc>
        <w:tc>
          <w:tcPr>
            <w:tcW w:w="2693" w:type="dxa"/>
            <w:shd w:val="clear" w:color="auto" w:fill="auto"/>
            <w:vAlign w:val="center"/>
            <w:hideMark/>
          </w:tcPr>
          <w:p w:rsidR="001C683B" w:rsidRPr="002916C5" w:rsidRDefault="001C683B" w:rsidP="001C683B">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Private individual</w:t>
            </w:r>
          </w:p>
        </w:tc>
        <w:tc>
          <w:tcPr>
            <w:tcW w:w="1559" w:type="dxa"/>
            <w:shd w:val="clear" w:color="auto" w:fill="auto"/>
            <w:vAlign w:val="center"/>
            <w:hideMark/>
          </w:tcPr>
          <w:p w:rsidR="001C683B" w:rsidRPr="002916C5" w:rsidRDefault="001C683B" w:rsidP="001C683B">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Both</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Volvo </w:t>
            </w:r>
            <w:proofErr w:type="spellStart"/>
            <w:r w:rsidRPr="002916C5">
              <w:rPr>
                <w:rFonts w:ascii="Calibri" w:eastAsia="Times New Roman" w:hAnsi="Calibri" w:cs="Calibri"/>
                <w:color w:val="000000"/>
                <w:lang w:eastAsia="en-AU"/>
              </w:rPr>
              <w:t>Penta</w:t>
            </w:r>
            <w:proofErr w:type="spellEnd"/>
            <w:r w:rsidRPr="002916C5">
              <w:rPr>
                <w:rFonts w:ascii="Calibri" w:eastAsia="Times New Roman" w:hAnsi="Calibri" w:cs="Calibri"/>
                <w:color w:val="000000"/>
                <w:lang w:eastAsia="en-AU"/>
              </w:rPr>
              <w:t xml:space="preserve"> Oceania</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Waikerie Motorcycle &amp;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Warren Godson</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Private individual</w:t>
            </w:r>
          </w:p>
        </w:tc>
        <w:tc>
          <w:tcPr>
            <w:tcW w:w="1559" w:type="dxa"/>
            <w:shd w:val="clear" w:color="auto" w:fill="auto"/>
            <w:vAlign w:val="center"/>
            <w:hideMark/>
          </w:tcPr>
          <w:p w:rsidR="002916C5" w:rsidRPr="002916C5" w:rsidRDefault="002A7E07"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Both</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Waves Overseas</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Xtreme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Yamaha</w:t>
            </w:r>
          </w:p>
        </w:tc>
        <w:tc>
          <w:tcPr>
            <w:tcW w:w="2693"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Manufacturer - Distributor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r w:rsidR="002916C5" w:rsidRPr="002916C5" w:rsidTr="007B407C">
        <w:trPr>
          <w:cantSplit/>
          <w:trHeight w:val="284"/>
        </w:trPr>
        <w:tc>
          <w:tcPr>
            <w:tcW w:w="4400" w:type="dxa"/>
            <w:shd w:val="clear" w:color="auto" w:fill="auto"/>
            <w:vAlign w:val="center"/>
            <w:hideMark/>
          </w:tcPr>
          <w:p w:rsidR="002916C5" w:rsidRPr="002916C5" w:rsidRDefault="002916C5" w:rsidP="002916C5">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Yorke Peninsula Marine</w:t>
            </w:r>
          </w:p>
        </w:tc>
        <w:tc>
          <w:tcPr>
            <w:tcW w:w="2693" w:type="dxa"/>
            <w:shd w:val="clear" w:color="auto" w:fill="auto"/>
            <w:vAlign w:val="center"/>
            <w:hideMark/>
          </w:tcPr>
          <w:p w:rsidR="002916C5" w:rsidRPr="002916C5" w:rsidRDefault="00892F39" w:rsidP="002916C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Retailer</w:t>
            </w:r>
          </w:p>
        </w:tc>
        <w:tc>
          <w:tcPr>
            <w:tcW w:w="1559" w:type="dxa"/>
            <w:shd w:val="clear" w:color="auto" w:fill="auto"/>
            <w:vAlign w:val="center"/>
            <w:hideMark/>
          </w:tcPr>
          <w:p w:rsidR="002916C5" w:rsidRPr="002916C5" w:rsidRDefault="002916C5" w:rsidP="008571D0">
            <w:pPr>
              <w:spacing w:after="0" w:line="240" w:lineRule="auto"/>
              <w:rPr>
                <w:rFonts w:ascii="Calibri" w:eastAsia="Times New Roman" w:hAnsi="Calibri" w:cs="Calibri"/>
                <w:color w:val="000000"/>
                <w:lang w:eastAsia="en-AU"/>
              </w:rPr>
            </w:pPr>
            <w:r w:rsidRPr="002916C5">
              <w:rPr>
                <w:rFonts w:ascii="Calibri" w:eastAsia="Times New Roman" w:hAnsi="Calibri" w:cs="Calibri"/>
                <w:color w:val="000000"/>
                <w:lang w:eastAsia="en-AU"/>
              </w:rPr>
              <w:t xml:space="preserve">Marine </w:t>
            </w:r>
          </w:p>
        </w:tc>
      </w:tr>
    </w:tbl>
    <w:p w:rsidR="00200B08" w:rsidRPr="009E30B6" w:rsidRDefault="00200B08" w:rsidP="00510F9B">
      <w:pPr>
        <w:rPr>
          <w:rFonts w:ascii="Times New Roman" w:hAnsi="Times New Roman" w:cs="Times New Roman"/>
          <w:sz w:val="24"/>
          <w:szCs w:val="24"/>
        </w:rPr>
      </w:pPr>
    </w:p>
    <w:sectPr w:rsidR="00200B08" w:rsidRPr="009E30B6" w:rsidSect="00C924F9">
      <w:headerReference w:type="default" r:id="rId12"/>
      <w:footerReference w:type="default" r:id="rId13"/>
      <w:pgSz w:w="11906" w:h="16838"/>
      <w:pgMar w:top="1560" w:right="1383" w:bottom="1383" w:left="138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93E" w:rsidRDefault="0078593E" w:rsidP="00CA5580">
      <w:pPr>
        <w:spacing w:after="0" w:line="240" w:lineRule="auto"/>
      </w:pPr>
      <w:r>
        <w:separator/>
      </w:r>
    </w:p>
  </w:endnote>
  <w:endnote w:type="continuationSeparator" w:id="0">
    <w:p w:rsidR="0078593E" w:rsidRDefault="0078593E" w:rsidP="00CA5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91016"/>
      <w:docPartObj>
        <w:docPartGallery w:val="Page Numbers (Bottom of Page)"/>
        <w:docPartUnique/>
      </w:docPartObj>
    </w:sdtPr>
    <w:sdtContent>
      <w:p w:rsidR="0078593E" w:rsidRDefault="006D214A">
        <w:pPr>
          <w:pStyle w:val="Footer"/>
          <w:jc w:val="right"/>
        </w:pPr>
        <w:fldSimple w:instr=" PAGE   \* MERGEFORMAT ">
          <w:r w:rsidR="0095302A">
            <w:rPr>
              <w:noProof/>
            </w:rPr>
            <w:t>2</w:t>
          </w:r>
        </w:fldSimple>
      </w:p>
    </w:sdtContent>
  </w:sdt>
  <w:p w:rsidR="0078593E" w:rsidRDefault="00785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93E" w:rsidRDefault="0078593E" w:rsidP="00CA5580">
      <w:pPr>
        <w:spacing w:after="0" w:line="240" w:lineRule="auto"/>
      </w:pPr>
      <w:r>
        <w:separator/>
      </w:r>
    </w:p>
  </w:footnote>
  <w:footnote w:type="continuationSeparator" w:id="0">
    <w:p w:rsidR="0078593E" w:rsidRDefault="0078593E" w:rsidP="00CA5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F9" w:rsidRPr="00F449A8" w:rsidRDefault="00F449A8" w:rsidP="00F449A8">
    <w:pPr>
      <w:pStyle w:val="Header"/>
      <w:jc w:val="center"/>
      <w:rPr>
        <w:b/>
        <w:sz w:val="28"/>
        <w:szCs w:val="28"/>
      </w:rPr>
    </w:pPr>
    <w:r w:rsidRPr="00F449A8">
      <w:rPr>
        <w:b/>
        <w:noProof/>
        <w:sz w:val="28"/>
        <w:szCs w:val="28"/>
        <w:lang w:eastAsia="en-AU"/>
      </w:rPr>
      <w:t>Consultation Summary Report October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766C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A481215"/>
    <w:multiLevelType w:val="hybridMultilevel"/>
    <w:tmpl w:val="AD2A9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82CDB"/>
    <w:multiLevelType w:val="multilevel"/>
    <w:tmpl w:val="1D4C2F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113D"/>
    <w:rsid w:val="00003B42"/>
    <w:rsid w:val="000066A3"/>
    <w:rsid w:val="0001157F"/>
    <w:rsid w:val="00011CD7"/>
    <w:rsid w:val="0001276E"/>
    <w:rsid w:val="00012A23"/>
    <w:rsid w:val="0001505C"/>
    <w:rsid w:val="000160E0"/>
    <w:rsid w:val="00020EAD"/>
    <w:rsid w:val="000233C4"/>
    <w:rsid w:val="0002672F"/>
    <w:rsid w:val="00034051"/>
    <w:rsid w:val="00034462"/>
    <w:rsid w:val="0003676A"/>
    <w:rsid w:val="00040259"/>
    <w:rsid w:val="000409CC"/>
    <w:rsid w:val="00040B6C"/>
    <w:rsid w:val="00041424"/>
    <w:rsid w:val="00044C8A"/>
    <w:rsid w:val="00045938"/>
    <w:rsid w:val="00053C7D"/>
    <w:rsid w:val="00056A15"/>
    <w:rsid w:val="00057C41"/>
    <w:rsid w:val="00057E78"/>
    <w:rsid w:val="00061F4C"/>
    <w:rsid w:val="00062397"/>
    <w:rsid w:val="00062DEA"/>
    <w:rsid w:val="000643CC"/>
    <w:rsid w:val="000648AB"/>
    <w:rsid w:val="000662DE"/>
    <w:rsid w:val="00074B39"/>
    <w:rsid w:val="00075A55"/>
    <w:rsid w:val="000777B2"/>
    <w:rsid w:val="00084FDC"/>
    <w:rsid w:val="00093382"/>
    <w:rsid w:val="00096688"/>
    <w:rsid w:val="0009675C"/>
    <w:rsid w:val="00096BE8"/>
    <w:rsid w:val="00097FD3"/>
    <w:rsid w:val="000A53F7"/>
    <w:rsid w:val="000B0E0D"/>
    <w:rsid w:val="000B45E7"/>
    <w:rsid w:val="000B5C69"/>
    <w:rsid w:val="000B69BE"/>
    <w:rsid w:val="000B705B"/>
    <w:rsid w:val="000C375A"/>
    <w:rsid w:val="000C5057"/>
    <w:rsid w:val="000C5397"/>
    <w:rsid w:val="000C5E4B"/>
    <w:rsid w:val="000C6074"/>
    <w:rsid w:val="000C723C"/>
    <w:rsid w:val="000D144D"/>
    <w:rsid w:val="000D4799"/>
    <w:rsid w:val="000E1936"/>
    <w:rsid w:val="000E72B9"/>
    <w:rsid w:val="000F4182"/>
    <w:rsid w:val="000F437B"/>
    <w:rsid w:val="000F6600"/>
    <w:rsid w:val="0010133A"/>
    <w:rsid w:val="00101C90"/>
    <w:rsid w:val="00107B97"/>
    <w:rsid w:val="001112C4"/>
    <w:rsid w:val="00113041"/>
    <w:rsid w:val="0011747F"/>
    <w:rsid w:val="00124D09"/>
    <w:rsid w:val="001301EC"/>
    <w:rsid w:val="00132205"/>
    <w:rsid w:val="00133866"/>
    <w:rsid w:val="001363B3"/>
    <w:rsid w:val="00137597"/>
    <w:rsid w:val="00137A41"/>
    <w:rsid w:val="001416FE"/>
    <w:rsid w:val="0014322C"/>
    <w:rsid w:val="0014376A"/>
    <w:rsid w:val="001438E4"/>
    <w:rsid w:val="001448B6"/>
    <w:rsid w:val="00146F56"/>
    <w:rsid w:val="00147F50"/>
    <w:rsid w:val="00150D3F"/>
    <w:rsid w:val="00152325"/>
    <w:rsid w:val="00152680"/>
    <w:rsid w:val="001547F5"/>
    <w:rsid w:val="001555DF"/>
    <w:rsid w:val="00156A5C"/>
    <w:rsid w:val="00160624"/>
    <w:rsid w:val="00160C26"/>
    <w:rsid w:val="00164934"/>
    <w:rsid w:val="001663D4"/>
    <w:rsid w:val="00166625"/>
    <w:rsid w:val="0016799A"/>
    <w:rsid w:val="00174FC6"/>
    <w:rsid w:val="00175924"/>
    <w:rsid w:val="00175AE8"/>
    <w:rsid w:val="00177F13"/>
    <w:rsid w:val="00182084"/>
    <w:rsid w:val="001855EC"/>
    <w:rsid w:val="00185C60"/>
    <w:rsid w:val="0018734D"/>
    <w:rsid w:val="00187AE0"/>
    <w:rsid w:val="001909EF"/>
    <w:rsid w:val="001933FB"/>
    <w:rsid w:val="0019451F"/>
    <w:rsid w:val="00194A81"/>
    <w:rsid w:val="001952AC"/>
    <w:rsid w:val="00195987"/>
    <w:rsid w:val="001A0293"/>
    <w:rsid w:val="001A226C"/>
    <w:rsid w:val="001A3215"/>
    <w:rsid w:val="001A32D5"/>
    <w:rsid w:val="001A416D"/>
    <w:rsid w:val="001A4550"/>
    <w:rsid w:val="001B0E37"/>
    <w:rsid w:val="001B3D17"/>
    <w:rsid w:val="001B5807"/>
    <w:rsid w:val="001C1B2D"/>
    <w:rsid w:val="001C683B"/>
    <w:rsid w:val="001D119E"/>
    <w:rsid w:val="001D3C80"/>
    <w:rsid w:val="001D4364"/>
    <w:rsid w:val="001D4442"/>
    <w:rsid w:val="001D6872"/>
    <w:rsid w:val="001D6BE1"/>
    <w:rsid w:val="001D7A50"/>
    <w:rsid w:val="001D7C96"/>
    <w:rsid w:val="001E0DF2"/>
    <w:rsid w:val="001E5C6B"/>
    <w:rsid w:val="001E5CE1"/>
    <w:rsid w:val="001E6103"/>
    <w:rsid w:val="001E7E29"/>
    <w:rsid w:val="001F11A9"/>
    <w:rsid w:val="001F16F7"/>
    <w:rsid w:val="001F664F"/>
    <w:rsid w:val="0020040F"/>
    <w:rsid w:val="00200B08"/>
    <w:rsid w:val="002021A2"/>
    <w:rsid w:val="0020337B"/>
    <w:rsid w:val="00204593"/>
    <w:rsid w:val="0020524A"/>
    <w:rsid w:val="00207DCA"/>
    <w:rsid w:val="002108DE"/>
    <w:rsid w:val="002129F9"/>
    <w:rsid w:val="00213689"/>
    <w:rsid w:val="00215CA9"/>
    <w:rsid w:val="00216D48"/>
    <w:rsid w:val="00220376"/>
    <w:rsid w:val="002233A3"/>
    <w:rsid w:val="0022359F"/>
    <w:rsid w:val="002243E4"/>
    <w:rsid w:val="00230825"/>
    <w:rsid w:val="00230D34"/>
    <w:rsid w:val="00232153"/>
    <w:rsid w:val="00232674"/>
    <w:rsid w:val="002369A2"/>
    <w:rsid w:val="0024007E"/>
    <w:rsid w:val="002419FF"/>
    <w:rsid w:val="00241C97"/>
    <w:rsid w:val="00241CBE"/>
    <w:rsid w:val="00242EE1"/>
    <w:rsid w:val="002434EB"/>
    <w:rsid w:val="002437C8"/>
    <w:rsid w:val="0024443A"/>
    <w:rsid w:val="002465C1"/>
    <w:rsid w:val="00251991"/>
    <w:rsid w:val="00252FF6"/>
    <w:rsid w:val="002533FF"/>
    <w:rsid w:val="002549BE"/>
    <w:rsid w:val="00255FC4"/>
    <w:rsid w:val="00256038"/>
    <w:rsid w:val="00256D54"/>
    <w:rsid w:val="00261C28"/>
    <w:rsid w:val="0026397E"/>
    <w:rsid w:val="0026402D"/>
    <w:rsid w:val="00264745"/>
    <w:rsid w:val="00266312"/>
    <w:rsid w:val="002678AD"/>
    <w:rsid w:val="00271409"/>
    <w:rsid w:val="00276EB8"/>
    <w:rsid w:val="002771CD"/>
    <w:rsid w:val="0028067C"/>
    <w:rsid w:val="00284089"/>
    <w:rsid w:val="002843F7"/>
    <w:rsid w:val="002916C5"/>
    <w:rsid w:val="00292092"/>
    <w:rsid w:val="00292BD1"/>
    <w:rsid w:val="0029383A"/>
    <w:rsid w:val="00293F40"/>
    <w:rsid w:val="00295649"/>
    <w:rsid w:val="00297260"/>
    <w:rsid w:val="002A0F78"/>
    <w:rsid w:val="002A3507"/>
    <w:rsid w:val="002A3665"/>
    <w:rsid w:val="002A3A22"/>
    <w:rsid w:val="002A4457"/>
    <w:rsid w:val="002A7E07"/>
    <w:rsid w:val="002B437A"/>
    <w:rsid w:val="002C2ED6"/>
    <w:rsid w:val="002C4E00"/>
    <w:rsid w:val="002C527B"/>
    <w:rsid w:val="002C6423"/>
    <w:rsid w:val="002C7F54"/>
    <w:rsid w:val="002E0E71"/>
    <w:rsid w:val="002E1F1D"/>
    <w:rsid w:val="002E2ED0"/>
    <w:rsid w:val="002E448A"/>
    <w:rsid w:val="002E4514"/>
    <w:rsid w:val="002E4AD5"/>
    <w:rsid w:val="002E5825"/>
    <w:rsid w:val="002E727C"/>
    <w:rsid w:val="002E7995"/>
    <w:rsid w:val="002E7D16"/>
    <w:rsid w:val="002E7EB0"/>
    <w:rsid w:val="002F3A97"/>
    <w:rsid w:val="0030095D"/>
    <w:rsid w:val="00300B92"/>
    <w:rsid w:val="00300BA9"/>
    <w:rsid w:val="00301402"/>
    <w:rsid w:val="00302401"/>
    <w:rsid w:val="00302AC1"/>
    <w:rsid w:val="003067F5"/>
    <w:rsid w:val="00307506"/>
    <w:rsid w:val="0030792D"/>
    <w:rsid w:val="00310E2E"/>
    <w:rsid w:val="00314444"/>
    <w:rsid w:val="003146C1"/>
    <w:rsid w:val="003153D1"/>
    <w:rsid w:val="003164F6"/>
    <w:rsid w:val="00320654"/>
    <w:rsid w:val="00321F8E"/>
    <w:rsid w:val="0032395D"/>
    <w:rsid w:val="003248FA"/>
    <w:rsid w:val="00324A08"/>
    <w:rsid w:val="00326841"/>
    <w:rsid w:val="00326D26"/>
    <w:rsid w:val="00330284"/>
    <w:rsid w:val="003322D8"/>
    <w:rsid w:val="00335203"/>
    <w:rsid w:val="003359DC"/>
    <w:rsid w:val="00336652"/>
    <w:rsid w:val="00340C3A"/>
    <w:rsid w:val="003416EB"/>
    <w:rsid w:val="00344B94"/>
    <w:rsid w:val="003518AD"/>
    <w:rsid w:val="003536E1"/>
    <w:rsid w:val="00355D4C"/>
    <w:rsid w:val="003606B2"/>
    <w:rsid w:val="00361F41"/>
    <w:rsid w:val="00364AE1"/>
    <w:rsid w:val="00367123"/>
    <w:rsid w:val="00370F02"/>
    <w:rsid w:val="0037376B"/>
    <w:rsid w:val="00374FC3"/>
    <w:rsid w:val="003754E8"/>
    <w:rsid w:val="003777FB"/>
    <w:rsid w:val="00381AAB"/>
    <w:rsid w:val="0038309C"/>
    <w:rsid w:val="00386CD8"/>
    <w:rsid w:val="00386D44"/>
    <w:rsid w:val="00387EFE"/>
    <w:rsid w:val="00390FDB"/>
    <w:rsid w:val="00392A2E"/>
    <w:rsid w:val="003965C2"/>
    <w:rsid w:val="003A2083"/>
    <w:rsid w:val="003A2FA4"/>
    <w:rsid w:val="003A3C47"/>
    <w:rsid w:val="003B01EB"/>
    <w:rsid w:val="003B031D"/>
    <w:rsid w:val="003C1A39"/>
    <w:rsid w:val="003C29D7"/>
    <w:rsid w:val="003C4B62"/>
    <w:rsid w:val="003C543A"/>
    <w:rsid w:val="003C5E80"/>
    <w:rsid w:val="003D1B0F"/>
    <w:rsid w:val="003D4E62"/>
    <w:rsid w:val="003D54A1"/>
    <w:rsid w:val="003E0237"/>
    <w:rsid w:val="003E1DB6"/>
    <w:rsid w:val="003E2587"/>
    <w:rsid w:val="003E3798"/>
    <w:rsid w:val="003E3981"/>
    <w:rsid w:val="003E3AAB"/>
    <w:rsid w:val="003E5F21"/>
    <w:rsid w:val="003E6053"/>
    <w:rsid w:val="003F0F8D"/>
    <w:rsid w:val="003F7CDE"/>
    <w:rsid w:val="004028D5"/>
    <w:rsid w:val="00411589"/>
    <w:rsid w:val="00411F5C"/>
    <w:rsid w:val="004163D0"/>
    <w:rsid w:val="00421F22"/>
    <w:rsid w:val="004246FE"/>
    <w:rsid w:val="0042615D"/>
    <w:rsid w:val="00427BAD"/>
    <w:rsid w:val="004309A2"/>
    <w:rsid w:val="00431D4A"/>
    <w:rsid w:val="004344C0"/>
    <w:rsid w:val="00435C2D"/>
    <w:rsid w:val="004373AC"/>
    <w:rsid w:val="00440239"/>
    <w:rsid w:val="004437B4"/>
    <w:rsid w:val="0045010F"/>
    <w:rsid w:val="00452357"/>
    <w:rsid w:val="004540C6"/>
    <w:rsid w:val="00454A33"/>
    <w:rsid w:val="004553D9"/>
    <w:rsid w:val="00456899"/>
    <w:rsid w:val="004619AB"/>
    <w:rsid w:val="004627C2"/>
    <w:rsid w:val="00464339"/>
    <w:rsid w:val="00464394"/>
    <w:rsid w:val="00470DA1"/>
    <w:rsid w:val="00474477"/>
    <w:rsid w:val="00474A72"/>
    <w:rsid w:val="00475E2D"/>
    <w:rsid w:val="00483AB2"/>
    <w:rsid w:val="00490C88"/>
    <w:rsid w:val="004918C0"/>
    <w:rsid w:val="004921C5"/>
    <w:rsid w:val="00492DCE"/>
    <w:rsid w:val="0049724B"/>
    <w:rsid w:val="0049750F"/>
    <w:rsid w:val="00497C53"/>
    <w:rsid w:val="004A2BEC"/>
    <w:rsid w:val="004A7F15"/>
    <w:rsid w:val="004B0E13"/>
    <w:rsid w:val="004B2823"/>
    <w:rsid w:val="004B4513"/>
    <w:rsid w:val="004C0469"/>
    <w:rsid w:val="004C148B"/>
    <w:rsid w:val="004C1797"/>
    <w:rsid w:val="004C3527"/>
    <w:rsid w:val="004C4149"/>
    <w:rsid w:val="004D01B9"/>
    <w:rsid w:val="004D04D8"/>
    <w:rsid w:val="004D1C6A"/>
    <w:rsid w:val="004D3188"/>
    <w:rsid w:val="004D486B"/>
    <w:rsid w:val="004D779B"/>
    <w:rsid w:val="004D7D31"/>
    <w:rsid w:val="004D7F3B"/>
    <w:rsid w:val="004E00F7"/>
    <w:rsid w:val="004E242E"/>
    <w:rsid w:val="004E2756"/>
    <w:rsid w:val="004E70E3"/>
    <w:rsid w:val="004F3E56"/>
    <w:rsid w:val="004F50C6"/>
    <w:rsid w:val="004F6485"/>
    <w:rsid w:val="0050160E"/>
    <w:rsid w:val="00502A24"/>
    <w:rsid w:val="0050482A"/>
    <w:rsid w:val="0050614D"/>
    <w:rsid w:val="00507121"/>
    <w:rsid w:val="00510D6D"/>
    <w:rsid w:val="00510F9B"/>
    <w:rsid w:val="00512618"/>
    <w:rsid w:val="00512640"/>
    <w:rsid w:val="005126BE"/>
    <w:rsid w:val="00515BE3"/>
    <w:rsid w:val="00532452"/>
    <w:rsid w:val="00532512"/>
    <w:rsid w:val="00533907"/>
    <w:rsid w:val="00534BD7"/>
    <w:rsid w:val="00535061"/>
    <w:rsid w:val="00535B1F"/>
    <w:rsid w:val="005404DD"/>
    <w:rsid w:val="00543F1F"/>
    <w:rsid w:val="00544AF9"/>
    <w:rsid w:val="00544E81"/>
    <w:rsid w:val="00545217"/>
    <w:rsid w:val="005457E1"/>
    <w:rsid w:val="00550C83"/>
    <w:rsid w:val="00551052"/>
    <w:rsid w:val="00560DB7"/>
    <w:rsid w:val="005706A5"/>
    <w:rsid w:val="005729CE"/>
    <w:rsid w:val="0057332D"/>
    <w:rsid w:val="0057572A"/>
    <w:rsid w:val="005767AC"/>
    <w:rsid w:val="005805B9"/>
    <w:rsid w:val="00580650"/>
    <w:rsid w:val="00580663"/>
    <w:rsid w:val="00585788"/>
    <w:rsid w:val="00585F98"/>
    <w:rsid w:val="00586D4E"/>
    <w:rsid w:val="00587AEF"/>
    <w:rsid w:val="00590D48"/>
    <w:rsid w:val="00590F80"/>
    <w:rsid w:val="00591161"/>
    <w:rsid w:val="00591B18"/>
    <w:rsid w:val="005954C7"/>
    <w:rsid w:val="0059564E"/>
    <w:rsid w:val="005A4192"/>
    <w:rsid w:val="005A445D"/>
    <w:rsid w:val="005A5FFA"/>
    <w:rsid w:val="005B1530"/>
    <w:rsid w:val="005B1CD9"/>
    <w:rsid w:val="005B33A7"/>
    <w:rsid w:val="005B627D"/>
    <w:rsid w:val="005B6532"/>
    <w:rsid w:val="005D05AB"/>
    <w:rsid w:val="005D1A5D"/>
    <w:rsid w:val="005E0E3B"/>
    <w:rsid w:val="005E15D2"/>
    <w:rsid w:val="005E434E"/>
    <w:rsid w:val="005E5AB0"/>
    <w:rsid w:val="005F0508"/>
    <w:rsid w:val="005F155C"/>
    <w:rsid w:val="005F2914"/>
    <w:rsid w:val="00601D0E"/>
    <w:rsid w:val="00602557"/>
    <w:rsid w:val="00602C94"/>
    <w:rsid w:val="00604A5F"/>
    <w:rsid w:val="00605E3F"/>
    <w:rsid w:val="00614C22"/>
    <w:rsid w:val="006163BC"/>
    <w:rsid w:val="006172D4"/>
    <w:rsid w:val="00621FB9"/>
    <w:rsid w:val="0062328E"/>
    <w:rsid w:val="00630E09"/>
    <w:rsid w:val="0063662F"/>
    <w:rsid w:val="00640B3E"/>
    <w:rsid w:val="00643267"/>
    <w:rsid w:val="006447BA"/>
    <w:rsid w:val="00645218"/>
    <w:rsid w:val="00647DF5"/>
    <w:rsid w:val="00653185"/>
    <w:rsid w:val="00654744"/>
    <w:rsid w:val="00656F27"/>
    <w:rsid w:val="0066030A"/>
    <w:rsid w:val="00665A17"/>
    <w:rsid w:val="00665E7A"/>
    <w:rsid w:val="006660F2"/>
    <w:rsid w:val="0066740A"/>
    <w:rsid w:val="00667859"/>
    <w:rsid w:val="006702D4"/>
    <w:rsid w:val="00670C6F"/>
    <w:rsid w:val="00672D8A"/>
    <w:rsid w:val="00674158"/>
    <w:rsid w:val="006749FA"/>
    <w:rsid w:val="00674C31"/>
    <w:rsid w:val="00675939"/>
    <w:rsid w:val="00676310"/>
    <w:rsid w:val="006842AD"/>
    <w:rsid w:val="006872B3"/>
    <w:rsid w:val="00687E26"/>
    <w:rsid w:val="0069003B"/>
    <w:rsid w:val="00690234"/>
    <w:rsid w:val="0069281B"/>
    <w:rsid w:val="00692AD2"/>
    <w:rsid w:val="00697089"/>
    <w:rsid w:val="00697763"/>
    <w:rsid w:val="006A17FF"/>
    <w:rsid w:val="006A1D92"/>
    <w:rsid w:val="006A277B"/>
    <w:rsid w:val="006A4FBB"/>
    <w:rsid w:val="006A52DE"/>
    <w:rsid w:val="006A5DC7"/>
    <w:rsid w:val="006A7A98"/>
    <w:rsid w:val="006A7CF0"/>
    <w:rsid w:val="006B0753"/>
    <w:rsid w:val="006B113D"/>
    <w:rsid w:val="006B1788"/>
    <w:rsid w:val="006B445D"/>
    <w:rsid w:val="006B46A3"/>
    <w:rsid w:val="006B5087"/>
    <w:rsid w:val="006B6782"/>
    <w:rsid w:val="006B73E1"/>
    <w:rsid w:val="006C2B90"/>
    <w:rsid w:val="006C3C59"/>
    <w:rsid w:val="006C5FD1"/>
    <w:rsid w:val="006C7F67"/>
    <w:rsid w:val="006D0F10"/>
    <w:rsid w:val="006D11D6"/>
    <w:rsid w:val="006D214A"/>
    <w:rsid w:val="006D48B0"/>
    <w:rsid w:val="006D53F8"/>
    <w:rsid w:val="006E1DDC"/>
    <w:rsid w:val="006E3871"/>
    <w:rsid w:val="006E5669"/>
    <w:rsid w:val="006E62EE"/>
    <w:rsid w:val="006E7F51"/>
    <w:rsid w:val="006F35F0"/>
    <w:rsid w:val="006F669B"/>
    <w:rsid w:val="00700F67"/>
    <w:rsid w:val="007011B0"/>
    <w:rsid w:val="007019E4"/>
    <w:rsid w:val="00702F16"/>
    <w:rsid w:val="00703018"/>
    <w:rsid w:val="00705780"/>
    <w:rsid w:val="007073DD"/>
    <w:rsid w:val="00707FF7"/>
    <w:rsid w:val="007137C3"/>
    <w:rsid w:val="00714930"/>
    <w:rsid w:val="007209C4"/>
    <w:rsid w:val="00720F5F"/>
    <w:rsid w:val="00726036"/>
    <w:rsid w:val="00731836"/>
    <w:rsid w:val="00732257"/>
    <w:rsid w:val="00733751"/>
    <w:rsid w:val="00734C82"/>
    <w:rsid w:val="00735140"/>
    <w:rsid w:val="007420C8"/>
    <w:rsid w:val="00742A63"/>
    <w:rsid w:val="00747C1A"/>
    <w:rsid w:val="00751E9D"/>
    <w:rsid w:val="00752A05"/>
    <w:rsid w:val="007538CF"/>
    <w:rsid w:val="00754C72"/>
    <w:rsid w:val="00755174"/>
    <w:rsid w:val="007552DE"/>
    <w:rsid w:val="00757997"/>
    <w:rsid w:val="00757FE1"/>
    <w:rsid w:val="00762090"/>
    <w:rsid w:val="007649E4"/>
    <w:rsid w:val="00764CF7"/>
    <w:rsid w:val="00765078"/>
    <w:rsid w:val="007657BE"/>
    <w:rsid w:val="00767BC2"/>
    <w:rsid w:val="00770871"/>
    <w:rsid w:val="00775ABF"/>
    <w:rsid w:val="0077610B"/>
    <w:rsid w:val="00777083"/>
    <w:rsid w:val="00777758"/>
    <w:rsid w:val="00781B83"/>
    <w:rsid w:val="0078593E"/>
    <w:rsid w:val="007933EF"/>
    <w:rsid w:val="007A0D43"/>
    <w:rsid w:val="007A25A8"/>
    <w:rsid w:val="007A750D"/>
    <w:rsid w:val="007B2781"/>
    <w:rsid w:val="007B407C"/>
    <w:rsid w:val="007B588E"/>
    <w:rsid w:val="007B63DA"/>
    <w:rsid w:val="007B6E0D"/>
    <w:rsid w:val="007C30A1"/>
    <w:rsid w:val="007C3AE6"/>
    <w:rsid w:val="007C6E69"/>
    <w:rsid w:val="007D066E"/>
    <w:rsid w:val="007D19D0"/>
    <w:rsid w:val="007D21D0"/>
    <w:rsid w:val="007D2DBF"/>
    <w:rsid w:val="007D5F52"/>
    <w:rsid w:val="007D6835"/>
    <w:rsid w:val="007E3549"/>
    <w:rsid w:val="007F3E2D"/>
    <w:rsid w:val="007F5352"/>
    <w:rsid w:val="007F6D47"/>
    <w:rsid w:val="007F7383"/>
    <w:rsid w:val="00804B20"/>
    <w:rsid w:val="00806CF4"/>
    <w:rsid w:val="008117E6"/>
    <w:rsid w:val="00812071"/>
    <w:rsid w:val="00820B49"/>
    <w:rsid w:val="0082586B"/>
    <w:rsid w:val="0083264E"/>
    <w:rsid w:val="0083480E"/>
    <w:rsid w:val="00835458"/>
    <w:rsid w:val="008365E7"/>
    <w:rsid w:val="00837334"/>
    <w:rsid w:val="00841D82"/>
    <w:rsid w:val="00843AF0"/>
    <w:rsid w:val="00843BCA"/>
    <w:rsid w:val="00843C5C"/>
    <w:rsid w:val="0084629C"/>
    <w:rsid w:val="00853B57"/>
    <w:rsid w:val="00853E5A"/>
    <w:rsid w:val="0085663A"/>
    <w:rsid w:val="00856837"/>
    <w:rsid w:val="008571D0"/>
    <w:rsid w:val="008576FA"/>
    <w:rsid w:val="0086026F"/>
    <w:rsid w:val="00862199"/>
    <w:rsid w:val="0086302F"/>
    <w:rsid w:val="0086371A"/>
    <w:rsid w:val="00865F0E"/>
    <w:rsid w:val="0086667F"/>
    <w:rsid w:val="008668B0"/>
    <w:rsid w:val="00867FFA"/>
    <w:rsid w:val="00870E66"/>
    <w:rsid w:val="00870F6E"/>
    <w:rsid w:val="0087102C"/>
    <w:rsid w:val="00873A5D"/>
    <w:rsid w:val="008742FC"/>
    <w:rsid w:val="00874993"/>
    <w:rsid w:val="00875E16"/>
    <w:rsid w:val="00876165"/>
    <w:rsid w:val="00876320"/>
    <w:rsid w:val="008819E0"/>
    <w:rsid w:val="008821EC"/>
    <w:rsid w:val="00882BDC"/>
    <w:rsid w:val="00882CA8"/>
    <w:rsid w:val="00883DED"/>
    <w:rsid w:val="00884883"/>
    <w:rsid w:val="00884D35"/>
    <w:rsid w:val="0088704F"/>
    <w:rsid w:val="008910C1"/>
    <w:rsid w:val="00891359"/>
    <w:rsid w:val="00891B5D"/>
    <w:rsid w:val="00892F39"/>
    <w:rsid w:val="00896EA2"/>
    <w:rsid w:val="00897740"/>
    <w:rsid w:val="008A00D0"/>
    <w:rsid w:val="008A00ED"/>
    <w:rsid w:val="008A32A8"/>
    <w:rsid w:val="008A5B24"/>
    <w:rsid w:val="008B1878"/>
    <w:rsid w:val="008B24E1"/>
    <w:rsid w:val="008B5CB3"/>
    <w:rsid w:val="008B7DD0"/>
    <w:rsid w:val="008C0430"/>
    <w:rsid w:val="008C04EF"/>
    <w:rsid w:val="008C4F45"/>
    <w:rsid w:val="008C60E0"/>
    <w:rsid w:val="008C78E3"/>
    <w:rsid w:val="008D4F7D"/>
    <w:rsid w:val="008D65B8"/>
    <w:rsid w:val="008D6CB2"/>
    <w:rsid w:val="008E0DC5"/>
    <w:rsid w:val="008E3079"/>
    <w:rsid w:val="008E3A87"/>
    <w:rsid w:val="008E475F"/>
    <w:rsid w:val="008E7027"/>
    <w:rsid w:val="008E74A1"/>
    <w:rsid w:val="008F0BA1"/>
    <w:rsid w:val="008F216F"/>
    <w:rsid w:val="008F245E"/>
    <w:rsid w:val="008F4615"/>
    <w:rsid w:val="009010D2"/>
    <w:rsid w:val="009065F7"/>
    <w:rsid w:val="009072A0"/>
    <w:rsid w:val="00911E5C"/>
    <w:rsid w:val="009129F3"/>
    <w:rsid w:val="00920C7C"/>
    <w:rsid w:val="00920EB9"/>
    <w:rsid w:val="009220D2"/>
    <w:rsid w:val="00926F3B"/>
    <w:rsid w:val="00926F9A"/>
    <w:rsid w:val="00927774"/>
    <w:rsid w:val="009324EC"/>
    <w:rsid w:val="00941B4C"/>
    <w:rsid w:val="009453A8"/>
    <w:rsid w:val="009476BF"/>
    <w:rsid w:val="009503EF"/>
    <w:rsid w:val="00950792"/>
    <w:rsid w:val="0095302A"/>
    <w:rsid w:val="00953CF3"/>
    <w:rsid w:val="009642F5"/>
    <w:rsid w:val="0097060D"/>
    <w:rsid w:val="00970E4B"/>
    <w:rsid w:val="00972C02"/>
    <w:rsid w:val="00973685"/>
    <w:rsid w:val="00974523"/>
    <w:rsid w:val="00975F77"/>
    <w:rsid w:val="00977018"/>
    <w:rsid w:val="00980C3C"/>
    <w:rsid w:val="0098206B"/>
    <w:rsid w:val="00984758"/>
    <w:rsid w:val="00986847"/>
    <w:rsid w:val="00994E51"/>
    <w:rsid w:val="009A0426"/>
    <w:rsid w:val="009A2E47"/>
    <w:rsid w:val="009A645F"/>
    <w:rsid w:val="009B5D0A"/>
    <w:rsid w:val="009B6888"/>
    <w:rsid w:val="009C2149"/>
    <w:rsid w:val="009C2A0C"/>
    <w:rsid w:val="009D1067"/>
    <w:rsid w:val="009D1531"/>
    <w:rsid w:val="009D418A"/>
    <w:rsid w:val="009D4337"/>
    <w:rsid w:val="009D7CBF"/>
    <w:rsid w:val="009E30B6"/>
    <w:rsid w:val="009E39B3"/>
    <w:rsid w:val="009E3CD2"/>
    <w:rsid w:val="009E45A0"/>
    <w:rsid w:val="009E4CEB"/>
    <w:rsid w:val="009E6CA3"/>
    <w:rsid w:val="009F0B01"/>
    <w:rsid w:val="009F4DB0"/>
    <w:rsid w:val="009F515D"/>
    <w:rsid w:val="00A015A9"/>
    <w:rsid w:val="00A017A2"/>
    <w:rsid w:val="00A04A35"/>
    <w:rsid w:val="00A05AF9"/>
    <w:rsid w:val="00A06107"/>
    <w:rsid w:val="00A13A6B"/>
    <w:rsid w:val="00A14E38"/>
    <w:rsid w:val="00A1529D"/>
    <w:rsid w:val="00A15A40"/>
    <w:rsid w:val="00A16AEC"/>
    <w:rsid w:val="00A2051E"/>
    <w:rsid w:val="00A2145C"/>
    <w:rsid w:val="00A251ED"/>
    <w:rsid w:val="00A25823"/>
    <w:rsid w:val="00A25F79"/>
    <w:rsid w:val="00A273AA"/>
    <w:rsid w:val="00A27CB1"/>
    <w:rsid w:val="00A33C6F"/>
    <w:rsid w:val="00A354C2"/>
    <w:rsid w:val="00A356AD"/>
    <w:rsid w:val="00A3594D"/>
    <w:rsid w:val="00A35C31"/>
    <w:rsid w:val="00A35D3C"/>
    <w:rsid w:val="00A40850"/>
    <w:rsid w:val="00A40942"/>
    <w:rsid w:val="00A456E1"/>
    <w:rsid w:val="00A475E8"/>
    <w:rsid w:val="00A477FD"/>
    <w:rsid w:val="00A479EE"/>
    <w:rsid w:val="00A54CD6"/>
    <w:rsid w:val="00A56473"/>
    <w:rsid w:val="00A60C9E"/>
    <w:rsid w:val="00A61D25"/>
    <w:rsid w:val="00A6710F"/>
    <w:rsid w:val="00A67AD5"/>
    <w:rsid w:val="00A7038C"/>
    <w:rsid w:val="00A71EA2"/>
    <w:rsid w:val="00A74A0F"/>
    <w:rsid w:val="00A74ABB"/>
    <w:rsid w:val="00A8249E"/>
    <w:rsid w:val="00A82BBD"/>
    <w:rsid w:val="00A85BCF"/>
    <w:rsid w:val="00A861D1"/>
    <w:rsid w:val="00A8643E"/>
    <w:rsid w:val="00A920B1"/>
    <w:rsid w:val="00A94429"/>
    <w:rsid w:val="00A96BA6"/>
    <w:rsid w:val="00AA0902"/>
    <w:rsid w:val="00AA1AC7"/>
    <w:rsid w:val="00AA3ADD"/>
    <w:rsid w:val="00AA58E4"/>
    <w:rsid w:val="00AA7951"/>
    <w:rsid w:val="00AB53A5"/>
    <w:rsid w:val="00AB7F7A"/>
    <w:rsid w:val="00AC104D"/>
    <w:rsid w:val="00AC1A86"/>
    <w:rsid w:val="00AC1CF4"/>
    <w:rsid w:val="00AC48AC"/>
    <w:rsid w:val="00AC508E"/>
    <w:rsid w:val="00AD230A"/>
    <w:rsid w:val="00AD2A2B"/>
    <w:rsid w:val="00AD36D6"/>
    <w:rsid w:val="00AD3A64"/>
    <w:rsid w:val="00AD5756"/>
    <w:rsid w:val="00AD592E"/>
    <w:rsid w:val="00AD633B"/>
    <w:rsid w:val="00AE0BCC"/>
    <w:rsid w:val="00AE0D7B"/>
    <w:rsid w:val="00AE475B"/>
    <w:rsid w:val="00AE54F8"/>
    <w:rsid w:val="00AE60D0"/>
    <w:rsid w:val="00AF0E2C"/>
    <w:rsid w:val="00AF1FFB"/>
    <w:rsid w:val="00AF39CB"/>
    <w:rsid w:val="00AF4A31"/>
    <w:rsid w:val="00AF5DB5"/>
    <w:rsid w:val="00AF7280"/>
    <w:rsid w:val="00B06514"/>
    <w:rsid w:val="00B12696"/>
    <w:rsid w:val="00B14752"/>
    <w:rsid w:val="00B158B3"/>
    <w:rsid w:val="00B16667"/>
    <w:rsid w:val="00B16D89"/>
    <w:rsid w:val="00B214CC"/>
    <w:rsid w:val="00B22A13"/>
    <w:rsid w:val="00B23A3E"/>
    <w:rsid w:val="00B241DC"/>
    <w:rsid w:val="00B243AD"/>
    <w:rsid w:val="00B24DA8"/>
    <w:rsid w:val="00B27517"/>
    <w:rsid w:val="00B27608"/>
    <w:rsid w:val="00B277D0"/>
    <w:rsid w:val="00B34271"/>
    <w:rsid w:val="00B41C6E"/>
    <w:rsid w:val="00B4799B"/>
    <w:rsid w:val="00B50A2F"/>
    <w:rsid w:val="00B50CE0"/>
    <w:rsid w:val="00B50F3A"/>
    <w:rsid w:val="00B54151"/>
    <w:rsid w:val="00B5511B"/>
    <w:rsid w:val="00B55F28"/>
    <w:rsid w:val="00B55FEB"/>
    <w:rsid w:val="00B63B56"/>
    <w:rsid w:val="00B65683"/>
    <w:rsid w:val="00B70C24"/>
    <w:rsid w:val="00B72AE1"/>
    <w:rsid w:val="00B7677A"/>
    <w:rsid w:val="00B84AE8"/>
    <w:rsid w:val="00B8541E"/>
    <w:rsid w:val="00B86790"/>
    <w:rsid w:val="00B86C77"/>
    <w:rsid w:val="00B9455C"/>
    <w:rsid w:val="00B9528A"/>
    <w:rsid w:val="00B95511"/>
    <w:rsid w:val="00BA2A88"/>
    <w:rsid w:val="00BA4C93"/>
    <w:rsid w:val="00BA5AF0"/>
    <w:rsid w:val="00BA6229"/>
    <w:rsid w:val="00BA682F"/>
    <w:rsid w:val="00BB1833"/>
    <w:rsid w:val="00BB2E16"/>
    <w:rsid w:val="00BB4546"/>
    <w:rsid w:val="00BB4ED4"/>
    <w:rsid w:val="00BB79C4"/>
    <w:rsid w:val="00BC06F4"/>
    <w:rsid w:val="00BC105B"/>
    <w:rsid w:val="00BC30C6"/>
    <w:rsid w:val="00BC3290"/>
    <w:rsid w:val="00BD1AB0"/>
    <w:rsid w:val="00BD21DD"/>
    <w:rsid w:val="00BD3425"/>
    <w:rsid w:val="00BD4587"/>
    <w:rsid w:val="00BD7A76"/>
    <w:rsid w:val="00BD7DC8"/>
    <w:rsid w:val="00BE608C"/>
    <w:rsid w:val="00BE6122"/>
    <w:rsid w:val="00BE65F1"/>
    <w:rsid w:val="00BE6EB3"/>
    <w:rsid w:val="00BF5386"/>
    <w:rsid w:val="00BF670B"/>
    <w:rsid w:val="00BF6E31"/>
    <w:rsid w:val="00C00334"/>
    <w:rsid w:val="00C016B6"/>
    <w:rsid w:val="00C0221C"/>
    <w:rsid w:val="00C0259A"/>
    <w:rsid w:val="00C02674"/>
    <w:rsid w:val="00C02DDA"/>
    <w:rsid w:val="00C031F3"/>
    <w:rsid w:val="00C03969"/>
    <w:rsid w:val="00C06BDD"/>
    <w:rsid w:val="00C07441"/>
    <w:rsid w:val="00C14FC2"/>
    <w:rsid w:val="00C1548C"/>
    <w:rsid w:val="00C21518"/>
    <w:rsid w:val="00C2280B"/>
    <w:rsid w:val="00C238C7"/>
    <w:rsid w:val="00C276C5"/>
    <w:rsid w:val="00C31847"/>
    <w:rsid w:val="00C33DFE"/>
    <w:rsid w:val="00C36575"/>
    <w:rsid w:val="00C41F6B"/>
    <w:rsid w:val="00C444DE"/>
    <w:rsid w:val="00C50A72"/>
    <w:rsid w:val="00C511CB"/>
    <w:rsid w:val="00C51303"/>
    <w:rsid w:val="00C5182F"/>
    <w:rsid w:val="00C54825"/>
    <w:rsid w:val="00C556E2"/>
    <w:rsid w:val="00C5752F"/>
    <w:rsid w:val="00C62124"/>
    <w:rsid w:val="00C634A7"/>
    <w:rsid w:val="00C71D5E"/>
    <w:rsid w:val="00C73F62"/>
    <w:rsid w:val="00C755C4"/>
    <w:rsid w:val="00C759FF"/>
    <w:rsid w:val="00C76794"/>
    <w:rsid w:val="00C76D22"/>
    <w:rsid w:val="00C77FEF"/>
    <w:rsid w:val="00C80874"/>
    <w:rsid w:val="00C8187B"/>
    <w:rsid w:val="00C848A9"/>
    <w:rsid w:val="00C84C93"/>
    <w:rsid w:val="00C855EE"/>
    <w:rsid w:val="00C85ABC"/>
    <w:rsid w:val="00C861CF"/>
    <w:rsid w:val="00C863AF"/>
    <w:rsid w:val="00C86451"/>
    <w:rsid w:val="00C924F9"/>
    <w:rsid w:val="00C963C1"/>
    <w:rsid w:val="00C97B34"/>
    <w:rsid w:val="00CA0298"/>
    <w:rsid w:val="00CA3326"/>
    <w:rsid w:val="00CA3EE0"/>
    <w:rsid w:val="00CA5580"/>
    <w:rsid w:val="00CB0058"/>
    <w:rsid w:val="00CB111B"/>
    <w:rsid w:val="00CB2223"/>
    <w:rsid w:val="00CB2B5A"/>
    <w:rsid w:val="00CC0031"/>
    <w:rsid w:val="00CC0417"/>
    <w:rsid w:val="00CC239F"/>
    <w:rsid w:val="00CC30B3"/>
    <w:rsid w:val="00CC3579"/>
    <w:rsid w:val="00CC3706"/>
    <w:rsid w:val="00CC5C9F"/>
    <w:rsid w:val="00CC76A2"/>
    <w:rsid w:val="00CD05E2"/>
    <w:rsid w:val="00CD1FAE"/>
    <w:rsid w:val="00CD3E16"/>
    <w:rsid w:val="00CD4167"/>
    <w:rsid w:val="00CD41AC"/>
    <w:rsid w:val="00CD7E4E"/>
    <w:rsid w:val="00CE01DE"/>
    <w:rsid w:val="00CE0F32"/>
    <w:rsid w:val="00CE54A8"/>
    <w:rsid w:val="00CE59A0"/>
    <w:rsid w:val="00CF737E"/>
    <w:rsid w:val="00D01490"/>
    <w:rsid w:val="00D027BC"/>
    <w:rsid w:val="00D02CD2"/>
    <w:rsid w:val="00D03671"/>
    <w:rsid w:val="00D03BA1"/>
    <w:rsid w:val="00D120AB"/>
    <w:rsid w:val="00D12FBD"/>
    <w:rsid w:val="00D15149"/>
    <w:rsid w:val="00D20319"/>
    <w:rsid w:val="00D23A39"/>
    <w:rsid w:val="00D25494"/>
    <w:rsid w:val="00D266D8"/>
    <w:rsid w:val="00D27170"/>
    <w:rsid w:val="00D3369E"/>
    <w:rsid w:val="00D441F3"/>
    <w:rsid w:val="00D51344"/>
    <w:rsid w:val="00D52183"/>
    <w:rsid w:val="00D54691"/>
    <w:rsid w:val="00D57A65"/>
    <w:rsid w:val="00D57F24"/>
    <w:rsid w:val="00D617A1"/>
    <w:rsid w:val="00D669F0"/>
    <w:rsid w:val="00D66E9B"/>
    <w:rsid w:val="00D670AC"/>
    <w:rsid w:val="00D6746A"/>
    <w:rsid w:val="00D6775D"/>
    <w:rsid w:val="00D70D22"/>
    <w:rsid w:val="00D75B1E"/>
    <w:rsid w:val="00D76C00"/>
    <w:rsid w:val="00D7769C"/>
    <w:rsid w:val="00D8071D"/>
    <w:rsid w:val="00D81572"/>
    <w:rsid w:val="00D83A46"/>
    <w:rsid w:val="00D85C6F"/>
    <w:rsid w:val="00D85FC0"/>
    <w:rsid w:val="00D90A65"/>
    <w:rsid w:val="00D91FFC"/>
    <w:rsid w:val="00D92531"/>
    <w:rsid w:val="00D93420"/>
    <w:rsid w:val="00D936A2"/>
    <w:rsid w:val="00D93B5C"/>
    <w:rsid w:val="00D93C96"/>
    <w:rsid w:val="00D94EC7"/>
    <w:rsid w:val="00DA6B27"/>
    <w:rsid w:val="00DA7DAB"/>
    <w:rsid w:val="00DB228C"/>
    <w:rsid w:val="00DB2D99"/>
    <w:rsid w:val="00DB3EE1"/>
    <w:rsid w:val="00DB4F8A"/>
    <w:rsid w:val="00DC0D19"/>
    <w:rsid w:val="00DC0E7D"/>
    <w:rsid w:val="00DC1363"/>
    <w:rsid w:val="00DC187C"/>
    <w:rsid w:val="00DC7666"/>
    <w:rsid w:val="00DD03C9"/>
    <w:rsid w:val="00DD7FF3"/>
    <w:rsid w:val="00DE3F99"/>
    <w:rsid w:val="00DE4F7B"/>
    <w:rsid w:val="00DE605A"/>
    <w:rsid w:val="00DE6561"/>
    <w:rsid w:val="00DF1AC2"/>
    <w:rsid w:val="00DF2344"/>
    <w:rsid w:val="00DF4273"/>
    <w:rsid w:val="00DF4CB2"/>
    <w:rsid w:val="00DF4D4E"/>
    <w:rsid w:val="00DF716C"/>
    <w:rsid w:val="00DF79DE"/>
    <w:rsid w:val="00E01A3A"/>
    <w:rsid w:val="00E030C3"/>
    <w:rsid w:val="00E04E4C"/>
    <w:rsid w:val="00E070BC"/>
    <w:rsid w:val="00E124F3"/>
    <w:rsid w:val="00E12A66"/>
    <w:rsid w:val="00E12AE5"/>
    <w:rsid w:val="00E12D76"/>
    <w:rsid w:val="00E13C6D"/>
    <w:rsid w:val="00E15535"/>
    <w:rsid w:val="00E202B5"/>
    <w:rsid w:val="00E23BE1"/>
    <w:rsid w:val="00E24454"/>
    <w:rsid w:val="00E258F3"/>
    <w:rsid w:val="00E27ABA"/>
    <w:rsid w:val="00E337C2"/>
    <w:rsid w:val="00E36CE7"/>
    <w:rsid w:val="00E46E07"/>
    <w:rsid w:val="00E506F3"/>
    <w:rsid w:val="00E52351"/>
    <w:rsid w:val="00E62EF3"/>
    <w:rsid w:val="00E635FE"/>
    <w:rsid w:val="00E63BD5"/>
    <w:rsid w:val="00E64EEA"/>
    <w:rsid w:val="00E659D9"/>
    <w:rsid w:val="00E6621F"/>
    <w:rsid w:val="00E71153"/>
    <w:rsid w:val="00E712ED"/>
    <w:rsid w:val="00E748D4"/>
    <w:rsid w:val="00E7494E"/>
    <w:rsid w:val="00E75145"/>
    <w:rsid w:val="00E77779"/>
    <w:rsid w:val="00E77D03"/>
    <w:rsid w:val="00E80C04"/>
    <w:rsid w:val="00E80D0D"/>
    <w:rsid w:val="00E87934"/>
    <w:rsid w:val="00E901BB"/>
    <w:rsid w:val="00E90B76"/>
    <w:rsid w:val="00E92676"/>
    <w:rsid w:val="00E932E8"/>
    <w:rsid w:val="00E934C4"/>
    <w:rsid w:val="00E96085"/>
    <w:rsid w:val="00E96D0B"/>
    <w:rsid w:val="00E978B5"/>
    <w:rsid w:val="00EA1450"/>
    <w:rsid w:val="00EA3B8B"/>
    <w:rsid w:val="00EA567F"/>
    <w:rsid w:val="00EA61FA"/>
    <w:rsid w:val="00EA679F"/>
    <w:rsid w:val="00EB0608"/>
    <w:rsid w:val="00EB0EF9"/>
    <w:rsid w:val="00EB33B9"/>
    <w:rsid w:val="00EB3FBF"/>
    <w:rsid w:val="00EB5616"/>
    <w:rsid w:val="00EB629B"/>
    <w:rsid w:val="00EB62E2"/>
    <w:rsid w:val="00EB6C5C"/>
    <w:rsid w:val="00EC03BB"/>
    <w:rsid w:val="00EC18D7"/>
    <w:rsid w:val="00EC44F5"/>
    <w:rsid w:val="00EC5665"/>
    <w:rsid w:val="00ED0D39"/>
    <w:rsid w:val="00ED0EA8"/>
    <w:rsid w:val="00ED0FAC"/>
    <w:rsid w:val="00ED163C"/>
    <w:rsid w:val="00ED4069"/>
    <w:rsid w:val="00ED41F3"/>
    <w:rsid w:val="00ED54D2"/>
    <w:rsid w:val="00ED5A3E"/>
    <w:rsid w:val="00EE1708"/>
    <w:rsid w:val="00EE2E69"/>
    <w:rsid w:val="00EE49A5"/>
    <w:rsid w:val="00EE650A"/>
    <w:rsid w:val="00EF522A"/>
    <w:rsid w:val="00F02891"/>
    <w:rsid w:val="00F03081"/>
    <w:rsid w:val="00F03C32"/>
    <w:rsid w:val="00F0642C"/>
    <w:rsid w:val="00F0670F"/>
    <w:rsid w:val="00F06756"/>
    <w:rsid w:val="00F06D3D"/>
    <w:rsid w:val="00F06D50"/>
    <w:rsid w:val="00F10EDE"/>
    <w:rsid w:val="00F15654"/>
    <w:rsid w:val="00F15E0A"/>
    <w:rsid w:val="00F1691D"/>
    <w:rsid w:val="00F20DA4"/>
    <w:rsid w:val="00F27243"/>
    <w:rsid w:val="00F279C1"/>
    <w:rsid w:val="00F372EA"/>
    <w:rsid w:val="00F41F74"/>
    <w:rsid w:val="00F433A9"/>
    <w:rsid w:val="00F44777"/>
    <w:rsid w:val="00F449A8"/>
    <w:rsid w:val="00F45D55"/>
    <w:rsid w:val="00F46C69"/>
    <w:rsid w:val="00F46EE6"/>
    <w:rsid w:val="00F47C01"/>
    <w:rsid w:val="00F5268C"/>
    <w:rsid w:val="00F53ECB"/>
    <w:rsid w:val="00F54226"/>
    <w:rsid w:val="00F54760"/>
    <w:rsid w:val="00F56B2F"/>
    <w:rsid w:val="00F57FD4"/>
    <w:rsid w:val="00F636B4"/>
    <w:rsid w:val="00F65388"/>
    <w:rsid w:val="00F702F8"/>
    <w:rsid w:val="00F714F9"/>
    <w:rsid w:val="00F74501"/>
    <w:rsid w:val="00F75B7A"/>
    <w:rsid w:val="00F80BCE"/>
    <w:rsid w:val="00F851CF"/>
    <w:rsid w:val="00F871E1"/>
    <w:rsid w:val="00F92E02"/>
    <w:rsid w:val="00F92F43"/>
    <w:rsid w:val="00F948B7"/>
    <w:rsid w:val="00FA10D0"/>
    <w:rsid w:val="00FA3B52"/>
    <w:rsid w:val="00FA5D44"/>
    <w:rsid w:val="00FB0BAD"/>
    <w:rsid w:val="00FB2DB0"/>
    <w:rsid w:val="00FB4188"/>
    <w:rsid w:val="00FB49F1"/>
    <w:rsid w:val="00FB538E"/>
    <w:rsid w:val="00FC3FFC"/>
    <w:rsid w:val="00FD65B6"/>
    <w:rsid w:val="00FE12E2"/>
    <w:rsid w:val="00FE345E"/>
    <w:rsid w:val="00FE3766"/>
    <w:rsid w:val="00FE4DA9"/>
    <w:rsid w:val="00FE5EED"/>
    <w:rsid w:val="00FF01E9"/>
    <w:rsid w:val="00FF30BE"/>
    <w:rsid w:val="00FF47A6"/>
    <w:rsid w:val="00FF62BC"/>
    <w:rsid w:val="00FF75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90"/>
  </w:style>
  <w:style w:type="paragraph" w:styleId="Heading1">
    <w:name w:val="heading 1"/>
    <w:basedOn w:val="Normal"/>
    <w:next w:val="Normal"/>
    <w:link w:val="Heading1Char"/>
    <w:uiPriority w:val="9"/>
    <w:qFormat/>
    <w:rsid w:val="00EB6C5C"/>
    <w:pPr>
      <w:shd w:val="clear" w:color="auto" w:fill="D9D9D9" w:themeFill="background1" w:themeFillShade="D9"/>
      <w:outlineLvl w:val="0"/>
    </w:pPr>
    <w:rPr>
      <w:rFonts w:ascii="Times New Roman" w:hAnsi="Times New Roman" w:cs="Times New Roman"/>
      <w:b/>
      <w:sz w:val="28"/>
      <w:szCs w:val="28"/>
    </w:rPr>
  </w:style>
  <w:style w:type="paragraph" w:styleId="Heading5">
    <w:name w:val="heading 5"/>
    <w:basedOn w:val="Normal"/>
    <w:next w:val="Normal"/>
    <w:link w:val="Heading5Char"/>
    <w:uiPriority w:val="9"/>
    <w:semiHidden/>
    <w:unhideWhenUsed/>
    <w:qFormat/>
    <w:rsid w:val="00FB49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5D"/>
    <w:rPr>
      <w:rFonts w:ascii="Tahoma" w:hAnsi="Tahoma" w:cs="Tahoma"/>
      <w:sz w:val="16"/>
      <w:szCs w:val="16"/>
    </w:rPr>
  </w:style>
  <w:style w:type="paragraph" w:styleId="ListBullet">
    <w:name w:val="List Bullet"/>
    <w:basedOn w:val="Normal"/>
    <w:uiPriority w:val="99"/>
    <w:unhideWhenUsed/>
    <w:rsid w:val="006A17FF"/>
    <w:pPr>
      <w:numPr>
        <w:numId w:val="2"/>
      </w:numPr>
      <w:contextualSpacing/>
    </w:pPr>
  </w:style>
  <w:style w:type="character" w:styleId="Hyperlink">
    <w:name w:val="Hyperlink"/>
    <w:basedOn w:val="DefaultParagraphFont"/>
    <w:uiPriority w:val="99"/>
    <w:unhideWhenUsed/>
    <w:rsid w:val="00FB49F1"/>
    <w:rPr>
      <w:color w:val="0000FF" w:themeColor="hyperlink"/>
      <w:u w:val="single"/>
    </w:rPr>
  </w:style>
  <w:style w:type="character" w:customStyle="1" w:styleId="Heading5Char">
    <w:name w:val="Heading 5 Char"/>
    <w:basedOn w:val="DefaultParagraphFont"/>
    <w:link w:val="Heading5"/>
    <w:uiPriority w:val="9"/>
    <w:semiHidden/>
    <w:rsid w:val="00FB49F1"/>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7D5F52"/>
    <w:rPr>
      <w:sz w:val="16"/>
      <w:szCs w:val="16"/>
    </w:rPr>
  </w:style>
  <w:style w:type="paragraph" w:styleId="CommentText">
    <w:name w:val="annotation text"/>
    <w:basedOn w:val="Normal"/>
    <w:link w:val="CommentTextChar"/>
    <w:uiPriority w:val="99"/>
    <w:semiHidden/>
    <w:unhideWhenUsed/>
    <w:rsid w:val="007D5F52"/>
    <w:pPr>
      <w:spacing w:line="240" w:lineRule="auto"/>
    </w:pPr>
    <w:rPr>
      <w:sz w:val="20"/>
      <w:szCs w:val="20"/>
    </w:rPr>
  </w:style>
  <w:style w:type="character" w:customStyle="1" w:styleId="CommentTextChar">
    <w:name w:val="Comment Text Char"/>
    <w:basedOn w:val="DefaultParagraphFont"/>
    <w:link w:val="CommentText"/>
    <w:uiPriority w:val="99"/>
    <w:semiHidden/>
    <w:rsid w:val="007D5F52"/>
    <w:rPr>
      <w:sz w:val="20"/>
      <w:szCs w:val="20"/>
    </w:rPr>
  </w:style>
  <w:style w:type="paragraph" w:styleId="ListParagraph">
    <w:name w:val="List Paragraph"/>
    <w:basedOn w:val="Normal"/>
    <w:uiPriority w:val="34"/>
    <w:qFormat/>
    <w:rsid w:val="00ED5A3E"/>
    <w:pPr>
      <w:ind w:left="720"/>
      <w:contextualSpacing/>
    </w:pPr>
  </w:style>
  <w:style w:type="paragraph" w:styleId="CommentSubject">
    <w:name w:val="annotation subject"/>
    <w:basedOn w:val="CommentText"/>
    <w:next w:val="CommentText"/>
    <w:link w:val="CommentSubjectChar"/>
    <w:uiPriority w:val="99"/>
    <w:semiHidden/>
    <w:unhideWhenUsed/>
    <w:rsid w:val="00440239"/>
    <w:rPr>
      <w:b/>
      <w:bCs/>
    </w:rPr>
  </w:style>
  <w:style w:type="character" w:customStyle="1" w:styleId="CommentSubjectChar">
    <w:name w:val="Comment Subject Char"/>
    <w:basedOn w:val="CommentTextChar"/>
    <w:link w:val="CommentSubject"/>
    <w:uiPriority w:val="99"/>
    <w:semiHidden/>
    <w:rsid w:val="00440239"/>
    <w:rPr>
      <w:b/>
      <w:bCs/>
    </w:rPr>
  </w:style>
  <w:style w:type="paragraph" w:customStyle="1" w:styleId="Default">
    <w:name w:val="Default"/>
    <w:rsid w:val="007C3AE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32452"/>
    <w:pPr>
      <w:spacing w:after="0" w:line="240" w:lineRule="auto"/>
    </w:pPr>
  </w:style>
  <w:style w:type="paragraph" w:styleId="Header">
    <w:name w:val="header"/>
    <w:basedOn w:val="Normal"/>
    <w:link w:val="HeaderChar"/>
    <w:uiPriority w:val="99"/>
    <w:semiHidden/>
    <w:unhideWhenUsed/>
    <w:rsid w:val="00CA55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5580"/>
  </w:style>
  <w:style w:type="paragraph" w:styleId="Footer">
    <w:name w:val="footer"/>
    <w:basedOn w:val="Normal"/>
    <w:link w:val="FooterChar"/>
    <w:uiPriority w:val="99"/>
    <w:unhideWhenUsed/>
    <w:rsid w:val="00CA5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580"/>
  </w:style>
  <w:style w:type="character" w:customStyle="1" w:styleId="Heading1Char">
    <w:name w:val="Heading 1 Char"/>
    <w:basedOn w:val="DefaultParagraphFont"/>
    <w:link w:val="Heading1"/>
    <w:uiPriority w:val="9"/>
    <w:rsid w:val="00EB6C5C"/>
    <w:rPr>
      <w:rFonts w:ascii="Times New Roman" w:hAnsi="Times New Roman" w:cs="Times New Roman"/>
      <w:b/>
      <w:sz w:val="28"/>
      <w:szCs w:val="28"/>
      <w:shd w:val="clear" w:color="auto" w:fill="D9D9D9" w:themeFill="background1" w:themeFillShade="D9"/>
    </w:rPr>
  </w:style>
  <w:style w:type="paragraph" w:styleId="TOC1">
    <w:name w:val="toc 1"/>
    <w:basedOn w:val="Normal"/>
    <w:next w:val="Normal"/>
    <w:autoRedefine/>
    <w:uiPriority w:val="39"/>
    <w:unhideWhenUsed/>
    <w:rsid w:val="00EB6C5C"/>
    <w:pPr>
      <w:spacing w:after="100"/>
    </w:pPr>
  </w:style>
</w:styles>
</file>

<file path=word/webSettings.xml><?xml version="1.0" encoding="utf-8"?>
<w:webSettings xmlns:r="http://schemas.openxmlformats.org/officeDocument/2006/relationships" xmlns:w="http://schemas.openxmlformats.org/wordprocessingml/2006/main">
  <w:divs>
    <w:div w:id="814182912">
      <w:bodyDiv w:val="1"/>
      <w:marLeft w:val="0"/>
      <w:marRight w:val="0"/>
      <w:marTop w:val="0"/>
      <w:marBottom w:val="0"/>
      <w:divBdr>
        <w:top w:val="none" w:sz="0" w:space="0" w:color="auto"/>
        <w:left w:val="none" w:sz="0" w:space="0" w:color="auto"/>
        <w:bottom w:val="none" w:sz="0" w:space="0" w:color="auto"/>
        <w:right w:val="none" w:sz="0" w:space="0" w:color="auto"/>
      </w:divBdr>
      <w:divsChild>
        <w:div w:id="728457691">
          <w:marLeft w:val="0"/>
          <w:marRight w:val="0"/>
          <w:marTop w:val="0"/>
          <w:marBottom w:val="0"/>
          <w:divBdr>
            <w:top w:val="none" w:sz="0" w:space="0" w:color="auto"/>
            <w:left w:val="none" w:sz="0" w:space="0" w:color="auto"/>
            <w:bottom w:val="none" w:sz="0" w:space="0" w:color="auto"/>
            <w:right w:val="none" w:sz="0" w:space="0" w:color="auto"/>
          </w:divBdr>
          <w:divsChild>
            <w:div w:id="1074819031">
              <w:marLeft w:val="0"/>
              <w:marRight w:val="0"/>
              <w:marTop w:val="0"/>
              <w:marBottom w:val="0"/>
              <w:divBdr>
                <w:top w:val="none" w:sz="0" w:space="0" w:color="auto"/>
                <w:left w:val="none" w:sz="0" w:space="0" w:color="auto"/>
                <w:bottom w:val="none" w:sz="0" w:space="0" w:color="auto"/>
                <w:right w:val="none" w:sz="0" w:space="0" w:color="auto"/>
              </w:divBdr>
              <w:divsChild>
                <w:div w:id="11078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4053">
      <w:bodyDiv w:val="1"/>
      <w:marLeft w:val="0"/>
      <w:marRight w:val="0"/>
      <w:marTop w:val="0"/>
      <w:marBottom w:val="0"/>
      <w:divBdr>
        <w:top w:val="none" w:sz="0" w:space="0" w:color="auto"/>
        <w:left w:val="none" w:sz="0" w:space="0" w:color="auto"/>
        <w:bottom w:val="none" w:sz="0" w:space="0" w:color="auto"/>
        <w:right w:val="none" w:sz="0" w:space="0" w:color="auto"/>
      </w:divBdr>
    </w:div>
    <w:div w:id="16711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ew.gov.au/archive/air/spark-ignition-submiss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vac01file01\shared$\air_qual\Non%20Road%20Spark%20Ignition%20Engines%20and%20Equipment\Consultation%20RIS%20analysis\Summary%20Comments%20on%20Cons%20R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ac01file01\shared$\air_qual\Non%20Road%20Spark%20Ignition%20Engines%20and%20Equipment\Consultation%20RIS%20analysis\Summary%20Comments%20on%20Cons%20RI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vac01file01\shared$\air_qual\Non%20Road%20Spark%20Ignition%20Engines%20and%20Equipment\Consultation%20RIS%20analysis\Summary%20Comments%20on%20Cons%20R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9"/>
  <c:pivotSource>
    <c:name>[Summary Comments on Cons RIS.xlsx]P-Respondant Profiles!PivotTable1</c:name>
    <c:fmtId val="-1"/>
  </c:pivotSource>
  <c:chart>
    <c:title>
      <c:tx>
        <c:rich>
          <a:bodyPr/>
          <a:lstStyle/>
          <a:p>
            <a:pPr>
              <a:defRPr/>
            </a:pPr>
            <a:r>
              <a:rPr lang="en-US" sz="1200">
                <a:latin typeface="Times New Roman" pitchFamily="18" charset="0"/>
                <a:cs typeface="Times New Roman" pitchFamily="18" charset="0"/>
              </a:rPr>
              <a:t>Figure 1: Submissions by engine category</a:t>
            </a:r>
          </a:p>
        </c:rich>
      </c:tx>
      <c:layout/>
    </c:title>
    <c:pivotFmts>
      <c:pivotFmt>
        <c:idx val="0"/>
        <c:marker>
          <c:symbol val="none"/>
        </c:marker>
        <c:dLbl>
          <c:idx val="0"/>
          <c:spPr/>
          <c:txPr>
            <a:bodyPr/>
            <a:lstStyle/>
            <a:p>
              <a:pPr>
                <a:defRPr/>
              </a:pPr>
              <a:endParaRPr lang="en-US"/>
            </a:p>
          </c:txPr>
          <c:showCatName val="1"/>
          <c:showPercent val="1"/>
        </c:dLbl>
      </c:pivotFmt>
      <c:pivotFmt>
        <c:idx val="1"/>
        <c:marker>
          <c:symbol val="none"/>
        </c:marker>
        <c:dLbl>
          <c:idx val="0"/>
          <c:spPr/>
          <c:txPr>
            <a:bodyPr/>
            <a:lstStyle/>
            <a:p>
              <a:pPr>
                <a:defRPr/>
              </a:pPr>
              <a:endParaRPr lang="en-US"/>
            </a:p>
          </c:txPr>
          <c:showCatName val="1"/>
          <c:showPercent val="1"/>
        </c:dLbl>
      </c:pivotFmt>
      <c:pivotFmt>
        <c:idx val="2"/>
        <c:marker>
          <c:symbol val="none"/>
        </c:marker>
        <c:dLbl>
          <c:idx val="0"/>
          <c:spPr/>
          <c:txPr>
            <a:bodyPr/>
            <a:lstStyle/>
            <a:p>
              <a:pPr>
                <a:defRPr sz="1100" b="1">
                  <a:latin typeface="Times New Roman" pitchFamily="18" charset="0"/>
                  <a:cs typeface="Times New Roman" pitchFamily="18" charset="0"/>
                </a:defRPr>
              </a:pPr>
              <a:endParaRPr lang="en-US"/>
            </a:p>
          </c:txPr>
          <c:showCatName val="1"/>
          <c:showPercent val="1"/>
        </c:dLbl>
      </c:pivotFmt>
      <c:pivotFmt>
        <c:idx val="3"/>
        <c:marker>
          <c:symbol val="none"/>
        </c:marker>
        <c:dLbl>
          <c:idx val="0"/>
          <c:spPr/>
          <c:txPr>
            <a:bodyPr/>
            <a:lstStyle/>
            <a:p>
              <a:pPr>
                <a:defRPr/>
              </a:pPr>
              <a:endParaRPr lang="en-US"/>
            </a:p>
          </c:txPr>
          <c:showCatName val="1"/>
          <c:showPercent val="1"/>
        </c:dLbl>
      </c:pivotFmt>
      <c:pivotFmt>
        <c:idx val="4"/>
        <c:marker>
          <c:symbol val="none"/>
        </c:marker>
        <c:dLbl>
          <c:idx val="0"/>
          <c:spPr/>
          <c:txPr>
            <a:bodyPr/>
            <a:lstStyle/>
            <a:p>
              <a:pPr>
                <a:defRPr/>
              </a:pPr>
              <a:endParaRPr lang="en-US"/>
            </a:p>
          </c:txPr>
          <c:showCatName val="1"/>
          <c:showPercent val="1"/>
        </c:dLbl>
      </c:pivotFmt>
      <c:pivotFmt>
        <c:idx val="5"/>
        <c:marker>
          <c:symbol val="none"/>
        </c:marker>
        <c:dLbl>
          <c:idx val="0"/>
          <c:spPr/>
          <c:txPr>
            <a:bodyPr/>
            <a:lstStyle/>
            <a:p>
              <a:pPr>
                <a:defRPr/>
              </a:pPr>
              <a:endParaRPr lang="en-US"/>
            </a:p>
          </c:txPr>
          <c:showCatName val="1"/>
          <c:showPercent val="1"/>
        </c:dLbl>
      </c:pivotFmt>
      <c:pivotFmt>
        <c:idx val="6"/>
        <c:marker>
          <c:symbol val="none"/>
        </c:marker>
        <c:dLbl>
          <c:idx val="0"/>
          <c:spPr/>
          <c:txPr>
            <a:bodyPr/>
            <a:lstStyle/>
            <a:p>
              <a:pPr>
                <a:defRPr/>
              </a:pPr>
              <a:endParaRPr lang="en-US"/>
            </a:p>
          </c:txPr>
          <c:showCatName val="1"/>
          <c:showPercent val="1"/>
        </c:dLbl>
      </c:pivotFmt>
      <c:pivotFmt>
        <c:idx val="7"/>
        <c:marker>
          <c:symbol val="none"/>
        </c:marker>
        <c:dLbl>
          <c:idx val="0"/>
          <c:spPr/>
          <c:txPr>
            <a:bodyPr/>
            <a:lstStyle/>
            <a:p>
              <a:pPr>
                <a:defRPr/>
              </a:pPr>
              <a:endParaRPr lang="en-US"/>
            </a:p>
          </c:txPr>
          <c:showCatName val="1"/>
          <c:showPercent val="1"/>
        </c:dLbl>
      </c:pivotFmt>
      <c:pivotFmt>
        <c:idx val="8"/>
        <c:marker>
          <c:symbol val="none"/>
        </c:marker>
        <c:dLbl>
          <c:idx val="0"/>
          <c:spPr/>
          <c:txPr>
            <a:bodyPr/>
            <a:lstStyle/>
            <a:p>
              <a:pPr>
                <a:defRPr/>
              </a:pPr>
              <a:endParaRPr lang="en-US"/>
            </a:p>
          </c:txPr>
          <c:showCatName val="1"/>
          <c:showPercent val="1"/>
        </c:dLbl>
      </c:pivotFmt>
      <c:pivotFmt>
        <c:idx val="9"/>
        <c:marker>
          <c:symbol val="none"/>
        </c:marker>
        <c:dLbl>
          <c:idx val="0"/>
          <c:spPr/>
          <c:txPr>
            <a:bodyPr/>
            <a:lstStyle/>
            <a:p>
              <a:pPr>
                <a:defRPr/>
              </a:pPr>
              <a:endParaRPr lang="en-US"/>
            </a:p>
          </c:txPr>
          <c:showCatName val="1"/>
          <c:showPercent val="1"/>
        </c:dLbl>
      </c:pivotFmt>
      <c:pivotFmt>
        <c:idx val="10"/>
        <c:marker>
          <c:symbol val="none"/>
        </c:marker>
      </c:pivotFmt>
      <c:pivotFmt>
        <c:idx val="11"/>
        <c:dLbl>
          <c:idx val="0"/>
          <c:layout>
            <c:manualLayout>
              <c:x val="-2.8282117656255683E-3"/>
              <c:y val="-4.7290787546584334E-2"/>
            </c:manualLayout>
          </c:layout>
          <c:showCatName val="1"/>
          <c:showPercent val="1"/>
        </c:dLbl>
      </c:pivotFmt>
      <c:pivotFmt>
        <c:idx val="12"/>
        <c:dLbl>
          <c:idx val="0"/>
          <c:layout>
            <c:manualLayout>
              <c:x val="-2.9696253604038325E-2"/>
              <c:y val="-2.0587288467394656E-2"/>
            </c:manualLayout>
          </c:layout>
          <c:showCatName val="1"/>
          <c:showPercent val="1"/>
        </c:dLbl>
      </c:pivotFmt>
      <c:pivotFmt>
        <c:idx val="13"/>
        <c:dLbl>
          <c:idx val="0"/>
          <c:layout>
            <c:manualLayout>
              <c:x val="-8.1508058915315998E-2"/>
              <c:y val="-0.2590791896869245"/>
            </c:manualLayout>
          </c:layout>
          <c:showCatName val="1"/>
          <c:showPercent val="1"/>
        </c:dLbl>
      </c:pivotFmt>
      <c:pivotFmt>
        <c:idx val="14"/>
        <c:marker>
          <c:symbol val="none"/>
        </c:marker>
        <c:dLbl>
          <c:idx val="0"/>
          <c:spPr/>
          <c:txPr>
            <a:bodyPr/>
            <a:lstStyle/>
            <a:p>
              <a:pPr>
                <a:defRPr/>
              </a:pPr>
              <a:endParaRPr lang="en-US"/>
            </a:p>
          </c:txPr>
          <c:showCatName val="1"/>
          <c:showPercent val="1"/>
        </c:dLbl>
      </c:pivotFmt>
      <c:pivotFmt>
        <c:idx val="15"/>
        <c:marker>
          <c:symbol val="none"/>
        </c:marker>
        <c:dLbl>
          <c:idx val="0"/>
          <c:spPr/>
          <c:txPr>
            <a:bodyPr/>
            <a:lstStyle/>
            <a:p>
              <a:pPr>
                <a:defRPr/>
              </a:pPr>
              <a:endParaRPr lang="en-US"/>
            </a:p>
          </c:txPr>
          <c:showCatName val="1"/>
          <c:showPercent val="1"/>
        </c:dLbl>
      </c:pivotFmt>
      <c:pivotFmt>
        <c:idx val="16"/>
        <c:marker>
          <c:symbol val="none"/>
        </c:marker>
        <c:dLbl>
          <c:idx val="0"/>
          <c:delete val="1"/>
        </c:dLbl>
      </c:pivotFmt>
      <c:pivotFmt>
        <c:idx val="17"/>
        <c:dLbl>
          <c:idx val="0"/>
          <c:layout>
            <c:manualLayout>
              <c:x val="8.8647227811442367E-2"/>
              <c:y val="-2.4516465828511771E-2"/>
            </c:manualLayout>
          </c:layout>
          <c:showCatName val="1"/>
          <c:showPercent val="1"/>
        </c:dLbl>
      </c:pivotFmt>
      <c:pivotFmt>
        <c:idx val="18"/>
        <c:dLbl>
          <c:idx val="0"/>
          <c:layout>
            <c:manualLayout>
              <c:x val="-2.9760342110399452E-2"/>
              <c:y val="-5.3736459738112904E-2"/>
            </c:manualLayout>
          </c:layout>
          <c:showCatName val="1"/>
          <c:showPercent val="1"/>
        </c:dLbl>
      </c:pivotFmt>
      <c:pivotFmt>
        <c:idx val="19"/>
        <c:dLbl>
          <c:idx val="0"/>
          <c:layout>
            <c:manualLayout>
              <c:x val="0.20612304554988234"/>
              <c:y val="-0.26920810313075538"/>
            </c:manualLayout>
          </c:layout>
          <c:showCatName val="1"/>
          <c:showPercent val="1"/>
        </c:dLbl>
      </c:pivotFmt>
      <c:pivotFmt>
        <c:idx val="20"/>
        <c:dLbl>
          <c:idx val="0"/>
          <c:layout>
            <c:manualLayout>
              <c:x val="-7.120971399993023E-2"/>
              <c:y val="-4.6369977233508934E-2"/>
            </c:manualLayout>
          </c:layout>
          <c:showCatName val="1"/>
          <c:showPercent val="1"/>
        </c:dLbl>
      </c:pivotFmt>
      <c:pivotFmt>
        <c:idx val="21"/>
        <c:marker>
          <c:symbol val="none"/>
        </c:marker>
        <c:dLbl>
          <c:idx val="0"/>
          <c:spPr/>
          <c:txPr>
            <a:bodyPr/>
            <a:lstStyle/>
            <a:p>
              <a:pPr>
                <a:defRPr sz="1100" b="1">
                  <a:latin typeface="Times New Roman" pitchFamily="18" charset="0"/>
                  <a:cs typeface="Times New Roman" pitchFamily="18" charset="0"/>
                </a:defRPr>
              </a:pPr>
              <a:endParaRPr lang="en-US"/>
            </a:p>
          </c:txPr>
          <c:showCatName val="1"/>
          <c:showPercent val="1"/>
        </c:dLbl>
      </c:pivotFmt>
      <c:pivotFmt>
        <c:idx val="22"/>
        <c:dLbl>
          <c:idx val="0"/>
          <c:layout>
            <c:manualLayout>
              <c:x val="8.8647227811442367E-2"/>
              <c:y val="-2.4516465828511771E-2"/>
            </c:manualLayout>
          </c:layout>
          <c:showCatName val="1"/>
          <c:showPercent val="1"/>
        </c:dLbl>
      </c:pivotFmt>
      <c:pivotFmt>
        <c:idx val="23"/>
        <c:dLbl>
          <c:idx val="0"/>
          <c:layout>
            <c:manualLayout>
              <c:x val="0.20612304554988234"/>
              <c:y val="-0.26920810313075538"/>
            </c:manualLayout>
          </c:layout>
          <c:showCatName val="1"/>
          <c:showPercent val="1"/>
        </c:dLbl>
      </c:pivotFmt>
      <c:pivotFmt>
        <c:idx val="24"/>
        <c:dLbl>
          <c:idx val="0"/>
          <c:layout>
            <c:manualLayout>
              <c:x val="-7.120971399993023E-2"/>
              <c:y val="-4.6369977233508934E-2"/>
            </c:manualLayout>
          </c:layout>
          <c:showCatName val="1"/>
          <c:showPercent val="1"/>
        </c:dLbl>
      </c:pivotFmt>
    </c:pivotFmts>
    <c:view3D>
      <c:rotX val="30"/>
      <c:perspective val="30"/>
    </c:view3D>
    <c:plotArea>
      <c:layout>
        <c:manualLayout>
          <c:layoutTarget val="inner"/>
          <c:xMode val="edge"/>
          <c:yMode val="edge"/>
          <c:x val="3.8063153180110804E-2"/>
          <c:y val="0.35377481194519156"/>
          <c:w val="0.84139958450210905"/>
          <c:h val="0.62331955743101175"/>
        </c:manualLayout>
      </c:layout>
      <c:pie3DChart>
        <c:varyColors val="1"/>
        <c:ser>
          <c:idx val="0"/>
          <c:order val="0"/>
          <c:tx>
            <c:strRef>
              <c:f>'P-Respondant Profiles'!$B$1</c:f>
              <c:strCache>
                <c:ptCount val="1"/>
                <c:pt idx="0">
                  <c:v>Total</c:v>
                </c:pt>
              </c:strCache>
            </c:strRef>
          </c:tx>
          <c:dLbls>
            <c:dLbl>
              <c:idx val="0"/>
              <c:layout>
                <c:manualLayout>
                  <c:x val="0.12670141105619304"/>
                  <c:y val="2.0052457847375318E-2"/>
                </c:manualLayout>
              </c:layout>
              <c:showCatName val="1"/>
              <c:showPercent val="1"/>
            </c:dLbl>
            <c:dLbl>
              <c:idx val="1"/>
              <c:layout>
                <c:manualLayout>
                  <c:x val="0.20612304554988234"/>
                  <c:y val="-0.26920810313075538"/>
                </c:manualLayout>
              </c:layout>
              <c:showCatName val="1"/>
              <c:showPercent val="1"/>
            </c:dLbl>
            <c:dLbl>
              <c:idx val="2"/>
              <c:layout>
                <c:manualLayout>
                  <c:x val="-0.11639907344133016"/>
                  <c:y val="-1.9628527691974217E-2"/>
                </c:manualLayout>
              </c:layout>
              <c:showCatName val="1"/>
              <c:showPercent val="1"/>
            </c:dLbl>
            <c:showCatName val="1"/>
            <c:showPercent val="1"/>
            <c:showLeaderLines val="1"/>
          </c:dLbls>
          <c:cat>
            <c:strRef>
              <c:f>'P-Respondant Profiles'!$A$2:$A$5</c:f>
              <c:strCache>
                <c:ptCount val="3"/>
                <c:pt idx="0">
                  <c:v>Garden Engines and Equipment</c:v>
                </c:pt>
                <c:pt idx="1">
                  <c:v>Marine Engines and Equipment</c:v>
                </c:pt>
                <c:pt idx="2">
                  <c:v>Both</c:v>
                </c:pt>
              </c:strCache>
            </c:strRef>
          </c:cat>
          <c:val>
            <c:numRef>
              <c:f>'P-Respondant Profiles'!$B$2:$B$5</c:f>
              <c:numCache>
                <c:formatCode>General</c:formatCode>
                <c:ptCount val="3"/>
                <c:pt idx="0">
                  <c:v>12</c:v>
                </c:pt>
                <c:pt idx="1">
                  <c:v>78</c:v>
                </c:pt>
                <c:pt idx="2">
                  <c:v>2</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10"/>
  <c:pivotSource>
    <c:name>[Summary Comments on Cons RIS.xlsx]Fig2-stakeholder type!PivotTable2</c:name>
    <c:fmtId val="22"/>
  </c:pivotSource>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Figure 2:</a:t>
            </a:r>
            <a:r>
              <a:rPr lang="en-US" baseline="0">
                <a:latin typeface="Times New Roman" pitchFamily="18" charset="0"/>
                <a:cs typeface="Times New Roman" pitchFamily="18" charset="0"/>
              </a:rPr>
              <a:t> </a:t>
            </a:r>
            <a:r>
              <a:rPr lang="en-US">
                <a:latin typeface="Times New Roman" pitchFamily="18" charset="0"/>
                <a:cs typeface="Times New Roman" pitchFamily="18" charset="0"/>
              </a:rPr>
              <a:t>Submissions by stakeholder type</a:t>
            </a:r>
          </a:p>
        </c:rich>
      </c:tx>
      <c:layout/>
    </c:title>
    <c:pivotFmts>
      <c:pivotFmt>
        <c:idx val="0"/>
        <c:marker>
          <c:symbol val="none"/>
        </c:marker>
      </c:pivotFmt>
      <c:pivotFmt>
        <c:idx val="1"/>
        <c:marker>
          <c:symbol val="none"/>
        </c:marker>
      </c:pivotFmt>
      <c:pivotFmt>
        <c:idx val="2"/>
        <c:marker>
          <c:symbol val="none"/>
        </c:marker>
      </c:pivotFmt>
      <c:pivotFmt>
        <c:idx val="3"/>
        <c:marker>
          <c:symbol val="none"/>
        </c:marker>
        <c:dLbl>
          <c:idx val="0"/>
          <c:spPr/>
          <c:txPr>
            <a:bodyPr/>
            <a:lstStyle/>
            <a:p>
              <a:pPr>
                <a:defRPr b="1">
                  <a:latin typeface="Times New Roman" pitchFamily="18" charset="0"/>
                  <a:cs typeface="Times New Roman" pitchFamily="18" charset="0"/>
                </a:defRPr>
              </a:pPr>
              <a:endParaRPr lang="en-US"/>
            </a:p>
          </c:txPr>
          <c:dLblPos val="outEnd"/>
          <c:showVal val="1"/>
        </c:dLbl>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spPr>
          <a:solidFill>
            <a:schemeClr val="tx2">
              <a:lumMod val="20000"/>
              <a:lumOff val="80000"/>
            </a:schemeClr>
          </a:solidFill>
        </c:spPr>
        <c:marker>
          <c:symbol val="none"/>
        </c:marker>
        <c:dLbl>
          <c:idx val="0"/>
          <c:spPr/>
          <c:txPr>
            <a:bodyPr/>
            <a:lstStyle/>
            <a:p>
              <a:pPr>
                <a:defRPr/>
              </a:pPr>
              <a:endParaRPr lang="en-US"/>
            </a:p>
          </c:txPr>
          <c:dLblPos val="ctr"/>
          <c:showVal val="1"/>
        </c:dLbl>
      </c:pivotFmt>
      <c:pivotFmt>
        <c:idx val="28"/>
        <c:spPr>
          <a:solidFill>
            <a:srgbClr val="FF0000"/>
          </a:solidFill>
        </c:spPr>
        <c:marker>
          <c:symbol val="none"/>
        </c:marker>
        <c:dLbl>
          <c:idx val="0"/>
          <c:spPr/>
          <c:txPr>
            <a:bodyPr/>
            <a:lstStyle/>
            <a:p>
              <a:pPr>
                <a:defRPr/>
              </a:pPr>
              <a:endParaRPr lang="en-US"/>
            </a:p>
          </c:txPr>
          <c:dLblPos val="ctr"/>
          <c:showVal val="1"/>
        </c:dLbl>
      </c:pivotFmt>
      <c:pivotFmt>
        <c:idx val="29"/>
        <c:marker>
          <c:symbol val="none"/>
        </c:marker>
        <c:dLbl>
          <c:idx val="0"/>
          <c:spPr/>
          <c:txPr>
            <a:bodyPr/>
            <a:lstStyle/>
            <a:p>
              <a:pPr>
                <a:defRPr b="1">
                  <a:latin typeface="Times New Roman" pitchFamily="18" charset="0"/>
                  <a:cs typeface="Times New Roman" pitchFamily="18" charset="0"/>
                </a:defRPr>
              </a:pPr>
              <a:endParaRPr lang="en-US"/>
            </a:p>
          </c:txPr>
          <c:dLblPos val="outEnd"/>
          <c:showVal val="1"/>
        </c:dLbl>
      </c:pivotFmt>
    </c:pivotFmts>
    <c:plotArea>
      <c:layout>
        <c:manualLayout>
          <c:layoutTarget val="inner"/>
          <c:xMode val="edge"/>
          <c:yMode val="edge"/>
          <c:x val="0.38139217273510168"/>
          <c:y val="0.19263994606755666"/>
          <c:w val="0.51687946037809318"/>
          <c:h val="0.65784310541575364"/>
        </c:manualLayout>
      </c:layout>
      <c:barChart>
        <c:barDir val="bar"/>
        <c:grouping val="clustered"/>
        <c:ser>
          <c:idx val="0"/>
          <c:order val="0"/>
          <c:tx>
            <c:strRef>
              <c:f>'Fig2-stakeholder type'!$B$3</c:f>
              <c:strCache>
                <c:ptCount val="1"/>
                <c:pt idx="0">
                  <c:v>Total</c:v>
                </c:pt>
              </c:strCache>
            </c:strRef>
          </c:tx>
          <c:dLbls>
            <c:txPr>
              <a:bodyPr/>
              <a:lstStyle/>
              <a:p>
                <a:pPr>
                  <a:defRPr b="1">
                    <a:latin typeface="Times New Roman" pitchFamily="18" charset="0"/>
                    <a:cs typeface="Times New Roman" pitchFamily="18" charset="0"/>
                  </a:defRPr>
                </a:pPr>
                <a:endParaRPr lang="en-US"/>
              </a:p>
            </c:txPr>
            <c:dLblPos val="outEnd"/>
            <c:showVal val="1"/>
          </c:dLbls>
          <c:cat>
            <c:strRef>
              <c:f>'Fig2-stakeholder type'!$A$4:$A$11</c:f>
              <c:strCache>
                <c:ptCount val="7"/>
                <c:pt idx="0">
                  <c:v>Other</c:v>
                </c:pt>
                <c:pt idx="1">
                  <c:v>Non-Government Organisation</c:v>
                </c:pt>
                <c:pt idx="2">
                  <c:v>Private individual</c:v>
                </c:pt>
                <c:pt idx="3">
                  <c:v>Recreational Organisation</c:v>
                </c:pt>
                <c:pt idx="4">
                  <c:v>Industry Association</c:v>
                </c:pt>
                <c:pt idx="5">
                  <c:v>Manufacturer - Distributor</c:v>
                </c:pt>
                <c:pt idx="6">
                  <c:v>Retailer</c:v>
                </c:pt>
              </c:strCache>
            </c:strRef>
          </c:cat>
          <c:val>
            <c:numRef>
              <c:f>'Fig2-stakeholder type'!$B$4:$B$11</c:f>
              <c:numCache>
                <c:formatCode>General</c:formatCode>
                <c:ptCount val="7"/>
                <c:pt idx="0">
                  <c:v>2</c:v>
                </c:pt>
                <c:pt idx="1">
                  <c:v>1</c:v>
                </c:pt>
                <c:pt idx="2">
                  <c:v>5</c:v>
                </c:pt>
                <c:pt idx="3">
                  <c:v>5</c:v>
                </c:pt>
                <c:pt idx="4">
                  <c:v>8</c:v>
                </c:pt>
                <c:pt idx="5">
                  <c:v>11</c:v>
                </c:pt>
                <c:pt idx="6">
                  <c:v>59</c:v>
                </c:pt>
              </c:numCache>
            </c:numRef>
          </c:val>
        </c:ser>
        <c:dLbls>
          <c:showVal val="1"/>
        </c:dLbls>
        <c:gapWidth val="55"/>
        <c:axId val="61187968"/>
        <c:axId val="61189504"/>
      </c:barChart>
      <c:catAx>
        <c:axId val="61187968"/>
        <c:scaling>
          <c:orientation val="minMax"/>
        </c:scaling>
        <c:axPos val="l"/>
        <c:majorTickMark val="none"/>
        <c:tickLblPos val="nextTo"/>
        <c:txPr>
          <a:bodyPr/>
          <a:lstStyle/>
          <a:p>
            <a:pPr>
              <a:defRPr b="1">
                <a:latin typeface="Times New Roman" pitchFamily="18" charset="0"/>
                <a:cs typeface="Times New Roman" pitchFamily="18" charset="0"/>
              </a:defRPr>
            </a:pPr>
            <a:endParaRPr lang="en-US"/>
          </a:p>
        </c:txPr>
        <c:crossAx val="61189504"/>
        <c:crosses val="autoZero"/>
        <c:auto val="1"/>
        <c:lblAlgn val="ctr"/>
        <c:lblOffset val="100"/>
      </c:catAx>
      <c:valAx>
        <c:axId val="61189504"/>
        <c:scaling>
          <c:orientation val="minMax"/>
          <c:max val="60"/>
          <c:min val="0"/>
        </c:scaling>
        <c:axPos val="b"/>
        <c:majorGridlines/>
        <c:title>
          <c:tx>
            <c:rich>
              <a:bodyPr/>
              <a:lstStyle/>
              <a:p>
                <a:pPr>
                  <a:defRPr/>
                </a:pPr>
                <a:r>
                  <a:rPr lang="en-AU"/>
                  <a:t>Number of Submissions</a:t>
                </a:r>
              </a:p>
            </c:rich>
          </c:tx>
          <c:layout/>
        </c:title>
        <c:numFmt formatCode="General" sourceLinked="1"/>
        <c:majorTickMark val="none"/>
        <c:tickLblPos val="nextTo"/>
        <c:txPr>
          <a:bodyPr/>
          <a:lstStyle/>
          <a:p>
            <a:pPr>
              <a:defRPr b="1">
                <a:latin typeface="Times New Roman" pitchFamily="18" charset="0"/>
                <a:cs typeface="Times New Roman" pitchFamily="18" charset="0"/>
              </a:defRPr>
            </a:pPr>
            <a:endParaRPr lang="en-US"/>
          </a:p>
        </c:txPr>
        <c:crossAx val="61187968"/>
        <c:crosses val="autoZero"/>
        <c:crossBetween val="between"/>
        <c:majorUnit val="10"/>
        <c:minorUnit val="10"/>
      </c:valAx>
    </c:plotArea>
    <c:plotVisOnly val="1"/>
  </c:chart>
  <c:txPr>
    <a:bodyPr/>
    <a:lstStyle/>
    <a:p>
      <a:pPr>
        <a:defRPr sz="11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AU"/>
  <c:style val="9"/>
  <c:pivotSource>
    <c:name>[Summary Comments on Cons RIS.xlsx]Fig6-Prices and DEMAND!PivotTable1</c:name>
    <c:fmtId val="11"/>
  </c:pivotSource>
  <c:chart>
    <c:title>
      <c:tx>
        <c:rich>
          <a:bodyPr/>
          <a:lstStyle/>
          <a:p>
            <a:pPr>
              <a:defRPr/>
            </a:pPr>
            <a:r>
              <a:rPr lang="en-AU" sz="1200">
                <a:latin typeface="Times New Roman" pitchFamily="18" charset="0"/>
                <a:cs typeface="Times New Roman" pitchFamily="18" charset="0"/>
              </a:rPr>
              <a:t>Figure 3: Price</a:t>
            </a:r>
            <a:r>
              <a:rPr lang="en-AU" sz="1200" baseline="0">
                <a:latin typeface="Times New Roman" pitchFamily="18" charset="0"/>
                <a:cs typeface="Times New Roman" pitchFamily="18" charset="0"/>
              </a:rPr>
              <a:t> increases likely to impact consumer demand </a:t>
            </a:r>
            <a:r>
              <a:rPr lang="en-AU" sz="1200">
                <a:latin typeface="Times New Roman" pitchFamily="18" charset="0"/>
                <a:cs typeface="Times New Roman" pitchFamily="18" charset="0"/>
              </a:rPr>
              <a:t>(independent submissions)</a:t>
            </a:r>
          </a:p>
        </c:rich>
      </c:tx>
      <c:layout>
        <c:manualLayout>
          <c:xMode val="edge"/>
          <c:yMode val="edge"/>
          <c:x val="0.12690543409850621"/>
          <c:y val="3.6646113102601442E-2"/>
        </c:manualLayout>
      </c:layout>
    </c:title>
    <c:pivotFmts>
      <c:pivotFmt>
        <c:idx val="0"/>
      </c:pivotFmt>
      <c:pivotFmt>
        <c:idx val="1"/>
        <c:dLbl>
          <c:idx val="0"/>
          <c:dLblPos val="ctr"/>
          <c:showVal val="1"/>
        </c:dLbl>
      </c:pivotFmt>
      <c:pivotFmt>
        <c:idx val="2"/>
        <c:dLbl>
          <c:idx val="0"/>
          <c:dLblPos val="ctr"/>
          <c:showVal val="1"/>
        </c:dLbl>
      </c:pivotFmt>
      <c:pivotFmt>
        <c:idx val="3"/>
        <c:dLbl>
          <c:idx val="0"/>
          <c:dLblPos val="ctr"/>
          <c:showVal val="1"/>
        </c:dLbl>
      </c:pivotFmt>
      <c:pivotFmt>
        <c:idx val="4"/>
        <c:marker>
          <c:symbol val="none"/>
        </c:marker>
        <c:dLbl>
          <c:idx val="0"/>
          <c:spPr/>
          <c:txPr>
            <a:bodyPr/>
            <a:lstStyle/>
            <a:p>
              <a:pPr>
                <a:defRPr/>
              </a:pPr>
              <a:endParaRPr lang="en-US"/>
            </a:p>
          </c:txPr>
          <c:dLblPos val="ctr"/>
          <c:showVal val="1"/>
        </c:dLbl>
      </c:pivotFmt>
      <c:pivotFmt>
        <c:idx val="5"/>
        <c:marker>
          <c:symbol val="none"/>
        </c:marker>
        <c:dLbl>
          <c:idx val="0"/>
          <c:spPr/>
          <c:txPr>
            <a:bodyPr/>
            <a:lstStyle/>
            <a:p>
              <a:pPr>
                <a:defRPr/>
              </a:pPr>
              <a:endParaRPr lang="en-US"/>
            </a:p>
          </c:txPr>
          <c:dLblPos val="ctr"/>
          <c:showVal val="1"/>
        </c:dLbl>
      </c:pivotFmt>
      <c:pivotFmt>
        <c:idx val="6"/>
        <c:marker>
          <c:symbol val="none"/>
        </c:marker>
        <c:dLbl>
          <c:idx val="0"/>
          <c:spPr/>
          <c:txPr>
            <a:bodyPr/>
            <a:lstStyle/>
            <a:p>
              <a:pPr>
                <a:defRPr/>
              </a:pPr>
              <a:endParaRPr lang="en-US"/>
            </a:p>
          </c:txPr>
          <c:dLblPos val="ctr"/>
          <c:showVal val="1"/>
        </c:dLbl>
      </c:pivotFmt>
    </c:pivotFmts>
    <c:plotArea>
      <c:layout>
        <c:manualLayout>
          <c:layoutTarget val="inner"/>
          <c:xMode val="edge"/>
          <c:yMode val="edge"/>
          <c:x val="0.23923081043441041"/>
          <c:y val="0.24714975845410644"/>
          <c:w val="0.49138804078062043"/>
          <c:h val="0.54536848111377378"/>
        </c:manualLayout>
      </c:layout>
      <c:barChart>
        <c:barDir val="bar"/>
        <c:grouping val="clustered"/>
        <c:ser>
          <c:idx val="0"/>
          <c:order val="0"/>
          <c:tx>
            <c:strRef>
              <c:f>'Fig6-Prices and DEMAND'!$B$3:$B$4</c:f>
              <c:strCache>
                <c:ptCount val="1"/>
                <c:pt idx="0">
                  <c:v>No Submission</c:v>
                </c:pt>
              </c:strCache>
            </c:strRef>
          </c:tx>
          <c:spPr>
            <a:solidFill>
              <a:schemeClr val="tx1"/>
            </a:solidFill>
          </c:spPr>
          <c:dLbls>
            <c:txPr>
              <a:bodyPr/>
              <a:lstStyle/>
              <a:p>
                <a:pPr>
                  <a:defRPr sz="1100" b="1">
                    <a:latin typeface="Times New Roman" pitchFamily="18" charset="0"/>
                    <a:cs typeface="Times New Roman" pitchFamily="18" charset="0"/>
                  </a:defRPr>
                </a:pPr>
                <a:endParaRPr lang="en-US"/>
              </a:p>
            </c:txPr>
            <c:dLblPos val="outEnd"/>
            <c:showVal val="1"/>
          </c:dLbls>
          <c:cat>
            <c:strRef>
              <c:f>'Fig6-Prices and DEMAND'!$A$5:$A$8</c:f>
              <c:strCache>
                <c:ptCount val="3"/>
                <c:pt idx="0">
                  <c:v>Both</c:v>
                </c:pt>
                <c:pt idx="1">
                  <c:v>Garden Engines and Equipment</c:v>
                </c:pt>
                <c:pt idx="2">
                  <c:v>Marine Engines and Equipment</c:v>
                </c:pt>
              </c:strCache>
            </c:strRef>
          </c:cat>
          <c:val>
            <c:numRef>
              <c:f>'Fig6-Prices and DEMAND'!$B$5:$B$8</c:f>
              <c:numCache>
                <c:formatCode>General</c:formatCode>
                <c:ptCount val="3"/>
                <c:pt idx="0">
                  <c:v>2</c:v>
                </c:pt>
                <c:pt idx="1">
                  <c:v>9</c:v>
                </c:pt>
                <c:pt idx="2">
                  <c:v>13</c:v>
                </c:pt>
              </c:numCache>
            </c:numRef>
          </c:val>
        </c:ser>
        <c:ser>
          <c:idx val="1"/>
          <c:order val="1"/>
          <c:tx>
            <c:strRef>
              <c:f>'Fig6-Prices and DEMAND'!$C$3:$C$4</c:f>
              <c:strCache>
                <c:ptCount val="1"/>
                <c:pt idx="0">
                  <c:v>No</c:v>
                </c:pt>
              </c:strCache>
            </c:strRef>
          </c:tx>
          <c:dLbls>
            <c:txPr>
              <a:bodyPr/>
              <a:lstStyle/>
              <a:p>
                <a:pPr>
                  <a:defRPr sz="1100" b="1">
                    <a:latin typeface="Times New Roman" pitchFamily="18" charset="0"/>
                    <a:cs typeface="Times New Roman" pitchFamily="18" charset="0"/>
                  </a:defRPr>
                </a:pPr>
                <a:endParaRPr lang="en-US"/>
              </a:p>
            </c:txPr>
            <c:dLblPos val="outEnd"/>
            <c:showVal val="1"/>
          </c:dLbls>
          <c:cat>
            <c:strRef>
              <c:f>'Fig6-Prices and DEMAND'!$A$5:$A$8</c:f>
              <c:strCache>
                <c:ptCount val="3"/>
                <c:pt idx="0">
                  <c:v>Both</c:v>
                </c:pt>
                <c:pt idx="1">
                  <c:v>Garden Engines and Equipment</c:v>
                </c:pt>
                <c:pt idx="2">
                  <c:v>Marine Engines and Equipment</c:v>
                </c:pt>
              </c:strCache>
            </c:strRef>
          </c:cat>
          <c:val>
            <c:numRef>
              <c:f>'Fig6-Prices and DEMAND'!$C$5:$C$8</c:f>
              <c:numCache>
                <c:formatCode>General</c:formatCode>
                <c:ptCount val="3"/>
                <c:pt idx="1">
                  <c:v>1</c:v>
                </c:pt>
                <c:pt idx="2">
                  <c:v>4</c:v>
                </c:pt>
              </c:numCache>
            </c:numRef>
          </c:val>
        </c:ser>
        <c:ser>
          <c:idx val="2"/>
          <c:order val="2"/>
          <c:tx>
            <c:strRef>
              <c:f>'Fig6-Prices and DEMAND'!$D$3:$D$4</c:f>
              <c:strCache>
                <c:ptCount val="1"/>
                <c:pt idx="0">
                  <c:v>Yes</c:v>
                </c:pt>
              </c:strCache>
            </c:strRef>
          </c:tx>
          <c:dLbls>
            <c:txPr>
              <a:bodyPr/>
              <a:lstStyle/>
              <a:p>
                <a:pPr>
                  <a:defRPr sz="1100" b="1">
                    <a:latin typeface="Times New Roman" pitchFamily="18" charset="0"/>
                    <a:cs typeface="Times New Roman" pitchFamily="18" charset="0"/>
                  </a:defRPr>
                </a:pPr>
                <a:endParaRPr lang="en-US"/>
              </a:p>
            </c:txPr>
            <c:dLblPos val="outEnd"/>
            <c:showVal val="1"/>
          </c:dLbls>
          <c:cat>
            <c:strRef>
              <c:f>'Fig6-Prices and DEMAND'!$A$5:$A$8</c:f>
              <c:strCache>
                <c:ptCount val="3"/>
                <c:pt idx="0">
                  <c:v>Both</c:v>
                </c:pt>
                <c:pt idx="1">
                  <c:v>Garden Engines and Equipment</c:v>
                </c:pt>
                <c:pt idx="2">
                  <c:v>Marine Engines and Equipment</c:v>
                </c:pt>
              </c:strCache>
            </c:strRef>
          </c:cat>
          <c:val>
            <c:numRef>
              <c:f>'Fig6-Prices and DEMAND'!$D$5:$D$8</c:f>
              <c:numCache>
                <c:formatCode>General</c:formatCode>
                <c:ptCount val="3"/>
                <c:pt idx="1">
                  <c:v>2</c:v>
                </c:pt>
                <c:pt idx="2">
                  <c:v>10</c:v>
                </c:pt>
              </c:numCache>
            </c:numRef>
          </c:val>
        </c:ser>
        <c:dLbls>
          <c:showVal val="1"/>
        </c:dLbls>
        <c:axId val="61230080"/>
        <c:axId val="61240064"/>
      </c:barChart>
      <c:catAx>
        <c:axId val="61230080"/>
        <c:scaling>
          <c:orientation val="minMax"/>
        </c:scaling>
        <c:axPos val="l"/>
        <c:tickLblPos val="nextTo"/>
        <c:txPr>
          <a:bodyPr/>
          <a:lstStyle/>
          <a:p>
            <a:pPr>
              <a:defRPr sz="1100" b="1">
                <a:latin typeface="Times New Roman" pitchFamily="18" charset="0"/>
                <a:cs typeface="Times New Roman" pitchFamily="18" charset="0"/>
              </a:defRPr>
            </a:pPr>
            <a:endParaRPr lang="en-US"/>
          </a:p>
        </c:txPr>
        <c:crossAx val="61240064"/>
        <c:crosses val="autoZero"/>
        <c:auto val="1"/>
        <c:lblAlgn val="ctr"/>
        <c:lblOffset val="100"/>
      </c:catAx>
      <c:valAx>
        <c:axId val="61240064"/>
        <c:scaling>
          <c:orientation val="minMax"/>
        </c:scaling>
        <c:axPos val="b"/>
        <c:majorGridlines/>
        <c:title>
          <c:tx>
            <c:rich>
              <a:bodyPr/>
              <a:lstStyle/>
              <a:p>
                <a:pPr>
                  <a:defRPr/>
                </a:pPr>
                <a:r>
                  <a:rPr lang="en-AU" sz="1100" b="1">
                    <a:latin typeface="Times New Roman" pitchFamily="18" charset="0"/>
                    <a:cs typeface="Times New Roman" pitchFamily="18" charset="0"/>
                  </a:rPr>
                  <a:t>Number of submissions</a:t>
                </a:r>
              </a:p>
            </c:rich>
          </c:tx>
          <c:layout/>
        </c:title>
        <c:numFmt formatCode="General" sourceLinked="1"/>
        <c:tickLblPos val="nextTo"/>
        <c:txPr>
          <a:bodyPr/>
          <a:lstStyle/>
          <a:p>
            <a:pPr>
              <a:defRPr sz="1100" b="1">
                <a:latin typeface="Times New Roman" pitchFamily="18" charset="0"/>
                <a:cs typeface="Times New Roman" pitchFamily="18" charset="0"/>
              </a:defRPr>
            </a:pPr>
            <a:endParaRPr lang="en-US"/>
          </a:p>
        </c:txPr>
        <c:crossAx val="61230080"/>
        <c:crosses val="autoZero"/>
        <c:crossBetween val="between"/>
      </c:valAx>
    </c:plotArea>
    <c:legend>
      <c:legendPos val="r"/>
      <c:layout>
        <c:manualLayout>
          <c:xMode val="edge"/>
          <c:yMode val="edge"/>
          <c:x val="0.75054528898173445"/>
          <c:y val="0.43497827988893167"/>
          <c:w val="0.21997625296837894"/>
          <c:h val="0.23671010688881294"/>
        </c:manualLayout>
      </c:layout>
      <c:txPr>
        <a:bodyPr/>
        <a:lstStyle/>
        <a:p>
          <a:pPr>
            <a:defRPr sz="1100" b="1">
              <a:latin typeface="Times New Roman" pitchFamily="18" charset="0"/>
              <a:cs typeface="Times New Roman" pitchFamily="18"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0.75407</cdr:x>
      <cdr:y>0.26667</cdr:y>
    </cdr:from>
    <cdr:to>
      <cdr:x>0.98373</cdr:x>
      <cdr:y>0.70145</cdr:y>
    </cdr:to>
    <cdr:sp macro="" textlink="">
      <cdr:nvSpPr>
        <cdr:cNvPr id="2" name="TextBox 1"/>
        <cdr:cNvSpPr txBox="1"/>
      </cdr:nvSpPr>
      <cdr:spPr>
        <a:xfrm xmlns:a="http://schemas.openxmlformats.org/drawingml/2006/main">
          <a:off x="3971925" y="876302"/>
          <a:ext cx="1209675" cy="1428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b="1">
              <a:latin typeface="Times New Roman" pitchFamily="18" charset="0"/>
              <a:cs typeface="Times New Roman" pitchFamily="18" charset="0"/>
            </a:rPr>
            <a:t>Concerned about</a:t>
          </a:r>
        </a:p>
        <a:p xmlns:a="http://schemas.openxmlformats.org/drawingml/2006/main">
          <a:r>
            <a:rPr lang="en-AU" sz="1100" b="1">
              <a:latin typeface="Times New Roman" pitchFamily="18" charset="0"/>
              <a:cs typeface="Times New Roman" pitchFamily="18" charset="0"/>
            </a:rPr>
            <a:t>impact of increased</a:t>
          </a:r>
        </a:p>
        <a:p xmlns:a="http://schemas.openxmlformats.org/drawingml/2006/main">
          <a:r>
            <a:rPr lang="en-AU" sz="1100" b="1">
              <a:latin typeface="Times New Roman" pitchFamily="18" charset="0"/>
              <a:cs typeface="Times New Roman" pitchFamily="18" charset="0"/>
            </a:rPr>
            <a:t>prices on demand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7EE13-484A-4154-B6CD-C3ADF2CD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UQ Diamantina Institute</Company>
  <LinksUpToDate>false</LinksUpToDate>
  <CharactersWithSpaces>21089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Tertius</dc:creator>
  <cp:lastModifiedBy>A16221</cp:lastModifiedBy>
  <cp:revision>5</cp:revision>
  <cp:lastPrinted>2012-10-25T23:22:00Z</cp:lastPrinted>
  <dcterms:created xsi:type="dcterms:W3CDTF">2012-11-14T02:09:00Z</dcterms:created>
  <dcterms:modified xsi:type="dcterms:W3CDTF">2012-12-06T02:55:00Z</dcterms:modified>
</cp:coreProperties>
</file>